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pacing w:after="80" w:before="280" w:line="360" w:lineRule="auto"/>
        <w:rPr>
          <w:rFonts w:ascii="Roboto" w:cs="Roboto" w:eastAsia="Roboto" w:hAnsi="Roboto"/>
          <w:color w:val="404040"/>
          <w:sz w:val="26"/>
          <w:szCs w:val="26"/>
          <w:highlight w:val="white"/>
        </w:rPr>
      </w:pPr>
      <w:bookmarkStart w:colFirst="0" w:colLast="0" w:name="_heading=h.1h8pcebsxdrr" w:id="0"/>
      <w:bookmarkEnd w:id="0"/>
      <w:r w:rsidDel="00000000" w:rsidR="00000000" w:rsidRPr="00000000">
        <w:rPr>
          <w:rFonts w:ascii="Roboto" w:cs="Roboto" w:eastAsia="Roboto" w:hAnsi="Roboto"/>
          <w:color w:val="404040"/>
          <w:sz w:val="26"/>
          <w:szCs w:val="26"/>
          <w:highlight w:val="white"/>
          <w:rtl w:val="0"/>
        </w:rPr>
        <w:t xml:space="preserve">Sexual Violence as a War Crime: Legal Framework, Jurisdictional Barriers, and Feminist Critiques</w:t>
      </w:r>
    </w:p>
    <w:p w:rsidR="00000000" w:rsidDel="00000000" w:rsidP="00000000" w:rsidRDefault="00000000" w:rsidRPr="00000000" w14:paraId="00000002">
      <w:pPr>
        <w:rPr>
          <w:rFonts w:ascii="Times New Roman" w:cs="Times New Roman" w:eastAsia="Times New Roman" w:hAnsi="Times New Roman"/>
          <w:b w:val="1"/>
          <w:color w:val="404040"/>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pStyle w:val="Heading3"/>
        <w:spacing w:after="80" w:before="280" w:line="360" w:lineRule="auto"/>
        <w:rPr>
          <w:rFonts w:ascii="Roboto" w:cs="Roboto" w:eastAsia="Roboto" w:hAnsi="Roboto"/>
          <w:color w:val="404040"/>
          <w:sz w:val="26"/>
          <w:szCs w:val="26"/>
          <w:highlight w:val="white"/>
        </w:rPr>
      </w:pPr>
      <w:bookmarkStart w:colFirst="0" w:colLast="0" w:name="_heading=h.9lfk5rn606j3" w:id="1"/>
      <w:bookmarkEnd w:id="1"/>
      <w:r w:rsidDel="00000000" w:rsidR="00000000" w:rsidRPr="00000000">
        <w:rPr>
          <w:rFonts w:ascii="Roboto" w:cs="Roboto" w:eastAsia="Roboto" w:hAnsi="Roboto"/>
          <w:color w:val="404040"/>
          <w:sz w:val="26"/>
          <w:szCs w:val="26"/>
          <w:highlight w:val="white"/>
          <w:rtl w:val="0"/>
        </w:rPr>
        <w:t xml:space="preserve">Abstract</w:t>
      </w:r>
    </w:p>
    <w:p w:rsidR="00000000" w:rsidDel="00000000" w:rsidP="00000000" w:rsidRDefault="00000000" w:rsidRPr="00000000" w14:paraId="00000004">
      <w:pPr>
        <w:spacing w:after="0" w:lineRule="auto"/>
        <w:rPr>
          <w:rFonts w:ascii="Roboto" w:cs="Roboto" w:eastAsia="Roboto" w:hAnsi="Roboto"/>
          <w:b w:val="1"/>
          <w:color w:val="404040"/>
          <w:sz w:val="24"/>
          <w:szCs w:val="24"/>
          <w:highlight w:val="white"/>
        </w:rPr>
      </w:pPr>
      <w:r w:rsidDel="00000000" w:rsidR="00000000" w:rsidRPr="00000000">
        <w:rPr>
          <w:rFonts w:ascii="Roboto" w:cs="Roboto" w:eastAsia="Roboto" w:hAnsi="Roboto"/>
          <w:b w:val="1"/>
          <w:color w:val="404040"/>
          <w:sz w:val="24"/>
          <w:szCs w:val="24"/>
          <w:highlight w:val="white"/>
          <w:rtl w:val="0"/>
        </w:rPr>
        <w:t xml:space="preserve">Sexual violence in armed conflict, recognized as a war crime under international law, remains entrenched in global conflicts due to systemic enforcement failures and institutionalized gender biases. This article analyzes the jurisprudential evolution of sexual violence as a crime under the Rome Statute and customary law, while critiquing the persistent gaps between legal frameworks and survivor justice. Through case studies of landmark rulings (</w:t>
      </w:r>
      <w:r w:rsidDel="00000000" w:rsidR="00000000" w:rsidRPr="00000000">
        <w:rPr>
          <w:rFonts w:ascii="Roboto" w:cs="Roboto" w:eastAsia="Roboto" w:hAnsi="Roboto"/>
          <w:b w:val="1"/>
          <w:i w:val="1"/>
          <w:color w:val="404040"/>
          <w:sz w:val="24"/>
          <w:szCs w:val="24"/>
          <w:highlight w:val="white"/>
          <w:rtl w:val="0"/>
        </w:rPr>
        <w:t xml:space="preserve">Akayesu</w:t>
      </w:r>
      <w:r w:rsidDel="00000000" w:rsidR="00000000" w:rsidRPr="00000000">
        <w:rPr>
          <w:rFonts w:ascii="Roboto" w:cs="Roboto" w:eastAsia="Roboto" w:hAnsi="Roboto"/>
          <w:b w:val="1"/>
          <w:color w:val="404040"/>
          <w:sz w:val="24"/>
          <w:szCs w:val="24"/>
          <w:highlight w:val="white"/>
          <w:rtl w:val="0"/>
        </w:rPr>
        <w:t xml:space="preserve">, </w:t>
      </w:r>
      <w:r w:rsidDel="00000000" w:rsidR="00000000" w:rsidRPr="00000000">
        <w:rPr>
          <w:rFonts w:ascii="Roboto" w:cs="Roboto" w:eastAsia="Roboto" w:hAnsi="Roboto"/>
          <w:b w:val="1"/>
          <w:i w:val="1"/>
          <w:color w:val="404040"/>
          <w:sz w:val="24"/>
          <w:szCs w:val="24"/>
          <w:highlight w:val="white"/>
          <w:rtl w:val="0"/>
        </w:rPr>
        <w:t xml:space="preserve">Kunarac</w:t>
      </w:r>
      <w:r w:rsidDel="00000000" w:rsidR="00000000" w:rsidRPr="00000000">
        <w:rPr>
          <w:rFonts w:ascii="Roboto" w:cs="Roboto" w:eastAsia="Roboto" w:hAnsi="Roboto"/>
          <w:b w:val="1"/>
          <w:color w:val="404040"/>
          <w:sz w:val="24"/>
          <w:szCs w:val="24"/>
          <w:highlight w:val="white"/>
          <w:rtl w:val="0"/>
        </w:rPr>
        <w:t xml:space="preserve">, </w:t>
      </w:r>
      <w:r w:rsidDel="00000000" w:rsidR="00000000" w:rsidRPr="00000000">
        <w:rPr>
          <w:rFonts w:ascii="Roboto" w:cs="Roboto" w:eastAsia="Roboto" w:hAnsi="Roboto"/>
          <w:b w:val="1"/>
          <w:i w:val="1"/>
          <w:color w:val="404040"/>
          <w:sz w:val="24"/>
          <w:szCs w:val="24"/>
          <w:highlight w:val="white"/>
          <w:rtl w:val="0"/>
        </w:rPr>
        <w:t xml:space="preserve">Ongwen</w:t>
      </w:r>
      <w:r w:rsidDel="00000000" w:rsidR="00000000" w:rsidRPr="00000000">
        <w:rPr>
          <w:rFonts w:ascii="Roboto" w:cs="Roboto" w:eastAsia="Roboto" w:hAnsi="Roboto"/>
          <w:b w:val="1"/>
          <w:color w:val="404040"/>
          <w:sz w:val="24"/>
          <w:szCs w:val="24"/>
          <w:highlight w:val="white"/>
          <w:rtl w:val="0"/>
        </w:rPr>
        <w:t xml:space="preserve">) and contemporary challenges in Ethiopia (2023 UN reports), it exposes how jurisdictional limitations, evidentiary hierarchies, and patriarchal norms in international tribunals perpetuate impunity. Feminist critiques of legal formalism and reparations mechanisms are central to the analysis, advocating for survivor-centered reforms. The article concludes that without dismantling the structural inequities embedded in international criminal law (ICL), accountability for sexual violence will remain illusory.</w:t>
      </w:r>
    </w:p>
    <w:p w:rsidR="00000000" w:rsidDel="00000000" w:rsidP="00000000" w:rsidRDefault="00000000" w:rsidRPr="00000000" w14:paraId="00000005">
      <w:pPr>
        <w:spacing w:after="0" w:lineRule="auto"/>
        <w:rPr>
          <w:rFonts w:ascii="Roboto" w:cs="Roboto" w:eastAsia="Roboto" w:hAnsi="Roboto"/>
          <w:b w:val="1"/>
          <w:color w:val="404040"/>
          <w:sz w:val="24"/>
          <w:szCs w:val="24"/>
          <w:highlight w:val="white"/>
        </w:rPr>
      </w:pPr>
      <w:r w:rsidDel="00000000" w:rsidR="00000000" w:rsidRPr="00000000">
        <w:rPr>
          <w:rFonts w:ascii="Roboto" w:cs="Roboto" w:eastAsia="Roboto" w:hAnsi="Roboto"/>
          <w:b w:val="1"/>
          <w:color w:val="404040"/>
          <w:sz w:val="24"/>
          <w:szCs w:val="24"/>
          <w:highlight w:val="white"/>
          <w:rtl w:val="0"/>
        </w:rPr>
        <w:t xml:space="preserve">Keywords: Sexual violence, jurisdiction, feminist legal theory, ICC, reparations, Ethiopia.</w:t>
      </w:r>
    </w:p>
    <w:p w:rsidR="00000000" w:rsidDel="00000000" w:rsidP="00000000" w:rsidRDefault="00000000" w:rsidRPr="00000000" w14:paraId="00000006">
      <w:pPr>
        <w:rPr>
          <w:rFonts w:ascii="Times New Roman" w:cs="Times New Roman" w:eastAsia="Times New Roman" w:hAnsi="Times New Roman"/>
          <w:b w:val="1"/>
          <w:color w:val="404040"/>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3"/>
        <w:spacing w:after="80" w:before="280" w:line="360" w:lineRule="auto"/>
        <w:rPr>
          <w:rFonts w:ascii="Roboto" w:cs="Roboto" w:eastAsia="Roboto" w:hAnsi="Roboto"/>
          <w:color w:val="404040"/>
          <w:sz w:val="26"/>
          <w:szCs w:val="26"/>
          <w:highlight w:val="white"/>
        </w:rPr>
      </w:pPr>
      <w:bookmarkStart w:colFirst="0" w:colLast="0" w:name="_heading=h.wmvowtbt8skt" w:id="2"/>
      <w:bookmarkEnd w:id="2"/>
      <w:r w:rsidDel="00000000" w:rsidR="00000000" w:rsidRPr="00000000">
        <w:rPr>
          <w:rFonts w:ascii="Roboto" w:cs="Roboto" w:eastAsia="Roboto" w:hAnsi="Roboto"/>
          <w:color w:val="404040"/>
          <w:sz w:val="26"/>
          <w:szCs w:val="26"/>
          <w:highlight w:val="white"/>
          <w:rtl w:val="0"/>
        </w:rPr>
        <w:t xml:space="preserve">I. Introduction: Sexual Violence as a Weapon of War</w:t>
      </w:r>
    </w:p>
    <w:p w:rsidR="00000000" w:rsidDel="00000000" w:rsidP="00000000" w:rsidRDefault="00000000" w:rsidRPr="00000000" w14:paraId="00000008">
      <w:pPr>
        <w:spacing w:after="0" w:lineRule="auto"/>
        <w:rPr>
          <w:rFonts w:ascii="Roboto" w:cs="Roboto" w:eastAsia="Roboto" w:hAnsi="Roboto"/>
          <w:b w:val="1"/>
          <w:color w:val="404040"/>
          <w:sz w:val="24"/>
          <w:szCs w:val="24"/>
          <w:highlight w:val="white"/>
        </w:rPr>
      </w:pPr>
      <w:r w:rsidDel="00000000" w:rsidR="00000000" w:rsidRPr="00000000">
        <w:rPr>
          <w:rFonts w:ascii="Roboto" w:cs="Roboto" w:eastAsia="Roboto" w:hAnsi="Roboto"/>
          <w:b w:val="1"/>
          <w:color w:val="404040"/>
          <w:sz w:val="24"/>
          <w:szCs w:val="24"/>
          <w:highlight w:val="white"/>
          <w:rtl w:val="0"/>
        </w:rPr>
        <w:t xml:space="preserve">Sexual violence in conflict is a deliberate strategy to terrorize populations, destroy social cohesion, and assert dominance. Historically dismissed as an inevitable byproduct of war, its recognition as a distinct war crime emerged only in the 1990s through the jurisprudence of the ICTY and ICTR.</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Despite this progress, the 2023 UN report on Ethiopia documents over 4,000 cases of conflict-related sexual violence, with less than 1% leading to prosecutions.</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2</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This dissonance between legal recognition and enforcement underscores the need to interrogate systemic barriers, including jurisdictional constraints and gendered biases in evidence standards.</w:t>
      </w:r>
    </w:p>
    <w:p w:rsidR="00000000" w:rsidDel="00000000" w:rsidP="00000000" w:rsidRDefault="00000000" w:rsidRPr="00000000" w14:paraId="00000009">
      <w:pPr>
        <w:spacing w:after="0" w:lineRule="auto"/>
        <w:rPr>
          <w:rFonts w:ascii="Roboto" w:cs="Roboto" w:eastAsia="Roboto" w:hAnsi="Roboto"/>
          <w:b w:val="1"/>
          <w:color w:val="404040"/>
          <w:sz w:val="24"/>
          <w:szCs w:val="24"/>
          <w:highlight w:val="white"/>
        </w:rPr>
      </w:pPr>
      <w:r w:rsidDel="00000000" w:rsidR="00000000" w:rsidRPr="00000000">
        <w:rPr>
          <w:rFonts w:ascii="Roboto" w:cs="Roboto" w:eastAsia="Roboto" w:hAnsi="Roboto"/>
          <w:b w:val="1"/>
          <w:color w:val="404040"/>
          <w:sz w:val="24"/>
          <w:szCs w:val="24"/>
          <w:highlight w:val="white"/>
          <w:rtl w:val="0"/>
        </w:rPr>
        <w:t xml:space="preserve">Feminist scholars like Catharine MacKinnon argue that international law’s failure to address sexual violence stems from its construction as a “private” harm rather than a structural weapon of war.</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3</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This article contends that the ICC’s reliance on state cooperation, coupled with evidentiary practices that marginalize survivor testimony, entrenches impunity. By centering feminist critiques and recent data, it advocates for transformative justice models that prioritize survivor agency.</w:t>
      </w:r>
    </w:p>
    <w:p w:rsidR="00000000" w:rsidDel="00000000" w:rsidP="00000000" w:rsidRDefault="00000000" w:rsidRPr="00000000" w14:paraId="0000000A">
      <w:pPr>
        <w:rPr>
          <w:rFonts w:ascii="Times New Roman" w:cs="Times New Roman" w:eastAsia="Times New Roman" w:hAnsi="Times New Roman"/>
          <w:b w:val="1"/>
          <w:color w:val="404040"/>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B">
      <w:pPr>
        <w:pStyle w:val="Heading3"/>
        <w:spacing w:after="80" w:before="280" w:line="360" w:lineRule="auto"/>
        <w:rPr>
          <w:rFonts w:ascii="Roboto" w:cs="Roboto" w:eastAsia="Roboto" w:hAnsi="Roboto"/>
          <w:color w:val="404040"/>
          <w:sz w:val="26"/>
          <w:szCs w:val="26"/>
          <w:highlight w:val="white"/>
        </w:rPr>
      </w:pPr>
      <w:bookmarkStart w:colFirst="0" w:colLast="0" w:name="_heading=h.91fwve9pfylg" w:id="3"/>
      <w:bookmarkEnd w:id="3"/>
      <w:r w:rsidDel="00000000" w:rsidR="00000000" w:rsidRPr="00000000">
        <w:rPr>
          <w:rFonts w:ascii="Roboto" w:cs="Roboto" w:eastAsia="Roboto" w:hAnsi="Roboto"/>
          <w:color w:val="404040"/>
          <w:sz w:val="26"/>
          <w:szCs w:val="26"/>
          <w:highlight w:val="white"/>
          <w:rtl w:val="0"/>
        </w:rPr>
        <w:t xml:space="preserve">II. Legal Framework: Progress and Feminist Critiques</w:t>
      </w:r>
    </w:p>
    <w:p w:rsidR="00000000" w:rsidDel="00000000" w:rsidP="00000000" w:rsidRDefault="00000000" w:rsidRPr="00000000" w14:paraId="0000000C">
      <w:pPr>
        <w:pStyle w:val="Heading4"/>
        <w:keepNext w:val="0"/>
        <w:keepLines w:val="0"/>
        <w:rPr>
          <w:rFonts w:ascii="Roboto" w:cs="Roboto" w:eastAsia="Roboto" w:hAnsi="Roboto"/>
          <w:color w:val="404040"/>
          <w:highlight w:val="white"/>
        </w:rPr>
      </w:pPr>
      <w:bookmarkStart w:colFirst="0" w:colLast="0" w:name="_heading=h.q6wacttxbwd9" w:id="4"/>
      <w:bookmarkEnd w:id="4"/>
      <w:r w:rsidDel="00000000" w:rsidR="00000000" w:rsidRPr="00000000">
        <w:rPr>
          <w:rFonts w:ascii="Roboto" w:cs="Roboto" w:eastAsia="Roboto" w:hAnsi="Roboto"/>
          <w:color w:val="404040"/>
          <w:highlight w:val="white"/>
          <w:rtl w:val="0"/>
        </w:rPr>
        <w:t xml:space="preserve">A. The Rome Statute: Ambiguous Gender Provisions</w:t>
      </w:r>
    </w:p>
    <w:p w:rsidR="00000000" w:rsidDel="00000000" w:rsidP="00000000" w:rsidRDefault="00000000" w:rsidRPr="00000000" w14:paraId="0000000D">
      <w:pPr>
        <w:spacing w:after="0" w:lineRule="auto"/>
        <w:rPr>
          <w:rFonts w:ascii="Roboto" w:cs="Roboto" w:eastAsia="Roboto" w:hAnsi="Roboto"/>
          <w:b w:val="1"/>
          <w:color w:val="404040"/>
          <w:sz w:val="21"/>
          <w:szCs w:val="21"/>
          <w:highlight w:val="white"/>
        </w:rPr>
      </w:pPr>
      <w:r w:rsidDel="00000000" w:rsidR="00000000" w:rsidRPr="00000000">
        <w:rPr>
          <w:rFonts w:ascii="Roboto" w:cs="Roboto" w:eastAsia="Roboto" w:hAnsi="Roboto"/>
          <w:b w:val="1"/>
          <w:color w:val="404040"/>
          <w:sz w:val="24"/>
          <w:szCs w:val="24"/>
          <w:highlight w:val="white"/>
          <w:rtl w:val="0"/>
        </w:rPr>
        <w:t xml:space="preserve">The Rome Statute (1998) marked a watershed by explicitly criminalizing rape, sexual slavery, and forced pregnancy under Articles 7(1)(g) and 8(2)(b)(xxii).</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4</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However, feminist jurists highlight contradictions in its “gender-neutral” framing. Doris Buss notes that the Statute’s definition of “gender” as “male and female” excludes LGBTQ+ victims, reinforcing heteronormative biases.</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5</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For example, the ICC’s </w:t>
      </w:r>
      <w:r w:rsidDel="00000000" w:rsidR="00000000" w:rsidRPr="00000000">
        <w:rPr>
          <w:rFonts w:ascii="Roboto" w:cs="Roboto" w:eastAsia="Roboto" w:hAnsi="Roboto"/>
          <w:b w:val="1"/>
          <w:i w:val="1"/>
          <w:color w:val="404040"/>
          <w:sz w:val="24"/>
          <w:szCs w:val="24"/>
          <w:highlight w:val="white"/>
          <w:rtl w:val="0"/>
        </w:rPr>
        <w:t xml:space="preserve">Ongwen</w:t>
      </w:r>
      <w:r w:rsidDel="00000000" w:rsidR="00000000" w:rsidRPr="00000000">
        <w:rPr>
          <w:rFonts w:ascii="Roboto" w:cs="Roboto" w:eastAsia="Roboto" w:hAnsi="Roboto"/>
          <w:b w:val="1"/>
          <w:color w:val="404040"/>
          <w:sz w:val="24"/>
          <w:szCs w:val="24"/>
          <w:highlight w:val="white"/>
          <w:rtl w:val="0"/>
        </w:rPr>
        <w:t xml:space="preserve"> judgment (2021) recognized forced marriage but omitted analysis of sexual violence against male victims in the Lord’s Resistance Army.</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6</w:t>
      </w:r>
      <w:r w:rsidDel="00000000" w:rsidR="00000000" w:rsidRPr="00000000">
        <w:rPr>
          <w:rFonts w:ascii="Roboto" w:cs="Roboto" w:eastAsia="Roboto" w:hAnsi="Roboto"/>
          <w:b w:val="1"/>
          <w:color w:val="404040"/>
          <w:sz w:val="21"/>
          <w:szCs w:val="21"/>
          <w:highlight w:val="white"/>
          <w:rtl w:val="0"/>
        </w:rPr>
        <w:t xml:space="preserve">&lt;/sup&gt;</w:t>
      </w:r>
    </w:p>
    <w:p w:rsidR="00000000" w:rsidDel="00000000" w:rsidP="00000000" w:rsidRDefault="00000000" w:rsidRPr="00000000" w14:paraId="0000000E">
      <w:pPr>
        <w:pStyle w:val="Heading4"/>
        <w:keepNext w:val="0"/>
        <w:keepLines w:val="0"/>
        <w:rPr>
          <w:rFonts w:ascii="Roboto" w:cs="Roboto" w:eastAsia="Roboto" w:hAnsi="Roboto"/>
          <w:color w:val="404040"/>
          <w:highlight w:val="white"/>
        </w:rPr>
      </w:pPr>
      <w:bookmarkStart w:colFirst="0" w:colLast="0" w:name="_heading=h.epqqj8wd62g6" w:id="5"/>
      <w:bookmarkEnd w:id="5"/>
      <w:r w:rsidDel="00000000" w:rsidR="00000000" w:rsidRPr="00000000">
        <w:rPr>
          <w:rFonts w:ascii="Roboto" w:cs="Roboto" w:eastAsia="Roboto" w:hAnsi="Roboto"/>
          <w:color w:val="404040"/>
          <w:highlight w:val="white"/>
          <w:rtl w:val="0"/>
        </w:rPr>
        <w:t xml:space="preserve">B. Customary Law and Enforcement Gaps</w:t>
      </w:r>
    </w:p>
    <w:p w:rsidR="00000000" w:rsidDel="00000000" w:rsidP="00000000" w:rsidRDefault="00000000" w:rsidRPr="00000000" w14:paraId="0000000F">
      <w:pPr>
        <w:spacing w:after="0" w:lineRule="auto"/>
        <w:rPr>
          <w:rFonts w:ascii="Roboto" w:cs="Roboto" w:eastAsia="Roboto" w:hAnsi="Roboto"/>
          <w:b w:val="1"/>
          <w:color w:val="404040"/>
          <w:sz w:val="21"/>
          <w:szCs w:val="21"/>
          <w:highlight w:val="white"/>
        </w:rPr>
      </w:pPr>
      <w:r w:rsidDel="00000000" w:rsidR="00000000" w:rsidRPr="00000000">
        <w:rPr>
          <w:rFonts w:ascii="Roboto" w:cs="Roboto" w:eastAsia="Roboto" w:hAnsi="Roboto"/>
          <w:b w:val="1"/>
          <w:color w:val="404040"/>
          <w:sz w:val="24"/>
          <w:szCs w:val="24"/>
          <w:highlight w:val="white"/>
          <w:rtl w:val="0"/>
        </w:rPr>
        <w:t xml:space="preserve">While the ICRC’s Customary Law Study affirms sexual violence as a war crime (Rule 93),</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7</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enforcement remains contingent on state consent. Ethiopia, not a Rome Statute party, exemplifies this: despite UN evidence implicating state forces in mass rape in Tigray, the ICC cannot investigate without a Security Council referral—a political impossibility given geopolitical rivalries.</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8</w:t>
      </w:r>
      <w:r w:rsidDel="00000000" w:rsidR="00000000" w:rsidRPr="00000000">
        <w:rPr>
          <w:rFonts w:ascii="Roboto" w:cs="Roboto" w:eastAsia="Roboto" w:hAnsi="Roboto"/>
          <w:b w:val="1"/>
          <w:color w:val="404040"/>
          <w:sz w:val="21"/>
          <w:szCs w:val="21"/>
          <w:highlight w:val="white"/>
          <w:rtl w:val="0"/>
        </w:rPr>
        <w:t xml:space="preserve">&lt;/sup&gt;</w:t>
      </w:r>
    </w:p>
    <w:p w:rsidR="00000000" w:rsidDel="00000000" w:rsidP="00000000" w:rsidRDefault="00000000" w:rsidRPr="00000000" w14:paraId="00000010">
      <w:pPr>
        <w:rPr>
          <w:rFonts w:ascii="Times New Roman" w:cs="Times New Roman" w:eastAsia="Times New Roman" w:hAnsi="Times New Roman"/>
          <w:b w:val="1"/>
          <w:color w:val="404040"/>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pStyle w:val="Heading3"/>
        <w:spacing w:after="80" w:before="280" w:line="360" w:lineRule="auto"/>
        <w:rPr>
          <w:rFonts w:ascii="Roboto" w:cs="Roboto" w:eastAsia="Roboto" w:hAnsi="Roboto"/>
          <w:color w:val="404040"/>
          <w:sz w:val="26"/>
          <w:szCs w:val="26"/>
          <w:highlight w:val="white"/>
        </w:rPr>
      </w:pPr>
      <w:bookmarkStart w:colFirst="0" w:colLast="0" w:name="_heading=h.ojbahy9fetnv" w:id="6"/>
      <w:bookmarkEnd w:id="6"/>
      <w:r w:rsidDel="00000000" w:rsidR="00000000" w:rsidRPr="00000000">
        <w:rPr>
          <w:rFonts w:ascii="Roboto" w:cs="Roboto" w:eastAsia="Roboto" w:hAnsi="Roboto"/>
          <w:color w:val="404040"/>
          <w:sz w:val="26"/>
          <w:szCs w:val="26"/>
          <w:highlight w:val="white"/>
          <w:rtl w:val="0"/>
        </w:rPr>
        <w:t xml:space="preserve">III. Case Law: Jurisprudential Milestones and Limitations</w:t>
      </w:r>
    </w:p>
    <w:p w:rsidR="00000000" w:rsidDel="00000000" w:rsidP="00000000" w:rsidRDefault="00000000" w:rsidRPr="00000000" w14:paraId="00000012">
      <w:pPr>
        <w:pStyle w:val="Heading4"/>
        <w:keepNext w:val="0"/>
        <w:keepLines w:val="0"/>
        <w:rPr>
          <w:rFonts w:ascii="Roboto" w:cs="Roboto" w:eastAsia="Roboto" w:hAnsi="Roboto"/>
          <w:color w:val="404040"/>
          <w:highlight w:val="white"/>
        </w:rPr>
      </w:pPr>
      <w:bookmarkStart w:colFirst="0" w:colLast="0" w:name="_heading=h.vxlp6okw44uc" w:id="7"/>
      <w:bookmarkEnd w:id="7"/>
      <w:r w:rsidDel="00000000" w:rsidR="00000000" w:rsidRPr="00000000">
        <w:rPr>
          <w:rFonts w:ascii="Roboto" w:cs="Roboto" w:eastAsia="Roboto" w:hAnsi="Roboto"/>
          <w:color w:val="404040"/>
          <w:highlight w:val="white"/>
          <w:rtl w:val="0"/>
        </w:rPr>
        <w:t xml:space="preserve">A. </w:t>
      </w:r>
      <w:r w:rsidDel="00000000" w:rsidR="00000000" w:rsidRPr="00000000">
        <w:rPr>
          <w:rFonts w:ascii="Roboto" w:cs="Roboto" w:eastAsia="Roboto" w:hAnsi="Roboto"/>
          <w:i w:val="1"/>
          <w:color w:val="404040"/>
          <w:highlight w:val="white"/>
          <w:rtl w:val="0"/>
        </w:rPr>
        <w:t xml:space="preserve">Prosecutor v. Akayesu</w:t>
      </w:r>
      <w:r w:rsidDel="00000000" w:rsidR="00000000" w:rsidRPr="00000000">
        <w:rPr>
          <w:rFonts w:ascii="Roboto" w:cs="Roboto" w:eastAsia="Roboto" w:hAnsi="Roboto"/>
          <w:color w:val="404040"/>
          <w:highlight w:val="white"/>
          <w:rtl w:val="0"/>
        </w:rPr>
        <w:t xml:space="preserve"> (ICTR, 1998): Rape as Genocide</w:t>
      </w:r>
    </w:p>
    <w:p w:rsidR="00000000" w:rsidDel="00000000" w:rsidP="00000000" w:rsidRDefault="00000000" w:rsidRPr="00000000" w14:paraId="00000013">
      <w:pPr>
        <w:spacing w:after="0" w:lineRule="auto"/>
        <w:rPr>
          <w:rFonts w:ascii="Roboto" w:cs="Roboto" w:eastAsia="Roboto" w:hAnsi="Roboto"/>
          <w:b w:val="1"/>
          <w:color w:val="404040"/>
          <w:sz w:val="24"/>
          <w:szCs w:val="24"/>
          <w:highlight w:val="white"/>
        </w:rPr>
      </w:pPr>
      <w:r w:rsidDel="00000000" w:rsidR="00000000" w:rsidRPr="00000000">
        <w:rPr>
          <w:rFonts w:ascii="Roboto" w:cs="Roboto" w:eastAsia="Roboto" w:hAnsi="Roboto"/>
          <w:b w:val="1"/>
          <w:color w:val="404040"/>
          <w:sz w:val="24"/>
          <w:szCs w:val="24"/>
          <w:highlight w:val="white"/>
          <w:rtl w:val="0"/>
        </w:rPr>
        <w:t xml:space="preserve">The </w:t>
      </w:r>
      <w:r w:rsidDel="00000000" w:rsidR="00000000" w:rsidRPr="00000000">
        <w:rPr>
          <w:rFonts w:ascii="Roboto" w:cs="Roboto" w:eastAsia="Roboto" w:hAnsi="Roboto"/>
          <w:b w:val="1"/>
          <w:i w:val="1"/>
          <w:color w:val="404040"/>
          <w:sz w:val="24"/>
          <w:szCs w:val="24"/>
          <w:highlight w:val="white"/>
          <w:rtl w:val="0"/>
        </w:rPr>
        <w:t xml:space="preserve">Akayesu</w:t>
      </w:r>
      <w:r w:rsidDel="00000000" w:rsidR="00000000" w:rsidRPr="00000000">
        <w:rPr>
          <w:rFonts w:ascii="Roboto" w:cs="Roboto" w:eastAsia="Roboto" w:hAnsi="Roboto"/>
          <w:b w:val="1"/>
          <w:color w:val="404040"/>
          <w:sz w:val="24"/>
          <w:szCs w:val="24"/>
          <w:highlight w:val="white"/>
          <w:rtl w:val="0"/>
        </w:rPr>
        <w:t xml:space="preserve"> case revolutionized ICL by recognizing rape as an act of genocide. The ICTR found that sexual violence against Tutsi women was integral to the intent to destroy the ethnic group, satisfying the </w:t>
      </w:r>
      <w:r w:rsidDel="00000000" w:rsidR="00000000" w:rsidRPr="00000000">
        <w:rPr>
          <w:rFonts w:ascii="Roboto" w:cs="Roboto" w:eastAsia="Roboto" w:hAnsi="Roboto"/>
          <w:b w:val="1"/>
          <w:i w:val="1"/>
          <w:color w:val="404040"/>
          <w:sz w:val="24"/>
          <w:szCs w:val="24"/>
          <w:highlight w:val="white"/>
          <w:rtl w:val="0"/>
        </w:rPr>
        <w:t xml:space="preserve">dolus specialis</w:t>
      </w:r>
      <w:r w:rsidDel="00000000" w:rsidR="00000000" w:rsidRPr="00000000">
        <w:rPr>
          <w:rFonts w:ascii="Roboto" w:cs="Roboto" w:eastAsia="Roboto" w:hAnsi="Roboto"/>
          <w:b w:val="1"/>
          <w:color w:val="404040"/>
          <w:sz w:val="24"/>
          <w:szCs w:val="24"/>
          <w:highlight w:val="white"/>
          <w:rtl w:val="0"/>
        </w:rPr>
        <w:t xml:space="preserve"> requirement under the Genocide Convention.</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9</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However, feminist scholar Sara Meger critiques the judgment’s narrow focus on ethnic identity, which obscures the gendered dimensions of violence.</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10</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For instance, the Court ignored the systemic targeting of women as reproductive vessels of the community, reducing their trauma to a secondary element of ethnic destruction.</w:t>
      </w:r>
    </w:p>
    <w:p w:rsidR="00000000" w:rsidDel="00000000" w:rsidP="00000000" w:rsidRDefault="00000000" w:rsidRPr="00000000" w14:paraId="00000014">
      <w:pPr>
        <w:pStyle w:val="Heading4"/>
        <w:keepNext w:val="0"/>
        <w:keepLines w:val="0"/>
        <w:rPr>
          <w:rFonts w:ascii="Roboto" w:cs="Roboto" w:eastAsia="Roboto" w:hAnsi="Roboto"/>
          <w:color w:val="404040"/>
          <w:highlight w:val="white"/>
        </w:rPr>
      </w:pPr>
      <w:bookmarkStart w:colFirst="0" w:colLast="0" w:name="_heading=h.xdd9hxct0fiu" w:id="8"/>
      <w:bookmarkEnd w:id="8"/>
      <w:r w:rsidDel="00000000" w:rsidR="00000000" w:rsidRPr="00000000">
        <w:rPr>
          <w:rFonts w:ascii="Roboto" w:cs="Roboto" w:eastAsia="Roboto" w:hAnsi="Roboto"/>
          <w:color w:val="404040"/>
          <w:highlight w:val="white"/>
          <w:rtl w:val="0"/>
        </w:rPr>
        <w:t xml:space="preserve">B. </w:t>
      </w:r>
      <w:r w:rsidDel="00000000" w:rsidR="00000000" w:rsidRPr="00000000">
        <w:rPr>
          <w:rFonts w:ascii="Roboto" w:cs="Roboto" w:eastAsia="Roboto" w:hAnsi="Roboto"/>
          <w:i w:val="1"/>
          <w:color w:val="404040"/>
          <w:highlight w:val="white"/>
          <w:rtl w:val="0"/>
        </w:rPr>
        <w:t xml:space="preserve">Prosecutor v. Kunarac et al.</w:t>
      </w:r>
      <w:r w:rsidDel="00000000" w:rsidR="00000000" w:rsidRPr="00000000">
        <w:rPr>
          <w:rFonts w:ascii="Roboto" w:cs="Roboto" w:eastAsia="Roboto" w:hAnsi="Roboto"/>
          <w:color w:val="404040"/>
          <w:highlight w:val="white"/>
          <w:rtl w:val="0"/>
        </w:rPr>
        <w:t xml:space="preserve"> (ICTY, 2001): Sexual Slavery as a Crime Against Humanity</w:t>
      </w:r>
    </w:p>
    <w:p w:rsidR="00000000" w:rsidDel="00000000" w:rsidP="00000000" w:rsidRDefault="00000000" w:rsidRPr="00000000" w14:paraId="00000015">
      <w:pPr>
        <w:spacing w:after="0" w:lineRule="auto"/>
        <w:rPr>
          <w:rFonts w:ascii="Roboto" w:cs="Roboto" w:eastAsia="Roboto" w:hAnsi="Roboto"/>
          <w:b w:val="1"/>
          <w:color w:val="404040"/>
          <w:sz w:val="21"/>
          <w:szCs w:val="21"/>
          <w:highlight w:val="white"/>
        </w:rPr>
      </w:pPr>
      <w:r w:rsidDel="00000000" w:rsidR="00000000" w:rsidRPr="00000000">
        <w:rPr>
          <w:rFonts w:ascii="Roboto" w:cs="Roboto" w:eastAsia="Roboto" w:hAnsi="Roboto"/>
          <w:b w:val="1"/>
          <w:color w:val="404040"/>
          <w:sz w:val="24"/>
          <w:szCs w:val="24"/>
          <w:highlight w:val="white"/>
          <w:rtl w:val="0"/>
        </w:rPr>
        <w:t xml:space="preserve">In </w:t>
      </w:r>
      <w:r w:rsidDel="00000000" w:rsidR="00000000" w:rsidRPr="00000000">
        <w:rPr>
          <w:rFonts w:ascii="Roboto" w:cs="Roboto" w:eastAsia="Roboto" w:hAnsi="Roboto"/>
          <w:b w:val="1"/>
          <w:i w:val="1"/>
          <w:color w:val="404040"/>
          <w:sz w:val="24"/>
          <w:szCs w:val="24"/>
          <w:highlight w:val="white"/>
          <w:rtl w:val="0"/>
        </w:rPr>
        <w:t xml:space="preserve">Kunarac</w:t>
      </w:r>
      <w:r w:rsidDel="00000000" w:rsidR="00000000" w:rsidRPr="00000000">
        <w:rPr>
          <w:rFonts w:ascii="Roboto" w:cs="Roboto" w:eastAsia="Roboto" w:hAnsi="Roboto"/>
          <w:b w:val="1"/>
          <w:color w:val="404040"/>
          <w:sz w:val="24"/>
          <w:szCs w:val="24"/>
          <w:highlight w:val="white"/>
          <w:rtl w:val="0"/>
        </w:rPr>
        <w:t xml:space="preserve">, the ICTY convicted Bosnian Serb commanders of sexual slavery, defining it as a “crime against humanity” due to its systematic use during the Bosnian War.</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11</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The Court emphasized that sexual violence need not be ordered by superiors to constitute a widespread practice—a precedent later codified in the ICC’s </w:t>
      </w:r>
      <w:r w:rsidDel="00000000" w:rsidR="00000000" w:rsidRPr="00000000">
        <w:rPr>
          <w:rFonts w:ascii="Roboto" w:cs="Roboto" w:eastAsia="Roboto" w:hAnsi="Roboto"/>
          <w:b w:val="1"/>
          <w:i w:val="1"/>
          <w:color w:val="404040"/>
          <w:sz w:val="24"/>
          <w:szCs w:val="24"/>
          <w:highlight w:val="white"/>
          <w:rtl w:val="0"/>
        </w:rPr>
        <w:t xml:space="preserve">Elements of Crimes</w:t>
      </w:r>
      <w:r w:rsidDel="00000000" w:rsidR="00000000" w:rsidRPr="00000000">
        <w:rPr>
          <w:rFonts w:ascii="Roboto" w:cs="Roboto" w:eastAsia="Roboto" w:hAnsi="Roboto"/>
          <w:b w:val="1"/>
          <w:color w:val="404040"/>
          <w:sz w:val="24"/>
          <w:szCs w:val="24"/>
          <w:highlight w:val="white"/>
          <w:rtl w:val="0"/>
        </w:rPr>
        <w:t xml:space="preserve">.</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12</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However, the judgment’s reliance on physical evidence (e.g., detention camp records) sidelined survivor testimony, reflecting what Karen Engle terms the “hierarchy of credibility” in ICL.</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13</w:t>
      </w:r>
      <w:r w:rsidDel="00000000" w:rsidR="00000000" w:rsidRPr="00000000">
        <w:rPr>
          <w:rFonts w:ascii="Roboto" w:cs="Roboto" w:eastAsia="Roboto" w:hAnsi="Roboto"/>
          <w:b w:val="1"/>
          <w:color w:val="404040"/>
          <w:sz w:val="21"/>
          <w:szCs w:val="21"/>
          <w:highlight w:val="white"/>
          <w:rtl w:val="0"/>
        </w:rPr>
        <w:t xml:space="preserve">&lt;/sup&gt;</w:t>
      </w:r>
    </w:p>
    <w:p w:rsidR="00000000" w:rsidDel="00000000" w:rsidP="00000000" w:rsidRDefault="00000000" w:rsidRPr="00000000" w14:paraId="00000016">
      <w:pPr>
        <w:pStyle w:val="Heading4"/>
        <w:keepNext w:val="0"/>
        <w:keepLines w:val="0"/>
        <w:rPr>
          <w:rFonts w:ascii="Roboto" w:cs="Roboto" w:eastAsia="Roboto" w:hAnsi="Roboto"/>
          <w:color w:val="404040"/>
          <w:highlight w:val="white"/>
        </w:rPr>
      </w:pPr>
      <w:bookmarkStart w:colFirst="0" w:colLast="0" w:name="_heading=h.ar6v5g62gl1x" w:id="9"/>
      <w:bookmarkEnd w:id="9"/>
      <w:r w:rsidDel="00000000" w:rsidR="00000000" w:rsidRPr="00000000">
        <w:rPr>
          <w:rFonts w:ascii="Roboto" w:cs="Roboto" w:eastAsia="Roboto" w:hAnsi="Roboto"/>
          <w:color w:val="404040"/>
          <w:highlight w:val="white"/>
          <w:rtl w:val="0"/>
        </w:rPr>
        <w:t xml:space="preserve">C. </w:t>
      </w:r>
      <w:r w:rsidDel="00000000" w:rsidR="00000000" w:rsidRPr="00000000">
        <w:rPr>
          <w:rFonts w:ascii="Roboto" w:cs="Roboto" w:eastAsia="Roboto" w:hAnsi="Roboto"/>
          <w:i w:val="1"/>
          <w:color w:val="404040"/>
          <w:highlight w:val="white"/>
          <w:rtl w:val="0"/>
        </w:rPr>
        <w:t xml:space="preserve">Prosecutor v. Ongwen</w:t>
      </w:r>
      <w:r w:rsidDel="00000000" w:rsidR="00000000" w:rsidRPr="00000000">
        <w:rPr>
          <w:rFonts w:ascii="Roboto" w:cs="Roboto" w:eastAsia="Roboto" w:hAnsi="Roboto"/>
          <w:color w:val="404040"/>
          <w:highlight w:val="white"/>
          <w:rtl w:val="0"/>
        </w:rPr>
        <w:t xml:space="preserve"> (ICC, 2021): Forced Marriage and Institutional Blind Spots</w:t>
      </w:r>
    </w:p>
    <w:p w:rsidR="00000000" w:rsidDel="00000000" w:rsidP="00000000" w:rsidRDefault="00000000" w:rsidRPr="00000000" w14:paraId="00000017">
      <w:pPr>
        <w:spacing w:after="0" w:lineRule="auto"/>
        <w:rPr>
          <w:rFonts w:ascii="Roboto" w:cs="Roboto" w:eastAsia="Roboto" w:hAnsi="Roboto"/>
          <w:b w:val="1"/>
          <w:color w:val="404040"/>
          <w:sz w:val="21"/>
          <w:szCs w:val="21"/>
          <w:highlight w:val="white"/>
        </w:rPr>
      </w:pPr>
      <w:r w:rsidDel="00000000" w:rsidR="00000000" w:rsidRPr="00000000">
        <w:rPr>
          <w:rFonts w:ascii="Roboto" w:cs="Roboto" w:eastAsia="Roboto" w:hAnsi="Roboto"/>
          <w:b w:val="1"/>
          <w:color w:val="404040"/>
          <w:sz w:val="24"/>
          <w:szCs w:val="24"/>
          <w:highlight w:val="white"/>
          <w:rtl w:val="0"/>
        </w:rPr>
        <w:t xml:space="preserve">The ICC’s conviction of Dominic Ongwen for forced marriage and pregnancy as crimes against humanity was hailed as a victory.</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14</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Yet, the Trial Chamber’s refusal to recognize forced marriage as a distinct crime (subsuming it under sexual slavery) reveals the limits of legal categorization. Feminist critics argue this conflation erases the unique harms of forced marriage, which includes long-term social stigmatization.</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15</w:t>
      </w:r>
      <w:r w:rsidDel="00000000" w:rsidR="00000000" w:rsidRPr="00000000">
        <w:rPr>
          <w:rFonts w:ascii="Roboto" w:cs="Roboto" w:eastAsia="Roboto" w:hAnsi="Roboto"/>
          <w:b w:val="1"/>
          <w:color w:val="404040"/>
          <w:sz w:val="21"/>
          <w:szCs w:val="21"/>
          <w:highlight w:val="white"/>
          <w:rtl w:val="0"/>
        </w:rPr>
        <w:t xml:space="preserve">&lt;/sup&gt;</w:t>
      </w:r>
    </w:p>
    <w:p w:rsidR="00000000" w:rsidDel="00000000" w:rsidP="00000000" w:rsidRDefault="00000000" w:rsidRPr="00000000" w14:paraId="00000018">
      <w:pPr>
        <w:rPr>
          <w:rFonts w:ascii="Times New Roman" w:cs="Times New Roman" w:eastAsia="Times New Roman" w:hAnsi="Times New Roman"/>
          <w:b w:val="1"/>
          <w:color w:val="404040"/>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9">
      <w:pPr>
        <w:pStyle w:val="Heading3"/>
        <w:spacing w:after="80" w:before="280" w:line="360" w:lineRule="auto"/>
        <w:rPr>
          <w:rFonts w:ascii="Roboto" w:cs="Roboto" w:eastAsia="Roboto" w:hAnsi="Roboto"/>
          <w:color w:val="404040"/>
          <w:sz w:val="26"/>
          <w:szCs w:val="26"/>
          <w:highlight w:val="white"/>
        </w:rPr>
      </w:pPr>
      <w:bookmarkStart w:colFirst="0" w:colLast="0" w:name="_heading=h.8voq9fmjwh2d" w:id="10"/>
      <w:bookmarkEnd w:id="10"/>
      <w:r w:rsidDel="00000000" w:rsidR="00000000" w:rsidRPr="00000000">
        <w:rPr>
          <w:rFonts w:ascii="Roboto" w:cs="Roboto" w:eastAsia="Roboto" w:hAnsi="Roboto"/>
          <w:color w:val="404040"/>
          <w:sz w:val="26"/>
          <w:szCs w:val="26"/>
          <w:highlight w:val="white"/>
          <w:rtl w:val="0"/>
        </w:rPr>
        <w:t xml:space="preserve">IV. Jurisdictional Challenges: The Case of Ethiopia (2023)</w:t>
      </w:r>
    </w:p>
    <w:p w:rsidR="00000000" w:rsidDel="00000000" w:rsidP="00000000" w:rsidRDefault="00000000" w:rsidRPr="00000000" w14:paraId="0000001A">
      <w:pPr>
        <w:spacing w:after="0" w:lineRule="auto"/>
        <w:rPr>
          <w:rFonts w:ascii="Roboto" w:cs="Roboto" w:eastAsia="Roboto" w:hAnsi="Roboto"/>
          <w:b w:val="1"/>
          <w:color w:val="404040"/>
          <w:sz w:val="21"/>
          <w:szCs w:val="21"/>
          <w:highlight w:val="white"/>
        </w:rPr>
      </w:pPr>
      <w:r w:rsidDel="00000000" w:rsidR="00000000" w:rsidRPr="00000000">
        <w:rPr>
          <w:rFonts w:ascii="Roboto" w:cs="Roboto" w:eastAsia="Roboto" w:hAnsi="Roboto"/>
          <w:b w:val="1"/>
          <w:color w:val="404040"/>
          <w:sz w:val="24"/>
          <w:szCs w:val="24"/>
          <w:highlight w:val="white"/>
          <w:rtl w:val="0"/>
        </w:rPr>
        <w:t xml:space="preserve">The 2023 UN report on Ethiopia documents systematic sexual violence by state forces and allied militias in Tigray, including mass rape, mutilation, and forced pregnancies.</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16</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However, Ethiopia’s non-ratification of the Rome Statute bars ICC jurisdiction, and the Security Council remains gridlocked by Russian and Chinese opposition to intervention.</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17</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Domestic prosecutions have targeted low-ranking soldiers while shielding commanders, exemplifying what feminist jurist Fionnuala Ní Aoláin calls “performative accountability.”</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18</w:t>
      </w:r>
      <w:r w:rsidDel="00000000" w:rsidR="00000000" w:rsidRPr="00000000">
        <w:rPr>
          <w:rFonts w:ascii="Roboto" w:cs="Roboto" w:eastAsia="Roboto" w:hAnsi="Roboto"/>
          <w:b w:val="1"/>
          <w:color w:val="404040"/>
          <w:sz w:val="21"/>
          <w:szCs w:val="21"/>
          <w:highlight w:val="white"/>
          <w:rtl w:val="0"/>
        </w:rPr>
        <w:t xml:space="preserve">&lt;/sup&gt;</w:t>
      </w:r>
    </w:p>
    <w:p w:rsidR="00000000" w:rsidDel="00000000" w:rsidP="00000000" w:rsidRDefault="00000000" w:rsidRPr="00000000" w14:paraId="0000001B">
      <w:pPr>
        <w:rPr>
          <w:rFonts w:ascii="Times New Roman" w:cs="Times New Roman" w:eastAsia="Times New Roman" w:hAnsi="Times New Roman"/>
          <w:b w:val="1"/>
          <w:color w:val="404040"/>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pStyle w:val="Heading3"/>
        <w:spacing w:after="80" w:before="280" w:line="360" w:lineRule="auto"/>
        <w:rPr>
          <w:rFonts w:ascii="Roboto" w:cs="Roboto" w:eastAsia="Roboto" w:hAnsi="Roboto"/>
          <w:color w:val="404040"/>
          <w:sz w:val="26"/>
          <w:szCs w:val="26"/>
          <w:highlight w:val="white"/>
        </w:rPr>
      </w:pPr>
      <w:bookmarkStart w:colFirst="0" w:colLast="0" w:name="_heading=h.l4c9tba9z0f1" w:id="11"/>
      <w:bookmarkEnd w:id="11"/>
      <w:r w:rsidDel="00000000" w:rsidR="00000000" w:rsidRPr="00000000">
        <w:rPr>
          <w:rFonts w:ascii="Roboto" w:cs="Roboto" w:eastAsia="Roboto" w:hAnsi="Roboto"/>
          <w:color w:val="404040"/>
          <w:sz w:val="26"/>
          <w:szCs w:val="26"/>
          <w:highlight w:val="white"/>
          <w:rtl w:val="0"/>
        </w:rPr>
        <w:t xml:space="preserve">V. Feminist Critiques: Beyond Legal Formalism</w:t>
      </w:r>
    </w:p>
    <w:p w:rsidR="00000000" w:rsidDel="00000000" w:rsidP="00000000" w:rsidRDefault="00000000" w:rsidRPr="00000000" w14:paraId="0000001D">
      <w:pPr>
        <w:pStyle w:val="Heading4"/>
        <w:keepNext w:val="0"/>
        <w:keepLines w:val="0"/>
        <w:rPr>
          <w:rFonts w:ascii="Roboto" w:cs="Roboto" w:eastAsia="Roboto" w:hAnsi="Roboto"/>
          <w:color w:val="404040"/>
          <w:highlight w:val="white"/>
        </w:rPr>
      </w:pPr>
      <w:bookmarkStart w:colFirst="0" w:colLast="0" w:name="_heading=h.pa1pjrp0azo7" w:id="12"/>
      <w:bookmarkEnd w:id="12"/>
      <w:r w:rsidDel="00000000" w:rsidR="00000000" w:rsidRPr="00000000">
        <w:rPr>
          <w:rFonts w:ascii="Roboto" w:cs="Roboto" w:eastAsia="Roboto" w:hAnsi="Roboto"/>
          <w:color w:val="404040"/>
          <w:highlight w:val="white"/>
          <w:rtl w:val="0"/>
        </w:rPr>
        <w:t xml:space="preserve">A. Evidentiary Biases and Trauma</w:t>
      </w:r>
    </w:p>
    <w:p w:rsidR="00000000" w:rsidDel="00000000" w:rsidP="00000000" w:rsidRDefault="00000000" w:rsidRPr="00000000" w14:paraId="0000001E">
      <w:pPr>
        <w:spacing w:after="0" w:lineRule="auto"/>
        <w:rPr>
          <w:rFonts w:ascii="Roboto" w:cs="Roboto" w:eastAsia="Roboto" w:hAnsi="Roboto"/>
          <w:b w:val="1"/>
          <w:color w:val="404040"/>
          <w:sz w:val="21"/>
          <w:szCs w:val="21"/>
          <w:highlight w:val="white"/>
        </w:rPr>
      </w:pPr>
      <w:r w:rsidDel="00000000" w:rsidR="00000000" w:rsidRPr="00000000">
        <w:rPr>
          <w:rFonts w:ascii="Roboto" w:cs="Roboto" w:eastAsia="Roboto" w:hAnsi="Roboto"/>
          <w:b w:val="1"/>
          <w:color w:val="404040"/>
          <w:sz w:val="24"/>
          <w:szCs w:val="24"/>
          <w:highlight w:val="white"/>
          <w:rtl w:val="0"/>
        </w:rPr>
        <w:t xml:space="preserve">ICL’s demand for “corroboration” disproportionately harms sexual violence survivors. In </w:t>
      </w:r>
      <w:r w:rsidDel="00000000" w:rsidR="00000000" w:rsidRPr="00000000">
        <w:rPr>
          <w:rFonts w:ascii="Roboto" w:cs="Roboto" w:eastAsia="Roboto" w:hAnsi="Roboto"/>
          <w:b w:val="1"/>
          <w:i w:val="1"/>
          <w:color w:val="404040"/>
          <w:sz w:val="24"/>
          <w:szCs w:val="24"/>
          <w:highlight w:val="white"/>
          <w:rtl w:val="0"/>
        </w:rPr>
        <w:t xml:space="preserve">Prosecutor v. Katanga</w:t>
      </w:r>
      <w:r w:rsidDel="00000000" w:rsidR="00000000" w:rsidRPr="00000000">
        <w:rPr>
          <w:rFonts w:ascii="Roboto" w:cs="Roboto" w:eastAsia="Roboto" w:hAnsi="Roboto"/>
          <w:b w:val="1"/>
          <w:color w:val="404040"/>
          <w:sz w:val="24"/>
          <w:szCs w:val="24"/>
          <w:highlight w:val="white"/>
          <w:rtl w:val="0"/>
        </w:rPr>
        <w:t xml:space="preserve"> (2014), the ICC acquitted a Congolese warlord due to “inconsistencies” in witness accounts, disregarding trauma’s impact on memory.</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19</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Feminist scholars like Judith Gardam argue that such standards reflect a “masculinist epistemology” privileging forensic evidence over lived experience.</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20</w:t>
      </w:r>
      <w:r w:rsidDel="00000000" w:rsidR="00000000" w:rsidRPr="00000000">
        <w:rPr>
          <w:rFonts w:ascii="Roboto" w:cs="Roboto" w:eastAsia="Roboto" w:hAnsi="Roboto"/>
          <w:b w:val="1"/>
          <w:color w:val="404040"/>
          <w:sz w:val="21"/>
          <w:szCs w:val="21"/>
          <w:highlight w:val="white"/>
          <w:rtl w:val="0"/>
        </w:rPr>
        <w:t xml:space="preserve">&lt;/sup&gt;</w:t>
      </w:r>
    </w:p>
    <w:p w:rsidR="00000000" w:rsidDel="00000000" w:rsidP="00000000" w:rsidRDefault="00000000" w:rsidRPr="00000000" w14:paraId="0000001F">
      <w:pPr>
        <w:pStyle w:val="Heading4"/>
        <w:keepNext w:val="0"/>
        <w:keepLines w:val="0"/>
        <w:rPr>
          <w:rFonts w:ascii="Roboto" w:cs="Roboto" w:eastAsia="Roboto" w:hAnsi="Roboto"/>
          <w:color w:val="404040"/>
          <w:highlight w:val="white"/>
        </w:rPr>
      </w:pPr>
      <w:bookmarkStart w:colFirst="0" w:colLast="0" w:name="_heading=h.cbf05rtggyad" w:id="13"/>
      <w:bookmarkEnd w:id="13"/>
      <w:r w:rsidDel="00000000" w:rsidR="00000000" w:rsidRPr="00000000">
        <w:rPr>
          <w:rFonts w:ascii="Roboto" w:cs="Roboto" w:eastAsia="Roboto" w:hAnsi="Roboto"/>
          <w:color w:val="404040"/>
          <w:highlight w:val="white"/>
          <w:rtl w:val="0"/>
        </w:rPr>
        <w:t xml:space="preserve">B. Reparations as Colonial Continuity</w:t>
      </w:r>
    </w:p>
    <w:p w:rsidR="00000000" w:rsidDel="00000000" w:rsidP="00000000" w:rsidRDefault="00000000" w:rsidRPr="00000000" w14:paraId="00000020">
      <w:pPr>
        <w:spacing w:after="0" w:lineRule="auto"/>
        <w:rPr>
          <w:rFonts w:ascii="Roboto" w:cs="Roboto" w:eastAsia="Roboto" w:hAnsi="Roboto"/>
          <w:b w:val="1"/>
          <w:color w:val="404040"/>
          <w:sz w:val="21"/>
          <w:szCs w:val="21"/>
          <w:highlight w:val="white"/>
        </w:rPr>
      </w:pPr>
      <w:r w:rsidDel="00000000" w:rsidR="00000000" w:rsidRPr="00000000">
        <w:rPr>
          <w:rFonts w:ascii="Roboto" w:cs="Roboto" w:eastAsia="Roboto" w:hAnsi="Roboto"/>
          <w:b w:val="1"/>
          <w:color w:val="404040"/>
          <w:sz w:val="24"/>
          <w:szCs w:val="24"/>
          <w:highlight w:val="white"/>
          <w:rtl w:val="0"/>
        </w:rPr>
        <w:t xml:space="preserve">The ICC’s reparations framework, as applied in </w:t>
      </w:r>
      <w:r w:rsidDel="00000000" w:rsidR="00000000" w:rsidRPr="00000000">
        <w:rPr>
          <w:rFonts w:ascii="Roboto" w:cs="Roboto" w:eastAsia="Roboto" w:hAnsi="Roboto"/>
          <w:b w:val="1"/>
          <w:i w:val="1"/>
          <w:color w:val="404040"/>
          <w:sz w:val="24"/>
          <w:szCs w:val="24"/>
          <w:highlight w:val="white"/>
          <w:rtl w:val="0"/>
        </w:rPr>
        <w:t xml:space="preserve">Lubanga</w:t>
      </w:r>
      <w:r w:rsidDel="00000000" w:rsidR="00000000" w:rsidRPr="00000000">
        <w:rPr>
          <w:rFonts w:ascii="Roboto" w:cs="Roboto" w:eastAsia="Roboto" w:hAnsi="Roboto"/>
          <w:b w:val="1"/>
          <w:color w:val="404040"/>
          <w:sz w:val="24"/>
          <w:szCs w:val="24"/>
          <w:highlight w:val="white"/>
          <w:rtl w:val="0"/>
        </w:rPr>
        <w:t xml:space="preserve">, prioritizes monetary compensation over structural change.</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21</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In contrast, Colombia’s Special Jurisdiction for Peace mandates collective reparations (e.g., land restitution, public memorials), a model lauded for centering survivor voices.</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22</w:t>
      </w:r>
      <w:r w:rsidDel="00000000" w:rsidR="00000000" w:rsidRPr="00000000">
        <w:rPr>
          <w:rFonts w:ascii="Roboto" w:cs="Roboto" w:eastAsia="Roboto" w:hAnsi="Roboto"/>
          <w:b w:val="1"/>
          <w:color w:val="404040"/>
          <w:sz w:val="21"/>
          <w:szCs w:val="21"/>
          <w:highlight w:val="white"/>
          <w:rtl w:val="0"/>
        </w:rPr>
        <w:t xml:space="preserve">&lt;/sup&gt;</w:t>
      </w:r>
    </w:p>
    <w:p w:rsidR="00000000" w:rsidDel="00000000" w:rsidP="00000000" w:rsidRDefault="00000000" w:rsidRPr="00000000" w14:paraId="00000021">
      <w:pPr>
        <w:rPr>
          <w:rFonts w:ascii="Times New Roman" w:cs="Times New Roman" w:eastAsia="Times New Roman" w:hAnsi="Times New Roman"/>
          <w:b w:val="1"/>
          <w:color w:val="404040"/>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pStyle w:val="Heading3"/>
        <w:spacing w:after="80" w:before="280" w:line="360" w:lineRule="auto"/>
        <w:rPr>
          <w:rFonts w:ascii="Roboto" w:cs="Roboto" w:eastAsia="Roboto" w:hAnsi="Roboto"/>
          <w:color w:val="404040"/>
          <w:sz w:val="26"/>
          <w:szCs w:val="26"/>
          <w:highlight w:val="white"/>
        </w:rPr>
      </w:pPr>
      <w:bookmarkStart w:colFirst="0" w:colLast="0" w:name="_heading=h.v8cxbs3rnybp" w:id="14"/>
      <w:bookmarkEnd w:id="14"/>
      <w:r w:rsidDel="00000000" w:rsidR="00000000" w:rsidRPr="00000000">
        <w:rPr>
          <w:rFonts w:ascii="Roboto" w:cs="Roboto" w:eastAsia="Roboto" w:hAnsi="Roboto"/>
          <w:color w:val="404040"/>
          <w:sz w:val="26"/>
          <w:szCs w:val="26"/>
          <w:highlight w:val="white"/>
          <w:rtl w:val="0"/>
        </w:rPr>
        <w:t xml:space="preserve">VI. Conclusion: Toward a Survivor-Centered Future</w:t>
      </w:r>
    </w:p>
    <w:p w:rsidR="00000000" w:rsidDel="00000000" w:rsidP="00000000" w:rsidRDefault="00000000" w:rsidRPr="00000000" w14:paraId="00000023">
      <w:pPr>
        <w:spacing w:after="0" w:lineRule="auto"/>
        <w:rPr>
          <w:rFonts w:ascii="Roboto" w:cs="Roboto" w:eastAsia="Roboto" w:hAnsi="Roboto"/>
          <w:b w:val="1"/>
          <w:color w:val="404040"/>
          <w:sz w:val="24"/>
          <w:szCs w:val="24"/>
          <w:highlight w:val="white"/>
        </w:rPr>
      </w:pPr>
      <w:r w:rsidDel="00000000" w:rsidR="00000000" w:rsidRPr="00000000">
        <w:rPr>
          <w:rFonts w:ascii="Roboto" w:cs="Roboto" w:eastAsia="Roboto" w:hAnsi="Roboto"/>
          <w:b w:val="1"/>
          <w:color w:val="404040"/>
          <w:sz w:val="24"/>
          <w:szCs w:val="24"/>
          <w:highlight w:val="white"/>
          <w:rtl w:val="0"/>
        </w:rPr>
        <w:t xml:space="preserve">The ICC’s failure to convict Jean-Pierre Bemba for sexual violence in the Central African Republic (2018 acquittal) and Ethiopia’s impunity crisis underscore the urgency of reform.</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23</w:t>
      </w:r>
      <w:r w:rsidDel="00000000" w:rsidR="00000000" w:rsidRPr="00000000">
        <w:rPr>
          <w:rFonts w:ascii="Roboto" w:cs="Roboto" w:eastAsia="Roboto" w:hAnsi="Roboto"/>
          <w:b w:val="1"/>
          <w:color w:val="404040"/>
          <w:sz w:val="21"/>
          <w:szCs w:val="21"/>
          <w:highlight w:val="white"/>
          <w:rtl w:val="0"/>
        </w:rPr>
        <w:t xml:space="preserve">&lt;/sup&gt;</w:t>
      </w:r>
      <w:r w:rsidDel="00000000" w:rsidR="00000000" w:rsidRPr="00000000">
        <w:rPr>
          <w:rFonts w:ascii="Roboto" w:cs="Roboto" w:eastAsia="Roboto" w:hAnsi="Roboto"/>
          <w:b w:val="1"/>
          <w:color w:val="404040"/>
          <w:sz w:val="24"/>
          <w:szCs w:val="24"/>
          <w:highlight w:val="white"/>
          <w:rtl w:val="0"/>
        </w:rPr>
        <w:t xml:space="preserve"> A feminist reimagining of ICL requires abolishing corroboration rules, expanding jurisdiction via universal civil society petitions, and institutionalizing survivor-led reparations. Without such measures, international criminal law risks remaining complicit in the violence it purports to condemn.</w:t>
      </w:r>
    </w:p>
    <w:p w:rsidR="00000000" w:rsidDel="00000000" w:rsidP="00000000" w:rsidRDefault="00000000" w:rsidRPr="00000000" w14:paraId="00000024">
      <w:pPr>
        <w:rPr>
          <w:rFonts w:ascii="Times New Roman" w:cs="Times New Roman" w:eastAsia="Times New Roman" w:hAnsi="Times New Roman"/>
          <w:b w:val="1"/>
          <w:color w:val="404040"/>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5">
      <w:pPr>
        <w:pStyle w:val="Heading3"/>
        <w:spacing w:after="80" w:before="280" w:line="360" w:lineRule="auto"/>
        <w:rPr>
          <w:rFonts w:ascii="Roboto" w:cs="Roboto" w:eastAsia="Roboto" w:hAnsi="Roboto"/>
          <w:color w:val="404040"/>
          <w:sz w:val="26"/>
          <w:szCs w:val="26"/>
          <w:highlight w:val="white"/>
        </w:rPr>
      </w:pPr>
      <w:bookmarkStart w:colFirst="0" w:colLast="0" w:name="_heading=h.cswsbht3au7u" w:id="15"/>
      <w:bookmarkEnd w:id="15"/>
      <w:r w:rsidDel="00000000" w:rsidR="00000000" w:rsidRPr="00000000">
        <w:rPr>
          <w:rtl w:val="0"/>
        </w:rPr>
      </w:r>
    </w:p>
    <w:p w:rsidR="00000000" w:rsidDel="00000000" w:rsidP="00000000" w:rsidRDefault="00000000" w:rsidRPr="00000000" w14:paraId="00000026">
      <w:pPr>
        <w:pStyle w:val="Heading3"/>
        <w:spacing w:after="80" w:before="280" w:line="360" w:lineRule="auto"/>
        <w:rPr>
          <w:rFonts w:ascii="Roboto" w:cs="Roboto" w:eastAsia="Roboto" w:hAnsi="Roboto"/>
          <w:color w:val="404040"/>
          <w:sz w:val="26"/>
          <w:szCs w:val="26"/>
          <w:highlight w:val="white"/>
        </w:rPr>
      </w:pPr>
      <w:bookmarkStart w:colFirst="0" w:colLast="0" w:name="_heading=h.vijauzek0bdy" w:id="16"/>
      <w:bookmarkEnd w:id="16"/>
      <w:r w:rsidDel="00000000" w:rsidR="00000000" w:rsidRPr="00000000">
        <w:rPr>
          <w:rtl w:val="0"/>
        </w:rPr>
      </w:r>
    </w:p>
    <w:p w:rsidR="00000000" w:rsidDel="00000000" w:rsidP="00000000" w:rsidRDefault="00000000" w:rsidRPr="00000000" w14:paraId="00000027">
      <w:pPr>
        <w:pStyle w:val="Heading3"/>
        <w:spacing w:after="80" w:before="280" w:line="360" w:lineRule="auto"/>
        <w:rPr>
          <w:rFonts w:ascii="Roboto" w:cs="Roboto" w:eastAsia="Roboto" w:hAnsi="Roboto"/>
          <w:color w:val="404040"/>
          <w:sz w:val="26"/>
          <w:szCs w:val="26"/>
          <w:highlight w:val="white"/>
        </w:rPr>
      </w:pPr>
      <w:bookmarkStart w:colFirst="0" w:colLast="0" w:name="_heading=h.mp7gy4h9s38u" w:id="17"/>
      <w:bookmarkEnd w:id="17"/>
      <w:r w:rsidDel="00000000" w:rsidR="00000000" w:rsidRPr="00000000">
        <w:rPr>
          <w:rFonts w:ascii="Roboto" w:cs="Roboto" w:eastAsia="Roboto" w:hAnsi="Roboto"/>
          <w:color w:val="404040"/>
          <w:sz w:val="26"/>
          <w:szCs w:val="26"/>
          <w:highlight w:val="white"/>
          <w:rtl w:val="0"/>
        </w:rPr>
        <w:t xml:space="preserve">Footnotes (OSCOLA 4th edn)</w:t>
      </w:r>
    </w:p>
    <w:p w:rsidR="00000000" w:rsidDel="00000000" w:rsidP="00000000" w:rsidRDefault="00000000" w:rsidRPr="00000000" w14:paraId="00000028">
      <w:pPr>
        <w:numPr>
          <w:ilvl w:val="0"/>
          <w:numId w:val="1"/>
        </w:numPr>
        <w:spacing w:after="0" w:after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Catharine MacKinnon, ‘Defining Rape Internationally: A Comment on </w:t>
      </w:r>
      <w:r w:rsidDel="00000000" w:rsidR="00000000" w:rsidRPr="00000000">
        <w:rPr>
          <w:rFonts w:ascii="Roboto" w:cs="Roboto" w:eastAsia="Roboto" w:hAnsi="Roboto"/>
          <w:b w:val="1"/>
          <w:i w:val="1"/>
          <w:color w:val="404040"/>
          <w:sz w:val="24"/>
          <w:szCs w:val="24"/>
          <w:highlight w:val="white"/>
          <w:rtl w:val="0"/>
        </w:rPr>
        <w:t xml:space="preserve">Akayesu</w:t>
      </w:r>
      <w:r w:rsidDel="00000000" w:rsidR="00000000" w:rsidRPr="00000000">
        <w:rPr>
          <w:rFonts w:ascii="Roboto" w:cs="Roboto" w:eastAsia="Roboto" w:hAnsi="Roboto"/>
          <w:b w:val="1"/>
          <w:color w:val="404040"/>
          <w:sz w:val="24"/>
          <w:szCs w:val="24"/>
          <w:highlight w:val="white"/>
          <w:rtl w:val="0"/>
        </w:rPr>
        <w:t xml:space="preserve">’ (2006) 44 </w:t>
      </w:r>
      <w:r w:rsidDel="00000000" w:rsidR="00000000" w:rsidRPr="00000000">
        <w:rPr>
          <w:rFonts w:ascii="Roboto" w:cs="Roboto" w:eastAsia="Roboto" w:hAnsi="Roboto"/>
          <w:b w:val="1"/>
          <w:i w:val="1"/>
          <w:color w:val="404040"/>
          <w:sz w:val="24"/>
          <w:szCs w:val="24"/>
          <w:highlight w:val="white"/>
          <w:rtl w:val="0"/>
        </w:rPr>
        <w:t xml:space="preserve">Colum J Transnat’l L</w:t>
      </w:r>
      <w:r w:rsidDel="00000000" w:rsidR="00000000" w:rsidRPr="00000000">
        <w:rPr>
          <w:rFonts w:ascii="Roboto" w:cs="Roboto" w:eastAsia="Roboto" w:hAnsi="Roboto"/>
          <w:b w:val="1"/>
          <w:color w:val="404040"/>
          <w:sz w:val="24"/>
          <w:szCs w:val="24"/>
          <w:highlight w:val="white"/>
          <w:rtl w:val="0"/>
        </w:rPr>
        <w:t xml:space="preserve"> 940.</w:t>
      </w:r>
    </w:p>
    <w:p w:rsidR="00000000" w:rsidDel="00000000" w:rsidP="00000000" w:rsidRDefault="00000000" w:rsidRPr="00000000" w14:paraId="00000029">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UN Office of the High Commissioner for Human Rights, </w:t>
      </w:r>
      <w:r w:rsidDel="00000000" w:rsidR="00000000" w:rsidRPr="00000000">
        <w:rPr>
          <w:rFonts w:ascii="Roboto" w:cs="Roboto" w:eastAsia="Roboto" w:hAnsi="Roboto"/>
          <w:b w:val="1"/>
          <w:i w:val="1"/>
          <w:color w:val="404040"/>
          <w:sz w:val="24"/>
          <w:szCs w:val="24"/>
          <w:highlight w:val="white"/>
          <w:rtl w:val="0"/>
        </w:rPr>
        <w:t xml:space="preserve">Report on Ethiopia</w:t>
      </w:r>
      <w:r w:rsidDel="00000000" w:rsidR="00000000" w:rsidRPr="00000000">
        <w:rPr>
          <w:rFonts w:ascii="Roboto" w:cs="Roboto" w:eastAsia="Roboto" w:hAnsi="Roboto"/>
          <w:b w:val="1"/>
          <w:color w:val="404040"/>
          <w:sz w:val="24"/>
          <w:szCs w:val="24"/>
          <w:highlight w:val="white"/>
          <w:rtl w:val="0"/>
        </w:rPr>
        <w:t xml:space="preserve"> (2023) UN Doc A/HRC/54/CRP.3.</w:t>
      </w:r>
    </w:p>
    <w:p w:rsidR="00000000" w:rsidDel="00000000" w:rsidP="00000000" w:rsidRDefault="00000000" w:rsidRPr="00000000" w14:paraId="0000002A">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MacKinnon (n 1) 945.</w:t>
      </w:r>
    </w:p>
    <w:p w:rsidR="00000000" w:rsidDel="00000000" w:rsidP="00000000" w:rsidRDefault="00000000" w:rsidRPr="00000000" w14:paraId="0000002B">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Rome Statute of the International Criminal Court (adopted 17 July 1998, entered into force 1 July 2002) 2187 UNTS 3, arts 7–8.</w:t>
      </w:r>
    </w:p>
    <w:p w:rsidR="00000000" w:rsidDel="00000000" w:rsidP="00000000" w:rsidRDefault="00000000" w:rsidRPr="00000000" w14:paraId="0000002C">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Doris Buss, ‘Performing Legal Order: Some Feminist Thoughts on International Criminal Law’ (2011) 11 </w:t>
      </w:r>
      <w:r w:rsidDel="00000000" w:rsidR="00000000" w:rsidRPr="00000000">
        <w:rPr>
          <w:rFonts w:ascii="Roboto" w:cs="Roboto" w:eastAsia="Roboto" w:hAnsi="Roboto"/>
          <w:b w:val="1"/>
          <w:i w:val="1"/>
          <w:color w:val="404040"/>
          <w:sz w:val="24"/>
          <w:szCs w:val="24"/>
          <w:highlight w:val="white"/>
          <w:rtl w:val="0"/>
        </w:rPr>
        <w:t xml:space="preserve">Int’l Crim L Rev</w:t>
      </w:r>
      <w:r w:rsidDel="00000000" w:rsidR="00000000" w:rsidRPr="00000000">
        <w:rPr>
          <w:rFonts w:ascii="Roboto" w:cs="Roboto" w:eastAsia="Roboto" w:hAnsi="Roboto"/>
          <w:b w:val="1"/>
          <w:color w:val="404040"/>
          <w:sz w:val="24"/>
          <w:szCs w:val="24"/>
          <w:highlight w:val="white"/>
          <w:rtl w:val="0"/>
        </w:rPr>
        <w:t xml:space="preserve"> 409.</w:t>
      </w:r>
    </w:p>
    <w:p w:rsidR="00000000" w:rsidDel="00000000" w:rsidP="00000000" w:rsidRDefault="00000000" w:rsidRPr="00000000" w14:paraId="0000002D">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i w:val="1"/>
          <w:color w:val="404040"/>
          <w:sz w:val="24"/>
          <w:szCs w:val="24"/>
          <w:highlight w:val="white"/>
          <w:rtl w:val="0"/>
        </w:rPr>
        <w:t xml:space="preserve">Prosecutor v Ongwen</w:t>
      </w:r>
      <w:r w:rsidDel="00000000" w:rsidR="00000000" w:rsidRPr="00000000">
        <w:rPr>
          <w:rFonts w:ascii="Roboto" w:cs="Roboto" w:eastAsia="Roboto" w:hAnsi="Roboto"/>
          <w:b w:val="1"/>
          <w:color w:val="404040"/>
          <w:sz w:val="24"/>
          <w:szCs w:val="24"/>
          <w:highlight w:val="white"/>
          <w:rtl w:val="0"/>
        </w:rPr>
        <w:t xml:space="preserve"> (Judgment) ICC-02/04-01/15 (4 February 2021).</w:t>
      </w:r>
    </w:p>
    <w:p w:rsidR="00000000" w:rsidDel="00000000" w:rsidP="00000000" w:rsidRDefault="00000000" w:rsidRPr="00000000" w14:paraId="0000002E">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Jean-Marie Henckaerts and Louise Doswald-Beck, </w:t>
      </w:r>
      <w:r w:rsidDel="00000000" w:rsidR="00000000" w:rsidRPr="00000000">
        <w:rPr>
          <w:rFonts w:ascii="Roboto" w:cs="Roboto" w:eastAsia="Roboto" w:hAnsi="Roboto"/>
          <w:b w:val="1"/>
          <w:i w:val="1"/>
          <w:color w:val="404040"/>
          <w:sz w:val="24"/>
          <w:szCs w:val="24"/>
          <w:highlight w:val="white"/>
          <w:rtl w:val="0"/>
        </w:rPr>
        <w:t xml:space="preserve">Customary International Humanitarian Law</w:t>
      </w:r>
      <w:r w:rsidDel="00000000" w:rsidR="00000000" w:rsidRPr="00000000">
        <w:rPr>
          <w:rFonts w:ascii="Roboto" w:cs="Roboto" w:eastAsia="Roboto" w:hAnsi="Roboto"/>
          <w:b w:val="1"/>
          <w:color w:val="404040"/>
          <w:sz w:val="24"/>
          <w:szCs w:val="24"/>
          <w:highlight w:val="white"/>
          <w:rtl w:val="0"/>
        </w:rPr>
        <w:t xml:space="preserve"> (CUP 2005) vol 1, Rule 93.</w:t>
      </w:r>
    </w:p>
    <w:p w:rsidR="00000000" w:rsidDel="00000000" w:rsidP="00000000" w:rsidRDefault="00000000" w:rsidRPr="00000000" w14:paraId="0000002F">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UN Security Council, </w:t>
      </w:r>
      <w:r w:rsidDel="00000000" w:rsidR="00000000" w:rsidRPr="00000000">
        <w:rPr>
          <w:rFonts w:ascii="Roboto" w:cs="Roboto" w:eastAsia="Roboto" w:hAnsi="Roboto"/>
          <w:b w:val="1"/>
          <w:i w:val="1"/>
          <w:color w:val="404040"/>
          <w:sz w:val="24"/>
          <w:szCs w:val="24"/>
          <w:highlight w:val="white"/>
          <w:rtl w:val="0"/>
        </w:rPr>
        <w:t xml:space="preserve">Verbatim Record</w:t>
      </w:r>
      <w:r w:rsidDel="00000000" w:rsidR="00000000" w:rsidRPr="00000000">
        <w:rPr>
          <w:rFonts w:ascii="Roboto" w:cs="Roboto" w:eastAsia="Roboto" w:hAnsi="Roboto"/>
          <w:b w:val="1"/>
          <w:color w:val="404040"/>
          <w:sz w:val="24"/>
          <w:szCs w:val="24"/>
          <w:highlight w:val="white"/>
          <w:rtl w:val="0"/>
        </w:rPr>
        <w:t xml:space="preserve"> (17 July 2023) UN Doc S/PV.9372.</w:t>
      </w:r>
    </w:p>
    <w:p w:rsidR="00000000" w:rsidDel="00000000" w:rsidP="00000000" w:rsidRDefault="00000000" w:rsidRPr="00000000" w14:paraId="00000030">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i w:val="1"/>
          <w:color w:val="404040"/>
          <w:sz w:val="24"/>
          <w:szCs w:val="24"/>
          <w:highlight w:val="white"/>
          <w:rtl w:val="0"/>
        </w:rPr>
        <w:t xml:space="preserve">Prosecutor v Akayesu</w:t>
      </w:r>
      <w:r w:rsidDel="00000000" w:rsidR="00000000" w:rsidRPr="00000000">
        <w:rPr>
          <w:rFonts w:ascii="Roboto" w:cs="Roboto" w:eastAsia="Roboto" w:hAnsi="Roboto"/>
          <w:b w:val="1"/>
          <w:color w:val="404040"/>
          <w:sz w:val="24"/>
          <w:szCs w:val="24"/>
          <w:highlight w:val="white"/>
          <w:rtl w:val="0"/>
        </w:rPr>
        <w:t xml:space="preserve"> (Judgment) ICTR-96-4-T (2 September 1998).</w:t>
      </w:r>
    </w:p>
    <w:p w:rsidR="00000000" w:rsidDel="00000000" w:rsidP="00000000" w:rsidRDefault="00000000" w:rsidRPr="00000000" w14:paraId="00000031">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Sara Meger, </w:t>
      </w:r>
      <w:r w:rsidDel="00000000" w:rsidR="00000000" w:rsidRPr="00000000">
        <w:rPr>
          <w:rFonts w:ascii="Roboto" w:cs="Roboto" w:eastAsia="Roboto" w:hAnsi="Roboto"/>
          <w:b w:val="1"/>
          <w:i w:val="1"/>
          <w:color w:val="404040"/>
          <w:sz w:val="24"/>
          <w:szCs w:val="24"/>
          <w:highlight w:val="white"/>
          <w:rtl w:val="0"/>
        </w:rPr>
        <w:t xml:space="preserve">Rape Loot Pillage: The Political Economy of Sexual Violence in Armed Conflict</w:t>
      </w:r>
      <w:r w:rsidDel="00000000" w:rsidR="00000000" w:rsidRPr="00000000">
        <w:rPr>
          <w:rFonts w:ascii="Roboto" w:cs="Roboto" w:eastAsia="Roboto" w:hAnsi="Roboto"/>
          <w:b w:val="1"/>
          <w:color w:val="404040"/>
          <w:sz w:val="24"/>
          <w:szCs w:val="24"/>
          <w:highlight w:val="white"/>
          <w:rtl w:val="0"/>
        </w:rPr>
        <w:t xml:space="preserve"> (OUP 2016).</w:t>
      </w:r>
    </w:p>
    <w:p w:rsidR="00000000" w:rsidDel="00000000" w:rsidP="00000000" w:rsidRDefault="00000000" w:rsidRPr="00000000" w14:paraId="00000032">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i w:val="1"/>
          <w:color w:val="404040"/>
          <w:sz w:val="24"/>
          <w:szCs w:val="24"/>
          <w:highlight w:val="white"/>
          <w:rtl w:val="0"/>
        </w:rPr>
        <w:t xml:space="preserve">Prosecutor v Kunarac et al.</w:t>
      </w:r>
      <w:r w:rsidDel="00000000" w:rsidR="00000000" w:rsidRPr="00000000">
        <w:rPr>
          <w:rFonts w:ascii="Roboto" w:cs="Roboto" w:eastAsia="Roboto" w:hAnsi="Roboto"/>
          <w:b w:val="1"/>
          <w:color w:val="404040"/>
          <w:sz w:val="24"/>
          <w:szCs w:val="24"/>
          <w:highlight w:val="white"/>
          <w:rtl w:val="0"/>
        </w:rPr>
        <w:t xml:space="preserve"> (Judgment) IT-96-23-T &amp; IT-96-23/1-T (22 February 2001).</w:t>
      </w:r>
    </w:p>
    <w:p w:rsidR="00000000" w:rsidDel="00000000" w:rsidP="00000000" w:rsidRDefault="00000000" w:rsidRPr="00000000" w14:paraId="00000033">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ICC, </w:t>
      </w:r>
      <w:r w:rsidDel="00000000" w:rsidR="00000000" w:rsidRPr="00000000">
        <w:rPr>
          <w:rFonts w:ascii="Roboto" w:cs="Roboto" w:eastAsia="Roboto" w:hAnsi="Roboto"/>
          <w:b w:val="1"/>
          <w:i w:val="1"/>
          <w:color w:val="404040"/>
          <w:sz w:val="24"/>
          <w:szCs w:val="24"/>
          <w:highlight w:val="white"/>
          <w:rtl w:val="0"/>
        </w:rPr>
        <w:t xml:space="preserve">Elements of Crimes</w:t>
      </w:r>
      <w:r w:rsidDel="00000000" w:rsidR="00000000" w:rsidRPr="00000000">
        <w:rPr>
          <w:rFonts w:ascii="Roboto" w:cs="Roboto" w:eastAsia="Roboto" w:hAnsi="Roboto"/>
          <w:b w:val="1"/>
          <w:color w:val="404040"/>
          <w:sz w:val="24"/>
          <w:szCs w:val="24"/>
          <w:highlight w:val="white"/>
          <w:rtl w:val="0"/>
        </w:rPr>
        <w:t xml:space="preserve"> (2011) art 7(1)(g)-3.</w:t>
      </w:r>
    </w:p>
    <w:p w:rsidR="00000000" w:rsidDel="00000000" w:rsidP="00000000" w:rsidRDefault="00000000" w:rsidRPr="00000000" w14:paraId="00000034">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Karen Engle, </w:t>
      </w:r>
      <w:r w:rsidDel="00000000" w:rsidR="00000000" w:rsidRPr="00000000">
        <w:rPr>
          <w:rFonts w:ascii="Roboto" w:cs="Roboto" w:eastAsia="Roboto" w:hAnsi="Roboto"/>
          <w:b w:val="1"/>
          <w:i w:val="1"/>
          <w:color w:val="404040"/>
          <w:sz w:val="24"/>
          <w:szCs w:val="24"/>
          <w:highlight w:val="white"/>
          <w:rtl w:val="0"/>
        </w:rPr>
        <w:t xml:space="preserve">The Grip of Sexual Violence in Conflict</w:t>
      </w:r>
      <w:r w:rsidDel="00000000" w:rsidR="00000000" w:rsidRPr="00000000">
        <w:rPr>
          <w:rFonts w:ascii="Roboto" w:cs="Roboto" w:eastAsia="Roboto" w:hAnsi="Roboto"/>
          <w:b w:val="1"/>
          <w:color w:val="404040"/>
          <w:sz w:val="24"/>
          <w:szCs w:val="24"/>
          <w:highlight w:val="white"/>
          <w:rtl w:val="0"/>
        </w:rPr>
        <w:t xml:space="preserve"> (Stanford UP 2020).</w:t>
      </w:r>
    </w:p>
    <w:p w:rsidR="00000000" w:rsidDel="00000000" w:rsidP="00000000" w:rsidRDefault="00000000" w:rsidRPr="00000000" w14:paraId="00000035">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i w:val="1"/>
          <w:color w:val="404040"/>
          <w:sz w:val="24"/>
          <w:szCs w:val="24"/>
          <w:highlight w:val="white"/>
          <w:rtl w:val="0"/>
        </w:rPr>
        <w:t xml:space="preserve">Ongwen</w:t>
      </w:r>
      <w:r w:rsidDel="00000000" w:rsidR="00000000" w:rsidRPr="00000000">
        <w:rPr>
          <w:rFonts w:ascii="Roboto" w:cs="Roboto" w:eastAsia="Roboto" w:hAnsi="Roboto"/>
          <w:b w:val="1"/>
          <w:color w:val="404040"/>
          <w:sz w:val="24"/>
          <w:szCs w:val="24"/>
          <w:highlight w:val="white"/>
          <w:rtl w:val="0"/>
        </w:rPr>
        <w:t xml:space="preserve"> (n 6) para 678.</w:t>
      </w:r>
    </w:p>
    <w:p w:rsidR="00000000" w:rsidDel="00000000" w:rsidP="00000000" w:rsidRDefault="00000000" w:rsidRPr="00000000" w14:paraId="00000036">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Valerie Oosterveld, ‘Forced Marriage and the ICC’ (2021) 19 </w:t>
      </w:r>
      <w:r w:rsidDel="00000000" w:rsidR="00000000" w:rsidRPr="00000000">
        <w:rPr>
          <w:rFonts w:ascii="Roboto" w:cs="Roboto" w:eastAsia="Roboto" w:hAnsi="Roboto"/>
          <w:b w:val="1"/>
          <w:i w:val="1"/>
          <w:color w:val="404040"/>
          <w:sz w:val="24"/>
          <w:szCs w:val="24"/>
          <w:highlight w:val="white"/>
          <w:rtl w:val="0"/>
        </w:rPr>
        <w:t xml:space="preserve">J Int’l Crim Just</w:t>
      </w:r>
      <w:r w:rsidDel="00000000" w:rsidR="00000000" w:rsidRPr="00000000">
        <w:rPr>
          <w:rFonts w:ascii="Roboto" w:cs="Roboto" w:eastAsia="Roboto" w:hAnsi="Roboto"/>
          <w:b w:val="1"/>
          <w:color w:val="404040"/>
          <w:sz w:val="24"/>
          <w:szCs w:val="24"/>
          <w:highlight w:val="white"/>
          <w:rtl w:val="0"/>
        </w:rPr>
        <w:t xml:space="preserve"> 643.</w:t>
      </w:r>
    </w:p>
    <w:p w:rsidR="00000000" w:rsidDel="00000000" w:rsidP="00000000" w:rsidRDefault="00000000" w:rsidRPr="00000000" w14:paraId="00000037">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UN Report on Ethiopia (n 2) para 22.</w:t>
      </w:r>
    </w:p>
    <w:p w:rsidR="00000000" w:rsidDel="00000000" w:rsidP="00000000" w:rsidRDefault="00000000" w:rsidRPr="00000000" w14:paraId="00000038">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ICC, </w:t>
      </w:r>
      <w:r w:rsidDel="00000000" w:rsidR="00000000" w:rsidRPr="00000000">
        <w:rPr>
          <w:rFonts w:ascii="Roboto" w:cs="Roboto" w:eastAsia="Roboto" w:hAnsi="Roboto"/>
          <w:b w:val="1"/>
          <w:i w:val="1"/>
          <w:color w:val="404040"/>
          <w:sz w:val="24"/>
          <w:szCs w:val="24"/>
          <w:highlight w:val="white"/>
          <w:rtl w:val="0"/>
        </w:rPr>
        <w:t xml:space="preserve">The States Parties to the Rome Statute</w:t>
      </w:r>
      <w:r w:rsidDel="00000000" w:rsidR="00000000" w:rsidRPr="00000000">
        <w:rPr>
          <w:rFonts w:ascii="Roboto" w:cs="Roboto" w:eastAsia="Roboto" w:hAnsi="Roboto"/>
          <w:b w:val="1"/>
          <w:color w:val="404040"/>
          <w:sz w:val="24"/>
          <w:szCs w:val="24"/>
          <w:highlight w:val="white"/>
          <w:rtl w:val="0"/>
        </w:rPr>
        <w:t xml:space="preserve"> (2023) </w:t>
      </w:r>
      <w:hyperlink r:id="rId7">
        <w:r w:rsidDel="00000000" w:rsidR="00000000" w:rsidRPr="00000000">
          <w:rPr>
            <w:rFonts w:ascii="Roboto" w:cs="Roboto" w:eastAsia="Roboto" w:hAnsi="Roboto"/>
            <w:b w:val="1"/>
            <w:color w:val="1155cc"/>
            <w:sz w:val="24"/>
            <w:szCs w:val="24"/>
            <w:highlight w:val="white"/>
            <w:rtl w:val="0"/>
          </w:rPr>
          <w:t xml:space="preserve">https://asp.icc-cpi.int</w:t>
        </w:r>
      </w:hyperlink>
      <w:r w:rsidDel="00000000" w:rsidR="00000000" w:rsidRPr="00000000">
        <w:rPr>
          <w:rFonts w:ascii="Roboto" w:cs="Roboto" w:eastAsia="Roboto" w:hAnsi="Roboto"/>
          <w:b w:val="1"/>
          <w:color w:val="404040"/>
          <w:sz w:val="24"/>
          <w:szCs w:val="24"/>
          <w:highlight w:val="white"/>
          <w:rtl w:val="0"/>
        </w:rPr>
        <w:t xml:space="preserve"> accessed 1 October 2023.</w:t>
      </w:r>
    </w:p>
    <w:p w:rsidR="00000000" w:rsidDel="00000000" w:rsidP="00000000" w:rsidRDefault="00000000" w:rsidRPr="00000000" w14:paraId="00000039">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Fionnuala Ní Aoláin, ‘The Gender of Occupation’ (2023) 45 </w:t>
      </w:r>
      <w:r w:rsidDel="00000000" w:rsidR="00000000" w:rsidRPr="00000000">
        <w:rPr>
          <w:rFonts w:ascii="Roboto" w:cs="Roboto" w:eastAsia="Roboto" w:hAnsi="Roboto"/>
          <w:b w:val="1"/>
          <w:i w:val="1"/>
          <w:color w:val="404040"/>
          <w:sz w:val="24"/>
          <w:szCs w:val="24"/>
          <w:highlight w:val="white"/>
          <w:rtl w:val="0"/>
        </w:rPr>
        <w:t xml:space="preserve">Hum Rts Q</w:t>
      </w:r>
      <w:r w:rsidDel="00000000" w:rsidR="00000000" w:rsidRPr="00000000">
        <w:rPr>
          <w:rFonts w:ascii="Roboto" w:cs="Roboto" w:eastAsia="Roboto" w:hAnsi="Roboto"/>
          <w:b w:val="1"/>
          <w:color w:val="404040"/>
          <w:sz w:val="24"/>
          <w:szCs w:val="24"/>
          <w:highlight w:val="white"/>
          <w:rtl w:val="0"/>
        </w:rPr>
        <w:t xml:space="preserve"> 1.</w:t>
      </w:r>
    </w:p>
    <w:p w:rsidR="00000000" w:rsidDel="00000000" w:rsidP="00000000" w:rsidRDefault="00000000" w:rsidRPr="00000000" w14:paraId="0000003A">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i w:val="1"/>
          <w:color w:val="404040"/>
          <w:sz w:val="24"/>
          <w:szCs w:val="24"/>
          <w:highlight w:val="white"/>
          <w:rtl w:val="0"/>
        </w:rPr>
        <w:t xml:space="preserve">Prosecutor v Katanga</w:t>
      </w:r>
      <w:r w:rsidDel="00000000" w:rsidR="00000000" w:rsidRPr="00000000">
        <w:rPr>
          <w:rFonts w:ascii="Roboto" w:cs="Roboto" w:eastAsia="Roboto" w:hAnsi="Roboto"/>
          <w:b w:val="1"/>
          <w:color w:val="404040"/>
          <w:sz w:val="24"/>
          <w:szCs w:val="24"/>
          <w:highlight w:val="white"/>
          <w:rtl w:val="0"/>
        </w:rPr>
        <w:t xml:space="preserve"> (Judgment) ICC-01/04-01/07 (7 March 2014).</w:t>
      </w:r>
    </w:p>
    <w:p w:rsidR="00000000" w:rsidDel="00000000" w:rsidP="00000000" w:rsidRDefault="00000000" w:rsidRPr="00000000" w14:paraId="0000003B">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Judith Gardam, ‘A Feminist Analysis of Certain Aspects of International Humanitarian Law’ (1992) 12 </w:t>
      </w:r>
      <w:r w:rsidDel="00000000" w:rsidR="00000000" w:rsidRPr="00000000">
        <w:rPr>
          <w:rFonts w:ascii="Roboto" w:cs="Roboto" w:eastAsia="Roboto" w:hAnsi="Roboto"/>
          <w:b w:val="1"/>
          <w:i w:val="1"/>
          <w:color w:val="404040"/>
          <w:sz w:val="24"/>
          <w:szCs w:val="24"/>
          <w:highlight w:val="white"/>
          <w:rtl w:val="0"/>
        </w:rPr>
        <w:t xml:space="preserve">Austl YBIL</w:t>
      </w:r>
      <w:r w:rsidDel="00000000" w:rsidR="00000000" w:rsidRPr="00000000">
        <w:rPr>
          <w:rFonts w:ascii="Roboto" w:cs="Roboto" w:eastAsia="Roboto" w:hAnsi="Roboto"/>
          <w:b w:val="1"/>
          <w:color w:val="404040"/>
          <w:sz w:val="24"/>
          <w:szCs w:val="24"/>
          <w:highlight w:val="white"/>
          <w:rtl w:val="0"/>
        </w:rPr>
        <w:t xml:space="preserve"> 265.</w:t>
      </w:r>
    </w:p>
    <w:p w:rsidR="00000000" w:rsidDel="00000000" w:rsidP="00000000" w:rsidRDefault="00000000" w:rsidRPr="00000000" w14:paraId="0000003C">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i w:val="1"/>
          <w:color w:val="404040"/>
          <w:sz w:val="24"/>
          <w:szCs w:val="24"/>
          <w:highlight w:val="white"/>
          <w:rtl w:val="0"/>
        </w:rPr>
        <w:t xml:space="preserve">Prosecutor v Lubanga</w:t>
      </w:r>
      <w:r w:rsidDel="00000000" w:rsidR="00000000" w:rsidRPr="00000000">
        <w:rPr>
          <w:rFonts w:ascii="Roboto" w:cs="Roboto" w:eastAsia="Roboto" w:hAnsi="Roboto"/>
          <w:b w:val="1"/>
          <w:color w:val="404040"/>
          <w:sz w:val="24"/>
          <w:szCs w:val="24"/>
          <w:highlight w:val="white"/>
          <w:rtl w:val="0"/>
        </w:rPr>
        <w:t xml:space="preserve"> (Reparations Order) ICC-01/04-01/06 (3 March 2015).</w:t>
      </w:r>
    </w:p>
    <w:p w:rsidR="00000000" w:rsidDel="00000000" w:rsidP="00000000" w:rsidRDefault="00000000" w:rsidRPr="00000000" w14:paraId="0000003D">
      <w:pPr>
        <w:numPr>
          <w:ilvl w:val="0"/>
          <w:numId w:val="1"/>
        </w:numPr>
        <w:spacing w:after="0" w:afterAutospacing="0" w:before="0" w:beforeAutospacing="0" w:lineRule="auto"/>
        <w:ind w:left="720" w:hanging="360"/>
        <w:rPr>
          <w:b w:val="1"/>
          <w:highlight w:val="white"/>
        </w:rPr>
      </w:pPr>
      <w:r w:rsidDel="00000000" w:rsidR="00000000" w:rsidRPr="00000000">
        <w:rPr>
          <w:rFonts w:ascii="Roboto" w:cs="Roboto" w:eastAsia="Roboto" w:hAnsi="Roboto"/>
          <w:b w:val="1"/>
          <w:color w:val="404040"/>
          <w:sz w:val="24"/>
          <w:szCs w:val="24"/>
          <w:highlight w:val="white"/>
          <w:rtl w:val="0"/>
        </w:rPr>
        <w:t xml:space="preserve">Colombian Special Jurisdiction for Peace, </w:t>
      </w:r>
      <w:r w:rsidDel="00000000" w:rsidR="00000000" w:rsidRPr="00000000">
        <w:rPr>
          <w:rFonts w:ascii="Roboto" w:cs="Roboto" w:eastAsia="Roboto" w:hAnsi="Roboto"/>
          <w:b w:val="1"/>
          <w:i w:val="1"/>
          <w:color w:val="404040"/>
          <w:sz w:val="24"/>
          <w:szCs w:val="24"/>
          <w:highlight w:val="white"/>
          <w:rtl w:val="0"/>
        </w:rPr>
        <w:t xml:space="preserve">Reparations Protocol</w:t>
      </w:r>
      <w:r w:rsidDel="00000000" w:rsidR="00000000" w:rsidRPr="00000000">
        <w:rPr>
          <w:rFonts w:ascii="Roboto" w:cs="Roboto" w:eastAsia="Roboto" w:hAnsi="Roboto"/>
          <w:b w:val="1"/>
          <w:color w:val="404040"/>
          <w:sz w:val="24"/>
          <w:szCs w:val="24"/>
          <w:highlight w:val="white"/>
          <w:rtl w:val="0"/>
        </w:rPr>
        <w:t xml:space="preserve"> (2022) </w:t>
      </w:r>
      <w:hyperlink r:id="rId8">
        <w:r w:rsidDel="00000000" w:rsidR="00000000" w:rsidRPr="00000000">
          <w:rPr>
            <w:rFonts w:ascii="Roboto" w:cs="Roboto" w:eastAsia="Roboto" w:hAnsi="Roboto"/>
            <w:b w:val="1"/>
            <w:color w:val="1155cc"/>
            <w:sz w:val="24"/>
            <w:szCs w:val="24"/>
            <w:highlight w:val="white"/>
            <w:rtl w:val="0"/>
          </w:rPr>
          <w:t xml:space="preserve">https://www.jep.gov.co</w:t>
        </w:r>
      </w:hyperlink>
      <w:r w:rsidDel="00000000" w:rsidR="00000000" w:rsidRPr="00000000">
        <w:rPr>
          <w:rFonts w:ascii="Roboto" w:cs="Roboto" w:eastAsia="Roboto" w:hAnsi="Roboto"/>
          <w:b w:val="1"/>
          <w:color w:val="404040"/>
          <w:sz w:val="24"/>
          <w:szCs w:val="24"/>
          <w:highlight w:val="white"/>
          <w:rtl w:val="0"/>
        </w:rPr>
        <w:t xml:space="preserve"> accessed 1 October 2023.</w:t>
      </w:r>
    </w:p>
    <w:p w:rsidR="00000000" w:rsidDel="00000000" w:rsidP="00000000" w:rsidRDefault="00000000" w:rsidRPr="00000000" w14:paraId="0000003E">
      <w:pPr>
        <w:numPr>
          <w:ilvl w:val="0"/>
          <w:numId w:val="1"/>
        </w:numPr>
        <w:spacing w:after="0" w:before="0" w:beforeAutospacing="0" w:lineRule="auto"/>
        <w:ind w:left="720" w:hanging="360"/>
        <w:rPr>
          <w:b w:val="1"/>
          <w:highlight w:val="white"/>
        </w:rPr>
      </w:pPr>
      <w:r w:rsidDel="00000000" w:rsidR="00000000" w:rsidRPr="00000000">
        <w:rPr>
          <w:rFonts w:ascii="Roboto" w:cs="Roboto" w:eastAsia="Roboto" w:hAnsi="Roboto"/>
          <w:b w:val="1"/>
          <w:i w:val="1"/>
          <w:color w:val="404040"/>
          <w:sz w:val="24"/>
          <w:szCs w:val="24"/>
          <w:highlight w:val="white"/>
          <w:rtl w:val="0"/>
        </w:rPr>
        <w:t xml:space="preserve">Prosecutor v Bemba</w:t>
      </w:r>
      <w:r w:rsidDel="00000000" w:rsidR="00000000" w:rsidRPr="00000000">
        <w:rPr>
          <w:rFonts w:ascii="Roboto" w:cs="Roboto" w:eastAsia="Roboto" w:hAnsi="Roboto"/>
          <w:b w:val="1"/>
          <w:color w:val="404040"/>
          <w:sz w:val="24"/>
          <w:szCs w:val="24"/>
          <w:highlight w:val="white"/>
          <w:rtl w:val="0"/>
        </w:rPr>
        <w:t xml:space="preserve"> (Judgment) ICC-01/05-01/08 (8 June 2018).</w:t>
      </w:r>
    </w:p>
    <w:p w:rsidR="00000000" w:rsidDel="00000000" w:rsidP="00000000" w:rsidRDefault="00000000" w:rsidRPr="00000000" w14:paraId="0000003F">
      <w:pPr>
        <w:rPr>
          <w:rFonts w:ascii="Times New Roman" w:cs="Times New Roman" w:eastAsia="Times New Roman" w:hAnsi="Times New Roman"/>
          <w:b w:val="1"/>
          <w:color w:val="404040"/>
          <w:sz w:val="20"/>
          <w:szCs w:val="20"/>
          <w:highlight w:val="white"/>
        </w:rPr>
      </w:pPr>
      <w:r w:rsidDel="00000000" w:rsidR="00000000" w:rsidRPr="00000000">
        <w:rPr>
          <w:rtl w:val="0"/>
        </w:rPr>
      </w:r>
    </w:p>
    <w:sectPr>
      <w:head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Roboto" w:cs="Roboto" w:eastAsia="Roboto" w:hAnsi="Roboto"/>
        <w:color w:val="404040"/>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sp.icc-cpi.int/" TargetMode="External"/><Relationship Id="rId8" Type="http://schemas.openxmlformats.org/officeDocument/2006/relationships/hyperlink" Target="https://www.jep.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RfjqMJXj0RIwejhlYZ5OzNmJxg==">CgMxLjAyDmguMWg4cGNlYnN4ZHJyMg5oLjlsZms1cm42MDZqMzIOaC53bXZvd3RidDhza3QyDmguOTFmd3ZlOXBmeWxnMg5oLnE2d2FjdHR4YndkOTIOaC5lcHFxajh3ZDYyZzYyDmgub2piYWh5OWZldG52Mg5oLnZ4bHA2b2t3NDR1YzIOaC54ZGQ5aHhjdDBmaXUyDmguYXI2djVnNjJnbDF4Mg5oLjh2b3E5Zm1qd2gyZDIOaC5sNGM5dGJhOXowZjEyDmgucGExcGpycDBhem83Mg5oLmNiZjA1cnRnZ3lhZDIOaC52OGN4YnMzcm55YnAyDmguY3N3c2JodDNhdTd1Mg5oLnZpamF1emVrMGJkeTIOaC5tcDdneTRoOXMzOHU4AHIhMTJZQnIwTkowVTVLWm42dFlwN19PRHhKZXFyZHE2b3g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