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387" w:rsidRPr="00760387" w:rsidRDefault="00760387" w:rsidP="00760387">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Tokens</w:t>
      </w:r>
      <w:bookmarkStart w:id="0" w:name="_GoBack"/>
      <w:bookmarkEnd w:id="0"/>
      <w:r w:rsidRPr="00760387">
        <w:rPr>
          <w:rFonts w:ascii="Times New Roman" w:eastAsia="Times New Roman" w:hAnsi="Times New Roman" w:cs="Times New Roman"/>
          <w:b/>
          <w:sz w:val="28"/>
          <w:szCs w:val="28"/>
        </w:rPr>
        <w:t xml:space="preserve"> for Renewable Energy as Diversifying Instruments: Proof from the BRICS Stock Markets</w:t>
      </w:r>
    </w:p>
    <w:p w:rsidR="00760387" w:rsidRPr="00E600A3" w:rsidRDefault="00760387" w:rsidP="00760387">
      <w:pPr>
        <w:spacing w:after="0" w:line="480" w:lineRule="auto"/>
        <w:jc w:val="center"/>
        <w:rPr>
          <w:rFonts w:ascii="Times New Roman" w:hAnsi="Times New Roman" w:cs="Times New Roman"/>
          <w:bCs/>
          <w:sz w:val="28"/>
          <w:szCs w:val="28"/>
          <w:vertAlign w:val="superscript"/>
        </w:rPr>
      </w:pPr>
      <w:r>
        <w:rPr>
          <w:rFonts w:ascii="Times New Roman" w:hAnsi="Times New Roman" w:cs="Times New Roman"/>
          <w:bCs/>
          <w:sz w:val="24"/>
          <w:szCs w:val="24"/>
        </w:rPr>
        <w:t>Yali Gan</w:t>
      </w:r>
    </w:p>
    <w:p w:rsidR="00760387" w:rsidRPr="00E600A3" w:rsidRDefault="00760387" w:rsidP="00760387">
      <w:pPr>
        <w:spacing w:after="0" w:line="480" w:lineRule="auto"/>
        <w:jc w:val="center"/>
        <w:rPr>
          <w:rFonts w:ascii="Times New Roman" w:hAnsi="Times New Roman" w:cs="Times New Roman"/>
          <w:sz w:val="24"/>
          <w:szCs w:val="24"/>
          <w:shd w:val="clear" w:color="auto" w:fill="FFFFFF"/>
        </w:rPr>
      </w:pPr>
      <w:r w:rsidRPr="00E600A3">
        <w:rPr>
          <w:rFonts w:ascii="Times New Roman" w:hAnsi="Times New Roman" w:cs="Times New Roman"/>
          <w:bCs/>
          <w:sz w:val="24"/>
          <w:szCs w:val="24"/>
        </w:rPr>
        <w:t>School of Business, Beijing Institute of Technology,</w:t>
      </w:r>
      <w:r w:rsidRPr="00E600A3">
        <w:rPr>
          <w:rFonts w:ascii="Times New Roman" w:hAnsi="Times New Roman" w:cs="Times New Roman"/>
          <w:b/>
          <w:bCs/>
          <w:sz w:val="28"/>
          <w:szCs w:val="28"/>
          <w:vertAlign w:val="superscript"/>
        </w:rPr>
        <w:t xml:space="preserve"> </w:t>
      </w:r>
      <w:r w:rsidRPr="00E600A3">
        <w:rPr>
          <w:rFonts w:ascii="Times New Roman" w:hAnsi="Times New Roman" w:cs="Times New Roman"/>
          <w:sz w:val="24"/>
          <w:szCs w:val="24"/>
          <w:shd w:val="clear" w:color="auto" w:fill="FFFFFF"/>
        </w:rPr>
        <w:t>Haidian District 100811, China</w:t>
      </w:r>
    </w:p>
    <w:p w:rsidR="00760387" w:rsidRPr="00E600A3" w:rsidRDefault="00760387" w:rsidP="00760387">
      <w:pPr>
        <w:spacing w:after="0" w:line="480" w:lineRule="auto"/>
        <w:rPr>
          <w:rFonts w:ascii="Times New Roman" w:hAnsi="Times New Roman" w:cs="Times New Roman"/>
          <w:b/>
          <w:bCs/>
          <w:sz w:val="24"/>
          <w:szCs w:val="24"/>
        </w:rPr>
      </w:pPr>
      <w:r w:rsidRPr="00E600A3">
        <w:rPr>
          <w:rFonts w:ascii="Times New Roman" w:hAnsi="Times New Roman" w:cs="Times New Roman"/>
          <w:b/>
          <w:bCs/>
          <w:sz w:val="24"/>
          <w:szCs w:val="24"/>
        </w:rPr>
        <w:t>Emails:</w:t>
      </w:r>
    </w:p>
    <w:p w:rsidR="00760387" w:rsidRPr="00420813" w:rsidRDefault="00760387" w:rsidP="00760387">
      <w:pPr>
        <w:pStyle w:val="ListParagraph"/>
        <w:spacing w:after="0" w:line="480" w:lineRule="auto"/>
        <w:ind w:left="1080"/>
        <w:rPr>
          <w:rFonts w:ascii="Times New Roman" w:hAnsi="Times New Roman" w:cs="Times New Roman"/>
          <w:b/>
          <w:bCs/>
          <w:sz w:val="24"/>
          <w:szCs w:val="24"/>
        </w:rPr>
      </w:pPr>
      <w:hyperlink r:id="rId8" w:history="1">
        <w:r w:rsidRPr="007116F9">
          <w:rPr>
            <w:rStyle w:val="Hyperlink"/>
            <w:rFonts w:ascii="Times New Roman" w:hAnsi="Times New Roman" w:cs="Times New Roman"/>
            <w:b/>
            <w:bCs/>
            <w:sz w:val="24"/>
            <w:szCs w:val="24"/>
          </w:rPr>
          <w:t>yaligan@bit.edu.cn</w:t>
        </w:r>
      </w:hyperlink>
    </w:p>
    <w:p w:rsidR="00760387" w:rsidRPr="00E600A3" w:rsidRDefault="00760387" w:rsidP="00760387">
      <w:pPr>
        <w:spacing w:after="0" w:line="480" w:lineRule="auto"/>
        <w:jc w:val="both"/>
        <w:rPr>
          <w:rFonts w:ascii="Times New Roman" w:hAnsi="Times New Roman" w:cs="Times New Roman"/>
          <w:b/>
          <w:bCs/>
          <w:sz w:val="28"/>
          <w:szCs w:val="28"/>
        </w:rPr>
      </w:pPr>
      <w:r w:rsidRPr="00E600A3">
        <w:rPr>
          <w:rFonts w:ascii="Times New Roman" w:hAnsi="Times New Roman" w:cs="Times New Roman"/>
          <w:b/>
          <w:bCs/>
          <w:sz w:val="28"/>
          <w:szCs w:val="28"/>
        </w:rPr>
        <w:t>C</w:t>
      </w:r>
      <w:r>
        <w:rPr>
          <w:rFonts w:ascii="Times New Roman" w:hAnsi="Times New Roman" w:cs="Times New Roman"/>
          <w:b/>
          <w:bCs/>
          <w:sz w:val="28"/>
          <w:szCs w:val="28"/>
        </w:rPr>
        <w:t>orresponding Author: Yali Gan</w:t>
      </w:r>
    </w:p>
    <w:p w:rsidR="00536B6F" w:rsidRDefault="00F0660B">
      <w:pPr>
        <w:rPr>
          <w:rFonts w:asciiTheme="majorBidi" w:hAnsiTheme="majorBidi" w:cstheme="majorBidi"/>
          <w:b/>
          <w:bCs/>
          <w:sz w:val="28"/>
          <w:szCs w:val="28"/>
        </w:rPr>
      </w:pPr>
      <w:r w:rsidRPr="00F0660B">
        <w:rPr>
          <w:rFonts w:asciiTheme="majorBidi" w:hAnsiTheme="majorBidi" w:cstheme="majorBidi"/>
          <w:b/>
          <w:bCs/>
          <w:sz w:val="28"/>
          <w:szCs w:val="28"/>
        </w:rPr>
        <w:t>Abstract</w:t>
      </w:r>
    </w:p>
    <w:p w:rsidR="00F0660B" w:rsidRDefault="008566B4" w:rsidP="00F0660B">
      <w:pPr>
        <w:spacing w:after="0" w:line="480" w:lineRule="auto"/>
        <w:jc w:val="both"/>
        <w:rPr>
          <w:rFonts w:asciiTheme="majorBidi" w:hAnsiTheme="majorBidi" w:cstheme="majorBidi"/>
          <w:sz w:val="24"/>
          <w:szCs w:val="24"/>
        </w:rPr>
      </w:pPr>
      <w:r w:rsidRPr="008566B4">
        <w:rPr>
          <w:rFonts w:asciiTheme="majorBidi" w:hAnsiTheme="majorBidi" w:cstheme="majorBidi"/>
          <w:sz w:val="24"/>
          <w:szCs w:val="24"/>
        </w:rPr>
        <w:t xml:space="preserve">This paper examines the static and dynamic interconnections between renewable energy tokens and BRICS stock markets, emphasizing their diversification potential, risk reduction, and investment prospects. </w:t>
      </w:r>
      <w:r w:rsidR="00F0660B" w:rsidRPr="00F0660B">
        <w:rPr>
          <w:rFonts w:asciiTheme="majorBidi" w:hAnsiTheme="majorBidi" w:cstheme="majorBidi"/>
          <w:sz w:val="24"/>
          <w:szCs w:val="24"/>
        </w:rPr>
        <w:t>Employing a Time-Varying Parameter Vector Auto regression (TVP-VAR) model, we analyze spillover effects, whilst the Dynamic Conditional Correlation Generalized Autoregressive Conditional Heteroskedasticity (DCC-GARCH) model examines diversification opportunities. Research indicates a strong correlation between renewable energy tokens and BRICS stocks, with intensified connections during the COVID-19 epidemic. Renewable energy tokens functioned as net beneficiaries of return spillovers, whilst BRICS stock markets served as net transmitters. Our findings indicate that renewable energy tokens provide substantial portfolio diversification advantages, especially during periods of increased uncertainty, reducing risks and offsetting volatility. These findings are essential for policymakers, portfolio managers, and investors seeking to improve portfolio resilience and advance sustainable financing. The results highlight the promise of renewable energy tokens as a strategic asset for attaining sustainability and financial stability.</w:t>
      </w:r>
    </w:p>
    <w:p w:rsidR="00F0660B" w:rsidRDefault="00F0660B" w:rsidP="00F0660B">
      <w:pPr>
        <w:spacing w:after="0" w:line="480" w:lineRule="auto"/>
        <w:jc w:val="both"/>
        <w:rPr>
          <w:rFonts w:asciiTheme="majorBidi" w:hAnsiTheme="majorBidi" w:cstheme="majorBidi"/>
          <w:sz w:val="24"/>
          <w:szCs w:val="24"/>
        </w:rPr>
      </w:pPr>
      <w:r w:rsidRPr="00F0660B">
        <w:rPr>
          <w:rFonts w:asciiTheme="majorBidi" w:hAnsiTheme="majorBidi" w:cstheme="majorBidi"/>
          <w:b/>
          <w:bCs/>
          <w:sz w:val="28"/>
          <w:szCs w:val="28"/>
        </w:rPr>
        <w:t>Keywords:</w:t>
      </w:r>
      <w:r w:rsidRPr="00F0660B">
        <w:t xml:space="preserve"> </w:t>
      </w:r>
      <w:r w:rsidRPr="00F0660B">
        <w:rPr>
          <w:rFonts w:asciiTheme="majorBidi" w:hAnsiTheme="majorBidi" w:cstheme="majorBidi"/>
          <w:sz w:val="24"/>
          <w:szCs w:val="24"/>
        </w:rPr>
        <w:t>Energy tokens; BRICS; Diversification of portfolios; Optimal weights; Static, Dynamic connectivity</w:t>
      </w:r>
    </w:p>
    <w:p w:rsidR="00F0660B" w:rsidRPr="00F0660B" w:rsidRDefault="00F0660B" w:rsidP="00AA3806">
      <w:pPr>
        <w:pStyle w:val="Heading2"/>
        <w:spacing w:line="480" w:lineRule="auto"/>
        <w:rPr>
          <w:rFonts w:asciiTheme="majorBidi" w:hAnsiTheme="majorBidi"/>
          <w:b/>
          <w:bCs/>
          <w:color w:val="1F1F1F"/>
          <w:sz w:val="28"/>
          <w:szCs w:val="28"/>
        </w:rPr>
      </w:pPr>
      <w:r w:rsidRPr="00F0660B">
        <w:rPr>
          <w:rFonts w:asciiTheme="majorBidi" w:hAnsiTheme="majorBidi"/>
          <w:b/>
          <w:bCs/>
          <w:color w:val="1F1F1F"/>
          <w:sz w:val="28"/>
          <w:szCs w:val="28"/>
        </w:rPr>
        <w:lastRenderedPageBreak/>
        <w:t>1. Introduction</w:t>
      </w:r>
    </w:p>
    <w:p w:rsidR="00F0660B" w:rsidRPr="00AA3806" w:rsidRDefault="00F0660B" w:rsidP="00670185">
      <w:pPr>
        <w:spacing w:after="0" w:line="480" w:lineRule="auto"/>
        <w:jc w:val="both"/>
        <w:rPr>
          <w:rFonts w:asciiTheme="majorBidi" w:hAnsiTheme="majorBidi" w:cstheme="majorBidi"/>
          <w:sz w:val="24"/>
          <w:szCs w:val="24"/>
        </w:rPr>
      </w:pPr>
      <w:r w:rsidRPr="00AA3806">
        <w:rPr>
          <w:rFonts w:asciiTheme="majorBidi" w:hAnsiTheme="majorBidi" w:cstheme="majorBidi"/>
          <w:sz w:val="24"/>
          <w:szCs w:val="24"/>
        </w:rPr>
        <w:t xml:space="preserve">The convergence of environmental advocacy, renewable energy, and financial markets highlights a pivotal period in global sustainability initiatives. Environmental activism has been a crucial factor in promoting sustainable policies and facilitating the shift to renewable energy sources, including solar, wind, and hydroelectric power. This movement is closely aligned with the United Nations’ Sustainable Development Goals (SDGs), specifically SDG 7: Affordable and Clean Energy, by advocating for sustainable energy solutions that diminish dependence on fossil fuels, and SDG 13: Climate Action, by endorsing initiatives that reduce carbon emissions and address climate change. Activists shape public perceptions and actions, ultimately compelling governments and companies to implement ecologically sustainable policies. These initiatives have expedited the implementation of renewable energy technology and reinforced international pledges to attain a low-carbon future </w:t>
      </w:r>
      <w:r w:rsidR="00670185">
        <w:rPr>
          <w:rFonts w:asciiTheme="majorBidi" w:hAnsiTheme="majorBidi" w:cstheme="majorBidi"/>
          <w:sz w:val="24"/>
          <w:szCs w:val="24"/>
        </w:rPr>
        <w:fldChar w:fldCharType="begin" w:fldLock="1"/>
      </w:r>
      <w:r w:rsidR="00670185">
        <w:rPr>
          <w:rFonts w:asciiTheme="majorBidi" w:hAnsiTheme="majorBidi" w:cstheme="majorBidi"/>
          <w:sz w:val="24"/>
          <w:szCs w:val="24"/>
        </w:rPr>
        <w:instrText>ADDIN CSL_CITATION {"citationItems":[{"id":"ITEM-1","itemData":{"DOI":"10.1016/J.JENVMAN.2021.113448","abstract":"Globally, all countries have producing different levels of carbon emissions and also facing both the problems of climate change and global warming due high carbon emissions in the atmosphere. Therefore, it is important to cutting carbon emissions in the atmosphere. This is only possible by switching to cleaner fuels, use of innovation technologies and development of carbon capture storages. These can substantially help the nations to reaching carbon neutrality. Given this background, this paper examines the effect of disaggregated energy consumption, technological innovations, capital on economic output and CO2 emissions in India for the period of 1990–2018. Based on empirical analysis, our long-run elasticities indicate that disaggregated energy consumption and technological innovations have a positive impact on economic growth, while renewable energy consumption and technological innovations have a positive impact on CO2 emissions. It implies that more use of energy consumption producing significant amount of CO2 emissions and by using renewable energy consumption and technological innovations (i.e. carbon capture storages) can significantly lowering CO2 emissions, which is clearly indicating that India has moving towards carbon neutrality. The causality analysis further indicates a unidirectional causal relationship running from disaggregated energy usage to economic growth and carbon emissions. These empirical findings suggest that the increased consumption of renewable power does not lead to rise carbon emissions, which, in turn, ensures sustainable economic growth.","author":[{"dropping-particle":"","family":"Hu","given":"Kexiang","non-dropping-particle":"","parse-names":false,"suffix":""},{"dropping-particle":"","family":"Raghutla","given":"Chandrashekar","non-dropping-particle":"","parse-names":false,"suffix":""},{"dropping-particle":"","family":"Chittedi","given":"Krishna Reddy","non-dropping-particle":"","parse-names":false,"suffix":""},{"dropping-particle":"","family":"Zhang","given":"Rui","non-dropping-particle":"","parse-names":false,"suffix":""},{"dropping-particle":"","family":"Koondhar","given":"Mansoor Ahmed","non-dropping-particle":"","parse-names":false,"suffix":""}],"container-title":"Journal of Environmental Management","id":"ITEM-1","issued":{"date-parts":[["2021"]]},"publisher":"Academic Press","title":"The effect of energy resources on economic growth and carbon emissions: A way forward to carbon neutrality in an emerging economy","type":"article-journal","volume":"298"},"uris":["http://www.mendeley.com/documents/?uuid=c4469d60-6c8f-45c4-af27-85fd0a174e6d"]}],"mendeley":{"formattedCitation":"(Hu et al., 2021)","plainTextFormattedCitation":"(Hu et al., 2021)","previouslyFormattedCitation":"(Hu et al., 2021)"},"properties":{"noteIndex":0},"schema":"https://github.com/citation-style-language/schema/raw/master/csl-citation.json"}</w:instrText>
      </w:r>
      <w:r w:rsidR="00670185">
        <w:rPr>
          <w:rFonts w:asciiTheme="majorBidi" w:hAnsiTheme="majorBidi" w:cstheme="majorBidi"/>
          <w:sz w:val="24"/>
          <w:szCs w:val="24"/>
        </w:rPr>
        <w:fldChar w:fldCharType="separate"/>
      </w:r>
      <w:r w:rsidR="00670185" w:rsidRPr="00670185">
        <w:rPr>
          <w:rFonts w:asciiTheme="majorBidi" w:hAnsiTheme="majorBidi" w:cstheme="majorBidi"/>
          <w:noProof/>
          <w:sz w:val="24"/>
          <w:szCs w:val="24"/>
        </w:rPr>
        <w:t>(Hu et al., 2021)</w:t>
      </w:r>
      <w:r w:rsidR="00670185">
        <w:rPr>
          <w:rFonts w:asciiTheme="majorBidi" w:hAnsiTheme="majorBidi" w:cstheme="majorBidi"/>
          <w:sz w:val="24"/>
          <w:szCs w:val="24"/>
        </w:rPr>
        <w:fldChar w:fldCharType="end"/>
      </w:r>
      <w:r w:rsidRPr="00AA3806">
        <w:rPr>
          <w:rFonts w:asciiTheme="majorBidi" w:hAnsiTheme="majorBidi" w:cstheme="majorBidi"/>
          <w:sz w:val="24"/>
          <w:szCs w:val="24"/>
        </w:rPr>
        <w:t>.</w:t>
      </w:r>
    </w:p>
    <w:p w:rsidR="00F0660B" w:rsidRPr="00AA3806" w:rsidRDefault="00F0660B" w:rsidP="00670185">
      <w:pPr>
        <w:spacing w:after="0" w:line="480" w:lineRule="auto"/>
        <w:jc w:val="both"/>
        <w:rPr>
          <w:rFonts w:asciiTheme="majorBidi" w:hAnsiTheme="majorBidi" w:cstheme="majorBidi"/>
          <w:sz w:val="24"/>
          <w:szCs w:val="24"/>
        </w:rPr>
      </w:pPr>
      <w:r w:rsidRPr="00AA3806">
        <w:rPr>
          <w:rFonts w:asciiTheme="majorBidi" w:hAnsiTheme="majorBidi" w:cstheme="majorBidi"/>
          <w:sz w:val="24"/>
          <w:szCs w:val="24"/>
        </w:rPr>
        <w:t>Investments in renewable energy have surged due to environmental activism, transforming financial markets. The emergence of sustainable investment signifies a paradigm shift in which financial choices increasingly include social and environmental factors. Investors now pursue possibilities that correspond with their principles, emphasizing sustainable energy initiatives and socially responsible enterprises rather than conventional investments in fossil resources. This has increased sustainable and impact investments, promoting a culture of responsibility within firms. Corporations are encouraged to use sustainable practices to attract investment from environmentally aware investors. Renewable energy investments are acknowledged for their robustness, providing sustained financial returns despite economic volatility</w:t>
      </w:r>
      <w:r w:rsidR="003114E3">
        <w:rPr>
          <w:rFonts w:asciiTheme="majorBidi" w:hAnsiTheme="majorBidi" w:cstheme="majorBidi"/>
          <w:sz w:val="24"/>
          <w:szCs w:val="24"/>
        </w:rPr>
        <w:t xml:space="preserve"> </w:t>
      </w:r>
      <w:r w:rsidR="003114E3">
        <w:rPr>
          <w:rFonts w:asciiTheme="majorBidi" w:hAnsiTheme="majorBidi" w:cstheme="majorBidi"/>
          <w:sz w:val="24"/>
          <w:szCs w:val="24"/>
        </w:rPr>
        <w:fldChar w:fldCharType="begin" w:fldLock="1"/>
      </w:r>
      <w:r w:rsidR="003114E3">
        <w:rPr>
          <w:rFonts w:asciiTheme="majorBidi" w:hAnsiTheme="majorBidi" w:cstheme="majorBidi"/>
          <w:sz w:val="24"/>
          <w:szCs w:val="24"/>
        </w:rPr>
        <w:instrText>ADDIN CSL_CITATION {"citationItems":[{"id":"ITEM-1","itemData":{"DOI":"10.1186/S13705-020-00253-6","ISSN":"21920567","abstract":"Background: International awareness of the impact of global warming and climate change is increasing. Developing countries face the task of achieving sustainable economic growth while also improving the efficiency of their energy consumption. The E7 countries (Brazil, India, Indonesia, Mexico, People's Republic of China, Russia, and Turkey) are all highly concerned with the promotion of carbon-emission-reduction strategies. Methods: This research uses a bootstrap autoregressive distributed lag (ARDL) bound test with structural breaks to examine the cointegration and causality relations between economic growth, energy consumption, and carbon dioxide (CO2) emissions in the E7 countries. Results: There is no cointegration between economic growth, energy consumption, and CO2 emissions for People's Republic of China, Indonesia, Mexico, and Turkey. Evidence of cointegration is found for Brazil when CO2 emissions are the dependent variable and for India and Russia when energy consumption is the dependent variable. For all of the E7 countries except Indonesia, short-run Granger causality was found to exist from energy consumption to CO2 emissions and from economic growth to CO2 emissions for Brazil, India, Mexico, and People's Republic of China. Short-run Granger causality was also found from economic growth to energy consumption for Brazil, India, Indonesia, Mexico, and People's Republic of China, and from CO2 emissions to energy consumption for all E7 countries. Conclusions: The results consistently show that energy consumption is the main cause of CO2 emissions, which has led to the emergence of global warming problems. Increases in CO2 emissions compel the E7 countries to develop sound policies on energy consumption and environmental pollution.","author":[{"dropping-particle":"","family":"Tong","given":"Teng","non-dropping-particle":"","parse-names":false,"suffix":""},{"dropping-particle":"","family":"Ortiz","given":"Jaime","non-dropping-particle":"","parse-names":false,"suffix":""},{"dropping-particle":"","family":"Xu","given":"Chuanhua","non-dropping-particle":"","parse-names":false,"suffix":""},{"dropping-particle":"","family":"Li","given":"Fangjhy","non-dropping-particle":"","parse-names":false,"suffix":""}],"container-title":"Energy, Sustainability and Society","id":"ITEM-1","issue":"1","issued":{"date-parts":[["2020","4"]]},"publisher":"BioMed Central Ltd.","title":"Economic growth, energy consumption, and carbon dioxide emissions in the E7 countries: A bootstrap ARDL bound test","type":"article-journal","volume":"10"},"uris":["http://www.mendeley.com/documents/?uuid=aa847ce9-fe43-46e0-89e3-53bb4134dcc8"]}],"mendeley":{"formattedCitation":"(Tong et al., 2020)","plainTextFormattedCitation":"(Tong et al., 2020)","previouslyFormattedCitation":"(Tong et al., 2020)"},"properties":{"noteIndex":0},"schema":"https://github.com/citation-style-language/schema/raw/master/csl-citation.json"}</w:instrText>
      </w:r>
      <w:r w:rsidR="003114E3">
        <w:rPr>
          <w:rFonts w:asciiTheme="majorBidi" w:hAnsiTheme="majorBidi" w:cstheme="majorBidi"/>
          <w:sz w:val="24"/>
          <w:szCs w:val="24"/>
        </w:rPr>
        <w:fldChar w:fldCharType="separate"/>
      </w:r>
      <w:r w:rsidR="003114E3" w:rsidRPr="003114E3">
        <w:rPr>
          <w:rFonts w:asciiTheme="majorBidi" w:hAnsiTheme="majorBidi" w:cstheme="majorBidi"/>
          <w:noProof/>
          <w:sz w:val="24"/>
          <w:szCs w:val="24"/>
        </w:rPr>
        <w:t>(Tong et al., 2020)</w:t>
      </w:r>
      <w:r w:rsidR="003114E3">
        <w:rPr>
          <w:rFonts w:asciiTheme="majorBidi" w:hAnsiTheme="majorBidi" w:cstheme="majorBidi"/>
          <w:sz w:val="24"/>
          <w:szCs w:val="24"/>
        </w:rPr>
        <w:fldChar w:fldCharType="end"/>
      </w:r>
      <w:r w:rsidRPr="00AA3806">
        <w:rPr>
          <w:rFonts w:asciiTheme="majorBidi" w:hAnsiTheme="majorBidi" w:cstheme="majorBidi"/>
          <w:sz w:val="24"/>
          <w:szCs w:val="24"/>
        </w:rPr>
        <w:t xml:space="preserve">. The reliability of sustainable energy projects has rendered them essential to many investment portfolios, attracting both financial and ethical considerations </w:t>
      </w:r>
      <w:r w:rsidR="00670185">
        <w:rPr>
          <w:rFonts w:asciiTheme="majorBidi" w:hAnsiTheme="majorBidi" w:cstheme="majorBidi"/>
          <w:sz w:val="24"/>
          <w:szCs w:val="24"/>
        </w:rPr>
        <w:fldChar w:fldCharType="begin" w:fldLock="1"/>
      </w:r>
      <w:r w:rsidR="00670185">
        <w:rPr>
          <w:rFonts w:asciiTheme="majorBidi" w:hAnsiTheme="majorBidi" w:cstheme="majorBidi"/>
          <w:sz w:val="24"/>
          <w:szCs w:val="24"/>
        </w:rPr>
        <w:instrText>ADDIN CSL_CITATION {"citationItems":[{"id":"ITEM-1","itemData":{"ISSN":"2214-6296","abstract":"The global Covid-19 pandemic has rapidly overwhelmed our societies, shocked the global economy and overburdened struggling health care systems and other social institutions around the world. While such impacts of Covid-19 are becoming clearer, the implications of the disease for energy and climate policy are more prosaic. This Special Section seeks to offer more clarity on the emerging connections between Covid-19 and energy supply and demand, energy governance, future low-carbon transitions, social justice, and even the practice of research methodology. It features articles that ask, and answer: What are the known and anticipated impacts of Covid-19 on energy demand and climate change? How has the disease shaped institutional responses and varying energy policy frameworks, especially in Africa? How will the disease impact ongoing social practices, innovations and sustainability transitions, including not only renewable energy but also mobility? How might the disease, and social responses to it, exacerbate underlying patterns of energy poverty, energy vulnerability, and energy injustice? Lastly, what challenges and insights does the pandemic offer for the practice of research, and for future research methodology? We find that without careful guidance and consideration, the brave new age wrought by Covid-19 could very well collapse in on itself with bloated stimulus packages that counter sustainability goals, misaligned incentives that exacerbate climate change, the entrenchment of unsustainable practices, and acute and troubling consequences for vulnerable groups.","author":[{"dropping-particle":"","family":"Sovacool","given":"Benjamin K.","non-dropping-particle":"","parse-names":false,"suffix":""},{"dropping-particle":"","family":"Furszyfer Del Rio","given":"Dylan","non-dropping-particle":"","parse-names":false,"suffix":""},{"dropping-particle":"","family":"Griffiths","given":"Steve","non-dropping-particle":"","parse-names":false,"suffix":""},{"dropping-particle":"","family":"Rio","given":"Dylan Furszyfer","non-dropping-particle":"Del","parse-names":false,"suffix":""},{"dropping-particle":"","family":"Griffiths","given":"Steve","non-dropping-particle":"","parse-names":false,"suffix":""}],"id":"ITEM-1","issued":{"date-parts":[["2020","10"]]},"page":"101701","title":"Contextualizing the Covid-19 pandemic for a carbon-constrained world: Insights for sustainability transitions, energy justice, and research methodology","type":"article-journal","volume":"68"},"uris":["http://www.mendeley.com/documents/?uuid=b7e9d784-ea6a-4236-84ec-6895ba39f27b"]}],"mendeley":{"formattedCitation":"(Sovacool et al., 2020)","plainTextFormattedCitation":"(Sovacool et al., 2020)","previouslyFormattedCitation":"(Sovacool et al., 2020)"},"properties":{"noteIndex":0},"schema":"https://github.com/citation-style-language/schema/raw/master/csl-citation.json"}</w:instrText>
      </w:r>
      <w:r w:rsidR="00670185">
        <w:rPr>
          <w:rFonts w:asciiTheme="majorBidi" w:hAnsiTheme="majorBidi" w:cstheme="majorBidi"/>
          <w:sz w:val="24"/>
          <w:szCs w:val="24"/>
        </w:rPr>
        <w:fldChar w:fldCharType="separate"/>
      </w:r>
      <w:r w:rsidR="00670185" w:rsidRPr="00670185">
        <w:rPr>
          <w:rFonts w:asciiTheme="majorBidi" w:hAnsiTheme="majorBidi" w:cstheme="majorBidi"/>
          <w:noProof/>
          <w:sz w:val="24"/>
          <w:szCs w:val="24"/>
        </w:rPr>
        <w:t>(Sovacool et al., 2020)</w:t>
      </w:r>
      <w:r w:rsidR="00670185">
        <w:rPr>
          <w:rFonts w:asciiTheme="majorBidi" w:hAnsiTheme="majorBidi" w:cstheme="majorBidi"/>
          <w:sz w:val="24"/>
          <w:szCs w:val="24"/>
        </w:rPr>
        <w:fldChar w:fldCharType="end"/>
      </w:r>
      <w:r w:rsidRPr="00AA3806">
        <w:rPr>
          <w:rFonts w:asciiTheme="majorBidi" w:hAnsiTheme="majorBidi" w:cstheme="majorBidi"/>
          <w:sz w:val="24"/>
          <w:szCs w:val="24"/>
        </w:rPr>
        <w:t>.</w:t>
      </w:r>
    </w:p>
    <w:p w:rsidR="00F0660B" w:rsidRPr="00AA3806" w:rsidRDefault="00F0660B" w:rsidP="00670185">
      <w:pPr>
        <w:spacing w:after="0" w:line="480" w:lineRule="auto"/>
        <w:jc w:val="both"/>
        <w:rPr>
          <w:rFonts w:asciiTheme="majorBidi" w:hAnsiTheme="majorBidi" w:cstheme="majorBidi"/>
          <w:sz w:val="24"/>
          <w:szCs w:val="24"/>
        </w:rPr>
      </w:pPr>
      <w:r w:rsidRPr="00AA3806">
        <w:rPr>
          <w:rFonts w:asciiTheme="majorBidi" w:hAnsiTheme="majorBidi" w:cstheme="majorBidi"/>
          <w:sz w:val="24"/>
          <w:szCs w:val="24"/>
        </w:rPr>
        <w:lastRenderedPageBreak/>
        <w:t xml:space="preserve">Socially responsible investment (SRI) has intensified the emphasis on renewable energy. Amidst the concurrent difficulties of climate change and environmental deterioration, renewable energy assets have become an attractive option for investors </w:t>
      </w:r>
      <w:r w:rsidR="00AA3806" w:rsidRPr="00AA3806">
        <w:rPr>
          <w:rFonts w:asciiTheme="majorBidi" w:hAnsiTheme="majorBidi" w:cstheme="majorBidi"/>
          <w:sz w:val="24"/>
          <w:szCs w:val="24"/>
        </w:rPr>
        <w:t>focusing</w:t>
      </w:r>
      <w:r w:rsidRPr="00AA3806">
        <w:rPr>
          <w:rFonts w:asciiTheme="majorBidi" w:hAnsiTheme="majorBidi" w:cstheme="majorBidi"/>
          <w:sz w:val="24"/>
          <w:szCs w:val="24"/>
        </w:rPr>
        <w:t xml:space="preserve"> on socially responsible investing (SRI). These investments adhere to ethical and environmental criteria while exhibiting robust financial performance, providing both moral fulfillment and competitive returns. The notion of socially responsible diversification is becoming significant, allowing investors to equilibrate their portfolios in manners that emphasize sustainability while maintaining profitability</w:t>
      </w:r>
      <w:r w:rsidR="003114E3">
        <w:rPr>
          <w:rFonts w:asciiTheme="majorBidi" w:hAnsiTheme="majorBidi" w:cstheme="majorBidi"/>
          <w:sz w:val="24"/>
          <w:szCs w:val="24"/>
        </w:rPr>
        <w:t xml:space="preserve"> </w:t>
      </w:r>
      <w:r w:rsidR="003114E3">
        <w:rPr>
          <w:rFonts w:asciiTheme="majorBidi" w:hAnsiTheme="majorBidi" w:cstheme="majorBidi"/>
          <w:sz w:val="24"/>
          <w:szCs w:val="24"/>
        </w:rPr>
        <w:fldChar w:fldCharType="begin" w:fldLock="1"/>
      </w:r>
      <w:r w:rsidR="003114E3">
        <w:rPr>
          <w:rFonts w:asciiTheme="majorBidi" w:hAnsiTheme="majorBidi" w:cstheme="majorBidi"/>
          <w:sz w:val="24"/>
          <w:szCs w:val="24"/>
        </w:rPr>
        <w:instrText>ADDIN CSL_CITATION {"citationItems":[{"id":"ITEM-1","itemData":{"ISSN":"2071-1050","author":[{"dropping-particle":"","family":"Bilan","given":"Yuriy","non-dropping-particle":"","parse-names":false,"suffix":""},{"dropping-particle":"","family":"Streimikiene","given":"Dalia","non-dropping-particle":"","parse-names":false,"suffix":""},{"dropping-particle":"","family":"Vasylieva","given":"Tetyana","non-dropping-particle":"","parse-names":false,"suffix":""},{"dropping-particle":"","family":"Lyulyov","given":"Oleksii","non-dropping-particle":"","parse-names":false,"suffix":""},{"dropping-particle":"","family":"Pimonenko","given":"Tetyana","non-dropping-particle":"","parse-names":false,"suffix":""},{"dropping-particle":"","family":"Pavlyk","given":"Anatolii","non-dropping-particle":"","parse-names":false,"suffix":""}],"container-title":"Sustainability","id":"ITEM-1","issue":"6","issued":{"date-parts":[["2019"]]},"page":"1528","publisher":"MDPI","title":"Linking between renewable energy, CO2 emissions, and economic growth: Challenges for candidates and potential candidates for the EU membership","type":"article-journal","volume":"11"},"uris":["http://www.mendeley.com/documents/?uuid=5fa9c4f1-3f6e-495b-b285-44ffcf527c40"]}],"mendeley":{"formattedCitation":"(Bilan et al., 2019)","plainTextFormattedCitation":"(Bilan et al., 2019)","previouslyFormattedCitation":"(Bilan et al., 2019)"},"properties":{"noteIndex":0},"schema":"https://github.com/citation-style-language/schema/raw/master/csl-citation.json"}</w:instrText>
      </w:r>
      <w:r w:rsidR="003114E3">
        <w:rPr>
          <w:rFonts w:asciiTheme="majorBidi" w:hAnsiTheme="majorBidi" w:cstheme="majorBidi"/>
          <w:sz w:val="24"/>
          <w:szCs w:val="24"/>
        </w:rPr>
        <w:fldChar w:fldCharType="separate"/>
      </w:r>
      <w:r w:rsidR="003114E3" w:rsidRPr="003114E3">
        <w:rPr>
          <w:rFonts w:asciiTheme="majorBidi" w:hAnsiTheme="majorBidi" w:cstheme="majorBidi"/>
          <w:noProof/>
          <w:sz w:val="24"/>
          <w:szCs w:val="24"/>
        </w:rPr>
        <w:t>(Bilan et al., 2019)</w:t>
      </w:r>
      <w:r w:rsidR="003114E3">
        <w:rPr>
          <w:rFonts w:asciiTheme="majorBidi" w:hAnsiTheme="majorBidi" w:cstheme="majorBidi"/>
          <w:sz w:val="24"/>
          <w:szCs w:val="24"/>
        </w:rPr>
        <w:fldChar w:fldCharType="end"/>
      </w:r>
      <w:r w:rsidRPr="00AA3806">
        <w:rPr>
          <w:rFonts w:asciiTheme="majorBidi" w:hAnsiTheme="majorBidi" w:cstheme="majorBidi"/>
          <w:sz w:val="24"/>
          <w:szCs w:val="24"/>
        </w:rPr>
        <w:t xml:space="preserve">. SRI-driven initiatives highlight the extensive effects of investment choices, urging stakeholders to contemplate the enduring ecological and social ramifications of their financial activities </w:t>
      </w:r>
      <w:r w:rsidR="00670185">
        <w:rPr>
          <w:rFonts w:asciiTheme="majorBidi" w:hAnsiTheme="majorBidi" w:cstheme="majorBidi"/>
          <w:sz w:val="24"/>
          <w:szCs w:val="24"/>
        </w:rPr>
        <w:fldChar w:fldCharType="begin" w:fldLock="1"/>
      </w:r>
      <w:r w:rsidR="00670185">
        <w:rPr>
          <w:rFonts w:asciiTheme="majorBidi" w:hAnsiTheme="majorBidi" w:cstheme="majorBidi"/>
          <w:sz w:val="24"/>
          <w:szCs w:val="24"/>
        </w:rPr>
        <w:instrText>ADDIN CSL_CITATION {"citationItems":[{"id":"ITEM-1","itemData":{"DOI":"10.1016/j.eneco.2022.106497","abstract":"Off-farm employment is a prominent manifestation of rural-urban transformation in developing countries, and it theoretically plays a critical role in rural sustainable energy transformation. Exploiting the nationally representative household-level panel data from the China Labor-force Dynamics Survey (CLDS), this study employs a multi-dimensional fixed-effects (MDFE) model, an inverse probability weighted regression adjustment (IPWRA) technique and a propensity score matching (PSM) approach to investigate the impact of off-farm employment on cooking fuel choices. The results show that off-farm employment exerts a positive and significant impact on the probability of adopting clean fuels for cooking, with specific reductions in biomass and coal and increases in electricity and gas. Furthermore, this effect is mainly realized by reducing the amount of available labor, the number of family meals, and increasing kitchen equipment purchases. However, the relationship between off-farm employment and cooking fuel choices varies considerably across the region, village and household groups. Off-farm employment mainly benefits the eastern, central and western regions of China, villages in plain areas, with brick-concrete houses and ethnic Han Chinese, households with children or the elderly, with poor health and more females, while it is less beneficial for others. The study highlights the important policy implications of rural-urban transition for sustainable energy transition through the creation of off-farm jobs.","author":[{"dropping-particle":"","family":"Zheng","given":"Linyi","non-dropping-particle":"","parse-names":false,"suffix":""}],"container-title":"Energy Economics","id":"ITEM-1","issued":{"date-parts":[["2023"]]},"publisher":"Elsevier B.V.","title":"Impact of off-farm employment on cooking fuel choices: Implications for rural-urban transformation in advancing sustainable energy transformation","type":"article-journal","volume":"118"},"uris":["http://www.mendeley.com/documents/?uuid=fff51733-e27f-45c5-b623-6b6411f6366c"]}],"mendeley":{"formattedCitation":"(Zheng, 2023)","plainTextFormattedCitation":"(Zheng, 2023)","previouslyFormattedCitation":"(Zheng, 2023)"},"properties":{"noteIndex":0},"schema":"https://github.com/citation-style-language/schema/raw/master/csl-citation.json"}</w:instrText>
      </w:r>
      <w:r w:rsidR="00670185">
        <w:rPr>
          <w:rFonts w:asciiTheme="majorBidi" w:hAnsiTheme="majorBidi" w:cstheme="majorBidi"/>
          <w:sz w:val="24"/>
          <w:szCs w:val="24"/>
        </w:rPr>
        <w:fldChar w:fldCharType="separate"/>
      </w:r>
      <w:r w:rsidR="00670185" w:rsidRPr="00670185">
        <w:rPr>
          <w:rFonts w:asciiTheme="majorBidi" w:hAnsiTheme="majorBidi" w:cstheme="majorBidi"/>
          <w:noProof/>
          <w:sz w:val="24"/>
          <w:szCs w:val="24"/>
        </w:rPr>
        <w:t>(Zheng, 2023)</w:t>
      </w:r>
      <w:r w:rsidR="00670185">
        <w:rPr>
          <w:rFonts w:asciiTheme="majorBidi" w:hAnsiTheme="majorBidi" w:cstheme="majorBidi"/>
          <w:sz w:val="24"/>
          <w:szCs w:val="24"/>
        </w:rPr>
        <w:fldChar w:fldCharType="end"/>
      </w:r>
      <w:r w:rsidRPr="00AA3806">
        <w:rPr>
          <w:rFonts w:asciiTheme="majorBidi" w:hAnsiTheme="majorBidi" w:cstheme="majorBidi"/>
          <w:sz w:val="24"/>
          <w:szCs w:val="24"/>
        </w:rPr>
        <w:t>.</w:t>
      </w:r>
    </w:p>
    <w:p w:rsidR="00F0660B" w:rsidRPr="00AA3806" w:rsidRDefault="00F0660B" w:rsidP="00AA3806">
      <w:pPr>
        <w:spacing w:after="0" w:line="480" w:lineRule="auto"/>
        <w:jc w:val="both"/>
        <w:rPr>
          <w:rFonts w:asciiTheme="majorBidi" w:hAnsiTheme="majorBidi" w:cstheme="majorBidi"/>
          <w:sz w:val="24"/>
          <w:szCs w:val="24"/>
        </w:rPr>
      </w:pPr>
      <w:r w:rsidRPr="00AA3806">
        <w:rPr>
          <w:rFonts w:asciiTheme="majorBidi" w:hAnsiTheme="majorBidi" w:cstheme="majorBidi"/>
          <w:sz w:val="24"/>
          <w:szCs w:val="24"/>
        </w:rPr>
        <w:t>The alteration in investment patterns is seen in the relative market performance of renewable and fossil fuel assets</w:t>
      </w:r>
      <w:r w:rsidR="003114E3">
        <w:rPr>
          <w:rFonts w:asciiTheme="majorBidi" w:hAnsiTheme="majorBidi" w:cstheme="majorBidi"/>
          <w:sz w:val="24"/>
          <w:szCs w:val="24"/>
        </w:rPr>
        <w:t xml:space="preserve"> </w:t>
      </w:r>
      <w:r w:rsidR="003114E3">
        <w:rPr>
          <w:rFonts w:asciiTheme="majorBidi" w:hAnsiTheme="majorBidi" w:cstheme="majorBidi"/>
          <w:sz w:val="24"/>
          <w:szCs w:val="24"/>
        </w:rPr>
        <w:fldChar w:fldCharType="begin" w:fldLock="1"/>
      </w:r>
      <w:r w:rsidR="003114E3">
        <w:rPr>
          <w:rFonts w:asciiTheme="majorBidi" w:hAnsiTheme="majorBidi" w:cstheme="majorBidi"/>
          <w:sz w:val="24"/>
          <w:szCs w:val="24"/>
        </w:rPr>
        <w:instrText>ADDIN CSL_CITATION {"citationItems":[{"id":"ITEM-1","itemData":{"ISSN":"2352-152X","author":[{"dropping-particle":"","family":"Kamran","given":"Muhammad","non-dropping-particle":"","parse-names":false,"suffix":""},{"dropping-particle":"","family":"Turzyński","given":"Marek","non-dropping-particle":"","parse-names":false,"suffix":""}],"container-title":"Journal of Energy Storage","id":"ITEM-1","issued":{"date-parts":[["2024"]]},"page":"112601","publisher":"Elsevier","title":"Exploring hydrogen energy systems: A comprehensive review of technologies, applications, prevailing trends, and associated challenges","type":"article-journal","volume":"96"},"uris":["http://www.mendeley.com/documents/?uuid=c161f063-fb88-46db-88a5-7c6c8d006654"]}],"mendeley":{"formattedCitation":"(Kamran &amp; Turzyński, 2024)","plainTextFormattedCitation":"(Kamran &amp; Turzyński, 2024)","previouslyFormattedCitation":"(Kamran &amp; Turzyński, 2024)"},"properties":{"noteIndex":0},"schema":"https://github.com/citation-style-language/schema/raw/master/csl-citation.json"}</w:instrText>
      </w:r>
      <w:r w:rsidR="003114E3">
        <w:rPr>
          <w:rFonts w:asciiTheme="majorBidi" w:hAnsiTheme="majorBidi" w:cstheme="majorBidi"/>
          <w:sz w:val="24"/>
          <w:szCs w:val="24"/>
        </w:rPr>
        <w:fldChar w:fldCharType="separate"/>
      </w:r>
      <w:r w:rsidR="003114E3" w:rsidRPr="003114E3">
        <w:rPr>
          <w:rFonts w:asciiTheme="majorBidi" w:hAnsiTheme="majorBidi" w:cstheme="majorBidi"/>
          <w:noProof/>
          <w:sz w:val="24"/>
          <w:szCs w:val="24"/>
        </w:rPr>
        <w:t>(Kamran &amp; Turzyński, 2024)</w:t>
      </w:r>
      <w:r w:rsidR="003114E3">
        <w:rPr>
          <w:rFonts w:asciiTheme="majorBidi" w:hAnsiTheme="majorBidi" w:cstheme="majorBidi"/>
          <w:sz w:val="24"/>
          <w:szCs w:val="24"/>
        </w:rPr>
        <w:fldChar w:fldCharType="end"/>
      </w:r>
      <w:r w:rsidRPr="00AA3806">
        <w:rPr>
          <w:rFonts w:asciiTheme="majorBidi" w:hAnsiTheme="majorBidi" w:cstheme="majorBidi"/>
          <w:sz w:val="24"/>
          <w:szCs w:val="24"/>
        </w:rPr>
        <w:t>. Investments in renewable energy recently reached a record market capitalization of $1,740 billion, but investments in fossil fuels declined to a historic low of $1,050 billion. The data demonstrates an increasing inclination towards clean energy, motivated by economic feasibility and ecological need. Businesses are recognizing the economic promise of green energy technology and are swiftly modifying their strategy to leverage this momentum. Financial institutions are modifying their investment structures to facilitate the expansion of renewable energy projects, so expediting the transition to a sustainable economy.</w:t>
      </w:r>
    </w:p>
    <w:p w:rsidR="00F0660B" w:rsidRPr="00AA3806" w:rsidRDefault="00F0660B" w:rsidP="00670185">
      <w:pPr>
        <w:spacing w:after="0" w:line="480" w:lineRule="auto"/>
        <w:jc w:val="both"/>
        <w:rPr>
          <w:rFonts w:asciiTheme="majorBidi" w:hAnsiTheme="majorBidi" w:cstheme="majorBidi"/>
          <w:sz w:val="24"/>
          <w:szCs w:val="24"/>
        </w:rPr>
      </w:pPr>
      <w:r w:rsidRPr="00AA3806">
        <w:rPr>
          <w:rFonts w:asciiTheme="majorBidi" w:hAnsiTheme="majorBidi" w:cstheme="majorBidi"/>
          <w:sz w:val="24"/>
          <w:szCs w:val="24"/>
        </w:rPr>
        <w:t xml:space="preserve">Innovative technologies are pivotal in the renewable energy surge, providing novel answers to issues in sustainable energy utilization and funding. A significant advancement is the use of </w:t>
      </w:r>
      <w:r w:rsidR="00AA3806" w:rsidRPr="00AA3806">
        <w:rPr>
          <w:rFonts w:asciiTheme="majorBidi" w:hAnsiTheme="majorBidi" w:cstheme="majorBidi"/>
          <w:sz w:val="24"/>
          <w:szCs w:val="24"/>
        </w:rPr>
        <w:t>block chain</w:t>
      </w:r>
      <w:r w:rsidRPr="00AA3806">
        <w:rPr>
          <w:rFonts w:asciiTheme="majorBidi" w:hAnsiTheme="majorBidi" w:cstheme="majorBidi"/>
          <w:sz w:val="24"/>
          <w:szCs w:val="24"/>
        </w:rPr>
        <w:t xml:space="preserve"> technology in the energy industry. </w:t>
      </w:r>
      <w:r w:rsidR="00AA3806" w:rsidRPr="00AA3806">
        <w:rPr>
          <w:rFonts w:asciiTheme="majorBidi" w:hAnsiTheme="majorBidi" w:cstheme="majorBidi"/>
          <w:sz w:val="24"/>
          <w:szCs w:val="24"/>
        </w:rPr>
        <w:t>Block chain</w:t>
      </w:r>
      <w:r w:rsidRPr="00AA3806">
        <w:rPr>
          <w:rFonts w:asciiTheme="majorBidi" w:hAnsiTheme="majorBidi" w:cstheme="majorBidi"/>
          <w:sz w:val="24"/>
          <w:szCs w:val="24"/>
        </w:rPr>
        <w:t xml:space="preserve"> has facilitated the development of decentralized and transparent financial instruments that allow energy transactions, such as energy tokens. These digital currencies, supported by public </w:t>
      </w:r>
      <w:r w:rsidR="00AA3806" w:rsidRPr="00AA3806">
        <w:rPr>
          <w:rFonts w:asciiTheme="majorBidi" w:hAnsiTheme="majorBidi" w:cstheme="majorBidi"/>
          <w:sz w:val="24"/>
          <w:szCs w:val="24"/>
        </w:rPr>
        <w:t>block chains</w:t>
      </w:r>
      <w:r w:rsidRPr="00AA3806">
        <w:rPr>
          <w:rFonts w:asciiTheme="majorBidi" w:hAnsiTheme="majorBidi" w:cstheme="majorBidi"/>
          <w:sz w:val="24"/>
          <w:szCs w:val="24"/>
        </w:rPr>
        <w:t xml:space="preserve">, enable users to sell energy </w:t>
      </w:r>
      <w:r w:rsidRPr="00AA3806">
        <w:rPr>
          <w:rFonts w:asciiTheme="majorBidi" w:hAnsiTheme="majorBidi" w:cstheme="majorBidi"/>
          <w:sz w:val="24"/>
          <w:szCs w:val="24"/>
        </w:rPr>
        <w:lastRenderedPageBreak/>
        <w:t xml:space="preserve">securely and efficiently. Integrating cryptocurrencies and </w:t>
      </w:r>
      <w:r w:rsidR="00AA3806" w:rsidRPr="00AA3806">
        <w:rPr>
          <w:rFonts w:asciiTheme="majorBidi" w:hAnsiTheme="majorBidi" w:cstheme="majorBidi"/>
          <w:sz w:val="24"/>
          <w:szCs w:val="24"/>
        </w:rPr>
        <w:t>block chain</w:t>
      </w:r>
      <w:r w:rsidRPr="00AA3806">
        <w:rPr>
          <w:rFonts w:asciiTheme="majorBidi" w:hAnsiTheme="majorBidi" w:cstheme="majorBidi"/>
          <w:sz w:val="24"/>
          <w:szCs w:val="24"/>
        </w:rPr>
        <w:t xml:space="preserve"> systems has made the renewable energy sector more accessible, scalable, and inclusive. These developments highlight the significance of innovation in improving the viability and attractiveness of renewable energy investments, connecting technical progress with sustainable behaviors </w:t>
      </w:r>
      <w:r w:rsidR="00670185">
        <w:rPr>
          <w:rFonts w:asciiTheme="majorBidi" w:hAnsiTheme="majorBidi" w:cstheme="majorBidi"/>
          <w:sz w:val="24"/>
          <w:szCs w:val="24"/>
        </w:rPr>
        <w:fldChar w:fldCharType="begin" w:fldLock="1"/>
      </w:r>
      <w:r w:rsidR="00670185">
        <w:rPr>
          <w:rFonts w:asciiTheme="majorBidi" w:hAnsiTheme="majorBidi" w:cstheme="majorBidi"/>
          <w:sz w:val="24"/>
          <w:szCs w:val="24"/>
        </w:rPr>
        <w:instrText>ADDIN CSL_CITATION {"citationItems":[{"id":"ITEM-1","itemData":{"DOI":"10.1039/C9EE02873K","ISSN":"17545706","abstract":"The future of a carbon-free society relies on the alignment of the intermittent production of renewable energy with our continuous and increasing energy demands. Long-term energy storage in molecules with high energy content and density such as ammonia can act as a buffer versus short-term storage (e.g. batteries). In this paper, we demonstrate that the Haber-Bosch ammonia synthesis loop can indeed enable a second ammonia revolution as energy vector by replacing the CO2 intensive methane-fed process with hydrogen produced by water splitting using renewable electricity. These modifications demand a redefinition of the conventional Haber-Bosch process with a new optimisation beyond the current one which was driven by cheap and abundant natural gas and relaxed environmental concerns during the last century. Indeed, the switch to electrical energy as fuel and feedstock to replace fossil fuels (e.g. methane) will lead to dramatic energy efficiency improvements through the use of high efficiency electrical motors and complete elimination of direct CO2 emissions. Despite the technical feasibility of the electrically-driven Haber-Bosch ammonia, the question still remains whether such revolution will take place. We reveal that its success relies on two factors: increased energy efficiency and the development of small-scale, distributed and agile processes that can align to the geographically isolated and intermittent renewable energy sources. The former requires not only higher electrolyser efficiencies for hydrogen production but also a holistic approach to the ammonia synthesis loop with the replacement of the condensation separation step by alternative technologies such as absorption and catalysis development. Such innovations will open the door to moderate pressure systems, the development and deployment of novel ammonia synthesis catalysts, and even more importantly, the opportunity for integration of reaction and separation steps to overcome equilibrium limitations. When realised, green ammonia will reshape the current energy landscape by directly replacing fossil fuels in transportation, heating, electricity, etc., and as done in the last century, food.","author":[{"dropping-particle":"","family":"Smith","given":"Collin","non-dropping-particle":"","parse-names":false,"suffix":""},{"dropping-particle":"","family":"Hill","given":"Alfred K.","non-dropping-particle":"","parse-names":false,"suffix":""},{"dropping-particle":"","family":"Torrente-Murciano","given":"Laura","non-dropping-particle":"","parse-names":false,"suffix":""}],"container-title":"Energy and Environmental Science","id":"ITEM-1","issue":"2","issued":{"date-parts":[["2020","2"]]},"page":"331-344","publisher":"Royal Society of Chemistry","title":"Current and future role of Haber-Bosch ammonia in a carbon-free energy landscape","type":"article-journal","volume":"13"},"uris":["http://www.mendeley.com/documents/?uuid=85993249-7d4a-4856-94cd-8be0f9af665f"]}],"mendeley":{"formattedCitation":"(Smith et al., 2020)","plainTextFormattedCitation":"(Smith et al., 2020)","previouslyFormattedCitation":"(Smith et al., 2020)"},"properties":{"noteIndex":0},"schema":"https://github.com/citation-style-language/schema/raw/master/csl-citation.json"}</w:instrText>
      </w:r>
      <w:r w:rsidR="00670185">
        <w:rPr>
          <w:rFonts w:asciiTheme="majorBidi" w:hAnsiTheme="majorBidi" w:cstheme="majorBidi"/>
          <w:sz w:val="24"/>
          <w:szCs w:val="24"/>
        </w:rPr>
        <w:fldChar w:fldCharType="separate"/>
      </w:r>
      <w:r w:rsidR="00670185" w:rsidRPr="00670185">
        <w:rPr>
          <w:rFonts w:asciiTheme="majorBidi" w:hAnsiTheme="majorBidi" w:cstheme="majorBidi"/>
          <w:noProof/>
          <w:sz w:val="24"/>
          <w:szCs w:val="24"/>
        </w:rPr>
        <w:t>(Smith et al., 2020)</w:t>
      </w:r>
      <w:r w:rsidR="00670185">
        <w:rPr>
          <w:rFonts w:asciiTheme="majorBidi" w:hAnsiTheme="majorBidi" w:cstheme="majorBidi"/>
          <w:sz w:val="24"/>
          <w:szCs w:val="24"/>
        </w:rPr>
        <w:fldChar w:fldCharType="end"/>
      </w:r>
      <w:r w:rsidRPr="00AA3806">
        <w:rPr>
          <w:rFonts w:asciiTheme="majorBidi" w:hAnsiTheme="majorBidi" w:cstheme="majorBidi"/>
          <w:sz w:val="24"/>
          <w:szCs w:val="24"/>
        </w:rPr>
        <w:t>.</w:t>
      </w:r>
    </w:p>
    <w:p w:rsidR="00F0660B" w:rsidRDefault="00F0660B" w:rsidP="00F0660B">
      <w:pPr>
        <w:spacing w:after="0" w:line="480" w:lineRule="auto"/>
        <w:jc w:val="both"/>
        <w:rPr>
          <w:rFonts w:asciiTheme="majorBidi" w:hAnsiTheme="majorBidi" w:cstheme="majorBidi"/>
          <w:sz w:val="24"/>
          <w:szCs w:val="24"/>
        </w:rPr>
      </w:pPr>
      <w:r w:rsidRPr="00AA3806">
        <w:rPr>
          <w:rFonts w:asciiTheme="majorBidi" w:hAnsiTheme="majorBidi" w:cstheme="majorBidi"/>
          <w:sz w:val="24"/>
          <w:szCs w:val="24"/>
        </w:rPr>
        <w:t xml:space="preserve">The amalgamation of environmental advocacy, renewable energy, and sustainable investment signifies a formidable initiative towards a more sustainable future. Activists' endeavors to alter public perception, impact corporate practices, and promote regulatory reforms have initiated a worldwide transition to sustainable energy. The financial markets' adoption of SRI and green investments has established a strong basis for enduring environmental and economic resilience. Innovations like </w:t>
      </w:r>
      <w:r w:rsidR="00670185" w:rsidRPr="00AA3806">
        <w:rPr>
          <w:rFonts w:asciiTheme="majorBidi" w:hAnsiTheme="majorBidi" w:cstheme="majorBidi"/>
          <w:sz w:val="24"/>
          <w:szCs w:val="24"/>
        </w:rPr>
        <w:t>block chain</w:t>
      </w:r>
      <w:r w:rsidRPr="00AA3806">
        <w:rPr>
          <w:rFonts w:asciiTheme="majorBidi" w:hAnsiTheme="majorBidi" w:cstheme="majorBidi"/>
          <w:sz w:val="24"/>
          <w:szCs w:val="24"/>
        </w:rPr>
        <w:t xml:space="preserve"> augment the efficiency and inclusiveness of renewable energy sources, securing their sustainability in a swiftly changing energy environment. Collectively, these components underscore the interrelation between activism, technology, and money in realizing sustainable development objectives. This collaboration not only tackles urgent environmental issues but also promotes a more just and sustainable global economy, facilitating a greener, more resilient future.</w:t>
      </w:r>
    </w:p>
    <w:p w:rsidR="00DA29CA" w:rsidRPr="00DA29CA" w:rsidRDefault="00DA29CA" w:rsidP="00DA29CA">
      <w:pPr>
        <w:spacing w:after="0" w:line="480" w:lineRule="auto"/>
        <w:jc w:val="both"/>
        <w:rPr>
          <w:rFonts w:asciiTheme="majorBidi" w:hAnsiTheme="majorBidi" w:cstheme="majorBidi"/>
          <w:sz w:val="24"/>
          <w:szCs w:val="24"/>
        </w:rPr>
      </w:pPr>
      <w:r w:rsidRPr="00DA29CA">
        <w:rPr>
          <w:rFonts w:asciiTheme="majorBidi" w:hAnsiTheme="majorBidi" w:cstheme="majorBidi"/>
          <w:sz w:val="24"/>
          <w:szCs w:val="24"/>
        </w:rPr>
        <w:t>The emergence of renewable energy tokens, propelled by innovations in block chain technology, has signified a substantial transformation in the energy and finance industries</w:t>
      </w:r>
      <w:r w:rsidR="003114E3">
        <w:rPr>
          <w:rFonts w:asciiTheme="majorBidi" w:hAnsiTheme="majorBidi" w:cstheme="majorBidi"/>
          <w:sz w:val="24"/>
          <w:szCs w:val="24"/>
        </w:rPr>
        <w:t xml:space="preserve"> </w:t>
      </w:r>
      <w:r w:rsidR="003114E3">
        <w:rPr>
          <w:rFonts w:asciiTheme="majorBidi" w:hAnsiTheme="majorBidi" w:cstheme="majorBidi"/>
          <w:sz w:val="24"/>
          <w:szCs w:val="24"/>
        </w:rPr>
        <w:fldChar w:fldCharType="begin" w:fldLock="1"/>
      </w:r>
      <w:r w:rsidR="003114E3">
        <w:rPr>
          <w:rFonts w:asciiTheme="majorBidi" w:hAnsiTheme="majorBidi" w:cstheme="majorBidi"/>
          <w:sz w:val="24"/>
          <w:szCs w:val="24"/>
        </w:rPr>
        <w:instrText>ADDIN CSL_CITATION {"citationItems":[{"id":"ITEM-1","itemData":{"ISSN":"1364-0321","author":[{"dropping-particle":"","family":"Bagheri","given":"Mehdi","non-dropping-particle":"","parse-names":false,"suffix":""},{"dropping-particle":"","family":"Shirzadi","given":"Navid","non-dropping-particle":"","parse-names":false,"suffix":""},{"dropping-particle":"","family":"Bazdar","given":"Elahe","non-dropping-particle":"","parse-names":false,"suffix":""},{"dropping-particle":"","family":"Kennedy","given":"Christopher A","non-dropping-particle":"","parse-names":false,"suffix":""}],"container-title":"Renewable and sustainable energy reviews","id":"ITEM-1","issued":{"date-parts":[["2018"]]},"page":"254-264","publisher":"Elsevier","title":"Optimal planning of hybrid renewable energy infrastructure for urban sustainability: Green Vancouver","type":"article-journal","volume":"95"},"uris":["http://www.mendeley.com/documents/?uuid=03725b49-d0b9-47d1-83e7-296cd2e0fc68"]}],"mendeley":{"formattedCitation":"(Bagheri et al., 2018)","plainTextFormattedCitation":"(Bagheri et al., 2018)","previouslyFormattedCitation":"(Bagheri et al., 2018)"},"properties":{"noteIndex":0},"schema":"https://github.com/citation-style-language/schema/raw/master/csl-citation.json"}</w:instrText>
      </w:r>
      <w:r w:rsidR="003114E3">
        <w:rPr>
          <w:rFonts w:asciiTheme="majorBidi" w:hAnsiTheme="majorBidi" w:cstheme="majorBidi"/>
          <w:sz w:val="24"/>
          <w:szCs w:val="24"/>
        </w:rPr>
        <w:fldChar w:fldCharType="separate"/>
      </w:r>
      <w:r w:rsidR="003114E3" w:rsidRPr="003114E3">
        <w:rPr>
          <w:rFonts w:asciiTheme="majorBidi" w:hAnsiTheme="majorBidi" w:cstheme="majorBidi"/>
          <w:noProof/>
          <w:sz w:val="24"/>
          <w:szCs w:val="24"/>
        </w:rPr>
        <w:t>(Bagheri et al., 2018)</w:t>
      </w:r>
      <w:r w:rsidR="003114E3">
        <w:rPr>
          <w:rFonts w:asciiTheme="majorBidi" w:hAnsiTheme="majorBidi" w:cstheme="majorBidi"/>
          <w:sz w:val="24"/>
          <w:szCs w:val="24"/>
        </w:rPr>
        <w:fldChar w:fldCharType="end"/>
      </w:r>
      <w:r w:rsidRPr="00DA29CA">
        <w:rPr>
          <w:rFonts w:asciiTheme="majorBidi" w:hAnsiTheme="majorBidi" w:cstheme="majorBidi"/>
          <w:sz w:val="24"/>
          <w:szCs w:val="24"/>
        </w:rPr>
        <w:t xml:space="preserve">. The tokens, such as GRID, We Power-WPR, and Sun Contract-SNC, provide a decentralized and transparent method for energy trading, radically transforming the conventional dynamics of the energy market. Block chain-based energy tokens facilitate the transformation of fiat energy transactions into digital money, minimizing middlemen and transaction expenses. Initiatives such as We Power and Power Ledger are leading the development of consumer-centric solutions designed to reduce transaction costs and promote a more decentralized energy </w:t>
      </w:r>
      <w:r w:rsidRPr="00DA29CA">
        <w:rPr>
          <w:rFonts w:asciiTheme="majorBidi" w:hAnsiTheme="majorBidi" w:cstheme="majorBidi"/>
          <w:sz w:val="24"/>
          <w:szCs w:val="24"/>
        </w:rPr>
        <w:lastRenderedPageBreak/>
        <w:t>framework. These technologies are boosting efficiency and encouraging sustainable resource management by facilitating more direct and transparent energy transactions.</w:t>
      </w:r>
    </w:p>
    <w:p w:rsidR="00DA29CA" w:rsidRPr="00DA29CA" w:rsidRDefault="00DA29CA" w:rsidP="00DA29CA">
      <w:pPr>
        <w:spacing w:after="0" w:line="480" w:lineRule="auto"/>
        <w:jc w:val="both"/>
        <w:rPr>
          <w:rFonts w:asciiTheme="majorBidi" w:hAnsiTheme="majorBidi" w:cstheme="majorBidi"/>
          <w:sz w:val="24"/>
          <w:szCs w:val="24"/>
        </w:rPr>
      </w:pPr>
      <w:r w:rsidRPr="00DA29CA">
        <w:rPr>
          <w:rFonts w:asciiTheme="majorBidi" w:hAnsiTheme="majorBidi" w:cstheme="majorBidi"/>
          <w:sz w:val="24"/>
          <w:szCs w:val="24"/>
        </w:rPr>
        <w:t xml:space="preserve"> </w:t>
      </w:r>
    </w:p>
    <w:p w:rsidR="00DA29CA" w:rsidRPr="00DA29CA" w:rsidRDefault="00DA29CA" w:rsidP="008566B4">
      <w:pPr>
        <w:spacing w:after="0" w:line="480" w:lineRule="auto"/>
        <w:jc w:val="both"/>
        <w:rPr>
          <w:rFonts w:asciiTheme="majorBidi" w:hAnsiTheme="majorBidi" w:cstheme="majorBidi"/>
          <w:sz w:val="24"/>
          <w:szCs w:val="24"/>
        </w:rPr>
      </w:pPr>
      <w:r w:rsidRPr="00DA29CA">
        <w:rPr>
          <w:rFonts w:asciiTheme="majorBidi" w:hAnsiTheme="majorBidi" w:cstheme="majorBidi"/>
          <w:sz w:val="24"/>
          <w:szCs w:val="24"/>
        </w:rPr>
        <w:t xml:space="preserve">The ramifications of renewable energy tokens beyond energy markets, revolutionizing the investing arena via the introduction of innovative digital financial instruments. These tokens are transforming conventional investing techniques by providing an alternative that directly connects digital assets with green energy. The absence of actual data about their risk-return processes poses difficulties for market actors and investors. Comprehending the correlation between renewable energy tokens and their foundational assets is essential for formulating appropriate risk management methods and maintaining the stability of these novel financial instruments. </w:t>
      </w:r>
      <w:r w:rsidR="008566B4" w:rsidRPr="008566B4">
        <w:rPr>
          <w:rFonts w:asciiTheme="majorBidi" w:hAnsiTheme="majorBidi" w:cstheme="majorBidi"/>
          <w:sz w:val="24"/>
          <w:szCs w:val="24"/>
        </w:rPr>
        <w:t xml:space="preserve">Renewable energy tokens (RETs) provide distinctive investment prospects by associating eco-friendly initiatives with block chain technology, prompting inquiries over their risk, return, and compatibility with conventional assets. </w:t>
      </w:r>
      <w:r w:rsidRPr="00DA29CA">
        <w:rPr>
          <w:rFonts w:asciiTheme="majorBidi" w:hAnsiTheme="majorBidi" w:cstheme="majorBidi"/>
          <w:sz w:val="24"/>
          <w:szCs w:val="24"/>
        </w:rPr>
        <w:t>The current research on renewable energy stocks and equity markets offers insights into energy investment dynamics but fails to include the unique characteristics of block chain-based energy tokens. Examining the interaction of these tokens with conventional assets is crucial for developing a thorough understanding of their function within the wider economic framework. This study is urgently required in quickly rising economies such as the BRICS countries, which are experiencing substantial energy changes. These economies provide an optimal environment for analyzing the scalability and influence of renewable energy tokens, due to their varied legislative frameworks and economic situations.</w:t>
      </w:r>
    </w:p>
    <w:p w:rsidR="00DA29CA" w:rsidRDefault="004A2587" w:rsidP="00DA29CA">
      <w:pPr>
        <w:spacing w:after="0" w:line="480" w:lineRule="auto"/>
        <w:jc w:val="both"/>
        <w:rPr>
          <w:rFonts w:asciiTheme="majorBidi" w:hAnsiTheme="majorBidi" w:cstheme="majorBidi"/>
          <w:sz w:val="24"/>
          <w:szCs w:val="24"/>
        </w:rPr>
      </w:pPr>
      <w:r w:rsidRPr="004A2587">
        <w:rPr>
          <w:rFonts w:asciiTheme="majorBidi" w:hAnsiTheme="majorBidi" w:cstheme="majorBidi"/>
          <w:sz w:val="24"/>
          <w:szCs w:val="24"/>
        </w:rPr>
        <w:t xml:space="preserve">Analyzing the static and dynamic relationships of renewable energy tokens, traditional assets, and equities may uncover integration patterns, providing valuable insights for the diversification of portfolios and sustainable investing strategies in international markets. </w:t>
      </w:r>
      <w:r w:rsidR="00DA29CA" w:rsidRPr="00DA29CA">
        <w:rPr>
          <w:rFonts w:asciiTheme="majorBidi" w:hAnsiTheme="majorBidi" w:cstheme="majorBidi"/>
          <w:sz w:val="24"/>
          <w:szCs w:val="24"/>
        </w:rPr>
        <w:t xml:space="preserve">This investigation is </w:t>
      </w:r>
      <w:r w:rsidR="00DA29CA" w:rsidRPr="00DA29CA">
        <w:rPr>
          <w:rFonts w:asciiTheme="majorBidi" w:hAnsiTheme="majorBidi" w:cstheme="majorBidi"/>
          <w:sz w:val="24"/>
          <w:szCs w:val="24"/>
        </w:rPr>
        <w:lastRenderedPageBreak/>
        <w:t>essential for improving sustainable energy practices, promoting economic development, and tackling the issues associated with the shift to digital and decentralized energy markets.</w:t>
      </w:r>
    </w:p>
    <w:p w:rsidR="00DA29CA" w:rsidRPr="00DA29CA" w:rsidRDefault="00DA29CA" w:rsidP="004A2587">
      <w:pPr>
        <w:spacing w:after="0" w:line="480" w:lineRule="auto"/>
        <w:jc w:val="both"/>
        <w:rPr>
          <w:rFonts w:asciiTheme="majorBidi" w:hAnsiTheme="majorBidi" w:cstheme="majorBidi"/>
          <w:sz w:val="24"/>
          <w:szCs w:val="24"/>
        </w:rPr>
      </w:pPr>
      <w:r w:rsidRPr="00DA29CA">
        <w:rPr>
          <w:rFonts w:asciiTheme="majorBidi" w:hAnsiTheme="majorBidi" w:cstheme="majorBidi"/>
          <w:sz w:val="24"/>
          <w:szCs w:val="24"/>
        </w:rPr>
        <w:t xml:space="preserve">The convergence of cryptocurrency markets and renewable energy tokens has elicited considerable academic attention owing to the prospects for diversification, hedging, and risk management measures in both domains. The literature on this topic may be categorized into two primary schools of thought, each emphasizing distinct aspects of the interplay between renewable energy markets, conventional energy markets, and cryptocurrencies. The first school of thought examines the relationships between renewable energy and fossil fuel markets, focusing on the reciprocal advantages of their cooperation. This analysis indicates that these markets provide several chances for hedging and portfolio diversification because of their similar risk-return characteristics. </w:t>
      </w:r>
      <w:r w:rsidR="004A2587" w:rsidRPr="004A2587">
        <w:rPr>
          <w:rFonts w:asciiTheme="majorBidi" w:hAnsiTheme="majorBidi" w:cstheme="majorBidi"/>
          <w:sz w:val="24"/>
          <w:szCs w:val="24"/>
        </w:rPr>
        <w:t xml:space="preserve">The increasing use of green energy, driven by climate issues and the desire for clean energy, has transformed its interaction with fossil fuel markets. Researchers investigate pricing interconnections, competitive dynamics, and policy effects, emphasizing the potential of renewables to challenge fossil fuel supremacy and promote sustainability. </w:t>
      </w:r>
      <w:r w:rsidRPr="00DA29CA">
        <w:rPr>
          <w:rFonts w:asciiTheme="majorBidi" w:hAnsiTheme="majorBidi" w:cstheme="majorBidi"/>
          <w:sz w:val="24"/>
          <w:szCs w:val="24"/>
        </w:rPr>
        <w:t xml:space="preserve">Researchers include </w:t>
      </w:r>
      <w:r w:rsidR="00670185">
        <w:rPr>
          <w:rFonts w:asciiTheme="majorBidi" w:hAnsiTheme="majorBidi" w:cstheme="majorBidi"/>
          <w:sz w:val="24"/>
          <w:szCs w:val="24"/>
        </w:rPr>
        <w:fldChar w:fldCharType="begin" w:fldLock="1"/>
      </w:r>
      <w:r w:rsidR="00670185">
        <w:rPr>
          <w:rFonts w:asciiTheme="majorBidi" w:hAnsiTheme="majorBidi" w:cstheme="majorBidi"/>
          <w:sz w:val="24"/>
          <w:szCs w:val="24"/>
        </w:rPr>
        <w:instrText>ADDIN CSL_CITATION {"citationItems":[{"id":"ITEM-1","itemData":{"DOI":"10.1002/ep.12519","ISSN":"1944-7442","abstract":"This study aims at examining the causal relationship between energy consumption, natural resources, environmental pollution (i.e., CO 2 emissions) and climate change (i.e., Greenhouse gas emissions ‐ GHG) in the context of Pakistan, over the period of 1975–2012. The study applied bivariate cointegration and Granger causality technique for robust inferences. The results show that energy demand increases gas rents, natural resource rents, and oil rents while it exhausts the natural resources. Natural resources further affected by air pollution and climate change in a country. The results of Granger causality indicate that there is a bidirectional causality between (i) energy consumption and net forest depletion, (ii) energy demand and oil rent, (iii) forest rents and CO 2 emissions, (iv) natural resource depletion and GHG emissions, and (v) net forest depletion and GHG emissions, while, there is a unidirectional causality running from CO 2 emissions to oil rents, from net forest depletion to CO 2 emissions, and from GHG emissions to forest rent, mineral rent, natural gas rent, and oil rent in a country. Finally, the study confirmed the “neutrality hypothesis” between coal rent, natural resource rent, and GHG emissions in Pakistan. © 2016 American Institute of Chemical Engineers Environ Prog, 36: 638–648, 2017","author":[{"dropping-particle":"","family":"Zaman","given":"Khalid","non-dropping-particle":"","parse-names":false,"suffix":""},{"dropping-particle":"","family":"Abdullah","given":"Iqra","non-dropping-particle":"","parse-names":false,"suffix":""},{"dropping-particle":"","family":"Ali","given":"Muneeb","non-dropping-particle":"","parse-names":false,"suffix":""}],"container-title":"Environmental Progress &amp; Sustainable Energy","id":"ITEM-1","issue":"2","issued":{"date-parts":[["2017","3"]]},"page":"638-648","title":"Decomposing the linkages between energy consumption, air pollution, climate change, and natural resource depletion in &lt;scp&gt;P&lt;/scp&gt; akistan","type":"article-journal","volume":"36"},"uris":["http://www.mendeley.com/documents/?uuid=0e91edce-921d-4710-9819-2daf02beabd0"]}],"mendeley":{"formattedCitation":"(Zaman et al., 2017)","plainTextFormattedCitation":"(Zaman et al., 2017)","previouslyFormattedCitation":"(Zaman et al., 2017)"},"properties":{"noteIndex":0},"schema":"https://github.com/citation-style-language/schema/raw/master/csl-citation.json"}</w:instrText>
      </w:r>
      <w:r w:rsidR="00670185">
        <w:rPr>
          <w:rFonts w:asciiTheme="majorBidi" w:hAnsiTheme="majorBidi" w:cstheme="majorBidi"/>
          <w:sz w:val="24"/>
          <w:szCs w:val="24"/>
        </w:rPr>
        <w:fldChar w:fldCharType="separate"/>
      </w:r>
      <w:r w:rsidR="00670185" w:rsidRPr="00670185">
        <w:rPr>
          <w:rFonts w:asciiTheme="majorBidi" w:hAnsiTheme="majorBidi" w:cstheme="majorBidi"/>
          <w:noProof/>
          <w:sz w:val="24"/>
          <w:szCs w:val="24"/>
        </w:rPr>
        <w:t>(Zaman et al., 2017)</w:t>
      </w:r>
      <w:r w:rsidR="00670185">
        <w:rPr>
          <w:rFonts w:asciiTheme="majorBidi" w:hAnsiTheme="majorBidi" w:cstheme="majorBidi"/>
          <w:sz w:val="24"/>
          <w:szCs w:val="24"/>
        </w:rPr>
        <w:fldChar w:fldCharType="end"/>
      </w:r>
      <w:r w:rsidR="00670185">
        <w:rPr>
          <w:rFonts w:asciiTheme="majorBidi" w:hAnsiTheme="majorBidi" w:cstheme="majorBidi"/>
          <w:sz w:val="24"/>
          <w:szCs w:val="24"/>
        </w:rPr>
        <w:t xml:space="preserve"> and </w:t>
      </w:r>
      <w:r w:rsidR="00670185">
        <w:rPr>
          <w:rFonts w:asciiTheme="majorBidi" w:hAnsiTheme="majorBidi" w:cstheme="majorBidi"/>
          <w:sz w:val="24"/>
          <w:szCs w:val="24"/>
        </w:rPr>
        <w:fldChar w:fldCharType="begin" w:fldLock="1"/>
      </w:r>
      <w:r w:rsidR="00670185">
        <w:rPr>
          <w:rFonts w:asciiTheme="majorBidi" w:hAnsiTheme="majorBidi" w:cstheme="majorBidi"/>
          <w:sz w:val="24"/>
          <w:szCs w:val="24"/>
        </w:rPr>
        <w:instrText>ADDIN CSL_CITATION {"citationItems":[{"id":"ITEM-1","itemData":{"DOI":"10.4236/jss.2018.64011","abstract":"One Belt One Road (OBOR) Initiative of China is a mega and historical project which facilitates international oil, gas and energy trade and connects people over the world. This article examines the oil, gas, and energy business status under OBOR. It also explores the risk associated with oil, gas and energy business under OBOR initiative of China. The article used secondary sources extensively. The article reveals that China is the top-level energy importing country and the strategy of OBOR is favorable for oil, gas and energy business for all partner countries of OBOR. It also explores the potential risk for oil, gas and energy business under OBOR like political risk, economic risk, investment environment, resource potential, environmental constraints and Chinese factors which can be minimized by using two risk free economic corridors viz. China-Pakistan Corridor (CPEC) and Myanmar-China oil pipeline. The article suggests that a strong initiative should be taken by the government to implement OBOR strategy for creating favorable investment opportunities in China especially for Middle Eastern countries like Saudi Arabia, Russia, Kazakhstan, and Pakistan.","author":[{"dropping-particle":"","family":"Nazirul Islam Sarker","given":"Md","non-dropping-particle":"","parse-names":false,"suffix":""},{"dropping-particle":"","family":"Altab Hossin","given":"Md","non-dropping-particle":"","parse-names":false,"suffix":""},{"dropping-particle":"","family":"Hua","given":"Yinxiao","non-dropping-particle":"","parse-names":false,"suffix":""},{"dropping-particle":"","family":"Kamruzzaman Sarkar","given":"Md","non-dropping-particle":"","parse-names":false,"suffix":""},{"dropping-particle":"","family":"Kumar","given":"Nitin","non-dropping-particle":"","parse-names":false,"suffix":""}],"container-title":"Open Journal of Social Sciences","id":"ITEM-1","issued":{"date-parts":[["2018"]]},"page":"119-134","title":"Oil, Gas and Energy Business under One Belt One Road Strategic Context","type":"article-journal","volume":"6"},"uris":["http://www.mendeley.com/documents/?uuid=9059f7b6-e633-4ae8-8fc3-ed8cce77f034"]}],"mendeley":{"formattedCitation":"(Nazirul Islam Sarker et al., 2018)","plainTextFormattedCitation":"(Nazirul Islam Sarker et al., 2018)","previouslyFormattedCitation":"(Nazirul Islam Sarker et al., 2018)"},"properties":{"noteIndex":0},"schema":"https://github.com/citation-style-language/schema/raw/master/csl-citation.json"}</w:instrText>
      </w:r>
      <w:r w:rsidR="00670185">
        <w:rPr>
          <w:rFonts w:asciiTheme="majorBidi" w:hAnsiTheme="majorBidi" w:cstheme="majorBidi"/>
          <w:sz w:val="24"/>
          <w:szCs w:val="24"/>
        </w:rPr>
        <w:fldChar w:fldCharType="separate"/>
      </w:r>
      <w:r w:rsidR="00670185" w:rsidRPr="00670185">
        <w:rPr>
          <w:rFonts w:asciiTheme="majorBidi" w:hAnsiTheme="majorBidi" w:cstheme="majorBidi"/>
          <w:noProof/>
          <w:sz w:val="24"/>
          <w:szCs w:val="24"/>
        </w:rPr>
        <w:t>(Nazirul Islam Sarker et al., 2018)</w:t>
      </w:r>
      <w:r w:rsidR="00670185">
        <w:rPr>
          <w:rFonts w:asciiTheme="majorBidi" w:hAnsiTheme="majorBidi" w:cstheme="majorBidi"/>
          <w:sz w:val="24"/>
          <w:szCs w:val="24"/>
        </w:rPr>
        <w:fldChar w:fldCharType="end"/>
      </w:r>
      <w:r w:rsidR="00670185">
        <w:rPr>
          <w:rFonts w:asciiTheme="majorBidi" w:hAnsiTheme="majorBidi" w:cstheme="majorBidi"/>
          <w:sz w:val="24"/>
          <w:szCs w:val="24"/>
        </w:rPr>
        <w:t xml:space="preserve"> </w:t>
      </w:r>
      <w:r w:rsidRPr="00DA29CA">
        <w:rPr>
          <w:rFonts w:asciiTheme="majorBidi" w:hAnsiTheme="majorBidi" w:cstheme="majorBidi"/>
          <w:sz w:val="24"/>
          <w:szCs w:val="24"/>
        </w:rPr>
        <w:t xml:space="preserve">have examined the determinants of volatility and returns in various markets, elucidating the intricate linkages across different energy sectors. Renewable energy assets, including equities of solar, wind, and clean technology firms, are often seen as advantageous components of investment portfolios, offering diversification advantages during market volatility. The fluctuations in fossil fuel markets, especially oil, have traditionally been influenced by geopolitical threats, supply-demand discrepancies, and economic cycles. This volatility has led several investors to seek refuge in renewable energy markets as a hedge, especially during times of significant oil price swings. </w:t>
      </w:r>
      <w:r w:rsidR="00670185">
        <w:rPr>
          <w:rFonts w:asciiTheme="majorBidi" w:hAnsiTheme="majorBidi" w:cstheme="majorBidi"/>
          <w:sz w:val="24"/>
          <w:szCs w:val="24"/>
        </w:rPr>
        <w:fldChar w:fldCharType="begin" w:fldLock="1"/>
      </w:r>
      <w:r w:rsidR="00670185">
        <w:rPr>
          <w:rFonts w:asciiTheme="majorBidi" w:hAnsiTheme="majorBidi" w:cstheme="majorBidi"/>
          <w:sz w:val="24"/>
          <w:szCs w:val="24"/>
        </w:rPr>
        <w:instrText>ADDIN CSL_CITATION {"citationItems":[{"id":"ITEM-1","itemData":{"DOI":"10.3390/EN15197093","ISSN":"19961073","abstract":"Sustainable development of the global economy can be achieved with the help of renewable energy (RE). The paper investigates the determinants of RE development in order to boost its adoption. The determinants of RE deployment were analyzed using random-effects GLS regression for the panel data from 27 EU member states in 2011–2020.The results confirm that economic development and high employment in advanced technology manufacturing are drivers of the RE sector, whereas unemployment growth affects RE deployment negatively. Our results show that active political participation and economic freedom promote RE; however, the level of corruption and democracy does not have a statistically significant impact on it. Favorable geographical location was proved to be a determinant of RE development. The hypothesis that plenty of natural resources discourage countries to develop RE was disproved. The major policy implications for RE promotion include the importance of economy deregulation, open market development and educational transformations. Following the results, prospects for further research were outlined.","author":[{"dropping-particle":"","family":"Tu","given":"Yu Xia","non-dropping-particle":"","parse-names":false,"suffix":""},{"dropping-particle":"","family":"Kubatko","given":"Oleksandr","non-dropping-particle":"","parse-names":false,"suffix":""},{"dropping-particle":"","family":"Piven","given":"Vladyslav","non-dropping-particle":"","parse-names":false,"suffix":""},{"dropping-particle":"","family":"Sotnyk","given":"Iryna","non-dropping-particle":"","parse-names":false,"suffix":""},{"dropping-particle":"","family":"Kurbatova","given":"Tetiana","non-dropping-particle":"","parse-names":false,"suffix":""}],"container-title":"Energies","id":"ITEM-1","issue":"19","issued":{"date-parts":[["2022","10"]]},"publisher":"MDPI","title":"Determinants of Renewable Energy Development: Evidence from the EU Countries","type":"article-journal","volume":"15"},"uris":["http://www.mendeley.com/documents/?uuid=4620f112-2605-4642-9f9d-03a13c4723de"]}],"mendeley":{"formattedCitation":"(Tu et al., 2022)","plainTextFormattedCitation":"(Tu et al., 2022)","previouslyFormattedCitation":"(Tu et al., 2022)"},"properties":{"noteIndex":0},"schema":"https://github.com/citation-style-language/schema/raw/master/csl-citation.json"}</w:instrText>
      </w:r>
      <w:r w:rsidR="00670185">
        <w:rPr>
          <w:rFonts w:asciiTheme="majorBidi" w:hAnsiTheme="majorBidi" w:cstheme="majorBidi"/>
          <w:sz w:val="24"/>
          <w:szCs w:val="24"/>
        </w:rPr>
        <w:fldChar w:fldCharType="separate"/>
      </w:r>
      <w:r w:rsidR="00670185" w:rsidRPr="00670185">
        <w:rPr>
          <w:rFonts w:asciiTheme="majorBidi" w:hAnsiTheme="majorBidi" w:cstheme="majorBidi"/>
          <w:noProof/>
          <w:sz w:val="24"/>
          <w:szCs w:val="24"/>
        </w:rPr>
        <w:t>(Tu et al., 2022)</w:t>
      </w:r>
      <w:r w:rsidR="00670185">
        <w:rPr>
          <w:rFonts w:asciiTheme="majorBidi" w:hAnsiTheme="majorBidi" w:cstheme="majorBidi"/>
          <w:sz w:val="24"/>
          <w:szCs w:val="24"/>
        </w:rPr>
        <w:fldChar w:fldCharType="end"/>
      </w:r>
      <w:r w:rsidRPr="00DA29CA">
        <w:rPr>
          <w:rFonts w:asciiTheme="majorBidi" w:hAnsiTheme="majorBidi" w:cstheme="majorBidi"/>
          <w:sz w:val="24"/>
          <w:szCs w:val="24"/>
        </w:rPr>
        <w:t xml:space="preserve"> assert that renewable energy equities may provide a refuge during periods of increased market volatility since they often </w:t>
      </w:r>
      <w:r w:rsidRPr="00DA29CA">
        <w:rPr>
          <w:rFonts w:asciiTheme="majorBidi" w:hAnsiTheme="majorBidi" w:cstheme="majorBidi"/>
          <w:sz w:val="24"/>
          <w:szCs w:val="24"/>
        </w:rPr>
        <w:lastRenderedPageBreak/>
        <w:t>exhibit distinct behavior compared to traditional energy stocks. These findings indicate that renewable energy markets may exhibit less susceptibility to the severe volatility typical of conventional energy markets, hence offering portfolio managers alternatives for hedging and risk reduction.</w:t>
      </w:r>
    </w:p>
    <w:p w:rsidR="00DA29CA" w:rsidRPr="00DA29CA" w:rsidRDefault="00DA29CA" w:rsidP="00670185">
      <w:pPr>
        <w:spacing w:after="0" w:line="480" w:lineRule="auto"/>
        <w:jc w:val="both"/>
        <w:rPr>
          <w:rFonts w:asciiTheme="majorBidi" w:hAnsiTheme="majorBidi" w:cstheme="majorBidi"/>
          <w:sz w:val="24"/>
          <w:szCs w:val="24"/>
        </w:rPr>
      </w:pPr>
      <w:r w:rsidRPr="00DA29CA">
        <w:rPr>
          <w:rFonts w:asciiTheme="majorBidi" w:hAnsiTheme="majorBidi" w:cstheme="majorBidi"/>
          <w:sz w:val="24"/>
          <w:szCs w:val="24"/>
        </w:rPr>
        <w:t xml:space="preserve">The second body of study investigates the impact of cryptocurrency markets on the energy environment, especially concerning conventional energy markets. Cryptocurrencies such as Bitcoin and Ethereum have emerged as significant alternative assets that may function as hedges or instruments for diversification in comprehensive investment portfolios. Researchers in this field have concentrated on comprehending the influence of cryptocurrencies on conventional energy markets, especially those that are mostly dependent on fossil fuels. </w:t>
      </w:r>
      <w:r w:rsidR="00670185">
        <w:rPr>
          <w:rFonts w:asciiTheme="majorBidi" w:hAnsiTheme="majorBidi" w:cstheme="majorBidi"/>
          <w:sz w:val="24"/>
          <w:szCs w:val="24"/>
        </w:rPr>
        <w:fldChar w:fldCharType="begin" w:fldLock="1"/>
      </w:r>
      <w:r w:rsidR="00670185">
        <w:rPr>
          <w:rFonts w:asciiTheme="majorBidi" w:hAnsiTheme="majorBidi" w:cstheme="majorBidi"/>
          <w:sz w:val="24"/>
          <w:szCs w:val="24"/>
        </w:rPr>
        <w:instrText>ADDIN CSL_CITATION {"citationItems":[{"id":"ITEM-1","itemData":{"DOI":"10.1080/14786451.2019.1673393","ISSN":"1478646X","abstract":"The paper aims to describe which barriers are encountered within the hotel sector with regards to implementing the use of renewable energy sources (RES) taking into account their expenses on energy as well as annual profits. The empirical analysis is based on binary logistic regression models employing data that influence hoteliers’ decision for investing in RES. Results support that hoteliers consider economic, institutional and human-related factors as barriers for investing on RES. Policy-makers should consider that perceived barriers towards adopting RES differ between hotels with differing financial and energy performances. These variations are very important to consider in order to effectively address the barriers preventing the diffusion of renewable energy sources so as to reduce the impact of the hotel industry in environmental degradation attributed to energy consumption.","author":[{"dropping-particle":"","family":"Sardianou","given":"Eleni","non-dropping-particle":"","parse-names":false,"suffix":""},{"dropping-particle":"","family":"Kostakis","given":"Ioannis","non-dropping-particle":"","parse-names":false,"suffix":""}],"container-title":"International Journal of Sustainable Energy","id":"ITEM-1","issue":"3","issued":{"date-parts":[["2020","3","15"]]},"page":"240-249","publisher":"Taylor and Francis Ltd.","title":"Perceived barriers to invest in renewable energy sources in the Cretan hotel industry","type":"article-journal","volume":"39"},"uris":["http://www.mendeley.com/documents/?uuid=cf31e5fa-469c-3a77-854e-cb6b9f8dbb73"]}],"mendeley":{"formattedCitation":"(Sardianou &amp; Kostakis, 2020)","plainTextFormattedCitation":"(Sardianou &amp; Kostakis, 2020)","previouslyFormattedCitation":"(Sardianou &amp; Kostakis, 2020)"},"properties":{"noteIndex":0},"schema":"https://github.com/citation-style-language/schema/raw/master/csl-citation.json"}</w:instrText>
      </w:r>
      <w:r w:rsidR="00670185">
        <w:rPr>
          <w:rFonts w:asciiTheme="majorBidi" w:hAnsiTheme="majorBidi" w:cstheme="majorBidi"/>
          <w:sz w:val="24"/>
          <w:szCs w:val="24"/>
        </w:rPr>
        <w:fldChar w:fldCharType="separate"/>
      </w:r>
      <w:r w:rsidR="00670185" w:rsidRPr="00670185">
        <w:rPr>
          <w:rFonts w:asciiTheme="majorBidi" w:hAnsiTheme="majorBidi" w:cstheme="majorBidi"/>
          <w:noProof/>
          <w:sz w:val="24"/>
          <w:szCs w:val="24"/>
        </w:rPr>
        <w:t>(Sardianou &amp; Kostakis, 2020)</w:t>
      </w:r>
      <w:r w:rsidR="00670185">
        <w:rPr>
          <w:rFonts w:asciiTheme="majorBidi" w:hAnsiTheme="majorBidi" w:cstheme="majorBidi"/>
          <w:sz w:val="24"/>
          <w:szCs w:val="24"/>
        </w:rPr>
        <w:fldChar w:fldCharType="end"/>
      </w:r>
      <w:r w:rsidRPr="00DA29CA">
        <w:rPr>
          <w:rFonts w:asciiTheme="majorBidi" w:hAnsiTheme="majorBidi" w:cstheme="majorBidi"/>
          <w:sz w:val="24"/>
          <w:szCs w:val="24"/>
        </w:rPr>
        <w:t xml:space="preserve"> assert that the emergence of cryptocurrencies has altered the dynamics of conventional energy markets, affecting volatility and risk exposure. The increasing impact of cryptocurrencies is especially significant about the shift towards renewable energy sources. The rise of environmental activism and worldwide legislative initiatives advocating for cleaner energy has led to an increased demand for renewable energy, resulting in new market possibilities. The volatility of cryptocurrency markets may impact the stability of energy markets. Cryptocurrencies exhibit significant volatility and face governmental oversight, resulting in market sentiment shifts that may impact conventional energy industries. This intricacy underscores the need for investors to meticulously evaluate the possible effects of cryptocurrencies while assembling their portfolios. Cryptocurrencies provide diversification advantages; yet, their disconnection from conventional energy markets poses both possibilities and problems for investors aiming to optimize risk and return.</w:t>
      </w:r>
    </w:p>
    <w:p w:rsidR="00DA29CA" w:rsidRPr="00DA29CA" w:rsidRDefault="00DA29CA" w:rsidP="00670185">
      <w:pPr>
        <w:spacing w:after="0" w:line="480" w:lineRule="auto"/>
        <w:jc w:val="both"/>
        <w:rPr>
          <w:rFonts w:asciiTheme="majorBidi" w:hAnsiTheme="majorBidi" w:cstheme="majorBidi"/>
          <w:sz w:val="24"/>
          <w:szCs w:val="24"/>
        </w:rPr>
      </w:pPr>
      <w:r w:rsidRPr="00DA29CA">
        <w:rPr>
          <w:rFonts w:asciiTheme="majorBidi" w:hAnsiTheme="majorBidi" w:cstheme="majorBidi"/>
          <w:sz w:val="24"/>
          <w:szCs w:val="24"/>
        </w:rPr>
        <w:lastRenderedPageBreak/>
        <w:t xml:space="preserve">Certain experts have investigated the relationships between cryptocurrency markets and renewable energy equities, especially their diversification potential. </w:t>
      </w:r>
      <w:r w:rsidR="00670185">
        <w:rPr>
          <w:rFonts w:asciiTheme="majorBidi" w:hAnsiTheme="majorBidi" w:cstheme="majorBidi"/>
          <w:sz w:val="24"/>
          <w:szCs w:val="24"/>
        </w:rPr>
        <w:fldChar w:fldCharType="begin" w:fldLock="1"/>
      </w:r>
      <w:r w:rsidR="00670185">
        <w:rPr>
          <w:rFonts w:asciiTheme="majorBidi" w:hAnsiTheme="majorBidi" w:cstheme="majorBidi"/>
          <w:sz w:val="24"/>
          <w:szCs w:val="24"/>
        </w:rPr>
        <w:instrText>ADDIN CSL_CITATION {"citationItems":[{"id":"ITEM-1","itemData":{"DOI":"10.1016/j.ijhydene.2019.02.173","abstract":"Energy, either from non-renewable or renewable sources, is of paramount importance as the progress of a country is gauged on economic development. However, with the use of non-renewable energy resources, the environmental degradation is exacerbating with every passing day in developing countries including Pakistan. On the contrary, the developed countries are resorting to sustainable and renewable energy resources to achieve sustainable development goals. The primary consumer of the non-renewable energy sources is transportation sector in Pakistan, with the total consumption amounting to almost two-third of the total utilization. Keeping in view the existing energy expenditures and its share in environmental pollution by transportation sector, Lahore Metropolitan area has been selected for this research paper. This research analyzed the environmental data collected from multiple road junctions of Lahore City. In light of the existing data, the research exhibited improvements in overall environmental quality by comparing the existing and proposed energy solutions comprising of Hydrogen in transportation sector. The comparison carried out by utilizing International and National Environmental quality standards. Additionally, research also addresses the energy savings with the transition from non-renewable energy sources to renewable and innovative energy solutions.","author":[{"dropping-particle":"","family":"Shirwani","given":"Rummana","non-dropping-particle":"","parse-names":false,"suffix":""},{"dropping-particle":"","family":"Gulzar","given":"Saima","non-dropping-particle":"","parse-names":false,"suffix":""},{"dropping-particle":"","family":"Asim","given":"Muhammad","non-dropping-particle":"","parse-names":false,"suffix":""},{"dropping-particle":"","family":"Umair","given":"Muhammad","non-dropping-particle":"","parse-names":false,"suffix":""},{"dropping-particle":"","family":"Al-Rashid","given":"Muhammad Ahmad","non-dropping-particle":"","parse-names":false,"suffix":""}],"container-title":"International Journal of Hydrogen Energy","id":"ITEM-1","issue":"32","issued":{"date-parts":[["2020"]]},"page":"16287-16297","publisher":"Elsevier Ltd","title":"Control of vehicular emission using innovative energy solutions comprising of hydrogen for transportation sector in Pakistan: A case study of Lahore City","type":"article-journal","volume":"45"},"uris":["http://www.mendeley.com/documents/?uuid=42fd0f53-8c5a-4459-810e-830c9fc411d8"]}],"mendeley":{"formattedCitation":"(Shirwani et al., 2020)","plainTextFormattedCitation":"(Shirwani et al., 2020)","previouslyFormattedCitation":"(Shirwani et al., 2020)"},"properties":{"noteIndex":0},"schema":"https://github.com/citation-style-language/schema/raw/master/csl-citation.json"}</w:instrText>
      </w:r>
      <w:r w:rsidR="00670185">
        <w:rPr>
          <w:rFonts w:asciiTheme="majorBidi" w:hAnsiTheme="majorBidi" w:cstheme="majorBidi"/>
          <w:sz w:val="24"/>
          <w:szCs w:val="24"/>
        </w:rPr>
        <w:fldChar w:fldCharType="separate"/>
      </w:r>
      <w:r w:rsidR="00670185" w:rsidRPr="00670185">
        <w:rPr>
          <w:rFonts w:asciiTheme="majorBidi" w:hAnsiTheme="majorBidi" w:cstheme="majorBidi"/>
          <w:noProof/>
          <w:sz w:val="24"/>
          <w:szCs w:val="24"/>
        </w:rPr>
        <w:t>(Shirwani et al., 2020)</w:t>
      </w:r>
      <w:r w:rsidR="00670185">
        <w:rPr>
          <w:rFonts w:asciiTheme="majorBidi" w:hAnsiTheme="majorBidi" w:cstheme="majorBidi"/>
          <w:sz w:val="24"/>
          <w:szCs w:val="24"/>
        </w:rPr>
        <w:fldChar w:fldCharType="end"/>
      </w:r>
      <w:r w:rsidRPr="00DA29CA">
        <w:rPr>
          <w:rFonts w:asciiTheme="majorBidi" w:hAnsiTheme="majorBidi" w:cstheme="majorBidi"/>
          <w:sz w:val="24"/>
          <w:szCs w:val="24"/>
        </w:rPr>
        <w:t xml:space="preserve"> examine the correlation between fossil fuel and renewable energy stock prices, emphasizing the influence of environmental activism and climate change knowledge on investor behavior. </w:t>
      </w:r>
      <w:r w:rsidR="00670185">
        <w:rPr>
          <w:rFonts w:asciiTheme="majorBidi" w:hAnsiTheme="majorBidi" w:cstheme="majorBidi"/>
          <w:sz w:val="24"/>
          <w:szCs w:val="24"/>
        </w:rPr>
        <w:fldChar w:fldCharType="begin" w:fldLock="1"/>
      </w:r>
      <w:r w:rsidR="00670185">
        <w:rPr>
          <w:rFonts w:asciiTheme="majorBidi" w:hAnsiTheme="majorBidi" w:cstheme="majorBidi"/>
          <w:sz w:val="24"/>
          <w:szCs w:val="24"/>
        </w:rPr>
        <w:instrText>ADDIN CSL_CITATION {"citationItems":[{"id":"ITEM-1","itemData":{"ISSN":"0360-5442","author":[{"dropping-particle":"","family":"Wang","given":"Zhaohua","non-dropping-particle":"","parse-names":false,"suffix":""},{"dropping-particle":"","family":"Feng","given":"Chao","non-dropping-particle":"","parse-names":false,"suffix":""},{"dropping-particle":"","family":"Zhang","given":"Bin","non-dropping-particle":"","parse-names":false,"suffix":""}],"container-title":"Energy","id":"ITEM-1","issued":{"date-parts":[["2014"]]},"page":"322-330","publisher":"Elsevier","title":"An empirical analysis of China's energy efficiency from both static and dynamic perspectives","type":"article-journal","volume":"74"},"uris":["http://www.mendeley.com/documents/?uuid=f3783f36-61c1-4bb6-8096-4b17d3173374"]}],"mendeley":{"formattedCitation":"(Wang et al., 2014)","plainTextFormattedCitation":"(Wang et al., 2014)","previouslyFormattedCitation":"(Wang et al., 2014)"},"properties":{"noteIndex":0},"schema":"https://github.com/citation-style-language/schema/raw/master/csl-citation.json"}</w:instrText>
      </w:r>
      <w:r w:rsidR="00670185">
        <w:rPr>
          <w:rFonts w:asciiTheme="majorBidi" w:hAnsiTheme="majorBidi" w:cstheme="majorBidi"/>
          <w:sz w:val="24"/>
          <w:szCs w:val="24"/>
        </w:rPr>
        <w:fldChar w:fldCharType="separate"/>
      </w:r>
      <w:r w:rsidR="00670185" w:rsidRPr="00670185">
        <w:rPr>
          <w:rFonts w:asciiTheme="majorBidi" w:hAnsiTheme="majorBidi" w:cstheme="majorBidi"/>
          <w:noProof/>
          <w:sz w:val="24"/>
          <w:szCs w:val="24"/>
        </w:rPr>
        <w:t>(Wang et al., 2014)</w:t>
      </w:r>
      <w:r w:rsidR="00670185">
        <w:rPr>
          <w:rFonts w:asciiTheme="majorBidi" w:hAnsiTheme="majorBidi" w:cstheme="majorBidi"/>
          <w:sz w:val="24"/>
          <w:szCs w:val="24"/>
        </w:rPr>
        <w:fldChar w:fldCharType="end"/>
      </w:r>
      <w:r w:rsidRPr="00DA29CA">
        <w:rPr>
          <w:rFonts w:asciiTheme="majorBidi" w:hAnsiTheme="majorBidi" w:cstheme="majorBidi"/>
          <w:sz w:val="24"/>
          <w:szCs w:val="24"/>
        </w:rPr>
        <w:t xml:space="preserve"> reinforce the notion that renewable energy markets are becoming progressively appealing to investors seeking to diversify their portfolios, especially amid the rising interest in sustainability and climate-aware investment. Nonetheless, there are contradictory results about the capacity of these markets to function as effective hedges. </w:t>
      </w:r>
      <w:r w:rsidR="00670185">
        <w:rPr>
          <w:rFonts w:asciiTheme="majorBidi" w:hAnsiTheme="majorBidi" w:cstheme="majorBidi"/>
          <w:sz w:val="24"/>
          <w:szCs w:val="24"/>
        </w:rPr>
        <w:fldChar w:fldCharType="begin" w:fldLock="1"/>
      </w:r>
      <w:r w:rsidR="00670185">
        <w:rPr>
          <w:rFonts w:asciiTheme="majorBidi" w:hAnsiTheme="majorBidi" w:cstheme="majorBidi"/>
          <w:sz w:val="24"/>
          <w:szCs w:val="24"/>
        </w:rPr>
        <w:instrText>ADDIN CSL_CITATION {"citationItems":[{"id":"ITEM-1","itemData":{"DOI":"10.1016/j.renene.2021.12.046","abstract":"This research attempts to examine the relationship between renewable and non-renewable electricity consumption, carbon dioxide (CO2) emissions and economic policy uncertainty for the United States. For empirical analysis, the study employs monthly data for the period of 1985M1 to 2020M12 and used Bootstrap Rolling approach. The empirical findings revealed that, for full sample Granger causality test, there is a unidirectional causality running from electricity consumption to economic policy uncertainty and bidirectional causality between CO2 emissions and economic policy uncertainty. The estimated parameters are statistically unstable for three models. Overall, the conclusion of study supports the sustainable development goals (SDGs: 7, 10, 13) of the United States. The study argues that policymakers and political leadership of US should be aware of climate change consequences in order to fulfill carbon neutrality target and should develop economic policies accordingly in-line with energy security, clean and greener energy for all and sustainable cleaner production objectives. Further, the uncertainty issues should be considered while designing the environmental regulations.","author":[{"dropping-particle":"","family":"Nakhli","given":"Mohamed Sahbi","non-dropping-particle":"","parse-names":false,"suffix":""},{"dropping-particle":"","family":"Shahbaz","given":"Muhammad","non-dropping-particle":"","parse-names":false,"suffix":""},{"dropping-particle":"","family":"Jebli","given":"Mehdi","non-dropping-particle":"Ben","parse-names":false,"suffix":""},{"dropping-particle":"","family":"Wang","given":"Shizhen","non-dropping-particle":"","parse-names":false,"suffix":""}],"container-title":"Renewable Energy","id":"ITEM-1","issued":{"date-parts":[["2022"]]},"page":"75-85","publisher":"Elsevier Ltd","title":"Nexus between economic policy uncertainty, renewable &amp; non-renewable energy and carbon emissions: Contextual evidence in carbon neutrality dream of USA","type":"article-journal","volume":"185"},"uris":["http://www.mendeley.com/documents/?uuid=73c42875-90e7-47d0-b27e-af088976e0e9"]}],"mendeley":{"formattedCitation":"(Nakhli et al., 2022)","plainTextFormattedCitation":"(Nakhli et al., 2022)","previouslyFormattedCitation":"(Nakhli et al., 2022)"},"properties":{"noteIndex":0},"schema":"https://github.com/citation-style-language/schema/raw/master/csl-citation.json"}</w:instrText>
      </w:r>
      <w:r w:rsidR="00670185">
        <w:rPr>
          <w:rFonts w:asciiTheme="majorBidi" w:hAnsiTheme="majorBidi" w:cstheme="majorBidi"/>
          <w:sz w:val="24"/>
          <w:szCs w:val="24"/>
        </w:rPr>
        <w:fldChar w:fldCharType="separate"/>
      </w:r>
      <w:r w:rsidR="00670185" w:rsidRPr="00670185">
        <w:rPr>
          <w:rFonts w:asciiTheme="majorBidi" w:hAnsiTheme="majorBidi" w:cstheme="majorBidi"/>
          <w:noProof/>
          <w:sz w:val="24"/>
          <w:szCs w:val="24"/>
        </w:rPr>
        <w:t>(Nakhli et al., 2022)</w:t>
      </w:r>
      <w:r w:rsidR="00670185">
        <w:rPr>
          <w:rFonts w:asciiTheme="majorBidi" w:hAnsiTheme="majorBidi" w:cstheme="majorBidi"/>
          <w:sz w:val="24"/>
          <w:szCs w:val="24"/>
        </w:rPr>
        <w:fldChar w:fldCharType="end"/>
      </w:r>
      <w:r w:rsidRPr="00DA29CA">
        <w:rPr>
          <w:rFonts w:asciiTheme="majorBidi" w:hAnsiTheme="majorBidi" w:cstheme="majorBidi"/>
          <w:sz w:val="24"/>
          <w:szCs w:val="24"/>
        </w:rPr>
        <w:t xml:space="preserve"> have shown that the link between renewable energy equities and conventional energy stocks is not consistently linear, with some research indicating asymmetrical or non-linear relationships. These results align with the study conducted by </w:t>
      </w:r>
      <w:r w:rsidR="00670185">
        <w:rPr>
          <w:rFonts w:asciiTheme="majorBidi" w:hAnsiTheme="majorBidi" w:cstheme="majorBidi"/>
          <w:sz w:val="24"/>
          <w:szCs w:val="24"/>
        </w:rPr>
        <w:fldChar w:fldCharType="begin" w:fldLock="1"/>
      </w:r>
      <w:r w:rsidR="00670185">
        <w:rPr>
          <w:rFonts w:asciiTheme="majorBidi" w:hAnsiTheme="majorBidi" w:cstheme="majorBidi"/>
          <w:sz w:val="24"/>
          <w:szCs w:val="24"/>
        </w:rPr>
        <w:instrText>ADDIN CSL_CITATION {"citationItems":[{"id":"ITEM-1","itemData":{"DOI":"10.1016/j.energy.2021.120460","ISSN":"03605442","abstract":"Facing a significant increase in connected distributed energy systems, the optimal coordination strategy among multiple distributed energy systems is vitally important to explore. In this paper, an energy management system is introduced and operated by an energy service company, which is responsible for managing the interaction of multiple distributed energy systems. To optimize the day-ahead scheduling of the distributed energy systems, a coordination scheme with a bilevel framework is proposed. The energy interaction between the energy management system and distributed energy systems contains electricity and heat, which is a Stackelberg problem. Two types of internal price schemes, namely, real-time pricing and time-of-use pricing, are discussed. Moreover, the uncertainties of renewable energy resources, energy demand, and energy prices are considered within both upper- and lower-level problems. The problem is formulated as a nonlinear bilevel robust optimization model and transformed into a single-level mixed-integer linear problem. Numerical cases illustrate how the energy management system coordinates with distributed energy systems and show the effectiveness of the coordination strategy such that all participators benefit from the proposed strategy and create a win-win situation. The model and results can serve as references for the business managers of companies that provide energy services for building clusters.","author":[{"dropping-particle":"","family":"Li","given":"Longxi","non-dropping-particle":"","parse-names":false,"suffix":""},{"dropping-particle":"","family":"Cao","given":"Xilin","non-dropping-particle":"","parse-names":false,"suffix":""},{"dropping-particle":"","family":"Wang","given":"Peng","non-dropping-particle":"","parse-names":false,"suffix":""}],"container-title":"Energy","id":"ITEM-1","issued":{"date-parts":[["2021","7"]]},"publisher":"Elsevier Ltd","title":"Optimal coordination strategy for multiple distributed energy systems considering supply, demand, and price uncertainties","type":"article-journal","volume":"227"},"uris":["http://www.mendeley.com/documents/?uuid=9ee1b5c9-8c10-4cdc-82a0-38874c1e4e05"]}],"mendeley":{"formattedCitation":"(Li et al., 2021)","plainTextFormattedCitation":"(Li et al., 2021)","previouslyFormattedCitation":"(Li et al., 2021)"},"properties":{"noteIndex":0},"schema":"https://github.com/citation-style-language/schema/raw/master/csl-citation.json"}</w:instrText>
      </w:r>
      <w:r w:rsidR="00670185">
        <w:rPr>
          <w:rFonts w:asciiTheme="majorBidi" w:hAnsiTheme="majorBidi" w:cstheme="majorBidi"/>
          <w:sz w:val="24"/>
          <w:szCs w:val="24"/>
        </w:rPr>
        <w:fldChar w:fldCharType="separate"/>
      </w:r>
      <w:r w:rsidR="00670185" w:rsidRPr="00670185">
        <w:rPr>
          <w:rFonts w:asciiTheme="majorBidi" w:hAnsiTheme="majorBidi" w:cstheme="majorBidi"/>
          <w:noProof/>
          <w:sz w:val="24"/>
          <w:szCs w:val="24"/>
        </w:rPr>
        <w:t>(Li et al., 2021)</w:t>
      </w:r>
      <w:r w:rsidR="00670185">
        <w:rPr>
          <w:rFonts w:asciiTheme="majorBidi" w:hAnsiTheme="majorBidi" w:cstheme="majorBidi"/>
          <w:sz w:val="24"/>
          <w:szCs w:val="24"/>
        </w:rPr>
        <w:fldChar w:fldCharType="end"/>
      </w:r>
      <w:r w:rsidRPr="00DA29CA">
        <w:rPr>
          <w:rFonts w:asciiTheme="majorBidi" w:hAnsiTheme="majorBidi" w:cstheme="majorBidi"/>
          <w:sz w:val="24"/>
          <w:szCs w:val="24"/>
        </w:rPr>
        <w:t>, which posits that renewable energy equities may be interchangeable with traditional energy sources, particularly during times of market volatility. The disparate findings across research emphasize the intricacy of the interaction between renewable energy and conventional energy markets, highlighting the need for further refined assessments.</w:t>
      </w:r>
    </w:p>
    <w:p w:rsidR="00DA29CA" w:rsidRPr="00DA29CA" w:rsidRDefault="00DA29CA" w:rsidP="00670185">
      <w:pPr>
        <w:spacing w:after="0" w:line="480" w:lineRule="auto"/>
        <w:jc w:val="both"/>
        <w:rPr>
          <w:rFonts w:asciiTheme="majorBidi" w:hAnsiTheme="majorBidi" w:cstheme="majorBidi"/>
          <w:sz w:val="24"/>
          <w:szCs w:val="24"/>
        </w:rPr>
      </w:pPr>
      <w:r w:rsidRPr="00DA29CA">
        <w:rPr>
          <w:rFonts w:asciiTheme="majorBidi" w:hAnsiTheme="majorBidi" w:cstheme="majorBidi"/>
          <w:sz w:val="24"/>
          <w:szCs w:val="24"/>
        </w:rPr>
        <w:t xml:space="preserve">The use of cryptocurrencies in hedging and diversifying energy sector portfolios has garnered considerable interest from investors and governments alike. The rapid ascent of cryptocurrencies has prompted inquiries on their capacity to mitigate risk and improve portfolio performance, especially within the energy sector. Researchers like </w:t>
      </w:r>
      <w:r w:rsidR="00670185">
        <w:rPr>
          <w:rFonts w:asciiTheme="majorBidi" w:hAnsiTheme="majorBidi" w:cstheme="majorBidi"/>
          <w:sz w:val="24"/>
          <w:szCs w:val="24"/>
        </w:rPr>
        <w:fldChar w:fldCharType="begin" w:fldLock="1"/>
      </w:r>
      <w:r w:rsidR="00670185">
        <w:rPr>
          <w:rFonts w:asciiTheme="majorBidi" w:hAnsiTheme="majorBidi" w:cstheme="majorBidi"/>
          <w:sz w:val="24"/>
          <w:szCs w:val="24"/>
        </w:rPr>
        <w:instrText>ADDIN CSL_CITATION {"citationItems":[{"id":"ITEM-1","itemData":{"DOI":"10.3390/EN13040788","ISSN":"19961073","abstract":"The lack of long-term financing, the low rate of return, the existence of various risks, and the lack of capacity of market players are major challenges for the development of green energy projects. This paper aimed to highlight the challenges of green financing and investment in renewable energy projects and to provide practical solutions for filling the green financing gap. Practical solutions include increasing the role of public financial institutions and non-banking financial institutions (pension funds and insurance companies) in long-term green investments, utilizing the spillover tax to increase the rate of return of green projects, developing green credit guarantee schemes to reduce the credit risk, establishing community-based trust funds, and addressing green investment risks via financial and policy de-risking. The paper also provides a practical example of the implementation of the proposed tools.","author":[{"dropping-particle":"","family":"Taghizadeh-Hesary","given":"Farhad","non-dropping-particle":"","parse-names":false,"suffix":""},{"dropping-particle":"","family":"Yoshino","given":"Naoyuki","non-dropping-particle":"","parse-names":false,"suffix":""}],"container-title":"Energies","id":"ITEM-1","issue":"4","issued":{"date-parts":[["2020"]]},"publisher":"MDPI AG","title":"Sustainable solutions for green financing and investment in renewable energy projects","type":"article-journal","volume":"13"},"uris":["http://www.mendeley.com/documents/?uuid=113d9379-8745-3701-bfca-653998792ce9"]}],"mendeley":{"formattedCitation":"(Taghizadeh-Hesary &amp; Yoshino, 2020)","plainTextFormattedCitation":"(Taghizadeh-Hesary &amp; Yoshino, 2020)","previouslyFormattedCitation":"(Taghizadeh-Hesary &amp; Yoshino, 2020)"},"properties":{"noteIndex":0},"schema":"https://github.com/citation-style-language/schema/raw/master/csl-citation.json"}</w:instrText>
      </w:r>
      <w:r w:rsidR="00670185">
        <w:rPr>
          <w:rFonts w:asciiTheme="majorBidi" w:hAnsiTheme="majorBidi" w:cstheme="majorBidi"/>
          <w:sz w:val="24"/>
          <w:szCs w:val="24"/>
        </w:rPr>
        <w:fldChar w:fldCharType="separate"/>
      </w:r>
      <w:r w:rsidR="00670185" w:rsidRPr="00670185">
        <w:rPr>
          <w:rFonts w:asciiTheme="majorBidi" w:hAnsiTheme="majorBidi" w:cstheme="majorBidi"/>
          <w:noProof/>
          <w:sz w:val="24"/>
          <w:szCs w:val="24"/>
        </w:rPr>
        <w:t>(Taghizadeh-Hesary &amp; Yoshino, 2020)</w:t>
      </w:r>
      <w:r w:rsidR="00670185">
        <w:rPr>
          <w:rFonts w:asciiTheme="majorBidi" w:hAnsiTheme="majorBidi" w:cstheme="majorBidi"/>
          <w:sz w:val="24"/>
          <w:szCs w:val="24"/>
        </w:rPr>
        <w:fldChar w:fldCharType="end"/>
      </w:r>
      <w:r w:rsidR="00670185">
        <w:rPr>
          <w:rFonts w:asciiTheme="majorBidi" w:hAnsiTheme="majorBidi" w:cstheme="majorBidi"/>
          <w:sz w:val="24"/>
          <w:szCs w:val="24"/>
        </w:rPr>
        <w:t xml:space="preserve"> </w:t>
      </w:r>
      <w:r w:rsidRPr="00DA29CA">
        <w:rPr>
          <w:rFonts w:asciiTheme="majorBidi" w:hAnsiTheme="majorBidi" w:cstheme="majorBidi"/>
          <w:sz w:val="24"/>
          <w:szCs w:val="24"/>
        </w:rPr>
        <w:t xml:space="preserve">have investigated the potential of cryptocurrencies to provide diversification in energy-centric investing strategies. These findings indicate that cryptocurrencies may function as a safeguard against the fluctuations of conventional energy markets, due to their very low connection with oil and petrol prices. </w:t>
      </w:r>
      <w:r w:rsidR="00670185">
        <w:rPr>
          <w:rFonts w:asciiTheme="majorBidi" w:hAnsiTheme="majorBidi" w:cstheme="majorBidi"/>
          <w:sz w:val="24"/>
          <w:szCs w:val="24"/>
        </w:rPr>
        <w:fldChar w:fldCharType="begin" w:fldLock="1"/>
      </w:r>
      <w:r w:rsidR="00670185">
        <w:rPr>
          <w:rFonts w:asciiTheme="majorBidi" w:hAnsiTheme="majorBidi" w:cstheme="majorBidi"/>
          <w:sz w:val="24"/>
          <w:szCs w:val="24"/>
        </w:rPr>
        <w:instrText>ADDIN CSL_CITATION {"citationItems":[{"id":"ITEM-1","itemData":{"DOI":"10.1016/j.renene.2019.09.005","ISSN":"18790682","abstract":"One of the strategic objectives of the European Union is to increase the renewable energy consumption level, in a market which brings together technological, financing and customer engagement innovations. However, little is known about the impact of the financial sector on renewable energy consumption. The aim of the paper is to examine the effect of financial development on renewable energy consumption using a panel data of 28 countries in the European Union (EU) over the period 1990–2015. Our research is based on a panel fixed effects model, where renewable energy consumption is given as a function of income, energy prices, financial development, and foreign direct investments. The results of the empirical analysis show that all three different dimensions of financial development (banking sector, bond market, and capital market) have a positive effect on the share of renewable energy consumption. Additionally, our results show that capital market development does not influence renewable energy consumption in the new EU Member States. Our empirical results give valuable insights into how best to deploy capital in the renewable sector, in order to provide cost-competitive options to customers, with the final objective of expanding higher value-added services.","author":[{"dropping-particle":"","family":"Anton","given":"Sorin Gabriel","non-dropping-particle":"","parse-names":false,"suffix":""},{"dropping-particle":"","family":"Afloarei Nucu","given":"Anca Elena","non-dropping-particle":"","parse-names":false,"suffix":""}],"container-title":"Renewable Energy","id":"ITEM-1","issued":{"date-parts":[["2020","3","1"]]},"page":"330-338","publisher":"Elsevier Ltd","title":"The effect of financial development on renewable energy consumption. A panel data approach","type":"article-journal","volume":"147"},"uris":["http://www.mendeley.com/documents/?uuid=b4d2906f-c7fa-3bce-99c2-9818c001e1e3"]}],"mendeley":{"formattedCitation":"(Anton &amp; Afloarei Nucu, 2020)","plainTextFormattedCitation":"(Anton &amp; Afloarei Nucu, 2020)","previouslyFormattedCitation":"(Anton &amp; Afloarei Nucu, 2020)"},"properties":{"noteIndex":0},"schema":"https://github.com/citation-style-language/schema/raw/master/csl-citation.json"}</w:instrText>
      </w:r>
      <w:r w:rsidR="00670185">
        <w:rPr>
          <w:rFonts w:asciiTheme="majorBidi" w:hAnsiTheme="majorBidi" w:cstheme="majorBidi"/>
          <w:sz w:val="24"/>
          <w:szCs w:val="24"/>
        </w:rPr>
        <w:fldChar w:fldCharType="separate"/>
      </w:r>
      <w:r w:rsidR="00670185" w:rsidRPr="00670185">
        <w:rPr>
          <w:rFonts w:asciiTheme="majorBidi" w:hAnsiTheme="majorBidi" w:cstheme="majorBidi"/>
          <w:noProof/>
          <w:sz w:val="24"/>
          <w:szCs w:val="24"/>
        </w:rPr>
        <w:t>(Anton &amp; Afloarei Nucu, 2020)</w:t>
      </w:r>
      <w:r w:rsidR="00670185">
        <w:rPr>
          <w:rFonts w:asciiTheme="majorBidi" w:hAnsiTheme="majorBidi" w:cstheme="majorBidi"/>
          <w:sz w:val="24"/>
          <w:szCs w:val="24"/>
        </w:rPr>
        <w:fldChar w:fldCharType="end"/>
      </w:r>
      <w:r w:rsidRPr="00DA29CA">
        <w:rPr>
          <w:rFonts w:asciiTheme="majorBidi" w:hAnsiTheme="majorBidi" w:cstheme="majorBidi"/>
          <w:sz w:val="24"/>
          <w:szCs w:val="24"/>
        </w:rPr>
        <w:t xml:space="preserve"> contends that cryptocurrencies, including Bitcoin, provide </w:t>
      </w:r>
      <w:r w:rsidRPr="00DA29CA">
        <w:rPr>
          <w:rFonts w:asciiTheme="majorBidi" w:hAnsiTheme="majorBidi" w:cstheme="majorBidi"/>
          <w:sz w:val="24"/>
          <w:szCs w:val="24"/>
        </w:rPr>
        <w:lastRenderedPageBreak/>
        <w:t>significant insights for portfolio creation, especially for investors aiming to diversify their assets in light of changes in global energy consumption and the trend toward renewable energy sources.</w:t>
      </w:r>
    </w:p>
    <w:p w:rsidR="00DA29CA" w:rsidRPr="00DA29CA" w:rsidRDefault="00DA29CA" w:rsidP="003A0E91">
      <w:pPr>
        <w:spacing w:after="0" w:line="480" w:lineRule="auto"/>
        <w:jc w:val="both"/>
        <w:rPr>
          <w:rFonts w:asciiTheme="majorBidi" w:hAnsiTheme="majorBidi" w:cstheme="majorBidi"/>
          <w:sz w:val="24"/>
          <w:szCs w:val="24"/>
        </w:rPr>
      </w:pPr>
      <w:r w:rsidRPr="00DA29CA">
        <w:rPr>
          <w:rFonts w:asciiTheme="majorBidi" w:hAnsiTheme="majorBidi" w:cstheme="majorBidi"/>
          <w:sz w:val="24"/>
          <w:szCs w:val="24"/>
        </w:rPr>
        <w:t xml:space="preserve">The correlation between cryptocurrencies and renewable energy tokens has garnered heightened interest as a potential domain for future investigation. The study by </w:t>
      </w:r>
      <w:r w:rsidR="00670185">
        <w:rPr>
          <w:rFonts w:asciiTheme="majorBidi" w:hAnsiTheme="majorBidi" w:cstheme="majorBidi"/>
          <w:sz w:val="24"/>
          <w:szCs w:val="24"/>
        </w:rPr>
        <w:fldChar w:fldCharType="begin" w:fldLock="1"/>
      </w:r>
      <w:r w:rsidR="003A0E91">
        <w:rPr>
          <w:rFonts w:asciiTheme="majorBidi" w:hAnsiTheme="majorBidi" w:cstheme="majorBidi"/>
          <w:sz w:val="24"/>
          <w:szCs w:val="24"/>
        </w:rPr>
        <w:instrText>ADDIN CSL_CITATION {"citationItems":[{"id":"ITEM-1","itemData":{"DOI":"10.3390/su142114629","ISSN":"2071-1050","abstract":"Several investigations show that remittances, renewable energy, and innovation promote the socioeconomic advancement of a nation. Nevertheless, the impacts of remittances and renewable energy on ecological quality are yet to be evaluated thoroughly. Therefore, the current investigation assesses the effects of remittances and renewable energy on CO2 emissions while taking into account the roles of technological innovation, globalization, and economic growth. Toward this end, this paper depends on yearly data between 1990 and 2019. The study employed bounds testing and its results disclosed long-term connections between CO2 and the regressors. Moreover, unlike prior studies that employ time-domain causality, we employed frequency domain causality, which considers causality at different frequencies. Furthermore, the ARDL long- and short-run results showed that economic growth amplified CO2 emissions, while green energy, remittances, and globalization lessened CO2 emissions. Lastly, the frequency domain causality approach revealed that globalization, renewable energy, economic growth, technological innovation, and remittances could predict CO2 emissions in the long-term. These findings’ sturdiness was established utilizing DOLS and FMOLS regression. Several policy recommendations are suggested in light of these ground-breaking discoveries.","author":[{"dropping-particle":"","family":"Saliba","given":"Chafic Bassam","non-dropping-particle":"","parse-names":false,"suffix":""},{"dropping-particle":"","family":"Hassanein","given":"Fida Ragheb","non-dropping-particle":"","parse-names":false,"suffix":""},{"dropping-particle":"","family":"Athari","given":"Seyed Alireza","non-dropping-particle":"","parse-names":false,"suffix":""},{"dropping-particle":"","family":"Dördüncü","given":"Hazar","non-dropping-particle":"","parse-names":false,"suffix":""},{"dropping-particle":"","family":"Agyekum","given":"Ephraim Bonah","non-dropping-particle":"","parse-names":false,"suffix":""},{"dropping-particle":"","family":"Adadi","given":"Parise","non-dropping-particle":"","parse-names":false,"suffix":""}],"container-title":"Sustainability","id":"ITEM-1","issue":"21","issued":{"date-parts":[["2022"]]},"title":"The Dynamic Impact of Renewable Energy and Economic Growth on CO2 Emissions in China: Do Remittances and Technological Innovations Matter?","type":"article-journal","volume":"14"},"uris":["http://www.mendeley.com/documents/?uuid=0610c153-a767-481c-835b-ece79bd14469"]}],"mendeley":{"formattedCitation":"(Saliba et al., 2022)","plainTextFormattedCitation":"(Saliba et al., 2022)","previouslyFormattedCitation":"(Saliba et al., 2022)"},"properties":{"noteIndex":0},"schema":"https://github.com/citation-style-language/schema/raw/master/csl-citation.json"}</w:instrText>
      </w:r>
      <w:r w:rsidR="00670185">
        <w:rPr>
          <w:rFonts w:asciiTheme="majorBidi" w:hAnsiTheme="majorBidi" w:cstheme="majorBidi"/>
          <w:sz w:val="24"/>
          <w:szCs w:val="24"/>
        </w:rPr>
        <w:fldChar w:fldCharType="separate"/>
      </w:r>
      <w:r w:rsidR="00670185" w:rsidRPr="00670185">
        <w:rPr>
          <w:rFonts w:asciiTheme="majorBidi" w:hAnsiTheme="majorBidi" w:cstheme="majorBidi"/>
          <w:noProof/>
          <w:sz w:val="24"/>
          <w:szCs w:val="24"/>
        </w:rPr>
        <w:t>(Saliba et al., 2022)</w:t>
      </w:r>
      <w:r w:rsidR="00670185">
        <w:rPr>
          <w:rFonts w:asciiTheme="majorBidi" w:hAnsiTheme="majorBidi" w:cstheme="majorBidi"/>
          <w:sz w:val="24"/>
          <w:szCs w:val="24"/>
        </w:rPr>
        <w:fldChar w:fldCharType="end"/>
      </w:r>
      <w:r w:rsidR="003A0E91">
        <w:rPr>
          <w:rFonts w:asciiTheme="majorBidi" w:hAnsiTheme="majorBidi" w:cstheme="majorBidi"/>
          <w:sz w:val="24"/>
          <w:szCs w:val="24"/>
        </w:rPr>
        <w:t xml:space="preserve"> </w:t>
      </w:r>
      <w:r w:rsidRPr="00DA29CA">
        <w:rPr>
          <w:rFonts w:asciiTheme="majorBidi" w:hAnsiTheme="majorBidi" w:cstheme="majorBidi"/>
          <w:sz w:val="24"/>
          <w:szCs w:val="24"/>
        </w:rPr>
        <w:t xml:space="preserve">investigates the relationships between Bitcoin and other cryptocurrencies, indicating that while the correlations with specific financial factors are limited, they still influence investing strategies. </w:t>
      </w:r>
      <w:r w:rsidR="003A0E91">
        <w:rPr>
          <w:rFonts w:asciiTheme="majorBidi" w:hAnsiTheme="majorBidi" w:cstheme="majorBidi"/>
          <w:sz w:val="24"/>
          <w:szCs w:val="24"/>
        </w:rPr>
        <w:fldChar w:fldCharType="begin" w:fldLock="1"/>
      </w:r>
      <w:r w:rsidR="003A0E91">
        <w:rPr>
          <w:rFonts w:asciiTheme="majorBidi" w:hAnsiTheme="majorBidi" w:cstheme="majorBidi"/>
          <w:sz w:val="24"/>
          <w:szCs w:val="24"/>
        </w:rPr>
        <w:instrText>ADDIN CSL_CITATION {"citationItems":[{"id":"ITEM-1","itemData":{"DOI":"10.1016/j.renene.2020.10.141","ISSN":"18790682","abstract":"This work highlights the impact of renewable and non-renewable energy, capital formation, and economic growth on CO2 emissions in the economies that are emerging due to China's Silk Road Economic Belt (SREB) initiative. In this context, data for 24 SREB economies from 1995 to 2014 are analyzed through the Autoregressive Distributed Lag (ARDL) approach. The results suggest that using a high share of renewable energy to execute economic activities and improve the level of capital formation significantly decreases the rate of CO2 emissions in both the long term and short term in the considered SREB countries. The presence of the Environmental Kuznets Curve and the existence of an inverted U-shaped relationship between economic growth and CO2 emissions are also determined. The negative impact of Gross Capital Formation (GCF) and the negligible effects of trade openness on CO2 discharge are also observed. The negative effect of GCF on carbon emissions suggests either that the SREB economies are investing in low-carbon economic activities or simply that those assets are being produced using cleaner energy sources. It is suggested that these countries should pay more attention to renewable energy resources to improve the environment and maximize the economic benefits of the SREB initiative.","author":[{"dropping-particle":"","family":"Yang","given":"Zhendong","non-dropping-particle":"","parse-names":false,"suffix":""},{"dropping-particle":"","family":"Abbas","given":"Qaiser","non-dropping-particle":"","parse-names":false,"suffix":""},{"dropping-particle":"","family":"Hanif","given":"Imran","non-dropping-particle":"","parse-names":false,"suffix":""},{"dropping-particle":"","family":"Alharthi","given":"Majed","non-dropping-particle":"","parse-names":false,"suffix":""},{"dropping-particle":"","family":"Taghizadeh-Hesary","given":"Farhad","non-dropping-particle":"","parse-names":false,"suffix":""},{"dropping-particle":"","family":"Aziz","given":"Babar","non-dropping-particle":"","parse-names":false,"suffix":""},{"dropping-particle":"","family":"Mohsin","given":"Muhammad","non-dropping-particle":"","parse-names":false,"suffix":""}],"container-title":"Renewable Energy","id":"ITEM-1","issued":{"date-parts":[["2021"]]},"title":"Short- and long-run influence of energy utilization and economic growth on carbon discharge in emerging SREB economies","type":"article-journal"},"uris":["http://www.mendeley.com/documents/?uuid=6d97fb33-a996-4c00-b733-53ccb6aece77"]}],"mendeley":{"formattedCitation":"(Yang et al., 2021)","plainTextFormattedCitation":"(Yang et al., 2021)","previouslyFormattedCitation":"(Yang et al., 2021)"},"properties":{"noteIndex":0},"schema":"https://github.com/citation-style-language/schema/raw/master/csl-citation.json"}</w:instrText>
      </w:r>
      <w:r w:rsidR="003A0E91">
        <w:rPr>
          <w:rFonts w:asciiTheme="majorBidi" w:hAnsiTheme="majorBidi" w:cstheme="majorBidi"/>
          <w:sz w:val="24"/>
          <w:szCs w:val="24"/>
        </w:rPr>
        <w:fldChar w:fldCharType="separate"/>
      </w:r>
      <w:r w:rsidR="003A0E91" w:rsidRPr="003A0E91">
        <w:rPr>
          <w:rFonts w:asciiTheme="majorBidi" w:hAnsiTheme="majorBidi" w:cstheme="majorBidi"/>
          <w:noProof/>
          <w:sz w:val="24"/>
          <w:szCs w:val="24"/>
        </w:rPr>
        <w:t>(Yang et al., 2021)</w:t>
      </w:r>
      <w:r w:rsidR="003A0E91">
        <w:rPr>
          <w:rFonts w:asciiTheme="majorBidi" w:hAnsiTheme="majorBidi" w:cstheme="majorBidi"/>
          <w:sz w:val="24"/>
          <w:szCs w:val="24"/>
        </w:rPr>
        <w:fldChar w:fldCharType="end"/>
      </w:r>
      <w:r w:rsidR="003A0E91">
        <w:rPr>
          <w:rFonts w:asciiTheme="majorBidi" w:hAnsiTheme="majorBidi" w:cstheme="majorBidi"/>
          <w:sz w:val="24"/>
          <w:szCs w:val="24"/>
        </w:rPr>
        <w:t xml:space="preserve"> </w:t>
      </w:r>
      <w:r w:rsidRPr="00DA29CA">
        <w:rPr>
          <w:rFonts w:asciiTheme="majorBidi" w:hAnsiTheme="majorBidi" w:cstheme="majorBidi"/>
          <w:sz w:val="24"/>
          <w:szCs w:val="24"/>
        </w:rPr>
        <w:t xml:space="preserve">examine the use of cryptocurrencies in the diversification of energy markets, concluding that energy equities including cryptocurrencies provide significant benefits for portfolio managers. The research conducted by </w:t>
      </w:r>
      <w:r w:rsidR="003A0E91">
        <w:rPr>
          <w:rFonts w:asciiTheme="majorBidi" w:hAnsiTheme="majorBidi" w:cstheme="majorBidi"/>
          <w:sz w:val="24"/>
          <w:szCs w:val="24"/>
        </w:rPr>
        <w:fldChar w:fldCharType="begin" w:fldLock="1"/>
      </w:r>
      <w:r w:rsidR="003A0E91">
        <w:rPr>
          <w:rFonts w:asciiTheme="majorBidi" w:hAnsiTheme="majorBidi" w:cstheme="majorBidi"/>
          <w:sz w:val="24"/>
          <w:szCs w:val="24"/>
        </w:rPr>
        <w:instrText>ADDIN CSL_CITATION {"citationItems":[{"id":"ITEM-1","itemData":{"DOI":"10.1080/25729861.2019.1608038","ISSN":"25729861","abstract":"The relationship between gender inequalities (GI) and energy poverty (EP) has not been discussed as a whole in worldwide recent debates, although feminist analyses have demonstrated that GI have had an impact on the everyday life of women, men, and their dependents. This research paper addresses the relationship between GI and EP through an analysis of relevant secondary sources on poverty and people’s use of time, in order to understand how GI affect women’s access to energy in Latin America, particularly in Chile. Moreover, it seems that there are reasons to believe that EP has a female face. Therefore, this study looks into strategic policies for ensuring safe and affordable energy for women. Likewise, this research paper presents how these efforts would contribute to deal with some other key issues, such as energy transition and a sustainable development process. To sum up, this investigation identifies the possible benefits that improving energy access would bring to women, as well as how those improvements would consistently help to meet the goals established by international treaties that aim to seek equality for women through ending poverty and by giving them access to energy.","author":[{"dropping-particle":"","family":"Amigo-Jorquera","given":"Catalina","non-dropping-particle":"","parse-names":false,"suffix":""},{"dropping-particle":"","family":"Guerrero-González","given":"María José","non-dropping-particle":"","parse-names":false,"suffix":""},{"dropping-particle":"","family":"Sannazzaro","given":"Jorgelina","non-dropping-particle":"","parse-names":false,"suffix":""},{"dropping-particle":"","family":"Urquiza-Gómez","given":"Anahí","non-dropping-particle":"","parse-names":false,"suffix":""}],"container-title":"Tapuya: Latin American Science, Technology and Society","id":"ITEM-1","issue":"1","issued":{"date-parts":[["2019","1"]]},"page":"378-390","publisher":"Routledge","title":"Does energy poverty have a female face in Chile?","type":"article-journal","volume":"2"},"uris":["http://www.mendeley.com/documents/?uuid=cac12cd8-7411-4fa7-a5e4-9708d162ddf4"]}],"mendeley":{"formattedCitation":"(Amigo-Jorquera et al., 2019)","plainTextFormattedCitation":"(Amigo-Jorquera et al., 2019)","previouslyFormattedCitation":"(Amigo-Jorquera et al., 2019)"},"properties":{"noteIndex":0},"schema":"https://github.com/citation-style-language/schema/raw/master/csl-citation.json"}</w:instrText>
      </w:r>
      <w:r w:rsidR="003A0E91">
        <w:rPr>
          <w:rFonts w:asciiTheme="majorBidi" w:hAnsiTheme="majorBidi" w:cstheme="majorBidi"/>
          <w:sz w:val="24"/>
          <w:szCs w:val="24"/>
        </w:rPr>
        <w:fldChar w:fldCharType="separate"/>
      </w:r>
      <w:r w:rsidR="003A0E91" w:rsidRPr="003A0E91">
        <w:rPr>
          <w:rFonts w:asciiTheme="majorBidi" w:hAnsiTheme="majorBidi" w:cstheme="majorBidi"/>
          <w:noProof/>
          <w:sz w:val="24"/>
          <w:szCs w:val="24"/>
        </w:rPr>
        <w:t>(Amigo-Jorquera et al., 2019)</w:t>
      </w:r>
      <w:r w:rsidR="003A0E91">
        <w:rPr>
          <w:rFonts w:asciiTheme="majorBidi" w:hAnsiTheme="majorBidi" w:cstheme="majorBidi"/>
          <w:sz w:val="24"/>
          <w:szCs w:val="24"/>
        </w:rPr>
        <w:fldChar w:fldCharType="end"/>
      </w:r>
      <w:r w:rsidRPr="00DA29CA">
        <w:rPr>
          <w:rFonts w:asciiTheme="majorBidi" w:hAnsiTheme="majorBidi" w:cstheme="majorBidi"/>
          <w:sz w:val="24"/>
          <w:szCs w:val="24"/>
        </w:rPr>
        <w:t xml:space="preserve"> highlights Bitcoin's function as a short-term hedge and its propensity to convey profits and volatility from global financial markets to energy markets. These results indicate the increasing significance of cryptocurrencies in influencing future investments in the energy industry, while the precise nature of these linkages is intricate and contextually reliant.</w:t>
      </w:r>
    </w:p>
    <w:p w:rsidR="00DA29CA" w:rsidRDefault="00DA29CA" w:rsidP="00DA29CA">
      <w:pPr>
        <w:spacing w:after="0" w:line="480" w:lineRule="auto"/>
        <w:jc w:val="both"/>
        <w:rPr>
          <w:rFonts w:asciiTheme="majorBidi" w:hAnsiTheme="majorBidi" w:cstheme="majorBidi"/>
          <w:sz w:val="24"/>
          <w:szCs w:val="24"/>
        </w:rPr>
      </w:pPr>
      <w:r w:rsidRPr="00DA29CA">
        <w:rPr>
          <w:rFonts w:asciiTheme="majorBidi" w:hAnsiTheme="majorBidi" w:cstheme="majorBidi"/>
          <w:sz w:val="24"/>
          <w:szCs w:val="24"/>
        </w:rPr>
        <w:t>The convergence of cryptocurrencies and renewable energy markets offers substantial prospects for hedging, diversification, and risk management. Although extensive evidence indicates that renewable energy equities provide refuge and diversification advantages during market volatility, the emergence of cryptocurrency adds novel dynamics to conventional energy markets. Notwithstanding the difficulties and discrepancies in the data, there is an increasing agreement that both renewable energy and cryptocurrency will be pivotal in influencing future investing strategies. As the global energy environment evolves, further empirical research is essential to comprehend the consequences of these patterns for portfolio management and risk reduction.</w:t>
      </w:r>
    </w:p>
    <w:p w:rsidR="00DD7726" w:rsidRPr="00DD7726" w:rsidRDefault="00DD7726" w:rsidP="003A0E91">
      <w:pPr>
        <w:spacing w:after="0" w:line="480" w:lineRule="auto"/>
        <w:jc w:val="both"/>
        <w:rPr>
          <w:rFonts w:asciiTheme="majorBidi" w:hAnsiTheme="majorBidi" w:cstheme="majorBidi"/>
          <w:sz w:val="24"/>
          <w:szCs w:val="24"/>
        </w:rPr>
      </w:pPr>
      <w:r w:rsidRPr="00DD7726">
        <w:rPr>
          <w:rFonts w:asciiTheme="majorBidi" w:hAnsiTheme="majorBidi" w:cstheme="majorBidi"/>
          <w:sz w:val="24"/>
          <w:szCs w:val="24"/>
        </w:rPr>
        <w:t xml:space="preserve">The convergence of renewable energy-supported cryptocurrencies and conventional financial markets has attracted considerable interest in the literature, particularly after the COVID-19 </w:t>
      </w:r>
      <w:r w:rsidRPr="00DD7726">
        <w:rPr>
          <w:rFonts w:asciiTheme="majorBidi" w:hAnsiTheme="majorBidi" w:cstheme="majorBidi"/>
          <w:sz w:val="24"/>
          <w:szCs w:val="24"/>
        </w:rPr>
        <w:lastRenderedPageBreak/>
        <w:t xml:space="preserve">pandemic. The COVID-19 epidemic, with its extensive economic ramifications, necessitated a reassessment of financial market dynamics, particularly the correlation between cryptocurrencies and other asset classes. With the evolving financial environment, there is a growing interest in cryptocurrencies supported by renewable energy, which may provide diversification, risk management, and hedging prospects. </w:t>
      </w:r>
      <w:r w:rsidR="003A0E91">
        <w:rPr>
          <w:rFonts w:asciiTheme="majorBidi" w:hAnsiTheme="majorBidi" w:cstheme="majorBidi"/>
          <w:sz w:val="24"/>
          <w:szCs w:val="24"/>
        </w:rPr>
        <w:fldChar w:fldCharType="begin" w:fldLock="1"/>
      </w:r>
      <w:r w:rsidR="003A0E91">
        <w:rPr>
          <w:rFonts w:asciiTheme="majorBidi" w:hAnsiTheme="majorBidi" w:cstheme="majorBidi"/>
          <w:sz w:val="24"/>
          <w:szCs w:val="24"/>
        </w:rPr>
        <w:instrText>ADDIN CSL_CITATION {"citationItems":[{"id":"ITEM-1","itemData":{"ISSN":"0140-9883","author":[{"dropping-particle":"","family":"Berner","given":"Anne","non-dropping-particle":"","parse-names":false,"suffix":""},{"dropping-particle":"","family":"Bruns","given":"Stephan","non-dropping-particle":"","parse-names":false,"suffix":""},{"dropping-particle":"","family":"Moneta","given":"Alessio","non-dropping-particle":"","parse-names":false,"suffix":""},{"dropping-particle":"","family":"Stern","given":"David I","non-dropping-particle":"","parse-names":false,"suffix":""}],"container-title":"Energy Economics","id":"ITEM-1","issued":{"date-parts":[["2022"]]},"page":"105939","publisher":"Elsevier","title":"Do energy efficiency improvements reduce energy use? Empirical evidence on the economy-wide rebound effect in Europe and the United States","type":"article-journal","volume":"110"},"uris":["http://www.mendeley.com/documents/?uuid=0d1c0147-9492-48e3-ac43-1a8fef74b830"]}],"mendeley":{"formattedCitation":"(Berner et al., 2022)","plainTextFormattedCitation":"(Berner et al., 2022)","previouslyFormattedCitation":"(Berner et al., 2022)"},"properties":{"noteIndex":0},"schema":"https://github.com/citation-style-language/schema/raw/master/csl-citation.json"}</w:instrText>
      </w:r>
      <w:r w:rsidR="003A0E91">
        <w:rPr>
          <w:rFonts w:asciiTheme="majorBidi" w:hAnsiTheme="majorBidi" w:cstheme="majorBidi"/>
          <w:sz w:val="24"/>
          <w:szCs w:val="24"/>
        </w:rPr>
        <w:fldChar w:fldCharType="separate"/>
      </w:r>
      <w:r w:rsidR="003A0E91" w:rsidRPr="003A0E91">
        <w:rPr>
          <w:rFonts w:asciiTheme="majorBidi" w:hAnsiTheme="majorBidi" w:cstheme="majorBidi"/>
          <w:noProof/>
          <w:sz w:val="24"/>
          <w:szCs w:val="24"/>
        </w:rPr>
        <w:t>(Berner et al., 2022)</w:t>
      </w:r>
      <w:r w:rsidR="003A0E91">
        <w:rPr>
          <w:rFonts w:asciiTheme="majorBidi" w:hAnsiTheme="majorBidi" w:cstheme="majorBidi"/>
          <w:sz w:val="24"/>
          <w:szCs w:val="24"/>
        </w:rPr>
        <w:fldChar w:fldCharType="end"/>
      </w:r>
      <w:r w:rsidRPr="00DD7726">
        <w:rPr>
          <w:rFonts w:asciiTheme="majorBidi" w:hAnsiTheme="majorBidi" w:cstheme="majorBidi"/>
          <w:sz w:val="24"/>
          <w:szCs w:val="24"/>
        </w:rPr>
        <w:t xml:space="preserve"> performed research examining the risk and return dynamics between renewable energy-backed cryptocurrencies and fossil fuel-backed cryptocurrencies during the COVID-19 pandemic. Their analysis indicated that cryptocurrencies supported by renewable energy provide superior hedging chances relative to fossil fuel-based assets during crises. This discovery is noteworthy as it offers a novel viewpoint on the function of renewable energy within the cryptocurrency domain, illustrating that green cryptocurrencies, especially those linked to renewable energy sources, possess the capacity to mitigate market risks commonly impacting conventional financial assets. This study corresponds with the increasing literature supporting renewable energy cryptocurrency as alternative assets that provide diversification and risk mitigation, particularly during periods of volatility in conventional markets, such as those seen during the epidemic.</w:t>
      </w:r>
    </w:p>
    <w:p w:rsidR="00DD7726" w:rsidRPr="00DD7726" w:rsidRDefault="003A0E91" w:rsidP="003A0E91">
      <w:pPr>
        <w:spacing w:after="0" w:line="480" w:lineRule="auto"/>
        <w:jc w:val="both"/>
        <w:rPr>
          <w:rFonts w:asciiTheme="majorBidi" w:hAnsiTheme="majorBidi" w:cstheme="majorBidi"/>
          <w:sz w:val="24"/>
          <w:szCs w:val="24"/>
        </w:rPr>
      </w:pP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{"citationItems":[{"id":"ITEM-1","itemData":{"DOI":"https://doi.org/10.1016/j.gr.2023.08.014","ISSN":"1342-937X","abstract":"The nexus between renewable energy and green economic growth is multifaceted and promising. By transitioning to renewable energy sources, countries can simultaneously address climate change, promote sustainable development, and stimulate economic growth. The past few decades have seen increasing environmental hazards because of the ecological pressure exerted by humanity. Attaining sustainable development without harming the environment has immense importance in recent strands of literature. Thus, we employ novel dynamic ARDL simulations to explore the significance of the renewable energy and green economic growth nexus in both the short and long run, for large developed countries. Our findings indicate that green economic growth and economic globalization significantly enhance renewable energy consumption, and there is a long-term cointegration among the variables. The study further reveals that emissions are considerable despite the adoption of renewable energy in these highly industrialized countries. By prioritizing the transition to renewable energy, creating green jobs, enhancing energy efficiency, fostering innovation and research, and strengthening international cooperation, G-20 countries can lay the foundation for a sustainable and prosperous future. It is imperative that these policy implications are implemented effectively to address the urgent challenges of climate change and promote green economic growth.","author":[{"dropping-particle":"","family":"Ashfaq","given":"Saira","non-dropping-particle":"","parse-names":false,"suffix":""},{"dropping-particle":"","family":"Liangrong","given":"Song","non-dropping-particle":"","parse-names":false,"suffix":""},{"dropping-particle":"","family":"Waqas","given":"Fahad","non-dropping-particle":"","parse-names":false,"suffix":""},{"dropping-particle":"","family":"Gulzar","given":"Saqib","non-dropping-particle":"","parse-names":false,"suffix":""},{"dropping-particle":"","family":"Mujtaba","given":"Ghulam","non-dropping-particle":"","parse-names":false,"suffix":""},{"dropping-particle":"","family":"Nasir","given":"Rana Muhammad","non-dropping-particle":"","parse-names":false,"suffix":""}],"container-title":"Gondwana Research","id":"ITEM-1","issued":{"date-parts":[["2024"]]},"note":"Energy, environment and sustainability: Future directions","page":"288-300","title":"Renewable energy and green economic growth nexus: Insights from simulated dynamic ARDL","type":"article-journal","volume":"127"},"uris":["http://www.mendeley.com/documents/?uuid=05ceacbe-086d-43cd-bdcb-a49ca70b2bfc"]}],"mendeley":{"formattedCitation":"(Ashfaq et al., 2024)","plainTextFormattedCitation":"(Ashfaq et al., 2024)","previouslyFormattedCitation":"(Ashfaq et al., 2024)"},"properties":{"noteIndex":0},"schema":"https://github.com/citation-style-language/schema/raw/master/csl-citation.json"}</w:instrText>
      </w:r>
      <w:r>
        <w:rPr>
          <w:rFonts w:asciiTheme="majorBidi" w:hAnsiTheme="majorBidi" w:cstheme="majorBidi"/>
          <w:sz w:val="24"/>
          <w:szCs w:val="24"/>
        </w:rPr>
        <w:fldChar w:fldCharType="separate"/>
      </w:r>
      <w:r w:rsidRPr="003A0E91">
        <w:rPr>
          <w:rFonts w:asciiTheme="majorBidi" w:hAnsiTheme="majorBidi" w:cstheme="majorBidi"/>
          <w:noProof/>
          <w:sz w:val="24"/>
          <w:szCs w:val="24"/>
        </w:rPr>
        <w:t>(Ashfaq et al., 2024)</w:t>
      </w:r>
      <w:r>
        <w:rPr>
          <w:rFonts w:asciiTheme="majorBidi" w:hAnsiTheme="majorBidi" w:cstheme="majorBidi"/>
          <w:sz w:val="24"/>
          <w:szCs w:val="24"/>
        </w:rPr>
        <w:fldChar w:fldCharType="end"/>
      </w:r>
      <w:r>
        <w:rPr>
          <w:rFonts w:asciiTheme="majorBidi" w:hAnsiTheme="majorBidi" w:cstheme="majorBidi"/>
          <w:sz w:val="24"/>
          <w:szCs w:val="24"/>
        </w:rPr>
        <w:t xml:space="preserve"> </w:t>
      </w:r>
      <w:r w:rsidR="00DD7726" w:rsidRPr="00DD7726">
        <w:rPr>
          <w:rFonts w:asciiTheme="majorBidi" w:hAnsiTheme="majorBidi" w:cstheme="majorBidi"/>
          <w:sz w:val="24"/>
          <w:szCs w:val="24"/>
        </w:rPr>
        <w:t xml:space="preserve">further substantiated this notion by using Quantile-VAR (Q-VAR) estimations to analyze the correlation between the cryptocurrency market and energy markets during the pandemic. Their research identified both static and dynamic correlations between the two markets, emphasizing the evolution of market behavior over time. </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{"citationItems":[{"id":"ITEM-1","itemData":{"DOI":"10.1016/j.enpol.2009.02.006","ISSN":"03014215","abstract":"The concept of energy security is widely used, yet there is no consensus on its precise interpretation. In this research, we have provided an overview of available indicators for long-term security of supply (SOS). We distinguished four dimensions of energy security that relate to the availability, accessibility, affordability and acceptability of energy and classified indicators for energy security according to this taxonomy. There is no one ideal indicator, as the notion of energy security is highly context dependent. Rather, applying multiple indicators leads to a broader understanding. Incorporating these indicators in model-based scenario analysis showed accelerated depletion of currently known fossil resources due to increasing global demand. Coupled with increasing spatial discrepancy between consumption and production, international trade in energy carriers is projected to have increased by 142% in 2050 compared to 2008. Oil production is projected to become increasingly concentrated in a few countries up to 2030, after which production from other regions diversifies the market. Under stringent climate policies, this diversification may not occur due to reduced demand for oil. Possible benefits of climate policy include increased fuel diversity and slower depletion of fossil resources. © 2009 Elsevier Ltd. All rights reserved.","author":[{"dropping-particle":"","family":"Kruyt","given":"Bert","non-dropping-particle":"","parse-names":false,"suffix":""},{"dropping-particle":"","family":"Vuuren","given":"D. P.","non-dropping-particle":"van","parse-names":false,"suffix":""},{"dropping-particle":"","family":"Vries","given":"H. J.M.","non-dropping-particle":"de","parse-names":false,"suffix":""},{"dropping-particle":"","family":"Groenenberg","given":"H.","non-dropping-particle":"","parse-names":false,"suffix":""}],"container-title":"Energy Policy","id":"ITEM-1","issue":"6","issued":{"date-parts":[["2009","6"]]},"page":"2166-2181","title":"Indicators for energy security","type":"article-journal","volume":"37"},"uris":["http://www.mendeley.com/documents/?uuid=60021812-6dcc-3377-92b4-d7909da1c226"]}],"mendeley":{"formattedCitation":"(Kruyt et al., 2009)","plainTextFormattedCitation":"(Kruyt et al., 2009)","previouslyFormattedCitation":"(Kruyt et al., 2009)"},"properties":{"noteIndex":0},"schema":"https://github.com/citation-style-language/schema/raw/master/csl-citation.json"}</w:instrText>
      </w:r>
      <w:r>
        <w:rPr>
          <w:rFonts w:asciiTheme="majorBidi" w:hAnsiTheme="majorBidi" w:cstheme="majorBidi"/>
          <w:sz w:val="24"/>
          <w:szCs w:val="24"/>
        </w:rPr>
        <w:fldChar w:fldCharType="separate"/>
      </w:r>
      <w:r w:rsidRPr="003A0E91">
        <w:rPr>
          <w:rFonts w:asciiTheme="majorBidi" w:hAnsiTheme="majorBidi" w:cstheme="majorBidi"/>
          <w:noProof/>
          <w:sz w:val="24"/>
          <w:szCs w:val="24"/>
        </w:rPr>
        <w:t>(Kruyt et al., 2009)</w:t>
      </w:r>
      <w:r>
        <w:rPr>
          <w:rFonts w:asciiTheme="majorBidi" w:hAnsiTheme="majorBidi" w:cstheme="majorBidi"/>
          <w:sz w:val="24"/>
          <w:szCs w:val="24"/>
        </w:rPr>
        <w:fldChar w:fldCharType="end"/>
      </w:r>
      <w:r w:rsidR="00DD7726" w:rsidRPr="00DD7726">
        <w:rPr>
          <w:rFonts w:asciiTheme="majorBidi" w:hAnsiTheme="majorBidi" w:cstheme="majorBidi"/>
          <w:sz w:val="24"/>
          <w:szCs w:val="24"/>
        </w:rPr>
        <w:t xml:space="preserve"> found no indication of volatility spillover between cryptocurrency and conventional energy markets during the epidemic. Nonetheless, their analysis revealed that Bitcoin, specifically, persists in transmitting return spillovers, serving as a crucial indicator and transmitter of market information. This discovery is essential as it highlights Bitcoin's significance as a leading cryptocurrency in </w:t>
      </w:r>
      <w:r w:rsidR="00DD7726" w:rsidRPr="00DD7726">
        <w:rPr>
          <w:rFonts w:asciiTheme="majorBidi" w:hAnsiTheme="majorBidi" w:cstheme="majorBidi"/>
          <w:sz w:val="24"/>
          <w:szCs w:val="24"/>
        </w:rPr>
        <w:lastRenderedPageBreak/>
        <w:t xml:space="preserve">conveying market mood and information, especially against uncertainties such as COVID-19. Although direct volatility spillovers are absent, Bitcoin's function in return transmission indicates that it maintains its status as a preeminent financial asset in the cryptocurrency market. This study highlights the extensive market ramifications of cryptocurrencies, indicating that they are not standalone assets but are more integrated with regular financial markets, illustrating the growing convergence between these two domains. The results of </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{"citationItems":[{"id":"ITEM-1","itemData":{"DOI":"10.1016/j.energy.2018.01.133","ISSN":"03605442","abstract":"This paper focuses on the techno-economic feasibility of a grid-tied hybrid microgrid system for local inhabitants of Kallar Kahar near Chakwal city of Punjab province in Pakistan and investigates the potential for electricity generation through hybrid wind, photovoltaic and biomass system. The comprehensive resource assessment of wind, biomass and solar energy is carried out for grid integration. Homer Pro software is used to model a hybrid microgrid system. Optimization results and sensitivity analysis is carried out to ensure the robustness and cost-effectiveness of the proposed hybrid microgrid system. The total load has been optimally shared among generated power through wind, photovoltaic and biomass resources and surplus power is supplied to the national grid in case of low local demand of the load. The results of techno-economic feasibility study show that hybrid power system can generate more than 50 MW. The cost of energy based on peak load demand profiles are considered for both residential and commercial sectors. The cost of hybrid system for peak load of 73.6 MW is 180.2 million USD and levelized cost of energy is 0.05744 $/kWh.","author":[{"dropping-particle":"","family":"Ahmad","given":"Jameel","non-dropping-particle":"","parse-names":false,"suffix":""},{"dropping-particle":"","family":"Imran","given":"Muhammad","non-dropping-particle":"","parse-names":false,"suffix":""},{"dropping-particle":"","family":"Khalid","given":"Abdullah","non-dropping-particle":"","parse-names":false,"suffix":""},{"dropping-particle":"","family":"Iqbal","given":"Waseem","non-dropping-particle":"","parse-names":false,"suffix":""},{"dropping-particle":"","family":"Ashraf","given":"Syed Rehan","non-dropping-particle":"","parse-names":false,"suffix":""},{"dropping-particle":"","family":"Adnan","given":"Muhammad","non-dropping-particle":"","parse-names":false,"suffix":""},{"dropping-particle":"","family":"Ali","given":"Syed Farooq","non-dropping-particle":"","parse-names":false,"suffix":""},{"dropping-particle":"","family":"Khokhar","given":"Khawar Siddique","non-dropping-particle":"","parse-names":false,"suffix":""}],"container-title":"Energy","id":"ITEM-1","issued":{"date-parts":[["2018"]]},"title":"Techno economic analysis of a wind-photovoltaic-biomass hybrid renewable energy system for rural electrification: A case study of Kallar Kahar","type":"article-journal"},"uris":["http://www.mendeley.com/documents/?uuid=944e2f51-6406-4627-8721-055704a29712"]}],"mendeley":{"formattedCitation":"(Ahmad et al., 2018)","plainTextFormattedCitation":"(Ahmad et al., 2018)","previouslyFormattedCitation":"(Ahmad et al., 2018)"},"properties":{"noteIndex":0},"schema":"https://github.com/citation-style-language/schema/raw/master/csl-citation.json"}</w:instrText>
      </w:r>
      <w:r>
        <w:rPr>
          <w:rFonts w:asciiTheme="majorBidi" w:hAnsiTheme="majorBidi" w:cstheme="majorBidi"/>
          <w:sz w:val="24"/>
          <w:szCs w:val="24"/>
        </w:rPr>
        <w:fldChar w:fldCharType="separate"/>
      </w:r>
      <w:r w:rsidRPr="003A0E91">
        <w:rPr>
          <w:rFonts w:asciiTheme="majorBidi" w:hAnsiTheme="majorBidi" w:cstheme="majorBidi"/>
          <w:noProof/>
          <w:sz w:val="24"/>
          <w:szCs w:val="24"/>
        </w:rPr>
        <w:t>(Ahmad et al., 2018)</w:t>
      </w:r>
      <w:r>
        <w:rPr>
          <w:rFonts w:asciiTheme="majorBidi" w:hAnsiTheme="majorBidi" w:cstheme="majorBidi"/>
          <w:sz w:val="24"/>
          <w:szCs w:val="24"/>
        </w:rPr>
        <w:fldChar w:fldCharType="end"/>
      </w:r>
      <w:r w:rsidR="00DD7726" w:rsidRPr="00DD7726">
        <w:rPr>
          <w:rFonts w:asciiTheme="majorBidi" w:hAnsiTheme="majorBidi" w:cstheme="majorBidi"/>
          <w:sz w:val="24"/>
          <w:szCs w:val="24"/>
        </w:rPr>
        <w:t xml:space="preserve"> indicate that uncertainty significantly affects return and volatility behavior, emphasizing how periods of uncertainty, such as the COVID-19 crisis, influence investor behavior and market dynamics.</w:t>
      </w:r>
    </w:p>
    <w:p w:rsidR="00DD7726" w:rsidRPr="00DD7726" w:rsidRDefault="003A0E91" w:rsidP="00DD7726">
      <w:pPr>
        <w:spacing w:after="0" w:line="480" w:lineRule="auto"/>
        <w:jc w:val="both"/>
        <w:rPr>
          <w:rFonts w:asciiTheme="majorBidi" w:hAnsiTheme="majorBidi" w:cstheme="majorBidi"/>
          <w:sz w:val="24"/>
          <w:szCs w:val="24"/>
        </w:rPr>
      </w:pP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ISSN":"0360-5442","author":[{"dropping-particle":"","family":"Backlund","given":"Sandra","non-dropping-particle":"","parse-names":false,"suffix":""},{"dropping-particle":"","family":"Thollander","given":"Patrik","non-dropping-particle":"","parse-names":false,"suffix":""}],"container-title":"Energy","id":"ITEM-1","issued":{"date-parts":[["2015"]]},"page":"54-60","publisher":"Elsevier","title":"Impact after three years of the Swedish energy audit program","type":"article-journal","volume":"82"},"uris":["http://www.mendeley.com/documents/?uuid=c027ca94-ba4b-4aed-8be7-e0406f46efe2"]}],"mendeley":{"formattedCitation":"(Backlund &amp; Thollander, 2015)","plainTextFormattedCitation":"(Backlund &amp; Thollander, 2015)","previouslyFormattedCitation":"(Backlund &amp; Thollander, 2015)"},"properties":{"noteIndex":0},"schema":"https://github.com/citation-style-language/schema/raw/master/csl-citation.json"}</w:instrText>
      </w:r>
      <w:r>
        <w:rPr>
          <w:rFonts w:asciiTheme="majorBidi" w:hAnsiTheme="majorBidi" w:cstheme="majorBidi"/>
          <w:sz w:val="24"/>
          <w:szCs w:val="24"/>
        </w:rPr>
        <w:fldChar w:fldCharType="separate"/>
      </w:r>
      <w:r w:rsidRPr="003A0E91">
        <w:rPr>
          <w:rFonts w:asciiTheme="majorBidi" w:hAnsiTheme="majorBidi" w:cstheme="majorBidi"/>
          <w:noProof/>
          <w:sz w:val="24"/>
          <w:szCs w:val="24"/>
        </w:rPr>
        <w:t>(Backlund &amp; Thollander, 2015)</w:t>
      </w:r>
      <w:r>
        <w:rPr>
          <w:rFonts w:asciiTheme="majorBidi" w:hAnsiTheme="majorBidi" w:cstheme="majorBidi"/>
          <w:sz w:val="24"/>
          <w:szCs w:val="24"/>
        </w:rPr>
        <w:fldChar w:fldCharType="end"/>
      </w:r>
      <w:r w:rsidR="00DD7726" w:rsidRPr="00DD7726">
        <w:rPr>
          <w:rFonts w:asciiTheme="majorBidi" w:hAnsiTheme="majorBidi" w:cstheme="majorBidi"/>
          <w:sz w:val="24"/>
          <w:szCs w:val="24"/>
        </w:rPr>
        <w:t xml:space="preserve"> examine the correlation between cryptocurrency and gold, both regarded as safe-haven assets, by analyzing their return and volatility dynamics. They assert that uncertainty, like that in cryptocurrency markets, profoundly affects both return and volatility dynamics in the gold market. Their study offers significant insights into market players' reactions to exogenous shocks, such as pandemics or economic crises, and the variability of perceived asset safety in response. This relationship is especially significant when evaluating the potential for renewable energy tokens to exhibit performance akin to conventional safe-haven commodities like gold, particularly during periods of market volatility. The research indicates that the architecture of cryptocurrency markets and their association with conventional safe assets necessitates additional scrutiny, especially to comprehend the function of renewable energy-backed cryptocurrencies in offering stability and security in investment portfolios during periods of uncertainty.</w:t>
      </w:r>
    </w:p>
    <w:p w:rsidR="00DD7726" w:rsidRPr="00DD7726" w:rsidRDefault="00DD7726" w:rsidP="003A0E91">
      <w:pPr>
        <w:spacing w:after="0" w:line="480" w:lineRule="auto"/>
        <w:jc w:val="both"/>
        <w:rPr>
          <w:rFonts w:asciiTheme="majorBidi" w:hAnsiTheme="majorBidi" w:cstheme="majorBidi"/>
          <w:sz w:val="24"/>
          <w:szCs w:val="24"/>
        </w:rPr>
      </w:pPr>
      <w:r w:rsidRPr="00DD7726">
        <w:rPr>
          <w:rFonts w:asciiTheme="majorBidi" w:hAnsiTheme="majorBidi" w:cstheme="majorBidi"/>
          <w:sz w:val="24"/>
          <w:szCs w:val="24"/>
        </w:rPr>
        <w:t xml:space="preserve">The emergence of energy tokens, especially cryptocurrencies supported by renewable energy, signifies a significant transformation in the digital asset domain. According to </w:t>
      </w:r>
      <w:r w:rsidR="003A0E91">
        <w:rPr>
          <w:rFonts w:asciiTheme="majorBidi" w:hAnsiTheme="majorBidi" w:cstheme="majorBidi"/>
          <w:sz w:val="24"/>
          <w:szCs w:val="24"/>
        </w:rPr>
        <w:fldChar w:fldCharType="begin" w:fldLock="1"/>
      </w:r>
      <w:r w:rsidR="003A0E91">
        <w:rPr>
          <w:rFonts w:asciiTheme="majorBidi" w:hAnsiTheme="majorBidi" w:cstheme="majorBidi"/>
          <w:sz w:val="24"/>
          <w:szCs w:val="24"/>
        </w:rPr>
        <w:instrText>ADDIN CSL_CITATION {"citationItems":[{"id":"ITEM-1","itemData":{"DOI":"10.1080/1331677X.2022.2035241","abstract":"Environmental protection has become a significant issue around the globe. The extensive use of renewable energy and green finance is considered as the solution to this dramatic issue, especially in the Covid-19 lockdown. To answer this demand, the present study examines the impact of green financial development such as green credit, green investment, and green securities along with corporate social responsibility (CSR) in reporting renewable energy investment based on evidence from an emerging economy. Economic growth was used as the control variable of the study. The data was gathered from the central bank and World Development Indicators (WDI) from 1976 to 2020. The error correction model (ECM) was used to test the nexus among the variables. The findings revealed that green credit, green investment, and green securities along with CSR reporting and economic growth have a significant positive nexus with renewable energy investment in the selected emerging economy. These outcomes are helpful for new arrivals to investigate this area in the future along with regulators who want to formulate policies related to green finance and renewable energy usage and investment in the context of emerging and developing countries.","author":[{"dropping-particle":"","family":"Ye","given":"Jianhua","non-dropping-particle":"","parse-names":false,"suffix":""},{"dropping-particle":"","family":"Al-Fadly","given":"Ahmad","non-dropping-particle":"","parse-names":false,"suffix":""},{"dropping-particle":"","family":"Huy","given":"Pham Quang","non-dropping-particle":"","parse-names":false,"suffix":""},{"dropping-particle":"","family":"Ngo","given":"Thanh Quang","non-dropping-particle":"","parse-names":false,"suffix":""},{"dropping-particle":"","family":"Hung","given":"Doan Dang Phi","non-dropping-particle":"","parse-names":false,"suffix":""},{"dropping-particle":"","family":"Tien","given":"Nguyen Hoang","non-dropping-particle":"","parse-names":false,"suffix":""}],"container-title":"Economic Research-Ekonomska Istrazivanja ","id":"ITEM-1","issue":"1","issued":{"date-parts":[["2022"]]},"page":"5650-5675","publisher":"Taylor and Francis Ltd.","title":"The nexus among green financial development and renewable energy: investment in the wake of the Covid-19 pandemic","type":"article-journal","volume":"35"},"uris":["http://www.mendeley.com/documents/?uuid=acc73731-e7e6-48a8-8032-68e00c782fea"]}],"mendeley":{"formattedCitation":"(Ye et al., 2022)","plainTextFormattedCitation":"(Ye et al., 2022)","previouslyFormattedCitation":"(Ye et al., 2022)"},"properties":{"noteIndex":0},"schema":"https://github.com/citation-style-language/schema/raw/master/csl-citation.json"}</w:instrText>
      </w:r>
      <w:r w:rsidR="003A0E91">
        <w:rPr>
          <w:rFonts w:asciiTheme="majorBidi" w:hAnsiTheme="majorBidi" w:cstheme="majorBidi"/>
          <w:sz w:val="24"/>
          <w:szCs w:val="24"/>
        </w:rPr>
        <w:fldChar w:fldCharType="separate"/>
      </w:r>
      <w:r w:rsidR="003A0E91" w:rsidRPr="003A0E91">
        <w:rPr>
          <w:rFonts w:asciiTheme="majorBidi" w:hAnsiTheme="majorBidi" w:cstheme="majorBidi"/>
          <w:noProof/>
          <w:sz w:val="24"/>
          <w:szCs w:val="24"/>
        </w:rPr>
        <w:t>(Ye et al., 2022)</w:t>
      </w:r>
      <w:r w:rsidR="003A0E91">
        <w:rPr>
          <w:rFonts w:asciiTheme="majorBidi" w:hAnsiTheme="majorBidi" w:cstheme="majorBidi"/>
          <w:sz w:val="24"/>
          <w:szCs w:val="24"/>
        </w:rPr>
        <w:fldChar w:fldCharType="end"/>
      </w:r>
      <w:r w:rsidRPr="00DD7726">
        <w:rPr>
          <w:rFonts w:asciiTheme="majorBidi" w:hAnsiTheme="majorBidi" w:cstheme="majorBidi"/>
          <w:sz w:val="24"/>
          <w:szCs w:val="24"/>
        </w:rPr>
        <w:t xml:space="preserve">, these energy tokens are increasingly seen as offering diversification potential for investors. They </w:t>
      </w:r>
      <w:r w:rsidRPr="00DD7726">
        <w:rPr>
          <w:rFonts w:asciiTheme="majorBidi" w:hAnsiTheme="majorBidi" w:cstheme="majorBidi"/>
          <w:sz w:val="24"/>
          <w:szCs w:val="24"/>
        </w:rPr>
        <w:lastRenderedPageBreak/>
        <w:t xml:space="preserve">provide an alternative to conventional asset classes, including equities, fixed-income securities, and precious metals, while introducing a novel aspect to the risk-reward framework that investors generally depend upon. Renewable energy tokens, in contrast to conventional cryptocurrencies, are linked to the energy industry, particularly renewable sources such as wind, solar, and hydroelectric power, therefore enhancing their attractiveness amid the worldwide movement towards sustainability and green finance. These tokens provide a unique chance to mitigate conventional market risks, especially when investors pursue assets that exhibit a lower correlation with larger financial markets. Consequently, renewable energy tokens may function as effective instruments for portfolio diversification, assisting investors in risk management and navigating financial turbulence. Nevertheless, despite the encouraging prospects of these energy tokens, there is an absence of thorough research that adequately delineates the relationships between renewable energy-backed cryptocurrencies and conventional financial markets. </w:t>
      </w:r>
      <w:r w:rsidR="003A0E91">
        <w:rPr>
          <w:rFonts w:asciiTheme="majorBidi" w:hAnsiTheme="majorBidi" w:cstheme="majorBidi"/>
          <w:sz w:val="24"/>
          <w:szCs w:val="24"/>
        </w:rPr>
        <w:fldChar w:fldCharType="begin" w:fldLock="1"/>
      </w:r>
      <w:r w:rsidR="003A0E91">
        <w:rPr>
          <w:rFonts w:asciiTheme="majorBidi" w:hAnsiTheme="majorBidi" w:cstheme="majorBidi"/>
          <w:sz w:val="24"/>
          <w:szCs w:val="24"/>
        </w:rPr>
        <w:instrText>ADDIN CSL_CITATION {"citationItems":[{"id":"ITEM-1","itemData":{"ISSN":"0960-1481","author":[{"dropping-particle":"","family":"Cai","given":"Wei","non-dropping-particle":"","parse-names":false,"suffix":""},{"dropping-particle":"","family":"Mohammaditab","given":"Rasoul","non-dropping-particle":"","parse-names":false,"suffix":""},{"dropping-particle":"","family":"Fathi","given":"Gholamreza","non-dropping-particle":"","parse-names":false,"suffix":""},{"dropping-particle":"","family":"Wakil","given":"Karzan","non-dropping-particle":"","parse-names":false,"suffix":""},{"dropping-particle":"","family":"Ebadi","given":"Abdol Ghaffar","non-dropping-particle":"","parse-names":false,"suffix":""},{"dropping-particle":"","family":"Ghadimi","given":"Noradin","non-dropping-particle":"","parse-names":false,"suffix":""}],"container-title":"Renewable Energy","id":"ITEM-1","issued":{"date-parts":[["2019"]]},"page":"1-8","publisher":"Elsevier","title":"Optimal bidding and offering strategies of compressed air energy storage: A hybrid robust-stochastic approach","type":"article-journal","volume":"143"},"uris":["http://www.mendeley.com/documents/?uuid=9218cf2e-0d1a-43a5-ad92-4a1f26c7668d"]}],"mendeley":{"formattedCitation":"(Cai et al., 2019)","plainTextFormattedCitation":"(Cai et al., 2019)","previouslyFormattedCitation":"(Cai et al., 2019)"},"properties":{"noteIndex":0},"schema":"https://github.com/citation-style-language/schema/raw/master/csl-citation.json"}</w:instrText>
      </w:r>
      <w:r w:rsidR="003A0E91">
        <w:rPr>
          <w:rFonts w:asciiTheme="majorBidi" w:hAnsiTheme="majorBidi" w:cstheme="majorBidi"/>
          <w:sz w:val="24"/>
          <w:szCs w:val="24"/>
        </w:rPr>
        <w:fldChar w:fldCharType="separate"/>
      </w:r>
      <w:r w:rsidR="003A0E91" w:rsidRPr="003A0E91">
        <w:rPr>
          <w:rFonts w:asciiTheme="majorBidi" w:hAnsiTheme="majorBidi" w:cstheme="majorBidi"/>
          <w:noProof/>
          <w:sz w:val="24"/>
          <w:szCs w:val="24"/>
        </w:rPr>
        <w:t>(Cai et al., 2019)</w:t>
      </w:r>
      <w:r w:rsidR="003A0E91">
        <w:rPr>
          <w:rFonts w:asciiTheme="majorBidi" w:hAnsiTheme="majorBidi" w:cstheme="majorBidi"/>
          <w:sz w:val="24"/>
          <w:szCs w:val="24"/>
        </w:rPr>
        <w:fldChar w:fldCharType="end"/>
      </w:r>
      <w:r w:rsidR="003A0E91">
        <w:rPr>
          <w:rFonts w:asciiTheme="majorBidi" w:hAnsiTheme="majorBidi" w:cstheme="majorBidi"/>
          <w:sz w:val="24"/>
          <w:szCs w:val="24"/>
        </w:rPr>
        <w:t xml:space="preserve"> </w:t>
      </w:r>
      <w:r w:rsidRPr="00DD7726">
        <w:rPr>
          <w:rFonts w:asciiTheme="majorBidi" w:hAnsiTheme="majorBidi" w:cstheme="majorBidi"/>
          <w:sz w:val="24"/>
          <w:szCs w:val="24"/>
        </w:rPr>
        <w:t>assert that digital assets, such as renewable energy tokens, remain mostly impervious to regulatory frameworks, particularly during periods of market instability. The absence of regulation, albeit advantageous in certain aspects, results in the unpredictable behavior of renewable energy tokens, complicating the comprehension of their risk-return dynamics relative to conventional assets. Consequently, investors may find it challenging to evaluate the whole potential of these assets and their function in ensuring stability within diverse portfolios.</w:t>
      </w:r>
    </w:p>
    <w:p w:rsidR="00DD7726" w:rsidRPr="00DD7726" w:rsidRDefault="00DD7726" w:rsidP="003A0E91">
      <w:pPr>
        <w:spacing w:after="0" w:line="480" w:lineRule="auto"/>
        <w:jc w:val="both"/>
        <w:rPr>
          <w:rFonts w:asciiTheme="majorBidi" w:hAnsiTheme="majorBidi" w:cstheme="majorBidi"/>
          <w:sz w:val="24"/>
          <w:szCs w:val="24"/>
        </w:rPr>
      </w:pPr>
      <w:r w:rsidRPr="00DD7726">
        <w:rPr>
          <w:rFonts w:asciiTheme="majorBidi" w:hAnsiTheme="majorBidi" w:cstheme="majorBidi"/>
          <w:sz w:val="24"/>
          <w:szCs w:val="24"/>
        </w:rPr>
        <w:t xml:space="preserve">Numerous studies have examined the relationship between cryptocurrency markets and traditional energy markets, especially those including renewable energy-backed cryptocurrencies. </w:t>
      </w:r>
      <w:r w:rsidR="003A0E91">
        <w:rPr>
          <w:rFonts w:asciiTheme="majorBidi" w:hAnsiTheme="majorBidi" w:cstheme="majorBidi"/>
          <w:sz w:val="24"/>
          <w:szCs w:val="24"/>
        </w:rPr>
        <w:fldChar w:fldCharType="begin" w:fldLock="1"/>
      </w:r>
      <w:r w:rsidR="003A0E91">
        <w:rPr>
          <w:rFonts w:asciiTheme="majorBidi" w:hAnsiTheme="majorBidi" w:cstheme="majorBidi"/>
          <w:sz w:val="24"/>
          <w:szCs w:val="24"/>
        </w:rPr>
        <w:instrText>ADDIN CSL_CITATION {"citationItems":[{"id":"ITEM-1","itemData":{"DOI":"10.1016/j.est.2022.105282","ISSN":"2352152X","abstract":"The paper describes an energy storage system that uses compressed air and thermal energy storage, enabling installation in a post-exploitation mine shaft. The paper presents the concept and construction of thermal energy and compressed air hybrid storage system. Storage potential and effectiveness of the compressed air energy storage (CAES) system are demonstrated. The main motivation for undertaking the research was to manage post-mining infrastructure, especially in highly urbanized areas, and to propose a system to compensate for power fluctuations in the power system. The analyzed system includes a two-section air compressor, one compressed air reservoir with built-in two-section thermal energy system and a two-section air expander. The proposed energy storage system uses a post-mine shaft with a volume of about 60,000 m3 and the proposed thermal energy and compressed air storage system can be characterized by energy capacities of 140 MWh at a moderate pressure of 5 MPa. Important features of the system that determine high values of electric energy storage efficiency, in excess of 70 %, are identified. A numerical investigation of the Thermal Energy Storage (TES) tank supported by experimental studies is also presented, and the energy efficiency of the TES was calculated to be 95 %. This paper provides a detailed description of the concept, discusses its advantages and limitations, and highlights areas for future research.","author":[{"dropping-particle":"","family":"Bartela","given":"Łukasz","non-dropping-particle":"","parse-names":false,"suffix":""},{"dropping-particle":"","family":"Ochmann","given":"Jakub","non-dropping-particle":"","parse-names":false,"suffix":""},{"dropping-particle":"","family":"Waniczek","given":"Sebastian","non-dropping-particle":"","parse-names":false,"suffix":""},{"dropping-particle":"","family":"Lutyński","given":"Marcin","non-dropping-particle":"","parse-names":false,"suffix":""},{"dropping-particle":"","family":"Smolnik","given":"Grzegorz","non-dropping-particle":"","parse-names":false,"suffix":""},{"dropping-particle":"","family":"Rulik","given":"Sebastian","non-dropping-particle":"","parse-names":false,"suffix":""}],"container-title":"Journal of Energy Storage","id":"ITEM-1","issued":{"date-parts":[["2022","10"]]},"publisher":"Elsevier Ltd","title":"Evaluation of the energy potential of an adiabatic compressed air energy storage system based on a novel thermal energy storage system in a post mining shaft","type":"article-journal","volume":"54"},"uris":["http://www.mendeley.com/documents/?uuid=85f18b59-855d-41ee-bc75-fca17e55d946"]}],"mendeley":{"formattedCitation":"(Bartela et al., 2022)","plainTextFormattedCitation":"(Bartela et al., 2022)","previouslyFormattedCitation":"(Bartela et al., 2022)"},"properties":{"noteIndex":0},"schema":"https://github.com/citation-style-language/schema/raw/master/csl-citation.json"}</w:instrText>
      </w:r>
      <w:r w:rsidR="003A0E91">
        <w:rPr>
          <w:rFonts w:asciiTheme="majorBidi" w:hAnsiTheme="majorBidi" w:cstheme="majorBidi"/>
          <w:sz w:val="24"/>
          <w:szCs w:val="24"/>
        </w:rPr>
        <w:fldChar w:fldCharType="separate"/>
      </w:r>
      <w:r w:rsidR="003A0E91" w:rsidRPr="003A0E91">
        <w:rPr>
          <w:rFonts w:asciiTheme="majorBidi" w:hAnsiTheme="majorBidi" w:cstheme="majorBidi"/>
          <w:noProof/>
          <w:sz w:val="24"/>
          <w:szCs w:val="24"/>
        </w:rPr>
        <w:t>(Bartela et al., 2022)</w:t>
      </w:r>
      <w:r w:rsidR="003A0E91">
        <w:rPr>
          <w:rFonts w:asciiTheme="majorBidi" w:hAnsiTheme="majorBidi" w:cstheme="majorBidi"/>
          <w:sz w:val="24"/>
          <w:szCs w:val="24"/>
        </w:rPr>
        <w:fldChar w:fldCharType="end"/>
      </w:r>
      <w:r w:rsidR="003A0E91">
        <w:rPr>
          <w:rFonts w:asciiTheme="majorBidi" w:hAnsiTheme="majorBidi" w:cstheme="majorBidi"/>
          <w:sz w:val="24"/>
          <w:szCs w:val="24"/>
        </w:rPr>
        <w:t xml:space="preserve"> </w:t>
      </w:r>
      <w:r w:rsidRPr="00DD7726">
        <w:rPr>
          <w:rFonts w:asciiTheme="majorBidi" w:hAnsiTheme="majorBidi" w:cstheme="majorBidi"/>
          <w:sz w:val="24"/>
          <w:szCs w:val="24"/>
        </w:rPr>
        <w:t xml:space="preserve">used the optimum copula approach to examine the relationship between renewable energy and cryptocurrency, suggesting that both sectors provide significant diversification advantages. Their study emphasizes that, despite the intrinsic volatility of cryptocurrencies, </w:t>
      </w:r>
      <w:r w:rsidRPr="00DD7726">
        <w:rPr>
          <w:rFonts w:asciiTheme="majorBidi" w:hAnsiTheme="majorBidi" w:cstheme="majorBidi"/>
          <w:sz w:val="24"/>
          <w:szCs w:val="24"/>
        </w:rPr>
        <w:lastRenderedPageBreak/>
        <w:t xml:space="preserve">renewable energy tokens provide a diversification option, crucial for investors aiming to mitigate risks associated with the cryptocurrency and energy markets. </w:t>
      </w:r>
      <w:r w:rsidR="003A0E91">
        <w:rPr>
          <w:rFonts w:asciiTheme="majorBidi" w:hAnsiTheme="majorBidi" w:cstheme="majorBidi"/>
          <w:sz w:val="24"/>
          <w:szCs w:val="24"/>
        </w:rPr>
        <w:fldChar w:fldCharType="begin" w:fldLock="1"/>
      </w:r>
      <w:r w:rsidR="003A0E91">
        <w:rPr>
          <w:rFonts w:asciiTheme="majorBidi" w:hAnsiTheme="majorBidi" w:cstheme="majorBidi"/>
          <w:sz w:val="24"/>
          <w:szCs w:val="24"/>
        </w:rPr>
        <w:instrText>ADDIN CSL_CITATION {"citationItems":[{"id":"ITEM-1","itemData":{"DOI":"10.1016/j.jclepro.2017.03.203","ISSN":"09596526","abstract":"The main contribution of this study is to test the Environmental Kuznets Curve (EKC) hypothesis at individual country analysis by the significance of renewable energy and non-renewable energy consumption in the context of Pakistan. A series of econometric techniques is used for the period of 1970–2012. The findings provide strong support for the presence of the EKC in the case of Pakistan. The results show that renewable energy plays a dominant role in reducing carbon dioxide emission and non-renewable energy consumption indeed the main culprit for promoting carbon dioxide emission. It is also observed that bi-directional causality exists not only between renewable energy consumption and CO2 emission but also non-renewable energy consumption and CO2 emission granger cause each other. Sensitivity analysis is performed to prove that model of this study is stable and findings of the study are valid and reliable for Policy implication. These findings suggest that Government needs to expand investment in renewable energy projects that might contribute to the efforts of climate mitigation.","author":[{"dropping-particle":"","family":"Danish","given":"","non-dropping-particle":"","parse-names":false,"suffix":""},{"dropping-particle":"","family":"Zhang","given":"Bin","non-dropping-particle":"","parse-names":false,"suffix":""},{"dropping-particle":"","family":"Wang","given":"Bo","non-dropping-particle":"","parse-names":false,"suffix":""},{"dropping-particle":"","family":"Wang","given":"Zhaohua","non-dropping-particle":"","parse-names":false,"suffix":""}],"container-title":"Journal of Cleaner Production","id":"ITEM-1","issued":{"date-parts":[["2017","7"]]},"page":"855-864","publisher":"Elsevier Ltd","title":"Role of renewable energy and non-renewable energy consumption on EKC: Evidence from Pakistan","type":"article-journal","volume":"156"},"uris":["http://www.mendeley.com/documents/?uuid=dd1d9d0f-2455-4a8c-9562-307750432970"]}],"mendeley":{"formattedCitation":"(Danish et al., 2017)","plainTextFormattedCitation":"(Danish et al., 2017)","previouslyFormattedCitation":"(Danish et al., 2017)"},"properties":{"noteIndex":0},"schema":"https://github.com/citation-style-language/schema/raw/master/csl-citation.json"}</w:instrText>
      </w:r>
      <w:r w:rsidR="003A0E91">
        <w:rPr>
          <w:rFonts w:asciiTheme="majorBidi" w:hAnsiTheme="majorBidi" w:cstheme="majorBidi"/>
          <w:sz w:val="24"/>
          <w:szCs w:val="24"/>
        </w:rPr>
        <w:fldChar w:fldCharType="separate"/>
      </w:r>
      <w:r w:rsidR="003A0E91" w:rsidRPr="003A0E91">
        <w:rPr>
          <w:rFonts w:asciiTheme="majorBidi" w:hAnsiTheme="majorBidi" w:cstheme="majorBidi"/>
          <w:noProof/>
          <w:sz w:val="24"/>
          <w:szCs w:val="24"/>
        </w:rPr>
        <w:t>(Danish et al., 2017)</w:t>
      </w:r>
      <w:r w:rsidR="003A0E91">
        <w:rPr>
          <w:rFonts w:asciiTheme="majorBidi" w:hAnsiTheme="majorBidi" w:cstheme="majorBidi"/>
          <w:sz w:val="24"/>
          <w:szCs w:val="24"/>
        </w:rPr>
        <w:fldChar w:fldCharType="end"/>
      </w:r>
      <w:r w:rsidRPr="00DD7726">
        <w:rPr>
          <w:rFonts w:asciiTheme="majorBidi" w:hAnsiTheme="majorBidi" w:cstheme="majorBidi"/>
          <w:sz w:val="24"/>
          <w:szCs w:val="24"/>
        </w:rPr>
        <w:t xml:space="preserve"> contend that clean energy indexes are essential for mitigating the high volatility of cryptocurrencies, especially as these assets become more interconnected with regular financial markets. Their research highlights the need for investors to evaluate the safe-haven attributes of renewable energy-backed cryptocurrencies in the formation of diverse portfolios.</w:t>
      </w:r>
    </w:p>
    <w:p w:rsidR="00DD7726" w:rsidRDefault="00DD7726" w:rsidP="002D7BBE">
      <w:pPr>
        <w:spacing w:after="0" w:line="480" w:lineRule="auto"/>
        <w:jc w:val="both"/>
        <w:rPr>
          <w:rFonts w:asciiTheme="majorBidi" w:hAnsiTheme="majorBidi" w:cstheme="majorBidi"/>
          <w:sz w:val="24"/>
          <w:szCs w:val="24"/>
        </w:rPr>
      </w:pPr>
      <w:r w:rsidRPr="00DD7726">
        <w:rPr>
          <w:rFonts w:asciiTheme="majorBidi" w:hAnsiTheme="majorBidi" w:cstheme="majorBidi"/>
          <w:sz w:val="24"/>
          <w:szCs w:val="24"/>
        </w:rPr>
        <w:t xml:space="preserve">Notwithstanding the increasing interest in renewable energy tokens, a substantial vacuum persists in the literature about their comprehensive influence on conventional financial markets. Although several research, such as those by </w:t>
      </w:r>
      <w:r w:rsidR="003A0E91">
        <w:rPr>
          <w:rFonts w:asciiTheme="majorBidi" w:hAnsiTheme="majorBidi" w:cstheme="majorBidi"/>
          <w:sz w:val="24"/>
          <w:szCs w:val="24"/>
        </w:rPr>
        <w:fldChar w:fldCharType="begin" w:fldLock="1"/>
      </w:r>
      <w:r w:rsidR="003A0E91">
        <w:rPr>
          <w:rFonts w:asciiTheme="majorBidi" w:hAnsiTheme="majorBidi" w:cstheme="majorBidi"/>
          <w:sz w:val="24"/>
          <w:szCs w:val="24"/>
        </w:rPr>
        <w:instrText>ADDIN CSL_CITATION {"citationItems":[{"id":"ITEM-1","itemData":{"ISSN":"1570-646X","author":[{"dropping-particle":"","family":"Schützenhofer","given":"Christian","non-dropping-particle":"","parse-names":false,"suffix":""}],"container-title":"Energy Efficiency","id":"ITEM-1","issue":"5","issued":{"date-parts":[["2021"]]},"page":"45","publisher":"Springer","title":"Overcoming the efficiency gap: energy management as a means for overcoming barriers to energy efficiency, empirical support in the case of Austrian large firms","type":"article-journal","volume":"14"},"uris":["http://www.mendeley.com/documents/?uuid=99aae359-2b02-46c2-b263-681b5bc8bd05"]}],"mendeley":{"formattedCitation":"(Schützenhofer, 2021)","plainTextFormattedCitation":"(Schützenhofer, 2021)","previouslyFormattedCitation":"(Schützenhofer, 2021)"},"properties":{"noteIndex":0},"schema":"https://github.com/citation-style-language/schema/raw/master/csl-citation.json"}</w:instrText>
      </w:r>
      <w:r w:rsidR="003A0E91">
        <w:rPr>
          <w:rFonts w:asciiTheme="majorBidi" w:hAnsiTheme="majorBidi" w:cstheme="majorBidi"/>
          <w:sz w:val="24"/>
          <w:szCs w:val="24"/>
        </w:rPr>
        <w:fldChar w:fldCharType="separate"/>
      </w:r>
      <w:r w:rsidR="003A0E91" w:rsidRPr="003A0E91">
        <w:rPr>
          <w:rFonts w:asciiTheme="majorBidi" w:hAnsiTheme="majorBidi" w:cstheme="majorBidi"/>
          <w:noProof/>
          <w:sz w:val="24"/>
          <w:szCs w:val="24"/>
        </w:rPr>
        <w:t>(Schützenhofer, 2021)</w:t>
      </w:r>
      <w:r w:rsidR="003A0E91">
        <w:rPr>
          <w:rFonts w:asciiTheme="majorBidi" w:hAnsiTheme="majorBidi" w:cstheme="majorBidi"/>
          <w:sz w:val="24"/>
          <w:szCs w:val="24"/>
        </w:rPr>
        <w:fldChar w:fldCharType="end"/>
      </w:r>
      <w:r w:rsidRPr="00DD7726">
        <w:rPr>
          <w:rFonts w:asciiTheme="majorBidi" w:hAnsiTheme="majorBidi" w:cstheme="majorBidi"/>
          <w:sz w:val="24"/>
          <w:szCs w:val="24"/>
        </w:rPr>
        <w:t>, have sought to correlate renewable energy tokens with financial markets, advancements have been sluggish.</w:t>
      </w:r>
      <w:r w:rsidR="002D7BBE" w:rsidRPr="002D7BBE">
        <w:t xml:space="preserve"> </w:t>
      </w:r>
      <w:r w:rsidR="002D7BBE" w:rsidRPr="002D7BBE">
        <w:rPr>
          <w:rFonts w:asciiTheme="majorBidi" w:hAnsiTheme="majorBidi" w:cstheme="majorBidi"/>
          <w:sz w:val="24"/>
          <w:szCs w:val="24"/>
        </w:rPr>
        <w:t>Cryptographic tokens substantially influence conventional financial markets by modifying risk-return dynamics. Regulators and investors seek to comprehend the effects of volatility, diversification, and market performance, indicative of i</w:t>
      </w:r>
      <w:r w:rsidR="002D7BBE">
        <w:rPr>
          <w:rFonts w:asciiTheme="majorBidi" w:hAnsiTheme="majorBidi" w:cstheme="majorBidi"/>
          <w:sz w:val="24"/>
          <w:szCs w:val="24"/>
        </w:rPr>
        <w:t>ncreasing financial innovation</w:t>
      </w:r>
      <w:r w:rsidRPr="00DD7726">
        <w:rPr>
          <w:rFonts w:asciiTheme="majorBidi" w:hAnsiTheme="majorBidi" w:cstheme="majorBidi"/>
          <w:sz w:val="24"/>
          <w:szCs w:val="24"/>
        </w:rPr>
        <w:t xml:space="preserve"> </w:t>
      </w:r>
      <w:r w:rsidR="003A0E91">
        <w:rPr>
          <w:rFonts w:asciiTheme="majorBidi" w:hAnsiTheme="majorBidi" w:cstheme="majorBidi"/>
          <w:sz w:val="24"/>
          <w:szCs w:val="24"/>
        </w:rPr>
        <w:fldChar w:fldCharType="begin" w:fldLock="1"/>
      </w:r>
      <w:r w:rsidR="003A0E91">
        <w:rPr>
          <w:rFonts w:asciiTheme="majorBidi" w:hAnsiTheme="majorBidi" w:cstheme="majorBidi"/>
          <w:sz w:val="24"/>
          <w:szCs w:val="24"/>
        </w:rPr>
        <w:instrText>ADDIN CSL_CITATION {"citationItems":[{"id":"ITEM-1","itemData":{"ISSN":"0140-9883","author":[{"dropping-particle":"","family":"Alkathery","given":"Mohammed A","non-dropping-particle":"","parse-names":false,"suffix":""},{"dropping-particle":"","family":"Chaudhuri","given":"Kausik","non-dropping-particle":"","parse-names":false,"suffix":""},{"dropping-particle":"","family":"Nasir","given":"Muhammad Ali","non-dropping-particle":"","parse-names":false,"suffix":""}],"container-title":"Energy Economics","id":"ITEM-1","issued":{"date-parts":[["2022"]]},"page":"106119","publisher":"Elsevier","title":"Implications of clean energy, oil and emissions pricing for the GCC energy sector stock","type":"article-journal","volume":"112"},"uris":["http://www.mendeley.com/documents/?uuid=6cb8e1b5-5b28-45e7-8d8c-82054dd99d63"]}],"mendeley":{"formattedCitation":"(Alkathery et al., 2022)","plainTextFormattedCitation":"(Alkathery et al., 2022)","previouslyFormattedCitation":"(Alkathery et al., 2022)"},"properties":{"noteIndex":0},"schema":"https://github.com/citation-style-language/schema/raw/master/csl-citation.json"}</w:instrText>
      </w:r>
      <w:r w:rsidR="003A0E91">
        <w:rPr>
          <w:rFonts w:asciiTheme="majorBidi" w:hAnsiTheme="majorBidi" w:cstheme="majorBidi"/>
          <w:sz w:val="24"/>
          <w:szCs w:val="24"/>
        </w:rPr>
        <w:fldChar w:fldCharType="separate"/>
      </w:r>
      <w:r w:rsidR="003A0E91" w:rsidRPr="003A0E91">
        <w:rPr>
          <w:rFonts w:asciiTheme="majorBidi" w:hAnsiTheme="majorBidi" w:cstheme="majorBidi"/>
          <w:noProof/>
          <w:sz w:val="24"/>
          <w:szCs w:val="24"/>
        </w:rPr>
        <w:t>(Alkathery et al., 2022)</w:t>
      </w:r>
      <w:r w:rsidR="003A0E91">
        <w:rPr>
          <w:rFonts w:asciiTheme="majorBidi" w:hAnsiTheme="majorBidi" w:cstheme="majorBidi"/>
          <w:sz w:val="24"/>
          <w:szCs w:val="24"/>
        </w:rPr>
        <w:fldChar w:fldCharType="end"/>
      </w:r>
      <w:r w:rsidR="002D7BBE">
        <w:rPr>
          <w:rFonts w:asciiTheme="majorBidi" w:hAnsiTheme="majorBidi" w:cstheme="majorBidi"/>
          <w:sz w:val="24"/>
          <w:szCs w:val="24"/>
        </w:rPr>
        <w:t>.</w:t>
      </w:r>
      <w:r w:rsidR="003A0E91">
        <w:rPr>
          <w:rFonts w:asciiTheme="majorBidi" w:hAnsiTheme="majorBidi" w:cstheme="majorBidi"/>
          <w:sz w:val="24"/>
          <w:szCs w:val="24"/>
        </w:rPr>
        <w:t xml:space="preserve"> </w:t>
      </w:r>
      <w:r w:rsidRPr="00DD7726">
        <w:rPr>
          <w:rFonts w:asciiTheme="majorBidi" w:hAnsiTheme="majorBidi" w:cstheme="majorBidi"/>
          <w:sz w:val="24"/>
          <w:szCs w:val="24"/>
        </w:rPr>
        <w:t xml:space="preserve">Due to the growing interest in cryptocurrencies and renewable energy tokens, further study is essential to investigate how these emergent assets might enhance market diversification and risk management techniques. </w:t>
      </w:r>
      <w:r w:rsidR="007236A5" w:rsidRPr="007236A5">
        <w:rPr>
          <w:rFonts w:asciiTheme="majorBidi" w:hAnsiTheme="majorBidi" w:cstheme="majorBidi"/>
          <w:sz w:val="24"/>
          <w:szCs w:val="24"/>
        </w:rPr>
        <w:t xml:space="preserve">Examining the correlation between renewable energy tokens (RETs) and traditional financial assets in BRICS nations is essential as these countries pursue sustainable investment options, reconciling economic development with environmental objectives and diversity. </w:t>
      </w:r>
      <w:r w:rsidRPr="00DD7726">
        <w:rPr>
          <w:rFonts w:asciiTheme="majorBidi" w:hAnsiTheme="majorBidi" w:cstheme="majorBidi"/>
          <w:sz w:val="24"/>
          <w:szCs w:val="24"/>
        </w:rPr>
        <w:t xml:space="preserve">Utilizing methodologies like the TVP-VAR (Time-Varying Parameter Vector Auto Regression), as demonstrated by </w:t>
      </w:r>
      <w:r w:rsidR="003A0E91">
        <w:rPr>
          <w:rFonts w:asciiTheme="majorBidi" w:hAnsiTheme="majorBidi" w:cstheme="majorBidi"/>
          <w:sz w:val="24"/>
          <w:szCs w:val="24"/>
        </w:rPr>
        <w:fldChar w:fldCharType="begin" w:fldLock="1"/>
      </w:r>
      <w:r w:rsidR="003A0E91">
        <w:rPr>
          <w:rFonts w:asciiTheme="majorBidi" w:hAnsiTheme="majorBidi" w:cstheme="majorBidi"/>
          <w:sz w:val="24"/>
          <w:szCs w:val="24"/>
        </w:rPr>
        <w:instrText>ADDIN CSL_CITATION {"citationItems":[{"id":"ITEM-1","itemData":{"DOI":"10.3390/PR10091859","abstract":"Sustainable blank dimension design is the key to the implementation of green industrial development. However, blank dimension design only considers the blank production factor of the blank dimension design stage, which cannot guarantee the blank production stage and the use stage’s overall goal. In this paper, based on the guiding thinking of a business compass, a low-carbon and low-energy consumption blank dimension optimization design model was proposed. Taking the process parameters of the production and the use of the blank as the variables, the grey wolf optimization algorithm was adopted to solve the problem. Taking the gear blanks dimension as an example, the optimized blank dimension is 98.6, compared with the standard blank dimension of 100, 105, the energy consumption is 95.7% and 93.1%, the carbon emission is 92.6% and 90.2%, and the material consumption is 96.5% and 87.5%, respectively. The sustainable blank dimension design has obvious advantages in terms of low energy consumption and low carbon, and it can save a lot of materials; it can also promote product sustainability.","author":[{"dropping-particle":"","family":"Xiao","given":"Yongmao","non-dropping-particle":"","parse-names":false,"suffix":""},{"dropping-particle":"","family":"Zhou","given":"Jincheng","non-dropping-particle":"","parse-names":false,"suffix":""},{"dropping-particle":"","family":"Wang","given":"Ruping","non-dropping-particle":"","parse-names":false,"suffix":""},{"dropping-particle":"","family":"Zhu","given":"Xiaoyong","non-dropping-particle":"","parse-names":false,"suffix":""},{"dropping-particle":"","family":"Zhang","given":"Hao","non-dropping-particle":"","parse-names":false,"suffix":""}],"container-title":"Processes","id":"ITEM-1","issue":"9","issued":{"date-parts":[["2022"]]},"publisher":"MDPI","title":"Energy-Saving and Low-Carbon Gear Blank Dimension Design Based on Business Compass","type":"article-journal","volume":"10"},"uris":["http://www.mendeley.com/documents/?uuid=08b4e027-e48a-451e-b9d1-3e16c85249b8"]}],"mendeley":{"formattedCitation":"(Xiao et al., 2022)","plainTextFormattedCitation":"(Xiao et al., 2022)","previouslyFormattedCitation":"(Xiao et al., 2022)"},"properties":{"noteIndex":0},"schema":"https://github.com/citation-style-language/schema/raw/master/csl-citation.json"}</w:instrText>
      </w:r>
      <w:r w:rsidR="003A0E91">
        <w:rPr>
          <w:rFonts w:asciiTheme="majorBidi" w:hAnsiTheme="majorBidi" w:cstheme="majorBidi"/>
          <w:sz w:val="24"/>
          <w:szCs w:val="24"/>
        </w:rPr>
        <w:fldChar w:fldCharType="separate"/>
      </w:r>
      <w:r w:rsidR="003A0E91" w:rsidRPr="003A0E91">
        <w:rPr>
          <w:rFonts w:asciiTheme="majorBidi" w:hAnsiTheme="majorBidi" w:cstheme="majorBidi"/>
          <w:noProof/>
          <w:sz w:val="24"/>
          <w:szCs w:val="24"/>
        </w:rPr>
        <w:t>(Xiao et al., 2022)</w:t>
      </w:r>
      <w:r w:rsidR="003A0E91">
        <w:rPr>
          <w:rFonts w:asciiTheme="majorBidi" w:hAnsiTheme="majorBidi" w:cstheme="majorBidi"/>
          <w:sz w:val="24"/>
          <w:szCs w:val="24"/>
        </w:rPr>
        <w:fldChar w:fldCharType="end"/>
      </w:r>
      <w:r w:rsidRPr="00DD7726">
        <w:rPr>
          <w:rFonts w:asciiTheme="majorBidi" w:hAnsiTheme="majorBidi" w:cstheme="majorBidi"/>
          <w:sz w:val="24"/>
          <w:szCs w:val="24"/>
        </w:rPr>
        <w:t>, researchers can acquire significant insights into the dynamic relationships between renewable energy-backed cryptocurrencies and stock markets, thereby enhancing the understanding of their function in global financial markets.</w:t>
      </w:r>
    </w:p>
    <w:p w:rsidR="00E16B80" w:rsidRPr="00E16B80" w:rsidRDefault="00E16B80" w:rsidP="003A0E91">
      <w:pPr>
        <w:spacing w:after="0" w:line="480" w:lineRule="auto"/>
        <w:jc w:val="both"/>
        <w:rPr>
          <w:rFonts w:asciiTheme="majorBidi" w:hAnsiTheme="majorBidi" w:cstheme="majorBidi"/>
          <w:sz w:val="24"/>
          <w:szCs w:val="24"/>
        </w:rPr>
      </w:pPr>
      <w:r w:rsidRPr="00E16B80">
        <w:rPr>
          <w:rFonts w:asciiTheme="majorBidi" w:hAnsiTheme="majorBidi" w:cstheme="majorBidi"/>
          <w:sz w:val="24"/>
          <w:szCs w:val="24"/>
        </w:rPr>
        <w:lastRenderedPageBreak/>
        <w:t>The convergence of financial technology (Fintech) and conventional financial markets is seeing a significant transition, mostly propelled by the emergence of digital assets. As financial markets become more linked, the significance of digital assets, including cryptocurrencies and renewable energy tokens, is markedly expanding. These advancements provide distinctive prospects for investment and cooperation internationally, especially in growing economies such as the BRICS countries (</w:t>
      </w:r>
      <w:r w:rsidR="001111FF" w:rsidRPr="00E16B80">
        <w:rPr>
          <w:rFonts w:asciiTheme="majorBidi" w:hAnsiTheme="majorBidi" w:cstheme="majorBidi"/>
          <w:sz w:val="24"/>
          <w:szCs w:val="24"/>
        </w:rPr>
        <w:t>Brazil,</w:t>
      </w:r>
      <w:r w:rsidR="001111FF">
        <w:rPr>
          <w:rFonts w:asciiTheme="majorBidi" w:hAnsiTheme="majorBidi" w:cstheme="majorBidi"/>
          <w:sz w:val="24"/>
          <w:szCs w:val="24"/>
        </w:rPr>
        <w:t xml:space="preserve"> India</w:t>
      </w:r>
      <w:r w:rsidRPr="00E16B80">
        <w:rPr>
          <w:rFonts w:asciiTheme="majorBidi" w:hAnsiTheme="majorBidi" w:cstheme="majorBidi"/>
          <w:sz w:val="24"/>
          <w:szCs w:val="24"/>
        </w:rPr>
        <w:t xml:space="preserve"> </w:t>
      </w:r>
      <w:r w:rsidR="001111FF" w:rsidRPr="00E16B80">
        <w:rPr>
          <w:rFonts w:asciiTheme="majorBidi" w:hAnsiTheme="majorBidi" w:cstheme="majorBidi"/>
          <w:sz w:val="24"/>
          <w:szCs w:val="24"/>
        </w:rPr>
        <w:t>Russia,</w:t>
      </w:r>
      <w:r w:rsidR="001111FF">
        <w:rPr>
          <w:rFonts w:asciiTheme="majorBidi" w:hAnsiTheme="majorBidi" w:cstheme="majorBidi"/>
          <w:sz w:val="24"/>
          <w:szCs w:val="24"/>
        </w:rPr>
        <w:t xml:space="preserve"> </w:t>
      </w:r>
      <w:r w:rsidR="001111FF" w:rsidRPr="00E16B80">
        <w:rPr>
          <w:rFonts w:asciiTheme="majorBidi" w:hAnsiTheme="majorBidi" w:cstheme="majorBidi"/>
          <w:sz w:val="24"/>
          <w:szCs w:val="24"/>
        </w:rPr>
        <w:t>South</w:t>
      </w:r>
      <w:r w:rsidRPr="00E16B80">
        <w:rPr>
          <w:rFonts w:asciiTheme="majorBidi" w:hAnsiTheme="majorBidi" w:cstheme="majorBidi"/>
          <w:sz w:val="24"/>
          <w:szCs w:val="24"/>
        </w:rPr>
        <w:t xml:space="preserve"> Africa</w:t>
      </w:r>
      <w:r w:rsidR="001111FF">
        <w:rPr>
          <w:rFonts w:asciiTheme="majorBidi" w:hAnsiTheme="majorBidi" w:cstheme="majorBidi"/>
          <w:sz w:val="24"/>
          <w:szCs w:val="24"/>
        </w:rPr>
        <w:t xml:space="preserve"> and China</w:t>
      </w:r>
      <w:r w:rsidRPr="00E16B80">
        <w:rPr>
          <w:rFonts w:asciiTheme="majorBidi" w:hAnsiTheme="majorBidi" w:cstheme="majorBidi"/>
          <w:sz w:val="24"/>
          <w:szCs w:val="24"/>
        </w:rPr>
        <w:t xml:space="preserve">). The growing significance of these digital assets has transformed the financial landscape, necessitating that both investors and governments comprehend the emerging dynamics to maintain competitiveness in a swiftly changing financial climate. Research by </w:t>
      </w:r>
      <w:r w:rsidR="003A0E91">
        <w:rPr>
          <w:rFonts w:asciiTheme="majorBidi" w:hAnsiTheme="majorBidi" w:cstheme="majorBidi"/>
          <w:sz w:val="24"/>
          <w:szCs w:val="24"/>
        </w:rPr>
        <w:fldChar w:fldCharType="begin" w:fldLock="1"/>
      </w:r>
      <w:r w:rsidR="003A0E91">
        <w:rPr>
          <w:rFonts w:asciiTheme="majorBidi" w:hAnsiTheme="majorBidi" w:cstheme="majorBidi"/>
          <w:sz w:val="24"/>
          <w:szCs w:val="24"/>
        </w:rPr>
        <w:instrText>ADDIN CSL_CITATION {"citationItems":[{"id":"ITEM-1","itemData":{"DOI":"10.1016/J.RSER.2016.11.073","abstract":"Renewable energy projects in developing countries should provide clean energy supply as well as support sustainable economic development. To this end, risks arising from uncertainties such as rapidly changing technologies and host government conditions should be carefully addressed. However, traditional methods for economic assessment are not adequate to support decision-making regarding investments in renewable energy. This paper proposes a real options analysis framework as a tool to assess renewable energy investment in developing countries. A case study involving a hydropower project in Indonesia was conducted to validate and verify the proposed framework. This framework is expected to help host countries and investors assess renewable energy projects with high volatility and risk.","author":[{"dropping-particle":"","family":"Kim","given":"Kyeongseok","non-dropping-particle":"","parse-names":false,"suffix":""},{"dropping-particle":"","family":"Park","given":"Hyoungbae","non-dropping-particle":"","parse-names":false,"suffix":""},{"dropping-particle":"","family":"Kim","given":"Hyoungkwan","non-dropping-particle":"","parse-names":false,"suffix":""}],"container-title":"Renewable and Sustainable Energy Reviews","id":"ITEM-1","issued":{"date-parts":[["2017"]]},"page":"918-926","publisher":"Elsevier Ltd","title":"Real options analysis for renewable energy investment decisions in developing countries","type":"article-journal","volume":"75"},"uris":["http://www.mendeley.com/documents/?uuid=e0e5c52a-b8bb-409a-a500-8f88ffa40584"]}],"mendeley":{"formattedCitation":"(Kim et al., 2017)","plainTextFormattedCitation":"(Kim et al., 2017)","previouslyFormattedCitation":"(Kim et al., 2017)"},"properties":{"noteIndex":0},"schema":"https://github.com/citation-style-language/schema/raw/master/csl-citation.json"}</w:instrText>
      </w:r>
      <w:r w:rsidR="003A0E91">
        <w:rPr>
          <w:rFonts w:asciiTheme="majorBidi" w:hAnsiTheme="majorBidi" w:cstheme="majorBidi"/>
          <w:sz w:val="24"/>
          <w:szCs w:val="24"/>
        </w:rPr>
        <w:fldChar w:fldCharType="separate"/>
      </w:r>
      <w:r w:rsidR="003A0E91" w:rsidRPr="003A0E91">
        <w:rPr>
          <w:rFonts w:asciiTheme="majorBidi" w:hAnsiTheme="majorBidi" w:cstheme="majorBidi"/>
          <w:noProof/>
          <w:sz w:val="24"/>
          <w:szCs w:val="24"/>
        </w:rPr>
        <w:t>(Kim et al., 2017)</w:t>
      </w:r>
      <w:r w:rsidR="003A0E91">
        <w:rPr>
          <w:rFonts w:asciiTheme="majorBidi" w:hAnsiTheme="majorBidi" w:cstheme="majorBidi"/>
          <w:sz w:val="24"/>
          <w:szCs w:val="24"/>
        </w:rPr>
        <w:fldChar w:fldCharType="end"/>
      </w:r>
      <w:r w:rsidRPr="00E16B80">
        <w:rPr>
          <w:rFonts w:asciiTheme="majorBidi" w:hAnsiTheme="majorBidi" w:cstheme="majorBidi"/>
          <w:sz w:val="24"/>
          <w:szCs w:val="24"/>
        </w:rPr>
        <w:t xml:space="preserve"> indicates that the increasing interconnection of financial markets in these nations has coincided with the escalating value of digital assets. This facilitates new avenues for cooperation among BRICS members, enabling them to investigate cross-border investments in innovative asset classes, such as digital assets like energy tokens. This partnership might stimulate more economic development and investment in the area, offering a crucial chance for these countries to synchronize their financial markets with global trends. </w:t>
      </w:r>
    </w:p>
    <w:p w:rsidR="00E16B80" w:rsidRPr="00E16B80" w:rsidRDefault="00E16B80" w:rsidP="001111FF">
      <w:pPr>
        <w:spacing w:after="0" w:line="480" w:lineRule="auto"/>
        <w:jc w:val="both"/>
        <w:rPr>
          <w:rFonts w:asciiTheme="majorBidi" w:hAnsiTheme="majorBidi" w:cstheme="majorBidi"/>
          <w:sz w:val="24"/>
          <w:szCs w:val="24"/>
        </w:rPr>
      </w:pPr>
      <w:r w:rsidRPr="00E16B80">
        <w:rPr>
          <w:rFonts w:asciiTheme="majorBidi" w:hAnsiTheme="majorBidi" w:cstheme="majorBidi"/>
          <w:sz w:val="24"/>
          <w:szCs w:val="24"/>
        </w:rPr>
        <w:t xml:space="preserve">The stock market's pivotal position in investing strategies has always been a primary focus for financial scholars, especially in the context of developing economies. The BRICS nations, due to their substantial economies and increasing importance, have garnered significant attention from researchers examining stock market volatility, investment diversification, and risk-return dynamics. Prior research, such as that of </w:t>
      </w:r>
      <w:r w:rsidR="003A0E91">
        <w:rPr>
          <w:rFonts w:asciiTheme="majorBidi" w:hAnsiTheme="majorBidi" w:cstheme="majorBidi"/>
          <w:sz w:val="24"/>
          <w:szCs w:val="24"/>
        </w:rPr>
        <w:fldChar w:fldCharType="begin" w:fldLock="1"/>
      </w:r>
      <w:r w:rsidR="003114E3">
        <w:rPr>
          <w:rFonts w:asciiTheme="majorBidi" w:hAnsiTheme="majorBidi" w:cstheme="majorBidi"/>
          <w:sz w:val="24"/>
          <w:szCs w:val="24"/>
        </w:rPr>
        <w:instrText>ADDIN CSL_CITATION {"citationItems":[{"id":"ITEM-1","itemData":{"DOI":"10.1016/j.egyr.2022.05.096","abstract":"In the context of carbon neutrality, whether innovation efficiency can change the energy consumption intensity has been attracted extensive attention by the academic community. This paper adopts the MinDS and the Global Malmquist index to measure the innovation efficiency of 30 provinces in China from 2010 to 2019, and it empirically analyzes the impact of innovation efficiency on energy consumption intensity based on spatial Durbin model. The empirical results show that: (1) Innovation efficiency of each region gradually increases over time, GML cumulatively increases by 39.19% and the annual growth rate is 2.4%. It is obvious that innovation efficiency is mainly driven by the change of technical efficiency, while technological progress just plays a minor or even inhibitory role. (2) Energy consumption intensity has a positive spatial correlation, which shows a “high–high”​ and “low–low” spatial aggregation characteristics. (3) Innovation efficiency plays a positive effect on energy consumption intensity, it also has a prominent spatial spillover effects, that is, the improvement of innovation efficiency in surrounding cities will increase the energy consumption intensity of the local region. (4) According to the mediation effect test, it is found that innovation efficiency can promotes energy consumption intensity through industrial structure.","author":[{"dropping-particle":"","family":"Liu","given":"Jinli","non-dropping-particle":"","parse-names":false,"suffix":""},{"dropping-particle":"","family":"Li","given":"Xiaona","non-dropping-particle":"","parse-names":false,"suffix":""},{"dropping-particle":"","family":"Zhong","given":"Shen","non-dropping-particle":"","parse-names":false,"suffix":""}],"container-title":"Energy Reports","id":"ITEM-1","issued":{"date-parts":[["2022"]]},"page":"426-436","publisher":"Elsevier Ltd","title":"Does innovation efficiency promote energy consumption intensity? New evidence from China","type":"article-journal","volume":"8"},"uris":["http://www.mendeley.com/documents/?uuid=74cd5755-1d16-4f83-b010-ea0398f33a8a"]}],"mendeley":{"formattedCitation":"(J. Liu et al., 2022)","plainTextFormattedCitation":"(J. Liu et al., 2022)","previouslyFormattedCitation":"(J. Liu et al., 2022)"},"properties":{"noteIndex":0},"schema":"https://github.com/citation-style-language/schema/raw/master/csl-citation.json"}</w:instrText>
      </w:r>
      <w:r w:rsidR="003A0E91">
        <w:rPr>
          <w:rFonts w:asciiTheme="majorBidi" w:hAnsiTheme="majorBidi" w:cstheme="majorBidi"/>
          <w:sz w:val="24"/>
          <w:szCs w:val="24"/>
        </w:rPr>
        <w:fldChar w:fldCharType="separate"/>
      </w:r>
      <w:r w:rsidR="003114E3" w:rsidRPr="003114E3">
        <w:rPr>
          <w:rFonts w:asciiTheme="majorBidi" w:hAnsiTheme="majorBidi" w:cstheme="majorBidi"/>
          <w:noProof/>
          <w:sz w:val="24"/>
          <w:szCs w:val="24"/>
        </w:rPr>
        <w:t>(J. Liu et al., 2022)</w:t>
      </w:r>
      <w:r w:rsidR="003A0E91">
        <w:rPr>
          <w:rFonts w:asciiTheme="majorBidi" w:hAnsiTheme="majorBidi" w:cstheme="majorBidi"/>
          <w:sz w:val="24"/>
          <w:szCs w:val="24"/>
        </w:rPr>
        <w:fldChar w:fldCharType="end"/>
      </w:r>
      <w:r w:rsidRPr="00E16B80">
        <w:rPr>
          <w:rFonts w:asciiTheme="majorBidi" w:hAnsiTheme="majorBidi" w:cstheme="majorBidi"/>
          <w:sz w:val="24"/>
          <w:szCs w:val="24"/>
        </w:rPr>
        <w:t xml:space="preserve">, has highlighted the enduring interconnections among the stock markets of BRICS countries. The links indicate that, despite the unique economic traits and market behaviors of each BRICS country, their financial markets are interconnected, and a shift in one market may impact the others. </w:t>
      </w:r>
      <w:r w:rsidR="001111FF" w:rsidRPr="001111FF">
        <w:rPr>
          <w:rFonts w:asciiTheme="majorBidi" w:hAnsiTheme="majorBidi" w:cstheme="majorBidi"/>
          <w:sz w:val="24"/>
          <w:szCs w:val="24"/>
        </w:rPr>
        <w:t xml:space="preserve">Interconnected markets alter risk-return profiles, presenting issues such as heightened correlations while providing opportunities for </w:t>
      </w:r>
      <w:r w:rsidR="001111FF" w:rsidRPr="001111FF">
        <w:rPr>
          <w:rFonts w:asciiTheme="majorBidi" w:hAnsiTheme="majorBidi" w:cstheme="majorBidi"/>
          <w:sz w:val="24"/>
          <w:szCs w:val="24"/>
        </w:rPr>
        <w:lastRenderedPageBreak/>
        <w:t xml:space="preserve">global diversification and themed ESG investments. </w:t>
      </w:r>
      <w:r w:rsidRPr="00E16B80">
        <w:rPr>
          <w:rFonts w:asciiTheme="majorBidi" w:hAnsiTheme="majorBidi" w:cstheme="majorBidi"/>
          <w:sz w:val="24"/>
          <w:szCs w:val="24"/>
        </w:rPr>
        <w:t xml:space="preserve">Diversifying investment portfolios across the BRICS stock markets may provide investors with a strategy to mitigate risk and perhaps enhance profits. </w:t>
      </w:r>
    </w:p>
    <w:p w:rsidR="00E16B80" w:rsidRPr="00E16B80" w:rsidRDefault="00E16B80" w:rsidP="003A0E91">
      <w:pPr>
        <w:spacing w:after="0" w:line="480" w:lineRule="auto"/>
        <w:jc w:val="both"/>
        <w:rPr>
          <w:rFonts w:asciiTheme="majorBidi" w:hAnsiTheme="majorBidi" w:cstheme="majorBidi"/>
          <w:sz w:val="24"/>
          <w:szCs w:val="24"/>
        </w:rPr>
      </w:pPr>
      <w:r w:rsidRPr="00E16B80">
        <w:rPr>
          <w:rFonts w:asciiTheme="majorBidi" w:hAnsiTheme="majorBidi" w:cstheme="majorBidi"/>
          <w:sz w:val="24"/>
          <w:szCs w:val="24"/>
        </w:rPr>
        <w:t xml:space="preserve">Nevertheless, the emergence of digital assets, like renewable energy tokens, has introduced a new degree of complication. These digital assets, often constructed on </w:t>
      </w:r>
      <w:r w:rsidR="00C412AC" w:rsidRPr="00E16B80">
        <w:rPr>
          <w:rFonts w:asciiTheme="majorBidi" w:hAnsiTheme="majorBidi" w:cstheme="majorBidi"/>
          <w:sz w:val="24"/>
          <w:szCs w:val="24"/>
        </w:rPr>
        <w:t>block chain</w:t>
      </w:r>
      <w:r w:rsidRPr="00E16B80">
        <w:rPr>
          <w:rFonts w:asciiTheme="majorBidi" w:hAnsiTheme="majorBidi" w:cstheme="majorBidi"/>
          <w:sz w:val="24"/>
          <w:szCs w:val="24"/>
        </w:rPr>
        <w:t xml:space="preserve"> technology, provide investors the chance to diversify their portfolios beyond conventional stocks, bonds, and commodities. </w:t>
      </w:r>
      <w:r w:rsidR="003A0E91">
        <w:rPr>
          <w:rFonts w:asciiTheme="majorBidi" w:hAnsiTheme="majorBidi" w:cstheme="majorBidi"/>
          <w:sz w:val="24"/>
          <w:szCs w:val="24"/>
        </w:rPr>
        <w:fldChar w:fldCharType="begin" w:fldLock="1"/>
      </w:r>
      <w:r w:rsidR="003A0E91">
        <w:rPr>
          <w:rFonts w:asciiTheme="majorBidi" w:hAnsiTheme="majorBidi" w:cstheme="majorBidi"/>
          <w:sz w:val="24"/>
          <w:szCs w:val="24"/>
        </w:rPr>
        <w:instrText>ADDIN CSL_CITATION {"citationItems":[{"id":"ITEM-1","itemData":{"DOI":"https://doi.org/10.1016/j.seta.2021.101023","ISSN":"2213-1388","abstract":"In this paper, an exergoeconomic analysis and optimization of a combined solar and wind energy based system is proposed. The trigeneration system produces ammonia, hydrogen and electricity through integrated solar photovoltaic panels and wind turbines. Also, an ammonia fuel cell unit is utilized for generating power during insufficient available energy. The overall exergetic efficiency is found to be 29.7% and the corresponding energetic efficiency is 28.5% under design conditions. In addition, the total cost rate is obtained as 63,345 $/h. Moreover, multi-objective optimization is performed with various decision variables at different combinations of solar intensities and wind speeds, considering the maximization of exergy efficiency and minimization of total cost rates. The developed system provides better optimal operation points under high wind speeds. The optimal exergy efficiency is found to vary between 10.9% and 38.2% depending on the available solar and wind energy. The corresponding optimal total cost rates vary between 11,959 $/h and 59,755 $/h, respectively. Several parametric studies are also performed to determine the effects of changing system conditions on the thermodynamic and economic performance of the developed system.","author":[{"dropping-particle":"","family":"Siddiqui","given":"Osamah","non-dropping-particle":"","parse-names":false,"suffix":""},{"dropping-particle":"","family":"Dincer","given":"Ibrahim","non-dropping-particle":"","parse-names":false,"suffix":""}],"container-title":"Sustainable Energy Technologies and Assessments","id":"ITEM-1","issued":{"date-parts":[["2021"]]},"page":"101023","title":"Optimization of a new renewable energy system for producing electricity, hydrogen and ammonia","type":"article-journal","volume":"44"},"uris":["http://www.mendeley.com/documents/?uuid=018d4753-6717-476e-a0a7-9caaf8ea9a82"]}],"mendeley":{"formattedCitation":"(Siddiqui &amp; Dincer, 2021)","plainTextFormattedCitation":"(Siddiqui &amp; Dincer, 2021)","previouslyFormattedCitation":"(Siddiqui &amp; Dincer, 2021)"},"properties":{"noteIndex":0},"schema":"https://github.com/citation-style-language/schema/raw/master/csl-citation.json"}</w:instrText>
      </w:r>
      <w:r w:rsidR="003A0E91">
        <w:rPr>
          <w:rFonts w:asciiTheme="majorBidi" w:hAnsiTheme="majorBidi" w:cstheme="majorBidi"/>
          <w:sz w:val="24"/>
          <w:szCs w:val="24"/>
        </w:rPr>
        <w:fldChar w:fldCharType="separate"/>
      </w:r>
      <w:r w:rsidR="003A0E91" w:rsidRPr="003A0E91">
        <w:rPr>
          <w:rFonts w:asciiTheme="majorBidi" w:hAnsiTheme="majorBidi" w:cstheme="majorBidi"/>
          <w:noProof/>
          <w:sz w:val="24"/>
          <w:szCs w:val="24"/>
        </w:rPr>
        <w:t>(Siddiqui &amp; Dincer, 2021)</w:t>
      </w:r>
      <w:r w:rsidR="003A0E91">
        <w:rPr>
          <w:rFonts w:asciiTheme="majorBidi" w:hAnsiTheme="majorBidi" w:cstheme="majorBidi"/>
          <w:sz w:val="24"/>
          <w:szCs w:val="24"/>
        </w:rPr>
        <w:fldChar w:fldCharType="end"/>
      </w:r>
      <w:r w:rsidRPr="00E16B80">
        <w:rPr>
          <w:rFonts w:asciiTheme="majorBidi" w:hAnsiTheme="majorBidi" w:cstheme="majorBidi"/>
          <w:sz w:val="24"/>
          <w:szCs w:val="24"/>
        </w:rPr>
        <w:t xml:space="preserve"> emphasize that renewable energy tokens, symbolizing investments in sustainable energy initiatives, are gaining popularity among socially conscious investors. These tokens provide access to the expanding green energy industry while enabling the mitigation of risks associated with conventional financial markets. The principle of risk dispersion indicates that including digital assets in an investing portfolio may mitigate risks, possibly resulting in a more balanced and robust portfolio. As financial markets become more linked, the significance of digital assets such as renewable energy tokens in risk management and return optimization intensifies. Portfolio theory posits that including assets with low or negative correlations to conventional financial assets enables investors to mitigate the overall risk of their portfolios. This notion has considerable ramifications for the future of investment in BRICS nations, characterized by frequent market volatility. </w:t>
      </w:r>
    </w:p>
    <w:p w:rsidR="00E16B80" w:rsidRPr="00E16B80" w:rsidRDefault="00E16B80" w:rsidP="003A0E91">
      <w:pPr>
        <w:spacing w:after="0" w:line="480" w:lineRule="auto"/>
        <w:jc w:val="both"/>
        <w:rPr>
          <w:rFonts w:asciiTheme="majorBidi" w:hAnsiTheme="majorBidi" w:cstheme="majorBidi"/>
          <w:sz w:val="24"/>
          <w:szCs w:val="24"/>
        </w:rPr>
      </w:pPr>
      <w:r w:rsidRPr="00E16B80">
        <w:rPr>
          <w:rFonts w:asciiTheme="majorBidi" w:hAnsiTheme="majorBidi" w:cstheme="majorBidi"/>
          <w:sz w:val="24"/>
          <w:szCs w:val="24"/>
        </w:rPr>
        <w:t xml:space="preserve">Although digital assets have the potential for improving portfolio performance, their volatility continues to be a significant issue for investors. This is especially apparent during times of market volatility, such as the COVID-19 epidemic. The pandemic, which resulted in extensive economic upheaval, prompted substantial changes in the behavior of financial markets. The analysis by </w:t>
      </w:r>
      <w:r w:rsidR="003A0E91">
        <w:rPr>
          <w:rFonts w:asciiTheme="majorBidi" w:hAnsiTheme="majorBidi" w:cstheme="majorBidi"/>
          <w:sz w:val="24"/>
          <w:szCs w:val="24"/>
        </w:rPr>
        <w:fldChar w:fldCharType="begin" w:fldLock="1"/>
      </w:r>
      <w:r w:rsidR="003114E3">
        <w:rPr>
          <w:rFonts w:asciiTheme="majorBidi" w:hAnsiTheme="majorBidi" w:cstheme="majorBidi"/>
          <w:sz w:val="24"/>
          <w:szCs w:val="24"/>
        </w:rPr>
        <w:instrText>ADDIN CSL_CITATION {"citationItems":[{"id":"ITEM-1","itemData":{"DOI":"https://doi.org/10.1016/j.renene.2024.121243","ISSN":"0960-1481","abstract":"Global warming and carbon emissions have drawn attention to the need to decarbonize transport. Promoting electric vehicles (EVs) has become an important strategy towards this goal. Although EVs have significant advantages in emission reduction and energy saving, their wider adoption is limited by factors such as range and charging infrastructure. Accurate prediction and modeling of EV energy consumption is the key to solving these challenges. This review first summarizes traditional energy consumption estimation models and, thereafter explores the application of interpretable machine learning, emphasizing its importance in improving model transparency and practicality. The potential of neural networks to enhance prediction accuracy through feature extraction and pattern recognition is also discussed. This paper aims to provide a systematic review of the latest advances in EV energy consumption forecasting. It serves as a reference for researchers and practitioners to optimize and upgrade urban transport systems for sustainable development.","author":[{"dropping-particle":"","family":"Zhang","given":"Xinfang","non-dropping-particle":"","parse-names":false,"suffix":""},{"dropping-particle":"","family":"Zhang","given":"Zhe","non-dropping-particle":"","parse-names":false,"suffix":""},{"dropping-particle":"","family":"Liu","given":"Yang","non-dropping-particle":"","parse-names":false,"suffix":""},{"dropping-particle":"","family":"Xu","given":"Zhigang","non-dropping-particle":"","parse-names":false,"suffix":""},{"dropping-particle":"","family":"Qu","given":"Xiaobo","non-dropping-particle":"","parse-names":false,"suffix":""}],"container-title":"Renewable Energy","id":"ITEM-1","issued":{"date-parts":[["2024"]]},"page":"121243","title":"A review of machine learning approaches for electric vehicle energy consumption modelling in urban transportation","type":"article-journal","volume":"234"},"uris":["http://www.mendeley.com/documents/?uuid=273bd474-0a03-41de-ae03-ed3d260936bc"]}],"mendeley":{"formattedCitation":"(X. Zhang et al., 2024)","plainTextFormattedCitation":"(X. Zhang et al., 2024)","previouslyFormattedCitation":"(X. Zhang et al., 2024)"},"properties":{"noteIndex":0},"schema":"https://github.com/citation-style-language/schema/raw/master/csl-citation.json"}</w:instrText>
      </w:r>
      <w:r w:rsidR="003A0E91">
        <w:rPr>
          <w:rFonts w:asciiTheme="majorBidi" w:hAnsiTheme="majorBidi" w:cstheme="majorBidi"/>
          <w:sz w:val="24"/>
          <w:szCs w:val="24"/>
        </w:rPr>
        <w:fldChar w:fldCharType="separate"/>
      </w:r>
      <w:r w:rsidR="003114E3" w:rsidRPr="003114E3">
        <w:rPr>
          <w:rFonts w:asciiTheme="majorBidi" w:hAnsiTheme="majorBidi" w:cstheme="majorBidi"/>
          <w:noProof/>
          <w:sz w:val="24"/>
          <w:szCs w:val="24"/>
        </w:rPr>
        <w:t>(X. Zhang et al., 2024)</w:t>
      </w:r>
      <w:r w:rsidR="003A0E91">
        <w:rPr>
          <w:rFonts w:asciiTheme="majorBidi" w:hAnsiTheme="majorBidi" w:cstheme="majorBidi"/>
          <w:sz w:val="24"/>
          <w:szCs w:val="24"/>
        </w:rPr>
        <w:fldChar w:fldCharType="end"/>
      </w:r>
      <w:r w:rsidR="003114E3">
        <w:rPr>
          <w:rFonts w:asciiTheme="majorBidi" w:hAnsiTheme="majorBidi" w:cstheme="majorBidi"/>
          <w:sz w:val="24"/>
          <w:szCs w:val="24"/>
        </w:rPr>
        <w:t xml:space="preserve"> </w:t>
      </w:r>
      <w:r w:rsidRPr="00E16B80">
        <w:rPr>
          <w:rFonts w:asciiTheme="majorBidi" w:hAnsiTheme="majorBidi" w:cstheme="majorBidi"/>
          <w:sz w:val="24"/>
          <w:szCs w:val="24"/>
        </w:rPr>
        <w:t xml:space="preserve">revealed that the correlation between the stock markets of BRICS states and energy tokens intensified during the COVID-19 epidemic. The significant rise in connection </w:t>
      </w:r>
      <w:r w:rsidRPr="00E16B80">
        <w:rPr>
          <w:rFonts w:asciiTheme="majorBidi" w:hAnsiTheme="majorBidi" w:cstheme="majorBidi"/>
          <w:sz w:val="24"/>
          <w:szCs w:val="24"/>
        </w:rPr>
        <w:lastRenderedPageBreak/>
        <w:t>indicates that energy tokens, hitherto seen as volatile assets, may be progressively assimilated into the wider financial ecosystem. During periods of market volatility, digital assets such as renewable energy tokens may operate as a channel for risk transmission, with conventional markets absorbing the effects of these disruptions. The research revealed that during the COVID-19 crisis, the link between BRICS stock markets and energy tokens significantly intensified, with risk spillovers reaching unprecedented magnitudes. This dynamic underscores the increasing significance of comprehending the linkages between digital assets and conventional financial markets, especially during times of economic instability.</w:t>
      </w:r>
    </w:p>
    <w:p w:rsidR="00E16B80" w:rsidRPr="00E16B80" w:rsidRDefault="00E16B80" w:rsidP="00E16B80">
      <w:pPr>
        <w:spacing w:after="0" w:line="480" w:lineRule="auto"/>
        <w:jc w:val="both"/>
        <w:rPr>
          <w:rFonts w:asciiTheme="majorBidi" w:hAnsiTheme="majorBidi" w:cstheme="majorBidi"/>
          <w:sz w:val="24"/>
          <w:szCs w:val="24"/>
        </w:rPr>
      </w:pPr>
      <w:r w:rsidRPr="00E16B80">
        <w:rPr>
          <w:rFonts w:asciiTheme="majorBidi" w:hAnsiTheme="majorBidi" w:cstheme="majorBidi"/>
          <w:sz w:val="24"/>
          <w:szCs w:val="24"/>
        </w:rPr>
        <w:t>The heightened interconnection between BRICS stock markets and renewable energy tokens during the epidemic highlights the significance of dynamic connectivity in financial systems. The research indicated that dynamic connection was comparatively low before and during the COVID-19 crisis, however, it surged throughout the pandemic. This research indicates that the market circumstances during this era intensified the correlation between these two asset classes, presenting a favorable opportunity for investors to reevaluate their portfolio plans. In periods of market volatility, understanding the interplay between digital assets and conventional financial markets may assist investors in making better-informed choices and managing risk more efficiently. This underscores the need for ongoing surveillance of market movements since the interrelation of asset classes is dynamic and influenced by economic circumst</w:t>
      </w:r>
      <w:r>
        <w:rPr>
          <w:rFonts w:asciiTheme="majorBidi" w:hAnsiTheme="majorBidi" w:cstheme="majorBidi"/>
          <w:sz w:val="24"/>
          <w:szCs w:val="24"/>
        </w:rPr>
        <w:t>ances and worldwide occurrences</w:t>
      </w:r>
      <w:r w:rsidR="00C412AC">
        <w:rPr>
          <w:rFonts w:asciiTheme="majorBidi" w:hAnsiTheme="majorBidi" w:cstheme="majorBidi"/>
          <w:sz w:val="24"/>
          <w:szCs w:val="24"/>
        </w:rPr>
        <w:t>.</w:t>
      </w:r>
      <w:r w:rsidRPr="00E16B80">
        <w:rPr>
          <w:rFonts w:asciiTheme="majorBidi" w:hAnsiTheme="majorBidi" w:cstheme="majorBidi"/>
          <w:sz w:val="24"/>
          <w:szCs w:val="24"/>
        </w:rPr>
        <w:t xml:space="preserve"> </w:t>
      </w:r>
    </w:p>
    <w:p w:rsidR="00E16B80" w:rsidRPr="00E16B80" w:rsidRDefault="00E16B80" w:rsidP="00E16B80">
      <w:pPr>
        <w:spacing w:after="0" w:line="480" w:lineRule="auto"/>
        <w:jc w:val="both"/>
        <w:rPr>
          <w:rFonts w:asciiTheme="majorBidi" w:hAnsiTheme="majorBidi" w:cstheme="majorBidi"/>
          <w:sz w:val="24"/>
          <w:szCs w:val="24"/>
        </w:rPr>
      </w:pPr>
      <w:r w:rsidRPr="00E16B80">
        <w:rPr>
          <w:rFonts w:asciiTheme="majorBidi" w:hAnsiTheme="majorBidi" w:cstheme="majorBidi"/>
          <w:sz w:val="24"/>
          <w:szCs w:val="24"/>
        </w:rPr>
        <w:t xml:space="preserve">A key finding from the study is that energy tokens may serve a significant function in mitigating portfolio risks. The research indicated that energy tokens have a comparatively low hedge ratio, suggesting their potential as a cost-efficient instrument for risk mitigation within a portfolio. This discovery is crucial for investors seeking to diversify their portfolios by integrating digital assets such as energy tokens. Considering the volatility of financial markets, especially in rising </w:t>
      </w:r>
      <w:r w:rsidRPr="00E16B80">
        <w:rPr>
          <w:rFonts w:asciiTheme="majorBidi" w:hAnsiTheme="majorBidi" w:cstheme="majorBidi"/>
          <w:sz w:val="24"/>
          <w:szCs w:val="24"/>
        </w:rPr>
        <w:lastRenderedPageBreak/>
        <w:t>economies such as the BRICS countries, the capacity to hedge risks using cost-effective digital assets may provide a competitive edge. The use of energy tokens in portfolio management corresponds with the increasing trend of socially responsible investing, whereby investors want to harmonize their financial objectives with their environmental and social principles. Investing in renewable energy tokens enables investors to facilitate the shift towards greener energy sources while pursuing financial gains.</w:t>
      </w:r>
    </w:p>
    <w:p w:rsidR="00E16B80" w:rsidRPr="00E16B80" w:rsidRDefault="00E16B80" w:rsidP="00E16B80">
      <w:pPr>
        <w:spacing w:after="0" w:line="480" w:lineRule="auto"/>
        <w:jc w:val="both"/>
        <w:rPr>
          <w:rFonts w:asciiTheme="majorBidi" w:hAnsiTheme="majorBidi" w:cstheme="majorBidi"/>
          <w:sz w:val="24"/>
          <w:szCs w:val="24"/>
        </w:rPr>
      </w:pPr>
      <w:r w:rsidRPr="00E16B80">
        <w:rPr>
          <w:rFonts w:asciiTheme="majorBidi" w:hAnsiTheme="majorBidi" w:cstheme="majorBidi"/>
          <w:sz w:val="24"/>
          <w:szCs w:val="24"/>
        </w:rPr>
        <w:t>As the digital asset market progresses, regulatory frameworks will gain paramount significance. The report underscores the need for policymakers to contemplate the ramifications of digital asset expansion and the regulation of these markets to guarantee their stability and security. The rapid expansion of energy tokens and other cryptocurrencies has raised apprehensions over market manipulation, fraud, and volatility. To ensure the safe and secure expansion of these markets, governments, and financial authorities must formulate and enforce suitable regulatory measures. These frameworks must seek to safeguard investors, promote market transparency, and alleviate systemic risks, especially during economic crises. A properly regulated digital asset market might enhance investor trust in including these assets in their portfolios, hence facilitating their integration into the wider financial system.</w:t>
      </w:r>
    </w:p>
    <w:p w:rsidR="00E16B80" w:rsidRDefault="00E16B80" w:rsidP="00E16B80">
      <w:pPr>
        <w:spacing w:after="0" w:line="480" w:lineRule="auto"/>
        <w:jc w:val="both"/>
        <w:rPr>
          <w:rFonts w:asciiTheme="majorBidi" w:hAnsiTheme="majorBidi" w:cstheme="majorBidi"/>
          <w:sz w:val="24"/>
          <w:szCs w:val="24"/>
        </w:rPr>
      </w:pPr>
      <w:r w:rsidRPr="00E16B80">
        <w:rPr>
          <w:rFonts w:asciiTheme="majorBidi" w:hAnsiTheme="majorBidi" w:cstheme="majorBidi"/>
          <w:sz w:val="24"/>
          <w:szCs w:val="24"/>
        </w:rPr>
        <w:t xml:space="preserve">The study underscores the revolutionary impact of digital assets, especially renewable energy tokens, on the reconfiguration of financial markets. As these assets increasingly integrate into investment strategies, understanding their dynamics and interconnections with conventional financial markets is essential for making educated investment choices. The research provides significant insights into the capacity of energy tokens to diversify portfolios, mitigate risk, and improve returns, especially during times of market volatility. For digital asset markets to prosper, it is essential to establish regulatory frameworks that guarantee their stability and promote their </w:t>
      </w:r>
      <w:r w:rsidRPr="00E16B80">
        <w:rPr>
          <w:rFonts w:asciiTheme="majorBidi" w:hAnsiTheme="majorBidi" w:cstheme="majorBidi"/>
          <w:sz w:val="24"/>
          <w:szCs w:val="24"/>
        </w:rPr>
        <w:lastRenderedPageBreak/>
        <w:t>development. Through ongoing research and meticulous policy evaluation, the BRICS countries may capitalize on these advancements to enhance their financial markets and foster sustainable economic growth.</w:t>
      </w:r>
    </w:p>
    <w:p w:rsidR="00C412AC" w:rsidRDefault="00C412AC" w:rsidP="00C412AC">
      <w:pPr>
        <w:pStyle w:val="Heading2"/>
        <w:spacing w:line="480" w:lineRule="auto"/>
        <w:rPr>
          <w:rFonts w:asciiTheme="majorBidi" w:hAnsiTheme="majorBidi"/>
          <w:b/>
          <w:bCs/>
          <w:color w:val="1F1F1F"/>
          <w:sz w:val="28"/>
          <w:szCs w:val="28"/>
        </w:rPr>
      </w:pPr>
      <w:r w:rsidRPr="00C412AC">
        <w:rPr>
          <w:rFonts w:asciiTheme="majorBidi" w:hAnsiTheme="majorBidi"/>
          <w:b/>
          <w:bCs/>
          <w:color w:val="1F1F1F"/>
          <w:sz w:val="28"/>
          <w:szCs w:val="28"/>
        </w:rPr>
        <w:t>2. Research methodology</w:t>
      </w:r>
    </w:p>
    <w:p w:rsidR="00C412AC" w:rsidRPr="00C412AC" w:rsidRDefault="00C412AC" w:rsidP="00C412AC">
      <w:pPr>
        <w:pStyle w:val="Heading3"/>
        <w:spacing w:line="480" w:lineRule="auto"/>
        <w:rPr>
          <w:rFonts w:asciiTheme="majorBidi" w:hAnsiTheme="majorBidi"/>
          <w:b/>
          <w:bCs/>
          <w:color w:val="1F1F1F"/>
        </w:rPr>
      </w:pPr>
      <w:r w:rsidRPr="00C412AC">
        <w:rPr>
          <w:rFonts w:asciiTheme="majorBidi" w:hAnsiTheme="majorBidi"/>
          <w:b/>
          <w:bCs/>
          <w:color w:val="1F1F1F"/>
        </w:rPr>
        <w:t>2.1. Data and preliminary analysis</w:t>
      </w:r>
    </w:p>
    <w:p w:rsidR="00C412AC" w:rsidRDefault="00F2521F" w:rsidP="009B4EDB">
      <w:pPr>
        <w:spacing w:line="480" w:lineRule="auto"/>
        <w:jc w:val="both"/>
        <w:rPr>
          <w:rFonts w:asciiTheme="majorBidi" w:hAnsiTheme="majorBidi" w:cstheme="majorBidi"/>
          <w:sz w:val="24"/>
          <w:szCs w:val="24"/>
        </w:rPr>
      </w:pPr>
      <w:r w:rsidRPr="00F2521F">
        <w:rPr>
          <w:rFonts w:asciiTheme="majorBidi" w:hAnsiTheme="majorBidi" w:cstheme="majorBidi"/>
          <w:sz w:val="24"/>
          <w:szCs w:val="24"/>
        </w:rPr>
        <w:t>This study examines the daily returns of four energy tokens—</w:t>
      </w:r>
      <w:r w:rsidR="003114E3" w:rsidRPr="00F2521F">
        <w:rPr>
          <w:rFonts w:asciiTheme="majorBidi" w:hAnsiTheme="majorBidi" w:cstheme="majorBidi"/>
          <w:sz w:val="24"/>
          <w:szCs w:val="24"/>
        </w:rPr>
        <w:t>Power ledger</w:t>
      </w:r>
      <w:r w:rsidRPr="00F2521F">
        <w:rPr>
          <w:rFonts w:asciiTheme="majorBidi" w:hAnsiTheme="majorBidi" w:cstheme="majorBidi"/>
          <w:sz w:val="24"/>
          <w:szCs w:val="24"/>
        </w:rPr>
        <w:t xml:space="preserve"> (POWR), </w:t>
      </w:r>
      <w:r w:rsidR="003114E3" w:rsidRPr="00F2521F">
        <w:rPr>
          <w:rFonts w:asciiTheme="majorBidi" w:hAnsiTheme="majorBidi" w:cstheme="majorBidi"/>
          <w:sz w:val="24"/>
          <w:szCs w:val="24"/>
        </w:rPr>
        <w:t>Grid Plus</w:t>
      </w:r>
      <w:r w:rsidRPr="00F2521F">
        <w:rPr>
          <w:rFonts w:asciiTheme="majorBidi" w:hAnsiTheme="majorBidi" w:cstheme="majorBidi"/>
          <w:sz w:val="24"/>
          <w:szCs w:val="24"/>
        </w:rPr>
        <w:t xml:space="preserve"> (GRID), </w:t>
      </w:r>
      <w:r w:rsidR="003114E3" w:rsidRPr="00F2521F">
        <w:rPr>
          <w:rFonts w:asciiTheme="majorBidi" w:hAnsiTheme="majorBidi" w:cstheme="majorBidi"/>
          <w:sz w:val="24"/>
          <w:szCs w:val="24"/>
        </w:rPr>
        <w:t>Sun Contract</w:t>
      </w:r>
      <w:r w:rsidRPr="00F2521F">
        <w:rPr>
          <w:rFonts w:asciiTheme="majorBidi" w:hAnsiTheme="majorBidi" w:cstheme="majorBidi"/>
          <w:sz w:val="24"/>
          <w:szCs w:val="24"/>
        </w:rPr>
        <w:t xml:space="preserve"> (SNC), and </w:t>
      </w:r>
      <w:r w:rsidR="003114E3" w:rsidRPr="00F2521F">
        <w:rPr>
          <w:rFonts w:asciiTheme="majorBidi" w:hAnsiTheme="majorBidi" w:cstheme="majorBidi"/>
          <w:sz w:val="24"/>
          <w:szCs w:val="24"/>
        </w:rPr>
        <w:t>We Power</w:t>
      </w:r>
      <w:r w:rsidRPr="00F2521F">
        <w:rPr>
          <w:rFonts w:asciiTheme="majorBidi" w:hAnsiTheme="majorBidi" w:cstheme="majorBidi"/>
          <w:sz w:val="24"/>
          <w:szCs w:val="24"/>
        </w:rPr>
        <w:t xml:space="preserve"> (WPR)—and their correlation with the equity markets of Brazil (BOVESPA), China (Shanghai Composite), India (S&amp;P BSE SENSEX), Russia (MOEX), and South Africa (JSE All Share) from February 22, 2018, to September 15, 2023. The research guarantees reliable information by getting data from Investing.com and CoinMarketCap. </w:t>
      </w:r>
      <w:r w:rsidR="009B4EDB" w:rsidRPr="009B4EDB">
        <w:rPr>
          <w:rFonts w:asciiTheme="majorBidi" w:hAnsiTheme="majorBidi" w:cstheme="majorBidi"/>
          <w:sz w:val="24"/>
          <w:szCs w:val="24"/>
        </w:rPr>
        <w:t xml:space="preserve">The dataset is segmented into pre-COVID-19 (February 22, 2018–December 31, 2019) and post-COVID-19 (January 1, 2020–September 15, 2023), enabling a comparative investigation of changes generated by the pandemic across both eras. </w:t>
      </w:r>
      <w:r w:rsidRPr="00F2521F">
        <w:rPr>
          <w:rFonts w:asciiTheme="majorBidi" w:hAnsiTheme="majorBidi" w:cstheme="majorBidi"/>
          <w:sz w:val="24"/>
          <w:szCs w:val="24"/>
        </w:rPr>
        <w:t>Examining these tokens in the context of the global equities market reveals their performance, volatility, and possible association with conventional financial assets. This analysis demonstrates the response of energy tokens to market dynamics, especially during interruptions caused by the epidemic. The research enhances the comprehension of energy tokens as investment assets by examining price patterns, structural changes, and risk-return profiles within new and developing financial ecosystems.</w:t>
      </w:r>
    </w:p>
    <w:p w:rsidR="00F2521F" w:rsidRDefault="00F2521F" w:rsidP="00F2521F">
      <w:pPr>
        <w:spacing w:line="480" w:lineRule="auto"/>
        <w:jc w:val="both"/>
        <w:rPr>
          <w:rFonts w:asciiTheme="majorBidi" w:hAnsiTheme="majorBidi" w:cstheme="majorBidi"/>
          <w:sz w:val="24"/>
          <w:szCs w:val="24"/>
        </w:rPr>
      </w:pPr>
      <w:r>
        <w:rPr>
          <w:noProof/>
        </w:rPr>
        <w:lastRenderedPageBreak/>
        <w:drawing>
          <wp:inline distT="0" distB="0" distL="0" distR="0">
            <wp:extent cx="5943600" cy="6715303"/>
            <wp:effectExtent l="0" t="0" r="0" b="9525"/>
            <wp:docPr id="1" name="Picture 1" descr="Fi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6715303"/>
                    </a:xfrm>
                    <a:prstGeom prst="rect">
                      <a:avLst/>
                    </a:prstGeom>
                    <a:noFill/>
                    <a:ln>
                      <a:noFill/>
                    </a:ln>
                  </pic:spPr>
                </pic:pic>
              </a:graphicData>
            </a:graphic>
          </wp:inline>
        </w:drawing>
      </w:r>
    </w:p>
    <w:p w:rsidR="00F2521F" w:rsidRPr="00F2521F" w:rsidRDefault="00F2521F" w:rsidP="00F2521F">
      <w:pPr>
        <w:spacing w:line="480" w:lineRule="auto"/>
        <w:jc w:val="both"/>
        <w:rPr>
          <w:rFonts w:asciiTheme="majorBidi" w:hAnsiTheme="majorBidi" w:cstheme="majorBidi"/>
          <w:sz w:val="20"/>
          <w:szCs w:val="20"/>
        </w:rPr>
      </w:pPr>
      <w:r>
        <w:rPr>
          <w:rFonts w:asciiTheme="majorBidi" w:hAnsiTheme="majorBidi" w:cstheme="majorBidi"/>
          <w:sz w:val="20"/>
          <w:szCs w:val="20"/>
        </w:rPr>
        <w:t xml:space="preserve">                                                                          </w:t>
      </w:r>
      <w:r w:rsidRPr="00F2521F">
        <w:rPr>
          <w:rFonts w:asciiTheme="majorBidi" w:hAnsiTheme="majorBidi" w:cstheme="majorBidi"/>
          <w:sz w:val="20"/>
          <w:szCs w:val="20"/>
        </w:rPr>
        <w:t>Figure 1: Variable trends.</w:t>
      </w:r>
    </w:p>
    <w:p w:rsidR="00F2521F" w:rsidRPr="00F2521F" w:rsidRDefault="00F2521F" w:rsidP="00F2521F">
      <w:pPr>
        <w:pStyle w:val="Heading3"/>
        <w:spacing w:line="480" w:lineRule="auto"/>
        <w:rPr>
          <w:rFonts w:asciiTheme="majorBidi" w:hAnsiTheme="majorBidi"/>
          <w:b/>
          <w:bCs/>
          <w:color w:val="1F1F1F"/>
        </w:rPr>
      </w:pPr>
      <w:r w:rsidRPr="00F2521F">
        <w:rPr>
          <w:rFonts w:asciiTheme="majorBidi" w:hAnsiTheme="majorBidi"/>
          <w:b/>
          <w:bCs/>
          <w:color w:val="1F1F1F"/>
        </w:rPr>
        <w:lastRenderedPageBreak/>
        <w:t>2.2. TVP-VAR method</w:t>
      </w:r>
    </w:p>
    <w:p w:rsidR="00F2521F" w:rsidRPr="00F2521F" w:rsidRDefault="00F2521F" w:rsidP="003114E3">
      <w:pPr>
        <w:spacing w:line="480" w:lineRule="auto"/>
        <w:jc w:val="both"/>
        <w:rPr>
          <w:rFonts w:asciiTheme="majorBidi" w:hAnsiTheme="majorBidi" w:cstheme="majorBidi"/>
          <w:sz w:val="24"/>
          <w:szCs w:val="24"/>
        </w:rPr>
      </w:pPr>
      <w:r w:rsidRPr="00F2521F">
        <w:rPr>
          <w:rFonts w:asciiTheme="majorBidi" w:hAnsiTheme="majorBidi" w:cstheme="majorBidi"/>
          <w:sz w:val="24"/>
          <w:szCs w:val="24"/>
        </w:rPr>
        <w:t xml:space="preserve">The time-varying parameter vector autoregressive (TVP-VAR) model, developed by </w:t>
      </w:r>
      <w:r w:rsidR="003114E3">
        <w:rPr>
          <w:rFonts w:asciiTheme="majorBidi" w:hAnsiTheme="majorBidi" w:cstheme="majorBidi"/>
          <w:sz w:val="24"/>
          <w:szCs w:val="24"/>
        </w:rPr>
        <w:fldChar w:fldCharType="begin" w:fldLock="1"/>
      </w:r>
      <w:r w:rsidR="003114E3">
        <w:rPr>
          <w:rFonts w:asciiTheme="majorBidi" w:hAnsiTheme="majorBidi" w:cstheme="majorBidi"/>
          <w:sz w:val="24"/>
          <w:szCs w:val="24"/>
        </w:rPr>
        <w:instrText>ADDIN CSL_CITATION {"citationItems":[{"id":"ITEM-1","itemData":{"ISSN":"1342-937X","author":[{"dropping-particle":"","family":"Zhang","given":"Jinjun","non-dropping-particle":"","parse-names":false,"suffix":""},{"dropping-particle":"","family":"Khan","given":"Irfan","non-dropping-particle":"","parse-names":false,"suffix":""}],"container-title":"Gondwana Research","id":"ITEM-1","issued":{"date-parts":[["2024"]]},"publisher":"Elsevier","title":"Energy use, energy access, and oil price fluctuations as new determinants of environmental quality in APEC countries","type":"article-journal"},"uris":["http://www.mendeley.com/documents/?uuid=89c99623-b1f5-4c7d-97bd-e68322144e68"]}],"mendeley":{"formattedCitation":"(J. Zhang &amp; Khan, 2024)","plainTextFormattedCitation":"(J. Zhang &amp; Khan, 2024)","previouslyFormattedCitation":"(J. Zhang &amp; Khan, 2024)"},"properties":{"noteIndex":0},"schema":"https://github.com/citation-style-language/schema/raw/master/csl-citation.json"}</w:instrText>
      </w:r>
      <w:r w:rsidR="003114E3">
        <w:rPr>
          <w:rFonts w:asciiTheme="majorBidi" w:hAnsiTheme="majorBidi" w:cstheme="majorBidi"/>
          <w:sz w:val="24"/>
          <w:szCs w:val="24"/>
        </w:rPr>
        <w:fldChar w:fldCharType="separate"/>
      </w:r>
      <w:r w:rsidR="003114E3" w:rsidRPr="003114E3">
        <w:rPr>
          <w:rFonts w:asciiTheme="majorBidi" w:hAnsiTheme="majorBidi" w:cstheme="majorBidi"/>
          <w:noProof/>
          <w:sz w:val="24"/>
          <w:szCs w:val="24"/>
        </w:rPr>
        <w:t>(J. Zhang &amp; Khan, 2024)</w:t>
      </w:r>
      <w:r w:rsidR="003114E3">
        <w:rPr>
          <w:rFonts w:asciiTheme="majorBidi" w:hAnsiTheme="majorBidi" w:cstheme="majorBidi"/>
          <w:sz w:val="24"/>
          <w:szCs w:val="24"/>
        </w:rPr>
        <w:fldChar w:fldCharType="end"/>
      </w:r>
      <w:r w:rsidRPr="00F2521F">
        <w:rPr>
          <w:rFonts w:asciiTheme="majorBidi" w:hAnsiTheme="majorBidi" w:cstheme="majorBidi"/>
          <w:sz w:val="24"/>
          <w:szCs w:val="24"/>
        </w:rPr>
        <w:t xml:space="preserve">, serves as an effective instrument for examining dynamic interrelationships among variables. In contrast to conventional approaches, the TVP-VAR model eliminates observation loss and does not need a predetermined window size, hence enhancing efficiency and flexibility. This approach has been extensively used in research to investigate asset dependency and financial spillovers </w:t>
      </w:r>
      <w:r w:rsidR="003114E3">
        <w:rPr>
          <w:rFonts w:asciiTheme="majorBidi" w:hAnsiTheme="majorBidi" w:cstheme="majorBidi"/>
          <w:sz w:val="24"/>
          <w:szCs w:val="24"/>
        </w:rPr>
        <w:fldChar w:fldCharType="begin" w:fldLock="1"/>
      </w:r>
      <w:r w:rsidR="003114E3">
        <w:rPr>
          <w:rFonts w:asciiTheme="majorBidi" w:hAnsiTheme="majorBidi" w:cstheme="majorBidi"/>
          <w:sz w:val="24"/>
          <w:szCs w:val="24"/>
        </w:rPr>
        <w:instrText>ADDIN CSL_CITATION {"citationItems":[{"id":"ITEM-1","itemData":{"ISSN":"0301-4215","author":[{"dropping-particle":"","family":"Grant","given":"Don","non-dropping-particle":"","parse-names":false,"suffix":""},{"dropping-particle":"","family":"Jorgenson","given":"Andrew K","non-dropping-particle":"","parse-names":false,"suffix":""},{"dropping-particle":"","family":"Longhofer","given":"Wesley","non-dropping-particle":"","parse-names":false,"suffix":""}],"container-title":"Energy Policy","id":"ITEM-1","issued":{"date-parts":[["2016"]]},"page":"89-93","publisher":"Elsevier","title":"How organizational and global factors condition the effects of energy efficiency on CO2 emission rebounds among the world's power plants","type":"article-journal","volume":"94"},"uris":["http://www.mendeley.com/documents/?uuid=e8eb156e-5b38-491f-8d18-e2651270e58d"]}],"mendeley":{"formattedCitation":"(Grant et al., 2016)","plainTextFormattedCitation":"(Grant et al., 2016)","previouslyFormattedCitation":"(Grant et al., 2016)"},"properties":{"noteIndex":0},"schema":"https://github.com/citation-style-language/schema/raw/master/csl-citation.json"}</w:instrText>
      </w:r>
      <w:r w:rsidR="003114E3">
        <w:rPr>
          <w:rFonts w:asciiTheme="majorBidi" w:hAnsiTheme="majorBidi" w:cstheme="majorBidi"/>
          <w:sz w:val="24"/>
          <w:szCs w:val="24"/>
        </w:rPr>
        <w:fldChar w:fldCharType="separate"/>
      </w:r>
      <w:r w:rsidR="003114E3" w:rsidRPr="003114E3">
        <w:rPr>
          <w:rFonts w:asciiTheme="majorBidi" w:hAnsiTheme="majorBidi" w:cstheme="majorBidi"/>
          <w:noProof/>
          <w:sz w:val="24"/>
          <w:szCs w:val="24"/>
        </w:rPr>
        <w:t>(Grant et al., 2016)</w:t>
      </w:r>
      <w:r w:rsidR="003114E3">
        <w:rPr>
          <w:rFonts w:asciiTheme="majorBidi" w:hAnsiTheme="majorBidi" w:cstheme="majorBidi"/>
          <w:sz w:val="24"/>
          <w:szCs w:val="24"/>
        </w:rPr>
        <w:fldChar w:fldCharType="end"/>
      </w:r>
      <w:r w:rsidRPr="00F2521F">
        <w:rPr>
          <w:rFonts w:asciiTheme="majorBidi" w:hAnsiTheme="majorBidi" w:cstheme="majorBidi"/>
          <w:sz w:val="24"/>
          <w:szCs w:val="24"/>
        </w:rPr>
        <w:t>. Its ability to record dynamic linkages makes it suitable for analyzing intricate, time-dependent systems across many settings.</w:t>
      </w:r>
      <w:r w:rsidRPr="00F2521F">
        <w:t xml:space="preserve"> </w:t>
      </w:r>
      <w:r w:rsidRPr="00F2521F">
        <w:rPr>
          <w:rFonts w:asciiTheme="majorBidi" w:hAnsiTheme="majorBidi" w:cstheme="majorBidi"/>
          <w:sz w:val="24"/>
          <w:szCs w:val="24"/>
        </w:rPr>
        <w:t>The fundamental TVP-VAR (1) model is delineated as follows:</w:t>
      </w:r>
    </w:p>
    <w:p w:rsidR="00C412AC" w:rsidRDefault="00DD48BA" w:rsidP="00F2521F">
      <w:pPr>
        <w:spacing w:after="0" w:line="480" w:lineRule="auto"/>
        <w:jc w:val="both"/>
        <w:rPr>
          <w:rFonts w:asciiTheme="majorBidi" w:eastAsiaTheme="minorEastAsia" w:hAnsiTheme="majorBidi" w:cstheme="majorBidi"/>
          <w:sz w:val="24"/>
          <w:szCs w:val="24"/>
        </w:rPr>
      </w:pPr>
      <m:oMath>
        <m:sSub>
          <m:sSubPr>
            <m:ctrlPr>
              <w:rPr>
                <w:rFonts w:ascii="Cambria Math" w:hAnsi="Cambria Math" w:cstheme="majorBidi"/>
                <w:sz w:val="24"/>
                <w:szCs w:val="24"/>
              </w:rPr>
            </m:ctrlPr>
          </m:sSubPr>
          <m:e>
            <m:r>
              <w:rPr>
                <w:rFonts w:ascii="Cambria Math" w:hAnsi="Cambria Math" w:cstheme="majorBidi"/>
                <w:sz w:val="24"/>
                <w:szCs w:val="24"/>
              </w:rPr>
              <m:t>v</m:t>
            </m:r>
          </m:e>
          <m:sub>
            <m:r>
              <w:rPr>
                <w:rFonts w:ascii="Cambria Math" w:hAnsi="Cambria Math" w:cstheme="majorBidi"/>
                <w:sz w:val="24"/>
                <w:szCs w:val="24"/>
              </w:rPr>
              <m:t>t</m:t>
            </m:r>
          </m:sub>
        </m:sSub>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C</m:t>
            </m:r>
          </m:e>
          <m:sub>
            <m:r>
              <w:rPr>
                <w:rFonts w:ascii="Cambria Math" w:hAnsi="Cambria Math" w:cstheme="majorBidi"/>
                <w:sz w:val="24"/>
                <w:szCs w:val="24"/>
              </w:rPr>
              <m:t>t</m:t>
            </m:r>
          </m:sub>
        </m:sSub>
        <m:sSub>
          <m:sSubPr>
            <m:ctrlPr>
              <w:rPr>
                <w:rFonts w:ascii="Cambria Math" w:hAnsi="Cambria Math" w:cstheme="majorBidi"/>
                <w:sz w:val="24"/>
                <w:szCs w:val="24"/>
              </w:rPr>
            </m:ctrlPr>
          </m:sSubPr>
          <m:e>
            <m:r>
              <w:rPr>
                <w:rFonts w:ascii="Cambria Math" w:hAnsi="Cambria Math" w:cstheme="majorBidi"/>
                <w:sz w:val="24"/>
                <w:szCs w:val="24"/>
              </w:rPr>
              <m:t>v</m:t>
            </m:r>
          </m:e>
          <m:sub>
            <m:r>
              <w:rPr>
                <w:rFonts w:ascii="Cambria Math" w:hAnsi="Cambria Math" w:cstheme="majorBidi"/>
                <w:sz w:val="24"/>
                <w:szCs w:val="24"/>
              </w:rPr>
              <m:t>t-1</m:t>
            </m:r>
          </m:sub>
        </m:sSub>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μ</m:t>
            </m:r>
          </m:e>
          <m:sub>
            <m:r>
              <w:rPr>
                <w:rFonts w:ascii="Cambria Math" w:hAnsi="Cambria Math" w:cstheme="majorBidi"/>
                <w:sz w:val="24"/>
                <w:szCs w:val="24"/>
              </w:rPr>
              <m:t>t,</m:t>
            </m:r>
          </m:sub>
        </m:sSub>
        <m:sSub>
          <m:sSubPr>
            <m:ctrlPr>
              <w:rPr>
                <w:rFonts w:ascii="Cambria Math" w:hAnsi="Cambria Math" w:cstheme="majorBidi"/>
                <w:sz w:val="24"/>
                <w:szCs w:val="24"/>
              </w:rPr>
            </m:ctrlPr>
          </m:sSubPr>
          <m:e>
            <m:r>
              <w:rPr>
                <w:rFonts w:ascii="Cambria Math" w:hAnsi="Cambria Math" w:cstheme="majorBidi"/>
                <w:sz w:val="24"/>
                <w:szCs w:val="24"/>
              </w:rPr>
              <m:t>μ</m:t>
            </m:r>
          </m:e>
          <m:sub>
            <m:r>
              <w:rPr>
                <w:rFonts w:ascii="Cambria Math" w:hAnsi="Cambria Math" w:cstheme="majorBidi"/>
                <w:sz w:val="24"/>
                <w:szCs w:val="24"/>
              </w:rPr>
              <m:t>t</m:t>
            </m:r>
          </m:sub>
        </m:sSub>
        <m:r>
          <w:rPr>
            <w:rFonts w:ascii="Cambria Math" w:hAnsi="Cambria Math" w:cstheme="majorBidi"/>
            <w:sz w:val="24"/>
            <w:szCs w:val="24"/>
          </w:rPr>
          <m:t>∼N</m:t>
        </m:r>
        <m:d>
          <m:dPr>
            <m:sepChr m:val=","/>
            <m:ctrlPr>
              <w:rPr>
                <w:rFonts w:ascii="Cambria Math" w:hAnsi="Cambria Math" w:cstheme="majorBidi"/>
                <w:sz w:val="24"/>
                <w:szCs w:val="24"/>
              </w:rPr>
            </m:ctrlPr>
          </m:dPr>
          <m:e>
            <m:r>
              <w:rPr>
                <w:rFonts w:ascii="Cambria Math" w:hAnsi="Cambria Math" w:cstheme="majorBidi"/>
                <w:sz w:val="24"/>
                <w:szCs w:val="24"/>
              </w:rPr>
              <m:t>0</m:t>
            </m:r>
          </m:e>
          <m:e>
            <m:sSub>
              <m:sSubPr>
                <m:ctrlPr>
                  <w:rPr>
                    <w:rFonts w:ascii="Cambria Math" w:hAnsi="Cambria Math" w:cstheme="majorBidi"/>
                    <w:sz w:val="24"/>
                    <w:szCs w:val="24"/>
                  </w:rPr>
                </m:ctrlPr>
              </m:sSubPr>
              <m:e>
                <m:r>
                  <w:rPr>
                    <w:rFonts w:ascii="Cambria Math" w:hAnsi="Cambria Math" w:cstheme="majorBidi"/>
                    <w:sz w:val="24"/>
                    <w:szCs w:val="24"/>
                  </w:rPr>
                  <m:t>τ</m:t>
                </m:r>
              </m:e>
              <m:sub>
                <m:r>
                  <w:rPr>
                    <w:rFonts w:ascii="Cambria Math" w:hAnsi="Cambria Math" w:cstheme="majorBidi"/>
                    <w:sz w:val="24"/>
                    <w:szCs w:val="24"/>
                  </w:rPr>
                  <m:t>t</m:t>
                </m:r>
              </m:sub>
            </m:sSub>
          </m:e>
        </m:d>
      </m:oMath>
      <w:r w:rsidR="00F2521F">
        <w:rPr>
          <w:rFonts w:asciiTheme="majorBidi" w:eastAsiaTheme="minorEastAsia" w:hAnsiTheme="majorBidi" w:cstheme="majorBidi"/>
          <w:sz w:val="24"/>
          <w:szCs w:val="24"/>
        </w:rPr>
        <w:t xml:space="preserve">                                                                                             (1)</w:t>
      </w:r>
    </w:p>
    <w:p w:rsidR="00F2521F" w:rsidRDefault="005F4385" w:rsidP="00F2521F">
      <w:pPr>
        <w:spacing w:after="0" w:line="480" w:lineRule="auto"/>
        <w:jc w:val="both"/>
        <w:rPr>
          <w:rFonts w:asciiTheme="majorBidi" w:eastAsiaTheme="minorEastAsia" w:hAnsiTheme="majorBidi" w:cstheme="majorBidi"/>
          <w:sz w:val="24"/>
          <w:szCs w:val="24"/>
        </w:rPr>
      </w:pPr>
      <m:oMath>
        <m:r>
          <m:rPr>
            <m:sty m:val="p"/>
          </m:rPr>
          <w:rPr>
            <w:rFonts w:ascii="Cambria Math" w:hAnsi="Cambria Math" w:cstheme="majorBidi"/>
            <w:sz w:val="24"/>
            <w:szCs w:val="24"/>
          </w:rPr>
          <m:t>vec</m:t>
        </m:r>
        <m:d>
          <m:dPr>
            <m:ctrlPr>
              <w:rPr>
                <w:rFonts w:ascii="Cambria Math" w:hAnsi="Cambria Math" w:cstheme="majorBidi"/>
                <w:sz w:val="24"/>
                <w:szCs w:val="24"/>
              </w:rPr>
            </m:ctrlPr>
          </m:dPr>
          <m:e>
            <m:sSub>
              <m:sSubPr>
                <m:ctrlPr>
                  <w:rPr>
                    <w:rFonts w:ascii="Cambria Math" w:hAnsi="Cambria Math" w:cstheme="majorBidi"/>
                    <w:sz w:val="24"/>
                    <w:szCs w:val="24"/>
                  </w:rPr>
                </m:ctrlPr>
              </m:sSubPr>
              <m:e>
                <m:r>
                  <w:rPr>
                    <w:rFonts w:ascii="Cambria Math" w:hAnsi="Cambria Math" w:cstheme="majorBidi"/>
                    <w:sz w:val="24"/>
                    <w:szCs w:val="24"/>
                  </w:rPr>
                  <m:t>C</m:t>
                </m:r>
              </m:e>
              <m:sub>
                <m:r>
                  <w:rPr>
                    <w:rFonts w:ascii="Cambria Math" w:hAnsi="Cambria Math" w:cstheme="majorBidi"/>
                    <w:sz w:val="24"/>
                    <w:szCs w:val="24"/>
                  </w:rPr>
                  <m:t>t</m:t>
                </m:r>
              </m:sub>
            </m:sSub>
          </m:e>
        </m:d>
        <m:r>
          <w:rPr>
            <w:rFonts w:ascii="Cambria Math" w:hAnsi="Cambria Math" w:cstheme="majorBidi"/>
            <w:sz w:val="24"/>
            <w:szCs w:val="24"/>
          </w:rPr>
          <m:t>=</m:t>
        </m:r>
        <m:r>
          <m:rPr>
            <m:sty m:val="p"/>
          </m:rPr>
          <w:rPr>
            <w:rFonts w:ascii="Cambria Math" w:hAnsi="Cambria Math" w:cstheme="majorBidi"/>
            <w:sz w:val="24"/>
            <w:szCs w:val="24"/>
          </w:rPr>
          <m:t>vec</m:t>
        </m:r>
        <m:d>
          <m:dPr>
            <m:ctrlPr>
              <w:rPr>
                <w:rFonts w:ascii="Cambria Math" w:hAnsi="Cambria Math" w:cstheme="majorBidi"/>
                <w:sz w:val="24"/>
                <w:szCs w:val="24"/>
              </w:rPr>
            </m:ctrlPr>
          </m:dPr>
          <m:e>
            <m:sSub>
              <m:sSubPr>
                <m:ctrlPr>
                  <w:rPr>
                    <w:rFonts w:ascii="Cambria Math" w:hAnsi="Cambria Math" w:cstheme="majorBidi"/>
                    <w:sz w:val="24"/>
                    <w:szCs w:val="24"/>
                  </w:rPr>
                </m:ctrlPr>
              </m:sSubPr>
              <m:e>
                <m:r>
                  <w:rPr>
                    <w:rFonts w:ascii="Cambria Math" w:hAnsi="Cambria Math" w:cstheme="majorBidi"/>
                    <w:sz w:val="24"/>
                    <w:szCs w:val="24"/>
                  </w:rPr>
                  <m:t>C</m:t>
                </m:r>
              </m:e>
              <m:sub>
                <m:r>
                  <w:rPr>
                    <w:rFonts w:ascii="Cambria Math" w:hAnsi="Cambria Math" w:cstheme="majorBidi"/>
                    <w:sz w:val="24"/>
                    <w:szCs w:val="24"/>
                  </w:rPr>
                  <m:t>t-1</m:t>
                </m:r>
              </m:sub>
            </m:sSub>
          </m:e>
        </m:d>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γ</m:t>
            </m:r>
          </m:e>
          <m:sub>
            <m:r>
              <w:rPr>
                <w:rFonts w:ascii="Cambria Math" w:hAnsi="Cambria Math" w:cstheme="majorBidi"/>
                <w:sz w:val="24"/>
                <w:szCs w:val="24"/>
              </w:rPr>
              <m:t>t</m:t>
            </m:r>
          </m:sub>
        </m:sSub>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γ</m:t>
            </m:r>
          </m:e>
          <m:sub>
            <m:r>
              <w:rPr>
                <w:rFonts w:ascii="Cambria Math" w:hAnsi="Cambria Math" w:cstheme="majorBidi"/>
                <w:sz w:val="24"/>
                <w:szCs w:val="24"/>
              </w:rPr>
              <m:t>t</m:t>
            </m:r>
          </m:sub>
        </m:sSub>
        <m:r>
          <w:rPr>
            <w:rFonts w:ascii="Cambria Math" w:hAnsi="Cambria Math" w:cstheme="majorBidi"/>
            <w:sz w:val="24"/>
            <w:szCs w:val="24"/>
          </w:rPr>
          <m:t>∼N</m:t>
        </m:r>
        <m:d>
          <m:dPr>
            <m:sepChr m:val=","/>
            <m:ctrlPr>
              <w:rPr>
                <w:rFonts w:ascii="Cambria Math" w:hAnsi="Cambria Math" w:cstheme="majorBidi"/>
                <w:sz w:val="24"/>
                <w:szCs w:val="24"/>
              </w:rPr>
            </m:ctrlPr>
          </m:dPr>
          <m:e>
            <m:r>
              <w:rPr>
                <w:rFonts w:ascii="Cambria Math" w:hAnsi="Cambria Math" w:cstheme="majorBidi"/>
                <w:sz w:val="24"/>
                <w:szCs w:val="24"/>
              </w:rPr>
              <m:t>0</m:t>
            </m:r>
          </m:e>
          <m:e>
            <m:sSub>
              <m:sSubPr>
                <m:ctrlPr>
                  <w:rPr>
                    <w:rFonts w:ascii="Cambria Math" w:hAnsi="Cambria Math" w:cstheme="majorBidi"/>
                    <w:sz w:val="24"/>
                    <w:szCs w:val="24"/>
                  </w:rPr>
                </m:ctrlPr>
              </m:sSubPr>
              <m:e>
                <m:r>
                  <w:rPr>
                    <w:rFonts w:ascii="Cambria Math" w:hAnsi="Cambria Math" w:cstheme="majorBidi"/>
                    <w:sz w:val="24"/>
                    <w:szCs w:val="24"/>
                  </w:rPr>
                  <m:t>ε</m:t>
                </m:r>
              </m:e>
              <m:sub>
                <m:r>
                  <w:rPr>
                    <w:rFonts w:ascii="Cambria Math" w:hAnsi="Cambria Math" w:cstheme="majorBidi"/>
                    <w:sz w:val="24"/>
                    <w:szCs w:val="24"/>
                  </w:rPr>
                  <m:t>t</m:t>
                </m:r>
              </m:sub>
            </m:sSub>
          </m:e>
        </m:d>
      </m:oMath>
      <w:r>
        <w:rPr>
          <w:rFonts w:asciiTheme="majorBidi" w:eastAsiaTheme="minorEastAsia" w:hAnsiTheme="majorBidi" w:cstheme="majorBidi"/>
          <w:sz w:val="24"/>
          <w:szCs w:val="24"/>
        </w:rPr>
        <w:t xml:space="preserve">                                                                              (2)</w:t>
      </w:r>
    </w:p>
    <w:p w:rsidR="005F4385" w:rsidRDefault="005F4385" w:rsidP="005F4385">
      <w:pPr>
        <w:spacing w:after="0" w:line="480" w:lineRule="auto"/>
        <w:jc w:val="both"/>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where </w:t>
      </w:r>
      <m:oMath>
        <m:sSub>
          <m:sSubPr>
            <m:ctrlPr>
              <w:rPr>
                <w:rFonts w:ascii="Cambria Math" w:hAnsi="Cambria Math" w:cstheme="majorBidi"/>
                <w:sz w:val="24"/>
                <w:szCs w:val="24"/>
              </w:rPr>
            </m:ctrlPr>
          </m:sSubPr>
          <m:e>
            <m:r>
              <w:rPr>
                <w:rFonts w:ascii="Cambria Math" w:hAnsi="Cambria Math" w:cstheme="majorBidi"/>
                <w:sz w:val="24"/>
                <w:szCs w:val="24"/>
              </w:rPr>
              <m:t>v</m:t>
            </m:r>
          </m:e>
          <m:sub>
            <m:r>
              <w:rPr>
                <w:rFonts w:ascii="Cambria Math" w:hAnsi="Cambria Math" w:cstheme="majorBidi"/>
                <w:sz w:val="24"/>
                <w:szCs w:val="24"/>
              </w:rPr>
              <m:t>t</m:t>
            </m:r>
          </m:sub>
        </m:sSub>
      </m:oMath>
      <w:r>
        <w:rPr>
          <w:rFonts w:asciiTheme="majorBidi" w:eastAsiaTheme="minorEastAsia" w:hAnsiTheme="majorBidi" w:cstheme="majorBidi"/>
          <w:sz w:val="24"/>
          <w:szCs w:val="24"/>
        </w:rPr>
        <w:t xml:space="preserve">, </w:t>
      </w:r>
      <m:oMath>
        <m:sSub>
          <m:sSubPr>
            <m:ctrlPr>
              <w:rPr>
                <w:rFonts w:ascii="Cambria Math" w:eastAsiaTheme="minorEastAsia" w:hAnsi="Cambria Math" w:cstheme="majorBidi"/>
                <w:sz w:val="24"/>
                <w:szCs w:val="24"/>
              </w:rPr>
            </m:ctrlPr>
          </m:sSubPr>
          <m:e>
            <m:r>
              <w:rPr>
                <w:rFonts w:ascii="Cambria Math" w:eastAsiaTheme="minorEastAsia" w:hAnsi="Cambria Math" w:cstheme="majorBidi"/>
                <w:sz w:val="24"/>
                <w:szCs w:val="24"/>
              </w:rPr>
              <m:t>v</m:t>
            </m:r>
          </m:e>
          <m:sub>
            <m:r>
              <w:rPr>
                <w:rFonts w:ascii="Cambria Math" w:eastAsiaTheme="minorEastAsia" w:hAnsi="Cambria Math" w:cstheme="majorBidi"/>
                <w:sz w:val="24"/>
                <w:szCs w:val="24"/>
              </w:rPr>
              <m:t>t-1</m:t>
            </m:r>
          </m:sub>
        </m:sSub>
      </m:oMath>
      <w:r>
        <w:rPr>
          <w:rFonts w:asciiTheme="majorBidi" w:eastAsiaTheme="minorEastAsia" w:hAnsiTheme="majorBidi" w:cstheme="majorBidi"/>
          <w:sz w:val="24"/>
          <w:szCs w:val="24"/>
        </w:rPr>
        <w:t xml:space="preserve">, and </w:t>
      </w:r>
      <m:oMath>
        <m:sSub>
          <m:sSubPr>
            <m:ctrlPr>
              <w:rPr>
                <w:rFonts w:ascii="Cambria Math" w:hAnsi="Cambria Math" w:cstheme="majorBidi"/>
                <w:sz w:val="24"/>
                <w:szCs w:val="24"/>
              </w:rPr>
            </m:ctrlPr>
          </m:sSubPr>
          <m:e>
            <m:r>
              <w:rPr>
                <w:rFonts w:ascii="Cambria Math" w:hAnsi="Cambria Math" w:cstheme="majorBidi"/>
                <w:sz w:val="24"/>
                <w:szCs w:val="24"/>
              </w:rPr>
              <m:t>μ</m:t>
            </m:r>
          </m:e>
          <m:sub>
            <m:r>
              <w:rPr>
                <w:rFonts w:ascii="Cambria Math" w:hAnsi="Cambria Math" w:cstheme="majorBidi"/>
                <w:sz w:val="24"/>
                <w:szCs w:val="24"/>
              </w:rPr>
              <m:t>t,</m:t>
            </m:r>
          </m:sub>
        </m:sSub>
      </m:oMath>
      <w:r>
        <w:rPr>
          <w:rFonts w:asciiTheme="majorBidi" w:eastAsiaTheme="minorEastAsia" w:hAnsiTheme="majorBidi" w:cstheme="majorBidi"/>
          <w:sz w:val="24"/>
          <w:szCs w:val="24"/>
        </w:rPr>
        <w:t xml:space="preserve"> represent an </w:t>
      </w:r>
      <m:oMath>
        <m:r>
          <m:rPr>
            <m:sty m:val="p"/>
          </m:rPr>
          <w:rPr>
            <w:rFonts w:ascii="Cambria Math" w:eastAsiaTheme="minorEastAsia" w:hAnsi="Cambria Math" w:cstheme="majorBidi"/>
            <w:sz w:val="24"/>
            <w:szCs w:val="24"/>
          </w:rPr>
          <m:t>n</m:t>
        </m:r>
        <m:r>
          <w:rPr>
            <w:rFonts w:ascii="Cambria Math" w:eastAsiaTheme="minorEastAsia" w:hAnsi="Cambria Math" w:cstheme="majorBidi"/>
            <w:sz w:val="24"/>
            <w:szCs w:val="24"/>
          </w:rPr>
          <m:t>×1</m:t>
        </m:r>
      </m:oMath>
      <w:r>
        <w:rPr>
          <w:rFonts w:asciiTheme="majorBidi" w:eastAsiaTheme="minorEastAsia" w:hAnsiTheme="majorBidi" w:cstheme="majorBidi"/>
          <w:sz w:val="24"/>
          <w:szCs w:val="24"/>
        </w:rPr>
        <w:t xml:space="preserve"> dimensional vector, whereas </w:t>
      </w:r>
      <m:oMath>
        <m:sSub>
          <m:sSubPr>
            <m:ctrlPr>
              <w:rPr>
                <w:rFonts w:ascii="Cambria Math" w:hAnsi="Cambria Math" w:cstheme="majorBidi"/>
                <w:sz w:val="24"/>
                <w:szCs w:val="24"/>
              </w:rPr>
            </m:ctrlPr>
          </m:sSubPr>
          <m:e>
            <m:r>
              <w:rPr>
                <w:rFonts w:ascii="Cambria Math" w:hAnsi="Cambria Math" w:cstheme="majorBidi"/>
                <w:sz w:val="24"/>
                <w:szCs w:val="24"/>
              </w:rPr>
              <m:t>C</m:t>
            </m:r>
          </m:e>
          <m:sub>
            <m:r>
              <w:rPr>
                <w:rFonts w:ascii="Cambria Math" w:hAnsi="Cambria Math" w:cstheme="majorBidi"/>
                <w:sz w:val="24"/>
                <w:szCs w:val="24"/>
              </w:rPr>
              <m:t>t</m:t>
            </m:r>
          </m:sub>
        </m:sSub>
      </m:oMath>
      <w:r>
        <w:rPr>
          <w:rFonts w:asciiTheme="majorBidi" w:eastAsiaTheme="minorEastAsia" w:hAnsiTheme="majorBidi" w:cstheme="majorBidi"/>
          <w:sz w:val="24"/>
          <w:szCs w:val="24"/>
        </w:rPr>
        <w:t xml:space="preserve"> and </w:t>
      </w:r>
      <m:oMath>
        <m:sSub>
          <m:sSubPr>
            <m:ctrlPr>
              <w:rPr>
                <w:rFonts w:ascii="Cambria Math" w:hAnsi="Cambria Math" w:cstheme="majorBidi"/>
                <w:sz w:val="24"/>
                <w:szCs w:val="24"/>
              </w:rPr>
            </m:ctrlPr>
          </m:sSubPr>
          <m:e>
            <m:r>
              <w:rPr>
                <w:rFonts w:ascii="Cambria Math" w:hAnsi="Cambria Math" w:cstheme="majorBidi"/>
                <w:sz w:val="24"/>
                <w:szCs w:val="24"/>
              </w:rPr>
              <m:t>τ</m:t>
            </m:r>
          </m:e>
          <m:sub>
            <m:r>
              <w:rPr>
                <w:rFonts w:ascii="Cambria Math" w:hAnsi="Cambria Math" w:cstheme="majorBidi"/>
                <w:sz w:val="24"/>
                <w:szCs w:val="24"/>
              </w:rPr>
              <m:t>t</m:t>
            </m:r>
          </m:sub>
        </m:sSub>
      </m:oMath>
      <w:r w:rsidRPr="005F4385">
        <w:rPr>
          <w:rFonts w:asciiTheme="majorBidi" w:eastAsiaTheme="minorEastAsia" w:hAnsiTheme="majorBidi" w:cstheme="majorBidi"/>
          <w:sz w:val="24"/>
          <w:szCs w:val="24"/>
        </w:rPr>
        <w:t xml:space="preserve"> denote n×n d</w:t>
      </w:r>
      <w:r>
        <w:rPr>
          <w:rFonts w:asciiTheme="majorBidi" w:eastAsiaTheme="minorEastAsia" w:hAnsiTheme="majorBidi" w:cstheme="majorBidi"/>
          <w:sz w:val="24"/>
          <w:szCs w:val="24"/>
        </w:rPr>
        <w:t xml:space="preserve">imensional matrices. </w:t>
      </w:r>
      <m:oMath>
        <m:r>
          <m:rPr>
            <m:sty m:val="p"/>
          </m:rPr>
          <w:rPr>
            <w:rFonts w:ascii="Cambria Math" w:eastAsiaTheme="minorEastAsia" w:hAnsi="Cambria Math" w:cstheme="majorBidi"/>
            <w:sz w:val="24"/>
            <w:szCs w:val="24"/>
          </w:rPr>
          <m:t>vec</m:t>
        </m:r>
        <m:d>
          <m:dPr>
            <m:ctrlPr>
              <w:rPr>
                <w:rFonts w:ascii="Cambria Math" w:eastAsiaTheme="minorEastAsia" w:hAnsi="Cambria Math" w:cstheme="majorBidi"/>
                <w:sz w:val="24"/>
                <w:szCs w:val="24"/>
              </w:rPr>
            </m:ctrlPr>
          </m:dPr>
          <m:e>
            <m:sSub>
              <m:sSubPr>
                <m:ctrlPr>
                  <w:rPr>
                    <w:rFonts w:ascii="Cambria Math" w:eastAsiaTheme="minorEastAsia" w:hAnsi="Cambria Math" w:cstheme="majorBidi"/>
                    <w:sz w:val="24"/>
                    <w:szCs w:val="24"/>
                  </w:rPr>
                </m:ctrlPr>
              </m:sSubPr>
              <m:e>
                <m:r>
                  <w:rPr>
                    <w:rFonts w:ascii="Cambria Math" w:eastAsiaTheme="minorEastAsia" w:hAnsi="Cambria Math" w:cstheme="majorBidi"/>
                    <w:sz w:val="24"/>
                    <w:szCs w:val="24"/>
                  </w:rPr>
                  <m:t>C</m:t>
                </m:r>
              </m:e>
              <m:sub>
                <m:r>
                  <w:rPr>
                    <w:rFonts w:ascii="Cambria Math" w:eastAsiaTheme="minorEastAsia" w:hAnsi="Cambria Math" w:cstheme="majorBidi"/>
                    <w:sz w:val="24"/>
                    <w:szCs w:val="24"/>
                  </w:rPr>
                  <m:t>t</m:t>
                </m:r>
              </m:sub>
            </m:sSub>
          </m:e>
        </m:d>
        <m:r>
          <w:rPr>
            <w:rFonts w:ascii="Cambria Math" w:eastAsiaTheme="minorEastAsia" w:hAnsiTheme="majorBidi" w:cstheme="majorBidi"/>
            <w:sz w:val="24"/>
            <w:szCs w:val="24"/>
          </w:rPr>
          <m:t xml:space="preserve"> </m:t>
        </m:r>
      </m:oMath>
      <w:r>
        <w:rPr>
          <w:rFonts w:asciiTheme="majorBidi" w:eastAsiaTheme="minorEastAsia" w:hAnsiTheme="majorBidi" w:cstheme="majorBidi"/>
          <w:sz w:val="24"/>
          <w:szCs w:val="24"/>
        </w:rPr>
        <w:t xml:space="preserve">and </w:t>
      </w:r>
      <m:oMath>
        <m:sSub>
          <m:sSubPr>
            <m:ctrlPr>
              <w:rPr>
                <w:rFonts w:ascii="Cambria Math" w:hAnsi="Cambria Math" w:cstheme="majorBidi"/>
                <w:sz w:val="24"/>
                <w:szCs w:val="24"/>
              </w:rPr>
            </m:ctrlPr>
          </m:sSubPr>
          <m:e>
            <m:r>
              <w:rPr>
                <w:rFonts w:ascii="Cambria Math" w:hAnsi="Cambria Math" w:cstheme="majorBidi"/>
                <w:sz w:val="24"/>
                <w:szCs w:val="24"/>
              </w:rPr>
              <m:t>γ</m:t>
            </m:r>
          </m:e>
          <m:sub>
            <m:r>
              <w:rPr>
                <w:rFonts w:ascii="Cambria Math" w:hAnsi="Cambria Math" w:cstheme="majorBidi"/>
                <w:sz w:val="24"/>
                <w:szCs w:val="24"/>
              </w:rPr>
              <m:t>t</m:t>
            </m:r>
          </m:sub>
        </m:sSub>
      </m:oMath>
      <w:r w:rsidRPr="005F4385">
        <w:rPr>
          <w:rFonts w:asciiTheme="majorBidi" w:eastAsiaTheme="minorEastAsia" w:hAnsiTheme="majorBidi" w:cstheme="majorBidi"/>
          <w:sz w:val="24"/>
          <w:szCs w:val="24"/>
        </w:rPr>
        <w:t xml:space="preserve"> are </w:t>
      </w:r>
      <m:oMath>
        <m:sSup>
          <m:sSupPr>
            <m:ctrlPr>
              <w:rPr>
                <w:rFonts w:ascii="Cambria Math" w:eastAsiaTheme="minorEastAsia" w:hAnsi="Cambria Math" w:cstheme="majorBidi"/>
                <w:sz w:val="24"/>
                <w:szCs w:val="24"/>
              </w:rPr>
            </m:ctrlPr>
          </m:sSupPr>
          <m:e>
            <m:r>
              <m:rPr>
                <m:sty m:val="p"/>
              </m:rPr>
              <w:rPr>
                <w:rFonts w:ascii="Cambria Math" w:eastAsiaTheme="minorEastAsia" w:hAnsi="Cambria Math" w:cstheme="majorBidi"/>
                <w:sz w:val="24"/>
                <w:szCs w:val="24"/>
              </w:rPr>
              <m:t>n</m:t>
            </m:r>
          </m:e>
          <m:sup>
            <m:r>
              <w:rPr>
                <w:rFonts w:ascii="Cambria Math" w:eastAsiaTheme="minorEastAsia" w:hAnsi="Cambria Math" w:cstheme="majorBidi"/>
                <w:sz w:val="24"/>
                <w:szCs w:val="24"/>
              </w:rPr>
              <m:t>2</m:t>
            </m:r>
          </m:sup>
        </m:sSup>
        <m:r>
          <w:rPr>
            <w:rFonts w:ascii="Cambria Math" w:eastAsiaTheme="minorEastAsia" w:hAnsi="Cambria Math" w:cstheme="majorBidi"/>
            <w:sz w:val="24"/>
            <w:szCs w:val="24"/>
          </w:rPr>
          <m:t>×1</m:t>
        </m:r>
      </m:oMath>
      <w:r>
        <w:rPr>
          <w:rFonts w:asciiTheme="majorBidi" w:eastAsiaTheme="minorEastAsia" w:hAnsiTheme="majorBidi" w:cstheme="majorBidi"/>
          <w:sz w:val="24"/>
          <w:szCs w:val="24"/>
        </w:rPr>
        <w:t xml:space="preserve"> vectors, whereas </w:t>
      </w:r>
      <m:oMath>
        <m:sSub>
          <m:sSubPr>
            <m:ctrlPr>
              <w:rPr>
                <w:rFonts w:ascii="Cambria Math" w:hAnsi="Cambria Math" w:cstheme="majorBidi"/>
                <w:sz w:val="24"/>
                <w:szCs w:val="24"/>
              </w:rPr>
            </m:ctrlPr>
          </m:sSubPr>
          <m:e>
            <m:r>
              <w:rPr>
                <w:rFonts w:ascii="Cambria Math" w:hAnsi="Cambria Math" w:cstheme="majorBidi"/>
                <w:sz w:val="24"/>
                <w:szCs w:val="24"/>
              </w:rPr>
              <m:t>ε</m:t>
            </m:r>
          </m:e>
          <m:sub>
            <m:r>
              <w:rPr>
                <w:rFonts w:ascii="Cambria Math" w:hAnsi="Cambria Math" w:cstheme="majorBidi"/>
                <w:sz w:val="24"/>
                <w:szCs w:val="24"/>
              </w:rPr>
              <m:t>t</m:t>
            </m:r>
          </m:sub>
        </m:sSub>
      </m:oMath>
      <w:r w:rsidRPr="005F4385">
        <w:rPr>
          <w:rFonts w:asciiTheme="majorBidi" w:eastAsiaTheme="minorEastAsia" w:hAnsiTheme="majorBidi" w:cstheme="majorBidi"/>
          <w:sz w:val="24"/>
          <w:szCs w:val="24"/>
        </w:rPr>
        <w:t xml:space="preserve"> </w:t>
      </w:r>
      <w:r>
        <w:rPr>
          <w:rFonts w:asciiTheme="majorBidi" w:eastAsiaTheme="minorEastAsia" w:hAnsiTheme="majorBidi" w:cstheme="majorBidi"/>
          <w:sz w:val="24"/>
          <w:szCs w:val="24"/>
        </w:rPr>
        <w:t xml:space="preserve"> is a </w:t>
      </w:r>
      <m:oMath>
        <m:sSup>
          <m:sSupPr>
            <m:ctrlPr>
              <w:rPr>
                <w:rFonts w:ascii="Cambria Math" w:eastAsiaTheme="minorEastAsia" w:hAnsi="Cambria Math" w:cstheme="majorBidi"/>
                <w:sz w:val="24"/>
                <w:szCs w:val="24"/>
              </w:rPr>
            </m:ctrlPr>
          </m:sSupPr>
          <m:e>
            <m:r>
              <m:rPr>
                <m:sty m:val="p"/>
              </m:rPr>
              <w:rPr>
                <w:rFonts w:ascii="Cambria Math" w:eastAsiaTheme="minorEastAsia" w:hAnsi="Cambria Math" w:cstheme="majorBidi"/>
                <w:sz w:val="24"/>
                <w:szCs w:val="24"/>
              </w:rPr>
              <m:t>n</m:t>
            </m:r>
          </m:e>
          <m:sup>
            <m:r>
              <w:rPr>
                <w:rFonts w:ascii="Cambria Math" w:eastAsiaTheme="minorEastAsia" w:hAnsi="Cambria Math" w:cstheme="majorBidi"/>
                <w:sz w:val="24"/>
                <w:szCs w:val="24"/>
              </w:rPr>
              <m:t>2</m:t>
            </m:r>
          </m:sup>
        </m:sSup>
        <m:r>
          <w:rPr>
            <w:rFonts w:ascii="Cambria Math" w:eastAsiaTheme="minorEastAsia" w:hAnsi="Cambria Math" w:cstheme="majorBidi"/>
            <w:sz w:val="24"/>
            <w:szCs w:val="24"/>
          </w:rPr>
          <m:t>×</m:t>
        </m:r>
        <m:sSup>
          <m:sSupPr>
            <m:ctrlPr>
              <w:rPr>
                <w:rFonts w:ascii="Cambria Math" w:eastAsiaTheme="minorEastAsia" w:hAnsi="Cambria Math" w:cstheme="majorBidi"/>
                <w:sz w:val="24"/>
                <w:szCs w:val="24"/>
              </w:rPr>
            </m:ctrlPr>
          </m:sSupPr>
          <m:e>
            <m:r>
              <m:rPr>
                <m:sty m:val="p"/>
              </m:rPr>
              <w:rPr>
                <w:rFonts w:ascii="Cambria Math" w:eastAsiaTheme="minorEastAsia" w:hAnsi="Cambria Math" w:cstheme="majorBidi"/>
                <w:sz w:val="24"/>
                <w:szCs w:val="24"/>
              </w:rPr>
              <m:t>n</m:t>
            </m:r>
          </m:e>
          <m:sup>
            <m:r>
              <w:rPr>
                <w:rFonts w:ascii="Cambria Math" w:eastAsiaTheme="minorEastAsia" w:hAnsi="Cambria Math" w:cstheme="majorBidi"/>
                <w:sz w:val="24"/>
                <w:szCs w:val="24"/>
              </w:rPr>
              <m:t>2</m:t>
            </m:r>
          </m:sup>
        </m:sSup>
      </m:oMath>
      <w:r>
        <w:rPr>
          <w:rFonts w:asciiTheme="majorBidi" w:eastAsiaTheme="minorEastAsia" w:hAnsiTheme="majorBidi" w:cstheme="majorBidi"/>
          <w:sz w:val="24"/>
          <w:szCs w:val="24"/>
        </w:rPr>
        <w:t xml:space="preserve"> matrix. Furthermore, </w:t>
      </w:r>
      <m:oMath>
        <m:sSub>
          <m:sSubPr>
            <m:ctrlPr>
              <w:rPr>
                <w:rFonts w:ascii="Cambria Math" w:hAnsi="Cambria Math" w:cstheme="majorBidi"/>
                <w:sz w:val="24"/>
                <w:szCs w:val="24"/>
              </w:rPr>
            </m:ctrlPr>
          </m:sSubPr>
          <m:e>
            <m:r>
              <w:rPr>
                <w:rFonts w:ascii="Cambria Math" w:hAnsi="Cambria Math" w:cstheme="majorBidi"/>
                <w:sz w:val="24"/>
                <w:szCs w:val="24"/>
              </w:rPr>
              <m:t>τ</m:t>
            </m:r>
          </m:e>
          <m:sub>
            <m:r>
              <w:rPr>
                <w:rFonts w:ascii="Cambria Math" w:hAnsi="Cambria Math" w:cstheme="majorBidi"/>
                <w:sz w:val="24"/>
                <w:szCs w:val="24"/>
              </w:rPr>
              <m:t>t</m:t>
            </m:r>
          </m:sub>
        </m:sSub>
      </m:oMath>
      <w:r>
        <w:rPr>
          <w:rFonts w:asciiTheme="majorBidi" w:eastAsiaTheme="minorEastAsia" w:hAnsiTheme="majorBidi" w:cstheme="majorBidi"/>
          <w:sz w:val="24"/>
          <w:szCs w:val="24"/>
        </w:rPr>
        <w:t xml:space="preserve"> and </w:t>
      </w:r>
      <m:oMath>
        <m:sSub>
          <m:sSubPr>
            <m:ctrlPr>
              <w:rPr>
                <w:rFonts w:ascii="Cambria Math" w:hAnsi="Cambria Math" w:cstheme="majorBidi"/>
                <w:sz w:val="24"/>
                <w:szCs w:val="24"/>
              </w:rPr>
            </m:ctrlPr>
          </m:sSubPr>
          <m:e>
            <m:r>
              <w:rPr>
                <w:rFonts w:ascii="Cambria Math" w:hAnsi="Cambria Math" w:cstheme="majorBidi"/>
                <w:sz w:val="24"/>
                <w:szCs w:val="24"/>
              </w:rPr>
              <m:t>ε</m:t>
            </m:r>
          </m:e>
          <m:sub>
            <m:r>
              <w:rPr>
                <w:rFonts w:ascii="Cambria Math" w:hAnsi="Cambria Math" w:cstheme="majorBidi"/>
                <w:sz w:val="24"/>
                <w:szCs w:val="24"/>
              </w:rPr>
              <m:t>t</m:t>
            </m:r>
          </m:sub>
        </m:sSub>
      </m:oMath>
      <w:r w:rsidRPr="005F4385">
        <w:rPr>
          <w:rFonts w:asciiTheme="majorBidi" w:eastAsiaTheme="minorEastAsia" w:hAnsiTheme="majorBidi" w:cstheme="majorBidi"/>
          <w:sz w:val="24"/>
          <w:szCs w:val="24"/>
        </w:rPr>
        <w:t xml:space="preserve"> represent the time-dependent variance-covariance matrix.</w:t>
      </w:r>
    </w:p>
    <w:p w:rsidR="005F4385" w:rsidRDefault="005F4385" w:rsidP="003114E3">
      <w:pPr>
        <w:spacing w:after="0" w:line="480" w:lineRule="auto"/>
        <w:jc w:val="both"/>
        <w:rPr>
          <w:rFonts w:asciiTheme="majorBidi" w:eastAsiaTheme="minorEastAsia" w:hAnsiTheme="majorBidi" w:cstheme="majorBidi"/>
          <w:sz w:val="24"/>
          <w:szCs w:val="24"/>
        </w:rPr>
      </w:pPr>
      <w:r w:rsidRPr="005F4385">
        <w:rPr>
          <w:rFonts w:asciiTheme="majorBidi" w:eastAsiaTheme="minorEastAsia" w:hAnsiTheme="majorBidi" w:cstheme="majorBidi"/>
          <w:sz w:val="24"/>
          <w:szCs w:val="24"/>
        </w:rPr>
        <w:t xml:space="preserve">To assess the pairwise directional </w:t>
      </w:r>
      <w:r w:rsidR="00817BE8">
        <w:rPr>
          <w:rFonts w:asciiTheme="majorBidi" w:eastAsiaTheme="minorEastAsia" w:hAnsiTheme="majorBidi" w:cstheme="majorBidi"/>
          <w:sz w:val="24"/>
          <w:szCs w:val="24"/>
        </w:rPr>
        <w:t xml:space="preserve">connectivity between variables </w:t>
      </w:r>
      <m:oMath>
        <m:d>
          <m:dPr>
            <m:ctrlPr>
              <w:rPr>
                <w:rFonts w:ascii="Cambria Math" w:eastAsiaTheme="minorEastAsia" w:hAnsi="Cambria Math" w:cstheme="majorBidi"/>
                <w:sz w:val="24"/>
                <w:szCs w:val="24"/>
              </w:rPr>
            </m:ctrlPr>
          </m:dPr>
          <m:e>
            <m:r>
              <w:rPr>
                <w:rFonts w:ascii="Cambria Math" w:eastAsiaTheme="minorEastAsia" w:hAnsi="Cambria Math" w:cstheme="majorBidi"/>
                <w:sz w:val="24"/>
                <w:szCs w:val="24"/>
              </w:rPr>
              <m:t>j</m:t>
            </m:r>
          </m:e>
        </m:d>
      </m:oMath>
      <w:r w:rsidR="00817BE8">
        <w:rPr>
          <w:rFonts w:asciiTheme="majorBidi" w:eastAsiaTheme="minorEastAsia" w:hAnsiTheme="majorBidi" w:cstheme="majorBidi"/>
          <w:sz w:val="24"/>
          <w:szCs w:val="24"/>
        </w:rPr>
        <w:t xml:space="preserve"> and </w:t>
      </w:r>
      <m:oMath>
        <m:d>
          <m:dPr>
            <m:ctrlPr>
              <w:rPr>
                <w:rFonts w:ascii="Cambria Math" w:eastAsiaTheme="minorEastAsia" w:hAnsi="Cambria Math" w:cstheme="majorBidi"/>
                <w:sz w:val="24"/>
                <w:szCs w:val="24"/>
              </w:rPr>
            </m:ctrlPr>
          </m:dPr>
          <m:e>
            <m:r>
              <w:rPr>
                <w:rFonts w:ascii="Cambria Math" w:eastAsiaTheme="minorEastAsia" w:hAnsi="Cambria Math" w:cstheme="majorBidi"/>
                <w:sz w:val="24"/>
                <w:szCs w:val="24"/>
              </w:rPr>
              <m:t>i</m:t>
            </m:r>
          </m:e>
        </m:d>
      </m:oMath>
      <w:r w:rsidRPr="005F4385">
        <w:rPr>
          <w:rFonts w:asciiTheme="majorBidi" w:eastAsiaTheme="minorEastAsia" w:hAnsiTheme="majorBidi" w:cstheme="majorBidi"/>
          <w:sz w:val="24"/>
          <w:szCs w:val="24"/>
        </w:rPr>
        <w:t xml:space="preserve">, we calculate the generalized forecast error variance decomposition, or GFEVD, as recommended by </w:t>
      </w:r>
      <w:r w:rsidR="003114E3">
        <w:rPr>
          <w:rFonts w:asciiTheme="majorBidi" w:eastAsiaTheme="minorEastAsia" w:hAnsiTheme="majorBidi" w:cstheme="majorBidi"/>
          <w:sz w:val="24"/>
          <w:szCs w:val="24"/>
        </w:rPr>
        <w:fldChar w:fldCharType="begin" w:fldLock="1"/>
      </w:r>
      <w:r w:rsidR="003114E3">
        <w:rPr>
          <w:rFonts w:asciiTheme="majorBidi" w:eastAsiaTheme="minorEastAsia" w:hAnsiTheme="majorBidi" w:cstheme="majorBidi"/>
          <w:sz w:val="24"/>
          <w:szCs w:val="24"/>
        </w:rPr>
        <w:instrText>ADDIN CSL_CITATION {"citationItems":[{"id":"ITEM-1","itemData":{"DOI":"https://doi.org/10.1016/j.engeos.2023.100257","ISSN":"2666-7592","abstract":"The pursuit of improved quality of life standards has significantly influenced the contemporary mining model in the 21st century. This era is witnessing an unprecedented transformation driven by pressing concerns related to sustainability, climate change, the just energy transition, dynamic operating environments, and complex social challenges. Such transitions present both opportunities and obstacles. The aim of this study is to provide an extensive literature review on energy transition to identify the challenges and strategies associated with navigating transformations in energy systems. Understanding these transformations is particularly critical in the face of the severe consequences of global warming, where an accelerated energy transition is viewed as a universal remedy. Adopting a socio-technological systems perspective, specifically through the application of Actor Network Theory (ANT), this research provides a theoretical foundation while categorising challenges into five distinct domains and outlining strategies across these different dimensions. These insights are specifically tailored for emerging market countries to effectively navigate energy transition while fostering the development of resilient societies. Furthermore, our findings highlight that energy transition encompasses more than a mere technological shift; it entails fundamental changes in various systemic socio-economic imperatives. Through focusing on the role of social structures in transitions, this study makes a significant and innovative contribution to ANT, which has historically been criticised for its limited acknowledgement of social structures. Consequently, we propose an emerging market energy transition framework, which not only addresses technological aspects, but also integrates social considerations. This framework paves the way for future research and exploration of energy transition dynamics. The outcomes of this study offer valuable insights to policymakers, researchers, and practitioners engaged in the mining industry, enabling them to comprehend the multifaceted challenges involved and providing practical strategies for effective resolution. Through incorporating the social dimension into the analysis, we enhance the understanding of the complex nature of energy system transformations, facilitating a more holistic approach towards achieving sustainable and resilient energy transitions in emerging markets and beyond.","author":[{"dropping-particle":"","family":"Chipangamate","given":"Nelson S","non-dropping-particle":"","parse-names":false,"suffix":""},{"dropping-particle":"","family":"Nwaila","given":"Glen T","non-dropping-particle":"","parse-names":false,"suffix":""}],"container-title":"Energy Geoscience","id":"ITEM-1","issue":"2","issued":{"date-parts":[["2024"]]},"page":"100257","title":"Assessment of challenges and strategies for driving energy transitions in emerging markets: A socio-technological systems perspective","type":"article-journal","volume":"5"},"uris":["http://www.mendeley.com/documents/?uuid=cd280193-13f8-4a14-be07-b4d70e41adff"]}],"mendeley":{"formattedCitation":"(Chipangamate &amp; Nwaila, 2024)","plainTextFormattedCitation":"(Chipangamate &amp; Nwaila, 2024)","previouslyFormattedCitation":"(Chipangamate &amp; Nwaila, 2024)"},"properties":{"noteIndex":0},"schema":"https://github.com/citation-style-language/schema/raw/master/csl-citation.json"}</w:instrText>
      </w:r>
      <w:r w:rsidR="003114E3">
        <w:rPr>
          <w:rFonts w:asciiTheme="majorBidi" w:eastAsiaTheme="minorEastAsia" w:hAnsiTheme="majorBidi" w:cstheme="majorBidi"/>
          <w:sz w:val="24"/>
          <w:szCs w:val="24"/>
        </w:rPr>
        <w:fldChar w:fldCharType="separate"/>
      </w:r>
      <w:r w:rsidR="003114E3" w:rsidRPr="003114E3">
        <w:rPr>
          <w:rFonts w:asciiTheme="majorBidi" w:eastAsiaTheme="minorEastAsia" w:hAnsiTheme="majorBidi" w:cstheme="majorBidi"/>
          <w:noProof/>
          <w:sz w:val="24"/>
          <w:szCs w:val="24"/>
        </w:rPr>
        <w:t>(Chipangamate &amp; Nwaila, 2024)</w:t>
      </w:r>
      <w:r w:rsidR="003114E3">
        <w:rPr>
          <w:rFonts w:asciiTheme="majorBidi" w:eastAsiaTheme="minorEastAsia" w:hAnsiTheme="majorBidi" w:cstheme="majorBidi"/>
          <w:sz w:val="24"/>
          <w:szCs w:val="24"/>
        </w:rPr>
        <w:fldChar w:fldCharType="end"/>
      </w:r>
      <w:r w:rsidRPr="005F4385">
        <w:rPr>
          <w:rFonts w:asciiTheme="majorBidi" w:eastAsiaTheme="minorEastAsia" w:hAnsiTheme="majorBidi" w:cstheme="majorBidi"/>
          <w:sz w:val="24"/>
          <w:szCs w:val="24"/>
        </w:rPr>
        <w:t>. This app</w:t>
      </w:r>
      <w:r w:rsidR="00817BE8">
        <w:rPr>
          <w:rFonts w:asciiTheme="majorBidi" w:eastAsiaTheme="minorEastAsia" w:hAnsiTheme="majorBidi" w:cstheme="majorBidi"/>
          <w:sz w:val="24"/>
          <w:szCs w:val="24"/>
        </w:rPr>
        <w:t xml:space="preserve">roach illustrates how variable </w:t>
      </w:r>
      <m:oMath>
        <m:d>
          <m:dPr>
            <m:ctrlPr>
              <w:rPr>
                <w:rFonts w:ascii="Cambria Math" w:eastAsiaTheme="minorEastAsia" w:hAnsi="Cambria Math" w:cstheme="majorBidi"/>
                <w:sz w:val="24"/>
                <w:szCs w:val="24"/>
              </w:rPr>
            </m:ctrlPr>
          </m:dPr>
          <m:e>
            <m:r>
              <w:rPr>
                <w:rFonts w:ascii="Cambria Math" w:eastAsiaTheme="minorEastAsia" w:hAnsi="Cambria Math" w:cstheme="majorBidi"/>
                <w:sz w:val="24"/>
                <w:szCs w:val="24"/>
              </w:rPr>
              <m:t>j</m:t>
            </m:r>
          </m:e>
        </m:d>
      </m:oMath>
      <w:r w:rsidR="00817BE8">
        <w:rPr>
          <w:rFonts w:asciiTheme="majorBidi" w:eastAsiaTheme="minorEastAsia" w:hAnsiTheme="majorBidi" w:cstheme="majorBidi"/>
          <w:sz w:val="24"/>
          <w:szCs w:val="24"/>
        </w:rPr>
        <w:t xml:space="preserve"> affects variable </w:t>
      </w:r>
      <m:oMath>
        <m:d>
          <m:dPr>
            <m:ctrlPr>
              <w:rPr>
                <w:rFonts w:ascii="Cambria Math" w:eastAsiaTheme="minorEastAsia" w:hAnsi="Cambria Math" w:cstheme="majorBidi"/>
                <w:sz w:val="24"/>
                <w:szCs w:val="24"/>
              </w:rPr>
            </m:ctrlPr>
          </m:dPr>
          <m:e>
            <m:r>
              <w:rPr>
                <w:rFonts w:ascii="Cambria Math" w:eastAsiaTheme="minorEastAsia" w:hAnsi="Cambria Math" w:cstheme="majorBidi"/>
                <w:sz w:val="24"/>
                <w:szCs w:val="24"/>
              </w:rPr>
              <m:t>i</m:t>
            </m:r>
          </m:e>
        </m:d>
      </m:oMath>
      <w:r w:rsidRPr="005F4385">
        <w:rPr>
          <w:rFonts w:asciiTheme="majorBidi" w:eastAsiaTheme="minorEastAsia" w:hAnsiTheme="majorBidi" w:cstheme="majorBidi"/>
          <w:sz w:val="24"/>
          <w:szCs w:val="24"/>
        </w:rPr>
        <w:t xml:space="preserve"> in terms of the forecast variance share. The GFEVD is denoted as:</w:t>
      </w:r>
    </w:p>
    <w:p w:rsidR="00817BE8" w:rsidRDefault="00DD48BA" w:rsidP="005F4385">
      <w:pPr>
        <w:spacing w:after="0" w:line="480" w:lineRule="auto"/>
        <w:jc w:val="both"/>
        <w:rPr>
          <w:rFonts w:asciiTheme="majorBidi" w:eastAsiaTheme="minorEastAsia" w:hAnsiTheme="majorBidi" w:cstheme="majorBidi"/>
          <w:sz w:val="24"/>
          <w:szCs w:val="24"/>
        </w:rPr>
      </w:pPr>
      <m:oMath>
        <m:sSub>
          <m:sSubPr>
            <m:ctrlPr>
              <w:rPr>
                <w:rFonts w:ascii="Cambria Math" w:eastAsiaTheme="minorEastAsia" w:hAnsi="Cambria Math" w:cstheme="majorBidi"/>
                <w:sz w:val="24"/>
                <w:szCs w:val="24"/>
              </w:rPr>
            </m:ctrlPr>
          </m:sSubPr>
          <m:e>
            <m:acc>
              <m:accPr>
                <m:chr m:val="̃"/>
                <m:ctrlPr>
                  <w:rPr>
                    <w:rFonts w:ascii="Cambria Math" w:eastAsiaTheme="minorEastAsia" w:hAnsi="Cambria Math" w:cstheme="majorBidi"/>
                    <w:sz w:val="24"/>
                    <w:szCs w:val="24"/>
                  </w:rPr>
                </m:ctrlPr>
              </m:accPr>
              <m:e>
                <m:r>
                  <w:rPr>
                    <w:rFonts w:ascii="Cambria Math" w:eastAsiaTheme="minorEastAsia" w:hAnsi="Cambria Math" w:cstheme="majorBidi"/>
                    <w:sz w:val="24"/>
                    <w:szCs w:val="24"/>
                  </w:rPr>
                  <m:t>θ</m:t>
                </m:r>
              </m:e>
            </m:acc>
          </m:e>
          <m:sub>
            <m:r>
              <w:rPr>
                <w:rFonts w:ascii="Cambria Math" w:eastAsiaTheme="minorEastAsia" w:hAnsi="Cambria Math" w:cstheme="majorBidi"/>
                <w:sz w:val="24"/>
                <w:szCs w:val="24"/>
              </w:rPr>
              <m:t>ij,t</m:t>
            </m:r>
          </m:sub>
        </m:sSub>
        <m:d>
          <m:dPr>
            <m:ctrlPr>
              <w:rPr>
                <w:rFonts w:ascii="Cambria Math" w:eastAsiaTheme="minorEastAsia" w:hAnsi="Cambria Math" w:cstheme="majorBidi"/>
                <w:sz w:val="24"/>
                <w:szCs w:val="24"/>
              </w:rPr>
            </m:ctrlPr>
          </m:dPr>
          <m:e>
            <m:r>
              <w:rPr>
                <w:rFonts w:ascii="Cambria Math" w:eastAsiaTheme="minorEastAsia" w:hAnsi="Cambria Math" w:cstheme="majorBidi"/>
                <w:sz w:val="24"/>
                <w:szCs w:val="24"/>
              </w:rPr>
              <m:t>H</m:t>
            </m:r>
          </m:e>
        </m:d>
        <m:r>
          <w:rPr>
            <w:rFonts w:ascii="Cambria Math" w:eastAsiaTheme="minorEastAsia" w:hAnsi="Cambria Math" w:cstheme="majorBidi"/>
            <w:sz w:val="24"/>
            <w:szCs w:val="24"/>
          </w:rPr>
          <m:t>=</m:t>
        </m:r>
        <m:f>
          <m:fPr>
            <m:ctrlPr>
              <w:rPr>
                <w:rFonts w:ascii="Cambria Math" w:eastAsiaTheme="minorEastAsia" w:hAnsi="Cambria Math" w:cstheme="majorBidi"/>
                <w:sz w:val="24"/>
                <w:szCs w:val="24"/>
              </w:rPr>
            </m:ctrlPr>
          </m:fPr>
          <m:num>
            <m:nary>
              <m:naryPr>
                <m:chr m:val="∑"/>
                <m:limLoc m:val="undOvr"/>
                <m:grow m:val="1"/>
                <m:ctrlPr>
                  <w:rPr>
                    <w:rFonts w:ascii="Cambria Math" w:eastAsiaTheme="minorEastAsia" w:hAnsi="Cambria Math" w:cstheme="majorBidi"/>
                    <w:sz w:val="24"/>
                    <w:szCs w:val="24"/>
                  </w:rPr>
                </m:ctrlPr>
              </m:naryPr>
              <m:sub>
                <m:r>
                  <w:rPr>
                    <w:rFonts w:ascii="Cambria Math" w:eastAsiaTheme="minorEastAsia" w:hAnsi="Cambria Math" w:cstheme="majorBidi"/>
                    <w:sz w:val="24"/>
                    <w:szCs w:val="24"/>
                  </w:rPr>
                  <m:t>t=1</m:t>
                </m:r>
              </m:sub>
              <m:sup>
                <m:r>
                  <w:rPr>
                    <w:rFonts w:ascii="Cambria Math" w:eastAsiaTheme="minorEastAsia" w:hAnsi="Cambria Math" w:cstheme="majorBidi"/>
                    <w:sz w:val="24"/>
                    <w:szCs w:val="24"/>
                  </w:rPr>
                  <m:t>H-1</m:t>
                </m:r>
              </m:sup>
              <m:e>
                <m:r>
                  <w:rPr>
                    <w:rFonts w:ascii="Cambria Math" w:eastAsiaTheme="minorEastAsia" w:hAnsi="Cambria Math" w:cstheme="majorBidi"/>
                    <w:sz w:val="24"/>
                    <w:szCs w:val="24"/>
                  </w:rPr>
                  <m:t xml:space="preserve"> </m:t>
                </m:r>
              </m:e>
            </m:nary>
            <m:sSubSup>
              <m:sSubSupPr>
                <m:ctrlPr>
                  <w:rPr>
                    <w:rFonts w:ascii="Cambria Math" w:eastAsiaTheme="minorEastAsia" w:hAnsi="Cambria Math" w:cstheme="majorBidi"/>
                    <w:sz w:val="24"/>
                    <w:szCs w:val="24"/>
                  </w:rPr>
                </m:ctrlPr>
              </m:sSubSupPr>
              <m:e>
                <m:r>
                  <w:rPr>
                    <w:rFonts w:ascii="Cambria Math" w:eastAsiaTheme="minorEastAsia" w:hAnsi="Cambria Math" w:cstheme="majorBidi"/>
                    <w:sz w:val="24"/>
                    <w:szCs w:val="24"/>
                  </w:rPr>
                  <m:t>ω</m:t>
                </m:r>
              </m:e>
              <m:sub>
                <m:r>
                  <m:rPr>
                    <m:sty m:val="p"/>
                  </m:rPr>
                  <w:rPr>
                    <w:rFonts w:ascii="Cambria Math" w:eastAsiaTheme="minorEastAsia" w:hAnsi="Cambria Math" w:cstheme="majorBidi"/>
                    <w:sz w:val="24"/>
                    <w:szCs w:val="24"/>
                  </w:rPr>
                  <m:t>ij</m:t>
                </m:r>
                <m:r>
                  <w:rPr>
                    <w:rFonts w:ascii="Cambria Math" w:eastAsiaTheme="minorEastAsia" w:hAnsi="Cambria Math" w:cstheme="majorBidi"/>
                    <w:sz w:val="24"/>
                    <w:szCs w:val="24"/>
                  </w:rPr>
                  <m:t>,</m:t>
                </m:r>
                <m:r>
                  <m:rPr>
                    <m:sty m:val="p"/>
                  </m:rPr>
                  <w:rPr>
                    <w:rFonts w:ascii="Cambria Math" w:eastAsiaTheme="minorEastAsia" w:hAnsi="Cambria Math" w:cstheme="majorBidi"/>
                    <w:sz w:val="24"/>
                    <w:szCs w:val="24"/>
                  </w:rPr>
                  <m:t>t</m:t>
                </m:r>
              </m:sub>
              <m:sup>
                <m:r>
                  <w:rPr>
                    <w:rFonts w:ascii="Cambria Math" w:eastAsiaTheme="minorEastAsia" w:hAnsi="Cambria Math" w:cstheme="majorBidi"/>
                    <w:sz w:val="24"/>
                    <w:szCs w:val="24"/>
                  </w:rPr>
                  <m:t>2</m:t>
                </m:r>
              </m:sup>
            </m:sSubSup>
          </m:num>
          <m:den>
            <m:nary>
              <m:naryPr>
                <m:chr m:val="∑"/>
                <m:limLoc m:val="undOvr"/>
                <m:grow m:val="1"/>
                <m:ctrlPr>
                  <w:rPr>
                    <w:rFonts w:ascii="Cambria Math" w:eastAsiaTheme="minorEastAsia" w:hAnsi="Cambria Math" w:cstheme="majorBidi"/>
                    <w:sz w:val="24"/>
                    <w:szCs w:val="24"/>
                  </w:rPr>
                </m:ctrlPr>
              </m:naryPr>
              <m:sub>
                <m:r>
                  <w:rPr>
                    <w:rFonts w:ascii="Cambria Math" w:eastAsiaTheme="minorEastAsia" w:hAnsi="Cambria Math" w:cstheme="majorBidi"/>
                    <w:sz w:val="24"/>
                    <w:szCs w:val="24"/>
                  </w:rPr>
                  <m:t>j=1</m:t>
                </m:r>
              </m:sub>
              <m:sup>
                <m:r>
                  <w:rPr>
                    <w:rFonts w:ascii="Cambria Math" w:eastAsiaTheme="minorEastAsia" w:hAnsi="Cambria Math" w:cstheme="majorBidi"/>
                    <w:sz w:val="24"/>
                    <w:szCs w:val="24"/>
                  </w:rPr>
                  <m:t>n</m:t>
                </m:r>
              </m:sup>
              <m:e>
                <m:r>
                  <w:rPr>
                    <w:rFonts w:ascii="Cambria Math" w:eastAsiaTheme="minorEastAsia" w:hAnsi="Cambria Math" w:cstheme="majorBidi"/>
                    <w:sz w:val="24"/>
                    <w:szCs w:val="24"/>
                  </w:rPr>
                  <m:t xml:space="preserve"> </m:t>
                </m:r>
              </m:e>
            </m:nary>
            <m:nary>
              <m:naryPr>
                <m:chr m:val="∑"/>
                <m:limLoc m:val="undOvr"/>
                <m:grow m:val="1"/>
                <m:ctrlPr>
                  <w:rPr>
                    <w:rFonts w:ascii="Cambria Math" w:eastAsiaTheme="minorEastAsia" w:hAnsi="Cambria Math" w:cstheme="majorBidi"/>
                    <w:sz w:val="24"/>
                    <w:szCs w:val="24"/>
                  </w:rPr>
                </m:ctrlPr>
              </m:naryPr>
              <m:sub>
                <m:r>
                  <w:rPr>
                    <w:rFonts w:ascii="Cambria Math" w:eastAsiaTheme="minorEastAsia" w:hAnsi="Cambria Math" w:cstheme="majorBidi"/>
                    <w:sz w:val="24"/>
                    <w:szCs w:val="24"/>
                  </w:rPr>
                  <m:t>t=1</m:t>
                </m:r>
              </m:sub>
              <m:sup>
                <m:r>
                  <w:rPr>
                    <w:rFonts w:ascii="Cambria Math" w:eastAsiaTheme="minorEastAsia" w:hAnsi="Cambria Math" w:cstheme="majorBidi"/>
                    <w:sz w:val="24"/>
                    <w:szCs w:val="24"/>
                  </w:rPr>
                  <m:t>H-1</m:t>
                </m:r>
              </m:sup>
              <m:e>
                <m:r>
                  <w:rPr>
                    <w:rFonts w:ascii="Cambria Math" w:eastAsiaTheme="minorEastAsia" w:hAnsi="Cambria Math" w:cstheme="majorBidi"/>
                    <w:sz w:val="24"/>
                    <w:szCs w:val="24"/>
                  </w:rPr>
                  <m:t xml:space="preserve"> </m:t>
                </m:r>
              </m:e>
            </m:nary>
            <m:sSubSup>
              <m:sSubSupPr>
                <m:ctrlPr>
                  <w:rPr>
                    <w:rFonts w:ascii="Cambria Math" w:eastAsiaTheme="minorEastAsia" w:hAnsi="Cambria Math" w:cstheme="majorBidi"/>
                    <w:sz w:val="24"/>
                    <w:szCs w:val="24"/>
                  </w:rPr>
                </m:ctrlPr>
              </m:sSubSupPr>
              <m:e>
                <m:r>
                  <w:rPr>
                    <w:rFonts w:ascii="Cambria Math" w:eastAsiaTheme="minorEastAsia" w:hAnsi="Cambria Math" w:cstheme="majorBidi"/>
                    <w:sz w:val="24"/>
                    <w:szCs w:val="24"/>
                  </w:rPr>
                  <m:t>ω</m:t>
                </m:r>
              </m:e>
              <m:sub>
                <m:r>
                  <m:rPr>
                    <m:sty m:val="p"/>
                  </m:rPr>
                  <w:rPr>
                    <w:rFonts w:ascii="Cambria Math" w:eastAsiaTheme="minorEastAsia" w:hAnsi="Cambria Math" w:cstheme="majorBidi"/>
                    <w:sz w:val="24"/>
                    <w:szCs w:val="24"/>
                  </w:rPr>
                  <m:t>ij</m:t>
                </m:r>
                <m:r>
                  <w:rPr>
                    <w:rFonts w:ascii="Cambria Math" w:eastAsiaTheme="minorEastAsia" w:hAnsi="Cambria Math" w:cstheme="majorBidi"/>
                    <w:sz w:val="24"/>
                    <w:szCs w:val="24"/>
                  </w:rPr>
                  <m:t>,</m:t>
                </m:r>
                <m:r>
                  <m:rPr>
                    <m:sty m:val="p"/>
                  </m:rPr>
                  <w:rPr>
                    <w:rFonts w:ascii="Cambria Math" w:eastAsiaTheme="minorEastAsia" w:hAnsi="Cambria Math" w:cstheme="majorBidi"/>
                    <w:sz w:val="24"/>
                    <w:szCs w:val="24"/>
                  </w:rPr>
                  <m:t>t</m:t>
                </m:r>
              </m:sub>
              <m:sup>
                <m:r>
                  <w:rPr>
                    <w:rFonts w:ascii="Cambria Math" w:eastAsiaTheme="minorEastAsia" w:hAnsi="Cambria Math" w:cstheme="majorBidi"/>
                    <w:sz w:val="24"/>
                    <w:szCs w:val="24"/>
                  </w:rPr>
                  <m:t>2</m:t>
                </m:r>
              </m:sup>
            </m:sSubSup>
          </m:den>
        </m:f>
        <m:r>
          <w:rPr>
            <w:rFonts w:ascii="Cambria Math" w:eastAsiaTheme="minorEastAsia" w:hAnsi="Cambria Math" w:cstheme="majorBidi"/>
            <w:sz w:val="24"/>
            <w:szCs w:val="24"/>
          </w:rPr>
          <m:t>,</m:t>
        </m:r>
      </m:oMath>
      <w:r w:rsidR="00817BE8">
        <w:rPr>
          <w:rFonts w:asciiTheme="majorBidi" w:eastAsiaTheme="minorEastAsia" w:hAnsiTheme="majorBidi" w:cstheme="majorBidi"/>
          <w:sz w:val="24"/>
          <w:szCs w:val="24"/>
        </w:rPr>
        <w:t xml:space="preserve">                                                                                                           (3)</w:t>
      </w:r>
    </w:p>
    <w:p w:rsidR="00817BE8" w:rsidRPr="00817BE8" w:rsidRDefault="00817BE8" w:rsidP="003114E3">
      <w:pPr>
        <w:spacing w:after="0" w:line="480" w:lineRule="auto"/>
        <w:jc w:val="both"/>
        <w:rPr>
          <w:rFonts w:asciiTheme="majorBidi" w:eastAsiaTheme="minorEastAsia" w:hAnsiTheme="majorBidi" w:cstheme="majorBidi"/>
          <w:sz w:val="24"/>
          <w:szCs w:val="24"/>
        </w:rPr>
      </w:pPr>
      <w:r w:rsidRPr="00817BE8">
        <w:rPr>
          <w:rFonts w:asciiTheme="majorBidi" w:eastAsiaTheme="minorEastAsia" w:hAnsiTheme="majorBidi" w:cstheme="majorBidi"/>
          <w:sz w:val="24"/>
          <w:szCs w:val="24"/>
        </w:rPr>
        <w:t xml:space="preserve">Where </w:t>
      </w:r>
      <m:oMath>
        <m:nary>
          <m:naryPr>
            <m:chr m:val="∑"/>
            <m:limLoc m:val="subSup"/>
            <m:grow m:val="1"/>
            <m:ctrlPr>
              <w:rPr>
                <w:rFonts w:ascii="Cambria Math" w:eastAsiaTheme="minorEastAsia" w:hAnsi="Cambria Math" w:cstheme="majorBidi"/>
                <w:sz w:val="24"/>
                <w:szCs w:val="24"/>
              </w:rPr>
            </m:ctrlPr>
          </m:naryPr>
          <m:sub>
            <m:r>
              <w:rPr>
                <w:rFonts w:ascii="Cambria Math" w:eastAsiaTheme="minorEastAsia" w:hAnsi="Cambria Math" w:cstheme="majorBidi"/>
                <w:sz w:val="24"/>
                <w:szCs w:val="24"/>
              </w:rPr>
              <m:t>j=1</m:t>
            </m:r>
          </m:sub>
          <m:sup>
            <m:r>
              <w:rPr>
                <w:rFonts w:ascii="Cambria Math" w:eastAsiaTheme="minorEastAsia" w:hAnsi="Cambria Math" w:cstheme="majorBidi"/>
                <w:sz w:val="24"/>
                <w:szCs w:val="24"/>
              </w:rPr>
              <m:t>n</m:t>
            </m:r>
          </m:sup>
          <m:e>
            <m:r>
              <w:rPr>
                <w:rFonts w:ascii="Cambria Math" w:eastAsiaTheme="minorEastAsia" w:hAnsi="Cambria Math" w:cstheme="majorBidi"/>
                <w:sz w:val="24"/>
                <w:szCs w:val="24"/>
              </w:rPr>
              <m:t xml:space="preserve"> </m:t>
            </m:r>
          </m:e>
        </m:nary>
        <m:sSub>
          <m:sSubPr>
            <m:ctrlPr>
              <w:rPr>
                <w:rFonts w:ascii="Cambria Math" w:eastAsiaTheme="minorEastAsia" w:hAnsi="Cambria Math" w:cstheme="majorBidi"/>
                <w:sz w:val="24"/>
                <w:szCs w:val="24"/>
              </w:rPr>
            </m:ctrlPr>
          </m:sSubPr>
          <m:e>
            <m:acc>
              <m:accPr>
                <m:chr m:val="̃"/>
                <m:ctrlPr>
                  <w:rPr>
                    <w:rFonts w:ascii="Cambria Math" w:eastAsiaTheme="minorEastAsia" w:hAnsi="Cambria Math" w:cstheme="majorBidi"/>
                    <w:sz w:val="24"/>
                    <w:szCs w:val="24"/>
                  </w:rPr>
                </m:ctrlPr>
              </m:accPr>
              <m:e>
                <m:r>
                  <w:rPr>
                    <w:rFonts w:ascii="Cambria Math" w:eastAsiaTheme="minorEastAsia" w:hAnsi="Cambria Math" w:cstheme="majorBidi"/>
                    <w:sz w:val="24"/>
                    <w:szCs w:val="24"/>
                  </w:rPr>
                  <m:t>θ</m:t>
                </m:r>
              </m:e>
            </m:acc>
          </m:e>
          <m:sub>
            <m:r>
              <w:rPr>
                <w:rFonts w:ascii="Cambria Math" w:eastAsiaTheme="minorEastAsia" w:hAnsi="Cambria Math" w:cstheme="majorBidi"/>
                <w:sz w:val="24"/>
                <w:szCs w:val="24"/>
              </w:rPr>
              <m:t>ij,t</m:t>
            </m:r>
          </m:sub>
        </m:sSub>
        <m:d>
          <m:dPr>
            <m:ctrlPr>
              <w:rPr>
                <w:rFonts w:ascii="Cambria Math" w:eastAsiaTheme="minorEastAsia" w:hAnsi="Cambria Math" w:cstheme="majorBidi"/>
                <w:sz w:val="24"/>
                <w:szCs w:val="24"/>
              </w:rPr>
            </m:ctrlPr>
          </m:dPr>
          <m:e>
            <m:r>
              <w:rPr>
                <w:rFonts w:ascii="Cambria Math" w:eastAsiaTheme="minorEastAsia" w:hAnsi="Cambria Math" w:cstheme="majorBidi"/>
                <w:sz w:val="24"/>
                <w:szCs w:val="24"/>
              </w:rPr>
              <m:t>H</m:t>
            </m:r>
          </m:e>
        </m:d>
        <m:r>
          <w:rPr>
            <w:rFonts w:ascii="Cambria Math" w:eastAsiaTheme="minorEastAsia" w:hAnsi="Cambria Math" w:cstheme="majorBidi"/>
            <w:sz w:val="24"/>
            <w:szCs w:val="24"/>
          </w:rPr>
          <m:t>=1</m:t>
        </m:r>
      </m:oMath>
      <w:r w:rsidRPr="00817BE8">
        <w:rPr>
          <w:rFonts w:asciiTheme="majorBidi" w:eastAsiaTheme="minorEastAsia" w:hAnsiTheme="majorBidi" w:cstheme="majorBidi"/>
          <w:sz w:val="24"/>
          <w:szCs w:val="24"/>
        </w:rPr>
        <w:t xml:space="preserve"> and </w:t>
      </w:r>
      <m:oMath>
        <m:nary>
          <m:naryPr>
            <m:chr m:val="∑"/>
            <m:limLoc m:val="subSup"/>
            <m:grow m:val="1"/>
            <m:ctrlPr>
              <w:rPr>
                <w:rFonts w:ascii="Cambria Math" w:eastAsiaTheme="minorEastAsia" w:hAnsi="Cambria Math" w:cstheme="majorBidi"/>
                <w:sz w:val="24"/>
                <w:szCs w:val="24"/>
              </w:rPr>
            </m:ctrlPr>
          </m:naryPr>
          <m:sub>
            <m:r>
              <w:rPr>
                <w:rFonts w:ascii="Cambria Math" w:eastAsiaTheme="minorEastAsia" w:hAnsi="Cambria Math" w:cstheme="majorBidi"/>
                <w:sz w:val="24"/>
                <w:szCs w:val="24"/>
              </w:rPr>
              <m:t>i,j=1</m:t>
            </m:r>
          </m:sub>
          <m:sup>
            <m:r>
              <w:rPr>
                <w:rFonts w:ascii="Cambria Math" w:eastAsiaTheme="minorEastAsia" w:hAnsi="Cambria Math" w:cstheme="majorBidi"/>
                <w:sz w:val="24"/>
                <w:szCs w:val="24"/>
              </w:rPr>
              <m:t>n</m:t>
            </m:r>
          </m:sup>
          <m:e>
            <m:r>
              <w:rPr>
                <w:rFonts w:ascii="Cambria Math" w:eastAsiaTheme="minorEastAsia" w:hAnsi="Cambria Math" w:cstheme="majorBidi"/>
                <w:sz w:val="24"/>
                <w:szCs w:val="24"/>
              </w:rPr>
              <m:t xml:space="preserve"> </m:t>
            </m:r>
          </m:e>
        </m:nary>
        <m:sSub>
          <m:sSubPr>
            <m:ctrlPr>
              <w:rPr>
                <w:rFonts w:ascii="Cambria Math" w:eastAsiaTheme="minorEastAsia" w:hAnsi="Cambria Math" w:cstheme="majorBidi"/>
                <w:sz w:val="24"/>
                <w:szCs w:val="24"/>
              </w:rPr>
            </m:ctrlPr>
          </m:sSubPr>
          <m:e>
            <m:acc>
              <m:accPr>
                <m:chr m:val="̃"/>
                <m:ctrlPr>
                  <w:rPr>
                    <w:rFonts w:ascii="Cambria Math" w:eastAsiaTheme="minorEastAsia" w:hAnsi="Cambria Math" w:cstheme="majorBidi"/>
                    <w:sz w:val="24"/>
                    <w:szCs w:val="24"/>
                  </w:rPr>
                </m:ctrlPr>
              </m:accPr>
              <m:e>
                <m:r>
                  <w:rPr>
                    <w:rFonts w:ascii="Cambria Math" w:eastAsiaTheme="minorEastAsia" w:hAnsi="Cambria Math" w:cstheme="majorBidi"/>
                    <w:sz w:val="24"/>
                    <w:szCs w:val="24"/>
                  </w:rPr>
                  <m:t>θ</m:t>
                </m:r>
              </m:e>
            </m:acc>
          </m:e>
          <m:sub>
            <m:r>
              <w:rPr>
                <w:rFonts w:ascii="Cambria Math" w:eastAsiaTheme="minorEastAsia" w:hAnsi="Cambria Math" w:cstheme="majorBidi"/>
                <w:sz w:val="24"/>
                <w:szCs w:val="24"/>
              </w:rPr>
              <m:t>ij,t</m:t>
            </m:r>
          </m:sub>
        </m:sSub>
        <m:d>
          <m:dPr>
            <m:ctrlPr>
              <w:rPr>
                <w:rFonts w:ascii="Cambria Math" w:eastAsiaTheme="minorEastAsia" w:hAnsi="Cambria Math" w:cstheme="majorBidi"/>
                <w:sz w:val="24"/>
                <w:szCs w:val="24"/>
              </w:rPr>
            </m:ctrlPr>
          </m:dPr>
          <m:e>
            <m:r>
              <w:rPr>
                <w:rFonts w:ascii="Cambria Math" w:eastAsiaTheme="minorEastAsia" w:hAnsi="Cambria Math" w:cstheme="majorBidi"/>
                <w:sz w:val="24"/>
                <w:szCs w:val="24"/>
              </w:rPr>
              <m:t>H</m:t>
            </m:r>
          </m:e>
        </m:d>
        <m:r>
          <w:rPr>
            <w:rFonts w:ascii="Cambria Math" w:eastAsiaTheme="minorEastAsia" w:hAnsi="Cambria Math" w:cstheme="majorBidi"/>
            <w:sz w:val="24"/>
            <w:szCs w:val="24"/>
          </w:rPr>
          <m:t>=n</m:t>
        </m:r>
      </m:oMath>
      <w:r w:rsidRPr="00817BE8">
        <w:rPr>
          <w:rFonts w:asciiTheme="majorBidi" w:eastAsiaTheme="minorEastAsia" w:hAnsiTheme="majorBidi" w:cstheme="majorBidi"/>
          <w:sz w:val="24"/>
          <w:szCs w:val="24"/>
        </w:rPr>
        <w:t xml:space="preserve"> are the values. Based on recent investigations </w:t>
      </w:r>
      <w:r w:rsidR="003114E3">
        <w:rPr>
          <w:rFonts w:asciiTheme="majorBidi" w:eastAsiaTheme="minorEastAsia" w:hAnsiTheme="majorBidi" w:cstheme="majorBidi"/>
          <w:sz w:val="24"/>
          <w:szCs w:val="24"/>
        </w:rPr>
        <w:fldChar w:fldCharType="begin" w:fldLock="1"/>
      </w:r>
      <w:r w:rsidR="003114E3">
        <w:rPr>
          <w:rFonts w:asciiTheme="majorBidi" w:eastAsiaTheme="minorEastAsia" w:hAnsiTheme="majorBidi" w:cstheme="majorBidi"/>
          <w:sz w:val="24"/>
          <w:szCs w:val="24"/>
        </w:rPr>
        <w:instrText>ADDIN CSL_CITATION {"citationItems":[{"id":"ITEM-1","itemData":{"DOI":"10.1016/J.JENVMAN.2014.07.017","ISSN":"10958630","PMID":"25124789","abstract":"The environmental costs of economic development have received increasing attention during the last years. According to the World Energy Outlook (2013) sustainable energy policies should be promoted in order to spur economic growth and environmental protection in a global context, particularly in terms of reducing greenhouse gas emissions that contribute to climate change. Within this framework, the European Union aims to achieve the \"20-20-20\" targets, including a 20% reduction in EU greenhouse gas emissions from 1990 levels, a raise in the share of EU energy consumption produced from renewable resources to 20% and a 20% improvement in the EU's energy efficiency. Furthermore, the EU \"Energy Roadmap 2050\" has been recently adopted as a basis for developing a long-term European energy framework, fighting against climate change through the implementation of energy efficiency measures and the reduction of emissions. This paper focuses on the European context and attempts to explain the impact of economic growth on CO2 emissions through the estimation of an Environmental Kuznets Curve (EKC) using panel data. Moreover, since energy seems to be at the heart of the environmental problem it should also form the core of the solution, and therefore we provide some extensions of the EKC by including renewable energy sources as explanatory variables in the proposed models. Our data sets are referred to the 27 countries of the European Union during the period 1996-2010. With this information, our empirical results provide some interesting evidence about the significant impacts of renewable energies on CO2 emissions, suggesting the existence of an extended EKC. © 2014 Elsevier Ltd.","author":[{"dropping-particle":"","family":"López-Menéndez","given":"Ana Jesús","non-dropping-particle":"","parse-names":false,"suffix":""},{"dropping-particle":"","family":"Pérez","given":"Rigoberto","non-dropping-particle":"","parse-names":false,"suffix":""},{"dropping-particle":"","family":"Moreno","given":"Blanca","non-dropping-particle":"","parse-names":false,"suffix":""}],"container-title":"Journal of Environmental Management","id":"ITEM-1","issued":{"date-parts":[["2014","12"]]},"page":"368-373","publisher":"Academic Press","title":"Environmental costs and renewable energy: Re-visiting the Environmental Kuznets Curve","type":"article-journal","volume":"145"},"uris":["http://www.mendeley.com/documents/?uuid=27b9242f-ac79-4387-b86c-f39d28b4a491"]}],"mendeley":{"formattedCitation":"(López-Menéndez et al., 2014)","plainTextFormattedCitation":"(López-Menéndez et al., 2014)","previouslyFormattedCitation":"(López-Menéndez et al., 2014)"},"properties":{"noteIndex":0},"schema":"https://github.com/citation-style-language/schema/raw/master/csl-citation.json"}</w:instrText>
      </w:r>
      <w:r w:rsidR="003114E3">
        <w:rPr>
          <w:rFonts w:asciiTheme="majorBidi" w:eastAsiaTheme="minorEastAsia" w:hAnsiTheme="majorBidi" w:cstheme="majorBidi"/>
          <w:sz w:val="24"/>
          <w:szCs w:val="24"/>
        </w:rPr>
        <w:fldChar w:fldCharType="separate"/>
      </w:r>
      <w:r w:rsidR="003114E3" w:rsidRPr="003114E3">
        <w:rPr>
          <w:rFonts w:asciiTheme="majorBidi" w:eastAsiaTheme="minorEastAsia" w:hAnsiTheme="majorBidi" w:cstheme="majorBidi"/>
          <w:noProof/>
          <w:sz w:val="24"/>
          <w:szCs w:val="24"/>
        </w:rPr>
        <w:t>(López-Menéndez et al., 2014)</w:t>
      </w:r>
      <w:r w:rsidR="003114E3">
        <w:rPr>
          <w:rFonts w:asciiTheme="majorBidi" w:eastAsiaTheme="minorEastAsia" w:hAnsiTheme="majorBidi" w:cstheme="majorBidi"/>
          <w:sz w:val="24"/>
          <w:szCs w:val="24"/>
        </w:rPr>
        <w:fldChar w:fldCharType="end"/>
      </w:r>
      <w:r w:rsidRPr="00817BE8">
        <w:rPr>
          <w:rFonts w:asciiTheme="majorBidi" w:eastAsiaTheme="minorEastAsia" w:hAnsiTheme="majorBidi" w:cstheme="majorBidi"/>
          <w:sz w:val="24"/>
          <w:szCs w:val="24"/>
        </w:rPr>
        <w:t xml:space="preserve">, we establish H = 10. Furthermore, the numerator represents the </w:t>
      </w:r>
      <w:r w:rsidRPr="00817BE8">
        <w:rPr>
          <w:rFonts w:asciiTheme="majorBidi" w:eastAsiaTheme="minorEastAsia" w:hAnsiTheme="majorBidi" w:cstheme="majorBidi"/>
          <w:sz w:val="24"/>
          <w:szCs w:val="24"/>
        </w:rPr>
        <w:lastRenderedPageBreak/>
        <w:t>aggregate effect of the shock to variable i. The total connectedness index (TCI) is calculated using the aforementioned equation.</w:t>
      </w:r>
    </w:p>
    <w:p w:rsidR="00817BE8" w:rsidRDefault="00DD48BA" w:rsidP="00817BE8">
      <w:pPr>
        <w:spacing w:after="0" w:line="480" w:lineRule="auto"/>
        <w:jc w:val="both"/>
        <w:rPr>
          <w:rFonts w:asciiTheme="majorBidi" w:eastAsiaTheme="minorEastAsia" w:hAnsiTheme="majorBidi" w:cstheme="majorBidi"/>
          <w:sz w:val="24"/>
          <w:szCs w:val="24"/>
        </w:rPr>
      </w:pPr>
      <m:oMath>
        <m:sSub>
          <m:sSubPr>
            <m:ctrlPr>
              <w:rPr>
                <w:rFonts w:ascii="Cambria Math" w:eastAsiaTheme="minorEastAsia" w:hAnsi="Cambria Math" w:cstheme="majorBidi"/>
                <w:sz w:val="24"/>
                <w:szCs w:val="24"/>
              </w:rPr>
            </m:ctrlPr>
          </m:sSubPr>
          <m:e>
            <m:r>
              <w:rPr>
                <w:rFonts w:ascii="Cambria Math" w:eastAsiaTheme="minorEastAsia" w:hAnsi="Cambria Math" w:cstheme="majorBidi"/>
                <w:sz w:val="24"/>
                <w:szCs w:val="24"/>
              </w:rPr>
              <m:t>T</m:t>
            </m:r>
          </m:e>
          <m:sub>
            <m:r>
              <w:rPr>
                <w:rFonts w:ascii="Cambria Math" w:eastAsiaTheme="minorEastAsia" w:hAnsi="Cambria Math" w:cstheme="majorBidi"/>
                <w:sz w:val="24"/>
                <w:szCs w:val="24"/>
              </w:rPr>
              <m:t>t</m:t>
            </m:r>
          </m:sub>
        </m:sSub>
        <m:d>
          <m:dPr>
            <m:ctrlPr>
              <w:rPr>
                <w:rFonts w:ascii="Cambria Math" w:eastAsiaTheme="minorEastAsia" w:hAnsi="Cambria Math" w:cstheme="majorBidi"/>
                <w:sz w:val="24"/>
                <w:szCs w:val="24"/>
              </w:rPr>
            </m:ctrlPr>
          </m:dPr>
          <m:e>
            <m:r>
              <w:rPr>
                <w:rFonts w:ascii="Cambria Math" w:eastAsiaTheme="minorEastAsia" w:hAnsi="Cambria Math" w:cstheme="majorBidi"/>
                <w:sz w:val="24"/>
                <w:szCs w:val="24"/>
              </w:rPr>
              <m:t>H</m:t>
            </m:r>
          </m:e>
        </m:d>
        <m:r>
          <w:rPr>
            <w:rFonts w:ascii="Cambria Math" w:eastAsiaTheme="minorEastAsia" w:hAnsi="Cambria Math" w:cstheme="majorBidi"/>
            <w:sz w:val="24"/>
            <w:szCs w:val="24"/>
          </w:rPr>
          <m:t>=</m:t>
        </m:r>
        <m:f>
          <m:fPr>
            <m:ctrlPr>
              <w:rPr>
                <w:rFonts w:ascii="Cambria Math" w:eastAsiaTheme="minorEastAsia" w:hAnsi="Cambria Math" w:cstheme="majorBidi"/>
                <w:sz w:val="24"/>
                <w:szCs w:val="24"/>
              </w:rPr>
            </m:ctrlPr>
          </m:fPr>
          <m:num>
            <m:nary>
              <m:naryPr>
                <m:chr m:val="∑"/>
                <m:limLoc m:val="undOvr"/>
                <m:grow m:val="1"/>
                <m:ctrlPr>
                  <w:rPr>
                    <w:rFonts w:ascii="Cambria Math" w:eastAsiaTheme="minorEastAsia" w:hAnsi="Cambria Math" w:cstheme="majorBidi"/>
                    <w:sz w:val="24"/>
                    <w:szCs w:val="24"/>
                  </w:rPr>
                </m:ctrlPr>
              </m:naryPr>
              <m:sub>
                <m:r>
                  <w:rPr>
                    <w:rFonts w:ascii="Cambria Math" w:eastAsiaTheme="minorEastAsia" w:hAnsi="Cambria Math" w:cstheme="majorBidi"/>
                    <w:sz w:val="24"/>
                    <w:szCs w:val="24"/>
                  </w:rPr>
                  <m:t>i,j=1,i+j</m:t>
                </m:r>
              </m:sub>
              <m:sup>
                <m:r>
                  <w:rPr>
                    <w:rFonts w:ascii="Cambria Math" w:eastAsiaTheme="minorEastAsia" w:hAnsi="Cambria Math" w:cstheme="majorBidi"/>
                    <w:sz w:val="24"/>
                    <w:szCs w:val="24"/>
                  </w:rPr>
                  <m:t>n</m:t>
                </m:r>
              </m:sup>
              <m:e>
                <m:r>
                  <w:rPr>
                    <w:rFonts w:ascii="Cambria Math" w:eastAsiaTheme="minorEastAsia" w:hAnsi="Cambria Math" w:cstheme="majorBidi"/>
                    <w:sz w:val="24"/>
                    <w:szCs w:val="24"/>
                  </w:rPr>
                  <m:t xml:space="preserve"> </m:t>
                </m:r>
              </m:e>
            </m:nary>
            <m:sSub>
              <m:sSubPr>
                <m:ctrlPr>
                  <w:rPr>
                    <w:rFonts w:ascii="Cambria Math" w:eastAsiaTheme="minorEastAsia" w:hAnsi="Cambria Math" w:cstheme="majorBidi"/>
                    <w:sz w:val="24"/>
                    <w:szCs w:val="24"/>
                  </w:rPr>
                </m:ctrlPr>
              </m:sSubPr>
              <m:e>
                <m:acc>
                  <m:accPr>
                    <m:chr m:val="̃"/>
                    <m:ctrlPr>
                      <w:rPr>
                        <w:rFonts w:ascii="Cambria Math" w:eastAsiaTheme="minorEastAsia" w:hAnsi="Cambria Math" w:cstheme="majorBidi"/>
                        <w:sz w:val="24"/>
                        <w:szCs w:val="24"/>
                      </w:rPr>
                    </m:ctrlPr>
                  </m:accPr>
                  <m:e>
                    <m:r>
                      <w:rPr>
                        <w:rFonts w:ascii="Cambria Math" w:eastAsiaTheme="minorEastAsia" w:hAnsi="Cambria Math" w:cstheme="majorBidi"/>
                        <w:sz w:val="24"/>
                        <w:szCs w:val="24"/>
                      </w:rPr>
                      <m:t>θ</m:t>
                    </m:r>
                  </m:e>
                </m:acc>
              </m:e>
              <m:sub>
                <m:r>
                  <w:rPr>
                    <w:rFonts w:ascii="Cambria Math" w:eastAsiaTheme="minorEastAsia" w:hAnsi="Cambria Math" w:cstheme="majorBidi"/>
                    <w:sz w:val="24"/>
                    <w:szCs w:val="24"/>
                  </w:rPr>
                  <m:t>ij,t</m:t>
                </m:r>
              </m:sub>
            </m:sSub>
            <m:d>
              <m:dPr>
                <m:ctrlPr>
                  <w:rPr>
                    <w:rFonts w:ascii="Cambria Math" w:eastAsiaTheme="minorEastAsia" w:hAnsi="Cambria Math" w:cstheme="majorBidi"/>
                    <w:sz w:val="24"/>
                    <w:szCs w:val="24"/>
                  </w:rPr>
                </m:ctrlPr>
              </m:dPr>
              <m:e>
                <m:r>
                  <w:rPr>
                    <w:rFonts w:ascii="Cambria Math" w:eastAsiaTheme="minorEastAsia" w:hAnsi="Cambria Math" w:cstheme="majorBidi"/>
                    <w:sz w:val="24"/>
                    <w:szCs w:val="24"/>
                  </w:rPr>
                  <m:t>H</m:t>
                </m:r>
              </m:e>
            </m:d>
          </m:num>
          <m:den>
            <m:nary>
              <m:naryPr>
                <m:chr m:val="∑"/>
                <m:limLoc m:val="undOvr"/>
                <m:grow m:val="1"/>
                <m:ctrlPr>
                  <w:rPr>
                    <w:rFonts w:ascii="Cambria Math" w:eastAsiaTheme="minorEastAsia" w:hAnsi="Cambria Math" w:cstheme="majorBidi"/>
                    <w:sz w:val="24"/>
                    <w:szCs w:val="24"/>
                  </w:rPr>
                </m:ctrlPr>
              </m:naryPr>
              <m:sub>
                <m:r>
                  <w:rPr>
                    <w:rFonts w:ascii="Cambria Math" w:eastAsiaTheme="minorEastAsia" w:hAnsi="Cambria Math" w:cstheme="majorBidi"/>
                    <w:sz w:val="24"/>
                    <w:szCs w:val="24"/>
                  </w:rPr>
                  <m:t>i,j=1</m:t>
                </m:r>
              </m:sub>
              <m:sup>
                <m:r>
                  <w:rPr>
                    <w:rFonts w:ascii="Cambria Math" w:eastAsiaTheme="minorEastAsia" w:hAnsi="Cambria Math" w:cstheme="majorBidi"/>
                    <w:sz w:val="24"/>
                    <w:szCs w:val="24"/>
                  </w:rPr>
                  <m:t>n</m:t>
                </m:r>
              </m:sup>
              <m:e>
                <m:r>
                  <w:rPr>
                    <w:rFonts w:ascii="Cambria Math" w:eastAsiaTheme="minorEastAsia" w:hAnsi="Cambria Math" w:cstheme="majorBidi"/>
                    <w:sz w:val="24"/>
                    <w:szCs w:val="24"/>
                  </w:rPr>
                  <m:t xml:space="preserve"> </m:t>
                </m:r>
              </m:e>
            </m:nary>
            <m:sSub>
              <m:sSubPr>
                <m:ctrlPr>
                  <w:rPr>
                    <w:rFonts w:ascii="Cambria Math" w:eastAsiaTheme="minorEastAsia" w:hAnsi="Cambria Math" w:cstheme="majorBidi"/>
                    <w:sz w:val="24"/>
                    <w:szCs w:val="24"/>
                  </w:rPr>
                </m:ctrlPr>
              </m:sSubPr>
              <m:e>
                <m:acc>
                  <m:accPr>
                    <m:chr m:val="̃"/>
                    <m:ctrlPr>
                      <w:rPr>
                        <w:rFonts w:ascii="Cambria Math" w:eastAsiaTheme="minorEastAsia" w:hAnsi="Cambria Math" w:cstheme="majorBidi"/>
                        <w:sz w:val="24"/>
                        <w:szCs w:val="24"/>
                      </w:rPr>
                    </m:ctrlPr>
                  </m:accPr>
                  <m:e>
                    <m:r>
                      <w:rPr>
                        <w:rFonts w:ascii="Cambria Math" w:eastAsiaTheme="minorEastAsia" w:hAnsi="Cambria Math" w:cstheme="majorBidi"/>
                        <w:sz w:val="24"/>
                        <w:szCs w:val="24"/>
                      </w:rPr>
                      <m:t>θ</m:t>
                    </m:r>
                  </m:e>
                </m:acc>
              </m:e>
              <m:sub>
                <m:r>
                  <w:rPr>
                    <w:rFonts w:ascii="Cambria Math" w:eastAsiaTheme="minorEastAsia" w:hAnsi="Cambria Math" w:cstheme="majorBidi"/>
                    <w:sz w:val="24"/>
                    <w:szCs w:val="24"/>
                  </w:rPr>
                  <m:t>ij,t</m:t>
                </m:r>
              </m:sub>
            </m:sSub>
            <m:d>
              <m:dPr>
                <m:ctrlPr>
                  <w:rPr>
                    <w:rFonts w:ascii="Cambria Math" w:eastAsiaTheme="minorEastAsia" w:hAnsi="Cambria Math" w:cstheme="majorBidi"/>
                    <w:sz w:val="24"/>
                    <w:szCs w:val="24"/>
                  </w:rPr>
                </m:ctrlPr>
              </m:dPr>
              <m:e>
                <m:r>
                  <w:rPr>
                    <w:rFonts w:ascii="Cambria Math" w:eastAsiaTheme="minorEastAsia" w:hAnsi="Cambria Math" w:cstheme="majorBidi"/>
                    <w:sz w:val="24"/>
                    <w:szCs w:val="24"/>
                  </w:rPr>
                  <m:t>H</m:t>
                </m:r>
              </m:e>
            </m:d>
          </m:den>
        </m:f>
        <m:r>
          <w:rPr>
            <w:rFonts w:ascii="Cambria Math" w:eastAsiaTheme="minorEastAsia" w:hAnsi="Cambria Math" w:cstheme="majorBidi"/>
            <w:sz w:val="24"/>
            <w:szCs w:val="24"/>
          </w:rPr>
          <m:t>=</m:t>
        </m:r>
        <m:f>
          <m:fPr>
            <m:ctrlPr>
              <w:rPr>
                <w:rFonts w:ascii="Cambria Math" w:eastAsiaTheme="minorEastAsia" w:hAnsi="Cambria Math" w:cstheme="majorBidi"/>
                <w:sz w:val="24"/>
                <w:szCs w:val="24"/>
              </w:rPr>
            </m:ctrlPr>
          </m:fPr>
          <m:num>
            <m:nary>
              <m:naryPr>
                <m:chr m:val="∑"/>
                <m:limLoc m:val="undOvr"/>
                <m:grow m:val="1"/>
                <m:ctrlPr>
                  <w:rPr>
                    <w:rFonts w:ascii="Cambria Math" w:eastAsiaTheme="minorEastAsia" w:hAnsi="Cambria Math" w:cstheme="majorBidi"/>
                    <w:sz w:val="24"/>
                    <w:szCs w:val="24"/>
                  </w:rPr>
                </m:ctrlPr>
              </m:naryPr>
              <m:sub>
                <m:r>
                  <w:rPr>
                    <w:rFonts w:ascii="Cambria Math" w:eastAsiaTheme="minorEastAsia" w:hAnsi="Cambria Math" w:cstheme="majorBidi"/>
                    <w:sz w:val="24"/>
                    <w:szCs w:val="24"/>
                  </w:rPr>
                  <m:t>i,j=1,i,j</m:t>
                </m:r>
              </m:sub>
              <m:sup>
                <m:r>
                  <w:rPr>
                    <w:rFonts w:ascii="Cambria Math" w:eastAsiaTheme="minorEastAsia" w:hAnsi="Cambria Math" w:cstheme="majorBidi"/>
                    <w:sz w:val="24"/>
                    <w:szCs w:val="24"/>
                  </w:rPr>
                  <m:t>n</m:t>
                </m:r>
              </m:sup>
              <m:e>
                <m:r>
                  <w:rPr>
                    <w:rFonts w:ascii="Cambria Math" w:eastAsiaTheme="minorEastAsia" w:hAnsi="Cambria Math" w:cstheme="majorBidi"/>
                    <w:sz w:val="24"/>
                    <w:szCs w:val="24"/>
                  </w:rPr>
                  <m:t xml:space="preserve"> </m:t>
                </m:r>
              </m:e>
            </m:nary>
            <m:sSub>
              <m:sSubPr>
                <m:ctrlPr>
                  <w:rPr>
                    <w:rFonts w:ascii="Cambria Math" w:eastAsiaTheme="minorEastAsia" w:hAnsi="Cambria Math" w:cstheme="majorBidi"/>
                    <w:sz w:val="24"/>
                    <w:szCs w:val="24"/>
                  </w:rPr>
                </m:ctrlPr>
              </m:sSubPr>
              <m:e>
                <m:acc>
                  <m:accPr>
                    <m:chr m:val="̃"/>
                    <m:ctrlPr>
                      <w:rPr>
                        <w:rFonts w:ascii="Cambria Math" w:eastAsiaTheme="minorEastAsia" w:hAnsi="Cambria Math" w:cstheme="majorBidi"/>
                        <w:sz w:val="24"/>
                        <w:szCs w:val="24"/>
                      </w:rPr>
                    </m:ctrlPr>
                  </m:accPr>
                  <m:e>
                    <m:r>
                      <w:rPr>
                        <w:rFonts w:ascii="Cambria Math" w:eastAsiaTheme="minorEastAsia" w:hAnsi="Cambria Math" w:cstheme="majorBidi"/>
                        <w:sz w:val="24"/>
                        <w:szCs w:val="24"/>
                      </w:rPr>
                      <m:t>θ</m:t>
                    </m:r>
                  </m:e>
                </m:acc>
              </m:e>
              <m:sub>
                <m:r>
                  <w:rPr>
                    <w:rFonts w:ascii="Cambria Math" w:eastAsiaTheme="minorEastAsia" w:hAnsi="Cambria Math" w:cstheme="majorBidi"/>
                    <w:sz w:val="24"/>
                    <w:szCs w:val="24"/>
                  </w:rPr>
                  <m:t>ij,t</m:t>
                </m:r>
              </m:sub>
            </m:sSub>
            <m:d>
              <m:dPr>
                <m:ctrlPr>
                  <w:rPr>
                    <w:rFonts w:ascii="Cambria Math" w:eastAsiaTheme="minorEastAsia" w:hAnsi="Cambria Math" w:cstheme="majorBidi"/>
                    <w:sz w:val="24"/>
                    <w:szCs w:val="24"/>
                  </w:rPr>
                </m:ctrlPr>
              </m:dPr>
              <m:e>
                <m:r>
                  <w:rPr>
                    <w:rFonts w:ascii="Cambria Math" w:eastAsiaTheme="minorEastAsia" w:hAnsi="Cambria Math" w:cstheme="majorBidi"/>
                    <w:sz w:val="24"/>
                    <w:szCs w:val="24"/>
                  </w:rPr>
                  <m:t>H</m:t>
                </m:r>
              </m:e>
            </m:d>
          </m:num>
          <m:den>
            <m:r>
              <w:rPr>
                <w:rFonts w:ascii="Cambria Math" w:eastAsiaTheme="minorEastAsia" w:hAnsi="Cambria Math" w:cstheme="majorBidi"/>
                <w:sz w:val="24"/>
                <w:szCs w:val="24"/>
              </w:rPr>
              <m:t>n</m:t>
            </m:r>
          </m:den>
        </m:f>
        <m:r>
          <w:rPr>
            <w:rFonts w:ascii="Cambria Math" w:eastAsiaTheme="minorEastAsia" w:hAnsi="Cambria Math" w:cstheme="majorBidi"/>
            <w:sz w:val="24"/>
            <w:szCs w:val="24"/>
          </w:rPr>
          <m:t>.</m:t>
        </m:r>
      </m:oMath>
      <w:r w:rsidR="00817BE8">
        <w:rPr>
          <w:rFonts w:asciiTheme="majorBidi" w:eastAsiaTheme="minorEastAsia" w:hAnsiTheme="majorBidi" w:cstheme="majorBidi"/>
          <w:sz w:val="24"/>
          <w:szCs w:val="24"/>
        </w:rPr>
        <w:t xml:space="preserve">                                                                                   (4)</w:t>
      </w:r>
    </w:p>
    <w:p w:rsidR="00817BE8" w:rsidRDefault="00817BE8" w:rsidP="00817BE8">
      <w:pPr>
        <w:spacing w:after="0" w:line="480" w:lineRule="auto"/>
        <w:jc w:val="both"/>
        <w:rPr>
          <w:rFonts w:asciiTheme="majorBidi" w:eastAsiaTheme="minorEastAsia" w:hAnsiTheme="majorBidi" w:cstheme="majorBidi"/>
          <w:sz w:val="24"/>
          <w:szCs w:val="24"/>
        </w:rPr>
      </w:pPr>
      <w:r w:rsidRPr="00817BE8">
        <w:rPr>
          <w:rFonts w:asciiTheme="majorBidi" w:eastAsiaTheme="minorEastAsia" w:hAnsiTheme="majorBidi" w:cstheme="majorBidi"/>
          <w:sz w:val="24"/>
          <w:szCs w:val="24"/>
        </w:rPr>
        <w:t>Equation (4) illustrates the overall connectivity. To do a more thorough examination of directional connectedness, we decompose the technique into three independent components: total directional connectivity TO, FROM, and NET.</w:t>
      </w:r>
    </w:p>
    <w:p w:rsidR="00735679" w:rsidRDefault="00735679" w:rsidP="00735679">
      <w:pPr>
        <w:spacing w:after="0" w:line="480" w:lineRule="auto"/>
        <w:jc w:val="both"/>
        <w:rPr>
          <w:rFonts w:asciiTheme="majorBidi" w:eastAsiaTheme="minorEastAsia" w:hAnsiTheme="majorBidi" w:cstheme="majorBidi"/>
          <w:sz w:val="24"/>
          <w:szCs w:val="24"/>
        </w:rPr>
      </w:pPr>
      <w:r w:rsidRPr="00735679">
        <w:rPr>
          <w:rFonts w:asciiTheme="majorBidi" w:eastAsiaTheme="minorEastAsia" w:hAnsiTheme="majorBidi" w:cstheme="majorBidi"/>
          <w:sz w:val="24"/>
          <w:szCs w:val="24"/>
        </w:rPr>
        <w:t xml:space="preserve">Start with the following definition of the </w:t>
      </w:r>
      <w:r>
        <w:rPr>
          <w:rFonts w:asciiTheme="majorBidi" w:eastAsiaTheme="minorEastAsia" w:hAnsiTheme="majorBidi" w:cstheme="majorBidi"/>
          <w:sz w:val="24"/>
          <w:szCs w:val="24"/>
        </w:rPr>
        <w:t xml:space="preserve">entire influence that variable </w:t>
      </w:r>
      <m:oMath>
        <m:d>
          <m:dPr>
            <m:ctrlPr>
              <w:rPr>
                <w:rFonts w:ascii="Cambria Math" w:eastAsiaTheme="minorEastAsia" w:hAnsi="Cambria Math" w:cstheme="majorBidi"/>
                <w:sz w:val="24"/>
                <w:szCs w:val="24"/>
              </w:rPr>
            </m:ctrlPr>
          </m:dPr>
          <m:e>
            <m:r>
              <w:rPr>
                <w:rFonts w:ascii="Cambria Math" w:eastAsiaTheme="minorEastAsia" w:hAnsi="Cambria Math" w:cstheme="majorBidi"/>
                <w:sz w:val="24"/>
                <w:szCs w:val="24"/>
              </w:rPr>
              <m:t>i</m:t>
            </m:r>
          </m:e>
        </m:d>
      </m:oMath>
      <w:r w:rsidRPr="00735679">
        <w:rPr>
          <w:rFonts w:asciiTheme="majorBidi" w:eastAsiaTheme="minorEastAsia" w:hAnsiTheme="majorBidi" w:cstheme="majorBidi"/>
          <w:sz w:val="24"/>
          <w:szCs w:val="24"/>
        </w:rPr>
        <w:t xml:space="preserve"> commu</w:t>
      </w:r>
      <w:r>
        <w:rPr>
          <w:rFonts w:asciiTheme="majorBidi" w:eastAsiaTheme="minorEastAsia" w:hAnsiTheme="majorBidi" w:cstheme="majorBidi"/>
          <w:sz w:val="24"/>
          <w:szCs w:val="24"/>
        </w:rPr>
        <w:t xml:space="preserve">nicates TO all other variables </w:t>
      </w:r>
      <m:oMath>
        <m:d>
          <m:dPr>
            <m:ctrlPr>
              <w:rPr>
                <w:rFonts w:ascii="Cambria Math" w:eastAsiaTheme="minorEastAsia" w:hAnsi="Cambria Math" w:cstheme="majorBidi"/>
                <w:sz w:val="24"/>
                <w:szCs w:val="24"/>
              </w:rPr>
            </m:ctrlPr>
          </m:dPr>
          <m:e>
            <m:r>
              <w:rPr>
                <w:rFonts w:ascii="Cambria Math" w:eastAsiaTheme="minorEastAsia" w:hAnsi="Cambria Math" w:cstheme="majorBidi"/>
                <w:sz w:val="24"/>
                <w:szCs w:val="24"/>
              </w:rPr>
              <m:t>j</m:t>
            </m:r>
          </m:e>
        </m:d>
      </m:oMath>
      <w:r w:rsidRPr="00735679">
        <w:rPr>
          <w:rFonts w:asciiTheme="majorBidi" w:eastAsiaTheme="minorEastAsia" w:hAnsiTheme="majorBidi" w:cstheme="majorBidi"/>
          <w:sz w:val="24"/>
          <w:szCs w:val="24"/>
        </w:rPr>
        <w:t>:</w:t>
      </w:r>
    </w:p>
    <w:p w:rsidR="00735679" w:rsidRDefault="00DD48BA" w:rsidP="00735679">
      <w:pPr>
        <w:spacing w:after="0" w:line="480" w:lineRule="auto"/>
        <w:jc w:val="both"/>
        <w:rPr>
          <w:rFonts w:asciiTheme="majorBidi" w:eastAsiaTheme="minorEastAsia" w:hAnsiTheme="majorBidi" w:cstheme="majorBidi"/>
          <w:sz w:val="24"/>
          <w:szCs w:val="24"/>
        </w:rPr>
      </w:pPr>
      <m:oMath>
        <m:sSub>
          <m:sSubPr>
            <m:ctrlPr>
              <w:rPr>
                <w:rFonts w:ascii="Cambria Math" w:eastAsiaTheme="minorEastAsia" w:hAnsi="Cambria Math" w:cstheme="majorBidi"/>
                <w:sz w:val="24"/>
                <w:szCs w:val="24"/>
              </w:rPr>
            </m:ctrlPr>
          </m:sSubPr>
          <m:e>
            <m:r>
              <w:rPr>
                <w:rFonts w:ascii="Cambria Math" w:eastAsiaTheme="minorEastAsia" w:hAnsi="Cambria Math" w:cstheme="majorBidi"/>
                <w:sz w:val="24"/>
                <w:szCs w:val="24"/>
              </w:rPr>
              <m:t>T</m:t>
            </m:r>
          </m:e>
          <m:sub>
            <m:r>
              <w:rPr>
                <w:rFonts w:ascii="Cambria Math" w:eastAsiaTheme="minorEastAsia" w:hAnsi="Cambria Math" w:cstheme="majorBidi"/>
                <w:sz w:val="24"/>
                <w:szCs w:val="24"/>
              </w:rPr>
              <m:t>i→j,t</m:t>
            </m:r>
          </m:sub>
        </m:sSub>
        <m:d>
          <m:dPr>
            <m:ctrlPr>
              <w:rPr>
                <w:rFonts w:ascii="Cambria Math" w:eastAsiaTheme="minorEastAsia" w:hAnsi="Cambria Math" w:cstheme="majorBidi"/>
                <w:sz w:val="24"/>
                <w:szCs w:val="24"/>
              </w:rPr>
            </m:ctrlPr>
          </m:dPr>
          <m:e>
            <m:r>
              <w:rPr>
                <w:rFonts w:ascii="Cambria Math" w:eastAsiaTheme="minorEastAsia" w:hAnsi="Cambria Math" w:cstheme="majorBidi"/>
                <w:sz w:val="24"/>
                <w:szCs w:val="24"/>
              </w:rPr>
              <m:t>H</m:t>
            </m:r>
          </m:e>
        </m:d>
        <m:r>
          <w:rPr>
            <w:rFonts w:ascii="Cambria Math" w:eastAsiaTheme="minorEastAsia" w:hAnsi="Cambria Math" w:cstheme="majorBidi"/>
            <w:sz w:val="24"/>
            <w:szCs w:val="24"/>
          </w:rPr>
          <m:t>=</m:t>
        </m:r>
        <m:f>
          <m:fPr>
            <m:ctrlPr>
              <w:rPr>
                <w:rFonts w:ascii="Cambria Math" w:eastAsiaTheme="minorEastAsia" w:hAnsi="Cambria Math" w:cstheme="majorBidi"/>
                <w:sz w:val="24"/>
                <w:szCs w:val="24"/>
              </w:rPr>
            </m:ctrlPr>
          </m:fPr>
          <m:num>
            <m:nary>
              <m:naryPr>
                <m:chr m:val="∑"/>
                <m:limLoc m:val="undOvr"/>
                <m:grow m:val="1"/>
                <m:ctrlPr>
                  <w:rPr>
                    <w:rFonts w:ascii="Cambria Math" w:eastAsiaTheme="minorEastAsia" w:hAnsi="Cambria Math" w:cstheme="majorBidi"/>
                    <w:sz w:val="24"/>
                    <w:szCs w:val="24"/>
                  </w:rPr>
                </m:ctrlPr>
              </m:naryPr>
              <m:sub>
                <m:r>
                  <w:rPr>
                    <w:rFonts w:ascii="Cambria Math" w:eastAsiaTheme="minorEastAsia" w:hAnsi="Cambria Math" w:cstheme="majorBidi"/>
                    <w:sz w:val="24"/>
                    <w:szCs w:val="24"/>
                  </w:rPr>
                  <m:t>i,j=1,i+j</m:t>
                </m:r>
              </m:sub>
              <m:sup>
                <m:r>
                  <w:rPr>
                    <w:rFonts w:ascii="Cambria Math" w:eastAsiaTheme="minorEastAsia" w:hAnsi="Cambria Math" w:cstheme="majorBidi"/>
                    <w:sz w:val="24"/>
                    <w:szCs w:val="24"/>
                  </w:rPr>
                  <m:t>n</m:t>
                </m:r>
              </m:sup>
              <m:e>
                <m:r>
                  <w:rPr>
                    <w:rFonts w:ascii="Cambria Math" w:eastAsiaTheme="minorEastAsia" w:hAnsi="Cambria Math" w:cstheme="majorBidi"/>
                    <w:sz w:val="24"/>
                    <w:szCs w:val="24"/>
                  </w:rPr>
                  <m:t xml:space="preserve"> </m:t>
                </m:r>
              </m:e>
            </m:nary>
            <m:sSub>
              <m:sSubPr>
                <m:ctrlPr>
                  <w:rPr>
                    <w:rFonts w:ascii="Cambria Math" w:eastAsiaTheme="minorEastAsia" w:hAnsi="Cambria Math" w:cstheme="majorBidi"/>
                    <w:sz w:val="24"/>
                    <w:szCs w:val="24"/>
                  </w:rPr>
                </m:ctrlPr>
              </m:sSubPr>
              <m:e>
                <m:acc>
                  <m:accPr>
                    <m:chr m:val="̃"/>
                    <m:ctrlPr>
                      <w:rPr>
                        <w:rFonts w:ascii="Cambria Math" w:eastAsiaTheme="minorEastAsia" w:hAnsi="Cambria Math" w:cstheme="majorBidi"/>
                        <w:sz w:val="24"/>
                        <w:szCs w:val="24"/>
                      </w:rPr>
                    </m:ctrlPr>
                  </m:accPr>
                  <m:e>
                    <m:r>
                      <w:rPr>
                        <w:rFonts w:ascii="Cambria Math" w:eastAsiaTheme="minorEastAsia" w:hAnsi="Cambria Math" w:cstheme="majorBidi"/>
                        <w:sz w:val="24"/>
                        <w:szCs w:val="24"/>
                      </w:rPr>
                      <m:t>θ</m:t>
                    </m:r>
                  </m:e>
                </m:acc>
              </m:e>
              <m:sub>
                <m:r>
                  <w:rPr>
                    <w:rFonts w:ascii="Cambria Math" w:eastAsiaTheme="minorEastAsia" w:hAnsi="Cambria Math" w:cstheme="majorBidi"/>
                    <w:sz w:val="24"/>
                    <w:szCs w:val="24"/>
                  </w:rPr>
                  <m:t>ji,t</m:t>
                </m:r>
              </m:sub>
            </m:sSub>
            <m:d>
              <m:dPr>
                <m:ctrlPr>
                  <w:rPr>
                    <w:rFonts w:ascii="Cambria Math" w:eastAsiaTheme="minorEastAsia" w:hAnsi="Cambria Math" w:cstheme="majorBidi"/>
                    <w:sz w:val="24"/>
                    <w:szCs w:val="24"/>
                  </w:rPr>
                </m:ctrlPr>
              </m:dPr>
              <m:e>
                <m:r>
                  <w:rPr>
                    <w:rFonts w:ascii="Cambria Math" w:eastAsiaTheme="minorEastAsia" w:hAnsi="Cambria Math" w:cstheme="majorBidi"/>
                    <w:sz w:val="24"/>
                    <w:szCs w:val="24"/>
                  </w:rPr>
                  <m:t>H</m:t>
                </m:r>
              </m:e>
            </m:d>
          </m:num>
          <m:den>
            <m:nary>
              <m:naryPr>
                <m:chr m:val="∑"/>
                <m:limLoc m:val="undOvr"/>
                <m:grow m:val="1"/>
                <m:ctrlPr>
                  <w:rPr>
                    <w:rFonts w:ascii="Cambria Math" w:eastAsiaTheme="minorEastAsia" w:hAnsi="Cambria Math" w:cstheme="majorBidi"/>
                    <w:sz w:val="24"/>
                    <w:szCs w:val="24"/>
                  </w:rPr>
                </m:ctrlPr>
              </m:naryPr>
              <m:sub>
                <m:r>
                  <w:rPr>
                    <w:rFonts w:ascii="Cambria Math" w:eastAsiaTheme="minorEastAsia" w:hAnsi="Cambria Math" w:cstheme="majorBidi"/>
                    <w:sz w:val="24"/>
                    <w:szCs w:val="24"/>
                  </w:rPr>
                  <m:t>i,j=1</m:t>
                </m:r>
              </m:sub>
              <m:sup>
                <m:r>
                  <w:rPr>
                    <w:rFonts w:ascii="Cambria Math" w:eastAsiaTheme="minorEastAsia" w:hAnsi="Cambria Math" w:cstheme="majorBidi"/>
                    <w:sz w:val="24"/>
                    <w:szCs w:val="24"/>
                  </w:rPr>
                  <m:t>n</m:t>
                </m:r>
              </m:sup>
              <m:e>
                <m:r>
                  <w:rPr>
                    <w:rFonts w:ascii="Cambria Math" w:eastAsiaTheme="minorEastAsia" w:hAnsi="Cambria Math" w:cstheme="majorBidi"/>
                    <w:sz w:val="24"/>
                    <w:szCs w:val="24"/>
                  </w:rPr>
                  <m:t xml:space="preserve"> </m:t>
                </m:r>
              </m:e>
            </m:nary>
            <m:sSub>
              <m:sSubPr>
                <m:ctrlPr>
                  <w:rPr>
                    <w:rFonts w:ascii="Cambria Math" w:eastAsiaTheme="minorEastAsia" w:hAnsi="Cambria Math" w:cstheme="majorBidi"/>
                    <w:sz w:val="24"/>
                    <w:szCs w:val="24"/>
                  </w:rPr>
                </m:ctrlPr>
              </m:sSubPr>
              <m:e>
                <m:acc>
                  <m:accPr>
                    <m:chr m:val="̃"/>
                    <m:ctrlPr>
                      <w:rPr>
                        <w:rFonts w:ascii="Cambria Math" w:eastAsiaTheme="minorEastAsia" w:hAnsi="Cambria Math" w:cstheme="majorBidi"/>
                        <w:sz w:val="24"/>
                        <w:szCs w:val="24"/>
                      </w:rPr>
                    </m:ctrlPr>
                  </m:accPr>
                  <m:e>
                    <m:r>
                      <w:rPr>
                        <w:rFonts w:ascii="Cambria Math" w:eastAsiaTheme="minorEastAsia" w:hAnsi="Cambria Math" w:cstheme="majorBidi"/>
                        <w:sz w:val="24"/>
                        <w:szCs w:val="24"/>
                      </w:rPr>
                      <m:t>θ</m:t>
                    </m:r>
                  </m:e>
                </m:acc>
              </m:e>
              <m:sub>
                <m:r>
                  <w:rPr>
                    <w:rFonts w:ascii="Cambria Math" w:eastAsiaTheme="minorEastAsia" w:hAnsi="Cambria Math" w:cstheme="majorBidi"/>
                    <w:sz w:val="24"/>
                    <w:szCs w:val="24"/>
                  </w:rPr>
                  <m:t>ji,t</m:t>
                </m:r>
              </m:sub>
            </m:sSub>
            <m:d>
              <m:dPr>
                <m:ctrlPr>
                  <w:rPr>
                    <w:rFonts w:ascii="Cambria Math" w:eastAsiaTheme="minorEastAsia" w:hAnsi="Cambria Math" w:cstheme="majorBidi"/>
                    <w:sz w:val="24"/>
                    <w:szCs w:val="24"/>
                  </w:rPr>
                </m:ctrlPr>
              </m:dPr>
              <m:e>
                <m:r>
                  <w:rPr>
                    <w:rFonts w:ascii="Cambria Math" w:eastAsiaTheme="minorEastAsia" w:hAnsi="Cambria Math" w:cstheme="majorBidi"/>
                    <w:sz w:val="24"/>
                    <w:szCs w:val="24"/>
                  </w:rPr>
                  <m:t>H</m:t>
                </m:r>
              </m:e>
            </m:d>
          </m:den>
        </m:f>
        <m:r>
          <w:rPr>
            <w:rFonts w:ascii="Cambria Math" w:eastAsiaTheme="minorEastAsia" w:hAnsi="Cambria Math" w:cstheme="majorBidi"/>
            <w:sz w:val="24"/>
            <w:szCs w:val="24"/>
          </w:rPr>
          <m:t>.</m:t>
        </m:r>
      </m:oMath>
      <w:r w:rsidR="00735679">
        <w:rPr>
          <w:rFonts w:asciiTheme="majorBidi" w:eastAsiaTheme="minorEastAsia" w:hAnsiTheme="majorBidi" w:cstheme="majorBidi"/>
          <w:sz w:val="24"/>
          <w:szCs w:val="24"/>
        </w:rPr>
        <w:t xml:space="preserve">                                                                                                         (5)</w:t>
      </w:r>
    </w:p>
    <w:p w:rsidR="00981744" w:rsidRDefault="00981744" w:rsidP="00981744">
      <w:pPr>
        <w:spacing w:after="0" w:line="480" w:lineRule="auto"/>
        <w:jc w:val="both"/>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Secondly, concerning variable </w:t>
      </w:r>
      <m:oMath>
        <m:d>
          <m:dPr>
            <m:ctrlPr>
              <w:rPr>
                <w:rFonts w:ascii="Cambria Math" w:eastAsiaTheme="minorEastAsia" w:hAnsi="Cambria Math" w:cstheme="majorBidi"/>
                <w:sz w:val="24"/>
                <w:szCs w:val="24"/>
              </w:rPr>
            </m:ctrlPr>
          </m:dPr>
          <m:e>
            <m:r>
              <w:rPr>
                <w:rFonts w:ascii="Cambria Math" w:eastAsiaTheme="minorEastAsia" w:hAnsi="Cambria Math" w:cstheme="majorBidi"/>
                <w:sz w:val="24"/>
                <w:szCs w:val="24"/>
              </w:rPr>
              <m:t>j</m:t>
            </m:r>
          </m:e>
        </m:d>
      </m:oMath>
      <w:r w:rsidRPr="00981744">
        <w:rPr>
          <w:rFonts w:asciiTheme="majorBidi" w:eastAsiaTheme="minorEastAsia" w:hAnsiTheme="majorBidi" w:cstheme="majorBidi"/>
          <w:sz w:val="24"/>
          <w:szCs w:val="24"/>
        </w:rPr>
        <w:t>, the following is the definition of t</w:t>
      </w:r>
      <w:r>
        <w:rPr>
          <w:rFonts w:asciiTheme="majorBidi" w:eastAsiaTheme="minorEastAsia" w:hAnsiTheme="majorBidi" w:cstheme="majorBidi"/>
          <w:sz w:val="24"/>
          <w:szCs w:val="24"/>
        </w:rPr>
        <w:t xml:space="preserve">he total influence on variable </w:t>
      </w:r>
      <m:oMath>
        <m:d>
          <m:dPr>
            <m:ctrlPr>
              <w:rPr>
                <w:rFonts w:ascii="Cambria Math" w:eastAsiaTheme="minorEastAsia" w:hAnsi="Cambria Math" w:cstheme="majorBidi"/>
                <w:sz w:val="24"/>
                <w:szCs w:val="24"/>
              </w:rPr>
            </m:ctrlPr>
          </m:dPr>
          <m:e>
            <m:r>
              <w:rPr>
                <w:rFonts w:ascii="Cambria Math" w:eastAsiaTheme="minorEastAsia" w:hAnsi="Cambria Math" w:cstheme="majorBidi"/>
                <w:sz w:val="24"/>
                <w:szCs w:val="24"/>
              </w:rPr>
              <m:t>i</m:t>
            </m:r>
          </m:e>
        </m:d>
      </m:oMath>
      <w:r w:rsidRPr="00981744">
        <w:rPr>
          <w:rFonts w:asciiTheme="majorBidi" w:eastAsiaTheme="minorEastAsia" w:hAnsiTheme="majorBidi" w:cstheme="majorBidi"/>
          <w:sz w:val="24"/>
          <w:szCs w:val="24"/>
        </w:rPr>
        <w:t>:</w:t>
      </w:r>
    </w:p>
    <w:p w:rsidR="00981744" w:rsidRDefault="00DD48BA" w:rsidP="00981744">
      <w:pPr>
        <w:spacing w:after="0" w:line="480" w:lineRule="auto"/>
        <w:jc w:val="both"/>
        <w:rPr>
          <w:rFonts w:asciiTheme="majorBidi" w:eastAsiaTheme="minorEastAsia" w:hAnsiTheme="majorBidi" w:cstheme="majorBidi"/>
          <w:sz w:val="24"/>
          <w:szCs w:val="24"/>
        </w:rPr>
      </w:pPr>
      <m:oMath>
        <m:sSub>
          <m:sSubPr>
            <m:ctrlPr>
              <w:rPr>
                <w:rFonts w:ascii="Cambria Math" w:eastAsiaTheme="minorEastAsia" w:hAnsi="Cambria Math" w:cstheme="majorBidi"/>
                <w:sz w:val="24"/>
                <w:szCs w:val="24"/>
              </w:rPr>
            </m:ctrlPr>
          </m:sSubPr>
          <m:e>
            <m:r>
              <w:rPr>
                <w:rFonts w:ascii="Cambria Math" w:eastAsiaTheme="minorEastAsia" w:hAnsi="Cambria Math" w:cstheme="majorBidi"/>
                <w:sz w:val="24"/>
                <w:szCs w:val="24"/>
              </w:rPr>
              <m:t>T</m:t>
            </m:r>
          </m:e>
          <m:sub>
            <m:r>
              <w:rPr>
                <w:rFonts w:ascii="Cambria Math" w:eastAsiaTheme="minorEastAsia" w:hAnsi="Cambria Math" w:cstheme="majorBidi"/>
                <w:sz w:val="24"/>
                <w:szCs w:val="24"/>
              </w:rPr>
              <m:t>i←j,t</m:t>
            </m:r>
          </m:sub>
        </m:sSub>
        <m:d>
          <m:dPr>
            <m:ctrlPr>
              <w:rPr>
                <w:rFonts w:ascii="Cambria Math" w:eastAsiaTheme="minorEastAsia" w:hAnsi="Cambria Math" w:cstheme="majorBidi"/>
                <w:sz w:val="24"/>
                <w:szCs w:val="24"/>
              </w:rPr>
            </m:ctrlPr>
          </m:dPr>
          <m:e>
            <m:r>
              <w:rPr>
                <w:rFonts w:ascii="Cambria Math" w:eastAsiaTheme="minorEastAsia" w:hAnsi="Cambria Math" w:cstheme="majorBidi"/>
                <w:sz w:val="24"/>
                <w:szCs w:val="24"/>
              </w:rPr>
              <m:t>H</m:t>
            </m:r>
          </m:e>
        </m:d>
        <m:r>
          <w:rPr>
            <w:rFonts w:ascii="Cambria Math" w:eastAsiaTheme="minorEastAsia" w:hAnsi="Cambria Math" w:cstheme="majorBidi"/>
            <w:sz w:val="24"/>
            <w:szCs w:val="24"/>
          </w:rPr>
          <m:t>=</m:t>
        </m:r>
        <m:f>
          <m:fPr>
            <m:ctrlPr>
              <w:rPr>
                <w:rFonts w:ascii="Cambria Math" w:eastAsiaTheme="minorEastAsia" w:hAnsi="Cambria Math" w:cstheme="majorBidi"/>
                <w:sz w:val="24"/>
                <w:szCs w:val="24"/>
              </w:rPr>
            </m:ctrlPr>
          </m:fPr>
          <m:num>
            <m:nary>
              <m:naryPr>
                <m:chr m:val="∑"/>
                <m:limLoc m:val="undOvr"/>
                <m:grow m:val="1"/>
                <m:ctrlPr>
                  <w:rPr>
                    <w:rFonts w:ascii="Cambria Math" w:eastAsiaTheme="minorEastAsia" w:hAnsi="Cambria Math" w:cstheme="majorBidi"/>
                    <w:sz w:val="24"/>
                    <w:szCs w:val="24"/>
                  </w:rPr>
                </m:ctrlPr>
              </m:naryPr>
              <m:sub>
                <m:r>
                  <w:rPr>
                    <w:rFonts w:ascii="Cambria Math" w:eastAsiaTheme="minorEastAsia" w:hAnsi="Cambria Math" w:cstheme="majorBidi"/>
                    <w:sz w:val="24"/>
                    <w:szCs w:val="24"/>
                  </w:rPr>
                  <m:t>i,j=1,i+j</m:t>
                </m:r>
              </m:sub>
              <m:sup>
                <m:r>
                  <w:rPr>
                    <w:rFonts w:ascii="Cambria Math" w:eastAsiaTheme="minorEastAsia" w:hAnsi="Cambria Math" w:cstheme="majorBidi"/>
                    <w:sz w:val="24"/>
                    <w:szCs w:val="24"/>
                  </w:rPr>
                  <m:t>n</m:t>
                </m:r>
              </m:sup>
              <m:e>
                <m:r>
                  <w:rPr>
                    <w:rFonts w:ascii="Cambria Math" w:eastAsiaTheme="minorEastAsia" w:hAnsi="Cambria Math" w:cstheme="majorBidi"/>
                    <w:sz w:val="24"/>
                    <w:szCs w:val="24"/>
                  </w:rPr>
                  <m:t xml:space="preserve"> </m:t>
                </m:r>
              </m:e>
            </m:nary>
            <m:sSub>
              <m:sSubPr>
                <m:ctrlPr>
                  <w:rPr>
                    <w:rFonts w:ascii="Cambria Math" w:eastAsiaTheme="minorEastAsia" w:hAnsi="Cambria Math" w:cstheme="majorBidi"/>
                    <w:sz w:val="24"/>
                    <w:szCs w:val="24"/>
                  </w:rPr>
                </m:ctrlPr>
              </m:sSubPr>
              <m:e>
                <m:acc>
                  <m:accPr>
                    <m:chr m:val="̃"/>
                    <m:ctrlPr>
                      <w:rPr>
                        <w:rFonts w:ascii="Cambria Math" w:eastAsiaTheme="minorEastAsia" w:hAnsi="Cambria Math" w:cstheme="majorBidi"/>
                        <w:sz w:val="24"/>
                        <w:szCs w:val="24"/>
                      </w:rPr>
                    </m:ctrlPr>
                  </m:accPr>
                  <m:e>
                    <m:r>
                      <w:rPr>
                        <w:rFonts w:ascii="Cambria Math" w:eastAsiaTheme="minorEastAsia" w:hAnsi="Cambria Math" w:cstheme="majorBidi"/>
                        <w:sz w:val="24"/>
                        <w:szCs w:val="24"/>
                      </w:rPr>
                      <m:t>θ</m:t>
                    </m:r>
                  </m:e>
                </m:acc>
              </m:e>
              <m:sub>
                <m:r>
                  <w:rPr>
                    <w:rFonts w:ascii="Cambria Math" w:eastAsiaTheme="minorEastAsia" w:hAnsi="Cambria Math" w:cstheme="majorBidi"/>
                    <w:sz w:val="24"/>
                    <w:szCs w:val="24"/>
                  </w:rPr>
                  <m:t>ijpt</m:t>
                </m:r>
              </m:sub>
            </m:sSub>
            <m:d>
              <m:dPr>
                <m:ctrlPr>
                  <w:rPr>
                    <w:rFonts w:ascii="Cambria Math" w:eastAsiaTheme="minorEastAsia" w:hAnsi="Cambria Math" w:cstheme="majorBidi"/>
                    <w:sz w:val="24"/>
                    <w:szCs w:val="24"/>
                  </w:rPr>
                </m:ctrlPr>
              </m:dPr>
              <m:e>
                <m:r>
                  <w:rPr>
                    <w:rFonts w:ascii="Cambria Math" w:eastAsiaTheme="minorEastAsia" w:hAnsi="Cambria Math" w:cstheme="majorBidi"/>
                    <w:sz w:val="24"/>
                    <w:szCs w:val="24"/>
                  </w:rPr>
                  <m:t>H</m:t>
                </m:r>
              </m:e>
            </m:d>
          </m:num>
          <m:den>
            <m:nary>
              <m:naryPr>
                <m:chr m:val="∑"/>
                <m:limLoc m:val="undOvr"/>
                <m:grow m:val="1"/>
                <m:ctrlPr>
                  <w:rPr>
                    <w:rFonts w:ascii="Cambria Math" w:eastAsiaTheme="minorEastAsia" w:hAnsi="Cambria Math" w:cstheme="majorBidi"/>
                    <w:sz w:val="24"/>
                    <w:szCs w:val="24"/>
                  </w:rPr>
                </m:ctrlPr>
              </m:naryPr>
              <m:sub>
                <m:r>
                  <w:rPr>
                    <w:rFonts w:ascii="Cambria Math" w:eastAsiaTheme="minorEastAsia" w:hAnsi="Cambria Math" w:cstheme="majorBidi"/>
                    <w:sz w:val="24"/>
                    <w:szCs w:val="24"/>
                  </w:rPr>
                  <m:t>i,j=1</m:t>
                </m:r>
              </m:sub>
              <m:sup>
                <m:r>
                  <w:rPr>
                    <w:rFonts w:ascii="Cambria Math" w:eastAsiaTheme="minorEastAsia" w:hAnsi="Cambria Math" w:cstheme="majorBidi"/>
                    <w:sz w:val="24"/>
                    <w:szCs w:val="24"/>
                  </w:rPr>
                  <m:t>n</m:t>
                </m:r>
              </m:sup>
              <m:e>
                <m:r>
                  <w:rPr>
                    <w:rFonts w:ascii="Cambria Math" w:eastAsiaTheme="minorEastAsia" w:hAnsi="Cambria Math" w:cstheme="majorBidi"/>
                    <w:sz w:val="24"/>
                    <w:szCs w:val="24"/>
                  </w:rPr>
                  <m:t xml:space="preserve"> </m:t>
                </m:r>
              </m:e>
            </m:nary>
            <m:sSub>
              <m:sSubPr>
                <m:ctrlPr>
                  <w:rPr>
                    <w:rFonts w:ascii="Cambria Math" w:eastAsiaTheme="minorEastAsia" w:hAnsi="Cambria Math" w:cstheme="majorBidi"/>
                    <w:sz w:val="24"/>
                    <w:szCs w:val="24"/>
                  </w:rPr>
                </m:ctrlPr>
              </m:sSubPr>
              <m:e>
                <m:acc>
                  <m:accPr>
                    <m:chr m:val="̃"/>
                    <m:ctrlPr>
                      <w:rPr>
                        <w:rFonts w:ascii="Cambria Math" w:eastAsiaTheme="minorEastAsia" w:hAnsi="Cambria Math" w:cstheme="majorBidi"/>
                        <w:sz w:val="24"/>
                        <w:szCs w:val="24"/>
                      </w:rPr>
                    </m:ctrlPr>
                  </m:accPr>
                  <m:e>
                    <m:r>
                      <w:rPr>
                        <w:rFonts w:ascii="Cambria Math" w:eastAsiaTheme="minorEastAsia" w:hAnsi="Cambria Math" w:cstheme="majorBidi"/>
                        <w:sz w:val="24"/>
                        <w:szCs w:val="24"/>
                      </w:rPr>
                      <m:t>θ</m:t>
                    </m:r>
                  </m:e>
                </m:acc>
              </m:e>
              <m:sub>
                <m:r>
                  <w:rPr>
                    <w:rFonts w:ascii="Cambria Math" w:eastAsiaTheme="minorEastAsia" w:hAnsi="Cambria Math" w:cstheme="majorBidi"/>
                    <w:sz w:val="24"/>
                    <w:szCs w:val="24"/>
                  </w:rPr>
                  <m:t>ij,t</m:t>
                </m:r>
              </m:sub>
            </m:sSub>
            <m:d>
              <m:dPr>
                <m:ctrlPr>
                  <w:rPr>
                    <w:rFonts w:ascii="Cambria Math" w:eastAsiaTheme="minorEastAsia" w:hAnsi="Cambria Math" w:cstheme="majorBidi"/>
                    <w:sz w:val="24"/>
                    <w:szCs w:val="24"/>
                  </w:rPr>
                </m:ctrlPr>
              </m:dPr>
              <m:e>
                <m:r>
                  <w:rPr>
                    <w:rFonts w:ascii="Cambria Math" w:eastAsiaTheme="minorEastAsia" w:hAnsi="Cambria Math" w:cstheme="majorBidi"/>
                    <w:sz w:val="24"/>
                    <w:szCs w:val="24"/>
                  </w:rPr>
                  <m:t>H</m:t>
                </m:r>
              </m:e>
            </m:d>
          </m:den>
        </m:f>
        <m:r>
          <w:rPr>
            <w:rFonts w:ascii="Cambria Math" w:eastAsiaTheme="minorEastAsia" w:hAnsi="Cambria Math" w:cstheme="majorBidi"/>
            <w:sz w:val="24"/>
            <w:szCs w:val="24"/>
          </w:rPr>
          <m:t>.</m:t>
        </m:r>
      </m:oMath>
      <w:r w:rsidR="00981744">
        <w:rPr>
          <w:rFonts w:asciiTheme="majorBidi" w:eastAsiaTheme="minorEastAsia" w:hAnsiTheme="majorBidi" w:cstheme="majorBidi"/>
          <w:sz w:val="24"/>
          <w:szCs w:val="24"/>
        </w:rPr>
        <w:t xml:space="preserve">                                                                                                        (6)</w:t>
      </w:r>
    </w:p>
    <w:p w:rsidR="00981744" w:rsidRDefault="00981744" w:rsidP="00981744">
      <w:pPr>
        <w:spacing w:after="0" w:line="480" w:lineRule="auto"/>
        <w:jc w:val="both"/>
        <w:rPr>
          <w:rFonts w:asciiTheme="majorBidi" w:eastAsiaTheme="minorEastAsia" w:hAnsiTheme="majorBidi" w:cstheme="majorBidi"/>
          <w:sz w:val="24"/>
          <w:szCs w:val="24"/>
        </w:rPr>
      </w:pPr>
      <w:r w:rsidRPr="00981744">
        <w:rPr>
          <w:rFonts w:asciiTheme="majorBidi" w:eastAsiaTheme="minorEastAsia" w:hAnsiTheme="majorBidi" w:cstheme="majorBidi"/>
          <w:sz w:val="24"/>
          <w:szCs w:val="24"/>
        </w:rPr>
        <w:t>The last step is to determine the NET directional co</w:t>
      </w:r>
      <w:r>
        <w:rPr>
          <w:rFonts w:asciiTheme="majorBidi" w:eastAsiaTheme="minorEastAsia" w:hAnsiTheme="majorBidi" w:cstheme="majorBidi"/>
          <w:sz w:val="24"/>
          <w:szCs w:val="24"/>
        </w:rPr>
        <w:t xml:space="preserve">nnectedness of variables </w:t>
      </w:r>
      <m:oMath>
        <m:d>
          <m:dPr>
            <m:ctrlPr>
              <w:rPr>
                <w:rFonts w:ascii="Cambria Math" w:eastAsiaTheme="minorEastAsia" w:hAnsi="Cambria Math" w:cstheme="majorBidi"/>
                <w:sz w:val="24"/>
                <w:szCs w:val="24"/>
              </w:rPr>
            </m:ctrlPr>
          </m:dPr>
          <m:e>
            <m:r>
              <w:rPr>
                <w:rFonts w:ascii="Cambria Math" w:eastAsiaTheme="minorEastAsia" w:hAnsi="Cambria Math" w:cstheme="majorBidi"/>
                <w:sz w:val="24"/>
                <w:szCs w:val="24"/>
              </w:rPr>
              <m:t>i</m:t>
            </m:r>
          </m:e>
        </m:d>
      </m:oMath>
      <w:r>
        <w:rPr>
          <w:rFonts w:asciiTheme="majorBidi" w:eastAsiaTheme="minorEastAsia" w:hAnsiTheme="majorBidi" w:cstheme="majorBidi"/>
          <w:sz w:val="24"/>
          <w:szCs w:val="24"/>
        </w:rPr>
        <w:t xml:space="preserve"> and </w:t>
      </w:r>
      <m:oMath>
        <m:d>
          <m:dPr>
            <m:ctrlPr>
              <w:rPr>
                <w:rFonts w:ascii="Cambria Math" w:eastAsiaTheme="minorEastAsia" w:hAnsi="Cambria Math" w:cstheme="majorBidi"/>
                <w:sz w:val="24"/>
                <w:szCs w:val="24"/>
              </w:rPr>
            </m:ctrlPr>
          </m:dPr>
          <m:e>
            <m:r>
              <w:rPr>
                <w:rFonts w:ascii="Cambria Math" w:eastAsiaTheme="minorEastAsia" w:hAnsi="Cambria Math" w:cstheme="majorBidi"/>
                <w:sz w:val="24"/>
                <w:szCs w:val="24"/>
              </w:rPr>
              <m:t>j</m:t>
            </m:r>
          </m:e>
        </m:d>
      </m:oMath>
      <w:r w:rsidRPr="00981744">
        <w:rPr>
          <w:rFonts w:asciiTheme="majorBidi" w:eastAsiaTheme="minorEastAsia" w:hAnsiTheme="majorBidi" w:cstheme="majorBidi"/>
          <w:sz w:val="24"/>
          <w:szCs w:val="24"/>
        </w:rPr>
        <w:t xml:space="preserve"> by using the following formula:</w:t>
      </w:r>
    </w:p>
    <w:p w:rsidR="00981744" w:rsidRDefault="00DD48BA" w:rsidP="00981744">
      <w:pPr>
        <w:spacing w:after="0" w:line="480" w:lineRule="auto"/>
        <w:jc w:val="both"/>
        <w:rPr>
          <w:rFonts w:asciiTheme="majorBidi" w:eastAsiaTheme="minorEastAsia" w:hAnsiTheme="majorBidi" w:cstheme="majorBidi"/>
          <w:sz w:val="24"/>
          <w:szCs w:val="24"/>
        </w:rPr>
      </w:pPr>
      <m:oMath>
        <m:sSub>
          <m:sSubPr>
            <m:ctrlPr>
              <w:rPr>
                <w:rFonts w:ascii="Cambria Math" w:eastAsiaTheme="minorEastAsia" w:hAnsi="Cambria Math" w:cstheme="majorBidi"/>
                <w:sz w:val="24"/>
                <w:szCs w:val="24"/>
              </w:rPr>
            </m:ctrlPr>
          </m:sSubPr>
          <m:e>
            <m:r>
              <w:rPr>
                <w:rFonts w:ascii="Cambria Math" w:eastAsiaTheme="minorEastAsia" w:hAnsi="Cambria Math" w:cstheme="majorBidi"/>
                <w:sz w:val="24"/>
                <w:szCs w:val="24"/>
              </w:rPr>
              <m:t>T</m:t>
            </m:r>
          </m:e>
          <m:sub>
            <m:r>
              <w:rPr>
                <w:rFonts w:ascii="Cambria Math" w:eastAsiaTheme="minorEastAsia" w:hAnsi="Cambria Math" w:cstheme="majorBidi"/>
                <w:sz w:val="24"/>
                <w:szCs w:val="24"/>
              </w:rPr>
              <m:t>i,t</m:t>
            </m:r>
          </m:sub>
        </m:sSub>
        <m:r>
          <w:rPr>
            <w:rFonts w:ascii="Cambria Math" w:eastAsiaTheme="minorEastAsia" w:hAnsi="Cambria Math" w:cstheme="majorBidi"/>
            <w:sz w:val="24"/>
            <w:szCs w:val="24"/>
          </w:rPr>
          <m:t>=</m:t>
        </m:r>
        <m:sSub>
          <m:sSubPr>
            <m:ctrlPr>
              <w:rPr>
                <w:rFonts w:ascii="Cambria Math" w:eastAsiaTheme="minorEastAsia" w:hAnsi="Cambria Math" w:cstheme="majorBidi"/>
                <w:sz w:val="24"/>
                <w:szCs w:val="24"/>
              </w:rPr>
            </m:ctrlPr>
          </m:sSubPr>
          <m:e>
            <m:r>
              <w:rPr>
                <w:rFonts w:ascii="Cambria Math" w:eastAsiaTheme="minorEastAsia" w:hAnsi="Cambria Math" w:cstheme="majorBidi"/>
                <w:sz w:val="24"/>
                <w:szCs w:val="24"/>
              </w:rPr>
              <m:t>T</m:t>
            </m:r>
          </m:e>
          <m:sub>
            <m:r>
              <w:rPr>
                <w:rFonts w:ascii="Cambria Math" w:eastAsiaTheme="minorEastAsia" w:hAnsi="Cambria Math" w:cstheme="majorBidi"/>
                <w:sz w:val="24"/>
                <w:szCs w:val="24"/>
              </w:rPr>
              <m:t>i→j,t</m:t>
            </m:r>
          </m:sub>
        </m:sSub>
        <m:d>
          <m:dPr>
            <m:ctrlPr>
              <w:rPr>
                <w:rFonts w:ascii="Cambria Math" w:eastAsiaTheme="minorEastAsia" w:hAnsi="Cambria Math" w:cstheme="majorBidi"/>
                <w:sz w:val="24"/>
                <w:szCs w:val="24"/>
              </w:rPr>
            </m:ctrlPr>
          </m:dPr>
          <m:e>
            <m:r>
              <w:rPr>
                <w:rFonts w:ascii="Cambria Math" w:eastAsiaTheme="minorEastAsia" w:hAnsi="Cambria Math" w:cstheme="majorBidi"/>
                <w:sz w:val="24"/>
                <w:szCs w:val="24"/>
              </w:rPr>
              <m:t>H</m:t>
            </m:r>
          </m:e>
        </m:d>
        <m:r>
          <w:rPr>
            <w:rFonts w:ascii="Cambria Math" w:eastAsiaTheme="minorEastAsia" w:hAnsi="Cambria Math" w:cstheme="majorBidi"/>
            <w:sz w:val="24"/>
            <w:szCs w:val="24"/>
          </w:rPr>
          <m:t>-</m:t>
        </m:r>
        <m:sSub>
          <m:sSubPr>
            <m:ctrlPr>
              <w:rPr>
                <w:rFonts w:ascii="Cambria Math" w:eastAsiaTheme="minorEastAsia" w:hAnsi="Cambria Math" w:cstheme="majorBidi"/>
                <w:sz w:val="24"/>
                <w:szCs w:val="24"/>
              </w:rPr>
            </m:ctrlPr>
          </m:sSubPr>
          <m:e>
            <m:r>
              <w:rPr>
                <w:rFonts w:ascii="Cambria Math" w:eastAsiaTheme="minorEastAsia" w:hAnsi="Cambria Math" w:cstheme="majorBidi"/>
                <w:sz w:val="24"/>
                <w:szCs w:val="24"/>
              </w:rPr>
              <m:t>T</m:t>
            </m:r>
          </m:e>
          <m:sub>
            <m:r>
              <w:rPr>
                <w:rFonts w:ascii="Cambria Math" w:eastAsiaTheme="minorEastAsia" w:hAnsi="Cambria Math" w:cstheme="majorBidi"/>
                <w:sz w:val="24"/>
                <w:szCs w:val="24"/>
              </w:rPr>
              <m:t>i←j,t</m:t>
            </m:r>
          </m:sub>
        </m:sSub>
        <m:d>
          <m:dPr>
            <m:ctrlPr>
              <w:rPr>
                <w:rFonts w:ascii="Cambria Math" w:eastAsiaTheme="minorEastAsia" w:hAnsi="Cambria Math" w:cstheme="majorBidi"/>
                <w:sz w:val="24"/>
                <w:szCs w:val="24"/>
              </w:rPr>
            </m:ctrlPr>
          </m:dPr>
          <m:e>
            <m:r>
              <w:rPr>
                <w:rFonts w:ascii="Cambria Math" w:eastAsiaTheme="minorEastAsia" w:hAnsi="Cambria Math" w:cstheme="majorBidi"/>
                <w:sz w:val="24"/>
                <w:szCs w:val="24"/>
              </w:rPr>
              <m:t>H</m:t>
            </m:r>
          </m:e>
        </m:d>
        <m:r>
          <w:rPr>
            <w:rFonts w:ascii="Cambria Math" w:eastAsiaTheme="minorEastAsia" w:hAnsi="Cambria Math" w:cstheme="majorBidi"/>
            <w:sz w:val="24"/>
            <w:szCs w:val="24"/>
          </w:rPr>
          <m:t>.</m:t>
        </m:r>
      </m:oMath>
      <w:r w:rsidR="00981744">
        <w:rPr>
          <w:rFonts w:asciiTheme="majorBidi" w:eastAsiaTheme="minorEastAsia" w:hAnsiTheme="majorBidi" w:cstheme="majorBidi"/>
          <w:sz w:val="24"/>
          <w:szCs w:val="24"/>
        </w:rPr>
        <w:t xml:space="preserve">                                                                                                         (7)</w:t>
      </w:r>
    </w:p>
    <w:p w:rsidR="00981744" w:rsidRDefault="00981744" w:rsidP="00981744">
      <w:pPr>
        <w:spacing w:after="0" w:line="480" w:lineRule="auto"/>
        <w:jc w:val="both"/>
        <w:rPr>
          <w:rFonts w:asciiTheme="majorBidi" w:eastAsiaTheme="minorEastAsia" w:hAnsiTheme="majorBidi" w:cstheme="majorBidi"/>
          <w:sz w:val="24"/>
          <w:szCs w:val="24"/>
        </w:rPr>
      </w:pPr>
      <w:r w:rsidRPr="00981744">
        <w:rPr>
          <w:rFonts w:asciiTheme="majorBidi" w:eastAsiaTheme="minorEastAsia" w:hAnsiTheme="majorBidi" w:cstheme="majorBidi"/>
          <w:sz w:val="24"/>
          <w:szCs w:val="24"/>
        </w:rPr>
        <w:t>This brings us to the last step, where we calculate the NPDC:</w:t>
      </w:r>
    </w:p>
    <w:p w:rsidR="00981744" w:rsidRDefault="00981744" w:rsidP="00981744">
      <w:pPr>
        <w:spacing w:after="0" w:line="480" w:lineRule="auto"/>
        <w:jc w:val="both"/>
        <w:rPr>
          <w:rFonts w:asciiTheme="majorBidi" w:eastAsiaTheme="minorEastAsia" w:hAnsiTheme="majorBidi" w:cstheme="majorBidi"/>
          <w:sz w:val="24"/>
          <w:szCs w:val="24"/>
        </w:rPr>
      </w:pPr>
      <m:oMath>
        <m:r>
          <w:rPr>
            <w:rFonts w:ascii="Cambria Math" w:eastAsiaTheme="minorEastAsia" w:hAnsi="Cambria Math" w:cstheme="majorBidi"/>
            <w:sz w:val="24"/>
            <w:szCs w:val="24"/>
          </w:rPr>
          <m:t>NPD</m:t>
        </m:r>
        <m:sSub>
          <m:sSubPr>
            <m:ctrlPr>
              <w:rPr>
                <w:rFonts w:ascii="Cambria Math" w:eastAsiaTheme="minorEastAsia" w:hAnsi="Cambria Math" w:cstheme="majorBidi"/>
                <w:sz w:val="24"/>
                <w:szCs w:val="24"/>
              </w:rPr>
            </m:ctrlPr>
          </m:sSubPr>
          <m:e>
            <m:r>
              <w:rPr>
                <w:rFonts w:ascii="Cambria Math" w:eastAsiaTheme="minorEastAsia" w:hAnsi="Cambria Math" w:cstheme="majorBidi"/>
                <w:sz w:val="24"/>
                <w:szCs w:val="24"/>
              </w:rPr>
              <m:t>C</m:t>
            </m:r>
          </m:e>
          <m:sub>
            <m:r>
              <w:rPr>
                <w:rFonts w:ascii="Cambria Math" w:eastAsiaTheme="minorEastAsia" w:hAnsi="Cambria Math" w:cstheme="majorBidi"/>
                <w:sz w:val="24"/>
                <w:szCs w:val="24"/>
              </w:rPr>
              <m:t>ij</m:t>
            </m:r>
          </m:sub>
        </m:sSub>
        <m:d>
          <m:dPr>
            <m:ctrlPr>
              <w:rPr>
                <w:rFonts w:ascii="Cambria Math" w:eastAsiaTheme="minorEastAsia" w:hAnsi="Cambria Math" w:cstheme="majorBidi"/>
                <w:sz w:val="24"/>
                <w:szCs w:val="24"/>
              </w:rPr>
            </m:ctrlPr>
          </m:dPr>
          <m:e>
            <m:r>
              <w:rPr>
                <w:rFonts w:ascii="Cambria Math" w:eastAsiaTheme="minorEastAsia" w:hAnsi="Cambria Math" w:cstheme="majorBidi"/>
                <w:sz w:val="24"/>
                <w:szCs w:val="24"/>
              </w:rPr>
              <m:t>H</m:t>
            </m:r>
          </m:e>
        </m:d>
        <m:r>
          <w:rPr>
            <w:rFonts w:ascii="Cambria Math" w:eastAsiaTheme="minorEastAsia" w:hAnsi="Cambria Math" w:cstheme="majorBidi"/>
            <w:sz w:val="24"/>
            <w:szCs w:val="24"/>
          </w:rPr>
          <m:t>=</m:t>
        </m:r>
        <m:d>
          <m:dPr>
            <m:ctrlPr>
              <w:rPr>
                <w:rFonts w:ascii="Cambria Math" w:eastAsiaTheme="minorEastAsia" w:hAnsi="Cambria Math" w:cstheme="majorBidi"/>
                <w:sz w:val="24"/>
                <w:szCs w:val="24"/>
              </w:rPr>
            </m:ctrlPr>
          </m:dPr>
          <m:e>
            <m:sSub>
              <m:sSubPr>
                <m:ctrlPr>
                  <w:rPr>
                    <w:rFonts w:ascii="Cambria Math" w:eastAsiaTheme="minorEastAsia" w:hAnsi="Cambria Math" w:cstheme="majorBidi"/>
                    <w:sz w:val="24"/>
                    <w:szCs w:val="24"/>
                  </w:rPr>
                </m:ctrlPr>
              </m:sSubPr>
              <m:e>
                <m:acc>
                  <m:accPr>
                    <m:chr m:val="̃"/>
                    <m:ctrlPr>
                      <w:rPr>
                        <w:rFonts w:ascii="Cambria Math" w:eastAsiaTheme="minorEastAsia" w:hAnsi="Cambria Math" w:cstheme="majorBidi"/>
                        <w:sz w:val="24"/>
                        <w:szCs w:val="24"/>
                      </w:rPr>
                    </m:ctrlPr>
                  </m:accPr>
                  <m:e>
                    <m:r>
                      <w:rPr>
                        <w:rFonts w:ascii="Cambria Math" w:eastAsiaTheme="minorEastAsia" w:hAnsi="Cambria Math" w:cstheme="majorBidi"/>
                        <w:sz w:val="24"/>
                        <w:szCs w:val="24"/>
                      </w:rPr>
                      <m:t>θ</m:t>
                    </m:r>
                  </m:e>
                </m:acc>
              </m:e>
              <m:sub>
                <m:r>
                  <w:rPr>
                    <w:rFonts w:ascii="Cambria Math" w:eastAsiaTheme="minorEastAsia" w:hAnsi="Cambria Math" w:cstheme="majorBidi"/>
                    <w:sz w:val="24"/>
                    <w:szCs w:val="24"/>
                  </w:rPr>
                  <m:t>ji</m:t>
                </m:r>
              </m:sub>
            </m:sSub>
            <m:d>
              <m:dPr>
                <m:ctrlPr>
                  <w:rPr>
                    <w:rFonts w:ascii="Cambria Math" w:eastAsiaTheme="minorEastAsia" w:hAnsi="Cambria Math" w:cstheme="majorBidi"/>
                    <w:sz w:val="24"/>
                    <w:szCs w:val="24"/>
                  </w:rPr>
                </m:ctrlPr>
              </m:dPr>
              <m:e>
                <m:r>
                  <w:rPr>
                    <w:rFonts w:ascii="Cambria Math" w:eastAsiaTheme="minorEastAsia" w:hAnsi="Cambria Math" w:cstheme="majorBidi"/>
                    <w:sz w:val="24"/>
                    <w:szCs w:val="24"/>
                  </w:rPr>
                  <m:t>H</m:t>
                </m:r>
              </m:e>
            </m:d>
            <m:r>
              <w:rPr>
                <w:rFonts w:ascii="Cambria Math" w:eastAsiaTheme="minorEastAsia" w:hAnsi="Cambria Math" w:cstheme="majorBidi"/>
                <w:sz w:val="24"/>
                <w:szCs w:val="24"/>
              </w:rPr>
              <m:t>-</m:t>
            </m:r>
            <m:sSub>
              <m:sSubPr>
                <m:ctrlPr>
                  <w:rPr>
                    <w:rFonts w:ascii="Cambria Math" w:eastAsiaTheme="minorEastAsia" w:hAnsi="Cambria Math" w:cstheme="majorBidi"/>
                    <w:sz w:val="24"/>
                    <w:szCs w:val="24"/>
                  </w:rPr>
                </m:ctrlPr>
              </m:sSubPr>
              <m:e>
                <m:acc>
                  <m:accPr>
                    <m:chr m:val="̃"/>
                    <m:ctrlPr>
                      <w:rPr>
                        <w:rFonts w:ascii="Cambria Math" w:eastAsiaTheme="minorEastAsia" w:hAnsi="Cambria Math" w:cstheme="majorBidi"/>
                        <w:sz w:val="24"/>
                        <w:szCs w:val="24"/>
                      </w:rPr>
                    </m:ctrlPr>
                  </m:accPr>
                  <m:e>
                    <m:r>
                      <w:rPr>
                        <w:rFonts w:ascii="Cambria Math" w:eastAsiaTheme="minorEastAsia" w:hAnsi="Cambria Math" w:cstheme="majorBidi"/>
                        <w:sz w:val="24"/>
                        <w:szCs w:val="24"/>
                      </w:rPr>
                      <m:t>θ</m:t>
                    </m:r>
                  </m:e>
                </m:acc>
              </m:e>
              <m:sub>
                <m:r>
                  <w:rPr>
                    <w:rFonts w:ascii="Cambria Math" w:eastAsiaTheme="minorEastAsia" w:hAnsi="Cambria Math" w:cstheme="majorBidi"/>
                    <w:sz w:val="24"/>
                    <w:szCs w:val="24"/>
                  </w:rPr>
                  <m:t>ij</m:t>
                </m:r>
              </m:sub>
            </m:sSub>
            <m:d>
              <m:dPr>
                <m:ctrlPr>
                  <w:rPr>
                    <w:rFonts w:ascii="Cambria Math" w:eastAsiaTheme="minorEastAsia" w:hAnsi="Cambria Math" w:cstheme="majorBidi"/>
                    <w:sz w:val="24"/>
                    <w:szCs w:val="24"/>
                  </w:rPr>
                </m:ctrlPr>
              </m:dPr>
              <m:e>
                <m:r>
                  <w:rPr>
                    <w:rFonts w:ascii="Cambria Math" w:eastAsiaTheme="minorEastAsia" w:hAnsi="Cambria Math" w:cstheme="majorBidi"/>
                    <w:sz w:val="24"/>
                    <w:szCs w:val="24"/>
                  </w:rPr>
                  <m:t>H</m:t>
                </m:r>
              </m:e>
            </m:d>
          </m:e>
        </m:d>
        <m:r>
          <w:rPr>
            <w:rFonts w:ascii="Cambria Math" w:eastAsiaTheme="minorEastAsia" w:hAnsi="Cambria Math" w:cstheme="majorBidi"/>
            <w:sz w:val="24"/>
            <w:szCs w:val="24"/>
          </w:rPr>
          <m:t>.</m:t>
        </m:r>
      </m:oMath>
      <w:r>
        <w:rPr>
          <w:rFonts w:asciiTheme="majorBidi" w:eastAsiaTheme="minorEastAsia" w:hAnsiTheme="majorBidi" w:cstheme="majorBidi"/>
          <w:sz w:val="24"/>
          <w:szCs w:val="24"/>
        </w:rPr>
        <w:t xml:space="preserve">                                                                                                (8)</w:t>
      </w:r>
    </w:p>
    <w:p w:rsidR="00981744" w:rsidRDefault="00981744" w:rsidP="00981744">
      <w:pPr>
        <w:spacing w:after="0" w:line="480" w:lineRule="auto"/>
        <w:jc w:val="both"/>
        <w:rPr>
          <w:rFonts w:asciiTheme="majorBidi" w:eastAsiaTheme="minorEastAsia" w:hAnsiTheme="majorBidi" w:cstheme="majorBidi"/>
          <w:sz w:val="24"/>
          <w:szCs w:val="24"/>
        </w:rPr>
      </w:pPr>
      <w:r w:rsidRPr="00981744">
        <w:rPr>
          <w:rFonts w:asciiTheme="majorBidi" w:eastAsiaTheme="minorEastAsia" w:hAnsiTheme="majorBidi" w:cstheme="majorBidi"/>
          <w:sz w:val="24"/>
          <w:szCs w:val="24"/>
        </w:rPr>
        <w:t>The bidirectional net pairwise connectivity is explained by Eq. (8). A negative</w:t>
      </w:r>
      <w:r w:rsidR="00C30B2C">
        <w:rPr>
          <w:rFonts w:asciiTheme="majorBidi" w:eastAsiaTheme="minorEastAsia" w:hAnsiTheme="majorBidi" w:cstheme="majorBidi"/>
          <w:sz w:val="24"/>
          <w:szCs w:val="24"/>
        </w:rPr>
        <w:t xml:space="preserve"> value indicates that variable </w:t>
      </w:r>
      <m:oMath>
        <m:d>
          <m:dPr>
            <m:ctrlPr>
              <w:rPr>
                <w:rFonts w:ascii="Cambria Math" w:eastAsiaTheme="minorEastAsia" w:hAnsi="Cambria Math" w:cstheme="majorBidi"/>
                <w:sz w:val="24"/>
                <w:szCs w:val="24"/>
              </w:rPr>
            </m:ctrlPr>
          </m:dPr>
          <m:e>
            <m:r>
              <w:rPr>
                <w:rFonts w:ascii="Cambria Math" w:eastAsiaTheme="minorEastAsia" w:hAnsi="Cambria Math" w:cstheme="majorBidi"/>
                <w:sz w:val="24"/>
                <w:szCs w:val="24"/>
              </w:rPr>
              <m:t>j</m:t>
            </m:r>
          </m:e>
        </m:d>
      </m:oMath>
      <w:r w:rsidRPr="00981744">
        <w:rPr>
          <w:rFonts w:asciiTheme="majorBidi" w:eastAsiaTheme="minorEastAsia" w:hAnsiTheme="majorBidi" w:cstheme="majorBidi"/>
          <w:sz w:val="24"/>
          <w:szCs w:val="24"/>
        </w:rPr>
        <w:t xml:space="preserve"> has a g</w:t>
      </w:r>
      <w:r w:rsidR="00C30B2C">
        <w:rPr>
          <w:rFonts w:asciiTheme="majorBidi" w:eastAsiaTheme="minorEastAsia" w:hAnsiTheme="majorBidi" w:cstheme="majorBidi"/>
          <w:sz w:val="24"/>
          <w:szCs w:val="24"/>
        </w:rPr>
        <w:t xml:space="preserve">reater influence than variable </w:t>
      </w:r>
      <m:oMath>
        <m:d>
          <m:dPr>
            <m:ctrlPr>
              <w:rPr>
                <w:rFonts w:ascii="Cambria Math" w:eastAsiaTheme="minorEastAsia" w:hAnsi="Cambria Math" w:cstheme="majorBidi"/>
                <w:sz w:val="24"/>
                <w:szCs w:val="24"/>
              </w:rPr>
            </m:ctrlPr>
          </m:dPr>
          <m:e>
            <m:r>
              <w:rPr>
                <w:rFonts w:ascii="Cambria Math" w:eastAsiaTheme="minorEastAsia" w:hAnsi="Cambria Math" w:cstheme="majorBidi"/>
                <w:sz w:val="24"/>
                <w:szCs w:val="24"/>
              </w:rPr>
              <m:t>i</m:t>
            </m:r>
          </m:e>
        </m:d>
      </m:oMath>
      <w:r w:rsidR="00C30B2C">
        <w:rPr>
          <w:rFonts w:asciiTheme="majorBidi" w:eastAsiaTheme="minorEastAsia" w:hAnsiTheme="majorBidi" w:cstheme="majorBidi"/>
          <w:sz w:val="24"/>
          <w:szCs w:val="24"/>
        </w:rPr>
        <w:t xml:space="preserve">. Nevertheless, the variable </w:t>
      </w:r>
      <m:oMath>
        <m:d>
          <m:dPr>
            <m:ctrlPr>
              <w:rPr>
                <w:rFonts w:ascii="Cambria Math" w:eastAsiaTheme="minorEastAsia" w:hAnsi="Cambria Math" w:cstheme="majorBidi"/>
                <w:sz w:val="24"/>
                <w:szCs w:val="24"/>
              </w:rPr>
            </m:ctrlPr>
          </m:dPr>
          <m:e>
            <m:r>
              <w:rPr>
                <w:rFonts w:ascii="Cambria Math" w:eastAsiaTheme="minorEastAsia" w:hAnsi="Cambria Math" w:cstheme="majorBidi"/>
                <w:sz w:val="24"/>
                <w:szCs w:val="24"/>
              </w:rPr>
              <m:t>i</m:t>
            </m:r>
          </m:e>
        </m:d>
      </m:oMath>
      <w:r w:rsidRPr="00981744">
        <w:rPr>
          <w:rFonts w:asciiTheme="majorBidi" w:eastAsiaTheme="minorEastAsia" w:hAnsiTheme="majorBidi" w:cstheme="majorBidi"/>
          <w:sz w:val="24"/>
          <w:szCs w:val="24"/>
        </w:rPr>
        <w:t xml:space="preserve"> </w:t>
      </w:r>
      <w:r w:rsidR="00C30B2C">
        <w:rPr>
          <w:rFonts w:asciiTheme="majorBidi" w:eastAsiaTheme="minorEastAsia" w:hAnsiTheme="majorBidi" w:cstheme="majorBidi"/>
          <w:sz w:val="24"/>
          <w:szCs w:val="24"/>
        </w:rPr>
        <w:t xml:space="preserve">takes precedence over variable </w:t>
      </w:r>
      <m:oMath>
        <m:d>
          <m:dPr>
            <m:ctrlPr>
              <w:rPr>
                <w:rFonts w:ascii="Cambria Math" w:eastAsiaTheme="minorEastAsia" w:hAnsi="Cambria Math" w:cstheme="majorBidi"/>
                <w:sz w:val="24"/>
                <w:szCs w:val="24"/>
              </w:rPr>
            </m:ctrlPr>
          </m:dPr>
          <m:e>
            <m:r>
              <w:rPr>
                <w:rFonts w:ascii="Cambria Math" w:eastAsiaTheme="minorEastAsia" w:hAnsi="Cambria Math" w:cstheme="majorBidi"/>
                <w:sz w:val="24"/>
                <w:szCs w:val="24"/>
              </w:rPr>
              <m:t>j</m:t>
            </m:r>
          </m:e>
        </m:d>
      </m:oMath>
      <w:r w:rsidR="00C30B2C">
        <w:rPr>
          <w:rFonts w:asciiTheme="majorBidi" w:eastAsiaTheme="minorEastAsia" w:hAnsiTheme="majorBidi" w:cstheme="majorBidi"/>
          <w:sz w:val="24"/>
          <w:szCs w:val="24"/>
        </w:rPr>
        <w:t xml:space="preserve"> if </w:t>
      </w:r>
      <m:oMath>
        <m:d>
          <m:dPr>
            <m:ctrlPr>
              <w:rPr>
                <w:rFonts w:ascii="Cambria Math" w:eastAsiaTheme="minorEastAsia" w:hAnsi="Cambria Math" w:cstheme="majorBidi"/>
                <w:sz w:val="24"/>
                <w:szCs w:val="24"/>
              </w:rPr>
            </m:ctrlPr>
          </m:dPr>
          <m:e>
            <m:r>
              <w:rPr>
                <w:rFonts w:ascii="Cambria Math" w:eastAsiaTheme="minorEastAsia" w:hAnsi="Cambria Math" w:cstheme="majorBidi"/>
                <w:sz w:val="24"/>
                <w:szCs w:val="24"/>
              </w:rPr>
              <m:t>N</m:t>
            </m:r>
            <m:sSub>
              <m:sSubPr>
                <m:ctrlPr>
                  <w:rPr>
                    <w:rFonts w:ascii="Cambria Math" w:eastAsiaTheme="minorEastAsia" w:hAnsi="Cambria Math" w:cstheme="majorBidi"/>
                    <w:sz w:val="24"/>
                    <w:szCs w:val="24"/>
                  </w:rPr>
                </m:ctrlPr>
              </m:sSubPr>
              <m:e>
                <m:r>
                  <m:rPr>
                    <m:sty m:val="p"/>
                  </m:rPr>
                  <w:rPr>
                    <w:rFonts w:ascii="Cambria Math" w:eastAsiaTheme="minorEastAsia" w:hAnsi="Cambria Math" w:cstheme="majorBidi"/>
                    <w:sz w:val="24"/>
                    <w:szCs w:val="24"/>
                  </w:rPr>
                  <m:t>PDC</m:t>
                </m:r>
              </m:e>
              <m:sub>
                <m:r>
                  <w:rPr>
                    <w:rFonts w:ascii="Cambria Math" w:eastAsiaTheme="minorEastAsia" w:hAnsi="Cambria Math" w:cstheme="majorBidi"/>
                    <w:sz w:val="24"/>
                    <w:szCs w:val="24"/>
                  </w:rPr>
                  <m:t>i</m:t>
                </m:r>
                <m:acc>
                  <m:accPr>
                    <m:chr m:val="̇"/>
                    <m:ctrlPr>
                      <w:rPr>
                        <w:rFonts w:ascii="Cambria Math" w:eastAsiaTheme="minorEastAsia" w:hAnsi="Cambria Math" w:cstheme="majorBidi"/>
                        <w:sz w:val="24"/>
                        <w:szCs w:val="24"/>
                      </w:rPr>
                    </m:ctrlPr>
                  </m:accPr>
                  <m:e>
                    <m:r>
                      <w:rPr>
                        <w:rFonts w:ascii="Cambria Math" w:eastAsiaTheme="minorEastAsia" w:hAnsi="Cambria Math" w:cstheme="majorBidi"/>
                        <w:sz w:val="24"/>
                        <w:szCs w:val="24"/>
                      </w:rPr>
                      <m:t>j</m:t>
                    </m:r>
                  </m:e>
                </m:acc>
              </m:sub>
            </m:sSub>
            <m:d>
              <m:dPr>
                <m:ctrlPr>
                  <w:rPr>
                    <w:rFonts w:ascii="Cambria Math" w:eastAsiaTheme="minorEastAsia" w:hAnsi="Cambria Math" w:cstheme="majorBidi"/>
                    <w:sz w:val="24"/>
                    <w:szCs w:val="24"/>
                  </w:rPr>
                </m:ctrlPr>
              </m:dPr>
              <m:e>
                <m:r>
                  <w:rPr>
                    <w:rFonts w:ascii="Cambria Math" w:eastAsiaTheme="minorEastAsia" w:hAnsi="Cambria Math" w:cstheme="majorBidi"/>
                    <w:sz w:val="24"/>
                    <w:szCs w:val="24"/>
                  </w:rPr>
                  <m:t>H</m:t>
                </m:r>
              </m:e>
            </m:d>
            <m:r>
              <w:rPr>
                <w:rFonts w:ascii="Cambria Math" w:eastAsiaTheme="minorEastAsia" w:hAnsi="Cambria Math" w:cstheme="majorBidi"/>
                <w:sz w:val="24"/>
                <w:szCs w:val="24"/>
              </w:rPr>
              <m:t>&gt;0</m:t>
            </m:r>
          </m:e>
        </m:d>
      </m:oMath>
      <w:r w:rsidR="00C30B2C">
        <w:rPr>
          <w:rFonts w:asciiTheme="majorBidi" w:eastAsiaTheme="minorEastAsia" w:hAnsiTheme="majorBidi" w:cstheme="majorBidi"/>
          <w:sz w:val="24"/>
          <w:szCs w:val="24"/>
        </w:rPr>
        <w:t>.</w:t>
      </w:r>
    </w:p>
    <w:p w:rsidR="00C30B2C" w:rsidRDefault="00C30B2C" w:rsidP="003114E3">
      <w:pPr>
        <w:spacing w:after="0" w:line="480" w:lineRule="auto"/>
        <w:jc w:val="both"/>
        <w:rPr>
          <w:rFonts w:asciiTheme="majorBidi" w:eastAsiaTheme="minorEastAsia" w:hAnsiTheme="majorBidi" w:cstheme="majorBidi"/>
          <w:sz w:val="24"/>
          <w:szCs w:val="24"/>
        </w:rPr>
      </w:pPr>
      <w:r w:rsidRPr="00C30B2C">
        <w:rPr>
          <w:rFonts w:asciiTheme="majorBidi" w:eastAsiaTheme="minorEastAsia" w:hAnsiTheme="majorBidi" w:cstheme="majorBidi"/>
          <w:sz w:val="24"/>
          <w:szCs w:val="24"/>
        </w:rPr>
        <w:lastRenderedPageBreak/>
        <w:t xml:space="preserve">Utilizing the techniques of </w:t>
      </w:r>
      <w:r w:rsidR="003114E3">
        <w:rPr>
          <w:rFonts w:asciiTheme="majorBidi" w:eastAsiaTheme="minorEastAsia" w:hAnsiTheme="majorBidi" w:cstheme="majorBidi"/>
          <w:sz w:val="24"/>
          <w:szCs w:val="24"/>
        </w:rPr>
        <w:fldChar w:fldCharType="begin" w:fldLock="1"/>
      </w:r>
      <w:r w:rsidR="003114E3">
        <w:rPr>
          <w:rFonts w:asciiTheme="majorBidi" w:eastAsiaTheme="minorEastAsia" w:hAnsiTheme="majorBidi" w:cstheme="majorBidi"/>
          <w:sz w:val="24"/>
          <w:szCs w:val="24"/>
        </w:rPr>
        <w:instrText>ADDIN CSL_CITATION {"citationItems":[{"id":"ITEM-1","itemData":{"DOI":"10.1016/J.ENPOL.2020.111709","abstract":"From an analysis of 729 completed energy sector outward foreign direct investment (OFDI) deals by Chinese firms from 2005 to 2016, this paper evaluated the Chinese OFDI greening tendencies and the links to host country energy structures and energy efficiency, for which PSM-DID analysis was used to control the influence of endogeneity resulting from missing variables. It was found that Chinese firms tended to invest in green projects when the host countries had better political environments, natural resource endowments and higher energy efficiencies, but lower carbon dioxide intensities, less developed energy structures, technologies and infrastructures. It was also found that the Belt and Road Initiative (BRI) had a strong policy effect on the greening of Chinese OFDI in the related countries and areas and especially in developing countries. Because the Chinese firms chose to invest in clean energy projects as a result of the new BRI policy framework, this research shed light on the Chinese OFDI policy responses.","author":[{"dropping-particle":"","family":"Liu","given":"Haiyue","non-dropping-particle":"","parse-names":false,"suffix":""},{"dropping-particle":"","family":"Wang","given":"Yile","non-dropping-particle":"","parse-names":false,"suffix":""},{"dropping-particle":"","family":"Jiang","given":"Jie","non-dropping-particle":"","parse-names":false,"suffix":""},{"dropping-particle":"","family":"Wu","given":"Peng","non-dropping-particle":"","parse-names":false,"suffix":""}],"container-title":"Energy Policy","id":"ITEM-1","issued":{"date-parts":[["2020","10"]]},"publisher":"Elsevier Ltd","title":"How green is the “Belt and Road Initiative”? – Evidence from Chinese OFDI in the energy sector","type":"article-journal","volume":"145"},"uris":["http://www.mendeley.com/documents/?uuid=4da92041-614f-4343-8701-84079ed60e7a"]}],"mendeley":{"formattedCitation":"(H. Liu et al., 2020)","plainTextFormattedCitation":"(H. Liu et al., 2020)","previouslyFormattedCitation":"(H. Liu et al., 2020)"},"properties":{"noteIndex":0},"schema":"https://github.com/citation-style-language/schema/raw/master/csl-citation.json"}</w:instrText>
      </w:r>
      <w:r w:rsidR="003114E3">
        <w:rPr>
          <w:rFonts w:asciiTheme="majorBidi" w:eastAsiaTheme="minorEastAsia" w:hAnsiTheme="majorBidi" w:cstheme="majorBidi"/>
          <w:sz w:val="24"/>
          <w:szCs w:val="24"/>
        </w:rPr>
        <w:fldChar w:fldCharType="separate"/>
      </w:r>
      <w:r w:rsidR="003114E3" w:rsidRPr="003114E3">
        <w:rPr>
          <w:rFonts w:asciiTheme="majorBidi" w:eastAsiaTheme="minorEastAsia" w:hAnsiTheme="majorBidi" w:cstheme="majorBidi"/>
          <w:noProof/>
          <w:sz w:val="24"/>
          <w:szCs w:val="24"/>
        </w:rPr>
        <w:t>(H. Liu et al., 2020)</w:t>
      </w:r>
      <w:r w:rsidR="003114E3">
        <w:rPr>
          <w:rFonts w:asciiTheme="majorBidi" w:eastAsiaTheme="minorEastAsia" w:hAnsiTheme="majorBidi" w:cstheme="majorBidi"/>
          <w:sz w:val="24"/>
          <w:szCs w:val="24"/>
        </w:rPr>
        <w:fldChar w:fldCharType="end"/>
      </w:r>
      <w:r w:rsidRPr="00C30B2C">
        <w:rPr>
          <w:rFonts w:asciiTheme="majorBidi" w:eastAsiaTheme="minorEastAsia" w:hAnsiTheme="majorBidi" w:cstheme="majorBidi"/>
          <w:sz w:val="24"/>
          <w:szCs w:val="24"/>
        </w:rPr>
        <w:t>, we used a VAR (1) model, applying the AIC criteria to determine the appropriate lag order. We used a 20-step horizon to predict system dynamics. Furthermore, using a 100-day rolling window in conjunction with the TVP-VAR connectivity index, we examined the time-varying spillovers within the carbon-stock system, providing insights into dynamic interdependencies.</w:t>
      </w:r>
    </w:p>
    <w:p w:rsidR="00C30B2C" w:rsidRDefault="00D962D8" w:rsidP="003114E3">
      <w:pPr>
        <w:spacing w:after="0" w:line="480" w:lineRule="auto"/>
        <w:jc w:val="both"/>
        <w:rPr>
          <w:rFonts w:asciiTheme="majorBidi" w:eastAsiaTheme="minorEastAsia" w:hAnsiTheme="majorBidi" w:cstheme="majorBidi"/>
          <w:sz w:val="24"/>
          <w:szCs w:val="24"/>
        </w:rPr>
      </w:pPr>
      <w:r w:rsidRPr="00D962D8">
        <w:rPr>
          <w:rFonts w:asciiTheme="majorBidi" w:eastAsiaTheme="minorEastAsia" w:hAnsiTheme="majorBidi" w:cstheme="majorBidi"/>
          <w:sz w:val="24"/>
          <w:szCs w:val="24"/>
        </w:rPr>
        <w:t xml:space="preserve">Subsequently, according to </w:t>
      </w:r>
      <w:r w:rsidR="003114E3">
        <w:rPr>
          <w:rFonts w:asciiTheme="majorBidi" w:eastAsiaTheme="minorEastAsia" w:hAnsiTheme="majorBidi" w:cstheme="majorBidi"/>
          <w:sz w:val="24"/>
          <w:szCs w:val="24"/>
        </w:rPr>
        <w:fldChar w:fldCharType="begin" w:fldLock="1"/>
      </w:r>
      <w:r w:rsidR="003114E3">
        <w:rPr>
          <w:rFonts w:asciiTheme="majorBidi" w:eastAsiaTheme="minorEastAsia" w:hAnsiTheme="majorBidi" w:cstheme="majorBidi"/>
          <w:sz w:val="24"/>
          <w:szCs w:val="24"/>
        </w:rPr>
        <w:instrText>ADDIN CSL_CITATION {"citationItems":[{"id":"ITEM-1","itemData":{"DOI":"10.1016/j.rser.2013.01.003","ISSN":"13640321","abstract":"An innovative energy model is explored for techno-economic feasibility evaluation, taking into consideration the geographical advantages, government policies, regional incentives and energy certificates. In India, two energy certification schemes have been started, namely, the Renewable Energy Certification (REC) mechanism, successfully implemented in India during 2011, and the Perform, Achieve and Trade (PAT) for the Enhanced Energy Efficiency Programme in 2012. This paper reviews the state of the art in designing an energy model at a specific location, with the consideration of solar, wind and ground sources for renewable energy and fossil fuel, to gain optimum performances in energy certificate scenario. The key design issues about boundary and target settings for REC and PAT energy certificates are discussed to review the financial performance of the schemes taking into considerations energy generators, designated consumers and traders in the market. Due to major impact of micro-medium and small industries (MSME) on Indian economy, this paper discusses the possibilities of inclusion of MSME in PAT scheme. One more addition in PAT scheme, with respect to large unit with marginal available fund for technology upgradation/financially sick unit, invites the creation of consolidated fund, which will support technology absorption and role of state Government policies for funding this mechanism. The energy model provides the estimation and prediction of hybrid power generation in regard to the parameters of resource potential, technology, efficiency and consumption pattern. The monitoring, statistical and prediction model with inbuilt mechanism for REC and PAT incentives is explored. © 2013 Elsevier Ltd. All rights reserved.","author":[{"dropping-particle":"","family":"Kumar","given":"Rajesh","non-dropping-particle":"","parse-names":false,"suffix":""},{"dropping-particle":"","family":"Agarwala","given":"Arun","non-dropping-particle":"","parse-names":false,"suffix":""}],"container-title":"Renewable and Sustainable Energy Reviews","id":"ITEM-1","issued":{"date-parts":[["2013"]]},"title":"Energy certificates REC and PAT sustenance to energy model for India","type":"article"},"uris":["http://www.mendeley.com/documents/?uuid=18f9e828-9947-4b67-b67d-8e5120249bd3"]}],"mendeley":{"formattedCitation":"(Kumar &amp; Agarwala, 2013)","plainTextFormattedCitation":"(Kumar &amp; Agarwala, 2013)","previouslyFormattedCitation":"(Kumar &amp; Agarwala, 2013)"},"properties":{"noteIndex":0},"schema":"https://github.com/citation-style-language/schema/raw/master/csl-citation.json"}</w:instrText>
      </w:r>
      <w:r w:rsidR="003114E3">
        <w:rPr>
          <w:rFonts w:asciiTheme="majorBidi" w:eastAsiaTheme="minorEastAsia" w:hAnsiTheme="majorBidi" w:cstheme="majorBidi"/>
          <w:sz w:val="24"/>
          <w:szCs w:val="24"/>
        </w:rPr>
        <w:fldChar w:fldCharType="separate"/>
      </w:r>
      <w:r w:rsidR="003114E3" w:rsidRPr="003114E3">
        <w:rPr>
          <w:rFonts w:asciiTheme="majorBidi" w:eastAsiaTheme="minorEastAsia" w:hAnsiTheme="majorBidi" w:cstheme="majorBidi"/>
          <w:noProof/>
          <w:sz w:val="24"/>
          <w:szCs w:val="24"/>
        </w:rPr>
        <w:t>(Kumar &amp; Agarwala, 2013)</w:t>
      </w:r>
      <w:r w:rsidR="003114E3">
        <w:rPr>
          <w:rFonts w:asciiTheme="majorBidi" w:eastAsiaTheme="minorEastAsia" w:hAnsiTheme="majorBidi" w:cstheme="majorBidi"/>
          <w:sz w:val="24"/>
          <w:szCs w:val="24"/>
        </w:rPr>
        <w:fldChar w:fldCharType="end"/>
      </w:r>
      <w:r w:rsidRPr="00D962D8">
        <w:rPr>
          <w:rFonts w:asciiTheme="majorBidi" w:eastAsiaTheme="minorEastAsia" w:hAnsiTheme="majorBidi" w:cstheme="majorBidi"/>
          <w:sz w:val="24"/>
          <w:szCs w:val="24"/>
        </w:rPr>
        <w:t xml:space="preserve">, we calculate the static and dynamic optimum weights and hedging ratio between energy cryptocurrencies and stocks using the variance-covariance matrix derived from the TVP-VAR model. According to </w:t>
      </w:r>
      <w:r w:rsidR="003114E3">
        <w:rPr>
          <w:rFonts w:asciiTheme="majorBidi" w:eastAsiaTheme="minorEastAsia" w:hAnsiTheme="majorBidi" w:cstheme="majorBidi"/>
          <w:sz w:val="24"/>
          <w:szCs w:val="24"/>
        </w:rPr>
        <w:fldChar w:fldCharType="begin" w:fldLock="1"/>
      </w:r>
      <w:r w:rsidR="003114E3">
        <w:rPr>
          <w:rFonts w:asciiTheme="majorBidi" w:eastAsiaTheme="minorEastAsia" w:hAnsiTheme="majorBidi" w:cstheme="majorBidi"/>
          <w:sz w:val="24"/>
          <w:szCs w:val="24"/>
        </w:rPr>
        <w:instrText>ADDIN CSL_CITATION {"citationItems":[{"id":"ITEM-1","itemData":{"ISSN":"0360-5442","author":[{"dropping-particle":"","family":"Özkara","given":"Yücel","non-dropping-particle":"","parse-names":false,"suffix":""},{"dropping-particle":"","family":"Atak","given":"Mehmet","non-dropping-particle":"","parse-names":false,"suffix":""}],"container-title":"Energy","id":"ITEM-1","issued":{"date-parts":[["2015"]]},"page":"495-510","publisher":"Elsevier","title":"Regional total-factor energy efficiency and electricity saving potential of manufacturing industry in Turkey","type":"article-journal","volume":"93"},"uris":["http://www.mendeley.com/documents/?uuid=1e926c96-84b3-47df-be8a-4e16595c4cdd"]}],"mendeley":{"formattedCitation":"(Özkara &amp; Atak, 2015)","plainTextFormattedCitation":"(Özkara &amp; Atak, 2015)","previouslyFormattedCitation":"(Özkara &amp; Atak, 2015)"},"properties":{"noteIndex":0},"schema":"https://github.com/citation-style-language/schema/raw/master/csl-citation.json"}</w:instrText>
      </w:r>
      <w:r w:rsidR="003114E3">
        <w:rPr>
          <w:rFonts w:asciiTheme="majorBidi" w:eastAsiaTheme="minorEastAsia" w:hAnsiTheme="majorBidi" w:cstheme="majorBidi"/>
          <w:sz w:val="24"/>
          <w:szCs w:val="24"/>
        </w:rPr>
        <w:fldChar w:fldCharType="separate"/>
      </w:r>
      <w:r w:rsidR="003114E3" w:rsidRPr="003114E3">
        <w:rPr>
          <w:rFonts w:asciiTheme="majorBidi" w:eastAsiaTheme="minorEastAsia" w:hAnsiTheme="majorBidi" w:cstheme="majorBidi"/>
          <w:noProof/>
          <w:sz w:val="24"/>
          <w:szCs w:val="24"/>
        </w:rPr>
        <w:t>(Özkara &amp; Atak, 2015)</w:t>
      </w:r>
      <w:r w:rsidR="003114E3">
        <w:rPr>
          <w:rFonts w:asciiTheme="majorBidi" w:eastAsiaTheme="minorEastAsia" w:hAnsiTheme="majorBidi" w:cstheme="majorBidi"/>
          <w:sz w:val="24"/>
          <w:szCs w:val="24"/>
        </w:rPr>
        <w:fldChar w:fldCharType="end"/>
      </w:r>
      <w:r w:rsidRPr="00D962D8">
        <w:rPr>
          <w:rFonts w:asciiTheme="majorBidi" w:eastAsiaTheme="minorEastAsia" w:hAnsiTheme="majorBidi" w:cstheme="majorBidi"/>
          <w:sz w:val="24"/>
          <w:szCs w:val="24"/>
        </w:rPr>
        <w:t>, the best asset allocation for any potential combination of stock and energy coins within a portfolio may be ascertained as follows:</w:t>
      </w:r>
    </w:p>
    <w:p w:rsidR="00D962D8" w:rsidRDefault="00DD48BA" w:rsidP="00D962D8">
      <w:pPr>
        <w:spacing w:after="0" w:line="480" w:lineRule="auto"/>
        <w:jc w:val="both"/>
        <w:rPr>
          <w:rFonts w:asciiTheme="majorBidi" w:eastAsiaTheme="minorEastAsia" w:hAnsiTheme="majorBidi" w:cstheme="majorBidi"/>
          <w:sz w:val="24"/>
          <w:szCs w:val="24"/>
        </w:rPr>
      </w:pPr>
      <m:oMath>
        <m:sSub>
          <m:sSubPr>
            <m:ctrlPr>
              <w:rPr>
                <w:rFonts w:ascii="Cambria Math" w:eastAsiaTheme="minorEastAsia" w:hAnsi="Cambria Math" w:cstheme="majorBidi"/>
                <w:sz w:val="24"/>
                <w:szCs w:val="24"/>
              </w:rPr>
            </m:ctrlPr>
          </m:sSubPr>
          <m:e>
            <m:r>
              <w:rPr>
                <w:rFonts w:ascii="Cambria Math" w:eastAsiaTheme="minorEastAsia" w:hAnsi="Cambria Math" w:cstheme="majorBidi"/>
                <w:sz w:val="24"/>
                <w:szCs w:val="24"/>
              </w:rPr>
              <m:t>W</m:t>
            </m:r>
          </m:e>
          <m:sub>
            <m:r>
              <w:rPr>
                <w:rFonts w:ascii="Cambria Math" w:eastAsiaTheme="minorEastAsia" w:hAnsi="Cambria Math" w:cstheme="majorBidi"/>
                <w:sz w:val="24"/>
                <w:szCs w:val="24"/>
              </w:rPr>
              <m:t>xy,t</m:t>
            </m:r>
          </m:sub>
        </m:sSub>
        <m:r>
          <w:rPr>
            <w:rFonts w:ascii="Cambria Math" w:eastAsiaTheme="minorEastAsia" w:hAnsi="Cambria Math" w:cstheme="majorBidi"/>
            <w:sz w:val="24"/>
            <w:szCs w:val="24"/>
          </w:rPr>
          <m:t>=</m:t>
        </m:r>
        <m:f>
          <m:fPr>
            <m:ctrlPr>
              <w:rPr>
                <w:rFonts w:ascii="Cambria Math" w:eastAsiaTheme="minorEastAsia" w:hAnsi="Cambria Math" w:cstheme="majorBidi"/>
                <w:sz w:val="24"/>
                <w:szCs w:val="24"/>
              </w:rPr>
            </m:ctrlPr>
          </m:fPr>
          <m:num>
            <m:sSub>
              <m:sSubPr>
                <m:ctrlPr>
                  <w:rPr>
                    <w:rFonts w:ascii="Cambria Math" w:eastAsiaTheme="minorEastAsia" w:hAnsi="Cambria Math" w:cstheme="majorBidi"/>
                    <w:sz w:val="24"/>
                    <w:szCs w:val="24"/>
                  </w:rPr>
                </m:ctrlPr>
              </m:sSubPr>
              <m:e>
                <m:r>
                  <w:rPr>
                    <w:rFonts w:ascii="Cambria Math" w:eastAsiaTheme="minorEastAsia" w:hAnsi="Cambria Math" w:cstheme="majorBidi"/>
                    <w:sz w:val="24"/>
                    <w:szCs w:val="24"/>
                  </w:rPr>
                  <m:t>h</m:t>
                </m:r>
              </m:e>
              <m:sub>
                <m:r>
                  <w:rPr>
                    <w:rFonts w:ascii="Cambria Math" w:eastAsiaTheme="minorEastAsia" w:hAnsi="Cambria Math" w:cstheme="majorBidi"/>
                    <w:sz w:val="24"/>
                    <w:szCs w:val="24"/>
                  </w:rPr>
                  <m:t>y,t</m:t>
                </m:r>
              </m:sub>
            </m:sSub>
            <m:r>
              <w:rPr>
                <w:rFonts w:ascii="Cambria Math" w:eastAsiaTheme="minorEastAsia" w:hAnsi="Cambria Math" w:cstheme="majorBidi"/>
                <w:sz w:val="24"/>
                <w:szCs w:val="24"/>
              </w:rPr>
              <m:t>-</m:t>
            </m:r>
            <m:sSub>
              <m:sSubPr>
                <m:ctrlPr>
                  <w:rPr>
                    <w:rFonts w:ascii="Cambria Math" w:eastAsiaTheme="minorEastAsia" w:hAnsi="Cambria Math" w:cstheme="majorBidi"/>
                    <w:sz w:val="24"/>
                    <w:szCs w:val="24"/>
                  </w:rPr>
                </m:ctrlPr>
              </m:sSubPr>
              <m:e>
                <m:r>
                  <w:rPr>
                    <w:rFonts w:ascii="Cambria Math" w:eastAsiaTheme="minorEastAsia" w:hAnsi="Cambria Math" w:cstheme="majorBidi"/>
                    <w:sz w:val="24"/>
                    <w:szCs w:val="24"/>
                  </w:rPr>
                  <m:t>h</m:t>
                </m:r>
              </m:e>
              <m:sub>
                <m:r>
                  <w:rPr>
                    <w:rFonts w:ascii="Cambria Math" w:eastAsiaTheme="minorEastAsia" w:hAnsi="Cambria Math" w:cstheme="majorBidi"/>
                    <w:sz w:val="24"/>
                    <w:szCs w:val="24"/>
                  </w:rPr>
                  <m:t>xy,t</m:t>
                </m:r>
              </m:sub>
            </m:sSub>
          </m:num>
          <m:den>
            <m:sSub>
              <m:sSubPr>
                <m:ctrlPr>
                  <w:rPr>
                    <w:rFonts w:ascii="Cambria Math" w:eastAsiaTheme="minorEastAsia" w:hAnsi="Cambria Math" w:cstheme="majorBidi"/>
                    <w:sz w:val="24"/>
                    <w:szCs w:val="24"/>
                  </w:rPr>
                </m:ctrlPr>
              </m:sSubPr>
              <m:e>
                <m:r>
                  <w:rPr>
                    <w:rFonts w:ascii="Cambria Math" w:eastAsiaTheme="minorEastAsia" w:hAnsi="Cambria Math" w:cstheme="majorBidi"/>
                    <w:sz w:val="24"/>
                    <w:szCs w:val="24"/>
                  </w:rPr>
                  <m:t>h</m:t>
                </m:r>
              </m:e>
              <m:sub>
                <m:r>
                  <w:rPr>
                    <w:rFonts w:ascii="Cambria Math" w:eastAsiaTheme="minorEastAsia" w:hAnsi="Cambria Math" w:cstheme="majorBidi"/>
                    <w:sz w:val="24"/>
                    <w:szCs w:val="24"/>
                  </w:rPr>
                  <m:t>x,y</m:t>
                </m:r>
              </m:sub>
            </m:sSub>
            <m:r>
              <w:rPr>
                <w:rFonts w:ascii="Cambria Math" w:eastAsiaTheme="minorEastAsia" w:hAnsi="Cambria Math" w:cstheme="majorBidi"/>
                <w:sz w:val="24"/>
                <w:szCs w:val="24"/>
              </w:rPr>
              <m:t>-2</m:t>
            </m:r>
            <m:sSub>
              <m:sSubPr>
                <m:ctrlPr>
                  <w:rPr>
                    <w:rFonts w:ascii="Cambria Math" w:eastAsiaTheme="minorEastAsia" w:hAnsi="Cambria Math" w:cstheme="majorBidi"/>
                    <w:sz w:val="24"/>
                    <w:szCs w:val="24"/>
                  </w:rPr>
                </m:ctrlPr>
              </m:sSubPr>
              <m:e>
                <m:r>
                  <w:rPr>
                    <w:rFonts w:ascii="Cambria Math" w:eastAsiaTheme="minorEastAsia" w:hAnsi="Cambria Math" w:cstheme="majorBidi"/>
                    <w:sz w:val="24"/>
                    <w:szCs w:val="24"/>
                  </w:rPr>
                  <m:t>h</m:t>
                </m:r>
              </m:e>
              <m:sub>
                <m:r>
                  <w:rPr>
                    <w:rFonts w:ascii="Cambria Math" w:eastAsiaTheme="minorEastAsia" w:hAnsi="Cambria Math" w:cstheme="majorBidi"/>
                    <w:sz w:val="24"/>
                    <w:szCs w:val="24"/>
                  </w:rPr>
                  <m:t>xy,t</m:t>
                </m:r>
              </m:sub>
            </m:sSub>
            <m:r>
              <w:rPr>
                <w:rFonts w:ascii="Cambria Math" w:eastAsiaTheme="minorEastAsia" w:hAnsi="Cambria Math" w:cstheme="majorBidi"/>
                <w:sz w:val="24"/>
                <w:szCs w:val="24"/>
              </w:rPr>
              <m:t>+</m:t>
            </m:r>
            <m:sSub>
              <m:sSubPr>
                <m:ctrlPr>
                  <w:rPr>
                    <w:rFonts w:ascii="Cambria Math" w:eastAsiaTheme="minorEastAsia" w:hAnsi="Cambria Math" w:cstheme="majorBidi"/>
                    <w:sz w:val="24"/>
                    <w:szCs w:val="24"/>
                  </w:rPr>
                </m:ctrlPr>
              </m:sSubPr>
              <m:e>
                <m:r>
                  <w:rPr>
                    <w:rFonts w:ascii="Cambria Math" w:eastAsiaTheme="minorEastAsia" w:hAnsi="Cambria Math" w:cstheme="majorBidi"/>
                    <w:sz w:val="24"/>
                    <w:szCs w:val="24"/>
                  </w:rPr>
                  <m:t>h</m:t>
                </m:r>
              </m:e>
              <m:sub>
                <m:r>
                  <w:rPr>
                    <w:rFonts w:ascii="Cambria Math" w:eastAsiaTheme="minorEastAsia" w:hAnsi="Cambria Math" w:cstheme="majorBidi"/>
                    <w:sz w:val="24"/>
                    <w:szCs w:val="24"/>
                  </w:rPr>
                  <m:t>y,t</m:t>
                </m:r>
              </m:sub>
            </m:sSub>
          </m:den>
        </m:f>
      </m:oMath>
      <w:r w:rsidR="00D962D8">
        <w:rPr>
          <w:rFonts w:asciiTheme="majorBidi" w:eastAsiaTheme="minorEastAsia" w:hAnsiTheme="majorBidi" w:cstheme="majorBidi"/>
          <w:sz w:val="24"/>
          <w:szCs w:val="24"/>
        </w:rPr>
        <w:t xml:space="preserve">                                                                                                              (9)</w:t>
      </w:r>
    </w:p>
    <w:p w:rsidR="00D962D8" w:rsidRDefault="00DD48BA" w:rsidP="00D962D8">
      <w:pPr>
        <w:spacing w:after="0" w:line="480" w:lineRule="auto"/>
        <w:jc w:val="both"/>
        <w:rPr>
          <w:rFonts w:asciiTheme="majorBidi" w:eastAsiaTheme="minorEastAsia" w:hAnsiTheme="majorBidi" w:cstheme="majorBidi"/>
          <w:sz w:val="24"/>
          <w:szCs w:val="24"/>
        </w:rPr>
      </w:pPr>
      <m:oMath>
        <m:sSub>
          <m:sSubPr>
            <m:ctrlPr>
              <w:rPr>
                <w:rFonts w:ascii="Cambria Math" w:eastAsiaTheme="minorEastAsia" w:hAnsi="Cambria Math" w:cstheme="majorBidi"/>
                <w:sz w:val="24"/>
                <w:szCs w:val="24"/>
              </w:rPr>
            </m:ctrlPr>
          </m:sSubPr>
          <m:e>
            <m:r>
              <w:rPr>
                <w:rFonts w:ascii="Cambria Math" w:eastAsiaTheme="minorEastAsia" w:hAnsi="Cambria Math" w:cstheme="majorBidi"/>
                <w:sz w:val="24"/>
                <w:szCs w:val="24"/>
              </w:rPr>
              <m:t>W</m:t>
            </m:r>
          </m:e>
          <m:sub>
            <m:r>
              <w:rPr>
                <w:rFonts w:ascii="Cambria Math" w:eastAsiaTheme="minorEastAsia" w:hAnsi="Cambria Math" w:cstheme="majorBidi"/>
                <w:sz w:val="24"/>
                <w:szCs w:val="24"/>
              </w:rPr>
              <m:t>xy,t</m:t>
            </m:r>
          </m:sub>
        </m:sSub>
        <m:r>
          <w:rPr>
            <w:rFonts w:ascii="Cambria Math" w:eastAsiaTheme="minorEastAsia" w:hAnsi="Cambria Math" w:cstheme="majorBidi"/>
            <w:sz w:val="24"/>
            <w:szCs w:val="24"/>
          </w:rPr>
          <m:t>=</m:t>
        </m:r>
        <m:d>
          <m:dPr>
            <m:begChr m:val="{"/>
            <m:endChr m:val=""/>
            <m:ctrlPr>
              <w:rPr>
                <w:rFonts w:ascii="Cambria Math" w:eastAsiaTheme="minorEastAsia" w:hAnsi="Cambria Math" w:cstheme="majorBidi"/>
                <w:sz w:val="24"/>
                <w:szCs w:val="24"/>
              </w:rPr>
            </m:ctrlPr>
          </m:dPr>
          <m:e>
            <m:eqArr>
              <m:eqArrPr>
                <m:ctrlPr>
                  <w:rPr>
                    <w:rFonts w:ascii="Cambria Math" w:eastAsiaTheme="minorEastAsia" w:hAnsi="Cambria Math" w:cstheme="majorBidi"/>
                    <w:sz w:val="24"/>
                    <w:szCs w:val="24"/>
                  </w:rPr>
                </m:ctrlPr>
              </m:eqArrPr>
              <m:e>
                <m:r>
                  <w:rPr>
                    <w:rFonts w:ascii="Cambria Math" w:eastAsiaTheme="minorEastAsia" w:hAnsi="Cambria Math" w:cstheme="majorBidi"/>
                    <w:sz w:val="24"/>
                    <w:szCs w:val="24"/>
                  </w:rPr>
                  <m:t>0,If</m:t>
                </m:r>
                <m:sSub>
                  <m:sSubPr>
                    <m:ctrlPr>
                      <w:rPr>
                        <w:rFonts w:ascii="Cambria Math" w:eastAsiaTheme="minorEastAsia" w:hAnsi="Cambria Math" w:cstheme="majorBidi"/>
                        <w:sz w:val="24"/>
                        <w:szCs w:val="24"/>
                      </w:rPr>
                    </m:ctrlPr>
                  </m:sSubPr>
                  <m:e>
                    <m:r>
                      <w:rPr>
                        <w:rFonts w:ascii="Cambria Math" w:eastAsiaTheme="minorEastAsia" w:hAnsi="Cambria Math" w:cstheme="majorBidi"/>
                        <w:sz w:val="24"/>
                        <w:szCs w:val="24"/>
                      </w:rPr>
                      <m:t>W</m:t>
                    </m:r>
                  </m:e>
                  <m:sub>
                    <m:r>
                      <w:rPr>
                        <w:rFonts w:ascii="Cambria Math" w:eastAsiaTheme="minorEastAsia" w:hAnsi="Cambria Math" w:cstheme="majorBidi"/>
                        <w:sz w:val="24"/>
                        <w:szCs w:val="24"/>
                      </w:rPr>
                      <m:t>xy,t</m:t>
                    </m:r>
                  </m:sub>
                </m:sSub>
                <m:r>
                  <w:rPr>
                    <w:rFonts w:ascii="Cambria Math" w:eastAsiaTheme="minorEastAsia" w:hAnsi="Cambria Math" w:cstheme="majorBidi"/>
                    <w:sz w:val="24"/>
                    <w:szCs w:val="24"/>
                  </w:rPr>
                  <m:t>&lt;0</m:t>
                </m:r>
              </m:e>
              <m:e>
                <m:sSub>
                  <m:sSubPr>
                    <m:ctrlPr>
                      <w:rPr>
                        <w:rFonts w:ascii="Cambria Math" w:eastAsiaTheme="minorEastAsia" w:hAnsi="Cambria Math" w:cstheme="majorBidi"/>
                        <w:sz w:val="24"/>
                        <w:szCs w:val="24"/>
                      </w:rPr>
                    </m:ctrlPr>
                  </m:sSubPr>
                  <m:e>
                    <m:r>
                      <w:rPr>
                        <w:rFonts w:ascii="Cambria Math" w:eastAsiaTheme="minorEastAsia" w:hAnsi="Cambria Math" w:cstheme="majorBidi"/>
                        <w:sz w:val="24"/>
                        <w:szCs w:val="24"/>
                      </w:rPr>
                      <m:t>W</m:t>
                    </m:r>
                  </m:e>
                  <m:sub>
                    <m:r>
                      <w:rPr>
                        <w:rFonts w:ascii="Cambria Math" w:eastAsiaTheme="minorEastAsia" w:hAnsi="Cambria Math" w:cstheme="majorBidi"/>
                        <w:sz w:val="24"/>
                        <w:szCs w:val="24"/>
                      </w:rPr>
                      <m:t>xy,t</m:t>
                    </m:r>
                  </m:sub>
                </m:sSub>
                <m:r>
                  <w:rPr>
                    <w:rFonts w:ascii="Cambria Math" w:eastAsiaTheme="minorEastAsia" w:hAnsi="Cambria Math" w:cstheme="majorBidi"/>
                    <w:sz w:val="24"/>
                    <w:szCs w:val="24"/>
                  </w:rPr>
                  <m:t>,If0≤</m:t>
                </m:r>
                <m:sSub>
                  <m:sSubPr>
                    <m:ctrlPr>
                      <w:rPr>
                        <w:rFonts w:ascii="Cambria Math" w:eastAsiaTheme="minorEastAsia" w:hAnsi="Cambria Math" w:cstheme="majorBidi"/>
                        <w:sz w:val="24"/>
                        <w:szCs w:val="24"/>
                      </w:rPr>
                    </m:ctrlPr>
                  </m:sSubPr>
                  <m:e>
                    <m:r>
                      <w:rPr>
                        <w:rFonts w:ascii="Cambria Math" w:eastAsiaTheme="minorEastAsia" w:hAnsi="Cambria Math" w:cstheme="majorBidi"/>
                        <w:sz w:val="24"/>
                        <w:szCs w:val="24"/>
                      </w:rPr>
                      <m:t>W</m:t>
                    </m:r>
                  </m:e>
                  <m:sub>
                    <m:r>
                      <w:rPr>
                        <w:rFonts w:ascii="Cambria Math" w:eastAsiaTheme="minorEastAsia" w:hAnsi="Cambria Math" w:cstheme="majorBidi"/>
                        <w:sz w:val="24"/>
                        <w:szCs w:val="24"/>
                      </w:rPr>
                      <m:t>xy,t</m:t>
                    </m:r>
                  </m:sub>
                </m:sSub>
                <m:r>
                  <w:rPr>
                    <w:rFonts w:ascii="Cambria Math" w:eastAsiaTheme="minorEastAsia" w:hAnsi="Cambria Math" w:cstheme="majorBidi"/>
                    <w:sz w:val="24"/>
                    <w:szCs w:val="24"/>
                  </w:rPr>
                  <m:t>≤1</m:t>
                </m:r>
              </m:e>
              <m:e>
                <m:r>
                  <w:rPr>
                    <w:rFonts w:ascii="Cambria Math" w:eastAsiaTheme="minorEastAsia" w:hAnsi="Cambria Math" w:cstheme="majorBidi"/>
                    <w:sz w:val="24"/>
                    <w:szCs w:val="24"/>
                  </w:rPr>
                  <m:t>1,If</m:t>
                </m:r>
                <m:sSub>
                  <m:sSubPr>
                    <m:ctrlPr>
                      <w:rPr>
                        <w:rFonts w:ascii="Cambria Math" w:eastAsiaTheme="minorEastAsia" w:hAnsi="Cambria Math" w:cstheme="majorBidi"/>
                        <w:sz w:val="24"/>
                        <w:szCs w:val="24"/>
                      </w:rPr>
                    </m:ctrlPr>
                  </m:sSubPr>
                  <m:e>
                    <m:r>
                      <w:rPr>
                        <w:rFonts w:ascii="Cambria Math" w:eastAsiaTheme="minorEastAsia" w:hAnsi="Cambria Math" w:cstheme="majorBidi"/>
                        <w:sz w:val="24"/>
                        <w:szCs w:val="24"/>
                      </w:rPr>
                      <m:t>W</m:t>
                    </m:r>
                  </m:e>
                  <m:sub>
                    <m:r>
                      <w:rPr>
                        <w:rFonts w:ascii="Cambria Math" w:eastAsiaTheme="minorEastAsia" w:hAnsi="Cambria Math" w:cstheme="majorBidi"/>
                        <w:sz w:val="24"/>
                        <w:szCs w:val="24"/>
                      </w:rPr>
                      <m:t>xy,t</m:t>
                    </m:r>
                  </m:sub>
                </m:sSub>
                <m:r>
                  <w:rPr>
                    <w:rFonts w:ascii="Cambria Math" w:eastAsiaTheme="minorEastAsia" w:hAnsi="Cambria Math" w:cstheme="majorBidi"/>
                    <w:sz w:val="24"/>
                    <w:szCs w:val="24"/>
                  </w:rPr>
                  <m:t>&gt;1</m:t>
                </m:r>
              </m:e>
            </m:eqArr>
          </m:e>
        </m:d>
      </m:oMath>
      <w:r w:rsidR="00D962D8">
        <w:rPr>
          <w:rFonts w:asciiTheme="majorBidi" w:eastAsiaTheme="minorEastAsia" w:hAnsiTheme="majorBidi" w:cstheme="majorBidi"/>
          <w:sz w:val="24"/>
          <w:szCs w:val="24"/>
        </w:rPr>
        <w:t xml:space="preserve">                                                                                             (10)</w:t>
      </w:r>
    </w:p>
    <w:p w:rsidR="00D962D8" w:rsidRDefault="00D962D8" w:rsidP="003114E3">
      <w:pPr>
        <w:spacing w:after="0" w:line="480" w:lineRule="auto"/>
        <w:jc w:val="both"/>
        <w:rPr>
          <w:rFonts w:asciiTheme="majorBidi" w:eastAsiaTheme="minorEastAsia" w:hAnsiTheme="majorBidi" w:cstheme="majorBidi"/>
          <w:sz w:val="24"/>
          <w:szCs w:val="24"/>
        </w:rPr>
      </w:pPr>
      <w:r w:rsidRPr="00D962D8">
        <w:rPr>
          <w:rFonts w:asciiTheme="majorBidi" w:eastAsiaTheme="minorEastAsia" w:hAnsiTheme="majorBidi" w:cstheme="majorBidi"/>
          <w:sz w:val="24"/>
          <w:szCs w:val="24"/>
        </w:rPr>
        <w:t xml:space="preserve">When a portfolio has a total value of $1, </w:t>
      </w:r>
      <m:oMath>
        <m:sSub>
          <m:sSubPr>
            <m:ctrlPr>
              <w:rPr>
                <w:rFonts w:ascii="Cambria Math" w:eastAsiaTheme="minorEastAsia" w:hAnsi="Cambria Math" w:cstheme="majorBidi"/>
                <w:sz w:val="24"/>
                <w:szCs w:val="24"/>
              </w:rPr>
            </m:ctrlPr>
          </m:sSubPr>
          <m:e>
            <m:r>
              <w:rPr>
                <w:rFonts w:ascii="Cambria Math" w:eastAsiaTheme="minorEastAsia" w:hAnsi="Cambria Math" w:cstheme="majorBidi"/>
                <w:sz w:val="24"/>
                <w:szCs w:val="24"/>
              </w:rPr>
              <m:t>W</m:t>
            </m:r>
          </m:e>
          <m:sub>
            <m:r>
              <w:rPr>
                <w:rFonts w:ascii="Cambria Math" w:eastAsiaTheme="minorEastAsia" w:hAnsi="Cambria Math" w:cstheme="majorBidi"/>
                <w:sz w:val="24"/>
                <w:szCs w:val="24"/>
              </w:rPr>
              <m:t>xy,t</m:t>
            </m:r>
          </m:sub>
        </m:sSub>
      </m:oMath>
      <w:r w:rsidRPr="00D962D8">
        <w:rPr>
          <w:rFonts w:asciiTheme="majorBidi" w:eastAsiaTheme="minorEastAsia" w:hAnsiTheme="majorBidi" w:cstheme="majorBidi"/>
          <w:sz w:val="24"/>
          <w:szCs w:val="24"/>
        </w:rPr>
        <w:t xml:space="preserve"> represents the percentage allocation to sector x (stock) at time t. The hedging ratio for each stock-cryptocurrency combination is calculated following the methodology of </w:t>
      </w:r>
      <w:r w:rsidR="003114E3">
        <w:rPr>
          <w:rFonts w:asciiTheme="majorBidi" w:eastAsiaTheme="minorEastAsia" w:hAnsiTheme="majorBidi" w:cstheme="majorBidi"/>
          <w:sz w:val="24"/>
          <w:szCs w:val="24"/>
        </w:rPr>
        <w:fldChar w:fldCharType="begin" w:fldLock="1"/>
      </w:r>
      <w:r w:rsidR="003114E3">
        <w:rPr>
          <w:rFonts w:asciiTheme="majorBidi" w:eastAsiaTheme="minorEastAsia" w:hAnsiTheme="majorBidi" w:cstheme="majorBidi"/>
          <w:sz w:val="24"/>
          <w:szCs w:val="24"/>
        </w:rPr>
        <w:instrText>ADDIN CSL_CITATION {"citationItems":[{"id":"ITEM-1","itemData":{"DOI":"10.1016/j.rser.2014.08.004","abstract":"This paper investigates the dynamic causal relationships between energy consumption, energy price and economic activity in Saudi Arabia based on a demand side approach. We use a Johansen multivariate cointegration approach and incorporate CO2 emissions as a control variable. The results indicate that there exists at least a long-run relationship between energy consumption, energy price, carbon dioxide emissions, and economic growth. Furthermore, a long-run unidirectional causality stands from energy consumption to economic growth and CO2 emissions, bidirectional causality between carbon dioxide emissions and economic growth, and a long-run unidirectional causality runs from energy price to economic growth and CO2 emissions. In the short-run, there is unidirectional causality running from CO2 emissions to energy consumption and economic output and from energy price to CO2 emissions. Even though, the energy-led growth hypothesis is valid, the share of energy consumption in explaining economic growth is minimal. Energy price is the most important factor in explaining economic growth. Hence, policies aimed at reducing energy consumption and controlling for CO2 emissions may not reduce significantly Saudi's economic growth. Investing in the use of renewable energy sources like solar and wind power is an urgent necessity to control for fossil fuel consumption and CO2 emissions.","author":[{"dropping-particle":"","family":"Alshehry","given":"Atef Saad","non-dropping-particle":"","parse-names":false,"suffix":""},{"dropping-particle":"","family":"Belloumi","given":"Mounir","non-dropping-particle":"","parse-names":false,"suffix":""}],"container-title":"Renewable and Sustainable Energy Reviews","id":"ITEM-1","issued":{"date-parts":[["2015"]]},"page":"237-247","publisher":"Elsevier Ltd","title":"Energy consumption, carbon dioxide emissions and economic growth: The case of Saudi Arabia","type":"article-journal","volume":"41"},"uris":["http://www.mendeley.com/documents/?uuid=1af4aeb2-e33b-4dd1-ac54-b0ba054a5e54"]}],"mendeley":{"formattedCitation":"(Alshehry &amp; Belloumi, 2015)","plainTextFormattedCitation":"(Alshehry &amp; Belloumi, 2015)","previouslyFormattedCitation":"(Alshehry &amp; Belloumi, 2015)"},"properties":{"noteIndex":0},"schema":"https://github.com/citation-style-language/schema/raw/master/csl-citation.json"}</w:instrText>
      </w:r>
      <w:r w:rsidR="003114E3">
        <w:rPr>
          <w:rFonts w:asciiTheme="majorBidi" w:eastAsiaTheme="minorEastAsia" w:hAnsiTheme="majorBidi" w:cstheme="majorBidi"/>
          <w:sz w:val="24"/>
          <w:szCs w:val="24"/>
        </w:rPr>
        <w:fldChar w:fldCharType="separate"/>
      </w:r>
      <w:r w:rsidR="003114E3" w:rsidRPr="003114E3">
        <w:rPr>
          <w:rFonts w:asciiTheme="majorBidi" w:eastAsiaTheme="minorEastAsia" w:hAnsiTheme="majorBidi" w:cstheme="majorBidi"/>
          <w:noProof/>
          <w:sz w:val="24"/>
          <w:szCs w:val="24"/>
        </w:rPr>
        <w:t>(Alshehry &amp; Belloumi, 2015)</w:t>
      </w:r>
      <w:r w:rsidR="003114E3">
        <w:rPr>
          <w:rFonts w:asciiTheme="majorBidi" w:eastAsiaTheme="minorEastAsia" w:hAnsiTheme="majorBidi" w:cstheme="majorBidi"/>
          <w:sz w:val="24"/>
          <w:szCs w:val="24"/>
        </w:rPr>
        <w:fldChar w:fldCharType="end"/>
      </w:r>
      <w:r w:rsidRPr="00D962D8">
        <w:rPr>
          <w:rFonts w:asciiTheme="majorBidi" w:eastAsiaTheme="minorEastAsia" w:hAnsiTheme="majorBidi" w:cstheme="majorBidi"/>
          <w:sz w:val="24"/>
          <w:szCs w:val="24"/>
        </w:rPr>
        <w:t>. It suggests hedging the risk of a long position in security x (stock) by taking a short position in security y (energy token):</w:t>
      </w:r>
    </w:p>
    <w:p w:rsidR="005C422F" w:rsidRDefault="00DD48BA" w:rsidP="00D962D8">
      <w:pPr>
        <w:spacing w:after="0" w:line="480" w:lineRule="auto"/>
        <w:jc w:val="both"/>
        <w:rPr>
          <w:rFonts w:asciiTheme="majorBidi" w:eastAsiaTheme="minorEastAsia" w:hAnsiTheme="majorBidi" w:cstheme="majorBidi"/>
          <w:sz w:val="24"/>
          <w:szCs w:val="24"/>
        </w:rPr>
      </w:pPr>
      <m:oMath>
        <m:sSub>
          <m:sSubPr>
            <m:ctrlPr>
              <w:rPr>
                <w:rFonts w:ascii="Cambria Math" w:eastAsiaTheme="minorEastAsia" w:hAnsi="Cambria Math" w:cstheme="majorBidi"/>
                <w:sz w:val="24"/>
                <w:szCs w:val="24"/>
              </w:rPr>
            </m:ctrlPr>
          </m:sSubPr>
          <m:e>
            <m:r>
              <w:rPr>
                <w:rFonts w:ascii="Cambria Math" w:eastAsiaTheme="minorEastAsia" w:hAnsi="Cambria Math" w:cstheme="majorBidi"/>
                <w:sz w:val="24"/>
                <w:szCs w:val="24"/>
              </w:rPr>
              <m:t>β</m:t>
            </m:r>
          </m:e>
          <m:sub>
            <m:r>
              <m:rPr>
                <m:sty m:val="p"/>
              </m:rPr>
              <w:rPr>
                <w:rFonts w:ascii="Cambria Math" w:eastAsiaTheme="minorEastAsia" w:hAnsi="Cambria Math" w:cstheme="majorBidi"/>
                <w:sz w:val="24"/>
                <w:szCs w:val="24"/>
              </w:rPr>
              <m:t>x</m:t>
            </m:r>
            <m:r>
              <w:rPr>
                <w:rFonts w:ascii="Cambria Math" w:eastAsiaTheme="minorEastAsia" w:hAnsi="Cambria Math" w:cstheme="majorBidi"/>
                <w:sz w:val="24"/>
                <w:szCs w:val="24"/>
              </w:rPr>
              <m:t>y,t</m:t>
            </m:r>
          </m:sub>
        </m:sSub>
        <m:r>
          <w:rPr>
            <w:rFonts w:ascii="Cambria Math" w:eastAsiaTheme="minorEastAsia" w:hAnsi="Cambria Math" w:cstheme="majorBidi"/>
            <w:sz w:val="24"/>
            <w:szCs w:val="24"/>
          </w:rPr>
          <m:t>=</m:t>
        </m:r>
        <m:f>
          <m:fPr>
            <m:ctrlPr>
              <w:rPr>
                <w:rFonts w:ascii="Cambria Math" w:eastAsiaTheme="minorEastAsia" w:hAnsi="Cambria Math" w:cstheme="majorBidi"/>
                <w:sz w:val="24"/>
                <w:szCs w:val="24"/>
              </w:rPr>
            </m:ctrlPr>
          </m:fPr>
          <m:num>
            <m:sSub>
              <m:sSubPr>
                <m:ctrlPr>
                  <w:rPr>
                    <w:rFonts w:ascii="Cambria Math" w:eastAsiaTheme="minorEastAsia" w:hAnsi="Cambria Math" w:cstheme="majorBidi"/>
                    <w:sz w:val="24"/>
                    <w:szCs w:val="24"/>
                  </w:rPr>
                </m:ctrlPr>
              </m:sSubPr>
              <m:e>
                <m:r>
                  <w:rPr>
                    <w:rFonts w:ascii="Cambria Math" w:eastAsiaTheme="minorEastAsia" w:hAnsi="Cambria Math" w:cstheme="majorBidi"/>
                    <w:sz w:val="24"/>
                    <w:szCs w:val="24"/>
                  </w:rPr>
                  <m:t>h</m:t>
                </m:r>
              </m:e>
              <m:sub>
                <m:r>
                  <w:rPr>
                    <w:rFonts w:ascii="Cambria Math" w:eastAsiaTheme="minorEastAsia" w:hAnsi="Cambria Math" w:cstheme="majorBidi"/>
                    <w:sz w:val="24"/>
                    <w:szCs w:val="24"/>
                  </w:rPr>
                  <m:t>xy,t</m:t>
                </m:r>
              </m:sub>
            </m:sSub>
          </m:num>
          <m:den>
            <m:sSub>
              <m:sSubPr>
                <m:ctrlPr>
                  <w:rPr>
                    <w:rFonts w:ascii="Cambria Math" w:eastAsiaTheme="minorEastAsia" w:hAnsi="Cambria Math" w:cstheme="majorBidi"/>
                    <w:sz w:val="24"/>
                    <w:szCs w:val="24"/>
                  </w:rPr>
                </m:ctrlPr>
              </m:sSubPr>
              <m:e>
                <m:r>
                  <w:rPr>
                    <w:rFonts w:ascii="Cambria Math" w:eastAsiaTheme="minorEastAsia" w:hAnsi="Cambria Math" w:cstheme="majorBidi"/>
                    <w:sz w:val="24"/>
                    <w:szCs w:val="24"/>
                  </w:rPr>
                  <m:t>h</m:t>
                </m:r>
              </m:e>
              <m:sub>
                <m:r>
                  <w:rPr>
                    <w:rFonts w:ascii="Cambria Math" w:eastAsiaTheme="minorEastAsia" w:hAnsi="Cambria Math" w:cstheme="majorBidi"/>
                    <w:sz w:val="24"/>
                    <w:szCs w:val="24"/>
                  </w:rPr>
                  <m:t>y,t</m:t>
                </m:r>
              </m:sub>
            </m:sSub>
          </m:den>
        </m:f>
      </m:oMath>
      <w:r w:rsidR="005C422F">
        <w:rPr>
          <w:rFonts w:asciiTheme="majorBidi" w:eastAsiaTheme="minorEastAsia" w:hAnsiTheme="majorBidi" w:cstheme="majorBidi"/>
          <w:sz w:val="24"/>
          <w:szCs w:val="24"/>
        </w:rPr>
        <w:t xml:space="preserve">                                                                                                                                 (11)</w:t>
      </w:r>
    </w:p>
    <w:p w:rsidR="009E07DD" w:rsidRPr="009E07DD" w:rsidRDefault="009E07DD" w:rsidP="009E07DD">
      <w:pPr>
        <w:pStyle w:val="Heading2"/>
        <w:spacing w:line="480" w:lineRule="auto"/>
        <w:rPr>
          <w:rFonts w:asciiTheme="majorBidi" w:hAnsiTheme="majorBidi"/>
          <w:b/>
          <w:bCs/>
          <w:color w:val="auto"/>
          <w:sz w:val="28"/>
          <w:szCs w:val="28"/>
        </w:rPr>
      </w:pPr>
      <w:r w:rsidRPr="009E07DD">
        <w:rPr>
          <w:rFonts w:asciiTheme="majorBidi" w:hAnsiTheme="majorBidi"/>
          <w:b/>
          <w:bCs/>
          <w:color w:val="auto"/>
          <w:sz w:val="28"/>
          <w:szCs w:val="28"/>
        </w:rPr>
        <w:t>3. Results and discussion</w:t>
      </w:r>
    </w:p>
    <w:p w:rsidR="009E07DD" w:rsidRDefault="009E07DD" w:rsidP="009E07DD">
      <w:pPr>
        <w:pStyle w:val="Heading3"/>
        <w:spacing w:line="480" w:lineRule="auto"/>
        <w:rPr>
          <w:rFonts w:asciiTheme="majorBidi" w:hAnsiTheme="majorBidi"/>
          <w:b/>
          <w:bCs/>
          <w:color w:val="auto"/>
        </w:rPr>
      </w:pPr>
      <w:r w:rsidRPr="009E07DD">
        <w:rPr>
          <w:rFonts w:asciiTheme="majorBidi" w:hAnsiTheme="majorBidi"/>
          <w:b/>
          <w:bCs/>
          <w:color w:val="auto"/>
        </w:rPr>
        <w:t>3.1. Descriptive statistics</w:t>
      </w:r>
    </w:p>
    <w:p w:rsidR="009E07DD" w:rsidRDefault="009E07DD" w:rsidP="005C6DCB">
      <w:pPr>
        <w:spacing w:after="0" w:line="480" w:lineRule="auto"/>
        <w:jc w:val="both"/>
        <w:rPr>
          <w:rFonts w:asciiTheme="majorBidi" w:hAnsiTheme="majorBidi" w:cstheme="majorBidi"/>
          <w:sz w:val="24"/>
          <w:szCs w:val="24"/>
        </w:rPr>
      </w:pPr>
      <w:r w:rsidRPr="009E07DD">
        <w:rPr>
          <w:rFonts w:asciiTheme="majorBidi" w:hAnsiTheme="majorBidi" w:cstheme="majorBidi"/>
          <w:sz w:val="24"/>
          <w:szCs w:val="24"/>
        </w:rPr>
        <w:t xml:space="preserve">Table 1 delineates the risk-return attributes of BRICS markets and renewable energy tokens (GRID, POWR, SNC, and WPR) throughout three separate temporal intervals, providing insights </w:t>
      </w:r>
      <w:r w:rsidRPr="009E07DD">
        <w:rPr>
          <w:rFonts w:asciiTheme="majorBidi" w:hAnsiTheme="majorBidi" w:cstheme="majorBidi"/>
          <w:sz w:val="24"/>
          <w:szCs w:val="24"/>
        </w:rPr>
        <w:lastRenderedPageBreak/>
        <w:t>into their performance under diverse situations. Throughout the entire sample period, all BRICS markets, except China, realized positive returns, exemplifying the "higher risk, higher return" notion often seen in conventional markets. Conversely, renewable energy tokens had negative returns along with substantial volatility, indicating a considerable risk profile. This pattern remained in the pre-COVID-19 era, where BRICS markets demonstrated positive returns with much-reduced volatility, in contrast to the constantly negative returns and huge oscillations of renewable energy tokens.  During the COVID-19 epidemic, a significant change occurred. All BRICS markets exhibited positive returns with less volatility, but renewable energy tokens, excluding WPR, had favorable average returns, indicating a unique risk-return profile during crises. These results highlight the potential for renewable energy tokens to exhibit distinct behavior compared to traditional financial markets during global instability. Notwithstanding their superior average return during COVID-19, renewable energy tokens were much riskier than the BRICS markets. This indicates that while renewable energy tokens are now higher-risk assets, they may function as alternative or supplementary investments during periods of economic instability.</w:t>
      </w:r>
    </w:p>
    <w:p w:rsidR="009E07DD" w:rsidRPr="005C6DCB" w:rsidRDefault="009E07DD" w:rsidP="005C6DCB">
      <w:pPr>
        <w:spacing w:after="0" w:line="240" w:lineRule="auto"/>
        <w:rPr>
          <w:rFonts w:asciiTheme="majorBidi" w:eastAsia="Times New Roman" w:hAnsiTheme="majorBidi" w:cstheme="majorBidi"/>
          <w:color w:val="1F1F1F"/>
          <w:sz w:val="20"/>
          <w:szCs w:val="20"/>
        </w:rPr>
      </w:pPr>
      <w:r w:rsidRPr="005C6DCB">
        <w:rPr>
          <w:rFonts w:asciiTheme="majorBidi" w:eastAsia="Times New Roman" w:hAnsiTheme="majorBidi" w:cstheme="majorBidi"/>
          <w:color w:val="1F1F1F"/>
          <w:sz w:val="20"/>
          <w:szCs w:val="20"/>
        </w:rPr>
        <w:t>Table 1. Sum</w:t>
      </w:r>
      <w:r w:rsidR="005C6DCB" w:rsidRPr="005C6DCB">
        <w:rPr>
          <w:rFonts w:asciiTheme="majorBidi" w:eastAsia="Times New Roman" w:hAnsiTheme="majorBidi" w:cstheme="majorBidi"/>
          <w:color w:val="1F1F1F"/>
          <w:sz w:val="20"/>
          <w:szCs w:val="20"/>
        </w:rPr>
        <w:t>mary of Descriptive Statistics.</w:t>
      </w:r>
    </w:p>
    <w:p w:rsidR="009E07DD" w:rsidRPr="005C6DCB" w:rsidRDefault="009E07DD" w:rsidP="005C6DCB">
      <w:pPr>
        <w:spacing w:after="0" w:line="240" w:lineRule="auto"/>
        <w:rPr>
          <w:rFonts w:asciiTheme="majorBidi" w:eastAsia="Times New Roman" w:hAnsiTheme="majorBidi" w:cstheme="majorBidi"/>
          <w:color w:val="1F1F1F"/>
          <w:sz w:val="20"/>
          <w:szCs w:val="20"/>
        </w:rPr>
      </w:pPr>
    </w:p>
    <w:tbl>
      <w:tblPr>
        <w:tblW w:w="5000" w:type="pct"/>
        <w:tblBorders>
          <w:top w:val="single" w:sz="6" w:space="0" w:color="8E8E8E"/>
          <w:bottom w:val="single" w:sz="6" w:space="0" w:color="8E8E8E"/>
        </w:tblBorders>
        <w:tblCellMar>
          <w:left w:w="0" w:type="dxa"/>
          <w:right w:w="0" w:type="dxa"/>
        </w:tblCellMar>
        <w:tblLook w:val="04A0" w:firstRow="1" w:lastRow="0" w:firstColumn="1" w:lastColumn="0" w:noHBand="0" w:noVBand="1"/>
      </w:tblPr>
      <w:tblGrid>
        <w:gridCol w:w="809"/>
        <w:gridCol w:w="982"/>
        <w:gridCol w:w="878"/>
        <w:gridCol w:w="877"/>
        <w:gridCol w:w="877"/>
        <w:gridCol w:w="981"/>
        <w:gridCol w:w="877"/>
        <w:gridCol w:w="981"/>
        <w:gridCol w:w="1155"/>
        <w:gridCol w:w="943"/>
      </w:tblGrid>
      <w:tr w:rsidR="009E07DD" w:rsidRPr="009E07DD" w:rsidTr="005C6DCB">
        <w:trPr>
          <w:tblHeader/>
        </w:trPr>
        <w:tc>
          <w:tcPr>
            <w:tcW w:w="5000" w:type="pct"/>
            <w:gridSpan w:val="10"/>
            <w:tcBorders>
              <w:top w:val="single" w:sz="4" w:space="0" w:color="auto"/>
              <w:bottom w:val="nil"/>
              <w:right w:val="nil"/>
            </w:tcBorders>
            <w:tcMar>
              <w:top w:w="75" w:type="dxa"/>
              <w:left w:w="75" w:type="dxa"/>
              <w:bottom w:w="75" w:type="dxa"/>
              <w:right w:w="75" w:type="dxa"/>
            </w:tcMar>
            <w:hideMark/>
          </w:tcPr>
          <w:p w:rsidR="009E07DD" w:rsidRPr="009E07DD" w:rsidRDefault="009E07DD" w:rsidP="009E07DD">
            <w:pPr>
              <w:spacing w:after="0" w:line="240" w:lineRule="auto"/>
              <w:jc w:val="center"/>
              <w:rPr>
                <w:rFonts w:asciiTheme="majorBidi" w:eastAsia="Times New Roman" w:hAnsiTheme="majorBidi" w:cstheme="majorBidi"/>
                <w:b/>
                <w:bCs/>
                <w:sz w:val="20"/>
                <w:szCs w:val="20"/>
              </w:rPr>
            </w:pPr>
            <w:r w:rsidRPr="009E07DD">
              <w:rPr>
                <w:rFonts w:asciiTheme="majorBidi" w:eastAsia="Times New Roman" w:hAnsiTheme="majorBidi" w:cstheme="majorBidi"/>
                <w:b/>
                <w:bCs/>
                <w:sz w:val="20"/>
                <w:szCs w:val="20"/>
              </w:rPr>
              <w:t>Panel A: Full sample (February 22, 2018, to September 15, 2023)</w:t>
            </w:r>
          </w:p>
        </w:tc>
      </w:tr>
      <w:tr w:rsidR="009E07DD" w:rsidRPr="009E07DD" w:rsidTr="005C6DCB">
        <w:trPr>
          <w:tblHeader/>
        </w:trPr>
        <w:tc>
          <w:tcPr>
            <w:tcW w:w="432" w:type="pct"/>
            <w:tcBorders>
              <w:bottom w:val="single" w:sz="6" w:space="0" w:color="8E8E8E"/>
              <w:right w:val="nil"/>
            </w:tcBorders>
            <w:tcMar>
              <w:top w:w="75" w:type="dxa"/>
              <w:left w:w="75" w:type="dxa"/>
              <w:bottom w:w="75" w:type="dxa"/>
              <w:right w:w="75" w:type="dxa"/>
            </w:tcMar>
            <w:hideMark/>
          </w:tcPr>
          <w:p w:rsidR="009E07DD" w:rsidRPr="009E07DD" w:rsidRDefault="009E07DD" w:rsidP="009E07DD">
            <w:pPr>
              <w:spacing w:after="0" w:line="240" w:lineRule="auto"/>
              <w:rPr>
                <w:rFonts w:asciiTheme="majorBidi" w:eastAsia="Times New Roman" w:hAnsiTheme="majorBidi" w:cstheme="majorBidi"/>
                <w:sz w:val="20"/>
                <w:szCs w:val="20"/>
              </w:rPr>
            </w:pPr>
          </w:p>
        </w:tc>
        <w:tc>
          <w:tcPr>
            <w:tcW w:w="525" w:type="pct"/>
            <w:tcBorders>
              <w:bottom w:val="single" w:sz="6" w:space="0" w:color="8E8E8E"/>
              <w:right w:val="nil"/>
            </w:tcBorders>
            <w:tcMar>
              <w:top w:w="75" w:type="dxa"/>
              <w:left w:w="75" w:type="dxa"/>
              <w:bottom w:w="75" w:type="dxa"/>
              <w:right w:w="75" w:type="dxa"/>
            </w:tcMar>
            <w:hideMark/>
          </w:tcPr>
          <w:p w:rsidR="009E07DD" w:rsidRPr="009E07DD" w:rsidRDefault="009E07DD" w:rsidP="009E07DD">
            <w:pPr>
              <w:spacing w:after="0" w:line="240" w:lineRule="auto"/>
              <w:jc w:val="center"/>
              <w:rPr>
                <w:rFonts w:asciiTheme="majorBidi" w:eastAsia="Times New Roman" w:hAnsiTheme="majorBidi" w:cstheme="majorBidi"/>
                <w:b/>
                <w:bCs/>
                <w:sz w:val="20"/>
                <w:szCs w:val="20"/>
              </w:rPr>
            </w:pPr>
            <w:r w:rsidRPr="009E07DD">
              <w:rPr>
                <w:rFonts w:asciiTheme="majorBidi" w:eastAsia="Times New Roman" w:hAnsiTheme="majorBidi" w:cstheme="majorBidi"/>
                <w:b/>
                <w:bCs/>
                <w:sz w:val="20"/>
                <w:szCs w:val="20"/>
              </w:rPr>
              <w:t>GRID</w:t>
            </w:r>
          </w:p>
        </w:tc>
        <w:tc>
          <w:tcPr>
            <w:tcW w:w="469" w:type="pct"/>
            <w:tcBorders>
              <w:bottom w:val="single" w:sz="6" w:space="0" w:color="8E8E8E"/>
              <w:right w:val="nil"/>
            </w:tcBorders>
            <w:tcMar>
              <w:top w:w="75" w:type="dxa"/>
              <w:left w:w="75" w:type="dxa"/>
              <w:bottom w:w="75" w:type="dxa"/>
              <w:right w:w="75" w:type="dxa"/>
            </w:tcMar>
            <w:hideMark/>
          </w:tcPr>
          <w:p w:rsidR="009E07DD" w:rsidRPr="009E07DD" w:rsidRDefault="009E07DD" w:rsidP="009E07DD">
            <w:pPr>
              <w:spacing w:after="0" w:line="240" w:lineRule="auto"/>
              <w:jc w:val="center"/>
              <w:rPr>
                <w:rFonts w:asciiTheme="majorBidi" w:eastAsia="Times New Roman" w:hAnsiTheme="majorBidi" w:cstheme="majorBidi"/>
                <w:b/>
                <w:bCs/>
                <w:sz w:val="20"/>
                <w:szCs w:val="20"/>
              </w:rPr>
            </w:pPr>
            <w:r w:rsidRPr="009E07DD">
              <w:rPr>
                <w:rFonts w:asciiTheme="majorBidi" w:eastAsia="Times New Roman" w:hAnsiTheme="majorBidi" w:cstheme="majorBidi"/>
                <w:b/>
                <w:bCs/>
                <w:sz w:val="20"/>
                <w:szCs w:val="20"/>
              </w:rPr>
              <w:t>POWR</w:t>
            </w:r>
          </w:p>
        </w:tc>
        <w:tc>
          <w:tcPr>
            <w:tcW w:w="468" w:type="pct"/>
            <w:tcBorders>
              <w:bottom w:val="single" w:sz="6" w:space="0" w:color="8E8E8E"/>
              <w:right w:val="nil"/>
            </w:tcBorders>
            <w:tcMar>
              <w:top w:w="75" w:type="dxa"/>
              <w:left w:w="75" w:type="dxa"/>
              <w:bottom w:w="75" w:type="dxa"/>
              <w:right w:w="75" w:type="dxa"/>
            </w:tcMar>
            <w:hideMark/>
          </w:tcPr>
          <w:p w:rsidR="009E07DD" w:rsidRPr="009E07DD" w:rsidRDefault="009E07DD" w:rsidP="009E07DD">
            <w:pPr>
              <w:spacing w:after="0" w:line="240" w:lineRule="auto"/>
              <w:jc w:val="center"/>
              <w:rPr>
                <w:rFonts w:asciiTheme="majorBidi" w:eastAsia="Times New Roman" w:hAnsiTheme="majorBidi" w:cstheme="majorBidi"/>
                <w:b/>
                <w:bCs/>
                <w:sz w:val="20"/>
                <w:szCs w:val="20"/>
              </w:rPr>
            </w:pPr>
            <w:r w:rsidRPr="009E07DD">
              <w:rPr>
                <w:rFonts w:asciiTheme="majorBidi" w:eastAsia="Times New Roman" w:hAnsiTheme="majorBidi" w:cstheme="majorBidi"/>
                <w:b/>
                <w:bCs/>
                <w:sz w:val="20"/>
                <w:szCs w:val="20"/>
              </w:rPr>
              <w:t>SNC</w:t>
            </w:r>
          </w:p>
        </w:tc>
        <w:tc>
          <w:tcPr>
            <w:tcW w:w="468" w:type="pct"/>
            <w:tcBorders>
              <w:bottom w:val="single" w:sz="6" w:space="0" w:color="8E8E8E"/>
              <w:right w:val="nil"/>
            </w:tcBorders>
            <w:tcMar>
              <w:top w:w="75" w:type="dxa"/>
              <w:left w:w="75" w:type="dxa"/>
              <w:bottom w:w="75" w:type="dxa"/>
              <w:right w:w="75" w:type="dxa"/>
            </w:tcMar>
            <w:hideMark/>
          </w:tcPr>
          <w:p w:rsidR="009E07DD" w:rsidRPr="009E07DD" w:rsidRDefault="009E07DD" w:rsidP="009E07DD">
            <w:pPr>
              <w:spacing w:after="0" w:line="240" w:lineRule="auto"/>
              <w:jc w:val="center"/>
              <w:rPr>
                <w:rFonts w:asciiTheme="majorBidi" w:eastAsia="Times New Roman" w:hAnsiTheme="majorBidi" w:cstheme="majorBidi"/>
                <w:b/>
                <w:bCs/>
                <w:sz w:val="20"/>
                <w:szCs w:val="20"/>
              </w:rPr>
            </w:pPr>
            <w:r w:rsidRPr="009E07DD">
              <w:rPr>
                <w:rFonts w:asciiTheme="majorBidi" w:eastAsia="Times New Roman" w:hAnsiTheme="majorBidi" w:cstheme="majorBidi"/>
                <w:b/>
                <w:bCs/>
                <w:sz w:val="20"/>
                <w:szCs w:val="20"/>
              </w:rPr>
              <w:t>WPR</w:t>
            </w:r>
          </w:p>
        </w:tc>
        <w:tc>
          <w:tcPr>
            <w:tcW w:w="524" w:type="pct"/>
            <w:tcBorders>
              <w:bottom w:val="single" w:sz="6" w:space="0" w:color="8E8E8E"/>
              <w:right w:val="nil"/>
            </w:tcBorders>
            <w:tcMar>
              <w:top w:w="75" w:type="dxa"/>
              <w:left w:w="75" w:type="dxa"/>
              <w:bottom w:w="75" w:type="dxa"/>
              <w:right w:w="75" w:type="dxa"/>
            </w:tcMar>
            <w:hideMark/>
          </w:tcPr>
          <w:p w:rsidR="009E07DD" w:rsidRPr="009E07DD" w:rsidRDefault="009E07DD" w:rsidP="009E07DD">
            <w:pPr>
              <w:spacing w:after="0" w:line="240" w:lineRule="auto"/>
              <w:jc w:val="center"/>
              <w:rPr>
                <w:rFonts w:asciiTheme="majorBidi" w:eastAsia="Times New Roman" w:hAnsiTheme="majorBidi" w:cstheme="majorBidi"/>
                <w:b/>
                <w:bCs/>
                <w:sz w:val="20"/>
                <w:szCs w:val="20"/>
              </w:rPr>
            </w:pPr>
            <w:r w:rsidRPr="009E07DD">
              <w:rPr>
                <w:rFonts w:asciiTheme="majorBidi" w:eastAsia="Times New Roman" w:hAnsiTheme="majorBidi" w:cstheme="majorBidi"/>
                <w:b/>
                <w:bCs/>
                <w:sz w:val="20"/>
                <w:szCs w:val="20"/>
              </w:rPr>
              <w:t>Brazil</w:t>
            </w:r>
          </w:p>
        </w:tc>
        <w:tc>
          <w:tcPr>
            <w:tcW w:w="468" w:type="pct"/>
            <w:tcBorders>
              <w:bottom w:val="single" w:sz="6" w:space="0" w:color="8E8E8E"/>
              <w:right w:val="nil"/>
            </w:tcBorders>
            <w:tcMar>
              <w:top w:w="75" w:type="dxa"/>
              <w:left w:w="75" w:type="dxa"/>
              <w:bottom w:w="75" w:type="dxa"/>
              <w:right w:w="75" w:type="dxa"/>
            </w:tcMar>
            <w:hideMark/>
          </w:tcPr>
          <w:p w:rsidR="009E07DD" w:rsidRPr="009E07DD" w:rsidRDefault="009E07DD" w:rsidP="009E07DD">
            <w:pPr>
              <w:spacing w:after="0" w:line="240" w:lineRule="auto"/>
              <w:jc w:val="center"/>
              <w:rPr>
                <w:rFonts w:asciiTheme="majorBidi" w:eastAsia="Times New Roman" w:hAnsiTheme="majorBidi" w:cstheme="majorBidi"/>
                <w:b/>
                <w:bCs/>
                <w:sz w:val="20"/>
                <w:szCs w:val="20"/>
              </w:rPr>
            </w:pPr>
            <w:r w:rsidRPr="009E07DD">
              <w:rPr>
                <w:rFonts w:asciiTheme="majorBidi" w:eastAsia="Times New Roman" w:hAnsiTheme="majorBidi" w:cstheme="majorBidi"/>
                <w:b/>
                <w:bCs/>
                <w:sz w:val="20"/>
                <w:szCs w:val="20"/>
              </w:rPr>
              <w:t>China</w:t>
            </w:r>
          </w:p>
        </w:tc>
        <w:tc>
          <w:tcPr>
            <w:tcW w:w="524" w:type="pct"/>
            <w:tcBorders>
              <w:bottom w:val="single" w:sz="6" w:space="0" w:color="8E8E8E"/>
              <w:right w:val="nil"/>
            </w:tcBorders>
            <w:tcMar>
              <w:top w:w="75" w:type="dxa"/>
              <w:left w:w="75" w:type="dxa"/>
              <w:bottom w:w="75" w:type="dxa"/>
              <w:right w:w="75" w:type="dxa"/>
            </w:tcMar>
            <w:hideMark/>
          </w:tcPr>
          <w:p w:rsidR="009E07DD" w:rsidRPr="009E07DD" w:rsidRDefault="009E07DD" w:rsidP="009E07DD">
            <w:pPr>
              <w:spacing w:after="0" w:line="240" w:lineRule="auto"/>
              <w:jc w:val="center"/>
              <w:rPr>
                <w:rFonts w:asciiTheme="majorBidi" w:eastAsia="Times New Roman" w:hAnsiTheme="majorBidi" w:cstheme="majorBidi"/>
                <w:b/>
                <w:bCs/>
                <w:sz w:val="20"/>
                <w:szCs w:val="20"/>
              </w:rPr>
            </w:pPr>
            <w:r w:rsidRPr="009E07DD">
              <w:rPr>
                <w:rFonts w:asciiTheme="majorBidi" w:eastAsia="Times New Roman" w:hAnsiTheme="majorBidi" w:cstheme="majorBidi"/>
                <w:b/>
                <w:bCs/>
                <w:sz w:val="20"/>
                <w:szCs w:val="20"/>
              </w:rPr>
              <w:t>India</w:t>
            </w:r>
          </w:p>
        </w:tc>
        <w:tc>
          <w:tcPr>
            <w:tcW w:w="617" w:type="pct"/>
            <w:tcBorders>
              <w:bottom w:val="single" w:sz="6" w:space="0" w:color="8E8E8E"/>
              <w:right w:val="nil"/>
            </w:tcBorders>
            <w:tcMar>
              <w:top w:w="75" w:type="dxa"/>
              <w:left w:w="75" w:type="dxa"/>
              <w:bottom w:w="75" w:type="dxa"/>
              <w:right w:w="75" w:type="dxa"/>
            </w:tcMar>
            <w:hideMark/>
          </w:tcPr>
          <w:p w:rsidR="009E07DD" w:rsidRPr="009E07DD" w:rsidRDefault="009E07DD" w:rsidP="009E07DD">
            <w:pPr>
              <w:spacing w:after="0" w:line="240" w:lineRule="auto"/>
              <w:jc w:val="center"/>
              <w:rPr>
                <w:rFonts w:asciiTheme="majorBidi" w:eastAsia="Times New Roman" w:hAnsiTheme="majorBidi" w:cstheme="majorBidi"/>
                <w:b/>
                <w:bCs/>
                <w:sz w:val="20"/>
                <w:szCs w:val="20"/>
              </w:rPr>
            </w:pPr>
            <w:r w:rsidRPr="009E07DD">
              <w:rPr>
                <w:rFonts w:asciiTheme="majorBidi" w:eastAsia="Times New Roman" w:hAnsiTheme="majorBidi" w:cstheme="majorBidi"/>
                <w:b/>
                <w:bCs/>
                <w:sz w:val="20"/>
                <w:szCs w:val="20"/>
              </w:rPr>
              <w:t>Russia</w:t>
            </w:r>
          </w:p>
        </w:tc>
        <w:tc>
          <w:tcPr>
            <w:tcW w:w="504" w:type="pct"/>
            <w:tcBorders>
              <w:bottom w:val="single" w:sz="6" w:space="0" w:color="8E8E8E"/>
              <w:right w:val="nil"/>
            </w:tcBorders>
            <w:tcMar>
              <w:top w:w="75" w:type="dxa"/>
              <w:left w:w="75" w:type="dxa"/>
              <w:bottom w:w="75" w:type="dxa"/>
              <w:right w:w="75" w:type="dxa"/>
            </w:tcMar>
            <w:hideMark/>
          </w:tcPr>
          <w:p w:rsidR="009E07DD" w:rsidRPr="009E07DD" w:rsidRDefault="009E07DD" w:rsidP="009E07DD">
            <w:pPr>
              <w:spacing w:after="0" w:line="240" w:lineRule="auto"/>
              <w:jc w:val="center"/>
              <w:rPr>
                <w:rFonts w:asciiTheme="majorBidi" w:eastAsia="Times New Roman" w:hAnsiTheme="majorBidi" w:cstheme="majorBidi"/>
                <w:b/>
                <w:bCs/>
                <w:sz w:val="20"/>
                <w:szCs w:val="20"/>
              </w:rPr>
            </w:pPr>
            <w:r w:rsidRPr="009E07DD">
              <w:rPr>
                <w:rFonts w:asciiTheme="majorBidi" w:eastAsia="Times New Roman" w:hAnsiTheme="majorBidi" w:cstheme="majorBidi"/>
                <w:b/>
                <w:bCs/>
                <w:sz w:val="20"/>
                <w:szCs w:val="20"/>
              </w:rPr>
              <w:t>South_Africa</w:t>
            </w:r>
          </w:p>
        </w:tc>
      </w:tr>
      <w:tr w:rsidR="009E07DD" w:rsidRPr="009E07DD" w:rsidTr="005C6DCB">
        <w:tc>
          <w:tcPr>
            <w:tcW w:w="432"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Mean</w:t>
            </w:r>
          </w:p>
        </w:tc>
        <w:tc>
          <w:tcPr>
            <w:tcW w:w="525"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−0.145</w:t>
            </w:r>
          </w:p>
        </w:tc>
        <w:tc>
          <w:tcPr>
            <w:tcW w:w="469"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−0.145</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−0.193</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−0.574*</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0.033</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0.06</w:t>
            </w:r>
          </w:p>
        </w:tc>
        <w:tc>
          <w:tcPr>
            <w:tcW w:w="617"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0.031</w:t>
            </w:r>
          </w:p>
        </w:tc>
        <w:tc>
          <w:tcPr>
            <w:tcW w:w="50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0.025</w:t>
            </w:r>
          </w:p>
        </w:tc>
      </w:tr>
      <w:tr w:rsidR="009E07DD" w:rsidRPr="009E07DD" w:rsidTr="005C6DCB">
        <w:tc>
          <w:tcPr>
            <w:tcW w:w="432"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Variance</w:t>
            </w:r>
          </w:p>
        </w:tc>
        <w:tc>
          <w:tcPr>
            <w:tcW w:w="525"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254.062***</w:t>
            </w:r>
          </w:p>
        </w:tc>
        <w:tc>
          <w:tcPr>
            <w:tcW w:w="469"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74.088***</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70.522***</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138.708***</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3.313***</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1.411***</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1.714***</w:t>
            </w:r>
          </w:p>
        </w:tc>
        <w:tc>
          <w:tcPr>
            <w:tcW w:w="617"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4.133***</w:t>
            </w:r>
          </w:p>
        </w:tc>
        <w:tc>
          <w:tcPr>
            <w:tcW w:w="50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1.787***</w:t>
            </w:r>
          </w:p>
        </w:tc>
      </w:tr>
      <w:tr w:rsidR="009E07DD" w:rsidRPr="009E07DD" w:rsidTr="005C6DCB">
        <w:tc>
          <w:tcPr>
            <w:tcW w:w="432"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Skewness</w:t>
            </w:r>
          </w:p>
        </w:tc>
        <w:tc>
          <w:tcPr>
            <w:tcW w:w="525"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−0.540***</w:t>
            </w:r>
          </w:p>
        </w:tc>
        <w:tc>
          <w:tcPr>
            <w:tcW w:w="469"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−0.268***</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0.764***</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0.097</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−1.084***</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−0.426***</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−1.356***</w:t>
            </w:r>
          </w:p>
        </w:tc>
        <w:tc>
          <w:tcPr>
            <w:tcW w:w="617"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−6.834***</w:t>
            </w:r>
          </w:p>
        </w:tc>
        <w:tc>
          <w:tcPr>
            <w:tcW w:w="50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−0.401***</w:t>
            </w:r>
          </w:p>
        </w:tc>
      </w:tr>
      <w:tr w:rsidR="009E07DD" w:rsidRPr="009E07DD" w:rsidTr="005C6DCB">
        <w:tc>
          <w:tcPr>
            <w:tcW w:w="432"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Ex.Kurtosis</w:t>
            </w:r>
          </w:p>
        </w:tc>
        <w:tc>
          <w:tcPr>
            <w:tcW w:w="525"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14.884***</w:t>
            </w:r>
          </w:p>
        </w:tc>
        <w:tc>
          <w:tcPr>
            <w:tcW w:w="469"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12.554***</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12.632***</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6.818***</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17.001***</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4.889***</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18.740***</w:t>
            </w:r>
          </w:p>
        </w:tc>
        <w:tc>
          <w:tcPr>
            <w:tcW w:w="617"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144.304***</w:t>
            </w:r>
          </w:p>
        </w:tc>
        <w:tc>
          <w:tcPr>
            <w:tcW w:w="50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8.730***</w:t>
            </w:r>
          </w:p>
        </w:tc>
      </w:tr>
      <w:tr w:rsidR="009E07DD" w:rsidRPr="009E07DD" w:rsidTr="005C6DCB">
        <w:tc>
          <w:tcPr>
            <w:tcW w:w="432"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JB</w:t>
            </w:r>
          </w:p>
        </w:tc>
        <w:tc>
          <w:tcPr>
            <w:tcW w:w="525"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10,661.406***</w:t>
            </w:r>
          </w:p>
        </w:tc>
        <w:tc>
          <w:tcPr>
            <w:tcW w:w="469"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7559.458***</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7751.779***</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2227.546***</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14,062.240***</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1179.095***</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17,164.964***</w:t>
            </w:r>
          </w:p>
        </w:tc>
        <w:tc>
          <w:tcPr>
            <w:tcW w:w="617"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1,005,876.401***</w:t>
            </w:r>
          </w:p>
        </w:tc>
        <w:tc>
          <w:tcPr>
            <w:tcW w:w="50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3679.354***</w:t>
            </w:r>
          </w:p>
        </w:tc>
      </w:tr>
      <w:tr w:rsidR="009E07DD" w:rsidRPr="009E07DD" w:rsidTr="005C6DCB">
        <w:tc>
          <w:tcPr>
            <w:tcW w:w="432"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ERS</w:t>
            </w:r>
          </w:p>
        </w:tc>
        <w:tc>
          <w:tcPr>
            <w:tcW w:w="525"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−1.816*</w:t>
            </w:r>
          </w:p>
        </w:tc>
        <w:tc>
          <w:tcPr>
            <w:tcW w:w="469"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−2.469**</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−2.925***</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−12.995***</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−1.566</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−1.887*</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−8.984***</w:t>
            </w:r>
          </w:p>
        </w:tc>
        <w:tc>
          <w:tcPr>
            <w:tcW w:w="617"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−1.891*</w:t>
            </w:r>
          </w:p>
        </w:tc>
        <w:tc>
          <w:tcPr>
            <w:tcW w:w="50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−2.254**</w:t>
            </w:r>
          </w:p>
        </w:tc>
      </w:tr>
      <w:tr w:rsidR="009E07DD" w:rsidRPr="009E07DD" w:rsidTr="005C6DCB">
        <w:tc>
          <w:tcPr>
            <w:tcW w:w="432"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lastRenderedPageBreak/>
              <w:t>Q(20)</w:t>
            </w:r>
          </w:p>
        </w:tc>
        <w:tc>
          <w:tcPr>
            <w:tcW w:w="525"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70.197***</w:t>
            </w:r>
          </w:p>
        </w:tc>
        <w:tc>
          <w:tcPr>
            <w:tcW w:w="469"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8.274</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39.404***</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58.589***</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45.591***</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14.811</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57.596***</w:t>
            </w:r>
          </w:p>
        </w:tc>
        <w:tc>
          <w:tcPr>
            <w:tcW w:w="617"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30.519***</w:t>
            </w:r>
          </w:p>
        </w:tc>
        <w:tc>
          <w:tcPr>
            <w:tcW w:w="50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24.765***</w:t>
            </w:r>
          </w:p>
        </w:tc>
      </w:tr>
      <w:tr w:rsidR="009E07DD" w:rsidRPr="009E07DD" w:rsidTr="005C6DCB">
        <w:tc>
          <w:tcPr>
            <w:tcW w:w="432"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Q2(20)</w:t>
            </w:r>
          </w:p>
        </w:tc>
        <w:tc>
          <w:tcPr>
            <w:tcW w:w="525"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146.083***</w:t>
            </w:r>
          </w:p>
        </w:tc>
        <w:tc>
          <w:tcPr>
            <w:tcW w:w="469"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22.102***</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43.957***</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68.082***</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1152.458***</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34.823***</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625.845***</w:t>
            </w:r>
          </w:p>
        </w:tc>
        <w:tc>
          <w:tcPr>
            <w:tcW w:w="617"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55.406***</w:t>
            </w:r>
          </w:p>
        </w:tc>
        <w:tc>
          <w:tcPr>
            <w:tcW w:w="50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990.217***</w:t>
            </w:r>
          </w:p>
        </w:tc>
      </w:tr>
      <w:tr w:rsidR="009E07DD" w:rsidRPr="009E07DD" w:rsidTr="009E07DD">
        <w:tc>
          <w:tcPr>
            <w:tcW w:w="5000" w:type="pct"/>
            <w:gridSpan w:val="10"/>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p>
        </w:tc>
      </w:tr>
      <w:tr w:rsidR="009E07DD" w:rsidRPr="009E07DD" w:rsidTr="009E07DD">
        <w:tc>
          <w:tcPr>
            <w:tcW w:w="5000" w:type="pct"/>
            <w:gridSpan w:val="10"/>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Panel B: Pre COVID-19 (February 22, 2018 to December 31, 2019)</w:t>
            </w:r>
          </w:p>
        </w:tc>
      </w:tr>
      <w:tr w:rsidR="009E07DD" w:rsidRPr="009E07DD" w:rsidTr="005C6DCB">
        <w:tc>
          <w:tcPr>
            <w:tcW w:w="432"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p>
        </w:tc>
        <w:tc>
          <w:tcPr>
            <w:tcW w:w="525"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GRID</w:t>
            </w:r>
          </w:p>
        </w:tc>
        <w:tc>
          <w:tcPr>
            <w:tcW w:w="469"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POWR</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SNC</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WPR</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Brazil</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China</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India</w:t>
            </w:r>
          </w:p>
        </w:tc>
        <w:tc>
          <w:tcPr>
            <w:tcW w:w="617"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Russia</w:t>
            </w:r>
          </w:p>
        </w:tc>
        <w:tc>
          <w:tcPr>
            <w:tcW w:w="50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South_Africa</w:t>
            </w:r>
          </w:p>
        </w:tc>
      </w:tr>
      <w:tr w:rsidR="009E07DD" w:rsidRPr="009E07DD" w:rsidTr="005C6DCB">
        <w:tc>
          <w:tcPr>
            <w:tcW w:w="432"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Mean</w:t>
            </w:r>
          </w:p>
        </w:tc>
        <w:tc>
          <w:tcPr>
            <w:tcW w:w="525"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−0.75</w:t>
            </w:r>
          </w:p>
        </w:tc>
        <w:tc>
          <w:tcPr>
            <w:tcW w:w="469"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−0.796**</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−0.709</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−0.892**</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0.095</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−0.008</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0.053</w:t>
            </w:r>
          </w:p>
        </w:tc>
        <w:tc>
          <w:tcPr>
            <w:tcW w:w="617"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0.086</w:t>
            </w:r>
          </w:p>
        </w:tc>
        <w:tc>
          <w:tcPr>
            <w:tcW w:w="50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0.008</w:t>
            </w:r>
          </w:p>
        </w:tc>
      </w:tr>
      <w:tr w:rsidR="009E07DD" w:rsidRPr="009E07DD" w:rsidTr="005C6DCB">
        <w:tc>
          <w:tcPr>
            <w:tcW w:w="432"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Variance</w:t>
            </w:r>
          </w:p>
        </w:tc>
        <w:tc>
          <w:tcPr>
            <w:tcW w:w="525"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291.695***</w:t>
            </w:r>
          </w:p>
        </w:tc>
        <w:tc>
          <w:tcPr>
            <w:tcW w:w="469"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51.161***</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79.823***</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69.972***</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2.034***</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1.667***</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0.838***</w:t>
            </w:r>
          </w:p>
        </w:tc>
        <w:tc>
          <w:tcPr>
            <w:tcW w:w="617"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1.042***</w:t>
            </w:r>
          </w:p>
        </w:tc>
        <w:tc>
          <w:tcPr>
            <w:tcW w:w="50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1.029***</w:t>
            </w:r>
          </w:p>
        </w:tc>
      </w:tr>
      <w:tr w:rsidR="009E07DD" w:rsidRPr="009E07DD" w:rsidTr="005C6DCB">
        <w:tc>
          <w:tcPr>
            <w:tcW w:w="432"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Skewness</w:t>
            </w:r>
          </w:p>
        </w:tc>
        <w:tc>
          <w:tcPr>
            <w:tcW w:w="525"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−0.237*</w:t>
            </w:r>
          </w:p>
        </w:tc>
        <w:tc>
          <w:tcPr>
            <w:tcW w:w="469"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0.154</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1.707***</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0.016</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0.416***</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0.095</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0.218*</w:t>
            </w:r>
          </w:p>
        </w:tc>
        <w:tc>
          <w:tcPr>
            <w:tcW w:w="617"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−0.751***</w:t>
            </w:r>
          </w:p>
        </w:tc>
        <w:tc>
          <w:tcPr>
            <w:tcW w:w="50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0.076</w:t>
            </w:r>
          </w:p>
        </w:tc>
      </w:tr>
      <w:tr w:rsidR="009E07DD" w:rsidRPr="009E07DD" w:rsidTr="005C6DCB">
        <w:tc>
          <w:tcPr>
            <w:tcW w:w="432"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Ex.Kurtosis</w:t>
            </w:r>
          </w:p>
        </w:tc>
        <w:tc>
          <w:tcPr>
            <w:tcW w:w="525"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2.021***</w:t>
            </w:r>
          </w:p>
        </w:tc>
        <w:tc>
          <w:tcPr>
            <w:tcW w:w="469"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1.459***</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13.470***</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1.267***</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3.929***</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3.511***</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4.756***</w:t>
            </w:r>
          </w:p>
        </w:tc>
        <w:tc>
          <w:tcPr>
            <w:tcW w:w="617"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13.152***</w:t>
            </w:r>
          </w:p>
        </w:tc>
        <w:tc>
          <w:tcPr>
            <w:tcW w:w="50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1.010***</w:t>
            </w:r>
          </w:p>
        </w:tc>
      </w:tr>
      <w:tr w:rsidR="009E07DD" w:rsidRPr="009E07DD" w:rsidTr="005C6DCB">
        <w:tc>
          <w:tcPr>
            <w:tcW w:w="432"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JB</w:t>
            </w:r>
          </w:p>
        </w:tc>
        <w:tc>
          <w:tcPr>
            <w:tcW w:w="525"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68.438***</w:t>
            </w:r>
          </w:p>
        </w:tc>
        <w:tc>
          <w:tcPr>
            <w:tcW w:w="469"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35.312***</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3065.317***</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25.486***</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256.069***</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196.220***</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362.021***</w:t>
            </w:r>
          </w:p>
        </w:tc>
        <w:tc>
          <w:tcPr>
            <w:tcW w:w="617"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2781.895***</w:t>
            </w:r>
          </w:p>
        </w:tc>
        <w:tc>
          <w:tcPr>
            <w:tcW w:w="50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16.552***</w:t>
            </w:r>
          </w:p>
        </w:tc>
      </w:tr>
      <w:tr w:rsidR="009E07DD" w:rsidRPr="009E07DD" w:rsidTr="005C6DCB">
        <w:tc>
          <w:tcPr>
            <w:tcW w:w="432"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ERS</w:t>
            </w:r>
          </w:p>
        </w:tc>
        <w:tc>
          <w:tcPr>
            <w:tcW w:w="525"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−1.115</w:t>
            </w:r>
          </w:p>
        </w:tc>
        <w:tc>
          <w:tcPr>
            <w:tcW w:w="469"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−1.46</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−1.877*</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−6.712***</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−0.82</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−1.293</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−5.744***</w:t>
            </w:r>
          </w:p>
        </w:tc>
        <w:tc>
          <w:tcPr>
            <w:tcW w:w="617"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−0.571</w:t>
            </w:r>
          </w:p>
        </w:tc>
        <w:tc>
          <w:tcPr>
            <w:tcW w:w="50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−1.085</w:t>
            </w:r>
          </w:p>
        </w:tc>
      </w:tr>
      <w:tr w:rsidR="009E07DD" w:rsidRPr="009E07DD" w:rsidTr="005C6DCB">
        <w:tc>
          <w:tcPr>
            <w:tcW w:w="432"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Q(20)</w:t>
            </w:r>
          </w:p>
        </w:tc>
        <w:tc>
          <w:tcPr>
            <w:tcW w:w="525"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28.410***</w:t>
            </w:r>
          </w:p>
        </w:tc>
        <w:tc>
          <w:tcPr>
            <w:tcW w:w="469"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9.545</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12.982</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8.906</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11.549</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7.27</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15.617*</w:t>
            </w:r>
          </w:p>
        </w:tc>
        <w:tc>
          <w:tcPr>
            <w:tcW w:w="617"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18.266**</w:t>
            </w:r>
          </w:p>
        </w:tc>
        <w:tc>
          <w:tcPr>
            <w:tcW w:w="50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6.661</w:t>
            </w:r>
          </w:p>
        </w:tc>
      </w:tr>
      <w:tr w:rsidR="009E07DD" w:rsidRPr="009E07DD" w:rsidTr="005C6DCB">
        <w:tc>
          <w:tcPr>
            <w:tcW w:w="432"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Q2(20)</w:t>
            </w:r>
          </w:p>
        </w:tc>
        <w:tc>
          <w:tcPr>
            <w:tcW w:w="525"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13.834</w:t>
            </w:r>
          </w:p>
        </w:tc>
        <w:tc>
          <w:tcPr>
            <w:tcW w:w="469"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24.993***</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2.411</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13.023</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4.681</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15.115</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12.662</w:t>
            </w:r>
          </w:p>
        </w:tc>
        <w:tc>
          <w:tcPr>
            <w:tcW w:w="617"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15.328</w:t>
            </w:r>
          </w:p>
        </w:tc>
        <w:tc>
          <w:tcPr>
            <w:tcW w:w="50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17.822**</w:t>
            </w:r>
          </w:p>
        </w:tc>
      </w:tr>
      <w:tr w:rsidR="009E07DD" w:rsidRPr="009E07DD" w:rsidTr="009E07DD">
        <w:tc>
          <w:tcPr>
            <w:tcW w:w="5000" w:type="pct"/>
            <w:gridSpan w:val="10"/>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p>
        </w:tc>
      </w:tr>
      <w:tr w:rsidR="009E07DD" w:rsidRPr="009E07DD" w:rsidTr="009E07DD">
        <w:tc>
          <w:tcPr>
            <w:tcW w:w="5000" w:type="pct"/>
            <w:gridSpan w:val="10"/>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Panel C: during COVID-19 (January 1, 2020, to September 15, 2023)</w:t>
            </w:r>
          </w:p>
        </w:tc>
      </w:tr>
      <w:tr w:rsidR="009E07DD" w:rsidRPr="009E07DD" w:rsidTr="005C6DCB">
        <w:tc>
          <w:tcPr>
            <w:tcW w:w="432"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p>
        </w:tc>
        <w:tc>
          <w:tcPr>
            <w:tcW w:w="525"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GRID</w:t>
            </w:r>
          </w:p>
        </w:tc>
        <w:tc>
          <w:tcPr>
            <w:tcW w:w="469"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POWR</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SNC</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WPR</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Brazil</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China</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India</w:t>
            </w:r>
          </w:p>
        </w:tc>
        <w:tc>
          <w:tcPr>
            <w:tcW w:w="617"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Russia</w:t>
            </w:r>
          </w:p>
        </w:tc>
        <w:tc>
          <w:tcPr>
            <w:tcW w:w="50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South_Africa</w:t>
            </w:r>
          </w:p>
        </w:tc>
      </w:tr>
      <w:tr w:rsidR="009E07DD" w:rsidRPr="009E07DD" w:rsidTr="005C6DCB">
        <w:tc>
          <w:tcPr>
            <w:tcW w:w="432"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Mean</w:t>
            </w:r>
          </w:p>
        </w:tc>
        <w:tc>
          <w:tcPr>
            <w:tcW w:w="525"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0.155</w:t>
            </w:r>
          </w:p>
        </w:tc>
        <w:tc>
          <w:tcPr>
            <w:tcW w:w="469"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0.178</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0.063</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−0.416</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0.003</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0.003</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0.064</w:t>
            </w:r>
          </w:p>
        </w:tc>
        <w:tc>
          <w:tcPr>
            <w:tcW w:w="617"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0.004</w:t>
            </w:r>
          </w:p>
        </w:tc>
        <w:tc>
          <w:tcPr>
            <w:tcW w:w="50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0.033</w:t>
            </w:r>
          </w:p>
        </w:tc>
      </w:tr>
      <w:tr w:rsidR="009E07DD" w:rsidRPr="009E07DD" w:rsidTr="005C6DCB">
        <w:tc>
          <w:tcPr>
            <w:tcW w:w="432"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Variance</w:t>
            </w:r>
          </w:p>
        </w:tc>
        <w:tc>
          <w:tcPr>
            <w:tcW w:w="525"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235.476***</w:t>
            </w:r>
          </w:p>
        </w:tc>
        <w:tc>
          <w:tcPr>
            <w:tcW w:w="469"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85.228***</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65.807***</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172.868***</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3.949***</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1.285***</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2.149***</w:t>
            </w:r>
          </w:p>
        </w:tc>
        <w:tc>
          <w:tcPr>
            <w:tcW w:w="617"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5.667***</w:t>
            </w:r>
          </w:p>
        </w:tc>
        <w:tc>
          <w:tcPr>
            <w:tcW w:w="50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2.165***</w:t>
            </w:r>
          </w:p>
        </w:tc>
      </w:tr>
      <w:tr w:rsidR="009E07DD" w:rsidRPr="009E07DD" w:rsidTr="005C6DCB">
        <w:tc>
          <w:tcPr>
            <w:tcW w:w="432"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Skewness</w:t>
            </w:r>
          </w:p>
        </w:tc>
        <w:tc>
          <w:tcPr>
            <w:tcW w:w="525"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−0.730***</w:t>
            </w:r>
          </w:p>
        </w:tc>
        <w:tc>
          <w:tcPr>
            <w:tcW w:w="469"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−0.403***</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0.160*</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0.081</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−1.301***</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−0.800***</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−1.476***</w:t>
            </w:r>
          </w:p>
        </w:tc>
        <w:tc>
          <w:tcPr>
            <w:tcW w:w="617"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−6.315***</w:t>
            </w:r>
          </w:p>
        </w:tc>
        <w:tc>
          <w:tcPr>
            <w:tcW w:w="50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−0.472***</w:t>
            </w:r>
          </w:p>
        </w:tc>
      </w:tr>
      <w:tr w:rsidR="009E07DD" w:rsidRPr="009E07DD" w:rsidTr="005C6DCB">
        <w:tc>
          <w:tcPr>
            <w:tcW w:w="432"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Ex.Kurtosis</w:t>
            </w:r>
          </w:p>
        </w:tc>
        <w:tc>
          <w:tcPr>
            <w:tcW w:w="525"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24.384***</w:t>
            </w:r>
          </w:p>
        </w:tc>
        <w:tc>
          <w:tcPr>
            <w:tcW w:w="469"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13.855***</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12.139***</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6.114***</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17.086***</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5.820***</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17.121***</w:t>
            </w:r>
          </w:p>
        </w:tc>
        <w:tc>
          <w:tcPr>
            <w:tcW w:w="617"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113.751***</w:t>
            </w:r>
          </w:p>
        </w:tc>
        <w:tc>
          <w:tcPr>
            <w:tcW w:w="50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8.531***</w:t>
            </w:r>
          </w:p>
        </w:tc>
      </w:tr>
      <w:tr w:rsidR="009E07DD" w:rsidRPr="009E07DD" w:rsidTr="005C6DCB">
        <w:tc>
          <w:tcPr>
            <w:tcW w:w="432"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JB</w:t>
            </w:r>
          </w:p>
        </w:tc>
        <w:tc>
          <w:tcPr>
            <w:tcW w:w="525"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19,095.093***</w:t>
            </w:r>
          </w:p>
        </w:tc>
        <w:tc>
          <w:tcPr>
            <w:tcW w:w="469"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6163.775***</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4718.655***</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1197.214***</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9558.583***</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1166.044***</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9658.395***</w:t>
            </w:r>
          </w:p>
        </w:tc>
        <w:tc>
          <w:tcPr>
            <w:tcW w:w="617"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419,157.734***</w:t>
            </w:r>
          </w:p>
        </w:tc>
        <w:tc>
          <w:tcPr>
            <w:tcW w:w="50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2357.430***</w:t>
            </w:r>
          </w:p>
        </w:tc>
      </w:tr>
      <w:tr w:rsidR="009E07DD" w:rsidRPr="009E07DD" w:rsidTr="005C6DCB">
        <w:tc>
          <w:tcPr>
            <w:tcW w:w="432"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lastRenderedPageBreak/>
              <w:t>ERS</w:t>
            </w:r>
          </w:p>
        </w:tc>
        <w:tc>
          <w:tcPr>
            <w:tcW w:w="525"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−1.513</w:t>
            </w:r>
          </w:p>
        </w:tc>
        <w:tc>
          <w:tcPr>
            <w:tcW w:w="469"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−10.913***</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−13.847***</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−9.768***</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−5.641***</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−4.419***</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−9.303***</w:t>
            </w:r>
          </w:p>
        </w:tc>
        <w:tc>
          <w:tcPr>
            <w:tcW w:w="617"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−8.181***</w:t>
            </w:r>
          </w:p>
        </w:tc>
        <w:tc>
          <w:tcPr>
            <w:tcW w:w="50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−11.715***</w:t>
            </w:r>
          </w:p>
        </w:tc>
      </w:tr>
      <w:tr w:rsidR="009E07DD" w:rsidRPr="009E07DD" w:rsidTr="005C6DCB">
        <w:tc>
          <w:tcPr>
            <w:tcW w:w="432"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Q(20)</w:t>
            </w:r>
          </w:p>
        </w:tc>
        <w:tc>
          <w:tcPr>
            <w:tcW w:w="525"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65.175***</w:t>
            </w:r>
          </w:p>
        </w:tc>
        <w:tc>
          <w:tcPr>
            <w:tcW w:w="469"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10.374</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40.673***</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58.851***</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50.669***</w:t>
            </w:r>
          </w:p>
        </w:tc>
        <w:tc>
          <w:tcPr>
            <w:tcW w:w="468"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16.710*</w:t>
            </w:r>
          </w:p>
        </w:tc>
        <w:tc>
          <w:tcPr>
            <w:tcW w:w="52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56.116***</w:t>
            </w:r>
          </w:p>
        </w:tc>
        <w:tc>
          <w:tcPr>
            <w:tcW w:w="617"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21.234***</w:t>
            </w:r>
          </w:p>
        </w:tc>
        <w:tc>
          <w:tcPr>
            <w:tcW w:w="504" w:type="pct"/>
            <w:tcBorders>
              <w:bottom w:val="nil"/>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26.654***</w:t>
            </w:r>
          </w:p>
        </w:tc>
      </w:tr>
      <w:tr w:rsidR="009E07DD" w:rsidRPr="009E07DD" w:rsidTr="005C6DCB">
        <w:tc>
          <w:tcPr>
            <w:tcW w:w="432" w:type="pct"/>
            <w:tcBorders>
              <w:bottom w:val="single" w:sz="4" w:space="0" w:color="auto"/>
              <w:right w:val="nil"/>
            </w:tcBorders>
            <w:tcMar>
              <w:top w:w="75" w:type="dxa"/>
              <w:left w:w="75" w:type="dxa"/>
              <w:bottom w:w="75" w:type="dxa"/>
              <w:right w:w="75" w:type="dxa"/>
            </w:tcMar>
            <w:vAlign w:val="bottom"/>
            <w:hideMark/>
          </w:tcPr>
          <w:p w:rsidR="009E07DD" w:rsidRPr="009E07DD" w:rsidRDefault="009E07DD" w:rsidP="009E07DD">
            <w:pPr>
              <w:spacing w:after="0" w:line="240" w:lineRule="auto"/>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Q2(20)</w:t>
            </w:r>
          </w:p>
        </w:tc>
        <w:tc>
          <w:tcPr>
            <w:tcW w:w="525" w:type="pct"/>
            <w:tcBorders>
              <w:bottom w:val="single" w:sz="4" w:space="0" w:color="auto"/>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116.203***</w:t>
            </w:r>
          </w:p>
        </w:tc>
        <w:tc>
          <w:tcPr>
            <w:tcW w:w="469" w:type="pct"/>
            <w:tcBorders>
              <w:bottom w:val="single" w:sz="4" w:space="0" w:color="auto"/>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13.087</w:t>
            </w:r>
          </w:p>
        </w:tc>
        <w:tc>
          <w:tcPr>
            <w:tcW w:w="468" w:type="pct"/>
            <w:tcBorders>
              <w:bottom w:val="single" w:sz="4" w:space="0" w:color="auto"/>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79.061***</w:t>
            </w:r>
          </w:p>
        </w:tc>
        <w:tc>
          <w:tcPr>
            <w:tcW w:w="468" w:type="pct"/>
            <w:tcBorders>
              <w:bottom w:val="single" w:sz="4" w:space="0" w:color="auto"/>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37.057***</w:t>
            </w:r>
          </w:p>
        </w:tc>
        <w:tc>
          <w:tcPr>
            <w:tcW w:w="524" w:type="pct"/>
            <w:tcBorders>
              <w:bottom w:val="single" w:sz="4" w:space="0" w:color="auto"/>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823.924***</w:t>
            </w:r>
          </w:p>
        </w:tc>
        <w:tc>
          <w:tcPr>
            <w:tcW w:w="468" w:type="pct"/>
            <w:tcBorders>
              <w:bottom w:val="single" w:sz="4" w:space="0" w:color="auto"/>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32.035***</w:t>
            </w:r>
          </w:p>
        </w:tc>
        <w:tc>
          <w:tcPr>
            <w:tcW w:w="524" w:type="pct"/>
            <w:tcBorders>
              <w:bottom w:val="single" w:sz="4" w:space="0" w:color="auto"/>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423.065***</w:t>
            </w:r>
          </w:p>
        </w:tc>
        <w:tc>
          <w:tcPr>
            <w:tcW w:w="617" w:type="pct"/>
            <w:tcBorders>
              <w:bottom w:val="single" w:sz="4" w:space="0" w:color="auto"/>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36.061***</w:t>
            </w:r>
          </w:p>
        </w:tc>
        <w:tc>
          <w:tcPr>
            <w:tcW w:w="504" w:type="pct"/>
            <w:tcBorders>
              <w:bottom w:val="single" w:sz="4" w:space="0" w:color="auto"/>
              <w:right w:val="nil"/>
            </w:tcBorders>
            <w:tcMar>
              <w:top w:w="75" w:type="dxa"/>
              <w:left w:w="75" w:type="dxa"/>
              <w:bottom w:w="75" w:type="dxa"/>
              <w:right w:w="75" w:type="dxa"/>
            </w:tcMar>
            <w:vAlign w:val="bottom"/>
            <w:hideMark/>
          </w:tcPr>
          <w:p w:rsidR="009E07DD" w:rsidRPr="009E07DD" w:rsidRDefault="009E07DD" w:rsidP="009E07DD">
            <w:pPr>
              <w:spacing w:after="0" w:line="240" w:lineRule="auto"/>
              <w:jc w:val="center"/>
              <w:rPr>
                <w:rFonts w:asciiTheme="majorBidi" w:eastAsia="Times New Roman" w:hAnsiTheme="majorBidi" w:cstheme="majorBidi"/>
                <w:sz w:val="20"/>
                <w:szCs w:val="20"/>
              </w:rPr>
            </w:pPr>
            <w:r w:rsidRPr="009E07DD">
              <w:rPr>
                <w:rFonts w:asciiTheme="majorBidi" w:eastAsia="Times New Roman" w:hAnsiTheme="majorBidi" w:cstheme="majorBidi"/>
                <w:sz w:val="20"/>
                <w:szCs w:val="20"/>
              </w:rPr>
              <w:t>675.187***</w:t>
            </w:r>
          </w:p>
        </w:tc>
      </w:tr>
    </w:tbl>
    <w:p w:rsidR="005C6DCB" w:rsidRDefault="005C6DCB" w:rsidP="005C6DCB">
      <w:pPr>
        <w:pStyle w:val="Heading3"/>
        <w:rPr>
          <w:rFonts w:ascii="Georgia" w:hAnsi="Georgia"/>
          <w:color w:val="1F1F1F"/>
        </w:rPr>
      </w:pPr>
    </w:p>
    <w:p w:rsidR="005C6DCB" w:rsidRPr="005C6DCB" w:rsidRDefault="005C6DCB" w:rsidP="005C6DCB">
      <w:pPr>
        <w:pStyle w:val="Heading3"/>
        <w:spacing w:line="480" w:lineRule="auto"/>
        <w:rPr>
          <w:rFonts w:asciiTheme="majorBidi" w:hAnsiTheme="majorBidi"/>
          <w:b/>
          <w:bCs/>
          <w:color w:val="1F1F1F"/>
        </w:rPr>
      </w:pPr>
      <w:r w:rsidRPr="005C6DCB">
        <w:rPr>
          <w:rFonts w:asciiTheme="majorBidi" w:hAnsiTheme="majorBidi"/>
          <w:b/>
          <w:bCs/>
          <w:color w:val="1F1F1F"/>
        </w:rPr>
        <w:t>3.2. Correlation matrix</w:t>
      </w:r>
    </w:p>
    <w:p w:rsidR="009E07DD" w:rsidRDefault="005C6DCB" w:rsidP="003114E3">
      <w:pPr>
        <w:spacing w:after="0" w:line="480" w:lineRule="auto"/>
        <w:jc w:val="both"/>
        <w:rPr>
          <w:rFonts w:asciiTheme="majorBidi" w:hAnsiTheme="majorBidi" w:cstheme="majorBidi"/>
          <w:sz w:val="24"/>
          <w:szCs w:val="24"/>
        </w:rPr>
      </w:pPr>
      <w:r w:rsidRPr="005C6DCB">
        <w:rPr>
          <w:rFonts w:asciiTheme="majorBidi" w:hAnsiTheme="majorBidi" w:cstheme="majorBidi"/>
          <w:sz w:val="24"/>
          <w:szCs w:val="24"/>
        </w:rPr>
        <w:t>The examination of Table 2 elucidates the correlations between renewable energy tokens (GRID, POWR, SNC, WPR) and BRICS stock markets. Though they only show weak connections with the BRICS stock markets, renewable energy tokens show somewhat favorable relationships with one another. The minimal correlation suggests their use as diversification instruments in investment portfolios. Furthermore, the results underscore the significance of regional disparities, since financial connections varied markedly within BRICS countries, shaped by distinct market dynamics. These findings provide essential information for policymakers and investors. Policymakers can enhance their comprehension of the interdependencies between digital and conventional financial markets, while investors may deliberately integrate renewable energy tokens to optimize risk management and diversification advantages.</w:t>
      </w:r>
    </w:p>
    <w:p w:rsidR="005C6DCB" w:rsidRPr="003114E3" w:rsidRDefault="005C6DCB" w:rsidP="003114E3">
      <w:pPr>
        <w:spacing w:after="0" w:line="240" w:lineRule="auto"/>
        <w:rPr>
          <w:rFonts w:asciiTheme="majorBidi" w:eastAsia="Times New Roman" w:hAnsiTheme="majorBidi" w:cstheme="majorBidi"/>
          <w:color w:val="1F1F1F"/>
          <w:sz w:val="20"/>
          <w:szCs w:val="20"/>
        </w:rPr>
      </w:pPr>
      <w:r w:rsidRPr="003114E3">
        <w:rPr>
          <w:rFonts w:asciiTheme="majorBidi" w:eastAsia="Times New Roman" w:hAnsiTheme="majorBidi" w:cstheme="majorBidi"/>
          <w:color w:val="1F1F1F"/>
          <w:sz w:val="20"/>
          <w:szCs w:val="20"/>
        </w:rPr>
        <w:t>Table 2. Kendall rank correlation coefficients.</w:t>
      </w:r>
    </w:p>
    <w:p w:rsidR="005C6DCB" w:rsidRPr="005C6DCB" w:rsidRDefault="005C6DCB" w:rsidP="003114E3">
      <w:pPr>
        <w:spacing w:after="0" w:line="240" w:lineRule="auto"/>
        <w:rPr>
          <w:rFonts w:ascii="Georgia" w:eastAsia="Times New Roman" w:hAnsi="Georgia" w:cs="Times New Roman"/>
          <w:color w:val="1F1F1F"/>
          <w:sz w:val="24"/>
          <w:szCs w:val="24"/>
        </w:rPr>
      </w:pPr>
    </w:p>
    <w:tbl>
      <w:tblPr>
        <w:tblW w:w="5000" w:type="pct"/>
        <w:tblBorders>
          <w:top w:val="single" w:sz="6" w:space="0" w:color="8E8E8E"/>
          <w:bottom w:val="single" w:sz="6" w:space="0" w:color="8E8E8E"/>
        </w:tblBorders>
        <w:tblCellMar>
          <w:left w:w="0" w:type="dxa"/>
          <w:right w:w="0" w:type="dxa"/>
        </w:tblCellMar>
        <w:tblLook w:val="04A0" w:firstRow="1" w:lastRow="0" w:firstColumn="1" w:lastColumn="0" w:noHBand="0" w:noVBand="1"/>
      </w:tblPr>
      <w:tblGrid>
        <w:gridCol w:w="1180"/>
        <w:gridCol w:w="867"/>
        <w:gridCol w:w="867"/>
        <w:gridCol w:w="867"/>
        <w:gridCol w:w="867"/>
        <w:gridCol w:w="867"/>
        <w:gridCol w:w="867"/>
        <w:gridCol w:w="867"/>
        <w:gridCol w:w="867"/>
        <w:gridCol w:w="1244"/>
      </w:tblGrid>
      <w:tr w:rsidR="005C6DCB" w:rsidRPr="005C6DCB" w:rsidTr="005C6DCB">
        <w:trPr>
          <w:tblHeader/>
        </w:trPr>
        <w:tc>
          <w:tcPr>
            <w:tcW w:w="5000" w:type="pct"/>
            <w:gridSpan w:val="10"/>
            <w:tcBorders>
              <w:top w:val="single" w:sz="4" w:space="0" w:color="auto"/>
              <w:bottom w:val="nil"/>
              <w:right w:val="nil"/>
            </w:tcBorders>
            <w:tcMar>
              <w:top w:w="75" w:type="dxa"/>
              <w:left w:w="75" w:type="dxa"/>
              <w:bottom w:w="75" w:type="dxa"/>
              <w:right w:w="75" w:type="dxa"/>
            </w:tcMar>
            <w:hideMark/>
          </w:tcPr>
          <w:p w:rsidR="005C6DCB" w:rsidRPr="005C6DCB" w:rsidRDefault="005C6DCB" w:rsidP="005C6DCB">
            <w:pPr>
              <w:spacing w:after="0" w:line="240" w:lineRule="auto"/>
              <w:jc w:val="center"/>
              <w:rPr>
                <w:rFonts w:asciiTheme="majorBidi" w:eastAsia="Times New Roman" w:hAnsiTheme="majorBidi" w:cstheme="majorBidi"/>
                <w:b/>
                <w:bCs/>
                <w:sz w:val="20"/>
                <w:szCs w:val="20"/>
              </w:rPr>
            </w:pPr>
            <w:r w:rsidRPr="005C6DCB">
              <w:rPr>
                <w:rFonts w:asciiTheme="majorBidi" w:eastAsia="Times New Roman" w:hAnsiTheme="majorBidi" w:cstheme="majorBidi"/>
                <w:b/>
                <w:bCs/>
                <w:sz w:val="20"/>
                <w:szCs w:val="20"/>
              </w:rPr>
              <w:t>Panel A: Full sample (February 22, 2018, to September 15, 2023)</w:t>
            </w:r>
          </w:p>
        </w:tc>
      </w:tr>
      <w:tr w:rsidR="005C6DCB" w:rsidRPr="005C6DCB" w:rsidTr="005C6DCB">
        <w:trPr>
          <w:tblHeader/>
        </w:trPr>
        <w:tc>
          <w:tcPr>
            <w:tcW w:w="630" w:type="pct"/>
            <w:tcBorders>
              <w:bottom w:val="single" w:sz="6" w:space="0" w:color="8E8E8E"/>
              <w:right w:val="nil"/>
            </w:tcBorders>
            <w:tcMar>
              <w:top w:w="75" w:type="dxa"/>
              <w:left w:w="75" w:type="dxa"/>
              <w:bottom w:w="75" w:type="dxa"/>
              <w:right w:w="75" w:type="dxa"/>
            </w:tcMar>
            <w:hideMark/>
          </w:tcPr>
          <w:p w:rsidR="005C6DCB" w:rsidRPr="005C6DCB" w:rsidRDefault="005C6DCB" w:rsidP="005C6DCB">
            <w:pPr>
              <w:spacing w:after="0" w:line="240" w:lineRule="auto"/>
              <w:rPr>
                <w:rFonts w:asciiTheme="majorBidi" w:eastAsia="Times New Roman" w:hAnsiTheme="majorBidi" w:cstheme="majorBidi"/>
                <w:sz w:val="20"/>
                <w:szCs w:val="20"/>
              </w:rPr>
            </w:pPr>
          </w:p>
        </w:tc>
        <w:tc>
          <w:tcPr>
            <w:tcW w:w="463" w:type="pct"/>
            <w:tcBorders>
              <w:bottom w:val="single" w:sz="6" w:space="0" w:color="8E8E8E"/>
              <w:right w:val="nil"/>
            </w:tcBorders>
            <w:tcMar>
              <w:top w:w="75" w:type="dxa"/>
              <w:left w:w="75" w:type="dxa"/>
              <w:bottom w:w="75" w:type="dxa"/>
              <w:right w:w="75" w:type="dxa"/>
            </w:tcMar>
            <w:hideMark/>
          </w:tcPr>
          <w:p w:rsidR="005C6DCB" w:rsidRPr="005C6DCB" w:rsidRDefault="005C6DCB" w:rsidP="005C6DCB">
            <w:pPr>
              <w:spacing w:after="0" w:line="240" w:lineRule="auto"/>
              <w:jc w:val="center"/>
              <w:rPr>
                <w:rFonts w:asciiTheme="majorBidi" w:eastAsia="Times New Roman" w:hAnsiTheme="majorBidi" w:cstheme="majorBidi"/>
                <w:b/>
                <w:bCs/>
                <w:sz w:val="20"/>
                <w:szCs w:val="20"/>
              </w:rPr>
            </w:pPr>
            <w:r w:rsidRPr="005C6DCB">
              <w:rPr>
                <w:rFonts w:asciiTheme="majorBidi" w:eastAsia="Times New Roman" w:hAnsiTheme="majorBidi" w:cstheme="majorBidi"/>
                <w:b/>
                <w:bCs/>
                <w:sz w:val="20"/>
                <w:szCs w:val="20"/>
              </w:rPr>
              <w:t>GRID</w:t>
            </w:r>
          </w:p>
        </w:tc>
        <w:tc>
          <w:tcPr>
            <w:tcW w:w="463" w:type="pct"/>
            <w:tcBorders>
              <w:bottom w:val="single" w:sz="6" w:space="0" w:color="8E8E8E"/>
              <w:right w:val="nil"/>
            </w:tcBorders>
            <w:tcMar>
              <w:top w:w="75" w:type="dxa"/>
              <w:left w:w="75" w:type="dxa"/>
              <w:bottom w:w="75" w:type="dxa"/>
              <w:right w:w="75" w:type="dxa"/>
            </w:tcMar>
            <w:hideMark/>
          </w:tcPr>
          <w:p w:rsidR="005C6DCB" w:rsidRPr="005C6DCB" w:rsidRDefault="005C6DCB" w:rsidP="005C6DCB">
            <w:pPr>
              <w:spacing w:after="0" w:line="240" w:lineRule="auto"/>
              <w:jc w:val="center"/>
              <w:rPr>
                <w:rFonts w:asciiTheme="majorBidi" w:eastAsia="Times New Roman" w:hAnsiTheme="majorBidi" w:cstheme="majorBidi"/>
                <w:b/>
                <w:bCs/>
                <w:sz w:val="20"/>
                <w:szCs w:val="20"/>
              </w:rPr>
            </w:pPr>
            <w:r w:rsidRPr="005C6DCB">
              <w:rPr>
                <w:rFonts w:asciiTheme="majorBidi" w:eastAsia="Times New Roman" w:hAnsiTheme="majorBidi" w:cstheme="majorBidi"/>
                <w:b/>
                <w:bCs/>
                <w:sz w:val="20"/>
                <w:szCs w:val="20"/>
              </w:rPr>
              <w:t>POWR</w:t>
            </w:r>
          </w:p>
        </w:tc>
        <w:tc>
          <w:tcPr>
            <w:tcW w:w="463" w:type="pct"/>
            <w:tcBorders>
              <w:bottom w:val="single" w:sz="6" w:space="0" w:color="8E8E8E"/>
              <w:right w:val="nil"/>
            </w:tcBorders>
            <w:tcMar>
              <w:top w:w="75" w:type="dxa"/>
              <w:left w:w="75" w:type="dxa"/>
              <w:bottom w:w="75" w:type="dxa"/>
              <w:right w:w="75" w:type="dxa"/>
            </w:tcMar>
            <w:hideMark/>
          </w:tcPr>
          <w:p w:rsidR="005C6DCB" w:rsidRPr="005C6DCB" w:rsidRDefault="005C6DCB" w:rsidP="005C6DCB">
            <w:pPr>
              <w:spacing w:after="0" w:line="240" w:lineRule="auto"/>
              <w:jc w:val="center"/>
              <w:rPr>
                <w:rFonts w:asciiTheme="majorBidi" w:eastAsia="Times New Roman" w:hAnsiTheme="majorBidi" w:cstheme="majorBidi"/>
                <w:b/>
                <w:bCs/>
                <w:sz w:val="20"/>
                <w:szCs w:val="20"/>
              </w:rPr>
            </w:pPr>
            <w:r w:rsidRPr="005C6DCB">
              <w:rPr>
                <w:rFonts w:asciiTheme="majorBidi" w:eastAsia="Times New Roman" w:hAnsiTheme="majorBidi" w:cstheme="majorBidi"/>
                <w:b/>
                <w:bCs/>
                <w:sz w:val="20"/>
                <w:szCs w:val="20"/>
              </w:rPr>
              <w:t>SNC</w:t>
            </w:r>
          </w:p>
        </w:tc>
        <w:tc>
          <w:tcPr>
            <w:tcW w:w="463" w:type="pct"/>
            <w:tcBorders>
              <w:bottom w:val="single" w:sz="6" w:space="0" w:color="8E8E8E"/>
              <w:right w:val="nil"/>
            </w:tcBorders>
            <w:tcMar>
              <w:top w:w="75" w:type="dxa"/>
              <w:left w:w="75" w:type="dxa"/>
              <w:bottom w:w="75" w:type="dxa"/>
              <w:right w:w="75" w:type="dxa"/>
            </w:tcMar>
            <w:hideMark/>
          </w:tcPr>
          <w:p w:rsidR="005C6DCB" w:rsidRPr="005C6DCB" w:rsidRDefault="005C6DCB" w:rsidP="005C6DCB">
            <w:pPr>
              <w:spacing w:after="0" w:line="240" w:lineRule="auto"/>
              <w:jc w:val="center"/>
              <w:rPr>
                <w:rFonts w:asciiTheme="majorBidi" w:eastAsia="Times New Roman" w:hAnsiTheme="majorBidi" w:cstheme="majorBidi"/>
                <w:b/>
                <w:bCs/>
                <w:sz w:val="20"/>
                <w:szCs w:val="20"/>
              </w:rPr>
            </w:pPr>
            <w:r w:rsidRPr="005C6DCB">
              <w:rPr>
                <w:rFonts w:asciiTheme="majorBidi" w:eastAsia="Times New Roman" w:hAnsiTheme="majorBidi" w:cstheme="majorBidi"/>
                <w:b/>
                <w:bCs/>
                <w:sz w:val="20"/>
                <w:szCs w:val="20"/>
              </w:rPr>
              <w:t>WPR</w:t>
            </w:r>
          </w:p>
        </w:tc>
        <w:tc>
          <w:tcPr>
            <w:tcW w:w="463" w:type="pct"/>
            <w:tcBorders>
              <w:bottom w:val="single" w:sz="6" w:space="0" w:color="8E8E8E"/>
              <w:right w:val="nil"/>
            </w:tcBorders>
            <w:tcMar>
              <w:top w:w="75" w:type="dxa"/>
              <w:left w:w="75" w:type="dxa"/>
              <w:bottom w:w="75" w:type="dxa"/>
              <w:right w:w="75" w:type="dxa"/>
            </w:tcMar>
            <w:hideMark/>
          </w:tcPr>
          <w:p w:rsidR="005C6DCB" w:rsidRPr="005C6DCB" w:rsidRDefault="005C6DCB" w:rsidP="005C6DCB">
            <w:pPr>
              <w:spacing w:after="0" w:line="240" w:lineRule="auto"/>
              <w:jc w:val="center"/>
              <w:rPr>
                <w:rFonts w:asciiTheme="majorBidi" w:eastAsia="Times New Roman" w:hAnsiTheme="majorBidi" w:cstheme="majorBidi"/>
                <w:b/>
                <w:bCs/>
                <w:sz w:val="20"/>
                <w:szCs w:val="20"/>
              </w:rPr>
            </w:pPr>
            <w:r w:rsidRPr="005C6DCB">
              <w:rPr>
                <w:rFonts w:asciiTheme="majorBidi" w:eastAsia="Times New Roman" w:hAnsiTheme="majorBidi" w:cstheme="majorBidi"/>
                <w:b/>
                <w:bCs/>
                <w:sz w:val="20"/>
                <w:szCs w:val="20"/>
              </w:rPr>
              <w:t>Brazil</w:t>
            </w:r>
          </w:p>
        </w:tc>
        <w:tc>
          <w:tcPr>
            <w:tcW w:w="463" w:type="pct"/>
            <w:tcBorders>
              <w:bottom w:val="single" w:sz="6" w:space="0" w:color="8E8E8E"/>
              <w:right w:val="nil"/>
            </w:tcBorders>
            <w:tcMar>
              <w:top w:w="75" w:type="dxa"/>
              <w:left w:w="75" w:type="dxa"/>
              <w:bottom w:w="75" w:type="dxa"/>
              <w:right w:w="75" w:type="dxa"/>
            </w:tcMar>
            <w:hideMark/>
          </w:tcPr>
          <w:p w:rsidR="005C6DCB" w:rsidRPr="005C6DCB" w:rsidRDefault="005C6DCB" w:rsidP="005C6DCB">
            <w:pPr>
              <w:spacing w:after="0" w:line="240" w:lineRule="auto"/>
              <w:jc w:val="center"/>
              <w:rPr>
                <w:rFonts w:asciiTheme="majorBidi" w:eastAsia="Times New Roman" w:hAnsiTheme="majorBidi" w:cstheme="majorBidi"/>
                <w:b/>
                <w:bCs/>
                <w:sz w:val="20"/>
                <w:szCs w:val="20"/>
              </w:rPr>
            </w:pPr>
            <w:r w:rsidRPr="005C6DCB">
              <w:rPr>
                <w:rFonts w:asciiTheme="majorBidi" w:eastAsia="Times New Roman" w:hAnsiTheme="majorBidi" w:cstheme="majorBidi"/>
                <w:b/>
                <w:bCs/>
                <w:sz w:val="20"/>
                <w:szCs w:val="20"/>
              </w:rPr>
              <w:t>China</w:t>
            </w:r>
          </w:p>
        </w:tc>
        <w:tc>
          <w:tcPr>
            <w:tcW w:w="463" w:type="pct"/>
            <w:tcBorders>
              <w:bottom w:val="single" w:sz="6" w:space="0" w:color="8E8E8E"/>
              <w:right w:val="nil"/>
            </w:tcBorders>
            <w:tcMar>
              <w:top w:w="75" w:type="dxa"/>
              <w:left w:w="75" w:type="dxa"/>
              <w:bottom w:w="75" w:type="dxa"/>
              <w:right w:w="75" w:type="dxa"/>
            </w:tcMar>
            <w:hideMark/>
          </w:tcPr>
          <w:p w:rsidR="005C6DCB" w:rsidRPr="005C6DCB" w:rsidRDefault="005C6DCB" w:rsidP="005C6DCB">
            <w:pPr>
              <w:spacing w:after="0" w:line="240" w:lineRule="auto"/>
              <w:jc w:val="center"/>
              <w:rPr>
                <w:rFonts w:asciiTheme="majorBidi" w:eastAsia="Times New Roman" w:hAnsiTheme="majorBidi" w:cstheme="majorBidi"/>
                <w:b/>
                <w:bCs/>
                <w:sz w:val="20"/>
                <w:szCs w:val="20"/>
              </w:rPr>
            </w:pPr>
            <w:r w:rsidRPr="005C6DCB">
              <w:rPr>
                <w:rFonts w:asciiTheme="majorBidi" w:eastAsia="Times New Roman" w:hAnsiTheme="majorBidi" w:cstheme="majorBidi"/>
                <w:b/>
                <w:bCs/>
                <w:sz w:val="20"/>
                <w:szCs w:val="20"/>
              </w:rPr>
              <w:t>India</w:t>
            </w:r>
          </w:p>
        </w:tc>
        <w:tc>
          <w:tcPr>
            <w:tcW w:w="463" w:type="pct"/>
            <w:tcBorders>
              <w:bottom w:val="single" w:sz="6" w:space="0" w:color="8E8E8E"/>
              <w:right w:val="nil"/>
            </w:tcBorders>
            <w:tcMar>
              <w:top w:w="75" w:type="dxa"/>
              <w:left w:w="75" w:type="dxa"/>
              <w:bottom w:w="75" w:type="dxa"/>
              <w:right w:w="75" w:type="dxa"/>
            </w:tcMar>
            <w:hideMark/>
          </w:tcPr>
          <w:p w:rsidR="005C6DCB" w:rsidRPr="005C6DCB" w:rsidRDefault="005C6DCB" w:rsidP="005C6DCB">
            <w:pPr>
              <w:spacing w:after="0" w:line="240" w:lineRule="auto"/>
              <w:jc w:val="center"/>
              <w:rPr>
                <w:rFonts w:asciiTheme="majorBidi" w:eastAsia="Times New Roman" w:hAnsiTheme="majorBidi" w:cstheme="majorBidi"/>
                <w:b/>
                <w:bCs/>
                <w:sz w:val="20"/>
                <w:szCs w:val="20"/>
              </w:rPr>
            </w:pPr>
            <w:r w:rsidRPr="005C6DCB">
              <w:rPr>
                <w:rFonts w:asciiTheme="majorBidi" w:eastAsia="Times New Roman" w:hAnsiTheme="majorBidi" w:cstheme="majorBidi"/>
                <w:b/>
                <w:bCs/>
                <w:sz w:val="20"/>
                <w:szCs w:val="20"/>
              </w:rPr>
              <w:t>Russia</w:t>
            </w:r>
          </w:p>
        </w:tc>
        <w:tc>
          <w:tcPr>
            <w:tcW w:w="665" w:type="pct"/>
            <w:tcBorders>
              <w:bottom w:val="single" w:sz="6" w:space="0" w:color="8E8E8E"/>
              <w:right w:val="nil"/>
            </w:tcBorders>
            <w:tcMar>
              <w:top w:w="75" w:type="dxa"/>
              <w:left w:w="75" w:type="dxa"/>
              <w:bottom w:w="75" w:type="dxa"/>
              <w:right w:w="75" w:type="dxa"/>
            </w:tcMar>
            <w:hideMark/>
          </w:tcPr>
          <w:p w:rsidR="005C6DCB" w:rsidRPr="005C6DCB" w:rsidRDefault="005C6DCB" w:rsidP="005C6DCB">
            <w:pPr>
              <w:spacing w:after="0" w:line="240" w:lineRule="auto"/>
              <w:jc w:val="center"/>
              <w:rPr>
                <w:rFonts w:asciiTheme="majorBidi" w:eastAsia="Times New Roman" w:hAnsiTheme="majorBidi" w:cstheme="majorBidi"/>
                <w:b/>
                <w:bCs/>
                <w:sz w:val="20"/>
                <w:szCs w:val="20"/>
              </w:rPr>
            </w:pPr>
            <w:r w:rsidRPr="005C6DCB">
              <w:rPr>
                <w:rFonts w:asciiTheme="majorBidi" w:eastAsia="Times New Roman" w:hAnsiTheme="majorBidi" w:cstheme="majorBidi"/>
                <w:b/>
                <w:bCs/>
                <w:sz w:val="20"/>
                <w:szCs w:val="20"/>
              </w:rPr>
              <w:t>South_Africa</w:t>
            </w:r>
          </w:p>
        </w:tc>
      </w:tr>
      <w:tr w:rsidR="005C6DCB" w:rsidRPr="005C6DCB" w:rsidTr="005C6DCB">
        <w:tc>
          <w:tcPr>
            <w:tcW w:w="630"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GRID</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2</w:t>
            </w:r>
            <w:r w:rsidR="005C6DCB" w:rsidRPr="005C6DCB">
              <w:rPr>
                <w:rFonts w:asciiTheme="majorBidi" w:eastAsia="Times New Roman" w:hAnsiTheme="majorBidi" w:cstheme="majorBidi"/>
                <w:sz w:val="20"/>
                <w:szCs w:val="20"/>
              </w:rPr>
              <w:t>.000***</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0.188</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0.209</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0.157</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0.082</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0.038</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0.089</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0.087</w:t>
            </w:r>
            <w:r w:rsidR="005C6DCB" w:rsidRPr="005C6DCB">
              <w:rPr>
                <w:rFonts w:asciiTheme="majorBidi" w:eastAsia="Times New Roman" w:hAnsiTheme="majorBidi" w:cstheme="majorBidi"/>
                <w:sz w:val="20"/>
                <w:szCs w:val="20"/>
              </w:rPr>
              <w:t>***</w:t>
            </w:r>
          </w:p>
        </w:tc>
        <w:tc>
          <w:tcPr>
            <w:tcW w:w="665"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0.12</w:t>
            </w:r>
            <w:r w:rsidR="005C6DCB" w:rsidRPr="005C6DCB">
              <w:rPr>
                <w:rFonts w:asciiTheme="majorBidi" w:eastAsia="Times New Roman" w:hAnsiTheme="majorBidi" w:cstheme="majorBidi"/>
                <w:sz w:val="20"/>
                <w:szCs w:val="20"/>
              </w:rPr>
              <w:t>0***</w:t>
            </w:r>
          </w:p>
        </w:tc>
      </w:tr>
      <w:tr w:rsidR="005C6DCB" w:rsidRPr="005C6DCB" w:rsidTr="005C6DCB">
        <w:tc>
          <w:tcPr>
            <w:tcW w:w="630"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POWR</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0.188</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2</w:t>
            </w:r>
            <w:r w:rsidR="005C6DCB" w:rsidRPr="005C6DCB">
              <w:rPr>
                <w:rFonts w:asciiTheme="majorBidi" w:eastAsia="Times New Roman" w:hAnsiTheme="majorBidi" w:cstheme="majorBidi"/>
                <w:sz w:val="20"/>
                <w:szCs w:val="20"/>
              </w:rPr>
              <w:t>.000***</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0.35</w:t>
            </w:r>
            <w:r w:rsidR="005C6DCB" w:rsidRPr="005C6DCB">
              <w:rPr>
                <w:rFonts w:asciiTheme="majorBidi" w:eastAsia="Times New Roman" w:hAnsiTheme="majorBidi" w:cstheme="majorBidi"/>
                <w:sz w:val="20"/>
                <w:szCs w:val="20"/>
              </w:rPr>
              <w:t>0***</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0.266</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0.084</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0.093</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0.07</w:t>
            </w:r>
            <w:r w:rsidR="005C6DCB" w:rsidRPr="005C6DCB">
              <w:rPr>
                <w:rFonts w:asciiTheme="majorBidi" w:eastAsia="Times New Roman" w:hAnsiTheme="majorBidi" w:cstheme="majorBidi"/>
                <w:sz w:val="20"/>
                <w:szCs w:val="20"/>
              </w:rPr>
              <w:t>0***</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0.09</w:t>
            </w:r>
            <w:r w:rsidR="005C6DCB" w:rsidRPr="005C6DCB">
              <w:rPr>
                <w:rFonts w:asciiTheme="majorBidi" w:eastAsia="Times New Roman" w:hAnsiTheme="majorBidi" w:cstheme="majorBidi"/>
                <w:sz w:val="20"/>
                <w:szCs w:val="20"/>
              </w:rPr>
              <w:t>5***</w:t>
            </w:r>
          </w:p>
        </w:tc>
        <w:tc>
          <w:tcPr>
            <w:tcW w:w="665"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0.118</w:t>
            </w:r>
            <w:r w:rsidR="005C6DCB" w:rsidRPr="005C6DCB">
              <w:rPr>
                <w:rFonts w:asciiTheme="majorBidi" w:eastAsia="Times New Roman" w:hAnsiTheme="majorBidi" w:cstheme="majorBidi"/>
                <w:sz w:val="20"/>
                <w:szCs w:val="20"/>
              </w:rPr>
              <w:t>***</w:t>
            </w:r>
          </w:p>
        </w:tc>
      </w:tr>
      <w:tr w:rsidR="005C6DCB" w:rsidRPr="005C6DCB" w:rsidTr="005C6DCB">
        <w:tc>
          <w:tcPr>
            <w:tcW w:w="630"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SNC</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0.209</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0.35</w:t>
            </w:r>
            <w:r w:rsidR="005C6DCB" w:rsidRPr="005C6DCB">
              <w:rPr>
                <w:rFonts w:asciiTheme="majorBidi" w:eastAsia="Times New Roman" w:hAnsiTheme="majorBidi" w:cstheme="majorBidi"/>
                <w:sz w:val="20"/>
                <w:szCs w:val="20"/>
              </w:rPr>
              <w:t>0***</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2</w:t>
            </w:r>
            <w:r w:rsidR="005C6DCB" w:rsidRPr="005C6DCB">
              <w:rPr>
                <w:rFonts w:asciiTheme="majorBidi" w:eastAsia="Times New Roman" w:hAnsiTheme="majorBidi" w:cstheme="majorBidi"/>
                <w:sz w:val="20"/>
                <w:szCs w:val="20"/>
              </w:rPr>
              <w:t>.000***</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0.218</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0.078</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0.049</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0.035</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0.055</w:t>
            </w:r>
            <w:r w:rsidR="005C6DCB" w:rsidRPr="005C6DCB">
              <w:rPr>
                <w:rFonts w:asciiTheme="majorBidi" w:eastAsia="Times New Roman" w:hAnsiTheme="majorBidi" w:cstheme="majorBidi"/>
                <w:sz w:val="20"/>
                <w:szCs w:val="20"/>
              </w:rPr>
              <w:t>***</w:t>
            </w:r>
          </w:p>
        </w:tc>
        <w:tc>
          <w:tcPr>
            <w:tcW w:w="665"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0.048</w:t>
            </w:r>
            <w:r w:rsidR="005C6DCB" w:rsidRPr="005C6DCB">
              <w:rPr>
                <w:rFonts w:asciiTheme="majorBidi" w:eastAsia="Times New Roman" w:hAnsiTheme="majorBidi" w:cstheme="majorBidi"/>
                <w:sz w:val="20"/>
                <w:szCs w:val="20"/>
              </w:rPr>
              <w:t>**</w:t>
            </w:r>
          </w:p>
        </w:tc>
      </w:tr>
      <w:tr w:rsidR="005C6DCB" w:rsidRPr="005C6DCB" w:rsidTr="005C6DCB">
        <w:tc>
          <w:tcPr>
            <w:tcW w:w="630"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lastRenderedPageBreak/>
              <w:t>WPR</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0.157</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0.27</w:t>
            </w:r>
            <w:r w:rsidR="005C6DCB" w:rsidRPr="005C6DCB">
              <w:rPr>
                <w:rFonts w:asciiTheme="majorBidi" w:eastAsia="Times New Roman" w:hAnsiTheme="majorBidi" w:cstheme="majorBidi"/>
                <w:sz w:val="20"/>
                <w:szCs w:val="20"/>
              </w:rPr>
              <w:t>5***</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0.218</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1.000***</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0.062</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0.012</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0.029</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0.036</w:t>
            </w:r>
          </w:p>
        </w:tc>
        <w:tc>
          <w:tcPr>
            <w:tcW w:w="665"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0.034</w:t>
            </w:r>
          </w:p>
        </w:tc>
      </w:tr>
      <w:tr w:rsidR="005C6DCB" w:rsidRPr="005C6DCB" w:rsidTr="005C6DCB">
        <w:tc>
          <w:tcPr>
            <w:tcW w:w="630"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Brazil</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w:t>
            </w:r>
            <w:r w:rsidR="0003603D">
              <w:rPr>
                <w:rFonts w:asciiTheme="majorBidi" w:eastAsia="Times New Roman" w:hAnsiTheme="majorBidi" w:cstheme="majorBidi"/>
                <w:sz w:val="20"/>
                <w:szCs w:val="20"/>
              </w:rPr>
              <w:t>82</w:t>
            </w:r>
            <w:r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0.084</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0.078</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0.062</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1.000***</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0.063</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0.115</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0.170***</w:t>
            </w:r>
          </w:p>
        </w:tc>
        <w:tc>
          <w:tcPr>
            <w:tcW w:w="665"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0.194</w:t>
            </w:r>
            <w:r w:rsidR="005C6DCB" w:rsidRPr="005C6DCB">
              <w:rPr>
                <w:rFonts w:asciiTheme="majorBidi" w:eastAsia="Times New Roman" w:hAnsiTheme="majorBidi" w:cstheme="majorBidi"/>
                <w:sz w:val="20"/>
                <w:szCs w:val="20"/>
              </w:rPr>
              <w:t>***</w:t>
            </w:r>
          </w:p>
        </w:tc>
      </w:tr>
      <w:tr w:rsidR="005C6DCB" w:rsidRPr="005C6DCB" w:rsidTr="005C6DCB">
        <w:tc>
          <w:tcPr>
            <w:tcW w:w="630"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China</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0.038</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0.093</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0.049</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0.012</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0.063</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2</w:t>
            </w:r>
            <w:r w:rsidR="005C6DCB" w:rsidRPr="005C6DCB">
              <w:rPr>
                <w:rFonts w:asciiTheme="majorBidi" w:eastAsia="Times New Roman" w:hAnsiTheme="majorBidi" w:cstheme="majorBidi"/>
                <w:sz w:val="20"/>
                <w:szCs w:val="20"/>
              </w:rPr>
              <w:t>.000***</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0.148</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0.135***</w:t>
            </w:r>
          </w:p>
        </w:tc>
        <w:tc>
          <w:tcPr>
            <w:tcW w:w="665"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0.225</w:t>
            </w:r>
            <w:r w:rsidR="005C6DCB" w:rsidRPr="005C6DCB">
              <w:rPr>
                <w:rFonts w:asciiTheme="majorBidi" w:eastAsia="Times New Roman" w:hAnsiTheme="majorBidi" w:cstheme="majorBidi"/>
                <w:sz w:val="20"/>
                <w:szCs w:val="20"/>
              </w:rPr>
              <w:t>***</w:t>
            </w:r>
          </w:p>
        </w:tc>
      </w:tr>
      <w:tr w:rsidR="005C6DCB" w:rsidRPr="005C6DCB" w:rsidTr="005C6DCB">
        <w:tc>
          <w:tcPr>
            <w:tcW w:w="630"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India</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0.089</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0.07</w:t>
            </w:r>
            <w:r w:rsidR="005C6DCB" w:rsidRPr="005C6DCB">
              <w:rPr>
                <w:rFonts w:asciiTheme="majorBidi" w:eastAsia="Times New Roman" w:hAnsiTheme="majorBidi" w:cstheme="majorBidi"/>
                <w:sz w:val="20"/>
                <w:szCs w:val="20"/>
              </w:rPr>
              <w:t>0***</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0.035</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0.029</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0.115</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0.148</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1.000***</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0.180***</w:t>
            </w:r>
          </w:p>
        </w:tc>
        <w:tc>
          <w:tcPr>
            <w:tcW w:w="665"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0.269</w:t>
            </w:r>
            <w:r w:rsidR="005C6DCB" w:rsidRPr="005C6DCB">
              <w:rPr>
                <w:rFonts w:asciiTheme="majorBidi" w:eastAsia="Times New Roman" w:hAnsiTheme="majorBidi" w:cstheme="majorBidi"/>
                <w:sz w:val="20"/>
                <w:szCs w:val="20"/>
              </w:rPr>
              <w:t>***</w:t>
            </w:r>
          </w:p>
        </w:tc>
      </w:tr>
      <w:tr w:rsidR="005C6DCB" w:rsidRPr="005C6DCB" w:rsidTr="005C6DCB">
        <w:tc>
          <w:tcPr>
            <w:tcW w:w="630"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Russia</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0.087</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0.09</w:t>
            </w:r>
            <w:r w:rsidR="005C6DCB" w:rsidRPr="005C6DCB">
              <w:rPr>
                <w:rFonts w:asciiTheme="majorBidi" w:eastAsia="Times New Roman" w:hAnsiTheme="majorBidi" w:cstheme="majorBidi"/>
                <w:sz w:val="20"/>
                <w:szCs w:val="20"/>
              </w:rPr>
              <w:t>5***</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0.055</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0.037</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0.16</w:t>
            </w:r>
            <w:r w:rsidR="005C6DCB" w:rsidRPr="005C6DCB">
              <w:rPr>
                <w:rFonts w:asciiTheme="majorBidi" w:eastAsia="Times New Roman" w:hAnsiTheme="majorBidi" w:cstheme="majorBidi"/>
                <w:sz w:val="20"/>
                <w:szCs w:val="20"/>
              </w:rPr>
              <w:t>0***</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0.14</w:t>
            </w:r>
            <w:r w:rsidR="005C6DCB" w:rsidRPr="005C6DCB">
              <w:rPr>
                <w:rFonts w:asciiTheme="majorBidi" w:eastAsia="Times New Roman" w:hAnsiTheme="majorBidi" w:cstheme="majorBidi"/>
                <w:sz w:val="20"/>
                <w:szCs w:val="20"/>
              </w:rPr>
              <w:t>5***</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0.19</w:t>
            </w:r>
            <w:r w:rsidR="005C6DCB" w:rsidRPr="005C6DCB">
              <w:rPr>
                <w:rFonts w:asciiTheme="majorBidi" w:eastAsia="Times New Roman" w:hAnsiTheme="majorBidi" w:cstheme="majorBidi"/>
                <w:sz w:val="20"/>
                <w:szCs w:val="20"/>
              </w:rPr>
              <w:t>0***</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2</w:t>
            </w:r>
            <w:r w:rsidR="005C6DCB" w:rsidRPr="005C6DCB">
              <w:rPr>
                <w:rFonts w:asciiTheme="majorBidi" w:eastAsia="Times New Roman" w:hAnsiTheme="majorBidi" w:cstheme="majorBidi"/>
                <w:sz w:val="20"/>
                <w:szCs w:val="20"/>
              </w:rPr>
              <w:t>.000***</w:t>
            </w:r>
          </w:p>
        </w:tc>
        <w:tc>
          <w:tcPr>
            <w:tcW w:w="665"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0.308</w:t>
            </w:r>
            <w:r w:rsidR="005C6DCB" w:rsidRPr="005C6DCB">
              <w:rPr>
                <w:rFonts w:asciiTheme="majorBidi" w:eastAsia="Times New Roman" w:hAnsiTheme="majorBidi" w:cstheme="majorBidi"/>
                <w:sz w:val="20"/>
                <w:szCs w:val="20"/>
              </w:rPr>
              <w:t>***</w:t>
            </w:r>
          </w:p>
        </w:tc>
      </w:tr>
      <w:tr w:rsidR="005C6DCB" w:rsidRPr="005C6DCB" w:rsidTr="005C6DCB">
        <w:tc>
          <w:tcPr>
            <w:tcW w:w="630"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South_Africa</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0.12</w:t>
            </w:r>
            <w:r w:rsidR="005C6DCB" w:rsidRPr="005C6DCB">
              <w:rPr>
                <w:rFonts w:asciiTheme="majorBidi" w:eastAsia="Times New Roman" w:hAnsiTheme="majorBidi" w:cstheme="majorBidi"/>
                <w:sz w:val="20"/>
                <w:szCs w:val="20"/>
              </w:rPr>
              <w:t>0***</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0.118</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0.048</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0.034</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0.194</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0.225</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0.269</w:t>
            </w:r>
            <w:r w:rsidR="005C6DCB" w:rsidRPr="005C6DCB">
              <w:rPr>
                <w:rFonts w:asciiTheme="majorBidi" w:eastAsia="Times New Roman" w:hAnsiTheme="majorBidi" w:cstheme="majorBidi"/>
                <w:sz w:val="20"/>
                <w:szCs w:val="20"/>
              </w:rPr>
              <w:t>***</w:t>
            </w:r>
          </w:p>
        </w:tc>
        <w:tc>
          <w:tcPr>
            <w:tcW w:w="463"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0.308</w:t>
            </w:r>
            <w:r w:rsidR="005C6DCB" w:rsidRPr="005C6DCB">
              <w:rPr>
                <w:rFonts w:asciiTheme="majorBidi" w:eastAsia="Times New Roman" w:hAnsiTheme="majorBidi" w:cstheme="majorBidi"/>
                <w:sz w:val="20"/>
                <w:szCs w:val="20"/>
              </w:rPr>
              <w:t>***</w:t>
            </w:r>
          </w:p>
        </w:tc>
        <w:tc>
          <w:tcPr>
            <w:tcW w:w="665" w:type="pct"/>
            <w:tcBorders>
              <w:bottom w:val="nil"/>
              <w:right w:val="nil"/>
            </w:tcBorders>
            <w:tcMar>
              <w:top w:w="75" w:type="dxa"/>
              <w:left w:w="75" w:type="dxa"/>
              <w:bottom w:w="75" w:type="dxa"/>
              <w:right w:w="75" w:type="dxa"/>
            </w:tcMar>
            <w:vAlign w:val="bottom"/>
            <w:hideMark/>
          </w:tcPr>
          <w:p w:rsidR="005C6DCB" w:rsidRPr="005C6DCB" w:rsidRDefault="0003603D" w:rsidP="005C6DCB">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2</w:t>
            </w:r>
            <w:r w:rsidR="005C6DCB" w:rsidRPr="005C6DCB">
              <w:rPr>
                <w:rFonts w:asciiTheme="majorBidi" w:eastAsia="Times New Roman" w:hAnsiTheme="majorBidi" w:cstheme="majorBidi"/>
                <w:sz w:val="20"/>
                <w:szCs w:val="20"/>
              </w:rPr>
              <w:t>.000***</w:t>
            </w:r>
          </w:p>
        </w:tc>
      </w:tr>
      <w:tr w:rsidR="005C6DCB" w:rsidRPr="005C6DCB" w:rsidTr="005C6DCB">
        <w:tc>
          <w:tcPr>
            <w:tcW w:w="5000" w:type="pct"/>
            <w:gridSpan w:val="10"/>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p>
        </w:tc>
      </w:tr>
      <w:tr w:rsidR="005C6DCB" w:rsidRPr="005C6DCB" w:rsidTr="005C6DCB">
        <w:tc>
          <w:tcPr>
            <w:tcW w:w="5000" w:type="pct"/>
            <w:gridSpan w:val="10"/>
            <w:tcBorders>
              <w:bottom w:val="nil"/>
              <w:right w:val="nil"/>
            </w:tcBorders>
            <w:tcMar>
              <w:top w:w="75" w:type="dxa"/>
              <w:left w:w="75" w:type="dxa"/>
              <w:bottom w:w="75" w:type="dxa"/>
              <w:right w:w="75" w:type="dxa"/>
            </w:tcMar>
            <w:vAlign w:val="bottom"/>
            <w:hideMark/>
          </w:tcPr>
          <w:p w:rsid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Panel B: Pre COVID-19 (February 22, 2018 to December 31, 2019)</w:t>
            </w:r>
          </w:p>
          <w:p w:rsidR="0003603D" w:rsidRPr="005C6DCB" w:rsidRDefault="0003603D" w:rsidP="005C6DCB">
            <w:pPr>
              <w:spacing w:after="0" w:line="240" w:lineRule="auto"/>
              <w:rPr>
                <w:rFonts w:asciiTheme="majorBidi" w:eastAsia="Times New Roman" w:hAnsiTheme="majorBidi" w:cstheme="majorBidi"/>
                <w:sz w:val="20"/>
                <w:szCs w:val="20"/>
              </w:rPr>
            </w:pPr>
          </w:p>
        </w:tc>
      </w:tr>
      <w:tr w:rsidR="005C6DCB" w:rsidRPr="005C6DCB" w:rsidTr="005C6DCB">
        <w:tc>
          <w:tcPr>
            <w:tcW w:w="630"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GRID</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POWR</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SNC</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WPR</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Brazil</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China</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India</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Russia</w:t>
            </w:r>
          </w:p>
        </w:tc>
        <w:tc>
          <w:tcPr>
            <w:tcW w:w="665"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South_Africa</w:t>
            </w:r>
          </w:p>
        </w:tc>
      </w:tr>
      <w:tr w:rsidR="005C6DCB" w:rsidRPr="005C6DCB" w:rsidTr="005C6DCB">
        <w:tc>
          <w:tcPr>
            <w:tcW w:w="630"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GRID</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1.000***</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0.164***</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0.215***</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0.170***</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0.022</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0.055</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0.04</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0.048</w:t>
            </w:r>
          </w:p>
        </w:tc>
        <w:tc>
          <w:tcPr>
            <w:tcW w:w="665"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0.083**</w:t>
            </w:r>
          </w:p>
        </w:tc>
      </w:tr>
      <w:tr w:rsidR="005C6DCB" w:rsidRPr="005C6DCB" w:rsidTr="005C6DCB">
        <w:tc>
          <w:tcPr>
            <w:tcW w:w="630"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POWR</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0.164***</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1.000***</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0.407***</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0.464***</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0.045</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0.067</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0.013</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0.073**</w:t>
            </w:r>
          </w:p>
        </w:tc>
        <w:tc>
          <w:tcPr>
            <w:tcW w:w="665"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0.079**</w:t>
            </w:r>
          </w:p>
        </w:tc>
      </w:tr>
      <w:tr w:rsidR="005C6DCB" w:rsidRPr="005C6DCB" w:rsidTr="005C6DCB">
        <w:tc>
          <w:tcPr>
            <w:tcW w:w="630"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SNC</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0.215***</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0.407***</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1.000***</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0.325***</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0.007</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0.081**</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0.006</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0.042</w:t>
            </w:r>
          </w:p>
        </w:tc>
        <w:tc>
          <w:tcPr>
            <w:tcW w:w="665"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0.018</w:t>
            </w:r>
          </w:p>
        </w:tc>
      </w:tr>
      <w:tr w:rsidR="005C6DCB" w:rsidRPr="005C6DCB" w:rsidTr="005C6DCB">
        <w:tc>
          <w:tcPr>
            <w:tcW w:w="630"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WPR</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0.170***</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0.464***</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0.325***</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1.000***</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0.036</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0.034</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0.068**</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0.055</w:t>
            </w:r>
          </w:p>
        </w:tc>
        <w:tc>
          <w:tcPr>
            <w:tcW w:w="665"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0.03</w:t>
            </w:r>
          </w:p>
        </w:tc>
      </w:tr>
      <w:tr w:rsidR="005C6DCB" w:rsidRPr="005C6DCB" w:rsidTr="005C6DCB">
        <w:tc>
          <w:tcPr>
            <w:tcW w:w="630"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Brazil</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0.022</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0.045</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0.007</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0.036</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1.000***</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0.067**</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0.052</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0.215***</w:t>
            </w:r>
          </w:p>
        </w:tc>
        <w:tc>
          <w:tcPr>
            <w:tcW w:w="665"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0.173***</w:t>
            </w:r>
          </w:p>
        </w:tc>
      </w:tr>
      <w:tr w:rsidR="005C6DCB" w:rsidRPr="005C6DCB" w:rsidTr="005C6DCB">
        <w:tc>
          <w:tcPr>
            <w:tcW w:w="630"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China</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0.055</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0.067</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0.081**</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0.034</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0.067**</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1.000***</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0.126***</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0.142***</w:t>
            </w:r>
          </w:p>
        </w:tc>
        <w:tc>
          <w:tcPr>
            <w:tcW w:w="665"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0.248***</w:t>
            </w:r>
          </w:p>
        </w:tc>
      </w:tr>
      <w:tr w:rsidR="005C6DCB" w:rsidRPr="005C6DCB" w:rsidTr="005C6DCB">
        <w:tc>
          <w:tcPr>
            <w:tcW w:w="630"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India</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0.04</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0.013</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0.006</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0.068**</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0.052</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0.126***</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1.000***</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0.156***</w:t>
            </w:r>
          </w:p>
        </w:tc>
        <w:tc>
          <w:tcPr>
            <w:tcW w:w="665"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0.215***</w:t>
            </w:r>
          </w:p>
        </w:tc>
      </w:tr>
      <w:tr w:rsidR="005C6DCB" w:rsidRPr="005C6DCB" w:rsidTr="005C6DCB">
        <w:tc>
          <w:tcPr>
            <w:tcW w:w="630"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Russia</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0.048</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0.073**</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0.042</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0.055</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0.215***</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0.142***</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0.156***</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1.000***</w:t>
            </w:r>
          </w:p>
        </w:tc>
        <w:tc>
          <w:tcPr>
            <w:tcW w:w="665"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0.329***</w:t>
            </w:r>
          </w:p>
        </w:tc>
      </w:tr>
      <w:tr w:rsidR="005C6DCB" w:rsidRPr="005C6DCB" w:rsidTr="005C6DCB">
        <w:tc>
          <w:tcPr>
            <w:tcW w:w="630"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South_Africa</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0.083**</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0.079**</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0.018</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0.03</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0.173***</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0.248***</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0.215***</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0.329***</w:t>
            </w:r>
          </w:p>
        </w:tc>
        <w:tc>
          <w:tcPr>
            <w:tcW w:w="665"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1.000***</w:t>
            </w:r>
          </w:p>
        </w:tc>
      </w:tr>
      <w:tr w:rsidR="005C6DCB" w:rsidRPr="005C6DCB" w:rsidTr="005C6DCB">
        <w:tc>
          <w:tcPr>
            <w:tcW w:w="5000" w:type="pct"/>
            <w:gridSpan w:val="10"/>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p>
        </w:tc>
      </w:tr>
      <w:tr w:rsidR="005C6DCB" w:rsidRPr="005C6DCB" w:rsidTr="005C6DCB">
        <w:tc>
          <w:tcPr>
            <w:tcW w:w="5000" w:type="pct"/>
            <w:gridSpan w:val="10"/>
            <w:tcBorders>
              <w:bottom w:val="nil"/>
              <w:right w:val="nil"/>
            </w:tcBorders>
            <w:tcMar>
              <w:top w:w="75" w:type="dxa"/>
              <w:left w:w="75" w:type="dxa"/>
              <w:bottom w:w="75" w:type="dxa"/>
              <w:right w:w="75" w:type="dxa"/>
            </w:tcMar>
            <w:vAlign w:val="bottom"/>
            <w:hideMark/>
          </w:tcPr>
          <w:p w:rsid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Panel C: during COVID-19 (January 1, 2020, to September 15, 2023)</w:t>
            </w:r>
          </w:p>
          <w:p w:rsidR="0003603D" w:rsidRPr="005C6DCB" w:rsidRDefault="0003603D" w:rsidP="005C6DCB">
            <w:pPr>
              <w:spacing w:after="0" w:line="240" w:lineRule="auto"/>
              <w:rPr>
                <w:rFonts w:asciiTheme="majorBidi" w:eastAsia="Times New Roman" w:hAnsiTheme="majorBidi" w:cstheme="majorBidi"/>
                <w:sz w:val="20"/>
                <w:szCs w:val="20"/>
              </w:rPr>
            </w:pPr>
          </w:p>
        </w:tc>
      </w:tr>
      <w:tr w:rsidR="005C6DCB" w:rsidRPr="005C6DCB" w:rsidTr="005C6DCB">
        <w:tc>
          <w:tcPr>
            <w:tcW w:w="630"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GRID</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POWR</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SNC</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WPR</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Brazil</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China</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India</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Russia</w:t>
            </w:r>
          </w:p>
        </w:tc>
        <w:tc>
          <w:tcPr>
            <w:tcW w:w="665"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South_Africa</w:t>
            </w:r>
          </w:p>
        </w:tc>
      </w:tr>
      <w:tr w:rsidR="005C6DCB" w:rsidRPr="005C6DCB" w:rsidTr="005C6DCB">
        <w:tc>
          <w:tcPr>
            <w:tcW w:w="630"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lastRenderedPageBreak/>
              <w:t>GRID</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1.000***</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0.202***</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0.203***</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0.155***</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0.117***</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0.026</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0.113***</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0.110***</w:t>
            </w:r>
          </w:p>
        </w:tc>
        <w:tc>
          <w:tcPr>
            <w:tcW w:w="665"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0.123***</w:t>
            </w:r>
          </w:p>
        </w:tc>
      </w:tr>
      <w:tr w:rsidR="005C6DCB" w:rsidRPr="005C6DCB" w:rsidTr="005C6DCB">
        <w:tc>
          <w:tcPr>
            <w:tcW w:w="630"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POWR</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0.202***</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1.000***</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0.305***</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0.168***</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0.103***</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0.104***</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0.080***</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0.089***</w:t>
            </w:r>
          </w:p>
        </w:tc>
        <w:tc>
          <w:tcPr>
            <w:tcW w:w="665"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0.137***</w:t>
            </w:r>
          </w:p>
        </w:tc>
      </w:tr>
      <w:tr w:rsidR="005C6DCB" w:rsidRPr="005C6DCB" w:rsidTr="005C6DCB">
        <w:tc>
          <w:tcPr>
            <w:tcW w:w="630"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SNC</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0.203***</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0.305***</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1.000***</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0.167***</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0.119***</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0.028</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0.044</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0.060**</w:t>
            </w:r>
          </w:p>
        </w:tc>
        <w:tc>
          <w:tcPr>
            <w:tcW w:w="665"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0.064***</w:t>
            </w:r>
          </w:p>
        </w:tc>
      </w:tr>
      <w:tr w:rsidR="005C6DCB" w:rsidRPr="005C6DCB" w:rsidTr="005C6DCB">
        <w:tc>
          <w:tcPr>
            <w:tcW w:w="630"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WPR</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0.155***</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0.168***</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0.167***</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1.000***</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0.077***</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−0.003</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0.006</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0.033</w:t>
            </w:r>
          </w:p>
        </w:tc>
        <w:tc>
          <w:tcPr>
            <w:tcW w:w="665"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0.037</w:t>
            </w:r>
          </w:p>
        </w:tc>
      </w:tr>
      <w:tr w:rsidR="005C6DCB" w:rsidRPr="005C6DCB" w:rsidTr="005C6DCB">
        <w:tc>
          <w:tcPr>
            <w:tcW w:w="630"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Brazil</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0.117***</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0.103***</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0.119***</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0.077***</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1.000***</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0.059**</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0.145***</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0.153***</w:t>
            </w:r>
          </w:p>
        </w:tc>
        <w:tc>
          <w:tcPr>
            <w:tcW w:w="665"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0.203***</w:t>
            </w:r>
          </w:p>
        </w:tc>
      </w:tr>
      <w:tr w:rsidR="005C6DCB" w:rsidRPr="005C6DCB" w:rsidTr="005C6DCB">
        <w:tc>
          <w:tcPr>
            <w:tcW w:w="630"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China</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0.026</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0.104***</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0.028</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−0.003</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0.059**</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1.000***</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0.161***</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0.134***</w:t>
            </w:r>
          </w:p>
        </w:tc>
        <w:tc>
          <w:tcPr>
            <w:tcW w:w="665"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0.217***</w:t>
            </w:r>
          </w:p>
        </w:tc>
      </w:tr>
      <w:tr w:rsidR="005C6DCB" w:rsidRPr="005C6DCB" w:rsidTr="005C6DCB">
        <w:tc>
          <w:tcPr>
            <w:tcW w:w="630"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India</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0.113***</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0.080***</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0.044</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0.006</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0.145***</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0.161***</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1.000***</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0.189***</w:t>
            </w:r>
          </w:p>
        </w:tc>
        <w:tc>
          <w:tcPr>
            <w:tcW w:w="665"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0.290***</w:t>
            </w:r>
          </w:p>
        </w:tc>
      </w:tr>
      <w:tr w:rsidR="005C6DCB" w:rsidRPr="005C6DCB" w:rsidTr="005C6DCB">
        <w:tc>
          <w:tcPr>
            <w:tcW w:w="630"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Russia</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0.110***</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0.089***</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0.060**</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0.033</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0.153***</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0.134***</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0.189***</w:t>
            </w:r>
          </w:p>
        </w:tc>
        <w:tc>
          <w:tcPr>
            <w:tcW w:w="463"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1.000***</w:t>
            </w:r>
          </w:p>
        </w:tc>
        <w:tc>
          <w:tcPr>
            <w:tcW w:w="665" w:type="pct"/>
            <w:tcBorders>
              <w:bottom w:val="nil"/>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0.300***</w:t>
            </w:r>
          </w:p>
        </w:tc>
      </w:tr>
      <w:tr w:rsidR="005C6DCB" w:rsidRPr="005C6DCB" w:rsidTr="005C6DCB">
        <w:tc>
          <w:tcPr>
            <w:tcW w:w="630" w:type="pct"/>
            <w:tcBorders>
              <w:bottom w:val="single" w:sz="4" w:space="0" w:color="auto"/>
              <w:right w:val="nil"/>
            </w:tcBorders>
            <w:tcMar>
              <w:top w:w="75" w:type="dxa"/>
              <w:left w:w="75" w:type="dxa"/>
              <w:bottom w:w="75" w:type="dxa"/>
              <w:right w:w="75" w:type="dxa"/>
            </w:tcMar>
            <w:vAlign w:val="bottom"/>
            <w:hideMark/>
          </w:tcPr>
          <w:p w:rsidR="005C6DCB" w:rsidRPr="005C6DCB" w:rsidRDefault="005C6DCB" w:rsidP="005C6DCB">
            <w:pPr>
              <w:spacing w:after="0" w:line="240" w:lineRule="auto"/>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South_Africa</w:t>
            </w:r>
          </w:p>
        </w:tc>
        <w:tc>
          <w:tcPr>
            <w:tcW w:w="463" w:type="pct"/>
            <w:tcBorders>
              <w:bottom w:val="single" w:sz="4" w:space="0" w:color="auto"/>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0.123***</w:t>
            </w:r>
          </w:p>
        </w:tc>
        <w:tc>
          <w:tcPr>
            <w:tcW w:w="463" w:type="pct"/>
            <w:tcBorders>
              <w:bottom w:val="single" w:sz="4" w:space="0" w:color="auto"/>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0.137***</w:t>
            </w:r>
          </w:p>
        </w:tc>
        <w:tc>
          <w:tcPr>
            <w:tcW w:w="463" w:type="pct"/>
            <w:tcBorders>
              <w:bottom w:val="single" w:sz="4" w:space="0" w:color="auto"/>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0.064***</w:t>
            </w:r>
          </w:p>
        </w:tc>
        <w:tc>
          <w:tcPr>
            <w:tcW w:w="463" w:type="pct"/>
            <w:tcBorders>
              <w:bottom w:val="single" w:sz="4" w:space="0" w:color="auto"/>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0.037</w:t>
            </w:r>
          </w:p>
        </w:tc>
        <w:tc>
          <w:tcPr>
            <w:tcW w:w="463" w:type="pct"/>
            <w:tcBorders>
              <w:bottom w:val="single" w:sz="4" w:space="0" w:color="auto"/>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0.203***</w:t>
            </w:r>
          </w:p>
        </w:tc>
        <w:tc>
          <w:tcPr>
            <w:tcW w:w="463" w:type="pct"/>
            <w:tcBorders>
              <w:bottom w:val="single" w:sz="4" w:space="0" w:color="auto"/>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0.217***</w:t>
            </w:r>
          </w:p>
        </w:tc>
        <w:tc>
          <w:tcPr>
            <w:tcW w:w="463" w:type="pct"/>
            <w:tcBorders>
              <w:bottom w:val="single" w:sz="4" w:space="0" w:color="auto"/>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0.290***</w:t>
            </w:r>
          </w:p>
        </w:tc>
        <w:tc>
          <w:tcPr>
            <w:tcW w:w="463" w:type="pct"/>
            <w:tcBorders>
              <w:bottom w:val="single" w:sz="4" w:space="0" w:color="auto"/>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0.300***</w:t>
            </w:r>
          </w:p>
        </w:tc>
        <w:tc>
          <w:tcPr>
            <w:tcW w:w="665" w:type="pct"/>
            <w:tcBorders>
              <w:bottom w:val="single" w:sz="4" w:space="0" w:color="auto"/>
              <w:right w:val="nil"/>
            </w:tcBorders>
            <w:tcMar>
              <w:top w:w="75" w:type="dxa"/>
              <w:left w:w="75" w:type="dxa"/>
              <w:bottom w:w="75" w:type="dxa"/>
              <w:right w:w="75" w:type="dxa"/>
            </w:tcMar>
            <w:vAlign w:val="bottom"/>
            <w:hideMark/>
          </w:tcPr>
          <w:p w:rsidR="005C6DCB" w:rsidRPr="005C6DCB" w:rsidRDefault="005C6DCB" w:rsidP="005C6DCB">
            <w:pPr>
              <w:spacing w:after="0" w:line="240" w:lineRule="auto"/>
              <w:jc w:val="center"/>
              <w:rPr>
                <w:rFonts w:asciiTheme="majorBidi" w:eastAsia="Times New Roman" w:hAnsiTheme="majorBidi" w:cstheme="majorBidi"/>
                <w:sz w:val="20"/>
                <w:szCs w:val="20"/>
              </w:rPr>
            </w:pPr>
            <w:r w:rsidRPr="005C6DCB">
              <w:rPr>
                <w:rFonts w:asciiTheme="majorBidi" w:eastAsia="Times New Roman" w:hAnsiTheme="majorBidi" w:cstheme="majorBidi"/>
                <w:sz w:val="20"/>
                <w:szCs w:val="20"/>
              </w:rPr>
              <w:t>1.000***</w:t>
            </w:r>
          </w:p>
        </w:tc>
      </w:tr>
    </w:tbl>
    <w:p w:rsidR="005C6DCB" w:rsidRDefault="005C6DCB" w:rsidP="005C6DCB">
      <w:pPr>
        <w:pStyle w:val="Heading3"/>
        <w:rPr>
          <w:rFonts w:ascii="Georgia" w:hAnsi="Georgia"/>
          <w:color w:val="1F1F1F"/>
        </w:rPr>
      </w:pPr>
    </w:p>
    <w:p w:rsidR="005C6DCB" w:rsidRPr="005C6DCB" w:rsidRDefault="005C6DCB" w:rsidP="005C6DCB">
      <w:pPr>
        <w:pStyle w:val="Heading3"/>
        <w:spacing w:line="480" w:lineRule="auto"/>
        <w:rPr>
          <w:rFonts w:asciiTheme="majorBidi" w:hAnsiTheme="majorBidi"/>
          <w:b/>
          <w:bCs/>
          <w:color w:val="1F1F1F"/>
        </w:rPr>
      </w:pPr>
      <w:r w:rsidRPr="005C6DCB">
        <w:rPr>
          <w:rFonts w:asciiTheme="majorBidi" w:hAnsiTheme="majorBidi"/>
          <w:b/>
          <w:bCs/>
          <w:color w:val="1F1F1F"/>
        </w:rPr>
        <w:t>3.3. Static connectedness</w:t>
      </w:r>
    </w:p>
    <w:p w:rsidR="005C6DCB" w:rsidRPr="005C6DCB" w:rsidRDefault="005C6DCB" w:rsidP="00D12250">
      <w:pPr>
        <w:spacing w:after="0" w:line="480" w:lineRule="auto"/>
        <w:jc w:val="both"/>
        <w:rPr>
          <w:rFonts w:asciiTheme="majorBidi" w:hAnsiTheme="majorBidi" w:cstheme="majorBidi"/>
          <w:sz w:val="24"/>
          <w:szCs w:val="24"/>
        </w:rPr>
      </w:pPr>
      <w:r w:rsidRPr="005C6DCB">
        <w:rPr>
          <w:rFonts w:asciiTheme="majorBidi" w:hAnsiTheme="majorBidi" w:cstheme="majorBidi"/>
          <w:sz w:val="24"/>
          <w:szCs w:val="24"/>
        </w:rPr>
        <w:t xml:space="preserve">The examination of stock market interrelations across BRICS stock markets and renewable energy tokens (GRID, POWR, SNC, and WPR) from February 22, 2018, to September 15, 2023, uncovers notable tendencies, particularly in the context of the pre-and post-COVID-19 eras. Overall, renewable energy tokens consistently functioned as recipients of return spillovers, while the BRICS stock markets served as transmitters. This dynamic illustrates the effect of BRICS markets on the returns of renewable energy tokens, suggesting that fluctuations in BRICS stock markets have a greater influence on the returns of green energy tokens than vice versa. Renewable energy tokens function as absorbers of market shocks, indicating significant implications for portfolio diversification and risk management. This attribute may provide investors with a chance to alleviate the effects of unforeseen market occurrences on their total portfolio. In periods of </w:t>
      </w:r>
      <w:r w:rsidRPr="005C6DCB">
        <w:rPr>
          <w:rFonts w:asciiTheme="majorBidi" w:hAnsiTheme="majorBidi" w:cstheme="majorBidi"/>
          <w:sz w:val="24"/>
          <w:szCs w:val="24"/>
        </w:rPr>
        <w:lastRenderedPageBreak/>
        <w:t>significant volatility, such as the COVID-19 epidemic, renewable energy tokens may provide a refuge due to their resilience against disturbances in other markets. The connection measures between the BRICS stock markets and renewable energy tokens showed a substantial rise during the COVID-19 pandemic, with the total connectedness index (TCI) escalating from 3.76% before the epidemic to 42.12% over the whole study period. This indicates a more robust correlation between the two asset groups as the epidemic progressed. During the interval from January 1, 2020, to September 15, 2023, which includes the height of the COVID-19 epidemic, the TCI reached 55.33%. The increasing interconnection indicates that during crises, like the COVID-19 epidemic, the markets for renewable energy tokens and the BRICS stock markets exhibit more interdependence, resulting in amplified spillover effects in both directions. This increasing interconnectedness may signify the overarching trend of global financial markets becoming more integrated due to technology advancements, investor behavior, and the worldwide character of economic crises. Alongside enhanced connection, the notion of "net spillover" elucidates the dynamics of these marketplaces. Net spillover denotes the disparity between spillovers entering and exiting a market. The BRICS markets consistently acted as transmitters of shocks, but renewable energy tokens served as receivers, indicating that renewable energy markets were more responsive to external disturbances. This implies that renewable energy tokens may have a stabilizing influence on investor portfolios, especially during crises, since they may mitigate shocks from the wider market. The heightened link between renewable energy tokens and BRICS markets during the epidemic highlights the need for investors to see green energy assets as a means of risk diversification. Policymakers and regulators may need to modify their plans to accommodate these changing market dynamics, assuring the integration of renewable energy tokens into comprehensive financial market stability measures.</w:t>
      </w:r>
    </w:p>
    <w:p w:rsidR="003A5184" w:rsidRPr="00D12250" w:rsidRDefault="00D12250" w:rsidP="00D12250">
      <w:pPr>
        <w:spacing w:after="0" w:line="240" w:lineRule="auto"/>
        <w:rPr>
          <w:rFonts w:asciiTheme="majorBidi" w:eastAsia="Times New Roman" w:hAnsiTheme="majorBidi" w:cstheme="majorBidi"/>
          <w:color w:val="1F1F1F"/>
          <w:sz w:val="20"/>
          <w:szCs w:val="20"/>
        </w:rPr>
      </w:pPr>
      <w:r w:rsidRPr="00D12250">
        <w:rPr>
          <w:rFonts w:asciiTheme="majorBidi" w:eastAsia="Times New Roman" w:hAnsiTheme="majorBidi" w:cstheme="majorBidi"/>
          <w:color w:val="1F1F1F"/>
          <w:sz w:val="20"/>
          <w:szCs w:val="20"/>
        </w:rPr>
        <w:t>Table 3. Connectivity of static returns.</w:t>
      </w:r>
    </w:p>
    <w:p w:rsidR="003A5184" w:rsidRPr="00D12250" w:rsidRDefault="003A5184" w:rsidP="00D12250">
      <w:pPr>
        <w:spacing w:after="0" w:line="240" w:lineRule="auto"/>
        <w:rPr>
          <w:rFonts w:asciiTheme="majorBidi" w:eastAsia="Times New Roman" w:hAnsiTheme="majorBidi" w:cstheme="majorBidi"/>
          <w:color w:val="1F1F1F"/>
          <w:sz w:val="20"/>
          <w:szCs w:val="20"/>
        </w:rPr>
      </w:pPr>
    </w:p>
    <w:tbl>
      <w:tblPr>
        <w:tblW w:w="9766" w:type="dxa"/>
        <w:tblBorders>
          <w:top w:val="single" w:sz="6" w:space="0" w:color="8E8E8E"/>
          <w:bottom w:val="single" w:sz="6" w:space="0" w:color="8E8E8E"/>
        </w:tblBorders>
        <w:tblCellMar>
          <w:left w:w="0" w:type="dxa"/>
          <w:right w:w="0" w:type="dxa"/>
        </w:tblCellMar>
        <w:tblLook w:val="04A0" w:firstRow="1" w:lastRow="0" w:firstColumn="1" w:lastColumn="0" w:noHBand="0" w:noVBand="1"/>
      </w:tblPr>
      <w:tblGrid>
        <w:gridCol w:w="1361"/>
        <w:gridCol w:w="791"/>
        <w:gridCol w:w="856"/>
        <w:gridCol w:w="679"/>
        <w:gridCol w:w="683"/>
        <w:gridCol w:w="775"/>
        <w:gridCol w:w="775"/>
        <w:gridCol w:w="775"/>
        <w:gridCol w:w="794"/>
        <w:gridCol w:w="1434"/>
        <w:gridCol w:w="843"/>
      </w:tblGrid>
      <w:tr w:rsidR="003A5184" w:rsidRPr="003A5184" w:rsidTr="003A5184">
        <w:trPr>
          <w:tblHeader/>
        </w:trPr>
        <w:tc>
          <w:tcPr>
            <w:tcW w:w="0" w:type="auto"/>
            <w:gridSpan w:val="11"/>
            <w:tcBorders>
              <w:top w:val="single" w:sz="4" w:space="0" w:color="auto"/>
              <w:bottom w:val="nil"/>
              <w:right w:val="nil"/>
            </w:tcBorders>
            <w:tcMar>
              <w:top w:w="75" w:type="dxa"/>
              <w:left w:w="75" w:type="dxa"/>
              <w:bottom w:w="75" w:type="dxa"/>
              <w:right w:w="75" w:type="dxa"/>
            </w:tcMar>
            <w:hideMark/>
          </w:tcPr>
          <w:p w:rsidR="003A5184" w:rsidRPr="003A5184" w:rsidRDefault="003A5184" w:rsidP="003A5184">
            <w:pPr>
              <w:spacing w:after="0" w:line="240" w:lineRule="auto"/>
              <w:jc w:val="center"/>
              <w:rPr>
                <w:rFonts w:asciiTheme="majorBidi" w:eastAsia="Times New Roman" w:hAnsiTheme="majorBidi" w:cstheme="majorBidi"/>
                <w:b/>
                <w:bCs/>
                <w:sz w:val="20"/>
                <w:szCs w:val="20"/>
              </w:rPr>
            </w:pPr>
            <w:r w:rsidRPr="003A5184">
              <w:rPr>
                <w:rFonts w:asciiTheme="majorBidi" w:eastAsia="Times New Roman" w:hAnsiTheme="majorBidi" w:cstheme="majorBidi"/>
                <w:b/>
                <w:bCs/>
                <w:sz w:val="20"/>
                <w:szCs w:val="20"/>
              </w:rPr>
              <w:t>Panel A: Full sample (February 22, 2018, to September 15, 2023)</w:t>
            </w:r>
          </w:p>
        </w:tc>
      </w:tr>
      <w:tr w:rsidR="003A5184" w:rsidRPr="003A5184" w:rsidTr="003A5184">
        <w:trPr>
          <w:tblHeader/>
        </w:trPr>
        <w:tc>
          <w:tcPr>
            <w:tcW w:w="0" w:type="auto"/>
            <w:tcBorders>
              <w:bottom w:val="single" w:sz="6" w:space="0" w:color="8E8E8E"/>
              <w:right w:val="nil"/>
            </w:tcBorders>
            <w:tcMar>
              <w:top w:w="75" w:type="dxa"/>
              <w:left w:w="75" w:type="dxa"/>
              <w:bottom w:w="75" w:type="dxa"/>
              <w:right w:w="75" w:type="dxa"/>
            </w:tcMar>
            <w:hideMark/>
          </w:tcPr>
          <w:p w:rsidR="003A5184" w:rsidRPr="003A5184" w:rsidRDefault="003A5184" w:rsidP="003A5184">
            <w:pPr>
              <w:spacing w:after="0" w:line="240" w:lineRule="auto"/>
              <w:rPr>
                <w:rFonts w:asciiTheme="majorBidi" w:eastAsia="Times New Roman" w:hAnsiTheme="majorBidi" w:cstheme="majorBidi"/>
                <w:sz w:val="20"/>
                <w:szCs w:val="20"/>
              </w:rPr>
            </w:pPr>
          </w:p>
        </w:tc>
        <w:tc>
          <w:tcPr>
            <w:tcW w:w="0" w:type="auto"/>
            <w:tcBorders>
              <w:bottom w:val="single" w:sz="6" w:space="0" w:color="8E8E8E"/>
              <w:right w:val="nil"/>
            </w:tcBorders>
            <w:tcMar>
              <w:top w:w="75" w:type="dxa"/>
              <w:left w:w="75" w:type="dxa"/>
              <w:bottom w:w="75" w:type="dxa"/>
              <w:right w:w="75" w:type="dxa"/>
            </w:tcMar>
            <w:hideMark/>
          </w:tcPr>
          <w:p w:rsidR="003A5184" w:rsidRPr="003A5184" w:rsidRDefault="003A5184" w:rsidP="003A5184">
            <w:pPr>
              <w:spacing w:after="0" w:line="240" w:lineRule="auto"/>
              <w:jc w:val="center"/>
              <w:rPr>
                <w:rFonts w:asciiTheme="majorBidi" w:eastAsia="Times New Roman" w:hAnsiTheme="majorBidi" w:cstheme="majorBidi"/>
                <w:b/>
                <w:bCs/>
                <w:sz w:val="20"/>
                <w:szCs w:val="20"/>
              </w:rPr>
            </w:pPr>
            <w:r w:rsidRPr="003A5184">
              <w:rPr>
                <w:rFonts w:asciiTheme="majorBidi" w:eastAsia="Times New Roman" w:hAnsiTheme="majorBidi" w:cstheme="majorBidi"/>
                <w:b/>
                <w:bCs/>
                <w:sz w:val="20"/>
                <w:szCs w:val="20"/>
              </w:rPr>
              <w:t>GRID</w:t>
            </w:r>
          </w:p>
        </w:tc>
        <w:tc>
          <w:tcPr>
            <w:tcW w:w="0" w:type="auto"/>
            <w:tcBorders>
              <w:bottom w:val="single" w:sz="6" w:space="0" w:color="8E8E8E"/>
              <w:right w:val="nil"/>
            </w:tcBorders>
            <w:tcMar>
              <w:top w:w="75" w:type="dxa"/>
              <w:left w:w="75" w:type="dxa"/>
              <w:bottom w:w="75" w:type="dxa"/>
              <w:right w:w="75" w:type="dxa"/>
            </w:tcMar>
            <w:hideMark/>
          </w:tcPr>
          <w:p w:rsidR="003A5184" w:rsidRPr="003A5184" w:rsidRDefault="003A5184" w:rsidP="003A5184">
            <w:pPr>
              <w:spacing w:after="0" w:line="240" w:lineRule="auto"/>
              <w:jc w:val="center"/>
              <w:rPr>
                <w:rFonts w:asciiTheme="majorBidi" w:eastAsia="Times New Roman" w:hAnsiTheme="majorBidi" w:cstheme="majorBidi"/>
                <w:b/>
                <w:bCs/>
                <w:sz w:val="20"/>
                <w:szCs w:val="20"/>
              </w:rPr>
            </w:pPr>
            <w:r w:rsidRPr="003A5184">
              <w:rPr>
                <w:rFonts w:asciiTheme="majorBidi" w:eastAsia="Times New Roman" w:hAnsiTheme="majorBidi" w:cstheme="majorBidi"/>
                <w:b/>
                <w:bCs/>
                <w:sz w:val="20"/>
                <w:szCs w:val="20"/>
              </w:rPr>
              <w:t>POWR</w:t>
            </w:r>
          </w:p>
        </w:tc>
        <w:tc>
          <w:tcPr>
            <w:tcW w:w="0" w:type="auto"/>
            <w:tcBorders>
              <w:bottom w:val="single" w:sz="6" w:space="0" w:color="8E8E8E"/>
              <w:right w:val="nil"/>
            </w:tcBorders>
            <w:tcMar>
              <w:top w:w="75" w:type="dxa"/>
              <w:left w:w="75" w:type="dxa"/>
              <w:bottom w:w="75" w:type="dxa"/>
              <w:right w:w="75" w:type="dxa"/>
            </w:tcMar>
            <w:hideMark/>
          </w:tcPr>
          <w:p w:rsidR="003A5184" w:rsidRPr="003A5184" w:rsidRDefault="003A5184" w:rsidP="003A5184">
            <w:pPr>
              <w:spacing w:after="0" w:line="240" w:lineRule="auto"/>
              <w:jc w:val="center"/>
              <w:rPr>
                <w:rFonts w:asciiTheme="majorBidi" w:eastAsia="Times New Roman" w:hAnsiTheme="majorBidi" w:cstheme="majorBidi"/>
                <w:b/>
                <w:bCs/>
                <w:sz w:val="20"/>
                <w:szCs w:val="20"/>
              </w:rPr>
            </w:pPr>
            <w:r w:rsidRPr="003A5184">
              <w:rPr>
                <w:rFonts w:asciiTheme="majorBidi" w:eastAsia="Times New Roman" w:hAnsiTheme="majorBidi" w:cstheme="majorBidi"/>
                <w:b/>
                <w:bCs/>
                <w:sz w:val="20"/>
                <w:szCs w:val="20"/>
              </w:rPr>
              <w:t>SNC</w:t>
            </w:r>
          </w:p>
        </w:tc>
        <w:tc>
          <w:tcPr>
            <w:tcW w:w="0" w:type="auto"/>
            <w:tcBorders>
              <w:bottom w:val="single" w:sz="6" w:space="0" w:color="8E8E8E"/>
              <w:right w:val="nil"/>
            </w:tcBorders>
            <w:tcMar>
              <w:top w:w="75" w:type="dxa"/>
              <w:left w:w="75" w:type="dxa"/>
              <w:bottom w:w="75" w:type="dxa"/>
              <w:right w:w="75" w:type="dxa"/>
            </w:tcMar>
            <w:hideMark/>
          </w:tcPr>
          <w:p w:rsidR="003A5184" w:rsidRPr="003A5184" w:rsidRDefault="003A5184" w:rsidP="003A5184">
            <w:pPr>
              <w:spacing w:after="0" w:line="240" w:lineRule="auto"/>
              <w:jc w:val="center"/>
              <w:rPr>
                <w:rFonts w:asciiTheme="majorBidi" w:eastAsia="Times New Roman" w:hAnsiTheme="majorBidi" w:cstheme="majorBidi"/>
                <w:b/>
                <w:bCs/>
                <w:sz w:val="20"/>
                <w:szCs w:val="20"/>
              </w:rPr>
            </w:pPr>
            <w:r w:rsidRPr="003A5184">
              <w:rPr>
                <w:rFonts w:asciiTheme="majorBidi" w:eastAsia="Times New Roman" w:hAnsiTheme="majorBidi" w:cstheme="majorBidi"/>
                <w:b/>
                <w:bCs/>
                <w:sz w:val="20"/>
                <w:szCs w:val="20"/>
              </w:rPr>
              <w:t>WPR</w:t>
            </w:r>
          </w:p>
        </w:tc>
        <w:tc>
          <w:tcPr>
            <w:tcW w:w="0" w:type="auto"/>
            <w:tcBorders>
              <w:bottom w:val="single" w:sz="6" w:space="0" w:color="8E8E8E"/>
              <w:right w:val="nil"/>
            </w:tcBorders>
            <w:tcMar>
              <w:top w:w="75" w:type="dxa"/>
              <w:left w:w="75" w:type="dxa"/>
              <w:bottom w:w="75" w:type="dxa"/>
              <w:right w:w="75" w:type="dxa"/>
            </w:tcMar>
            <w:hideMark/>
          </w:tcPr>
          <w:p w:rsidR="003A5184" w:rsidRPr="003A5184" w:rsidRDefault="003A5184" w:rsidP="003A5184">
            <w:pPr>
              <w:spacing w:after="0" w:line="240" w:lineRule="auto"/>
              <w:jc w:val="center"/>
              <w:rPr>
                <w:rFonts w:asciiTheme="majorBidi" w:eastAsia="Times New Roman" w:hAnsiTheme="majorBidi" w:cstheme="majorBidi"/>
                <w:b/>
                <w:bCs/>
                <w:sz w:val="20"/>
                <w:szCs w:val="20"/>
              </w:rPr>
            </w:pPr>
            <w:r w:rsidRPr="003A5184">
              <w:rPr>
                <w:rFonts w:asciiTheme="majorBidi" w:eastAsia="Times New Roman" w:hAnsiTheme="majorBidi" w:cstheme="majorBidi"/>
                <w:b/>
                <w:bCs/>
                <w:sz w:val="20"/>
                <w:szCs w:val="20"/>
              </w:rPr>
              <w:t>Brazil</w:t>
            </w:r>
          </w:p>
        </w:tc>
        <w:tc>
          <w:tcPr>
            <w:tcW w:w="0" w:type="auto"/>
            <w:tcBorders>
              <w:bottom w:val="single" w:sz="6" w:space="0" w:color="8E8E8E"/>
              <w:right w:val="nil"/>
            </w:tcBorders>
            <w:tcMar>
              <w:top w:w="75" w:type="dxa"/>
              <w:left w:w="75" w:type="dxa"/>
              <w:bottom w:w="75" w:type="dxa"/>
              <w:right w:w="75" w:type="dxa"/>
            </w:tcMar>
            <w:hideMark/>
          </w:tcPr>
          <w:p w:rsidR="003A5184" w:rsidRPr="003A5184" w:rsidRDefault="003A5184" w:rsidP="003A5184">
            <w:pPr>
              <w:spacing w:after="0" w:line="240" w:lineRule="auto"/>
              <w:jc w:val="center"/>
              <w:rPr>
                <w:rFonts w:asciiTheme="majorBidi" w:eastAsia="Times New Roman" w:hAnsiTheme="majorBidi" w:cstheme="majorBidi"/>
                <w:b/>
                <w:bCs/>
                <w:sz w:val="20"/>
                <w:szCs w:val="20"/>
              </w:rPr>
            </w:pPr>
            <w:r w:rsidRPr="003A5184">
              <w:rPr>
                <w:rFonts w:asciiTheme="majorBidi" w:eastAsia="Times New Roman" w:hAnsiTheme="majorBidi" w:cstheme="majorBidi"/>
                <w:b/>
                <w:bCs/>
                <w:sz w:val="20"/>
                <w:szCs w:val="20"/>
              </w:rPr>
              <w:t>China</w:t>
            </w:r>
          </w:p>
        </w:tc>
        <w:tc>
          <w:tcPr>
            <w:tcW w:w="0" w:type="auto"/>
            <w:tcBorders>
              <w:bottom w:val="single" w:sz="6" w:space="0" w:color="8E8E8E"/>
              <w:right w:val="nil"/>
            </w:tcBorders>
            <w:tcMar>
              <w:top w:w="75" w:type="dxa"/>
              <w:left w:w="75" w:type="dxa"/>
              <w:bottom w:w="75" w:type="dxa"/>
              <w:right w:w="75" w:type="dxa"/>
            </w:tcMar>
            <w:hideMark/>
          </w:tcPr>
          <w:p w:rsidR="003A5184" w:rsidRPr="003A5184" w:rsidRDefault="003A5184" w:rsidP="003A5184">
            <w:pPr>
              <w:spacing w:after="0" w:line="240" w:lineRule="auto"/>
              <w:jc w:val="center"/>
              <w:rPr>
                <w:rFonts w:asciiTheme="majorBidi" w:eastAsia="Times New Roman" w:hAnsiTheme="majorBidi" w:cstheme="majorBidi"/>
                <w:b/>
                <w:bCs/>
                <w:sz w:val="20"/>
                <w:szCs w:val="20"/>
              </w:rPr>
            </w:pPr>
            <w:r w:rsidRPr="003A5184">
              <w:rPr>
                <w:rFonts w:asciiTheme="majorBidi" w:eastAsia="Times New Roman" w:hAnsiTheme="majorBidi" w:cstheme="majorBidi"/>
                <w:b/>
                <w:bCs/>
                <w:sz w:val="20"/>
                <w:szCs w:val="20"/>
              </w:rPr>
              <w:t>India</w:t>
            </w:r>
          </w:p>
        </w:tc>
        <w:tc>
          <w:tcPr>
            <w:tcW w:w="0" w:type="auto"/>
            <w:tcBorders>
              <w:bottom w:val="single" w:sz="6" w:space="0" w:color="8E8E8E"/>
              <w:right w:val="nil"/>
            </w:tcBorders>
            <w:tcMar>
              <w:top w:w="75" w:type="dxa"/>
              <w:left w:w="75" w:type="dxa"/>
              <w:bottom w:w="75" w:type="dxa"/>
              <w:right w:w="75" w:type="dxa"/>
            </w:tcMar>
            <w:hideMark/>
          </w:tcPr>
          <w:p w:rsidR="003A5184" w:rsidRPr="003A5184" w:rsidRDefault="003A5184" w:rsidP="003A5184">
            <w:pPr>
              <w:spacing w:after="0" w:line="240" w:lineRule="auto"/>
              <w:jc w:val="center"/>
              <w:rPr>
                <w:rFonts w:asciiTheme="majorBidi" w:eastAsia="Times New Roman" w:hAnsiTheme="majorBidi" w:cstheme="majorBidi"/>
                <w:b/>
                <w:bCs/>
                <w:sz w:val="20"/>
                <w:szCs w:val="20"/>
              </w:rPr>
            </w:pPr>
            <w:r w:rsidRPr="003A5184">
              <w:rPr>
                <w:rFonts w:asciiTheme="majorBidi" w:eastAsia="Times New Roman" w:hAnsiTheme="majorBidi" w:cstheme="majorBidi"/>
                <w:b/>
                <w:bCs/>
                <w:sz w:val="20"/>
                <w:szCs w:val="20"/>
              </w:rPr>
              <w:t>Russia</w:t>
            </w:r>
          </w:p>
        </w:tc>
        <w:tc>
          <w:tcPr>
            <w:tcW w:w="0" w:type="auto"/>
            <w:tcBorders>
              <w:bottom w:val="single" w:sz="6" w:space="0" w:color="8E8E8E"/>
              <w:right w:val="nil"/>
            </w:tcBorders>
            <w:tcMar>
              <w:top w:w="75" w:type="dxa"/>
              <w:left w:w="75" w:type="dxa"/>
              <w:bottom w:w="75" w:type="dxa"/>
              <w:right w:w="75" w:type="dxa"/>
            </w:tcMar>
            <w:hideMark/>
          </w:tcPr>
          <w:p w:rsidR="003A5184" w:rsidRPr="003A5184" w:rsidRDefault="003A5184" w:rsidP="003A5184">
            <w:pPr>
              <w:spacing w:after="0" w:line="240" w:lineRule="auto"/>
              <w:jc w:val="center"/>
              <w:rPr>
                <w:rFonts w:asciiTheme="majorBidi" w:eastAsia="Times New Roman" w:hAnsiTheme="majorBidi" w:cstheme="majorBidi"/>
                <w:b/>
                <w:bCs/>
                <w:sz w:val="20"/>
                <w:szCs w:val="20"/>
              </w:rPr>
            </w:pPr>
            <w:r w:rsidRPr="003A5184">
              <w:rPr>
                <w:rFonts w:asciiTheme="majorBidi" w:eastAsia="Times New Roman" w:hAnsiTheme="majorBidi" w:cstheme="majorBidi"/>
                <w:b/>
                <w:bCs/>
                <w:sz w:val="20"/>
                <w:szCs w:val="20"/>
              </w:rPr>
              <w:t>South_Africa</w:t>
            </w:r>
          </w:p>
        </w:tc>
        <w:tc>
          <w:tcPr>
            <w:tcW w:w="0" w:type="auto"/>
            <w:tcBorders>
              <w:bottom w:val="single" w:sz="6" w:space="0" w:color="8E8E8E"/>
              <w:right w:val="nil"/>
            </w:tcBorders>
            <w:tcMar>
              <w:top w:w="75" w:type="dxa"/>
              <w:left w:w="75" w:type="dxa"/>
              <w:bottom w:w="75" w:type="dxa"/>
              <w:right w:w="75" w:type="dxa"/>
            </w:tcMar>
            <w:hideMark/>
          </w:tcPr>
          <w:p w:rsidR="003A5184" w:rsidRPr="003A5184" w:rsidRDefault="003A5184" w:rsidP="003A5184">
            <w:pPr>
              <w:spacing w:after="0" w:line="240" w:lineRule="auto"/>
              <w:jc w:val="center"/>
              <w:rPr>
                <w:rFonts w:asciiTheme="majorBidi" w:eastAsia="Times New Roman" w:hAnsiTheme="majorBidi" w:cstheme="majorBidi"/>
                <w:b/>
                <w:bCs/>
                <w:sz w:val="20"/>
                <w:szCs w:val="20"/>
              </w:rPr>
            </w:pPr>
            <w:r w:rsidRPr="003A5184">
              <w:rPr>
                <w:rFonts w:asciiTheme="majorBidi" w:eastAsia="Times New Roman" w:hAnsiTheme="majorBidi" w:cstheme="majorBidi"/>
                <w:b/>
                <w:bCs/>
                <w:sz w:val="20"/>
                <w:szCs w:val="20"/>
              </w:rPr>
              <w:t>FROM</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GRID</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64.21</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7.39</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7.45</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4.7</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2.69</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5</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2.32</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4.25</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35.79</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POWR</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6.36</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51.05</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14.06</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13.06</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2.83</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1.87</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4.24</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3.04</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3.49</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48.95</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SNC</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6.18</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14.54</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55.71</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8.29</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3.47</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2.33</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4.59</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2.18</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2.7</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44.29</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WPR</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4.02</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13.95</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8.2</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62.77</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2.04</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1.43</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3.14</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2.64</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1.81</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37.23</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Brazil</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2.71</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2.48</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3.09</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1.9</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67.56</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2.63</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5.22</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6.68</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7.73</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32.44</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China</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2.1</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2.53</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1.97</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1.47</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3.17</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70.73</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4.53</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3.95</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9.55</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29.27</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India</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2.64</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2.19</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3.11</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1.49</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6.51</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4.5</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63.6</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5.63</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10.33</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36.4</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Russia</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2.28</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3.7</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3.33</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2.8</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6.31</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3.59</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5.48</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60.72</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11.8</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39.28</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South_Africa</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3.49</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3.74</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2.6</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2.29</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7.36</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6.85</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8.95</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9.87</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54.84</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45.16</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TO</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29.79</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50.52</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43.79</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35.99</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34.39</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25.2</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41.15</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36.31</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51.66</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348.81</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Inc.Own</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94</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101.57</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99.5</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98.76</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101.95</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95.93</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104.75</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97.03</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106.5</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TCI</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NET</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−6</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1.57</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−0.5</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−1.24</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1.95</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−4.07</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4.75</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−2.97</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6.5</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38.76</w:t>
            </w:r>
          </w:p>
        </w:tc>
      </w:tr>
      <w:tr w:rsidR="003A5184" w:rsidRPr="003A5184" w:rsidTr="003A5184">
        <w:tc>
          <w:tcPr>
            <w:tcW w:w="0" w:type="auto"/>
            <w:gridSpan w:val="11"/>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p>
        </w:tc>
      </w:tr>
      <w:tr w:rsidR="003A5184" w:rsidRPr="003A5184" w:rsidTr="003A5184">
        <w:tc>
          <w:tcPr>
            <w:tcW w:w="0" w:type="auto"/>
            <w:gridSpan w:val="11"/>
            <w:tcBorders>
              <w:bottom w:val="nil"/>
              <w:right w:val="nil"/>
            </w:tcBorders>
            <w:tcMar>
              <w:top w:w="75" w:type="dxa"/>
              <w:left w:w="75" w:type="dxa"/>
              <w:bottom w:w="75" w:type="dxa"/>
              <w:right w:w="75" w:type="dxa"/>
            </w:tcMar>
            <w:vAlign w:val="bottom"/>
            <w:hideMark/>
          </w:tcPr>
          <w:p w:rsid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Panel B: Pre COVID-19 (February 22, 2018 to December 31, 2019)</w:t>
            </w:r>
          </w:p>
          <w:p w:rsidR="00D70BD7" w:rsidRPr="003A5184" w:rsidRDefault="00D70BD7" w:rsidP="003A5184">
            <w:pPr>
              <w:spacing w:after="0" w:line="240" w:lineRule="auto"/>
              <w:rPr>
                <w:rFonts w:asciiTheme="majorBidi" w:eastAsia="Times New Roman" w:hAnsiTheme="majorBidi" w:cstheme="majorBidi"/>
                <w:sz w:val="20"/>
                <w:szCs w:val="20"/>
              </w:rPr>
            </w:pP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GRID</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POWR</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SNC</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WPR</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Brazil</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China</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India</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Russia</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South_Africa</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FROM</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GRID</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57.49</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7.25</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9.68</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5.56</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1.39</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3.31</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7.78</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2.68</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4.85</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42.51</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POWR</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5.16</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40.74</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14.29</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22.31</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2.67</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1.92</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6.81</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3.52</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2.59</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59.26</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SNC</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6.94</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15.78</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46.94</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12.9</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2.09</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3.76</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7.48</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1.33</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2.77</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53.06</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WPR</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4.43</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24.25</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11.7</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46.58</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2.05</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1.68</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5.74</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2.18</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1.39</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53.42</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Brazil</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2.29</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2.11</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1.17</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1.87</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74.45</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2.49</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3.21</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7.84</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4.58</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25.55</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China</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2.36</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2.59</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2.67</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1.49</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2.01</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68.15</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5.13</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4.46</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11.13</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31.85</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India</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1.7</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1.35</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4.64</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2.45</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4.93</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5.69</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69.4</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2.24</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7.59</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30.6</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Russia</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3.2</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4.1</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4.38</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2.73</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6.63</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5.36</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3.1</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58.72</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11.78</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41.28</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South_Africa</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3.61</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3.23</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2.59</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2.17</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4.95</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8.58</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8.31</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8.13</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58.43</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41.57</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TO</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29.69</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60.67</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51.12</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51.48</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26.74</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32.78</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47.56</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32.38</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46.68</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379.1</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Inc.Own</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87.18</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101.4</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98.06</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98.06</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101.19</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100.93</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116.97</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91.1</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105.11</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TCI</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NET</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−12.82</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1.4</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−1.94</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−1.94</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1.19</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0.93</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16.97</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−8.9</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5.11</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42.12</w:t>
            </w:r>
          </w:p>
        </w:tc>
      </w:tr>
      <w:tr w:rsidR="003A5184" w:rsidRPr="003A5184" w:rsidTr="003A5184">
        <w:tc>
          <w:tcPr>
            <w:tcW w:w="0" w:type="auto"/>
            <w:gridSpan w:val="11"/>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p>
        </w:tc>
      </w:tr>
      <w:tr w:rsidR="003A5184" w:rsidRPr="003A5184" w:rsidTr="003A5184">
        <w:tc>
          <w:tcPr>
            <w:tcW w:w="0" w:type="auto"/>
            <w:gridSpan w:val="11"/>
            <w:tcBorders>
              <w:bottom w:val="nil"/>
              <w:right w:val="nil"/>
            </w:tcBorders>
            <w:tcMar>
              <w:top w:w="75" w:type="dxa"/>
              <w:left w:w="75" w:type="dxa"/>
              <w:bottom w:w="75" w:type="dxa"/>
              <w:right w:w="75" w:type="dxa"/>
            </w:tcMar>
            <w:vAlign w:val="bottom"/>
            <w:hideMark/>
          </w:tcPr>
          <w:p w:rsid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Panel C: during COVID-19 (January 1, 2020, to September 15, 2023)</w:t>
            </w:r>
          </w:p>
          <w:p w:rsidR="00D70BD7" w:rsidRPr="003A5184" w:rsidRDefault="00D70BD7" w:rsidP="003A5184">
            <w:pPr>
              <w:spacing w:after="0" w:line="240" w:lineRule="auto"/>
              <w:rPr>
                <w:rFonts w:asciiTheme="majorBidi" w:eastAsia="Times New Roman" w:hAnsiTheme="majorBidi" w:cstheme="majorBidi"/>
                <w:sz w:val="20"/>
                <w:szCs w:val="20"/>
              </w:rPr>
            </w:pP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GRID</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POWR</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SNC</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WPR</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Brazil</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China</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India</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Russia</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South_Africa</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FROM</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lastRenderedPageBreak/>
              <w:t>GRID</w:t>
            </w:r>
          </w:p>
        </w:tc>
        <w:tc>
          <w:tcPr>
            <w:tcW w:w="0" w:type="auto"/>
            <w:tcBorders>
              <w:bottom w:val="nil"/>
              <w:right w:val="nil"/>
            </w:tcBorders>
            <w:tcMar>
              <w:top w:w="75" w:type="dxa"/>
              <w:left w:w="75" w:type="dxa"/>
              <w:bottom w:w="75" w:type="dxa"/>
              <w:right w:w="75" w:type="dxa"/>
            </w:tcMar>
            <w:vAlign w:val="bottom"/>
            <w:hideMark/>
          </w:tcPr>
          <w:p w:rsidR="003A5184" w:rsidRPr="003A5184" w:rsidRDefault="0092401E"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47.8</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8.45</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9.8</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7.77</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9.64</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1.43</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4.68</w:t>
            </w:r>
          </w:p>
        </w:tc>
        <w:tc>
          <w:tcPr>
            <w:tcW w:w="0" w:type="auto"/>
            <w:tcBorders>
              <w:bottom w:val="nil"/>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7.63</w:t>
            </w:r>
          </w:p>
        </w:tc>
        <w:tc>
          <w:tcPr>
            <w:tcW w:w="0" w:type="auto"/>
            <w:tcBorders>
              <w:bottom w:val="nil"/>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7.04</w:t>
            </w:r>
          </w:p>
        </w:tc>
        <w:tc>
          <w:tcPr>
            <w:tcW w:w="0" w:type="auto"/>
            <w:tcBorders>
              <w:bottom w:val="nil"/>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54.4</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POWR</w:t>
            </w:r>
          </w:p>
        </w:tc>
        <w:tc>
          <w:tcPr>
            <w:tcW w:w="0" w:type="auto"/>
            <w:tcBorders>
              <w:bottom w:val="nil"/>
              <w:right w:val="nil"/>
            </w:tcBorders>
            <w:tcMar>
              <w:top w:w="75" w:type="dxa"/>
              <w:left w:w="75" w:type="dxa"/>
              <w:bottom w:w="75" w:type="dxa"/>
              <w:right w:w="75" w:type="dxa"/>
            </w:tcMar>
            <w:vAlign w:val="bottom"/>
            <w:hideMark/>
          </w:tcPr>
          <w:p w:rsidR="003A5184" w:rsidRPr="003A5184" w:rsidRDefault="0092401E"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9.48</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38.58</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14.86</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8.83</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9.8</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2.22</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5.08</w:t>
            </w:r>
          </w:p>
        </w:tc>
        <w:tc>
          <w:tcPr>
            <w:tcW w:w="0" w:type="auto"/>
            <w:tcBorders>
              <w:bottom w:val="nil"/>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7.08</w:t>
            </w:r>
          </w:p>
        </w:tc>
        <w:tc>
          <w:tcPr>
            <w:tcW w:w="0" w:type="auto"/>
            <w:tcBorders>
              <w:bottom w:val="nil"/>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7.3</w:t>
            </w:r>
          </w:p>
        </w:tc>
        <w:tc>
          <w:tcPr>
            <w:tcW w:w="0" w:type="auto"/>
            <w:tcBorders>
              <w:bottom w:val="nil"/>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63.44</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SNC</w:t>
            </w:r>
          </w:p>
        </w:tc>
        <w:tc>
          <w:tcPr>
            <w:tcW w:w="0" w:type="auto"/>
            <w:tcBorders>
              <w:bottom w:val="nil"/>
              <w:right w:val="nil"/>
            </w:tcBorders>
            <w:tcMar>
              <w:top w:w="75" w:type="dxa"/>
              <w:left w:w="75" w:type="dxa"/>
              <w:bottom w:w="75" w:type="dxa"/>
              <w:right w:w="75" w:type="dxa"/>
            </w:tcMar>
            <w:vAlign w:val="bottom"/>
            <w:hideMark/>
          </w:tcPr>
          <w:p w:rsidR="003A5184" w:rsidRPr="003A5184" w:rsidRDefault="0092401E"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9</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17.59</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39.4</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8.62</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8.32</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1.7</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3.82</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7.22</w:t>
            </w:r>
          </w:p>
        </w:tc>
        <w:tc>
          <w:tcPr>
            <w:tcW w:w="0" w:type="auto"/>
            <w:tcBorders>
              <w:bottom w:val="nil"/>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6</w:t>
            </w:r>
            <w:r w:rsidR="003A5184" w:rsidRPr="003A5184">
              <w:rPr>
                <w:rFonts w:asciiTheme="majorBidi" w:eastAsia="Times New Roman" w:hAnsiTheme="majorBidi" w:cstheme="majorBidi"/>
                <w:sz w:val="20"/>
                <w:szCs w:val="20"/>
              </w:rPr>
              <w:t>.56</w:t>
            </w:r>
          </w:p>
        </w:tc>
        <w:tc>
          <w:tcPr>
            <w:tcW w:w="0" w:type="auto"/>
            <w:tcBorders>
              <w:bottom w:val="nil"/>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62.8</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WPR</w:t>
            </w:r>
          </w:p>
        </w:tc>
        <w:tc>
          <w:tcPr>
            <w:tcW w:w="0" w:type="auto"/>
            <w:tcBorders>
              <w:bottom w:val="nil"/>
              <w:right w:val="nil"/>
            </w:tcBorders>
            <w:tcMar>
              <w:top w:w="75" w:type="dxa"/>
              <w:left w:w="75" w:type="dxa"/>
              <w:bottom w:w="75" w:type="dxa"/>
              <w:right w:w="75" w:type="dxa"/>
            </w:tcMar>
            <w:vAlign w:val="bottom"/>
            <w:hideMark/>
          </w:tcPr>
          <w:p w:rsidR="003A5184" w:rsidRPr="003A5184" w:rsidRDefault="0092401E"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7.87</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11.47</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8.92</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49.18</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8.53</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1.28</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4.48</w:t>
            </w:r>
          </w:p>
        </w:tc>
        <w:tc>
          <w:tcPr>
            <w:tcW w:w="0" w:type="auto"/>
            <w:tcBorders>
              <w:bottom w:val="nil"/>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8.14</w:t>
            </w:r>
          </w:p>
        </w:tc>
        <w:tc>
          <w:tcPr>
            <w:tcW w:w="0" w:type="auto"/>
            <w:tcBorders>
              <w:bottom w:val="nil"/>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5.19</w:t>
            </w:r>
          </w:p>
        </w:tc>
        <w:tc>
          <w:tcPr>
            <w:tcW w:w="0" w:type="auto"/>
            <w:tcBorders>
              <w:bottom w:val="nil"/>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51.83</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Brazil</w:t>
            </w:r>
          </w:p>
        </w:tc>
        <w:tc>
          <w:tcPr>
            <w:tcW w:w="0" w:type="auto"/>
            <w:tcBorders>
              <w:bottom w:val="nil"/>
              <w:right w:val="nil"/>
            </w:tcBorders>
            <w:tcMar>
              <w:top w:w="75" w:type="dxa"/>
              <w:left w:w="75" w:type="dxa"/>
              <w:bottom w:w="75" w:type="dxa"/>
              <w:right w:w="75" w:type="dxa"/>
            </w:tcMar>
            <w:vAlign w:val="bottom"/>
            <w:hideMark/>
          </w:tcPr>
          <w:p w:rsidR="003A5184" w:rsidRPr="003A5184" w:rsidRDefault="0092401E"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7.86</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9</w:t>
            </w:r>
            <w:r w:rsidR="003A5184" w:rsidRPr="003A5184">
              <w:rPr>
                <w:rFonts w:asciiTheme="majorBidi" w:eastAsia="Times New Roman" w:hAnsiTheme="majorBidi" w:cstheme="majorBidi"/>
                <w:sz w:val="20"/>
                <w:szCs w:val="20"/>
              </w:rPr>
              <w:t>.3</w:t>
            </w:r>
            <w:r>
              <w:rPr>
                <w:rFonts w:asciiTheme="majorBidi" w:eastAsia="Times New Roman" w:hAnsiTheme="majorBidi" w:cstheme="majorBidi"/>
                <w:sz w:val="20"/>
                <w:szCs w:val="20"/>
              </w:rPr>
              <w:t>3</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8.05</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5.78</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41.99</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3.29</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9.22</w:t>
            </w:r>
          </w:p>
        </w:tc>
        <w:tc>
          <w:tcPr>
            <w:tcW w:w="0" w:type="auto"/>
            <w:tcBorders>
              <w:bottom w:val="nil"/>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9</w:t>
            </w:r>
            <w:r w:rsidR="003A5184" w:rsidRPr="003A5184">
              <w:rPr>
                <w:rFonts w:asciiTheme="majorBidi" w:eastAsia="Times New Roman" w:hAnsiTheme="majorBidi" w:cstheme="majorBidi"/>
                <w:sz w:val="20"/>
                <w:szCs w:val="20"/>
              </w:rPr>
              <w:t>.49</w:t>
            </w:r>
          </w:p>
        </w:tc>
        <w:tc>
          <w:tcPr>
            <w:tcW w:w="0" w:type="auto"/>
            <w:tcBorders>
              <w:bottom w:val="nil"/>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11.06</w:t>
            </w:r>
          </w:p>
        </w:tc>
        <w:tc>
          <w:tcPr>
            <w:tcW w:w="0" w:type="auto"/>
            <w:tcBorders>
              <w:bottom w:val="nil"/>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58.03</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China</w:t>
            </w:r>
          </w:p>
        </w:tc>
        <w:tc>
          <w:tcPr>
            <w:tcW w:w="0" w:type="auto"/>
            <w:tcBorders>
              <w:bottom w:val="nil"/>
              <w:right w:val="nil"/>
            </w:tcBorders>
            <w:tcMar>
              <w:top w:w="75" w:type="dxa"/>
              <w:left w:w="75" w:type="dxa"/>
              <w:bottom w:w="75" w:type="dxa"/>
              <w:right w:w="75" w:type="dxa"/>
            </w:tcMar>
            <w:vAlign w:val="bottom"/>
            <w:hideMark/>
          </w:tcPr>
          <w:p w:rsidR="003A5184" w:rsidRPr="003A5184" w:rsidRDefault="0092401E"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3.99</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4.96</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3.55</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2.52</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6.15</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62.69</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4.63</w:t>
            </w:r>
          </w:p>
        </w:tc>
        <w:tc>
          <w:tcPr>
            <w:tcW w:w="0" w:type="auto"/>
            <w:tcBorders>
              <w:bottom w:val="nil"/>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6.94</w:t>
            </w:r>
          </w:p>
        </w:tc>
        <w:tc>
          <w:tcPr>
            <w:tcW w:w="0" w:type="auto"/>
            <w:tcBorders>
              <w:bottom w:val="nil"/>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8.65</w:t>
            </w:r>
          </w:p>
        </w:tc>
        <w:tc>
          <w:tcPr>
            <w:tcW w:w="0" w:type="auto"/>
            <w:tcBorders>
              <w:bottom w:val="nil"/>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39.33</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India</w:t>
            </w:r>
          </w:p>
        </w:tc>
        <w:tc>
          <w:tcPr>
            <w:tcW w:w="0" w:type="auto"/>
            <w:tcBorders>
              <w:bottom w:val="nil"/>
              <w:right w:val="nil"/>
            </w:tcBorders>
            <w:tcMar>
              <w:top w:w="75" w:type="dxa"/>
              <w:left w:w="75" w:type="dxa"/>
              <w:bottom w:w="75" w:type="dxa"/>
              <w:right w:w="75" w:type="dxa"/>
            </w:tcMar>
            <w:vAlign w:val="bottom"/>
            <w:hideMark/>
          </w:tcPr>
          <w:p w:rsidR="003A5184" w:rsidRPr="003A5184" w:rsidRDefault="0092401E"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5.6</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6.84</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6.28</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3.54</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12.68</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4.66</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42</w:t>
            </w:r>
            <w:r w:rsidR="003A5184" w:rsidRPr="003A5184">
              <w:rPr>
                <w:rFonts w:asciiTheme="majorBidi" w:eastAsia="Times New Roman" w:hAnsiTheme="majorBidi" w:cstheme="majorBidi"/>
                <w:sz w:val="20"/>
                <w:szCs w:val="20"/>
              </w:rPr>
              <w:t>.89</w:t>
            </w:r>
          </w:p>
        </w:tc>
        <w:tc>
          <w:tcPr>
            <w:tcW w:w="0" w:type="auto"/>
            <w:tcBorders>
              <w:bottom w:val="nil"/>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12.4</w:t>
            </w:r>
          </w:p>
        </w:tc>
        <w:tc>
          <w:tcPr>
            <w:tcW w:w="0" w:type="auto"/>
            <w:tcBorders>
              <w:bottom w:val="nil"/>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13.34</w:t>
            </w:r>
          </w:p>
        </w:tc>
        <w:tc>
          <w:tcPr>
            <w:tcW w:w="0" w:type="auto"/>
            <w:tcBorders>
              <w:bottom w:val="nil"/>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59.12</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Russia</w:t>
            </w:r>
          </w:p>
        </w:tc>
        <w:tc>
          <w:tcPr>
            <w:tcW w:w="0" w:type="auto"/>
            <w:tcBorders>
              <w:bottom w:val="nil"/>
              <w:right w:val="nil"/>
            </w:tcBorders>
            <w:tcMar>
              <w:top w:w="75" w:type="dxa"/>
              <w:left w:w="75" w:type="dxa"/>
              <w:bottom w:w="75" w:type="dxa"/>
              <w:right w:w="75" w:type="dxa"/>
            </w:tcMar>
            <w:vAlign w:val="bottom"/>
            <w:hideMark/>
          </w:tcPr>
          <w:p w:rsidR="003A5184" w:rsidRPr="003A5184" w:rsidRDefault="0092401E"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5.38</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6.52</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6.12</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4.92</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11.25</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3.82</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8.47</w:t>
            </w:r>
          </w:p>
        </w:tc>
        <w:tc>
          <w:tcPr>
            <w:tcW w:w="0" w:type="auto"/>
            <w:tcBorders>
              <w:bottom w:val="nil"/>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49.53</w:t>
            </w:r>
          </w:p>
        </w:tc>
        <w:tc>
          <w:tcPr>
            <w:tcW w:w="0" w:type="auto"/>
            <w:tcBorders>
              <w:bottom w:val="nil"/>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11.07</w:t>
            </w:r>
          </w:p>
        </w:tc>
        <w:tc>
          <w:tcPr>
            <w:tcW w:w="0" w:type="auto"/>
            <w:tcBorders>
              <w:bottom w:val="nil"/>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52.49</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South_Africa</w:t>
            </w:r>
          </w:p>
        </w:tc>
        <w:tc>
          <w:tcPr>
            <w:tcW w:w="0" w:type="auto"/>
            <w:tcBorders>
              <w:bottom w:val="nil"/>
              <w:right w:val="nil"/>
            </w:tcBorders>
            <w:tcMar>
              <w:top w:w="75" w:type="dxa"/>
              <w:left w:w="75" w:type="dxa"/>
              <w:bottom w:w="75" w:type="dxa"/>
              <w:right w:w="75" w:type="dxa"/>
            </w:tcMar>
            <w:vAlign w:val="bottom"/>
            <w:hideMark/>
          </w:tcPr>
          <w:p w:rsidR="003A5184" w:rsidRPr="003A5184" w:rsidRDefault="0092401E"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6.93</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7.48</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6.27</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4</w:t>
            </w:r>
            <w:r w:rsidR="008B1E87">
              <w:rPr>
                <w:rFonts w:asciiTheme="majorBidi" w:eastAsia="Times New Roman" w:hAnsiTheme="majorBidi" w:cstheme="majorBidi"/>
                <w:sz w:val="20"/>
                <w:szCs w:val="20"/>
              </w:rPr>
              <w:t>.88</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11.68</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5.05</w:t>
            </w:r>
          </w:p>
        </w:tc>
        <w:tc>
          <w:tcPr>
            <w:tcW w:w="0" w:type="auto"/>
            <w:tcBorders>
              <w:bottom w:val="nil"/>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8.18</w:t>
            </w:r>
          </w:p>
        </w:tc>
        <w:tc>
          <w:tcPr>
            <w:tcW w:w="0" w:type="auto"/>
            <w:tcBorders>
              <w:bottom w:val="nil"/>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14.42</w:t>
            </w:r>
          </w:p>
        </w:tc>
        <w:tc>
          <w:tcPr>
            <w:tcW w:w="0" w:type="auto"/>
            <w:tcBorders>
              <w:bottom w:val="nil"/>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38.19</w:t>
            </w:r>
          </w:p>
        </w:tc>
        <w:tc>
          <w:tcPr>
            <w:tcW w:w="0" w:type="auto"/>
            <w:tcBorders>
              <w:bottom w:val="nil"/>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63.83</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TO</w:t>
            </w:r>
          </w:p>
        </w:tc>
        <w:tc>
          <w:tcPr>
            <w:tcW w:w="0" w:type="auto"/>
            <w:tcBorders>
              <w:bottom w:val="nil"/>
              <w:right w:val="nil"/>
            </w:tcBorders>
            <w:tcMar>
              <w:top w:w="75" w:type="dxa"/>
              <w:left w:w="75" w:type="dxa"/>
              <w:bottom w:w="75" w:type="dxa"/>
              <w:right w:w="75" w:type="dxa"/>
            </w:tcMar>
            <w:vAlign w:val="bottom"/>
            <w:hideMark/>
          </w:tcPr>
          <w:p w:rsidR="003A5184" w:rsidRPr="003A5184" w:rsidRDefault="0092401E"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49.96</w:t>
            </w:r>
          </w:p>
        </w:tc>
        <w:tc>
          <w:tcPr>
            <w:tcW w:w="0" w:type="auto"/>
            <w:tcBorders>
              <w:bottom w:val="nil"/>
              <w:right w:val="nil"/>
            </w:tcBorders>
            <w:tcMar>
              <w:top w:w="75" w:type="dxa"/>
              <w:left w:w="75" w:type="dxa"/>
              <w:bottom w:w="75" w:type="dxa"/>
              <w:right w:w="75" w:type="dxa"/>
            </w:tcMar>
            <w:vAlign w:val="bottom"/>
            <w:hideMark/>
          </w:tcPr>
          <w:p w:rsidR="003A5184" w:rsidRPr="003A5184" w:rsidRDefault="0092401E"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67.56</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62.68</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48.86</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74</w:t>
            </w:r>
            <w:r w:rsidR="003A5184" w:rsidRPr="003A5184">
              <w:rPr>
                <w:rFonts w:asciiTheme="majorBidi" w:eastAsia="Times New Roman" w:hAnsiTheme="majorBidi" w:cstheme="majorBidi"/>
                <w:sz w:val="20"/>
                <w:szCs w:val="20"/>
              </w:rPr>
              <w:t>.87</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21.32</w:t>
            </w:r>
          </w:p>
        </w:tc>
        <w:tc>
          <w:tcPr>
            <w:tcW w:w="0" w:type="auto"/>
            <w:tcBorders>
              <w:bottom w:val="nil"/>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49.6</w:t>
            </w:r>
          </w:p>
        </w:tc>
        <w:tc>
          <w:tcPr>
            <w:tcW w:w="0" w:type="auto"/>
            <w:tcBorders>
              <w:bottom w:val="nil"/>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68.3</w:t>
            </w:r>
          </w:p>
        </w:tc>
        <w:tc>
          <w:tcPr>
            <w:tcW w:w="0" w:type="auto"/>
            <w:tcBorders>
              <w:bottom w:val="nil"/>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65.06</w:t>
            </w:r>
          </w:p>
        </w:tc>
        <w:tc>
          <w:tcPr>
            <w:tcW w:w="0" w:type="auto"/>
            <w:tcBorders>
              <w:bottom w:val="nil"/>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498.98</w:t>
            </w:r>
          </w:p>
        </w:tc>
      </w:tr>
      <w:tr w:rsidR="003A5184" w:rsidRPr="003A5184" w:rsidTr="003A5184">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Inc.Own</w:t>
            </w:r>
          </w:p>
        </w:tc>
        <w:tc>
          <w:tcPr>
            <w:tcW w:w="0" w:type="auto"/>
            <w:tcBorders>
              <w:bottom w:val="nil"/>
              <w:right w:val="nil"/>
            </w:tcBorders>
            <w:tcMar>
              <w:top w:w="75" w:type="dxa"/>
              <w:left w:w="75" w:type="dxa"/>
              <w:bottom w:w="75" w:type="dxa"/>
              <w:right w:w="75" w:type="dxa"/>
            </w:tcMar>
            <w:vAlign w:val="bottom"/>
            <w:hideMark/>
          </w:tcPr>
          <w:p w:rsidR="003A5184" w:rsidRPr="003A5184" w:rsidRDefault="0092401E"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96.65</w:t>
            </w:r>
          </w:p>
        </w:tc>
        <w:tc>
          <w:tcPr>
            <w:tcW w:w="0" w:type="auto"/>
            <w:tcBorders>
              <w:bottom w:val="nil"/>
              <w:right w:val="nil"/>
            </w:tcBorders>
            <w:tcMar>
              <w:top w:w="75" w:type="dxa"/>
              <w:left w:w="75" w:type="dxa"/>
              <w:bottom w:w="75" w:type="dxa"/>
              <w:right w:w="75" w:type="dxa"/>
            </w:tcMar>
            <w:vAlign w:val="bottom"/>
            <w:hideMark/>
          </w:tcPr>
          <w:p w:rsidR="003A5184" w:rsidRPr="003A5184" w:rsidRDefault="0092401E"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105.13</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98.98</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98.05</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115.87</w:t>
            </w:r>
          </w:p>
        </w:tc>
        <w:tc>
          <w:tcPr>
            <w:tcW w:w="0" w:type="auto"/>
            <w:tcBorders>
              <w:bottom w:val="nil"/>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83</w:t>
            </w:r>
          </w:p>
        </w:tc>
        <w:tc>
          <w:tcPr>
            <w:tcW w:w="0" w:type="auto"/>
            <w:tcBorders>
              <w:bottom w:val="nil"/>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91.5</w:t>
            </w:r>
          </w:p>
        </w:tc>
        <w:tc>
          <w:tcPr>
            <w:tcW w:w="0" w:type="auto"/>
            <w:tcBorders>
              <w:bottom w:val="nil"/>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116.73</w:t>
            </w:r>
          </w:p>
        </w:tc>
        <w:tc>
          <w:tcPr>
            <w:tcW w:w="0" w:type="auto"/>
            <w:tcBorders>
              <w:bottom w:val="nil"/>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102.25</w:t>
            </w:r>
          </w:p>
        </w:tc>
        <w:tc>
          <w:tcPr>
            <w:tcW w:w="0" w:type="auto"/>
            <w:tcBorders>
              <w:bottom w:val="nil"/>
              <w:right w:val="nil"/>
            </w:tcBorders>
            <w:tcMar>
              <w:top w:w="75" w:type="dxa"/>
              <w:left w:w="75" w:type="dxa"/>
              <w:bottom w:w="75" w:type="dxa"/>
              <w:right w:w="75" w:type="dxa"/>
            </w:tcMar>
            <w:vAlign w:val="bottom"/>
            <w:hideMark/>
          </w:tcPr>
          <w:p w:rsidR="003A5184" w:rsidRPr="003A5184" w:rsidRDefault="003A5184" w:rsidP="003A5184">
            <w:pPr>
              <w:spacing w:after="0" w:line="240" w:lineRule="auto"/>
              <w:jc w:val="center"/>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TCI</w:t>
            </w:r>
          </w:p>
        </w:tc>
      </w:tr>
      <w:tr w:rsidR="003A5184" w:rsidRPr="003A5184" w:rsidTr="003A5184">
        <w:tc>
          <w:tcPr>
            <w:tcW w:w="0" w:type="auto"/>
            <w:tcBorders>
              <w:bottom w:val="single" w:sz="4" w:space="0" w:color="auto"/>
              <w:right w:val="nil"/>
            </w:tcBorders>
            <w:tcMar>
              <w:top w:w="75" w:type="dxa"/>
              <w:left w:w="75" w:type="dxa"/>
              <w:bottom w:w="75" w:type="dxa"/>
              <w:right w:w="75" w:type="dxa"/>
            </w:tcMar>
            <w:vAlign w:val="bottom"/>
            <w:hideMark/>
          </w:tcPr>
          <w:p w:rsidR="003A5184" w:rsidRPr="003A5184" w:rsidRDefault="003A5184" w:rsidP="003A5184">
            <w:pPr>
              <w:spacing w:after="0" w:line="240" w:lineRule="auto"/>
              <w:rPr>
                <w:rFonts w:asciiTheme="majorBidi" w:eastAsia="Times New Roman" w:hAnsiTheme="majorBidi" w:cstheme="majorBidi"/>
                <w:sz w:val="20"/>
                <w:szCs w:val="20"/>
              </w:rPr>
            </w:pPr>
            <w:r w:rsidRPr="003A5184">
              <w:rPr>
                <w:rFonts w:asciiTheme="majorBidi" w:eastAsia="Times New Roman" w:hAnsiTheme="majorBidi" w:cstheme="majorBidi"/>
                <w:sz w:val="20"/>
                <w:szCs w:val="20"/>
              </w:rPr>
              <w:t>NET</w:t>
            </w:r>
          </w:p>
        </w:tc>
        <w:tc>
          <w:tcPr>
            <w:tcW w:w="0" w:type="auto"/>
            <w:tcBorders>
              <w:bottom w:val="single" w:sz="4" w:space="0" w:color="auto"/>
              <w:right w:val="nil"/>
            </w:tcBorders>
            <w:tcMar>
              <w:top w:w="75" w:type="dxa"/>
              <w:left w:w="75" w:type="dxa"/>
              <w:bottom w:w="75" w:type="dxa"/>
              <w:right w:w="75" w:type="dxa"/>
            </w:tcMar>
            <w:vAlign w:val="bottom"/>
            <w:hideMark/>
          </w:tcPr>
          <w:p w:rsidR="003A5184" w:rsidRPr="003A5184" w:rsidRDefault="0092401E"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−5.38</w:t>
            </w:r>
          </w:p>
        </w:tc>
        <w:tc>
          <w:tcPr>
            <w:tcW w:w="0" w:type="auto"/>
            <w:tcBorders>
              <w:bottom w:val="single" w:sz="4" w:space="0" w:color="auto"/>
              <w:right w:val="nil"/>
            </w:tcBorders>
            <w:tcMar>
              <w:top w:w="75" w:type="dxa"/>
              <w:left w:w="75" w:type="dxa"/>
              <w:bottom w:w="75" w:type="dxa"/>
              <w:right w:w="75" w:type="dxa"/>
            </w:tcMar>
            <w:vAlign w:val="bottom"/>
            <w:hideMark/>
          </w:tcPr>
          <w:p w:rsidR="003A5184" w:rsidRPr="003A5184" w:rsidRDefault="0092401E"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4.14</w:t>
            </w:r>
          </w:p>
        </w:tc>
        <w:tc>
          <w:tcPr>
            <w:tcW w:w="0" w:type="auto"/>
            <w:tcBorders>
              <w:bottom w:val="single" w:sz="4" w:space="0" w:color="auto"/>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−0.03</w:t>
            </w:r>
          </w:p>
        </w:tc>
        <w:tc>
          <w:tcPr>
            <w:tcW w:w="0" w:type="auto"/>
            <w:tcBorders>
              <w:bottom w:val="single" w:sz="4" w:space="0" w:color="auto"/>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−6.98</w:t>
            </w:r>
          </w:p>
        </w:tc>
        <w:tc>
          <w:tcPr>
            <w:tcW w:w="0" w:type="auto"/>
            <w:tcBorders>
              <w:bottom w:val="single" w:sz="4" w:space="0" w:color="auto"/>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16.88</w:t>
            </w:r>
          </w:p>
        </w:tc>
        <w:tc>
          <w:tcPr>
            <w:tcW w:w="0" w:type="auto"/>
            <w:tcBorders>
              <w:bottom w:val="single" w:sz="4" w:space="0" w:color="auto"/>
              <w:right w:val="nil"/>
            </w:tcBorders>
            <w:tcMar>
              <w:top w:w="75" w:type="dxa"/>
              <w:left w:w="75" w:type="dxa"/>
              <w:bottom w:w="75" w:type="dxa"/>
              <w:right w:w="75" w:type="dxa"/>
            </w:tcMar>
            <w:vAlign w:val="bottom"/>
            <w:hideMark/>
          </w:tcPr>
          <w:p w:rsidR="003A5184" w:rsidRPr="003A5184" w:rsidRDefault="008B1E87"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−18</w:t>
            </w:r>
          </w:p>
        </w:tc>
        <w:tc>
          <w:tcPr>
            <w:tcW w:w="0" w:type="auto"/>
            <w:tcBorders>
              <w:bottom w:val="single" w:sz="4" w:space="0" w:color="auto"/>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−8.8</w:t>
            </w:r>
          </w:p>
        </w:tc>
        <w:tc>
          <w:tcPr>
            <w:tcW w:w="0" w:type="auto"/>
            <w:tcBorders>
              <w:bottom w:val="single" w:sz="4" w:space="0" w:color="auto"/>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17.73</w:t>
            </w:r>
          </w:p>
        </w:tc>
        <w:tc>
          <w:tcPr>
            <w:tcW w:w="0" w:type="auto"/>
            <w:tcBorders>
              <w:bottom w:val="single" w:sz="4" w:space="0" w:color="auto"/>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1.26</w:t>
            </w:r>
          </w:p>
        </w:tc>
        <w:tc>
          <w:tcPr>
            <w:tcW w:w="0" w:type="auto"/>
            <w:tcBorders>
              <w:bottom w:val="single" w:sz="4" w:space="0" w:color="auto"/>
              <w:right w:val="nil"/>
            </w:tcBorders>
            <w:tcMar>
              <w:top w:w="75" w:type="dxa"/>
              <w:left w:w="75" w:type="dxa"/>
              <w:bottom w:w="75" w:type="dxa"/>
              <w:right w:w="75" w:type="dxa"/>
            </w:tcMar>
            <w:vAlign w:val="bottom"/>
            <w:hideMark/>
          </w:tcPr>
          <w:p w:rsidR="003A5184" w:rsidRPr="003A5184" w:rsidRDefault="00802774" w:rsidP="003A5184">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57.35</w:t>
            </w:r>
          </w:p>
        </w:tc>
      </w:tr>
    </w:tbl>
    <w:p w:rsidR="005C422F" w:rsidRPr="00D12250" w:rsidRDefault="00D12250" w:rsidP="00D12250">
      <w:pPr>
        <w:spacing w:after="0" w:line="480" w:lineRule="auto"/>
        <w:jc w:val="both"/>
        <w:rPr>
          <w:rFonts w:asciiTheme="majorBidi" w:eastAsiaTheme="minorEastAsia" w:hAnsiTheme="majorBidi" w:cstheme="majorBidi"/>
          <w:sz w:val="24"/>
          <w:szCs w:val="24"/>
        </w:rPr>
      </w:pPr>
      <w:r w:rsidRPr="00D12250">
        <w:rPr>
          <w:rFonts w:asciiTheme="majorBidi" w:eastAsiaTheme="minorEastAsia" w:hAnsiTheme="majorBidi" w:cstheme="majorBidi"/>
          <w:sz w:val="24"/>
          <w:szCs w:val="24"/>
        </w:rPr>
        <w:t>The correlation between energy tokens and BRICS markets has shown significant changes, especially pre- and post-COVID-19. Energy tokens regularly serve as recipients of return spillovers, while BRICS markets operate as transmitters, disseminating return and volatility shocks across diverse asset classes. This tendency stays consistent throughout the sample periods, with BRICS stock markets consistently transmitting return shocks, as seen in Fig. 3. Notably, there is a discernible decline in the correlation between BRICS markets and renewable energy tokens after COVID-19, indicating a diminished dependency. This alteration may impact portfolio-building tactics, necessitating investors to reevaluate the significance of BRICS markets in mitigating energy token risks. The ongoing function of energy tokens as receivers and BRICS markets as transmitters underscores the need for adaptive risk management in a post-pandemic financial landscape.</w:t>
      </w:r>
    </w:p>
    <w:p w:rsidR="005C422F" w:rsidRDefault="00D12250" w:rsidP="009E07DD">
      <w:pPr>
        <w:spacing w:after="0" w:line="480" w:lineRule="auto"/>
        <w:jc w:val="both"/>
        <w:rPr>
          <w:rFonts w:asciiTheme="majorBidi" w:eastAsiaTheme="minorEastAsia" w:hAnsiTheme="majorBidi" w:cstheme="majorBidi"/>
          <w:sz w:val="24"/>
          <w:szCs w:val="24"/>
        </w:rPr>
      </w:pPr>
      <w:r>
        <w:rPr>
          <w:noProof/>
        </w:rPr>
        <w:lastRenderedPageBreak/>
        <w:drawing>
          <wp:inline distT="0" distB="0" distL="0" distR="0">
            <wp:extent cx="5943600" cy="2003461"/>
            <wp:effectExtent l="0" t="0" r="0" b="0"/>
            <wp:docPr id="2" name="Picture 2" descr="Fi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003461"/>
                    </a:xfrm>
                    <a:prstGeom prst="rect">
                      <a:avLst/>
                    </a:prstGeom>
                    <a:noFill/>
                    <a:ln>
                      <a:noFill/>
                    </a:ln>
                  </pic:spPr>
                </pic:pic>
              </a:graphicData>
            </a:graphic>
          </wp:inline>
        </w:drawing>
      </w:r>
    </w:p>
    <w:p w:rsidR="00D12250" w:rsidRDefault="00D12250" w:rsidP="00D12250">
      <w:pPr>
        <w:spacing w:after="0" w:line="480" w:lineRule="auto"/>
        <w:jc w:val="both"/>
        <w:rPr>
          <w:rFonts w:asciiTheme="majorBidi" w:eastAsiaTheme="minorEastAsia" w:hAnsiTheme="majorBidi" w:cstheme="majorBidi"/>
          <w:sz w:val="20"/>
          <w:szCs w:val="20"/>
        </w:rPr>
      </w:pPr>
      <w:r>
        <w:rPr>
          <w:rFonts w:asciiTheme="majorBidi" w:eastAsiaTheme="minorEastAsia" w:hAnsiTheme="majorBidi" w:cstheme="majorBidi"/>
          <w:sz w:val="20"/>
          <w:szCs w:val="20"/>
        </w:rPr>
        <w:t xml:space="preserve">                                              </w:t>
      </w:r>
      <w:r w:rsidRPr="00D12250">
        <w:rPr>
          <w:rFonts w:asciiTheme="majorBidi" w:eastAsiaTheme="minorEastAsia" w:hAnsiTheme="majorBidi" w:cstheme="majorBidi"/>
          <w:sz w:val="20"/>
          <w:szCs w:val="20"/>
        </w:rPr>
        <w:t>Figure 2: Directional returns spillover according to pairs.</w:t>
      </w:r>
    </w:p>
    <w:p w:rsidR="00D12250" w:rsidRDefault="00D12250" w:rsidP="00D12250">
      <w:pPr>
        <w:spacing w:after="0" w:line="480" w:lineRule="auto"/>
        <w:jc w:val="both"/>
        <w:rPr>
          <w:rFonts w:asciiTheme="majorBidi" w:eastAsiaTheme="minorEastAsia" w:hAnsiTheme="majorBidi" w:cstheme="majorBidi"/>
          <w:sz w:val="20"/>
          <w:szCs w:val="20"/>
        </w:rPr>
      </w:pPr>
      <w:r>
        <w:rPr>
          <w:noProof/>
        </w:rPr>
        <w:drawing>
          <wp:inline distT="0" distB="0" distL="0" distR="0">
            <wp:extent cx="5943600" cy="2600325"/>
            <wp:effectExtent l="0" t="0" r="0" b="9525"/>
            <wp:docPr id="3" name="Picture 3" descr="Fi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600325"/>
                    </a:xfrm>
                    <a:prstGeom prst="rect">
                      <a:avLst/>
                    </a:prstGeom>
                    <a:noFill/>
                    <a:ln>
                      <a:noFill/>
                    </a:ln>
                  </pic:spPr>
                </pic:pic>
              </a:graphicData>
            </a:graphic>
          </wp:inline>
        </w:drawing>
      </w:r>
    </w:p>
    <w:p w:rsidR="00D12250" w:rsidRDefault="00D12250" w:rsidP="00D12250">
      <w:pPr>
        <w:spacing w:after="0" w:line="480" w:lineRule="auto"/>
        <w:jc w:val="both"/>
        <w:rPr>
          <w:rFonts w:asciiTheme="majorBidi" w:eastAsiaTheme="minorEastAsia" w:hAnsiTheme="majorBidi" w:cstheme="majorBidi"/>
          <w:sz w:val="20"/>
          <w:szCs w:val="20"/>
        </w:rPr>
      </w:pPr>
      <w:r>
        <w:rPr>
          <w:rFonts w:asciiTheme="majorBidi" w:eastAsiaTheme="minorEastAsia" w:hAnsiTheme="majorBidi" w:cstheme="majorBidi"/>
          <w:sz w:val="20"/>
          <w:szCs w:val="20"/>
        </w:rPr>
        <w:t xml:space="preserve">                                                              </w:t>
      </w:r>
      <w:r w:rsidRPr="00D12250">
        <w:rPr>
          <w:rFonts w:asciiTheme="majorBidi" w:eastAsiaTheme="minorEastAsia" w:hAnsiTheme="majorBidi" w:cstheme="majorBidi"/>
          <w:sz w:val="20"/>
          <w:szCs w:val="20"/>
        </w:rPr>
        <w:t>Figure 3: The Index of Total Connectedness.</w:t>
      </w:r>
    </w:p>
    <w:p w:rsidR="00D12250" w:rsidRDefault="00D12250" w:rsidP="00D12250">
      <w:pPr>
        <w:spacing w:after="0" w:line="480" w:lineRule="auto"/>
        <w:jc w:val="both"/>
        <w:rPr>
          <w:rFonts w:asciiTheme="majorBidi" w:eastAsiaTheme="minorEastAsia" w:hAnsiTheme="majorBidi" w:cstheme="majorBidi"/>
          <w:sz w:val="24"/>
          <w:szCs w:val="24"/>
        </w:rPr>
      </w:pPr>
      <w:r w:rsidRPr="0050019F">
        <w:rPr>
          <w:rFonts w:asciiTheme="majorBidi" w:eastAsiaTheme="minorEastAsia" w:hAnsiTheme="majorBidi" w:cstheme="majorBidi"/>
          <w:sz w:val="24"/>
          <w:szCs w:val="24"/>
        </w:rPr>
        <w:t xml:space="preserve">Figure 3 depicts the temporal fluctuations in return spillovers from each variable to the overall system, as shown by dynamic total connectedness (TO). The data indicate that spillover transmission is dynamic and impacted by economic and financial events. In the early stage of the COVID-19 pandemic (Q1 2020), return spillovers from tokens decreased markedly owing to increased market uncertainty and fragmentation. A significant rise was seen in Q1 2022, indicating recovery and enhanced market interconnection. Stock markets demonstrated more significant temporal volatility, with peak spillover levels seen during the first phases of the epidemic. These </w:t>
      </w:r>
      <w:r w:rsidRPr="0050019F">
        <w:rPr>
          <w:rFonts w:asciiTheme="majorBidi" w:eastAsiaTheme="minorEastAsia" w:hAnsiTheme="majorBidi" w:cstheme="majorBidi"/>
          <w:sz w:val="24"/>
          <w:szCs w:val="24"/>
        </w:rPr>
        <w:lastRenderedPageBreak/>
        <w:t>trends underscore the vulnerability of financial systems to external disturbances and their changing interconnections throughout time.</w:t>
      </w:r>
    </w:p>
    <w:p w:rsidR="00573C1C" w:rsidRDefault="00573C1C" w:rsidP="00573C1C">
      <w:pPr>
        <w:spacing w:after="0" w:line="480" w:lineRule="auto"/>
        <w:jc w:val="both"/>
        <w:rPr>
          <w:noProof/>
        </w:rPr>
      </w:pPr>
      <w:r w:rsidRPr="00573C1C">
        <w:rPr>
          <w:rFonts w:asciiTheme="majorBidi" w:eastAsiaTheme="minorEastAsia" w:hAnsiTheme="majorBidi" w:cstheme="majorBidi"/>
          <w:sz w:val="24"/>
          <w:szCs w:val="24"/>
        </w:rPr>
        <w:t>The dynamic return spillovers seen in Fig. 4 demonstrate temporal variability, with significant increases observed during the COVID-19 pandemic. These surges underscore enhanced market interconnection and heightened vulnerability, especially across energy tokens and BRICS states, during times of global instability. The "TO" and "FROM" connection study highlights their susceptibility to systemic shocks, demonstrating increased reliance during crises. These results underscore the essential need for resilience mechanisms and adaptive tactics to mitigate spillover risks in unstable financial contexts.</w:t>
      </w:r>
    </w:p>
    <w:p w:rsidR="00573C1C" w:rsidRDefault="00573C1C" w:rsidP="00573C1C">
      <w:pPr>
        <w:spacing w:after="0" w:line="480" w:lineRule="auto"/>
        <w:jc w:val="both"/>
        <w:rPr>
          <w:rFonts w:asciiTheme="majorBidi" w:eastAsiaTheme="minorEastAsia" w:hAnsiTheme="majorBidi" w:cstheme="majorBidi"/>
          <w:sz w:val="24"/>
          <w:szCs w:val="24"/>
        </w:rPr>
      </w:pPr>
      <w:r>
        <w:rPr>
          <w:noProof/>
        </w:rPr>
        <w:lastRenderedPageBreak/>
        <w:drawing>
          <wp:inline distT="0" distB="0" distL="0" distR="0" wp14:anchorId="5C5B1D9E" wp14:editId="2E8C2046">
            <wp:extent cx="5629275" cy="9315450"/>
            <wp:effectExtent l="0" t="0" r="9525" b="0"/>
            <wp:docPr id="5" name="Picture 5" descr="Fi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29275" cy="9315450"/>
                    </a:xfrm>
                    <a:prstGeom prst="rect">
                      <a:avLst/>
                    </a:prstGeom>
                    <a:noFill/>
                    <a:ln>
                      <a:noFill/>
                    </a:ln>
                  </pic:spPr>
                </pic:pic>
              </a:graphicData>
            </a:graphic>
          </wp:inline>
        </w:drawing>
      </w:r>
    </w:p>
    <w:p w:rsidR="00573C1C" w:rsidRPr="00573C1C" w:rsidRDefault="00573C1C" w:rsidP="00573C1C">
      <w:pPr>
        <w:spacing w:after="0" w:line="480" w:lineRule="auto"/>
        <w:jc w:val="both"/>
        <w:rPr>
          <w:rFonts w:asciiTheme="majorBidi" w:eastAsiaTheme="minorEastAsia" w:hAnsiTheme="majorBidi" w:cstheme="majorBidi"/>
          <w:sz w:val="20"/>
          <w:szCs w:val="20"/>
        </w:rPr>
      </w:pPr>
      <w:r>
        <w:rPr>
          <w:rFonts w:asciiTheme="majorBidi" w:eastAsiaTheme="minorEastAsia" w:hAnsiTheme="majorBidi" w:cstheme="majorBidi"/>
          <w:sz w:val="24"/>
          <w:szCs w:val="24"/>
        </w:rPr>
        <w:lastRenderedPageBreak/>
        <w:t xml:space="preserve">                                             </w:t>
      </w:r>
      <w:r w:rsidRPr="00573C1C">
        <w:rPr>
          <w:rFonts w:asciiTheme="majorBidi" w:eastAsiaTheme="minorEastAsia" w:hAnsiTheme="majorBidi" w:cstheme="majorBidi"/>
          <w:sz w:val="20"/>
          <w:szCs w:val="20"/>
        </w:rPr>
        <w:t>Figure 4: Dynamic Spillover of Returns.</w:t>
      </w:r>
    </w:p>
    <w:p w:rsidR="00573C1C" w:rsidRPr="00573C1C" w:rsidRDefault="00573C1C" w:rsidP="00573C1C">
      <w:pPr>
        <w:pStyle w:val="Heading3"/>
        <w:spacing w:line="480" w:lineRule="auto"/>
        <w:rPr>
          <w:rFonts w:asciiTheme="majorBidi" w:hAnsiTheme="majorBidi"/>
          <w:b/>
          <w:bCs/>
          <w:color w:val="1F1F1F"/>
        </w:rPr>
      </w:pPr>
      <w:r w:rsidRPr="00573C1C">
        <w:rPr>
          <w:rFonts w:asciiTheme="majorBidi" w:hAnsiTheme="majorBidi"/>
          <w:b/>
          <w:bCs/>
          <w:color w:val="1F1F1F"/>
        </w:rPr>
        <w:t>3.4. Portfolio implications</w:t>
      </w:r>
    </w:p>
    <w:p w:rsidR="00573C1C" w:rsidRDefault="00573C1C" w:rsidP="003114E3">
      <w:pPr>
        <w:spacing w:after="0" w:line="480" w:lineRule="auto"/>
        <w:jc w:val="both"/>
        <w:rPr>
          <w:rFonts w:asciiTheme="majorBidi" w:eastAsiaTheme="minorEastAsia" w:hAnsiTheme="majorBidi" w:cstheme="majorBidi"/>
          <w:sz w:val="24"/>
          <w:szCs w:val="24"/>
        </w:rPr>
      </w:pPr>
      <w:r w:rsidRPr="00573C1C">
        <w:rPr>
          <w:rFonts w:asciiTheme="majorBidi" w:eastAsiaTheme="minorEastAsia" w:hAnsiTheme="majorBidi" w:cstheme="majorBidi"/>
          <w:sz w:val="24"/>
          <w:szCs w:val="24"/>
        </w:rPr>
        <w:t xml:space="preserve">The study underscores substantial changes in portfolio allocation and hedging methods throughout several eras, notably the pre-COVID-19 period, the pandemic phase, and the whole sample duration. The research, by Ali et al. (2024a, 2024b), examines a two-asset portfolio that integrates Brazilian stocks and energy tokens (GRID). The findings reveal that the optimal portfolio allocation for the Brazil/GRID combination during the entire study period predominantly favors Brazilian stocks, with 99.8% assigned to Brazil and just 0.2% to GRID. This allocation indicates that an individual with $1 should mostly invest in Brazilian stocks. During the COVID-19 pandemic, optimal portfolio allocations for stocks rose relative to the pre-pandemic era, indicating a preference among investors for BRICS shares in the context of greater market volatility. Hedge ratios indicate that a $1 long position in Brazilian stocks may be hedged with a short position of 0.019 cents in GRID, underscoring cost-efficient hedging tactics. The findings indicate that hedging using GRID was more effective during the epidemic than over the whole study period. The results diverge from those of </w:t>
      </w:r>
      <w:r w:rsidR="003114E3">
        <w:rPr>
          <w:rFonts w:asciiTheme="majorBidi" w:eastAsiaTheme="minorEastAsia" w:hAnsiTheme="majorBidi" w:cstheme="majorBidi"/>
          <w:sz w:val="24"/>
          <w:szCs w:val="24"/>
        </w:rPr>
        <w:fldChar w:fldCharType="begin" w:fldLock="1"/>
      </w:r>
      <w:r w:rsidR="003114E3">
        <w:rPr>
          <w:rFonts w:asciiTheme="majorBidi" w:eastAsiaTheme="minorEastAsia" w:hAnsiTheme="majorBidi" w:cstheme="majorBidi"/>
          <w:sz w:val="24"/>
          <w:szCs w:val="24"/>
        </w:rPr>
        <w:instrText>ADDIN CSL_CITATION {"citationItems":[{"id":"ITEM-1","itemData":{"abstract":"The cement industry is an energy intensive industry consuming about 4 GJ per tonne of cement produced. A thermodynamic analysis for cogeneration using the waste heat streams is not easily available. Data from a working 1 Mt per annum plant in India is used to obtain an energy balance for the system and a Sankey diagram is drawn. It is found that about 35% of the input energy is being lost with the waste heat streams. A steam cycle is selected to recover the heat from the streams using a waste heat recovery steam generator and it is estimated that about 4.4 MW of electricity can be generated. This represents about 30% of the electricity requirement of the plant and a 10% improvement in the primary energy efficiency of the plant. The payback period for the system is found to be within two years. © 2002 Elsevier Science Ltd. All rights reserved.","author":[{"dropping-particle":"","family":"Khurana","given":"Shaleen","non-dropping-particle":"","parse-names":false,"suffix":""},{"dropping-particle":"","family":"Banerjee","given":"Rangan","non-dropping-particle":"","parse-names":false,"suffix":""},{"dropping-particle":"","family":"Gaitonde","given":"Uday","non-dropping-particle":"","parse-names":false,"suffix":""}],"container-title":"Applied Thermal Engineering","id":"ITEM-1","issue":"5","issued":{"date-parts":[["2002","4"]]},"page":"485-494","title":"Energy balance and cogeneration for a cement plant","type":"article-journal","volume":"22"},"uris":["http://www.mendeley.com/documents/?uuid=09a47411-fd5c-4280-aebc-825d1e947640"]}],"mendeley":{"formattedCitation":"(Khurana et al., 2002)","plainTextFormattedCitation":"(Khurana et al., 2002)","previouslyFormattedCitation":"(Khurana et al., 2002)"},"properties":{"noteIndex":0},"schema":"https://github.com/citation-style-language/schema/raw/master/csl-citation.json"}</w:instrText>
      </w:r>
      <w:r w:rsidR="003114E3">
        <w:rPr>
          <w:rFonts w:asciiTheme="majorBidi" w:eastAsiaTheme="minorEastAsia" w:hAnsiTheme="majorBidi" w:cstheme="majorBidi"/>
          <w:sz w:val="24"/>
          <w:szCs w:val="24"/>
        </w:rPr>
        <w:fldChar w:fldCharType="separate"/>
      </w:r>
      <w:r w:rsidR="003114E3" w:rsidRPr="003114E3">
        <w:rPr>
          <w:rFonts w:asciiTheme="majorBidi" w:eastAsiaTheme="minorEastAsia" w:hAnsiTheme="majorBidi" w:cstheme="majorBidi"/>
          <w:noProof/>
          <w:sz w:val="24"/>
          <w:szCs w:val="24"/>
        </w:rPr>
        <w:t>(Khurana et al., 2002)</w:t>
      </w:r>
      <w:r w:rsidR="003114E3">
        <w:rPr>
          <w:rFonts w:asciiTheme="majorBidi" w:eastAsiaTheme="minorEastAsia" w:hAnsiTheme="majorBidi" w:cstheme="majorBidi"/>
          <w:sz w:val="24"/>
          <w:szCs w:val="24"/>
        </w:rPr>
        <w:fldChar w:fldCharType="end"/>
      </w:r>
      <w:r w:rsidRPr="00573C1C">
        <w:rPr>
          <w:rFonts w:asciiTheme="majorBidi" w:eastAsiaTheme="minorEastAsia" w:hAnsiTheme="majorBidi" w:cstheme="majorBidi"/>
          <w:sz w:val="24"/>
          <w:szCs w:val="24"/>
        </w:rPr>
        <w:t>, indicating that energy tokens may provide differing degrees of hedging effectiveness according to the market context.</w:t>
      </w:r>
    </w:p>
    <w:p w:rsidR="00091339" w:rsidRPr="00091339" w:rsidRDefault="00091339" w:rsidP="00091339">
      <w:pPr>
        <w:spacing w:after="0" w:line="240" w:lineRule="auto"/>
        <w:rPr>
          <w:rFonts w:asciiTheme="majorBidi" w:eastAsia="Times New Roman" w:hAnsiTheme="majorBidi" w:cstheme="majorBidi"/>
          <w:color w:val="1F1F1F"/>
          <w:sz w:val="20"/>
          <w:szCs w:val="20"/>
        </w:rPr>
      </w:pPr>
      <w:r w:rsidRPr="00091339">
        <w:rPr>
          <w:rFonts w:asciiTheme="majorBidi" w:eastAsia="Times New Roman" w:hAnsiTheme="majorBidi" w:cstheme="majorBidi"/>
          <w:color w:val="1F1F1F"/>
          <w:sz w:val="20"/>
          <w:szCs w:val="20"/>
        </w:rPr>
        <w:t>Table 4. Implications for the Portfolio.</w:t>
      </w:r>
    </w:p>
    <w:p w:rsidR="00091339" w:rsidRPr="00573C1C" w:rsidRDefault="00091339" w:rsidP="00573C1C">
      <w:pPr>
        <w:spacing w:after="0" w:line="240" w:lineRule="auto"/>
        <w:rPr>
          <w:rFonts w:ascii="Georgia" w:eastAsia="Times New Roman" w:hAnsi="Georgia" w:cs="Times New Roman"/>
          <w:color w:val="1F1F1F"/>
          <w:sz w:val="24"/>
          <w:szCs w:val="24"/>
        </w:rPr>
      </w:pPr>
    </w:p>
    <w:tbl>
      <w:tblPr>
        <w:tblW w:w="5000" w:type="pct"/>
        <w:tblBorders>
          <w:top w:val="single" w:sz="6" w:space="0" w:color="8E8E8E"/>
          <w:bottom w:val="single" w:sz="6" w:space="0" w:color="8E8E8E"/>
        </w:tblBorders>
        <w:tblCellMar>
          <w:left w:w="0" w:type="dxa"/>
          <w:right w:w="0" w:type="dxa"/>
        </w:tblCellMar>
        <w:tblLook w:val="04A0" w:firstRow="1" w:lastRow="0" w:firstColumn="1" w:lastColumn="0" w:noHBand="0" w:noVBand="1"/>
      </w:tblPr>
      <w:tblGrid>
        <w:gridCol w:w="1488"/>
        <w:gridCol w:w="590"/>
        <w:gridCol w:w="689"/>
        <w:gridCol w:w="689"/>
        <w:gridCol w:w="590"/>
        <w:gridCol w:w="689"/>
        <w:gridCol w:w="689"/>
        <w:gridCol w:w="590"/>
        <w:gridCol w:w="689"/>
        <w:gridCol w:w="689"/>
        <w:gridCol w:w="590"/>
        <w:gridCol w:w="689"/>
        <w:gridCol w:w="689"/>
      </w:tblGrid>
      <w:tr w:rsidR="00573C1C" w:rsidRPr="00573C1C" w:rsidTr="00091339">
        <w:trPr>
          <w:tblHeader/>
        </w:trPr>
        <w:tc>
          <w:tcPr>
            <w:tcW w:w="795" w:type="pct"/>
            <w:tcBorders>
              <w:top w:val="single" w:sz="4" w:space="0" w:color="auto"/>
              <w:bottom w:val="single" w:sz="6" w:space="0" w:color="8E8E8E"/>
              <w:right w:val="nil"/>
            </w:tcBorders>
            <w:tcMar>
              <w:top w:w="75" w:type="dxa"/>
              <w:left w:w="75" w:type="dxa"/>
              <w:bottom w:w="75" w:type="dxa"/>
              <w:right w:w="75" w:type="dxa"/>
            </w:tcMar>
            <w:hideMark/>
          </w:tcPr>
          <w:p w:rsidR="00573C1C" w:rsidRPr="00573C1C" w:rsidRDefault="00573C1C" w:rsidP="00573C1C">
            <w:pPr>
              <w:spacing w:after="0" w:line="240" w:lineRule="auto"/>
              <w:rPr>
                <w:rFonts w:asciiTheme="majorBidi" w:eastAsia="Times New Roman" w:hAnsiTheme="majorBidi" w:cstheme="majorBidi"/>
                <w:sz w:val="20"/>
                <w:szCs w:val="20"/>
              </w:rPr>
            </w:pPr>
          </w:p>
        </w:tc>
        <w:tc>
          <w:tcPr>
            <w:tcW w:w="1051" w:type="pct"/>
            <w:gridSpan w:val="3"/>
            <w:tcBorders>
              <w:top w:val="single" w:sz="4" w:space="0" w:color="auto"/>
              <w:bottom w:val="nil"/>
              <w:right w:val="nil"/>
            </w:tcBorders>
            <w:tcMar>
              <w:top w:w="75" w:type="dxa"/>
              <w:left w:w="75" w:type="dxa"/>
              <w:bottom w:w="75" w:type="dxa"/>
              <w:right w:w="75" w:type="dxa"/>
            </w:tcMa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Optimal weights</w:t>
            </w:r>
          </w:p>
        </w:tc>
        <w:tc>
          <w:tcPr>
            <w:tcW w:w="1051" w:type="pct"/>
            <w:gridSpan w:val="3"/>
            <w:tcBorders>
              <w:top w:val="single" w:sz="4" w:space="0" w:color="auto"/>
              <w:bottom w:val="nil"/>
              <w:right w:val="nil"/>
            </w:tcBorders>
            <w:tcMar>
              <w:top w:w="75" w:type="dxa"/>
              <w:left w:w="75" w:type="dxa"/>
              <w:bottom w:w="75" w:type="dxa"/>
              <w:right w:w="75" w:type="dxa"/>
            </w:tcMa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Hedging effective - OW</w:t>
            </w:r>
          </w:p>
        </w:tc>
        <w:tc>
          <w:tcPr>
            <w:tcW w:w="1051" w:type="pct"/>
            <w:gridSpan w:val="3"/>
            <w:tcBorders>
              <w:top w:val="single" w:sz="4" w:space="0" w:color="auto"/>
              <w:bottom w:val="nil"/>
              <w:right w:val="nil"/>
            </w:tcBorders>
            <w:tcMar>
              <w:top w:w="75" w:type="dxa"/>
              <w:left w:w="75" w:type="dxa"/>
              <w:bottom w:w="75" w:type="dxa"/>
              <w:right w:w="75" w:type="dxa"/>
            </w:tcMa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Hedge ratio</w:t>
            </w:r>
          </w:p>
        </w:tc>
        <w:tc>
          <w:tcPr>
            <w:tcW w:w="1051" w:type="pct"/>
            <w:gridSpan w:val="3"/>
            <w:tcBorders>
              <w:top w:val="single" w:sz="4" w:space="0" w:color="auto"/>
              <w:bottom w:val="nil"/>
              <w:right w:val="nil"/>
            </w:tcBorders>
            <w:tcMar>
              <w:top w:w="75" w:type="dxa"/>
              <w:left w:w="75" w:type="dxa"/>
              <w:bottom w:w="75" w:type="dxa"/>
              <w:right w:w="75" w:type="dxa"/>
            </w:tcMa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Hedging effective - HR</w:t>
            </w:r>
          </w:p>
        </w:tc>
      </w:tr>
      <w:tr w:rsidR="00091339" w:rsidRPr="00573C1C" w:rsidTr="00091339">
        <w:trPr>
          <w:tblHeader/>
        </w:trPr>
        <w:tc>
          <w:tcPr>
            <w:tcW w:w="795" w:type="pct"/>
            <w:tcBorders>
              <w:bottom w:val="single" w:sz="6" w:space="0" w:color="8E8E8E"/>
              <w:right w:val="nil"/>
            </w:tcBorders>
            <w:tcMar>
              <w:top w:w="75" w:type="dxa"/>
              <w:left w:w="75" w:type="dxa"/>
              <w:bottom w:w="75" w:type="dxa"/>
              <w:right w:w="75" w:type="dxa"/>
            </w:tcMar>
            <w:hideMark/>
          </w:tcPr>
          <w:p w:rsidR="00573C1C" w:rsidRPr="00573C1C" w:rsidRDefault="00573C1C" w:rsidP="00573C1C">
            <w:pPr>
              <w:spacing w:after="0" w:line="240" w:lineRule="auto"/>
              <w:rPr>
                <w:rFonts w:asciiTheme="majorBidi" w:eastAsia="Times New Roman" w:hAnsiTheme="majorBidi" w:cstheme="majorBidi"/>
                <w:sz w:val="20"/>
                <w:szCs w:val="20"/>
              </w:rPr>
            </w:pPr>
          </w:p>
        </w:tc>
        <w:tc>
          <w:tcPr>
            <w:tcW w:w="315" w:type="pct"/>
            <w:tcBorders>
              <w:bottom w:val="single" w:sz="6" w:space="0" w:color="8E8E8E"/>
              <w:right w:val="nil"/>
            </w:tcBorders>
            <w:tcMar>
              <w:top w:w="75" w:type="dxa"/>
              <w:left w:w="75" w:type="dxa"/>
              <w:bottom w:w="75" w:type="dxa"/>
              <w:right w:w="75" w:type="dxa"/>
            </w:tcMa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Full sample</w:t>
            </w:r>
          </w:p>
        </w:tc>
        <w:tc>
          <w:tcPr>
            <w:tcW w:w="368" w:type="pct"/>
            <w:tcBorders>
              <w:bottom w:val="single" w:sz="6" w:space="0" w:color="8E8E8E"/>
              <w:right w:val="nil"/>
            </w:tcBorders>
            <w:tcMar>
              <w:top w:w="75" w:type="dxa"/>
              <w:left w:w="75" w:type="dxa"/>
              <w:bottom w:w="75" w:type="dxa"/>
              <w:right w:w="75" w:type="dxa"/>
            </w:tcMa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Pre COIVD-19</w:t>
            </w:r>
          </w:p>
        </w:tc>
        <w:tc>
          <w:tcPr>
            <w:tcW w:w="368" w:type="pct"/>
            <w:tcBorders>
              <w:bottom w:val="single" w:sz="6" w:space="0" w:color="8E8E8E"/>
              <w:right w:val="nil"/>
            </w:tcBorders>
            <w:tcMar>
              <w:top w:w="75" w:type="dxa"/>
              <w:left w:w="75" w:type="dxa"/>
              <w:bottom w:w="75" w:type="dxa"/>
              <w:right w:w="75" w:type="dxa"/>
            </w:tcMa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COVID-19</w:t>
            </w:r>
          </w:p>
        </w:tc>
        <w:tc>
          <w:tcPr>
            <w:tcW w:w="315" w:type="pct"/>
            <w:tcBorders>
              <w:bottom w:val="single" w:sz="6" w:space="0" w:color="8E8E8E"/>
              <w:right w:val="nil"/>
            </w:tcBorders>
            <w:tcMar>
              <w:top w:w="75" w:type="dxa"/>
              <w:left w:w="75" w:type="dxa"/>
              <w:bottom w:w="75" w:type="dxa"/>
              <w:right w:w="75" w:type="dxa"/>
            </w:tcMa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Full sample</w:t>
            </w:r>
          </w:p>
        </w:tc>
        <w:tc>
          <w:tcPr>
            <w:tcW w:w="368" w:type="pct"/>
            <w:tcBorders>
              <w:bottom w:val="single" w:sz="6" w:space="0" w:color="8E8E8E"/>
              <w:right w:val="nil"/>
            </w:tcBorders>
            <w:tcMar>
              <w:top w:w="75" w:type="dxa"/>
              <w:left w:w="75" w:type="dxa"/>
              <w:bottom w:w="75" w:type="dxa"/>
              <w:right w:w="75" w:type="dxa"/>
            </w:tcMa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Pre COIVD-19</w:t>
            </w:r>
          </w:p>
        </w:tc>
        <w:tc>
          <w:tcPr>
            <w:tcW w:w="368" w:type="pct"/>
            <w:tcBorders>
              <w:bottom w:val="single" w:sz="6" w:space="0" w:color="8E8E8E"/>
              <w:right w:val="nil"/>
            </w:tcBorders>
            <w:tcMar>
              <w:top w:w="75" w:type="dxa"/>
              <w:left w:w="75" w:type="dxa"/>
              <w:bottom w:w="75" w:type="dxa"/>
              <w:right w:w="75" w:type="dxa"/>
            </w:tcMa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COVID-19</w:t>
            </w:r>
          </w:p>
        </w:tc>
        <w:tc>
          <w:tcPr>
            <w:tcW w:w="315" w:type="pct"/>
            <w:tcBorders>
              <w:bottom w:val="single" w:sz="6" w:space="0" w:color="8E8E8E"/>
              <w:right w:val="nil"/>
            </w:tcBorders>
            <w:tcMar>
              <w:top w:w="75" w:type="dxa"/>
              <w:left w:w="75" w:type="dxa"/>
              <w:bottom w:w="75" w:type="dxa"/>
              <w:right w:w="75" w:type="dxa"/>
            </w:tcMa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Full sample</w:t>
            </w:r>
          </w:p>
        </w:tc>
        <w:tc>
          <w:tcPr>
            <w:tcW w:w="368" w:type="pct"/>
            <w:tcBorders>
              <w:bottom w:val="single" w:sz="6" w:space="0" w:color="8E8E8E"/>
              <w:right w:val="nil"/>
            </w:tcBorders>
            <w:tcMar>
              <w:top w:w="75" w:type="dxa"/>
              <w:left w:w="75" w:type="dxa"/>
              <w:bottom w:w="75" w:type="dxa"/>
              <w:right w:w="75" w:type="dxa"/>
            </w:tcMa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Pre COIVD-19</w:t>
            </w:r>
          </w:p>
        </w:tc>
        <w:tc>
          <w:tcPr>
            <w:tcW w:w="368" w:type="pct"/>
            <w:tcBorders>
              <w:bottom w:val="single" w:sz="6" w:space="0" w:color="8E8E8E"/>
              <w:right w:val="nil"/>
            </w:tcBorders>
            <w:tcMar>
              <w:top w:w="75" w:type="dxa"/>
              <w:left w:w="75" w:type="dxa"/>
              <w:bottom w:w="75" w:type="dxa"/>
              <w:right w:w="75" w:type="dxa"/>
            </w:tcMa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COVID-19</w:t>
            </w:r>
          </w:p>
        </w:tc>
        <w:tc>
          <w:tcPr>
            <w:tcW w:w="315" w:type="pct"/>
            <w:tcBorders>
              <w:bottom w:val="single" w:sz="6" w:space="0" w:color="8E8E8E"/>
              <w:right w:val="nil"/>
            </w:tcBorders>
            <w:tcMar>
              <w:top w:w="75" w:type="dxa"/>
              <w:left w:w="75" w:type="dxa"/>
              <w:bottom w:w="75" w:type="dxa"/>
              <w:right w:w="75" w:type="dxa"/>
            </w:tcMa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Full sample</w:t>
            </w:r>
          </w:p>
        </w:tc>
        <w:tc>
          <w:tcPr>
            <w:tcW w:w="368" w:type="pct"/>
            <w:tcBorders>
              <w:bottom w:val="single" w:sz="6" w:space="0" w:color="8E8E8E"/>
              <w:right w:val="nil"/>
            </w:tcBorders>
            <w:tcMar>
              <w:top w:w="75" w:type="dxa"/>
              <w:left w:w="75" w:type="dxa"/>
              <w:bottom w:w="75" w:type="dxa"/>
              <w:right w:w="75" w:type="dxa"/>
            </w:tcMa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Pre COIVD-19</w:t>
            </w:r>
          </w:p>
        </w:tc>
        <w:tc>
          <w:tcPr>
            <w:tcW w:w="368" w:type="pct"/>
            <w:tcBorders>
              <w:bottom w:val="single" w:sz="6" w:space="0" w:color="8E8E8E"/>
              <w:right w:val="nil"/>
            </w:tcBorders>
            <w:tcMar>
              <w:top w:w="75" w:type="dxa"/>
              <w:left w:w="75" w:type="dxa"/>
              <w:bottom w:w="75" w:type="dxa"/>
              <w:right w:w="75" w:type="dxa"/>
            </w:tcMa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COVID-19</w:t>
            </w:r>
          </w:p>
        </w:tc>
      </w:tr>
      <w:tr w:rsidR="00091339" w:rsidRPr="00573C1C" w:rsidTr="00091339">
        <w:tc>
          <w:tcPr>
            <w:tcW w:w="79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Brazil/GRID</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0.998</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0.997</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0.999</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0.003</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0.012</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0.001</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0.019</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0.005</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0.03</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0.069</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0.004</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0.113</w:t>
            </w:r>
          </w:p>
        </w:tc>
      </w:tr>
      <w:tr w:rsidR="00091339" w:rsidRPr="00573C1C" w:rsidTr="00091339">
        <w:tc>
          <w:tcPr>
            <w:tcW w:w="79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Brazil/POWR</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0.987</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0.978</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0.991</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0.012</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0.035</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0.006</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0.042</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0.017</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0.049</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0.109</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0.014</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0.132</w:t>
            </w:r>
          </w:p>
        </w:tc>
      </w:tr>
      <w:tr w:rsidR="00091339" w:rsidRPr="00573C1C" w:rsidTr="00091339">
        <w:tc>
          <w:tcPr>
            <w:tcW w:w="79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Brazil/SNC</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0.985</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0.995</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0.011</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0.03</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0.003</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0.041</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0.009</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0.059</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0.088</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0.009</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0.121</w:t>
            </w:r>
          </w:p>
        </w:tc>
      </w:tr>
      <w:tr w:rsidR="00091339" w:rsidRPr="00573C1C" w:rsidTr="00091339">
        <w:tc>
          <w:tcPr>
            <w:tcW w:w="79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lastRenderedPageBreak/>
              <w:t>Brazil/WPR</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0.988</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0.992</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0.011</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0.017</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0.007</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0.025</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0.019</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0.025</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0.071</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0.03</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0.074</w:t>
            </w:r>
          </w:p>
        </w:tc>
      </w:tr>
      <w:tr w:rsidR="00091339" w:rsidRPr="00573C1C" w:rsidTr="00091339">
        <w:tc>
          <w:tcPr>
            <w:tcW w:w="79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China/GRID</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0.998</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0.999</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0.997</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0.008</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0.002</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0.011</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0.006</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0.008</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0.005</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0.017</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0.014</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0.018</w:t>
            </w:r>
          </w:p>
        </w:tc>
      </w:tr>
      <w:tr w:rsidR="00091339" w:rsidRPr="00573C1C" w:rsidTr="00091339">
        <w:tc>
          <w:tcPr>
            <w:tcW w:w="79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China/POWR</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0.992</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0.977</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0.998</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0.015</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0.033</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0.006</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0.016</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0.009</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0.017</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0.025</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0.013</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0.03</w:t>
            </w:r>
          </w:p>
        </w:tc>
      </w:tr>
      <w:tr w:rsidR="00091339" w:rsidRPr="00573C1C" w:rsidTr="00091339">
        <w:tc>
          <w:tcPr>
            <w:tcW w:w="79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China/SNC</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0.988</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0.992</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0.987</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0.022</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0.015</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0.024</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0.009</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0.013</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0.008</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0.017</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0.018</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0.014</w:t>
            </w:r>
          </w:p>
        </w:tc>
      </w:tr>
      <w:tr w:rsidR="00091339" w:rsidRPr="00573C1C" w:rsidTr="00091339">
        <w:tc>
          <w:tcPr>
            <w:tcW w:w="79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China/WPR</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0.988</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0.979</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0.023</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0.025</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0.02</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0.002</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0.004</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0.015</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0.014</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0.014</w:t>
            </w:r>
          </w:p>
        </w:tc>
      </w:tr>
      <w:tr w:rsidR="00091339" w:rsidRPr="00573C1C" w:rsidTr="00091339">
        <w:tc>
          <w:tcPr>
            <w:tcW w:w="79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India/GRID</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1</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0.999</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1</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0.001</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0.007</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0.001</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0.012</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0.003</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0.017</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0.037</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0.015</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0.048</w:t>
            </w:r>
          </w:p>
        </w:tc>
      </w:tr>
      <w:tr w:rsidR="00091339" w:rsidRPr="00573C1C" w:rsidTr="00091339">
        <w:tc>
          <w:tcPr>
            <w:tcW w:w="79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India/POWR</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0.991</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0.986</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0.996</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0.012</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0.029</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0.004</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0.021</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0.002</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0.028</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0.046</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0.009</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0.051</w:t>
            </w:r>
          </w:p>
        </w:tc>
      </w:tr>
      <w:tr w:rsidR="00091339" w:rsidRPr="00573C1C" w:rsidTr="00091339">
        <w:tc>
          <w:tcPr>
            <w:tcW w:w="79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India/SNC</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0.991</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0.995</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0.012</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0.023</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0.005</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0.017</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0.028</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0.029</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0.033</w:t>
            </w:r>
          </w:p>
        </w:tc>
      </w:tr>
      <w:tr w:rsidR="00091339" w:rsidRPr="00573C1C" w:rsidTr="00091339">
        <w:tc>
          <w:tcPr>
            <w:tcW w:w="79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India/WPR</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0.989</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0.993</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0.988</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0.025</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0.016</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0.024</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0.007</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0.005</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0.006</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0.019</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0.019</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0.017</w:t>
            </w:r>
          </w:p>
        </w:tc>
      </w:tr>
      <w:tr w:rsidR="00091339" w:rsidRPr="00573C1C" w:rsidTr="00091339">
        <w:tc>
          <w:tcPr>
            <w:tcW w:w="79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Russia/GRID</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0.992</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1</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0.988</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0.024</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0.003</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0.024</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0.014</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0.004</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0.022</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0.051</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0.004</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0.063</w:t>
            </w:r>
          </w:p>
        </w:tc>
      </w:tr>
      <w:tr w:rsidR="00091339" w:rsidRPr="00573C1C" w:rsidTr="00091339">
        <w:tc>
          <w:tcPr>
            <w:tcW w:w="79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Russia/POWR</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0.977</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0.998</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0.966</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0.078</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0.002</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0.085</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0.038</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0.02</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0.046</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0.044</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0.014</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0.05</w:t>
            </w:r>
          </w:p>
        </w:tc>
      </w:tr>
      <w:tr w:rsidR="00091339" w:rsidRPr="00573C1C" w:rsidTr="00091339">
        <w:tc>
          <w:tcPr>
            <w:tcW w:w="79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Russia/SNC</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0.949</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0.995</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0.927</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0.19</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0.028</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0.203</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0.02</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0.007</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0.031</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0.015</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0.012</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0.021</w:t>
            </w:r>
          </w:p>
        </w:tc>
      </w:tr>
      <w:tr w:rsidR="00091339" w:rsidRPr="00573C1C" w:rsidTr="00091339">
        <w:tc>
          <w:tcPr>
            <w:tcW w:w="79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Russia/WPR</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0.981</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0.998</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0.974</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0.089</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0.006</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0.093</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0.021</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0.012</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0.025</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0.023</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0.017</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0.024</w:t>
            </w:r>
          </w:p>
        </w:tc>
      </w:tr>
      <w:tr w:rsidR="00091339" w:rsidRPr="00573C1C" w:rsidTr="00091339">
        <w:tc>
          <w:tcPr>
            <w:tcW w:w="79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South_Africa/GRID</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1</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1</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1</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0.018</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0.008</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0.024</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0.063</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0.014</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0.089</w:t>
            </w:r>
          </w:p>
        </w:tc>
      </w:tr>
      <w:tr w:rsidR="00091339" w:rsidRPr="00573C1C" w:rsidTr="00091339">
        <w:tc>
          <w:tcPr>
            <w:tcW w:w="79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South_Africa/POWR</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0.999</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0.995</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0.999</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0.001</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0.009</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0.036</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0.016</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0.041</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0.075</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0.014</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0.092</w:t>
            </w:r>
          </w:p>
        </w:tc>
      </w:tr>
      <w:tr w:rsidR="00091339" w:rsidRPr="00573C1C" w:rsidTr="00091339">
        <w:tc>
          <w:tcPr>
            <w:tcW w:w="79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South_Africa/SNC</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0.994</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0.992</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0.995</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0.007</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0.019</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0.005</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0.024</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0.005</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0.034</w:t>
            </w:r>
          </w:p>
        </w:tc>
        <w:tc>
          <w:tcPr>
            <w:tcW w:w="315"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0.037</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0.014</w:t>
            </w:r>
          </w:p>
        </w:tc>
        <w:tc>
          <w:tcPr>
            <w:tcW w:w="368" w:type="pct"/>
            <w:tcBorders>
              <w:bottom w:val="nil"/>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0.045</w:t>
            </w:r>
          </w:p>
        </w:tc>
      </w:tr>
      <w:tr w:rsidR="00091339" w:rsidRPr="00573C1C" w:rsidTr="00091339">
        <w:tc>
          <w:tcPr>
            <w:tcW w:w="795" w:type="pct"/>
            <w:tcBorders>
              <w:bottom w:val="single" w:sz="4" w:space="0" w:color="auto"/>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b/>
                <w:bCs/>
                <w:sz w:val="20"/>
                <w:szCs w:val="20"/>
              </w:rPr>
            </w:pPr>
            <w:r w:rsidRPr="00573C1C">
              <w:rPr>
                <w:rFonts w:asciiTheme="majorBidi" w:eastAsia="Times New Roman" w:hAnsiTheme="majorBidi" w:cstheme="majorBidi"/>
                <w:b/>
                <w:bCs/>
                <w:sz w:val="20"/>
                <w:szCs w:val="20"/>
              </w:rPr>
              <w:t>South_Africa/WPR</w:t>
            </w:r>
          </w:p>
        </w:tc>
        <w:tc>
          <w:tcPr>
            <w:tcW w:w="315" w:type="pct"/>
            <w:tcBorders>
              <w:bottom w:val="single" w:sz="4" w:space="0" w:color="auto"/>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0.993</w:t>
            </w:r>
          </w:p>
        </w:tc>
        <w:tc>
          <w:tcPr>
            <w:tcW w:w="368" w:type="pct"/>
            <w:tcBorders>
              <w:bottom w:val="single" w:sz="4" w:space="0" w:color="auto"/>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0.992</w:t>
            </w:r>
          </w:p>
        </w:tc>
        <w:tc>
          <w:tcPr>
            <w:tcW w:w="368" w:type="pct"/>
            <w:tcBorders>
              <w:bottom w:val="single" w:sz="4" w:space="0" w:color="auto"/>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0.994</w:t>
            </w:r>
          </w:p>
        </w:tc>
        <w:tc>
          <w:tcPr>
            <w:tcW w:w="315" w:type="pct"/>
            <w:tcBorders>
              <w:bottom w:val="single" w:sz="4" w:space="0" w:color="auto"/>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0.012</w:t>
            </w:r>
          </w:p>
        </w:tc>
        <w:tc>
          <w:tcPr>
            <w:tcW w:w="368" w:type="pct"/>
            <w:tcBorders>
              <w:bottom w:val="single" w:sz="4" w:space="0" w:color="auto"/>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0.015</w:t>
            </w:r>
          </w:p>
        </w:tc>
        <w:tc>
          <w:tcPr>
            <w:tcW w:w="368" w:type="pct"/>
            <w:tcBorders>
              <w:bottom w:val="single" w:sz="4" w:space="0" w:color="auto"/>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0.012</w:t>
            </w:r>
          </w:p>
        </w:tc>
        <w:tc>
          <w:tcPr>
            <w:tcW w:w="315" w:type="pct"/>
            <w:tcBorders>
              <w:bottom w:val="single" w:sz="4" w:space="0" w:color="auto"/>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0.012</w:t>
            </w:r>
          </w:p>
        </w:tc>
        <w:tc>
          <w:tcPr>
            <w:tcW w:w="368" w:type="pct"/>
            <w:tcBorders>
              <w:bottom w:val="single" w:sz="4" w:space="0" w:color="auto"/>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0.006</w:t>
            </w:r>
          </w:p>
        </w:tc>
        <w:tc>
          <w:tcPr>
            <w:tcW w:w="368" w:type="pct"/>
            <w:tcBorders>
              <w:bottom w:val="single" w:sz="4" w:space="0" w:color="auto"/>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0.013</w:t>
            </w:r>
          </w:p>
        </w:tc>
        <w:tc>
          <w:tcPr>
            <w:tcW w:w="315" w:type="pct"/>
            <w:tcBorders>
              <w:bottom w:val="single" w:sz="4" w:space="0" w:color="auto"/>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0.036</w:t>
            </w:r>
          </w:p>
        </w:tc>
        <w:tc>
          <w:tcPr>
            <w:tcW w:w="368" w:type="pct"/>
            <w:tcBorders>
              <w:bottom w:val="single" w:sz="4" w:space="0" w:color="auto"/>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0.013</w:t>
            </w:r>
          </w:p>
        </w:tc>
        <w:tc>
          <w:tcPr>
            <w:tcW w:w="368" w:type="pct"/>
            <w:tcBorders>
              <w:bottom w:val="single" w:sz="4" w:space="0" w:color="auto"/>
              <w:right w:val="nil"/>
            </w:tcBorders>
            <w:tcMar>
              <w:top w:w="75" w:type="dxa"/>
              <w:left w:w="75" w:type="dxa"/>
              <w:bottom w:w="75" w:type="dxa"/>
              <w:right w:w="75" w:type="dxa"/>
            </w:tcMar>
            <w:vAlign w:val="center"/>
            <w:hideMark/>
          </w:tcPr>
          <w:p w:rsidR="00573C1C" w:rsidRPr="00573C1C" w:rsidRDefault="00573C1C" w:rsidP="00573C1C">
            <w:pPr>
              <w:spacing w:after="0" w:line="240" w:lineRule="auto"/>
              <w:jc w:val="center"/>
              <w:rPr>
                <w:rFonts w:asciiTheme="majorBidi" w:eastAsia="Times New Roman" w:hAnsiTheme="majorBidi" w:cstheme="majorBidi"/>
                <w:sz w:val="20"/>
                <w:szCs w:val="20"/>
              </w:rPr>
            </w:pPr>
            <w:r w:rsidRPr="00573C1C">
              <w:rPr>
                <w:rFonts w:asciiTheme="majorBidi" w:eastAsia="Times New Roman" w:hAnsiTheme="majorBidi" w:cstheme="majorBidi"/>
                <w:sz w:val="20"/>
                <w:szCs w:val="20"/>
              </w:rPr>
              <w:t>0.038</w:t>
            </w:r>
          </w:p>
        </w:tc>
      </w:tr>
    </w:tbl>
    <w:p w:rsidR="00214969" w:rsidRDefault="00091339" w:rsidP="00214969">
      <w:pPr>
        <w:spacing w:after="0" w:line="480" w:lineRule="auto"/>
        <w:jc w:val="both"/>
        <w:rPr>
          <w:rFonts w:asciiTheme="majorBidi" w:eastAsiaTheme="minorEastAsia" w:hAnsiTheme="majorBidi" w:cstheme="majorBidi"/>
          <w:sz w:val="24"/>
          <w:szCs w:val="24"/>
        </w:rPr>
      </w:pPr>
      <w:r w:rsidRPr="00091339">
        <w:rPr>
          <w:rFonts w:asciiTheme="majorBidi" w:eastAsiaTheme="minorEastAsia" w:hAnsiTheme="majorBidi" w:cstheme="majorBidi"/>
          <w:sz w:val="24"/>
          <w:szCs w:val="24"/>
        </w:rPr>
        <w:t xml:space="preserve">The examination of bivariate optimal portfolio weights is essential for understanding the dynamic characteristics of asset allocation, especially during periods of increased uncertainty. During </w:t>
      </w:r>
      <w:r w:rsidRPr="00091339">
        <w:rPr>
          <w:rFonts w:asciiTheme="majorBidi" w:eastAsiaTheme="minorEastAsia" w:hAnsiTheme="majorBidi" w:cstheme="majorBidi"/>
          <w:sz w:val="24"/>
          <w:szCs w:val="24"/>
        </w:rPr>
        <w:lastRenderedPageBreak/>
        <w:t>occurrences such as the COVID-19 pandemic, the significance of energy tokens in portfolios often diminishes, indicating market volatility and changing risk perceptions. This highlights the need for BRICS investors to regularly recalibrate their portfolios, capitalizing on rising diversification prospects. Calculating the bivariate optimal portfolio weight enables investors to comprehend the correlation between assets such as NFTs and BRICS stock indices, evaluating their efficacy in mitigating market risks. The ongoing modification of portfolios, taking into account the changing risk-return characteristics of assets, enables superior risk management and improved portfolio performance in reaction to variable market circumstances.</w:t>
      </w:r>
    </w:p>
    <w:p w:rsidR="00091339" w:rsidRDefault="00214969" w:rsidP="00214969">
      <w:pPr>
        <w:spacing w:after="0" w:line="480" w:lineRule="auto"/>
        <w:jc w:val="both"/>
      </w:pPr>
      <w:r w:rsidRPr="00214969">
        <w:t xml:space="preserve"> </w:t>
      </w:r>
      <w:r>
        <w:rPr>
          <w:noProof/>
        </w:rPr>
        <w:drawing>
          <wp:inline distT="0" distB="0" distL="0" distR="0">
            <wp:extent cx="5943600" cy="3754634"/>
            <wp:effectExtent l="0" t="0" r="0" b="0"/>
            <wp:docPr id="7" name="Picture 7" descr="Fi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ig.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754634"/>
                    </a:xfrm>
                    <a:prstGeom prst="rect">
                      <a:avLst/>
                    </a:prstGeom>
                    <a:noFill/>
                    <a:ln>
                      <a:noFill/>
                    </a:ln>
                  </pic:spPr>
                </pic:pic>
              </a:graphicData>
            </a:graphic>
          </wp:inline>
        </w:drawing>
      </w:r>
    </w:p>
    <w:p w:rsidR="00214969" w:rsidRDefault="00214969" w:rsidP="00214969">
      <w:pPr>
        <w:spacing w:after="0" w:line="480" w:lineRule="auto"/>
        <w:jc w:val="both"/>
        <w:rPr>
          <w:rFonts w:asciiTheme="majorBidi" w:eastAsiaTheme="minorEastAsia" w:hAnsiTheme="majorBidi" w:cstheme="majorBidi"/>
          <w:sz w:val="20"/>
          <w:szCs w:val="20"/>
        </w:rPr>
      </w:pPr>
      <w:r>
        <w:rPr>
          <w:rFonts w:asciiTheme="majorBidi" w:eastAsiaTheme="minorEastAsia" w:hAnsiTheme="majorBidi" w:cstheme="majorBidi"/>
          <w:sz w:val="20"/>
          <w:szCs w:val="20"/>
        </w:rPr>
        <w:t xml:space="preserve">                                                           </w:t>
      </w:r>
      <w:r w:rsidRPr="00214969">
        <w:rPr>
          <w:rFonts w:asciiTheme="majorBidi" w:eastAsiaTheme="minorEastAsia" w:hAnsiTheme="majorBidi" w:cstheme="majorBidi"/>
          <w:sz w:val="20"/>
          <w:szCs w:val="20"/>
        </w:rPr>
        <w:t>Figure 5. The ideal ratio of weights to hedges.</w:t>
      </w:r>
    </w:p>
    <w:p w:rsidR="00214969" w:rsidRDefault="00214969" w:rsidP="00214969">
      <w:pPr>
        <w:spacing w:after="0" w:line="480" w:lineRule="auto"/>
        <w:jc w:val="both"/>
        <w:rPr>
          <w:rFonts w:asciiTheme="majorBidi" w:eastAsiaTheme="minorEastAsia" w:hAnsiTheme="majorBidi" w:cstheme="majorBidi"/>
          <w:sz w:val="24"/>
          <w:szCs w:val="24"/>
        </w:rPr>
      </w:pPr>
      <w:r w:rsidRPr="00214969">
        <w:rPr>
          <w:rFonts w:asciiTheme="majorBidi" w:eastAsiaTheme="minorEastAsia" w:hAnsiTheme="majorBidi" w:cstheme="majorBidi"/>
          <w:sz w:val="24"/>
          <w:szCs w:val="24"/>
        </w:rPr>
        <w:t xml:space="preserve">The study emphasizes the need to modify portfolio strategies in reaction to changing economic situations, especially for BRICS investors. Incorporating renewable energy tokens into diverse </w:t>
      </w:r>
      <w:r w:rsidRPr="00214969">
        <w:rPr>
          <w:rFonts w:asciiTheme="majorBidi" w:eastAsiaTheme="minorEastAsia" w:hAnsiTheme="majorBidi" w:cstheme="majorBidi"/>
          <w:sz w:val="24"/>
          <w:szCs w:val="24"/>
        </w:rPr>
        <w:lastRenderedPageBreak/>
        <w:t>portfolios enables investors to reduce risk and leverage the expanding clean energy sector. The research underscores the cost-efficiency of energy token hedging, providing a strategic instrument for portfolio managers to manage uncertainty while improving performance. This strategy corresponds with the growing emphasis on sustainability and investments in renewable energy.</w:t>
      </w:r>
    </w:p>
    <w:p w:rsidR="00214969" w:rsidRPr="00214969" w:rsidRDefault="00214969" w:rsidP="00214969">
      <w:pPr>
        <w:pStyle w:val="Heading2"/>
        <w:spacing w:line="480" w:lineRule="auto"/>
        <w:rPr>
          <w:rFonts w:asciiTheme="majorBidi" w:hAnsiTheme="majorBidi"/>
          <w:b/>
          <w:bCs/>
          <w:color w:val="1F1F1F"/>
          <w:sz w:val="28"/>
          <w:szCs w:val="28"/>
        </w:rPr>
      </w:pPr>
      <w:r w:rsidRPr="00214969">
        <w:rPr>
          <w:rFonts w:asciiTheme="majorBidi" w:hAnsiTheme="majorBidi"/>
          <w:b/>
          <w:bCs/>
          <w:color w:val="1F1F1F"/>
          <w:sz w:val="28"/>
          <w:szCs w:val="28"/>
        </w:rPr>
        <w:t>4. Conclusion</w:t>
      </w:r>
    </w:p>
    <w:p w:rsidR="00214969" w:rsidRPr="00214969" w:rsidRDefault="00F246EB" w:rsidP="00F246EB">
      <w:pPr>
        <w:spacing w:after="0" w:line="480" w:lineRule="auto"/>
        <w:jc w:val="both"/>
        <w:rPr>
          <w:rFonts w:asciiTheme="majorBidi" w:eastAsiaTheme="minorEastAsia" w:hAnsiTheme="majorBidi" w:cstheme="majorBidi"/>
          <w:sz w:val="24"/>
          <w:szCs w:val="24"/>
        </w:rPr>
      </w:pPr>
      <w:r w:rsidRPr="00F246EB">
        <w:rPr>
          <w:rFonts w:asciiTheme="majorBidi" w:eastAsiaTheme="minorEastAsia" w:hAnsiTheme="majorBidi" w:cstheme="majorBidi"/>
          <w:sz w:val="24"/>
          <w:szCs w:val="24"/>
        </w:rPr>
        <w:t xml:space="preserve">Our research on the correlation between renewable energy tokens and the BRICS stock markets provides significant insights into the intricate interplay between these separate yet interrelated markets, especially during periods of volatility like the COVID-19 epidemic. By employing the Time-Varying Parameter Vector Autoregressive (TVP-VAR) method, our research effectively captures the evolving nature of these markets' connectedness. The findings reveal both dynamic and static spillover effects between renewable energy tokens (POWR, SNC, GRID, WPR) and the BRICS stock markets (South Africa, Russia, India, China, and Brazil), shedding light on how investors can navigate market uncertainty. This analysis provides essential information for portfolio managers and policymakers to enhance risk management strategies and diversify investments. The study also emphasizes the growing sign. </w:t>
      </w:r>
      <w:r w:rsidR="00214969" w:rsidRPr="00214969">
        <w:rPr>
          <w:rFonts w:asciiTheme="majorBidi" w:eastAsiaTheme="minorEastAsia" w:hAnsiTheme="majorBidi" w:cstheme="majorBidi"/>
          <w:sz w:val="24"/>
          <w:szCs w:val="24"/>
        </w:rPr>
        <w:t xml:space="preserve">One of the major findings of your research is the significant amount of return spillover observed between the renewable energy token market and the BRICS stock markets, with a particularly strong interconnection during the COVID-19 pandemic. The pandemic period catalyzed unprecedented levels of return spillovers, with energy tokens receiving more spillovers than they sent. </w:t>
      </w:r>
      <w:r w:rsidRPr="00F246EB">
        <w:rPr>
          <w:rFonts w:asciiTheme="majorBidi" w:eastAsiaTheme="minorEastAsia" w:hAnsiTheme="majorBidi" w:cstheme="majorBidi"/>
          <w:sz w:val="24"/>
          <w:szCs w:val="24"/>
        </w:rPr>
        <w:t xml:space="preserve">Global events increasingly influence financial markets, affecting both traditional assets such as stocks and emerging digital assets like energy tokens. The BRICS stock markets serve as significant conduits for return spillovers, crucially impacting energy token returns, particularly in uncertain periods. This interrelation underscores the growing integration of digital assets within the wider financial ecosystem, </w:t>
      </w:r>
      <w:r w:rsidRPr="00F246EB">
        <w:rPr>
          <w:rFonts w:asciiTheme="majorBidi" w:eastAsiaTheme="minorEastAsia" w:hAnsiTheme="majorBidi" w:cstheme="majorBidi"/>
          <w:sz w:val="24"/>
          <w:szCs w:val="24"/>
        </w:rPr>
        <w:lastRenderedPageBreak/>
        <w:t xml:space="preserve">especially during volatile conditions. </w:t>
      </w:r>
      <w:r w:rsidR="00214969" w:rsidRPr="00214969">
        <w:rPr>
          <w:rFonts w:asciiTheme="majorBidi" w:eastAsiaTheme="minorEastAsia" w:hAnsiTheme="majorBidi" w:cstheme="majorBidi"/>
          <w:sz w:val="24"/>
          <w:szCs w:val="24"/>
        </w:rPr>
        <w:t>This finding suggests that BRICS markets are not only a critical component in the global financial system but also serve as potential indicators of the future direction of renewable energy tokens. Understanding this relationship can help investors make more informed decisions about their asset allocations, particularly when looking to hedge against risks associated with energy markets.</w:t>
      </w:r>
    </w:p>
    <w:p w:rsidR="00214969" w:rsidRPr="00214969" w:rsidRDefault="00214969" w:rsidP="00214969">
      <w:pPr>
        <w:spacing w:after="0" w:line="480" w:lineRule="auto"/>
        <w:jc w:val="both"/>
        <w:rPr>
          <w:rFonts w:asciiTheme="majorBidi" w:eastAsiaTheme="minorEastAsia" w:hAnsiTheme="majorBidi" w:cstheme="majorBidi"/>
          <w:sz w:val="24"/>
          <w:szCs w:val="24"/>
        </w:rPr>
      </w:pPr>
      <w:r w:rsidRPr="00214969">
        <w:rPr>
          <w:rFonts w:asciiTheme="majorBidi" w:eastAsiaTheme="minorEastAsia" w:hAnsiTheme="majorBidi" w:cstheme="majorBidi"/>
          <w:sz w:val="24"/>
          <w:szCs w:val="24"/>
        </w:rPr>
        <w:t>In addition to the spillover effects, our study delves into the dynamic connectedness between the two markets. While the overall daily connectivity between energy tokens and BRICS stock markets was relatively weak, substantial spikes in connectivity occurred during crisis periods, such as the outbreak of COVID-19. These spikes indicate that, while the connection between renewable energy tokens and BRICS stock markets is generally modest, it becomes significantly stronger during times of financial or economic turmoil. This finding highlights the importance of taking market instability into account when making investment decisions, as these tokens may not always serve as reliable hedging instruments under normal market conditions. However, during times of crisis, they may offer greater opportunities for diversification and risk management. Investors seeking to mitigate risk during periods of heightened uncertainty might consider adjusting their holdings of energy tokens in their portfolios, as the nature of market interconnections fluctuates with the evolving global financial landscape.</w:t>
      </w:r>
    </w:p>
    <w:p w:rsidR="00214969" w:rsidRPr="00214969" w:rsidRDefault="00214969" w:rsidP="00214969">
      <w:pPr>
        <w:spacing w:after="0" w:line="480" w:lineRule="auto"/>
        <w:jc w:val="both"/>
        <w:rPr>
          <w:rFonts w:asciiTheme="majorBidi" w:eastAsiaTheme="minorEastAsia" w:hAnsiTheme="majorBidi" w:cstheme="majorBidi"/>
          <w:sz w:val="24"/>
          <w:szCs w:val="24"/>
        </w:rPr>
      </w:pPr>
      <w:r w:rsidRPr="00214969">
        <w:rPr>
          <w:rFonts w:asciiTheme="majorBidi" w:eastAsiaTheme="minorEastAsia" w:hAnsiTheme="majorBidi" w:cstheme="majorBidi"/>
          <w:sz w:val="24"/>
          <w:szCs w:val="24"/>
        </w:rPr>
        <w:t xml:space="preserve">Another key aspect of your research is the examination of optimal portfolio weights and hedging ratios. Our analysis reveals that the ideal portfolio weight of renewable energy tokens fluctuates, with the recommendation being to reduce energy token holdings during periods of market instability, such as the COVID-19 crisis. This is consistent with the observed increase in hedging ratios during times of uncertainty, suggesting that investors should be prepared for higher costs associated with hedging in volatile market conditions. The study's emphasis on portfolio </w:t>
      </w:r>
      <w:r w:rsidRPr="00214969">
        <w:rPr>
          <w:rFonts w:asciiTheme="majorBidi" w:eastAsiaTheme="minorEastAsia" w:hAnsiTheme="majorBidi" w:cstheme="majorBidi"/>
          <w:sz w:val="24"/>
          <w:szCs w:val="24"/>
        </w:rPr>
        <w:lastRenderedPageBreak/>
        <w:t>optimization reflects the necessity for strategic adjustments to investment allocations based on prevailing market conditions, especially when uncertainty levels are high. The increased hedging ratios also imply that risk exposure is more pronounced during such periods, requiring more attention to mitigating potential losses. Investors can use these insights to build portfolios that are more resilient to market shocks and better equipped to navigate periods of heightened risk.</w:t>
      </w:r>
    </w:p>
    <w:p w:rsidR="007328EF" w:rsidRPr="007328EF" w:rsidRDefault="007328EF" w:rsidP="007328EF">
      <w:pPr>
        <w:spacing w:after="0" w:line="480" w:lineRule="auto"/>
        <w:jc w:val="both"/>
        <w:rPr>
          <w:rFonts w:asciiTheme="majorBidi" w:eastAsiaTheme="minorEastAsia" w:hAnsiTheme="majorBidi" w:cstheme="majorBidi"/>
          <w:sz w:val="24"/>
          <w:szCs w:val="24"/>
        </w:rPr>
      </w:pPr>
      <w:r w:rsidRPr="007328EF">
        <w:rPr>
          <w:rFonts w:asciiTheme="majorBidi" w:eastAsiaTheme="minorEastAsia" w:hAnsiTheme="majorBidi" w:cstheme="majorBidi"/>
          <w:sz w:val="24"/>
          <w:szCs w:val="24"/>
        </w:rPr>
        <w:t>The influence of BRICS stock markets on the performance of renewable energy tokens is becoming increasingly apparent, especially regarding return spillovers. Throughout the study period, BRICS stock markets acted as net emitters of return spillovers, influencing the performance of energy tokens, which were primarily net receivers. This dynamic highlights the growing economic influence of BRICS countries on emerging digital assets. As key players in the global economy, their financial markets significantly impact the behavior of renewable energy tokens, especially during periods of market turbulence. Investors and policymakers should therefore monitor economic trends within BRICS nations closely, as fluctuations in these markets can directly affect the performance of renewable energy tokens. The interconnectedness of traditional stock markets and digital assets underscores the importance of understanding these spillover effects in the context of sustainable finance.</w:t>
      </w:r>
    </w:p>
    <w:p w:rsidR="00214969" w:rsidRPr="00214969" w:rsidRDefault="00214969" w:rsidP="007328EF">
      <w:pPr>
        <w:spacing w:after="0" w:line="480" w:lineRule="auto"/>
        <w:jc w:val="both"/>
        <w:rPr>
          <w:rFonts w:asciiTheme="majorBidi" w:eastAsiaTheme="minorEastAsia" w:hAnsiTheme="majorBidi" w:cstheme="majorBidi"/>
          <w:sz w:val="24"/>
          <w:szCs w:val="24"/>
        </w:rPr>
      </w:pPr>
      <w:r w:rsidRPr="00214969">
        <w:rPr>
          <w:rFonts w:asciiTheme="majorBidi" w:eastAsiaTheme="minorEastAsia" w:hAnsiTheme="majorBidi" w:cstheme="majorBidi"/>
          <w:sz w:val="24"/>
          <w:szCs w:val="24"/>
        </w:rPr>
        <w:t>As such, BRICS stock markets should be viewed as critical predictors of the performance of energy tokens, offering investors a valuable tool for forecasting future market trends and potential returns.</w:t>
      </w:r>
    </w:p>
    <w:p w:rsidR="00214969" w:rsidRPr="00214969" w:rsidRDefault="00214969" w:rsidP="00214969">
      <w:pPr>
        <w:spacing w:after="0" w:line="480" w:lineRule="auto"/>
        <w:jc w:val="both"/>
        <w:rPr>
          <w:rFonts w:asciiTheme="majorBidi" w:eastAsiaTheme="minorEastAsia" w:hAnsiTheme="majorBidi" w:cstheme="majorBidi"/>
          <w:sz w:val="24"/>
          <w:szCs w:val="24"/>
        </w:rPr>
      </w:pPr>
      <w:r w:rsidRPr="00214969">
        <w:rPr>
          <w:rFonts w:asciiTheme="majorBidi" w:eastAsiaTheme="minorEastAsia" w:hAnsiTheme="majorBidi" w:cstheme="majorBidi"/>
          <w:sz w:val="24"/>
          <w:szCs w:val="24"/>
        </w:rPr>
        <w:t xml:space="preserve">In terms of practical implications, our research offers several recommendations for investors and policymakers. For investors, the study suggests that the renewable energy token market may offer diversification benefits in normal market conditions, as these tokens tend to have low correlations with BRICS stock markets. However, the diversification benefits diminish during periods of heightened uncertainty, as seen during the COVID-19 crisis. Therefore, investors should be </w:t>
      </w:r>
      <w:r w:rsidRPr="00214969">
        <w:rPr>
          <w:rFonts w:asciiTheme="majorBidi" w:eastAsiaTheme="minorEastAsia" w:hAnsiTheme="majorBidi" w:cstheme="majorBidi"/>
          <w:sz w:val="24"/>
          <w:szCs w:val="24"/>
        </w:rPr>
        <w:lastRenderedPageBreak/>
        <w:t>proactive in adjusting their asset allocation strategies to account for market conditions and fluctuations in risk. The study also recommends that investors consider hedging their portfolios more aggressively during uncertain times, given the higher hedging ratios observed during the pandemic period. For policymakers, the findings highlight the need for thoughtful regulation of both traditional stock markets and digital asset markets to ensure stability and mitigate the risks associated with market volatility. Policymakers should also consider strategies for enhancing the resilience of these markets to external shocks and support the integration of renewable energy tokens within the broader financial system.</w:t>
      </w:r>
    </w:p>
    <w:p w:rsidR="00214969" w:rsidRDefault="00214969" w:rsidP="00214969">
      <w:pPr>
        <w:spacing w:after="0" w:line="480" w:lineRule="auto"/>
        <w:jc w:val="both"/>
        <w:rPr>
          <w:rFonts w:asciiTheme="majorBidi" w:eastAsiaTheme="minorEastAsia" w:hAnsiTheme="majorBidi" w:cstheme="majorBidi"/>
          <w:sz w:val="24"/>
          <w:szCs w:val="24"/>
        </w:rPr>
      </w:pPr>
      <w:r w:rsidRPr="00214969">
        <w:rPr>
          <w:rFonts w:asciiTheme="majorBidi" w:eastAsiaTheme="minorEastAsia" w:hAnsiTheme="majorBidi" w:cstheme="majorBidi"/>
          <w:sz w:val="24"/>
          <w:szCs w:val="24"/>
        </w:rPr>
        <w:t>While our study focuses on the BRICS countries, its findings have broader implications for global investment strategies. The relationship between renewable energy tokens and traditional stock markets, particularly in emerging economies like the BRICS nations, is likely to be of interest to a wide range of investors and policymakers around the world. As the digital asset landscape continues to evolve, further research could expand the analysis to include other regions and explore how different economic conditions influence the performance and connectivity of energy tokens. This would offer a more comprehensive understanding of the global market dynamics and provide valuable insights into the future trajectory of renewable energy tokens and their role in investment portfolios. In conclusion, our research offers important empirical insights into the changing dynamics between renewable energy tokens and BRICS stock markets, providing a basis for more informed investment decisions and policy recommendations in the context of an increasingly complex and interconnected global financial system.</w:t>
      </w:r>
    </w:p>
    <w:p w:rsidR="003114E3" w:rsidRDefault="003114E3" w:rsidP="00214969">
      <w:pPr>
        <w:spacing w:after="0" w:line="480" w:lineRule="auto"/>
        <w:jc w:val="both"/>
        <w:rPr>
          <w:rFonts w:asciiTheme="majorBidi" w:eastAsiaTheme="minorEastAsia" w:hAnsiTheme="majorBidi" w:cstheme="majorBidi"/>
          <w:b/>
          <w:bCs/>
          <w:sz w:val="28"/>
          <w:szCs w:val="28"/>
        </w:rPr>
      </w:pPr>
      <w:r w:rsidRPr="003114E3">
        <w:rPr>
          <w:rFonts w:asciiTheme="majorBidi" w:eastAsiaTheme="minorEastAsia" w:hAnsiTheme="majorBidi" w:cstheme="majorBidi"/>
          <w:b/>
          <w:bCs/>
          <w:sz w:val="28"/>
          <w:szCs w:val="28"/>
        </w:rPr>
        <w:t>References:</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heme="majorBidi" w:eastAsiaTheme="minorEastAsia" w:hAnsiTheme="majorBidi" w:cstheme="majorBidi"/>
          <w:b/>
          <w:bCs/>
          <w:sz w:val="24"/>
          <w:szCs w:val="24"/>
        </w:rPr>
        <w:fldChar w:fldCharType="begin" w:fldLock="1"/>
      </w:r>
      <w:r w:rsidRPr="003114E3">
        <w:rPr>
          <w:rFonts w:asciiTheme="majorBidi" w:eastAsiaTheme="minorEastAsia" w:hAnsiTheme="majorBidi" w:cstheme="majorBidi"/>
          <w:b/>
          <w:bCs/>
          <w:sz w:val="24"/>
          <w:szCs w:val="24"/>
        </w:rPr>
        <w:instrText xml:space="preserve">ADDIN Mendeley Bibliography CSL_BIBLIOGRAPHY </w:instrText>
      </w:r>
      <w:r w:rsidRPr="003114E3">
        <w:rPr>
          <w:rFonts w:asciiTheme="majorBidi" w:eastAsiaTheme="minorEastAsia" w:hAnsiTheme="majorBidi" w:cstheme="majorBidi"/>
          <w:b/>
          <w:bCs/>
          <w:sz w:val="24"/>
          <w:szCs w:val="24"/>
        </w:rPr>
        <w:fldChar w:fldCharType="separate"/>
      </w:r>
      <w:r w:rsidRPr="003114E3">
        <w:rPr>
          <w:rFonts w:ascii="Times New Roman" w:hAnsi="Times New Roman" w:cs="Times New Roman"/>
          <w:noProof/>
          <w:sz w:val="24"/>
          <w:szCs w:val="24"/>
        </w:rPr>
        <w:t xml:space="preserve">Ahmad, J., Imran, M., Khalid, A., Iqbal, W., Ashraf, S. R., Adnan, M., Ali, S. F., &amp; Khokhar, K. S. (2018). Techno economic analysis of a wind-photovoltaic-biomass hybrid renewable energy system for rural electrification: A case study of Kallar Kahar. </w:t>
      </w:r>
      <w:r w:rsidRPr="003114E3">
        <w:rPr>
          <w:rFonts w:ascii="Times New Roman" w:hAnsi="Times New Roman" w:cs="Times New Roman"/>
          <w:i/>
          <w:iCs/>
          <w:noProof/>
          <w:sz w:val="24"/>
          <w:szCs w:val="24"/>
        </w:rPr>
        <w:t>Energy</w:t>
      </w:r>
      <w:r w:rsidRPr="003114E3">
        <w:rPr>
          <w:rFonts w:ascii="Times New Roman" w:hAnsi="Times New Roman" w:cs="Times New Roman"/>
          <w:noProof/>
          <w:sz w:val="24"/>
          <w:szCs w:val="24"/>
        </w:rPr>
        <w:t xml:space="preserve">. </w:t>
      </w:r>
      <w:r w:rsidRPr="003114E3">
        <w:rPr>
          <w:rFonts w:ascii="Times New Roman" w:hAnsi="Times New Roman" w:cs="Times New Roman"/>
          <w:noProof/>
          <w:sz w:val="24"/>
          <w:szCs w:val="24"/>
        </w:rPr>
        <w:lastRenderedPageBreak/>
        <w:t>https://doi.org/10.1016/j.energy.2018.01.133</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Alkathery, M. A., Chaudhuri, K., &amp; Nasir, M. A. (2022). Implications of clean energy, oil and emissions pricing for the GCC energy sector stock. </w:t>
      </w:r>
      <w:r w:rsidRPr="003114E3">
        <w:rPr>
          <w:rFonts w:ascii="Times New Roman" w:hAnsi="Times New Roman" w:cs="Times New Roman"/>
          <w:i/>
          <w:iCs/>
          <w:noProof/>
          <w:sz w:val="24"/>
          <w:szCs w:val="24"/>
        </w:rPr>
        <w:t>Energy Economics</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112</w:t>
      </w:r>
      <w:r w:rsidRPr="003114E3">
        <w:rPr>
          <w:rFonts w:ascii="Times New Roman" w:hAnsi="Times New Roman" w:cs="Times New Roman"/>
          <w:noProof/>
          <w:sz w:val="24"/>
          <w:szCs w:val="24"/>
        </w:rPr>
        <w:t>, 106119.</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Alshehry, A. S., &amp; Belloumi, M. (2015). Energy consumption, carbon dioxide emissions and economic growth: The case of Saudi Arabia. </w:t>
      </w:r>
      <w:r w:rsidRPr="003114E3">
        <w:rPr>
          <w:rFonts w:ascii="Times New Roman" w:hAnsi="Times New Roman" w:cs="Times New Roman"/>
          <w:i/>
          <w:iCs/>
          <w:noProof/>
          <w:sz w:val="24"/>
          <w:szCs w:val="24"/>
        </w:rPr>
        <w:t>Renewable and Sustainable Energy Reviews</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41</w:t>
      </w:r>
      <w:r w:rsidRPr="003114E3">
        <w:rPr>
          <w:rFonts w:ascii="Times New Roman" w:hAnsi="Times New Roman" w:cs="Times New Roman"/>
          <w:noProof/>
          <w:sz w:val="24"/>
          <w:szCs w:val="24"/>
        </w:rPr>
        <w:t>, 237–247. https://doi.org/10.1016/j.rser.2014.08.004</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Amigo-Jorquera, C., Guerrero-González, M. J., Sannazzaro, J., &amp; Urquiza-Gómez, A. (2019). Does energy poverty have a female face in Chile? </w:t>
      </w:r>
      <w:r w:rsidRPr="003114E3">
        <w:rPr>
          <w:rFonts w:ascii="Times New Roman" w:hAnsi="Times New Roman" w:cs="Times New Roman"/>
          <w:i/>
          <w:iCs/>
          <w:noProof/>
          <w:sz w:val="24"/>
          <w:szCs w:val="24"/>
        </w:rPr>
        <w:t>Tapuya: Latin American Science, Technology and Society</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2</w:t>
      </w:r>
      <w:r w:rsidRPr="003114E3">
        <w:rPr>
          <w:rFonts w:ascii="Times New Roman" w:hAnsi="Times New Roman" w:cs="Times New Roman"/>
          <w:noProof/>
          <w:sz w:val="24"/>
          <w:szCs w:val="24"/>
        </w:rPr>
        <w:t>(1), 378–390. https://doi.org/10.1080/25729861.2019.1608038</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Anton, S. G., &amp; Afloarei Nucu, A. E. (2020). The effect of financial development on renewable energy consumption. A panel data approach. </w:t>
      </w:r>
      <w:r w:rsidRPr="003114E3">
        <w:rPr>
          <w:rFonts w:ascii="Times New Roman" w:hAnsi="Times New Roman" w:cs="Times New Roman"/>
          <w:i/>
          <w:iCs/>
          <w:noProof/>
          <w:sz w:val="24"/>
          <w:szCs w:val="24"/>
        </w:rPr>
        <w:t>Renewable Energy</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147</w:t>
      </w:r>
      <w:r w:rsidRPr="003114E3">
        <w:rPr>
          <w:rFonts w:ascii="Times New Roman" w:hAnsi="Times New Roman" w:cs="Times New Roman"/>
          <w:noProof/>
          <w:sz w:val="24"/>
          <w:szCs w:val="24"/>
        </w:rPr>
        <w:t>, 330–338. https://doi.org/10.1016/j.renene.2019.09.005</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Ashfaq, S., Liangrong, S., Waqas, F., Gulzar, S., Mujtaba, G., &amp; Nasir, R. M. (2024). Renewable energy and green economic growth nexus: Insights from simulated dynamic ARDL. </w:t>
      </w:r>
      <w:r w:rsidRPr="003114E3">
        <w:rPr>
          <w:rFonts w:ascii="Times New Roman" w:hAnsi="Times New Roman" w:cs="Times New Roman"/>
          <w:i/>
          <w:iCs/>
          <w:noProof/>
          <w:sz w:val="24"/>
          <w:szCs w:val="24"/>
        </w:rPr>
        <w:t>Gondwana Research</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127</w:t>
      </w:r>
      <w:r w:rsidRPr="003114E3">
        <w:rPr>
          <w:rFonts w:ascii="Times New Roman" w:hAnsi="Times New Roman" w:cs="Times New Roman"/>
          <w:noProof/>
          <w:sz w:val="24"/>
          <w:szCs w:val="24"/>
        </w:rPr>
        <w:t>, 288–300. https://doi.org/https://doi.org/10.1016/j.gr.2023.08.014</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Backlund, S., &amp; Thollander, P. (2015). Impact after three years of the Swedish energy audit program. </w:t>
      </w:r>
      <w:r w:rsidRPr="003114E3">
        <w:rPr>
          <w:rFonts w:ascii="Times New Roman" w:hAnsi="Times New Roman" w:cs="Times New Roman"/>
          <w:i/>
          <w:iCs/>
          <w:noProof/>
          <w:sz w:val="24"/>
          <w:szCs w:val="24"/>
        </w:rPr>
        <w:t>Energy</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82</w:t>
      </w:r>
      <w:r w:rsidRPr="003114E3">
        <w:rPr>
          <w:rFonts w:ascii="Times New Roman" w:hAnsi="Times New Roman" w:cs="Times New Roman"/>
          <w:noProof/>
          <w:sz w:val="24"/>
          <w:szCs w:val="24"/>
        </w:rPr>
        <w:t>, 54–60.</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Bagheri, M., Shirzadi, N., Bazdar, E., &amp; Kennedy, C. A. (2018). Optimal planning of hybrid renewable energy infrastructure for urban sustainability: Green Vancouver. </w:t>
      </w:r>
      <w:r w:rsidRPr="003114E3">
        <w:rPr>
          <w:rFonts w:ascii="Times New Roman" w:hAnsi="Times New Roman" w:cs="Times New Roman"/>
          <w:i/>
          <w:iCs/>
          <w:noProof/>
          <w:sz w:val="24"/>
          <w:szCs w:val="24"/>
        </w:rPr>
        <w:t>Renewable and Sustainable Energy Reviews</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95</w:t>
      </w:r>
      <w:r w:rsidRPr="003114E3">
        <w:rPr>
          <w:rFonts w:ascii="Times New Roman" w:hAnsi="Times New Roman" w:cs="Times New Roman"/>
          <w:noProof/>
          <w:sz w:val="24"/>
          <w:szCs w:val="24"/>
        </w:rPr>
        <w:t>, 254–264.</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Bartela, Ł., Ochmann, J., Waniczek, S., Lutyński, M., Smolnik, G., &amp; Rulik, S. (2022). Evaluation of the energy potential of an adiabatic compressed air energy storage system based on a novel thermal energy storage system in a post mining shaft. </w:t>
      </w:r>
      <w:r w:rsidRPr="003114E3">
        <w:rPr>
          <w:rFonts w:ascii="Times New Roman" w:hAnsi="Times New Roman" w:cs="Times New Roman"/>
          <w:i/>
          <w:iCs/>
          <w:noProof/>
          <w:sz w:val="24"/>
          <w:szCs w:val="24"/>
        </w:rPr>
        <w:t>Journal of Energy Storage</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54</w:t>
      </w:r>
      <w:r w:rsidRPr="003114E3">
        <w:rPr>
          <w:rFonts w:ascii="Times New Roman" w:hAnsi="Times New Roman" w:cs="Times New Roman"/>
          <w:noProof/>
          <w:sz w:val="24"/>
          <w:szCs w:val="24"/>
        </w:rPr>
        <w:t>. https://doi.org/10.1016/j.est.2022.105282</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Berner, A., Bruns, S., Moneta, A., &amp; Stern, D. I. (2022). Do energy efficiency improvements reduce energy use? Empirical evidence on the economy-wide rebound effect in Europe and the United States. </w:t>
      </w:r>
      <w:r w:rsidRPr="003114E3">
        <w:rPr>
          <w:rFonts w:ascii="Times New Roman" w:hAnsi="Times New Roman" w:cs="Times New Roman"/>
          <w:i/>
          <w:iCs/>
          <w:noProof/>
          <w:sz w:val="24"/>
          <w:szCs w:val="24"/>
        </w:rPr>
        <w:t>Energy Economics</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110</w:t>
      </w:r>
      <w:r w:rsidRPr="003114E3">
        <w:rPr>
          <w:rFonts w:ascii="Times New Roman" w:hAnsi="Times New Roman" w:cs="Times New Roman"/>
          <w:noProof/>
          <w:sz w:val="24"/>
          <w:szCs w:val="24"/>
        </w:rPr>
        <w:t>, 105939.</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Bilan, Y., Streimikiene, D., Vasylieva, T., Lyulyov, O., Pimonenko, T., &amp; Pavlyk, A. (2019). Linking between renewable energy, CO2 emissions, and economic growth: Challenges for candidates and potential candidates for the EU membership. </w:t>
      </w:r>
      <w:r w:rsidRPr="003114E3">
        <w:rPr>
          <w:rFonts w:ascii="Times New Roman" w:hAnsi="Times New Roman" w:cs="Times New Roman"/>
          <w:i/>
          <w:iCs/>
          <w:noProof/>
          <w:sz w:val="24"/>
          <w:szCs w:val="24"/>
        </w:rPr>
        <w:t>Sustainability</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11</w:t>
      </w:r>
      <w:r w:rsidRPr="003114E3">
        <w:rPr>
          <w:rFonts w:ascii="Times New Roman" w:hAnsi="Times New Roman" w:cs="Times New Roman"/>
          <w:noProof/>
          <w:sz w:val="24"/>
          <w:szCs w:val="24"/>
        </w:rPr>
        <w:t>(6), 1528.</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lastRenderedPageBreak/>
        <w:t xml:space="preserve">Cai, W., Mohammaditab, R., Fathi, G., Wakil, K., Ebadi, A. G., &amp; Ghadimi, N. (2019). Optimal bidding and offering strategies of compressed air energy storage: A hybrid robust-stochastic approach. </w:t>
      </w:r>
      <w:r w:rsidRPr="003114E3">
        <w:rPr>
          <w:rFonts w:ascii="Times New Roman" w:hAnsi="Times New Roman" w:cs="Times New Roman"/>
          <w:i/>
          <w:iCs/>
          <w:noProof/>
          <w:sz w:val="24"/>
          <w:szCs w:val="24"/>
        </w:rPr>
        <w:t>Renewable Energy</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143</w:t>
      </w:r>
      <w:r w:rsidRPr="003114E3">
        <w:rPr>
          <w:rFonts w:ascii="Times New Roman" w:hAnsi="Times New Roman" w:cs="Times New Roman"/>
          <w:noProof/>
          <w:sz w:val="24"/>
          <w:szCs w:val="24"/>
        </w:rPr>
        <w:t>, 1–8.</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Chipangamate, N. S., &amp; Nwaila, G. T. (2024). Assessment of challenges and strategies for driving energy transitions in emerging markets: A socio-technological systems perspective. </w:t>
      </w:r>
      <w:r w:rsidRPr="003114E3">
        <w:rPr>
          <w:rFonts w:ascii="Times New Roman" w:hAnsi="Times New Roman" w:cs="Times New Roman"/>
          <w:i/>
          <w:iCs/>
          <w:noProof/>
          <w:sz w:val="24"/>
          <w:szCs w:val="24"/>
        </w:rPr>
        <w:t>Energy Geoscience</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5</w:t>
      </w:r>
      <w:r w:rsidRPr="003114E3">
        <w:rPr>
          <w:rFonts w:ascii="Times New Roman" w:hAnsi="Times New Roman" w:cs="Times New Roman"/>
          <w:noProof/>
          <w:sz w:val="24"/>
          <w:szCs w:val="24"/>
        </w:rPr>
        <w:t>(2), 100257. https://doi.org/https://doi.org/10.1016/j.engeos.2023.100257</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Danish, Zhang, B., Wang, B., &amp; Wang, Z. (2017). Role of renewable energy and non-renewable energy consumption on EKC: Evidence from Pakistan. </w:t>
      </w:r>
      <w:r w:rsidRPr="003114E3">
        <w:rPr>
          <w:rFonts w:ascii="Times New Roman" w:hAnsi="Times New Roman" w:cs="Times New Roman"/>
          <w:i/>
          <w:iCs/>
          <w:noProof/>
          <w:sz w:val="24"/>
          <w:szCs w:val="24"/>
        </w:rPr>
        <w:t>Journal of Cleaner Production</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156</w:t>
      </w:r>
      <w:r w:rsidRPr="003114E3">
        <w:rPr>
          <w:rFonts w:ascii="Times New Roman" w:hAnsi="Times New Roman" w:cs="Times New Roman"/>
          <w:noProof/>
          <w:sz w:val="24"/>
          <w:szCs w:val="24"/>
        </w:rPr>
        <w:t>, 855–864. https://doi.org/10.1016/j.jclepro.2017.03.203</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Grant, D., Jorgenson, A. K., &amp; Longhofer, W. (2016). How organizational and global factors condition the effects of energy efficiency on CO2 emission rebounds among the world’s power plants. </w:t>
      </w:r>
      <w:r w:rsidRPr="003114E3">
        <w:rPr>
          <w:rFonts w:ascii="Times New Roman" w:hAnsi="Times New Roman" w:cs="Times New Roman"/>
          <w:i/>
          <w:iCs/>
          <w:noProof/>
          <w:sz w:val="24"/>
          <w:szCs w:val="24"/>
        </w:rPr>
        <w:t>Energy Policy</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94</w:t>
      </w:r>
      <w:r w:rsidRPr="003114E3">
        <w:rPr>
          <w:rFonts w:ascii="Times New Roman" w:hAnsi="Times New Roman" w:cs="Times New Roman"/>
          <w:noProof/>
          <w:sz w:val="24"/>
          <w:szCs w:val="24"/>
        </w:rPr>
        <w:t>, 89–93.</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Hu, K., Raghutla, C., Chittedi, K. R., Zhang, R., &amp; Koondhar, M. A. (2021). The effect of energy resources on economic growth and carbon emissions: A way forward to carbon neutrality in an emerging economy. </w:t>
      </w:r>
      <w:r w:rsidRPr="003114E3">
        <w:rPr>
          <w:rFonts w:ascii="Times New Roman" w:hAnsi="Times New Roman" w:cs="Times New Roman"/>
          <w:i/>
          <w:iCs/>
          <w:noProof/>
          <w:sz w:val="24"/>
          <w:szCs w:val="24"/>
        </w:rPr>
        <w:t>Journal of Environmental Management</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298</w:t>
      </w:r>
      <w:r w:rsidRPr="003114E3">
        <w:rPr>
          <w:rFonts w:ascii="Times New Roman" w:hAnsi="Times New Roman" w:cs="Times New Roman"/>
          <w:noProof/>
          <w:sz w:val="24"/>
          <w:szCs w:val="24"/>
        </w:rPr>
        <w:t>. https://doi.org/10.1016/J.JENVMAN.2021.113448</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Kamran, M., &amp; Turzyński, M. (2024). Exploring hydrogen energy systems: A comprehensive review of technologies, applications, prevailing trends, and associated challenges. </w:t>
      </w:r>
      <w:r w:rsidRPr="003114E3">
        <w:rPr>
          <w:rFonts w:ascii="Times New Roman" w:hAnsi="Times New Roman" w:cs="Times New Roman"/>
          <w:i/>
          <w:iCs/>
          <w:noProof/>
          <w:sz w:val="24"/>
          <w:szCs w:val="24"/>
        </w:rPr>
        <w:t>Journal of Energy Storage</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96</w:t>
      </w:r>
      <w:r w:rsidRPr="003114E3">
        <w:rPr>
          <w:rFonts w:ascii="Times New Roman" w:hAnsi="Times New Roman" w:cs="Times New Roman"/>
          <w:noProof/>
          <w:sz w:val="24"/>
          <w:szCs w:val="24"/>
        </w:rPr>
        <w:t>, 112601.</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Khurana, S., Banerjee, R., &amp; Gaitonde, U. (2002). Energy balance and cogeneration for a cement plant. </w:t>
      </w:r>
      <w:r w:rsidRPr="003114E3">
        <w:rPr>
          <w:rFonts w:ascii="Times New Roman" w:hAnsi="Times New Roman" w:cs="Times New Roman"/>
          <w:i/>
          <w:iCs/>
          <w:noProof/>
          <w:sz w:val="24"/>
          <w:szCs w:val="24"/>
        </w:rPr>
        <w:t>Applied Thermal Engineering</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22</w:t>
      </w:r>
      <w:r w:rsidRPr="003114E3">
        <w:rPr>
          <w:rFonts w:ascii="Times New Roman" w:hAnsi="Times New Roman" w:cs="Times New Roman"/>
          <w:noProof/>
          <w:sz w:val="24"/>
          <w:szCs w:val="24"/>
        </w:rPr>
        <w:t>(5), 485–494.</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Kim, K., Park, H., &amp; Kim, H. (2017). Real options analysis for renewable energy investment decisions in developing countries. </w:t>
      </w:r>
      <w:r w:rsidRPr="003114E3">
        <w:rPr>
          <w:rFonts w:ascii="Times New Roman" w:hAnsi="Times New Roman" w:cs="Times New Roman"/>
          <w:i/>
          <w:iCs/>
          <w:noProof/>
          <w:sz w:val="24"/>
          <w:szCs w:val="24"/>
        </w:rPr>
        <w:t>Renewable and Sustainable Energy Reviews</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75</w:t>
      </w:r>
      <w:r w:rsidRPr="003114E3">
        <w:rPr>
          <w:rFonts w:ascii="Times New Roman" w:hAnsi="Times New Roman" w:cs="Times New Roman"/>
          <w:noProof/>
          <w:sz w:val="24"/>
          <w:szCs w:val="24"/>
        </w:rPr>
        <w:t>, 918–926. https://doi.org/10.1016/J.RSER.2016.11.073</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Kruyt, B., van Vuuren, D. P., de Vries, H. J. M., &amp; Groenenberg, H. (2009). Indicators for energy security. </w:t>
      </w:r>
      <w:r w:rsidRPr="003114E3">
        <w:rPr>
          <w:rFonts w:ascii="Times New Roman" w:hAnsi="Times New Roman" w:cs="Times New Roman"/>
          <w:i/>
          <w:iCs/>
          <w:noProof/>
          <w:sz w:val="24"/>
          <w:szCs w:val="24"/>
        </w:rPr>
        <w:t>Energy Policy</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37</w:t>
      </w:r>
      <w:r w:rsidRPr="003114E3">
        <w:rPr>
          <w:rFonts w:ascii="Times New Roman" w:hAnsi="Times New Roman" w:cs="Times New Roman"/>
          <w:noProof/>
          <w:sz w:val="24"/>
          <w:szCs w:val="24"/>
        </w:rPr>
        <w:t>(6), 2166–2181. https://doi.org/10.1016/j.enpol.2009.02.006</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Kumar, R., &amp; Agarwala, A. (2013). Energy certificates REC and PAT sustenance to energy model for India. In </w:t>
      </w:r>
      <w:r w:rsidRPr="003114E3">
        <w:rPr>
          <w:rFonts w:ascii="Times New Roman" w:hAnsi="Times New Roman" w:cs="Times New Roman"/>
          <w:i/>
          <w:iCs/>
          <w:noProof/>
          <w:sz w:val="24"/>
          <w:szCs w:val="24"/>
        </w:rPr>
        <w:t>Renewable and Sustainable Energy Reviews</w:t>
      </w:r>
      <w:r w:rsidRPr="003114E3">
        <w:rPr>
          <w:rFonts w:ascii="Times New Roman" w:hAnsi="Times New Roman" w:cs="Times New Roman"/>
          <w:noProof/>
          <w:sz w:val="24"/>
          <w:szCs w:val="24"/>
        </w:rPr>
        <w:t>. https://doi.org/10.1016/j.rser.2013.01.003</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lastRenderedPageBreak/>
        <w:t xml:space="preserve">Li, L., Cao, X., &amp; Wang, P. (2021). Optimal coordination strategy for multiple distributed energy systems considering supply, demand, and price uncertainties. </w:t>
      </w:r>
      <w:r w:rsidRPr="003114E3">
        <w:rPr>
          <w:rFonts w:ascii="Times New Roman" w:hAnsi="Times New Roman" w:cs="Times New Roman"/>
          <w:i/>
          <w:iCs/>
          <w:noProof/>
          <w:sz w:val="24"/>
          <w:szCs w:val="24"/>
        </w:rPr>
        <w:t>Energy</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227</w:t>
      </w:r>
      <w:r w:rsidRPr="003114E3">
        <w:rPr>
          <w:rFonts w:ascii="Times New Roman" w:hAnsi="Times New Roman" w:cs="Times New Roman"/>
          <w:noProof/>
          <w:sz w:val="24"/>
          <w:szCs w:val="24"/>
        </w:rPr>
        <w:t>. https://doi.org/10.1016/j.energy.2021.120460</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Liu, H., Wang, Y., Jiang, J., &amp; Wu, P. (2020). How green is the “Belt and Road Initiative”? – Evidence from Chinese OFDI in the energy sector. </w:t>
      </w:r>
      <w:r w:rsidRPr="003114E3">
        <w:rPr>
          <w:rFonts w:ascii="Times New Roman" w:hAnsi="Times New Roman" w:cs="Times New Roman"/>
          <w:i/>
          <w:iCs/>
          <w:noProof/>
          <w:sz w:val="24"/>
          <w:szCs w:val="24"/>
        </w:rPr>
        <w:t>Energy Policy</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145</w:t>
      </w:r>
      <w:r w:rsidRPr="003114E3">
        <w:rPr>
          <w:rFonts w:ascii="Times New Roman" w:hAnsi="Times New Roman" w:cs="Times New Roman"/>
          <w:noProof/>
          <w:sz w:val="24"/>
          <w:szCs w:val="24"/>
        </w:rPr>
        <w:t>. https://doi.org/10.1016/J.ENPOL.2020.111709</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Liu, J., Li, X., &amp; Zhong, S. (2022). Does innovation efficiency promote energy consumption intensity? New evidence from China. </w:t>
      </w:r>
      <w:r w:rsidRPr="003114E3">
        <w:rPr>
          <w:rFonts w:ascii="Times New Roman" w:hAnsi="Times New Roman" w:cs="Times New Roman"/>
          <w:i/>
          <w:iCs/>
          <w:noProof/>
          <w:sz w:val="24"/>
          <w:szCs w:val="24"/>
        </w:rPr>
        <w:t>Energy Reports</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8</w:t>
      </w:r>
      <w:r w:rsidRPr="003114E3">
        <w:rPr>
          <w:rFonts w:ascii="Times New Roman" w:hAnsi="Times New Roman" w:cs="Times New Roman"/>
          <w:noProof/>
          <w:sz w:val="24"/>
          <w:szCs w:val="24"/>
        </w:rPr>
        <w:t>, 426–436. https://doi.org/10.1016/j.egyr.2022.05.096</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López-Menéndez, A. J., Pérez, R., &amp; Moreno, B. (2014). Environmental costs and renewable energy: Re-visiting the Environmental Kuznets Curve. </w:t>
      </w:r>
      <w:r w:rsidRPr="003114E3">
        <w:rPr>
          <w:rFonts w:ascii="Times New Roman" w:hAnsi="Times New Roman" w:cs="Times New Roman"/>
          <w:i/>
          <w:iCs/>
          <w:noProof/>
          <w:sz w:val="24"/>
          <w:szCs w:val="24"/>
        </w:rPr>
        <w:t>Journal of Environmental Management</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145</w:t>
      </w:r>
      <w:r w:rsidRPr="003114E3">
        <w:rPr>
          <w:rFonts w:ascii="Times New Roman" w:hAnsi="Times New Roman" w:cs="Times New Roman"/>
          <w:noProof/>
          <w:sz w:val="24"/>
          <w:szCs w:val="24"/>
        </w:rPr>
        <w:t>, 368–373. https://doi.org/10.1016/J.JENVMAN.2014.07.017</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Nakhli, M. S., Shahbaz, M., Ben Jebli, M., &amp; Wang, S. (2022). Nexus between economic policy uncertainty, renewable &amp; non-renewable energy and carbon emissions: Contextual evidence in carbon neutrality dream of USA. </w:t>
      </w:r>
      <w:r w:rsidRPr="003114E3">
        <w:rPr>
          <w:rFonts w:ascii="Times New Roman" w:hAnsi="Times New Roman" w:cs="Times New Roman"/>
          <w:i/>
          <w:iCs/>
          <w:noProof/>
          <w:sz w:val="24"/>
          <w:szCs w:val="24"/>
        </w:rPr>
        <w:t>Renewable Energy</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185</w:t>
      </w:r>
      <w:r w:rsidRPr="003114E3">
        <w:rPr>
          <w:rFonts w:ascii="Times New Roman" w:hAnsi="Times New Roman" w:cs="Times New Roman"/>
          <w:noProof/>
          <w:sz w:val="24"/>
          <w:szCs w:val="24"/>
        </w:rPr>
        <w:t>, 75–85. https://doi.org/10.1016/j.renene.2021.12.046</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Nazirul Islam Sarker, M., Altab Hossin, M., Hua, Y., Kamruzzaman Sarkar, M., &amp; Kumar, N. (2018). Oil, Gas and Energy Business under One Belt One Road Strategic Context. </w:t>
      </w:r>
      <w:r w:rsidRPr="003114E3">
        <w:rPr>
          <w:rFonts w:ascii="Times New Roman" w:hAnsi="Times New Roman" w:cs="Times New Roman"/>
          <w:i/>
          <w:iCs/>
          <w:noProof/>
          <w:sz w:val="24"/>
          <w:szCs w:val="24"/>
        </w:rPr>
        <w:t>Open Journal of Social Sciences</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6</w:t>
      </w:r>
      <w:r w:rsidRPr="003114E3">
        <w:rPr>
          <w:rFonts w:ascii="Times New Roman" w:hAnsi="Times New Roman" w:cs="Times New Roman"/>
          <w:noProof/>
          <w:sz w:val="24"/>
          <w:szCs w:val="24"/>
        </w:rPr>
        <w:t>, 119–134. https://doi.org/10.4236/jss.2018.64011</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Özkara, Y., &amp; Atak, M. (2015). Regional total-factor energy efficiency and electricity saving potential of manufacturing industry in Turkey. </w:t>
      </w:r>
      <w:r w:rsidRPr="003114E3">
        <w:rPr>
          <w:rFonts w:ascii="Times New Roman" w:hAnsi="Times New Roman" w:cs="Times New Roman"/>
          <w:i/>
          <w:iCs/>
          <w:noProof/>
          <w:sz w:val="24"/>
          <w:szCs w:val="24"/>
        </w:rPr>
        <w:t>Energy</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93</w:t>
      </w:r>
      <w:r w:rsidRPr="003114E3">
        <w:rPr>
          <w:rFonts w:ascii="Times New Roman" w:hAnsi="Times New Roman" w:cs="Times New Roman"/>
          <w:noProof/>
          <w:sz w:val="24"/>
          <w:szCs w:val="24"/>
        </w:rPr>
        <w:t>, 495–510.</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Saliba, C. B., Hassanein, F. R., Athari, S. A., Dördüncü, H., Agyekum, E. B., &amp; Adadi, P. (2022). The Dynamic Impact of Renewable Energy and Economic Growth on CO2 Emissions in China: Do Remittances and Technological Innovations Matter? </w:t>
      </w:r>
      <w:r w:rsidRPr="003114E3">
        <w:rPr>
          <w:rFonts w:ascii="Times New Roman" w:hAnsi="Times New Roman" w:cs="Times New Roman"/>
          <w:i/>
          <w:iCs/>
          <w:noProof/>
          <w:sz w:val="24"/>
          <w:szCs w:val="24"/>
        </w:rPr>
        <w:t>Sustainability</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14</w:t>
      </w:r>
      <w:r w:rsidRPr="003114E3">
        <w:rPr>
          <w:rFonts w:ascii="Times New Roman" w:hAnsi="Times New Roman" w:cs="Times New Roman"/>
          <w:noProof/>
          <w:sz w:val="24"/>
          <w:szCs w:val="24"/>
        </w:rPr>
        <w:t>(21). https://doi.org/10.3390/su142114629</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Sardianou, E., &amp; Kostakis, I. (2020). Perceived barriers to invest in renewable energy sources in the Cretan hotel industry. </w:t>
      </w:r>
      <w:r w:rsidRPr="003114E3">
        <w:rPr>
          <w:rFonts w:ascii="Times New Roman" w:hAnsi="Times New Roman" w:cs="Times New Roman"/>
          <w:i/>
          <w:iCs/>
          <w:noProof/>
          <w:sz w:val="24"/>
          <w:szCs w:val="24"/>
        </w:rPr>
        <w:t>International Journal of Sustainable Energy</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39</w:t>
      </w:r>
      <w:r w:rsidRPr="003114E3">
        <w:rPr>
          <w:rFonts w:ascii="Times New Roman" w:hAnsi="Times New Roman" w:cs="Times New Roman"/>
          <w:noProof/>
          <w:sz w:val="24"/>
          <w:szCs w:val="24"/>
        </w:rPr>
        <w:t>(3), 240–249. https://doi.org/10.1080/14786451.2019.1673393</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Schützenhofer, C. (2021). Overcoming the efficiency gap: energy management as a means for overcoming barriers to energy efficiency, empirical support in the case of Austrian large firms. </w:t>
      </w:r>
      <w:r w:rsidRPr="003114E3">
        <w:rPr>
          <w:rFonts w:ascii="Times New Roman" w:hAnsi="Times New Roman" w:cs="Times New Roman"/>
          <w:i/>
          <w:iCs/>
          <w:noProof/>
          <w:sz w:val="24"/>
          <w:szCs w:val="24"/>
        </w:rPr>
        <w:t>Energy Efficiency</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14</w:t>
      </w:r>
      <w:r w:rsidRPr="003114E3">
        <w:rPr>
          <w:rFonts w:ascii="Times New Roman" w:hAnsi="Times New Roman" w:cs="Times New Roman"/>
          <w:noProof/>
          <w:sz w:val="24"/>
          <w:szCs w:val="24"/>
        </w:rPr>
        <w:t>(5), 45.</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lastRenderedPageBreak/>
        <w:t xml:space="preserve">Shirwani, R., Gulzar, S., Asim, M., Umair, M., &amp; Al-Rashid, M. A. (2020). Control of vehicular emission using innovative energy solutions comprising of hydrogen for transportation sector in Pakistan: A case study of Lahore City. </w:t>
      </w:r>
      <w:r w:rsidRPr="003114E3">
        <w:rPr>
          <w:rFonts w:ascii="Times New Roman" w:hAnsi="Times New Roman" w:cs="Times New Roman"/>
          <w:i/>
          <w:iCs/>
          <w:noProof/>
          <w:sz w:val="24"/>
          <w:szCs w:val="24"/>
        </w:rPr>
        <w:t>International Journal of Hydrogen Energy</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45</w:t>
      </w:r>
      <w:r w:rsidRPr="003114E3">
        <w:rPr>
          <w:rFonts w:ascii="Times New Roman" w:hAnsi="Times New Roman" w:cs="Times New Roman"/>
          <w:noProof/>
          <w:sz w:val="24"/>
          <w:szCs w:val="24"/>
        </w:rPr>
        <w:t>(32), 16287–16297. https://doi.org/10.1016/j.ijhydene.2019.02.173</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Siddiqui, O., &amp; Dincer, I. (2021). Optimization of a new renewable energy system for producing electricity, hydrogen and ammonia. </w:t>
      </w:r>
      <w:r w:rsidRPr="003114E3">
        <w:rPr>
          <w:rFonts w:ascii="Times New Roman" w:hAnsi="Times New Roman" w:cs="Times New Roman"/>
          <w:i/>
          <w:iCs/>
          <w:noProof/>
          <w:sz w:val="24"/>
          <w:szCs w:val="24"/>
        </w:rPr>
        <w:t>Sustainable Energy Technologies and Assessments</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44</w:t>
      </w:r>
      <w:r w:rsidRPr="003114E3">
        <w:rPr>
          <w:rFonts w:ascii="Times New Roman" w:hAnsi="Times New Roman" w:cs="Times New Roman"/>
          <w:noProof/>
          <w:sz w:val="24"/>
          <w:szCs w:val="24"/>
        </w:rPr>
        <w:t>, 101023. https://doi.org/https://doi.org/10.1016/j.seta.2021.101023</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Smith, C., Hill, A. K., &amp; Torrente-Murciano, L. (2020). Current and future role of Haber-Bosch ammonia in a carbon-free energy landscape. </w:t>
      </w:r>
      <w:r w:rsidRPr="003114E3">
        <w:rPr>
          <w:rFonts w:ascii="Times New Roman" w:hAnsi="Times New Roman" w:cs="Times New Roman"/>
          <w:i/>
          <w:iCs/>
          <w:noProof/>
          <w:sz w:val="24"/>
          <w:szCs w:val="24"/>
        </w:rPr>
        <w:t>Energy and Environmental Science</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13</w:t>
      </w:r>
      <w:r w:rsidRPr="003114E3">
        <w:rPr>
          <w:rFonts w:ascii="Times New Roman" w:hAnsi="Times New Roman" w:cs="Times New Roman"/>
          <w:noProof/>
          <w:sz w:val="24"/>
          <w:szCs w:val="24"/>
        </w:rPr>
        <w:t>(2), 331–344. https://doi.org/10.1039/C9EE02873K</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Sovacool, B. K., Furszyfer Del Rio, D., Griffiths, S., Del Rio, D. F., &amp; Griffiths, S. (2020). </w:t>
      </w:r>
      <w:r w:rsidRPr="003114E3">
        <w:rPr>
          <w:rFonts w:ascii="Times New Roman" w:hAnsi="Times New Roman" w:cs="Times New Roman"/>
          <w:i/>
          <w:iCs/>
          <w:noProof/>
          <w:sz w:val="24"/>
          <w:szCs w:val="24"/>
        </w:rPr>
        <w:t>Contextualizing the Covid-19 pandemic for a carbon-constrained world: Insights for sustainability transitions, energy justice, and research methodology</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68</w:t>
      </w:r>
      <w:r w:rsidRPr="003114E3">
        <w:rPr>
          <w:rFonts w:ascii="Times New Roman" w:hAnsi="Times New Roman" w:cs="Times New Roman"/>
          <w:noProof/>
          <w:sz w:val="24"/>
          <w:szCs w:val="24"/>
        </w:rPr>
        <w:t>, 101701.</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Taghizadeh-Hesary, F., &amp; Yoshino, N. (2020). Sustainable solutions for green financing and investment in renewable energy projects. </w:t>
      </w:r>
      <w:r w:rsidRPr="003114E3">
        <w:rPr>
          <w:rFonts w:ascii="Times New Roman" w:hAnsi="Times New Roman" w:cs="Times New Roman"/>
          <w:i/>
          <w:iCs/>
          <w:noProof/>
          <w:sz w:val="24"/>
          <w:szCs w:val="24"/>
        </w:rPr>
        <w:t>Energies</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13</w:t>
      </w:r>
      <w:r w:rsidRPr="003114E3">
        <w:rPr>
          <w:rFonts w:ascii="Times New Roman" w:hAnsi="Times New Roman" w:cs="Times New Roman"/>
          <w:noProof/>
          <w:sz w:val="24"/>
          <w:szCs w:val="24"/>
        </w:rPr>
        <w:t>(4). https://doi.org/10.3390/EN13040788</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Tong, T., Ortiz, J., Xu, C., &amp; Li, F. (2020). Economic growth, energy consumption, and carbon dioxide emissions in the E7 countries: A bootstrap ARDL bound test. </w:t>
      </w:r>
      <w:r w:rsidRPr="003114E3">
        <w:rPr>
          <w:rFonts w:ascii="Times New Roman" w:hAnsi="Times New Roman" w:cs="Times New Roman"/>
          <w:i/>
          <w:iCs/>
          <w:noProof/>
          <w:sz w:val="24"/>
          <w:szCs w:val="24"/>
        </w:rPr>
        <w:t>Energy, Sustainability and Society</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10</w:t>
      </w:r>
      <w:r w:rsidRPr="003114E3">
        <w:rPr>
          <w:rFonts w:ascii="Times New Roman" w:hAnsi="Times New Roman" w:cs="Times New Roman"/>
          <w:noProof/>
          <w:sz w:val="24"/>
          <w:szCs w:val="24"/>
        </w:rPr>
        <w:t>(1). https://doi.org/10.1186/S13705-020-00253-6</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Tu, Y. X., Kubatko, O., Piven, V., Sotnyk, I., &amp; Kurbatova, T. (2022). Determinants of Renewable Energy Development: Evidence from the EU Countries. </w:t>
      </w:r>
      <w:r w:rsidRPr="003114E3">
        <w:rPr>
          <w:rFonts w:ascii="Times New Roman" w:hAnsi="Times New Roman" w:cs="Times New Roman"/>
          <w:i/>
          <w:iCs/>
          <w:noProof/>
          <w:sz w:val="24"/>
          <w:szCs w:val="24"/>
        </w:rPr>
        <w:t>Energies</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15</w:t>
      </w:r>
      <w:r w:rsidRPr="003114E3">
        <w:rPr>
          <w:rFonts w:ascii="Times New Roman" w:hAnsi="Times New Roman" w:cs="Times New Roman"/>
          <w:noProof/>
          <w:sz w:val="24"/>
          <w:szCs w:val="24"/>
        </w:rPr>
        <w:t>(19). https://doi.org/10.3390/EN15197093</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Wang, Z., Feng, C., &amp; Zhang, B. (2014). An empirical analysis of China’s energy efficiency from both static and dynamic perspectives. </w:t>
      </w:r>
      <w:r w:rsidRPr="003114E3">
        <w:rPr>
          <w:rFonts w:ascii="Times New Roman" w:hAnsi="Times New Roman" w:cs="Times New Roman"/>
          <w:i/>
          <w:iCs/>
          <w:noProof/>
          <w:sz w:val="24"/>
          <w:szCs w:val="24"/>
        </w:rPr>
        <w:t>Energy</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74</w:t>
      </w:r>
      <w:r w:rsidRPr="003114E3">
        <w:rPr>
          <w:rFonts w:ascii="Times New Roman" w:hAnsi="Times New Roman" w:cs="Times New Roman"/>
          <w:noProof/>
          <w:sz w:val="24"/>
          <w:szCs w:val="24"/>
        </w:rPr>
        <w:t>, 322–330.</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Xiao, Y., Zhou, J., Wang, R., Zhu, X., &amp; Zhang, H. (2022). Energy-Saving and Low-Carbon Gear Blank Dimension Design Based on Business Compass. </w:t>
      </w:r>
      <w:r w:rsidRPr="003114E3">
        <w:rPr>
          <w:rFonts w:ascii="Times New Roman" w:hAnsi="Times New Roman" w:cs="Times New Roman"/>
          <w:i/>
          <w:iCs/>
          <w:noProof/>
          <w:sz w:val="24"/>
          <w:szCs w:val="24"/>
        </w:rPr>
        <w:t>Processes</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10</w:t>
      </w:r>
      <w:r w:rsidRPr="003114E3">
        <w:rPr>
          <w:rFonts w:ascii="Times New Roman" w:hAnsi="Times New Roman" w:cs="Times New Roman"/>
          <w:noProof/>
          <w:sz w:val="24"/>
          <w:szCs w:val="24"/>
        </w:rPr>
        <w:t>(9). https://doi.org/10.3390/PR10091859</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Yang, Z., Abbas, Q., Hanif, I., Alharthi, M., Taghizadeh-Hesary, F., Aziz, B., &amp; Mohsin, M. (2021). Short- and long-run influence of energy utilization and economic growth on carbon discharge in emerging SREB economies. </w:t>
      </w:r>
      <w:r w:rsidRPr="003114E3">
        <w:rPr>
          <w:rFonts w:ascii="Times New Roman" w:hAnsi="Times New Roman" w:cs="Times New Roman"/>
          <w:i/>
          <w:iCs/>
          <w:noProof/>
          <w:sz w:val="24"/>
          <w:szCs w:val="24"/>
        </w:rPr>
        <w:t>Renewable Energy</w:t>
      </w:r>
      <w:r w:rsidRPr="003114E3">
        <w:rPr>
          <w:rFonts w:ascii="Times New Roman" w:hAnsi="Times New Roman" w:cs="Times New Roman"/>
          <w:noProof/>
          <w:sz w:val="24"/>
          <w:szCs w:val="24"/>
        </w:rPr>
        <w:t>. https://doi.org/10.1016/j.renene.2020.10.141</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lastRenderedPageBreak/>
        <w:t xml:space="preserve">Ye, J., Al-Fadly, A., Huy, P. Q., Ngo, T. Q., Hung, D. D. P., &amp; Tien, N. H. (2022). The nexus among green financial development and renewable energy: investment in the wake of the Covid-19 pandemic. </w:t>
      </w:r>
      <w:r w:rsidRPr="003114E3">
        <w:rPr>
          <w:rFonts w:ascii="Times New Roman" w:hAnsi="Times New Roman" w:cs="Times New Roman"/>
          <w:i/>
          <w:iCs/>
          <w:noProof/>
          <w:sz w:val="24"/>
          <w:szCs w:val="24"/>
        </w:rPr>
        <w:t xml:space="preserve">Economic Research-Ekonomska Istrazivanja </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35</w:t>
      </w:r>
      <w:r w:rsidRPr="003114E3">
        <w:rPr>
          <w:rFonts w:ascii="Times New Roman" w:hAnsi="Times New Roman" w:cs="Times New Roman"/>
          <w:noProof/>
          <w:sz w:val="24"/>
          <w:szCs w:val="24"/>
        </w:rPr>
        <w:t>(1), 5650–5675. https://doi.org/10.1080/1331677X.2022.2035241</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Zaman, K., Abdullah, I., &amp; Ali, M. (2017). Decomposing the linkages between energy consumption, air pollution, climate change, and natural resource depletion in &lt;scp&gt;P&lt;/scp&gt; akistan. </w:t>
      </w:r>
      <w:r w:rsidRPr="003114E3">
        <w:rPr>
          <w:rFonts w:ascii="Times New Roman" w:hAnsi="Times New Roman" w:cs="Times New Roman"/>
          <w:i/>
          <w:iCs/>
          <w:noProof/>
          <w:sz w:val="24"/>
          <w:szCs w:val="24"/>
        </w:rPr>
        <w:t>Environmental Progress &amp; Sustainable Energy</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36</w:t>
      </w:r>
      <w:r w:rsidRPr="003114E3">
        <w:rPr>
          <w:rFonts w:ascii="Times New Roman" w:hAnsi="Times New Roman" w:cs="Times New Roman"/>
          <w:noProof/>
          <w:sz w:val="24"/>
          <w:szCs w:val="24"/>
        </w:rPr>
        <w:t>(2), 638–648. https://doi.org/10.1002/ep.12519</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Zhang, J., &amp; Khan, I. (2024). Energy use, energy access, and oil price fluctuations as new determinants of environmental quality in APEC countries. </w:t>
      </w:r>
      <w:r w:rsidRPr="003114E3">
        <w:rPr>
          <w:rFonts w:ascii="Times New Roman" w:hAnsi="Times New Roman" w:cs="Times New Roman"/>
          <w:i/>
          <w:iCs/>
          <w:noProof/>
          <w:sz w:val="24"/>
          <w:szCs w:val="24"/>
        </w:rPr>
        <w:t>Gondwana Research</w:t>
      </w:r>
      <w:r w:rsidRPr="003114E3">
        <w:rPr>
          <w:rFonts w:ascii="Times New Roman" w:hAnsi="Times New Roman" w:cs="Times New Roman"/>
          <w:noProof/>
          <w:sz w:val="24"/>
          <w:szCs w:val="24"/>
        </w:rPr>
        <w:t>.</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Zhang, X., Zhang, Z., Liu, Y., Xu, Z., &amp; Qu, X. (2024). A review of machine learning approaches for electric vehicle energy consumption modelling in urban transportation. </w:t>
      </w:r>
      <w:r w:rsidRPr="003114E3">
        <w:rPr>
          <w:rFonts w:ascii="Times New Roman" w:hAnsi="Times New Roman" w:cs="Times New Roman"/>
          <w:i/>
          <w:iCs/>
          <w:noProof/>
          <w:sz w:val="24"/>
          <w:szCs w:val="24"/>
        </w:rPr>
        <w:t>Renewable Energy</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234</w:t>
      </w:r>
      <w:r w:rsidRPr="003114E3">
        <w:rPr>
          <w:rFonts w:ascii="Times New Roman" w:hAnsi="Times New Roman" w:cs="Times New Roman"/>
          <w:noProof/>
          <w:sz w:val="24"/>
          <w:szCs w:val="24"/>
        </w:rPr>
        <w:t>, 121243. https://doi.org/https://doi.org/10.1016/j.renene.2024.121243</w:t>
      </w:r>
    </w:p>
    <w:p w:rsidR="003114E3" w:rsidRPr="003114E3" w:rsidRDefault="003114E3" w:rsidP="003114E3">
      <w:pPr>
        <w:widowControl w:val="0"/>
        <w:autoSpaceDE w:val="0"/>
        <w:autoSpaceDN w:val="0"/>
        <w:adjustRightInd w:val="0"/>
        <w:spacing w:after="0" w:line="360" w:lineRule="auto"/>
        <w:ind w:left="360"/>
        <w:jc w:val="both"/>
        <w:rPr>
          <w:rFonts w:ascii="Times New Roman" w:hAnsi="Times New Roman" w:cs="Times New Roman"/>
          <w:noProof/>
          <w:sz w:val="24"/>
          <w:szCs w:val="24"/>
        </w:rPr>
      </w:pPr>
      <w:r w:rsidRPr="003114E3">
        <w:rPr>
          <w:rFonts w:ascii="Times New Roman" w:hAnsi="Times New Roman" w:cs="Times New Roman"/>
          <w:noProof/>
          <w:sz w:val="24"/>
          <w:szCs w:val="24"/>
        </w:rPr>
        <w:t xml:space="preserve">Zheng, L. (2023). Impact of off-farm employment on cooking fuel choices: Implications for rural-urban transformation in advancing sustainable energy transformation. </w:t>
      </w:r>
      <w:r w:rsidRPr="003114E3">
        <w:rPr>
          <w:rFonts w:ascii="Times New Roman" w:hAnsi="Times New Roman" w:cs="Times New Roman"/>
          <w:i/>
          <w:iCs/>
          <w:noProof/>
          <w:sz w:val="24"/>
          <w:szCs w:val="24"/>
        </w:rPr>
        <w:t>Energy Economics</w:t>
      </w:r>
      <w:r w:rsidRPr="003114E3">
        <w:rPr>
          <w:rFonts w:ascii="Times New Roman" w:hAnsi="Times New Roman" w:cs="Times New Roman"/>
          <w:noProof/>
          <w:sz w:val="24"/>
          <w:szCs w:val="24"/>
        </w:rPr>
        <w:t xml:space="preserve">, </w:t>
      </w:r>
      <w:r w:rsidRPr="003114E3">
        <w:rPr>
          <w:rFonts w:ascii="Times New Roman" w:hAnsi="Times New Roman" w:cs="Times New Roman"/>
          <w:i/>
          <w:iCs/>
          <w:noProof/>
          <w:sz w:val="24"/>
          <w:szCs w:val="24"/>
        </w:rPr>
        <w:t>118</w:t>
      </w:r>
      <w:r w:rsidRPr="003114E3">
        <w:rPr>
          <w:rFonts w:ascii="Times New Roman" w:hAnsi="Times New Roman" w:cs="Times New Roman"/>
          <w:noProof/>
          <w:sz w:val="24"/>
          <w:szCs w:val="24"/>
        </w:rPr>
        <w:t>. https://doi.org/10.1016/j.eneco.2022.106497</w:t>
      </w:r>
    </w:p>
    <w:p w:rsidR="003114E3" w:rsidRPr="003114E3" w:rsidRDefault="003114E3" w:rsidP="003114E3">
      <w:pPr>
        <w:spacing w:after="0" w:line="360" w:lineRule="auto"/>
        <w:jc w:val="both"/>
        <w:rPr>
          <w:rFonts w:asciiTheme="majorBidi" w:eastAsiaTheme="minorEastAsia" w:hAnsiTheme="majorBidi" w:cstheme="majorBidi"/>
          <w:b/>
          <w:bCs/>
          <w:sz w:val="24"/>
          <w:szCs w:val="24"/>
        </w:rPr>
      </w:pPr>
      <w:r w:rsidRPr="003114E3">
        <w:rPr>
          <w:rFonts w:asciiTheme="majorBidi" w:eastAsiaTheme="minorEastAsia" w:hAnsiTheme="majorBidi" w:cstheme="majorBidi"/>
          <w:b/>
          <w:bCs/>
          <w:sz w:val="24"/>
          <w:szCs w:val="24"/>
        </w:rPr>
        <w:fldChar w:fldCharType="end"/>
      </w:r>
    </w:p>
    <w:p w:rsidR="00214969" w:rsidRPr="003114E3" w:rsidRDefault="00214969" w:rsidP="003114E3">
      <w:pPr>
        <w:spacing w:after="0" w:line="360" w:lineRule="auto"/>
        <w:jc w:val="both"/>
        <w:rPr>
          <w:rFonts w:asciiTheme="majorBidi" w:eastAsiaTheme="minorEastAsia" w:hAnsiTheme="majorBidi" w:cstheme="majorBidi"/>
          <w:sz w:val="24"/>
          <w:szCs w:val="24"/>
        </w:rPr>
      </w:pPr>
    </w:p>
    <w:sectPr w:rsidR="00214969" w:rsidRPr="003114E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48BA" w:rsidRDefault="00DD48BA" w:rsidP="00760387">
      <w:pPr>
        <w:spacing w:after="0" w:line="240" w:lineRule="auto"/>
      </w:pPr>
      <w:r>
        <w:separator/>
      </w:r>
    </w:p>
  </w:endnote>
  <w:endnote w:type="continuationSeparator" w:id="0">
    <w:p w:rsidR="00DD48BA" w:rsidRDefault="00DD48BA" w:rsidP="007603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4219234"/>
      <w:docPartObj>
        <w:docPartGallery w:val="Page Numbers (Bottom of Page)"/>
        <w:docPartUnique/>
      </w:docPartObj>
    </w:sdtPr>
    <w:sdtEndPr>
      <w:rPr>
        <w:noProof/>
      </w:rPr>
    </w:sdtEndPr>
    <w:sdtContent>
      <w:p w:rsidR="00760387" w:rsidRDefault="0076038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760387" w:rsidRDefault="0076038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48BA" w:rsidRDefault="00DD48BA" w:rsidP="00760387">
      <w:pPr>
        <w:spacing w:after="0" w:line="240" w:lineRule="auto"/>
      </w:pPr>
      <w:r>
        <w:separator/>
      </w:r>
    </w:p>
  </w:footnote>
  <w:footnote w:type="continuationSeparator" w:id="0">
    <w:p w:rsidR="00DD48BA" w:rsidRDefault="00DD48BA" w:rsidP="007603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89146E"/>
    <w:multiLevelType w:val="hybridMultilevel"/>
    <w:tmpl w:val="DCA8AD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027D98"/>
    <w:multiLevelType w:val="hybridMultilevel"/>
    <w:tmpl w:val="0540A9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60B"/>
    <w:rsid w:val="0003603D"/>
    <w:rsid w:val="00091339"/>
    <w:rsid w:val="001111FF"/>
    <w:rsid w:val="00214969"/>
    <w:rsid w:val="002D7BBE"/>
    <w:rsid w:val="003114E3"/>
    <w:rsid w:val="00321D8D"/>
    <w:rsid w:val="003A0E91"/>
    <w:rsid w:val="003A5184"/>
    <w:rsid w:val="004A2587"/>
    <w:rsid w:val="0050019F"/>
    <w:rsid w:val="00536B6F"/>
    <w:rsid w:val="00573C1C"/>
    <w:rsid w:val="005C422F"/>
    <w:rsid w:val="005C6DCB"/>
    <w:rsid w:val="005F4385"/>
    <w:rsid w:val="00670185"/>
    <w:rsid w:val="007236A5"/>
    <w:rsid w:val="007328EF"/>
    <w:rsid w:val="00735679"/>
    <w:rsid w:val="00760387"/>
    <w:rsid w:val="00802774"/>
    <w:rsid w:val="00817BE8"/>
    <w:rsid w:val="008566B4"/>
    <w:rsid w:val="008B1E87"/>
    <w:rsid w:val="008F6C1C"/>
    <w:rsid w:val="0092401E"/>
    <w:rsid w:val="00981744"/>
    <w:rsid w:val="009B4EDB"/>
    <w:rsid w:val="009E07DD"/>
    <w:rsid w:val="00AA3806"/>
    <w:rsid w:val="00C30B2C"/>
    <w:rsid w:val="00C412AC"/>
    <w:rsid w:val="00D12250"/>
    <w:rsid w:val="00D70BD7"/>
    <w:rsid w:val="00D962D8"/>
    <w:rsid w:val="00DA29CA"/>
    <w:rsid w:val="00DD48BA"/>
    <w:rsid w:val="00DD7726"/>
    <w:rsid w:val="00E16B80"/>
    <w:rsid w:val="00F0660B"/>
    <w:rsid w:val="00F246EB"/>
    <w:rsid w:val="00F252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6785B"/>
  <w15:chartTrackingRefBased/>
  <w15:docId w15:val="{56101154-43A8-43A7-8827-D1FD2E426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0660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F0660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412A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660B"/>
    <w:rPr>
      <w:rFonts w:ascii="Times New Roman" w:eastAsia="Times New Roman" w:hAnsi="Times New Roman" w:cs="Times New Roman"/>
      <w:b/>
      <w:bCs/>
      <w:kern w:val="36"/>
      <w:sz w:val="48"/>
      <w:szCs w:val="48"/>
    </w:rPr>
  </w:style>
  <w:style w:type="character" w:customStyle="1" w:styleId="title-text">
    <w:name w:val="title-text"/>
    <w:basedOn w:val="DefaultParagraphFont"/>
    <w:rsid w:val="00F0660B"/>
  </w:style>
  <w:style w:type="character" w:customStyle="1" w:styleId="Heading2Char">
    <w:name w:val="Heading 2 Char"/>
    <w:basedOn w:val="DefaultParagraphFont"/>
    <w:link w:val="Heading2"/>
    <w:uiPriority w:val="9"/>
    <w:semiHidden/>
    <w:rsid w:val="00F0660B"/>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C412AC"/>
    <w:rPr>
      <w:rFonts w:asciiTheme="majorHAnsi" w:eastAsiaTheme="majorEastAsia" w:hAnsiTheme="majorHAnsi" w:cstheme="majorBidi"/>
      <w:color w:val="1F4D78" w:themeColor="accent1" w:themeShade="7F"/>
      <w:sz w:val="24"/>
      <w:szCs w:val="24"/>
    </w:rPr>
  </w:style>
  <w:style w:type="character" w:customStyle="1" w:styleId="mjxassistivemathml">
    <w:name w:val="mjx_assistive_mathml"/>
    <w:basedOn w:val="DefaultParagraphFont"/>
    <w:rsid w:val="005F4385"/>
  </w:style>
  <w:style w:type="character" w:customStyle="1" w:styleId="anchor-text">
    <w:name w:val="anchor-text"/>
    <w:basedOn w:val="DefaultParagraphFont"/>
    <w:rsid w:val="005F4385"/>
  </w:style>
  <w:style w:type="paragraph" w:styleId="HTMLPreformatted">
    <w:name w:val="HTML Preformatted"/>
    <w:basedOn w:val="Normal"/>
    <w:link w:val="HTMLPreformattedChar"/>
    <w:uiPriority w:val="99"/>
    <w:semiHidden/>
    <w:unhideWhenUsed/>
    <w:rsid w:val="00817B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817BE8"/>
    <w:rPr>
      <w:rFonts w:ascii="Courier New" w:eastAsia="Times New Roman" w:hAnsi="Courier New" w:cs="Courier New"/>
      <w:sz w:val="20"/>
      <w:szCs w:val="20"/>
    </w:rPr>
  </w:style>
  <w:style w:type="paragraph" w:styleId="NormalWeb">
    <w:name w:val="Normal (Web)"/>
    <w:basedOn w:val="Normal"/>
    <w:uiPriority w:val="99"/>
    <w:semiHidden/>
    <w:unhideWhenUsed/>
    <w:rsid w:val="009E07D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abel">
    <w:name w:val="label"/>
    <w:basedOn w:val="DefaultParagraphFont"/>
    <w:rsid w:val="009E07DD"/>
  </w:style>
  <w:style w:type="character" w:styleId="Hyperlink">
    <w:name w:val="Hyperlink"/>
    <w:basedOn w:val="DefaultParagraphFont"/>
    <w:uiPriority w:val="99"/>
    <w:unhideWhenUsed/>
    <w:rsid w:val="009E07DD"/>
    <w:rPr>
      <w:color w:val="0000FF"/>
      <w:u w:val="single"/>
    </w:rPr>
  </w:style>
  <w:style w:type="character" w:customStyle="1" w:styleId="screen-reader-only">
    <w:name w:val="screen-reader-only"/>
    <w:basedOn w:val="DefaultParagraphFont"/>
    <w:rsid w:val="009E07DD"/>
  </w:style>
  <w:style w:type="paragraph" w:styleId="ListParagraph">
    <w:name w:val="List Paragraph"/>
    <w:basedOn w:val="Normal"/>
    <w:uiPriority w:val="34"/>
    <w:qFormat/>
    <w:rsid w:val="003114E3"/>
    <w:pPr>
      <w:ind w:left="720"/>
      <w:contextualSpacing/>
    </w:pPr>
  </w:style>
  <w:style w:type="paragraph" w:styleId="Header">
    <w:name w:val="header"/>
    <w:basedOn w:val="Normal"/>
    <w:link w:val="HeaderChar"/>
    <w:uiPriority w:val="99"/>
    <w:unhideWhenUsed/>
    <w:rsid w:val="007603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0387"/>
  </w:style>
  <w:style w:type="paragraph" w:styleId="Footer">
    <w:name w:val="footer"/>
    <w:basedOn w:val="Normal"/>
    <w:link w:val="FooterChar"/>
    <w:uiPriority w:val="99"/>
    <w:unhideWhenUsed/>
    <w:rsid w:val="007603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03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3551">
      <w:bodyDiv w:val="1"/>
      <w:marLeft w:val="0"/>
      <w:marRight w:val="0"/>
      <w:marTop w:val="0"/>
      <w:marBottom w:val="0"/>
      <w:divBdr>
        <w:top w:val="none" w:sz="0" w:space="0" w:color="auto"/>
        <w:left w:val="none" w:sz="0" w:space="0" w:color="auto"/>
        <w:bottom w:val="none" w:sz="0" w:space="0" w:color="auto"/>
        <w:right w:val="none" w:sz="0" w:space="0" w:color="auto"/>
      </w:divBdr>
    </w:div>
    <w:div w:id="80612171">
      <w:bodyDiv w:val="1"/>
      <w:marLeft w:val="0"/>
      <w:marRight w:val="0"/>
      <w:marTop w:val="0"/>
      <w:marBottom w:val="0"/>
      <w:divBdr>
        <w:top w:val="none" w:sz="0" w:space="0" w:color="auto"/>
        <w:left w:val="none" w:sz="0" w:space="0" w:color="auto"/>
        <w:bottom w:val="none" w:sz="0" w:space="0" w:color="auto"/>
        <w:right w:val="none" w:sz="0" w:space="0" w:color="auto"/>
      </w:divBdr>
    </w:div>
    <w:div w:id="235214645">
      <w:bodyDiv w:val="1"/>
      <w:marLeft w:val="0"/>
      <w:marRight w:val="0"/>
      <w:marTop w:val="0"/>
      <w:marBottom w:val="0"/>
      <w:divBdr>
        <w:top w:val="none" w:sz="0" w:space="0" w:color="auto"/>
        <w:left w:val="none" w:sz="0" w:space="0" w:color="auto"/>
        <w:bottom w:val="none" w:sz="0" w:space="0" w:color="auto"/>
        <w:right w:val="none" w:sz="0" w:space="0" w:color="auto"/>
      </w:divBdr>
    </w:div>
    <w:div w:id="267197738">
      <w:bodyDiv w:val="1"/>
      <w:marLeft w:val="0"/>
      <w:marRight w:val="0"/>
      <w:marTop w:val="0"/>
      <w:marBottom w:val="0"/>
      <w:divBdr>
        <w:top w:val="none" w:sz="0" w:space="0" w:color="auto"/>
        <w:left w:val="none" w:sz="0" w:space="0" w:color="auto"/>
        <w:bottom w:val="none" w:sz="0" w:space="0" w:color="auto"/>
        <w:right w:val="none" w:sz="0" w:space="0" w:color="auto"/>
      </w:divBdr>
    </w:div>
    <w:div w:id="308173105">
      <w:bodyDiv w:val="1"/>
      <w:marLeft w:val="0"/>
      <w:marRight w:val="0"/>
      <w:marTop w:val="0"/>
      <w:marBottom w:val="0"/>
      <w:divBdr>
        <w:top w:val="none" w:sz="0" w:space="0" w:color="auto"/>
        <w:left w:val="none" w:sz="0" w:space="0" w:color="auto"/>
        <w:bottom w:val="none" w:sz="0" w:space="0" w:color="auto"/>
        <w:right w:val="none" w:sz="0" w:space="0" w:color="auto"/>
      </w:divBdr>
    </w:div>
    <w:div w:id="622729839">
      <w:bodyDiv w:val="1"/>
      <w:marLeft w:val="0"/>
      <w:marRight w:val="0"/>
      <w:marTop w:val="0"/>
      <w:marBottom w:val="0"/>
      <w:divBdr>
        <w:top w:val="none" w:sz="0" w:space="0" w:color="auto"/>
        <w:left w:val="none" w:sz="0" w:space="0" w:color="auto"/>
        <w:bottom w:val="none" w:sz="0" w:space="0" w:color="auto"/>
        <w:right w:val="none" w:sz="0" w:space="0" w:color="auto"/>
      </w:divBdr>
      <w:divsChild>
        <w:div w:id="1161626425">
          <w:marLeft w:val="0"/>
          <w:marRight w:val="0"/>
          <w:marTop w:val="240"/>
          <w:marBottom w:val="240"/>
          <w:divBdr>
            <w:top w:val="none" w:sz="0" w:space="0" w:color="auto"/>
            <w:left w:val="none" w:sz="0" w:space="0" w:color="auto"/>
            <w:bottom w:val="none" w:sz="0" w:space="0" w:color="auto"/>
            <w:right w:val="none" w:sz="0" w:space="0" w:color="auto"/>
          </w:divBdr>
        </w:div>
      </w:divsChild>
    </w:div>
    <w:div w:id="651757508">
      <w:bodyDiv w:val="1"/>
      <w:marLeft w:val="0"/>
      <w:marRight w:val="0"/>
      <w:marTop w:val="0"/>
      <w:marBottom w:val="0"/>
      <w:divBdr>
        <w:top w:val="none" w:sz="0" w:space="0" w:color="auto"/>
        <w:left w:val="none" w:sz="0" w:space="0" w:color="auto"/>
        <w:bottom w:val="none" w:sz="0" w:space="0" w:color="auto"/>
        <w:right w:val="none" w:sz="0" w:space="0" w:color="auto"/>
      </w:divBdr>
    </w:div>
    <w:div w:id="660697413">
      <w:bodyDiv w:val="1"/>
      <w:marLeft w:val="0"/>
      <w:marRight w:val="0"/>
      <w:marTop w:val="0"/>
      <w:marBottom w:val="0"/>
      <w:divBdr>
        <w:top w:val="none" w:sz="0" w:space="0" w:color="auto"/>
        <w:left w:val="none" w:sz="0" w:space="0" w:color="auto"/>
        <w:bottom w:val="none" w:sz="0" w:space="0" w:color="auto"/>
        <w:right w:val="none" w:sz="0" w:space="0" w:color="auto"/>
      </w:divBdr>
    </w:div>
    <w:div w:id="733091071">
      <w:bodyDiv w:val="1"/>
      <w:marLeft w:val="0"/>
      <w:marRight w:val="0"/>
      <w:marTop w:val="0"/>
      <w:marBottom w:val="0"/>
      <w:divBdr>
        <w:top w:val="none" w:sz="0" w:space="0" w:color="auto"/>
        <w:left w:val="none" w:sz="0" w:space="0" w:color="auto"/>
        <w:bottom w:val="none" w:sz="0" w:space="0" w:color="auto"/>
        <w:right w:val="none" w:sz="0" w:space="0" w:color="auto"/>
      </w:divBdr>
    </w:div>
    <w:div w:id="1341851678">
      <w:bodyDiv w:val="1"/>
      <w:marLeft w:val="0"/>
      <w:marRight w:val="0"/>
      <w:marTop w:val="0"/>
      <w:marBottom w:val="0"/>
      <w:divBdr>
        <w:top w:val="none" w:sz="0" w:space="0" w:color="auto"/>
        <w:left w:val="none" w:sz="0" w:space="0" w:color="auto"/>
        <w:bottom w:val="none" w:sz="0" w:space="0" w:color="auto"/>
        <w:right w:val="none" w:sz="0" w:space="0" w:color="auto"/>
      </w:divBdr>
      <w:divsChild>
        <w:div w:id="525025717">
          <w:marLeft w:val="0"/>
          <w:marRight w:val="0"/>
          <w:marTop w:val="240"/>
          <w:marBottom w:val="240"/>
          <w:divBdr>
            <w:top w:val="none" w:sz="0" w:space="0" w:color="auto"/>
            <w:left w:val="none" w:sz="0" w:space="0" w:color="auto"/>
            <w:bottom w:val="none" w:sz="0" w:space="0" w:color="auto"/>
            <w:right w:val="none" w:sz="0" w:space="0" w:color="auto"/>
          </w:divBdr>
        </w:div>
      </w:divsChild>
    </w:div>
    <w:div w:id="1453863422">
      <w:bodyDiv w:val="1"/>
      <w:marLeft w:val="0"/>
      <w:marRight w:val="0"/>
      <w:marTop w:val="0"/>
      <w:marBottom w:val="0"/>
      <w:divBdr>
        <w:top w:val="none" w:sz="0" w:space="0" w:color="auto"/>
        <w:left w:val="none" w:sz="0" w:space="0" w:color="auto"/>
        <w:bottom w:val="none" w:sz="0" w:space="0" w:color="auto"/>
        <w:right w:val="none" w:sz="0" w:space="0" w:color="auto"/>
      </w:divBdr>
    </w:div>
    <w:div w:id="1603032901">
      <w:bodyDiv w:val="1"/>
      <w:marLeft w:val="0"/>
      <w:marRight w:val="0"/>
      <w:marTop w:val="0"/>
      <w:marBottom w:val="0"/>
      <w:divBdr>
        <w:top w:val="none" w:sz="0" w:space="0" w:color="auto"/>
        <w:left w:val="none" w:sz="0" w:space="0" w:color="auto"/>
        <w:bottom w:val="none" w:sz="0" w:space="0" w:color="auto"/>
        <w:right w:val="none" w:sz="0" w:space="0" w:color="auto"/>
      </w:divBdr>
      <w:divsChild>
        <w:div w:id="1433894583">
          <w:marLeft w:val="0"/>
          <w:marRight w:val="0"/>
          <w:marTop w:val="240"/>
          <w:marBottom w:val="240"/>
          <w:divBdr>
            <w:top w:val="none" w:sz="0" w:space="0" w:color="auto"/>
            <w:left w:val="none" w:sz="0" w:space="0" w:color="auto"/>
            <w:bottom w:val="none" w:sz="0" w:space="0" w:color="auto"/>
            <w:right w:val="none" w:sz="0" w:space="0" w:color="auto"/>
          </w:divBdr>
        </w:div>
      </w:divsChild>
    </w:div>
    <w:div w:id="1929580603">
      <w:bodyDiv w:val="1"/>
      <w:marLeft w:val="0"/>
      <w:marRight w:val="0"/>
      <w:marTop w:val="0"/>
      <w:marBottom w:val="0"/>
      <w:divBdr>
        <w:top w:val="none" w:sz="0" w:space="0" w:color="auto"/>
        <w:left w:val="none" w:sz="0" w:space="0" w:color="auto"/>
        <w:bottom w:val="none" w:sz="0" w:space="0" w:color="auto"/>
        <w:right w:val="none" w:sz="0" w:space="0" w:color="auto"/>
      </w:divBdr>
      <w:divsChild>
        <w:div w:id="633364079">
          <w:marLeft w:val="0"/>
          <w:marRight w:val="0"/>
          <w:marTop w:val="240"/>
          <w:marBottom w:val="240"/>
          <w:divBdr>
            <w:top w:val="none" w:sz="0" w:space="0" w:color="auto"/>
            <w:left w:val="none" w:sz="0" w:space="0" w:color="auto"/>
            <w:bottom w:val="none" w:sz="0" w:space="0" w:color="auto"/>
            <w:right w:val="none" w:sz="0" w:space="0" w:color="auto"/>
          </w:divBdr>
        </w:div>
      </w:divsChild>
    </w:div>
    <w:div w:id="1962959755">
      <w:bodyDiv w:val="1"/>
      <w:marLeft w:val="0"/>
      <w:marRight w:val="0"/>
      <w:marTop w:val="0"/>
      <w:marBottom w:val="0"/>
      <w:divBdr>
        <w:top w:val="none" w:sz="0" w:space="0" w:color="auto"/>
        <w:left w:val="none" w:sz="0" w:space="0" w:color="auto"/>
        <w:bottom w:val="none" w:sz="0" w:space="0" w:color="auto"/>
        <w:right w:val="none" w:sz="0" w:space="0" w:color="auto"/>
      </w:divBdr>
    </w:div>
    <w:div w:id="1982691505">
      <w:bodyDiv w:val="1"/>
      <w:marLeft w:val="0"/>
      <w:marRight w:val="0"/>
      <w:marTop w:val="0"/>
      <w:marBottom w:val="0"/>
      <w:divBdr>
        <w:top w:val="none" w:sz="0" w:space="0" w:color="auto"/>
        <w:left w:val="none" w:sz="0" w:space="0" w:color="auto"/>
        <w:bottom w:val="none" w:sz="0" w:space="0" w:color="auto"/>
        <w:right w:val="none" w:sz="0" w:space="0" w:color="auto"/>
      </w:divBdr>
    </w:div>
    <w:div w:id="2017152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aligan@bit.edu.cn" TargetMode="Externa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936DCB-7A68-4759-BCAE-03BF787AB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27589</Words>
  <Characters>157262</Characters>
  <Application>Microsoft Office Word</Application>
  <DocSecurity>0</DocSecurity>
  <Lines>1310</Lines>
  <Paragraphs>368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dc:creator>
  <cp:keywords/>
  <dc:description/>
  <cp:lastModifiedBy>Micro</cp:lastModifiedBy>
  <cp:revision>2</cp:revision>
  <dcterms:created xsi:type="dcterms:W3CDTF">2024-12-07T19:43:00Z</dcterms:created>
  <dcterms:modified xsi:type="dcterms:W3CDTF">2024-12-07T19:43:00Z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d9de7e74-6597-3e86-a94c-707208276ae9</vt:lpwstr>
  </property>
  <property fmtid="{D5CDD505-2E9C-101B-9397-08002B2CF9AE}" pid="4" name="Mendeley Citation Style_1">
    <vt:lpwstr>http://www.zotero.org/styles/apa</vt:lpwstr>
  </property>
</Properties>
</file>