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7AD6F" w14:textId="77777777" w:rsidR="00A77B3E" w:rsidRDefault="00000000">
      <w:pPr>
        <w:pStyle w:val="Tableofcontent"/>
      </w:pPr>
      <w:r>
        <w:t>Table of content</w:t>
      </w:r>
    </w:p>
    <w:p w14:paraId="71355D8D" w14:textId="19668BFE" w:rsidR="00A77B3E" w:rsidRDefault="00000000">
      <w:pPr>
        <w:pStyle w:val="Tableofcontent"/>
      </w:pPr>
      <w:r>
        <w:fldChar w:fldCharType="begin"/>
      </w:r>
      <w:r>
        <w:instrText>TOC \o "1-9" \h \z \u</w:instrText>
      </w:r>
      <w:r>
        <w:fldChar w:fldCharType="separate"/>
      </w:r>
      <w:r w:rsidR="00B21DEC">
        <w:t>No table of content entries was found.</w:t>
      </w:r>
      <w:r>
        <w:fldChar w:fldCharType="end"/>
      </w:r>
      <w:r>
        <w:br w:type="page"/>
      </w:r>
    </w:p>
    <w:p w14:paraId="2752EF72" w14:textId="255E2FF4" w:rsidR="009A69B1" w:rsidRDefault="00B21DEC">
      <w:r>
        <w:rPr>
          <w:b/>
        </w:rPr>
        <w:t>MGMT 5207: International Business Management Winter</w:t>
      </w:r>
      <w:r>
        <w:t xml:space="preserve"> 2025Dr.</w:t>
      </w:r>
      <w:r w:rsidR="00000000">
        <w:t xml:space="preserve"> Márcio </w:t>
      </w:r>
      <w:proofErr w:type="gramStart"/>
      <w:r w:rsidR="00000000">
        <w:t>Coelho[</w:t>
      </w:r>
      <w:proofErr w:type="gramEnd"/>
      <w:r w:rsidR="00000000">
        <w:t>Your Name][Student ID]April 3, 2025</w:t>
      </w:r>
    </w:p>
    <w:p w14:paraId="33B8C0C1" w14:textId="77777777" w:rsidR="009A69B1" w:rsidRDefault="009A69B1"/>
    <w:p w14:paraId="51C78BDF" w14:textId="77777777" w:rsidR="009A69B1" w:rsidRDefault="00000000">
      <w:r>
        <w:pict w14:anchorId="7B4557FE">
          <v:rect id="_x0000_i1025" style="width:468pt;height:1.5pt" o:hrstd="t" o:hr="t" fillcolor="gray" stroked="f">
            <v:path strokeok="f"/>
          </v:rect>
        </w:pict>
      </w:r>
    </w:p>
    <w:p w14:paraId="6F4DC918" w14:textId="77777777" w:rsidR="009A69B1" w:rsidRDefault="009A69B1"/>
    <w:p w14:paraId="16288AD1" w14:textId="77777777" w:rsidR="009A69B1" w:rsidRDefault="00000000">
      <w:r>
        <w:rPr>
          <w:b/>
        </w:rPr>
        <w:t>1. Executive Summary</w:t>
      </w:r>
    </w:p>
    <w:p w14:paraId="2C623963" w14:textId="77777777" w:rsidR="009A69B1" w:rsidRDefault="009A69B1"/>
    <w:p w14:paraId="4F404D0D" w14:textId="28F7D3E2" w:rsidR="009A69B1" w:rsidRDefault="00000000">
      <w:r>
        <w:t xml:space="preserve">This report presents a strategic comparative analysis of three potential markets, Kuwait, Poland, and Colombia, for Aritzia’s global expansion. </w:t>
      </w:r>
      <w:r w:rsidR="00B21DEC">
        <w:t>The analysis examines critical factors, such as economic conditions, consumer behaviors, market risks, trade frameworks, and digital readiness to determine the optimal destination for entry.</w:t>
      </w:r>
      <w:r>
        <w:t xml:space="preserve"> </w:t>
      </w:r>
      <w:r w:rsidR="00B21DEC">
        <w:t>Although each of the three markets presents distinct benefits, Poland has emerged as the most strategic option for initial expansion.</w:t>
      </w:r>
      <w:r>
        <w:t xml:space="preserve"> This is due to its strong middle class, adherence to European Union regulations, and extensive adoption of e-commerce. A dual-market entry strategy comprising flagship retail stores and a localized e-commerce platform is recommended. </w:t>
      </w:r>
      <w:r w:rsidR="00B21DEC">
        <w:t>This study outlines a phased implementation plan, financial investments, risk-mitigation strategies, and success metrics to ensure sustainable growth.</w:t>
      </w:r>
    </w:p>
    <w:p w14:paraId="70D8CD80" w14:textId="77777777" w:rsidR="009A69B1" w:rsidRDefault="009A69B1"/>
    <w:p w14:paraId="4850A947" w14:textId="38FDD763" w:rsidR="009A69B1" w:rsidRDefault="00B21DEC">
      <w:r>
        <w:t>With Aritzia’s brand identity rooted in premium women's fashion and its focus on high-quality, sustainable leisure wear, identifying a market with strong fashion sensibilities, digital infrastructure, and middle-income growth is essential.</w:t>
      </w:r>
      <w:r w:rsidR="00000000">
        <w:t xml:space="preserve"> </w:t>
      </w:r>
      <w:r>
        <w:t>Each market–Kuwait, Poland, and Colombia–was evaluated against specific criteria, including economic indicators, consumer purchasing power, receptivity to Western brands, logistics and distribution networks, and ease of doing business with Canada.</w:t>
      </w:r>
      <w:r w:rsidR="00000000">
        <w:t xml:space="preserve"> These findings provide a practical roadmap for internationalization and informed market penetration.</w:t>
      </w:r>
    </w:p>
    <w:p w14:paraId="597AD358" w14:textId="77777777" w:rsidR="009A69B1" w:rsidRDefault="009A69B1"/>
    <w:p w14:paraId="580ACCE8" w14:textId="77777777" w:rsidR="009A69B1" w:rsidRDefault="00000000">
      <w:r>
        <w:pict w14:anchorId="2E4D9692">
          <v:rect id="_x0000_i1026" style="width:468pt;height:1.5pt" o:hrstd="t" o:hr="t" fillcolor="gray" stroked="f">
            <v:path strokeok="f"/>
          </v:rect>
        </w:pict>
      </w:r>
    </w:p>
    <w:p w14:paraId="3163B660" w14:textId="77777777" w:rsidR="009A69B1" w:rsidRDefault="009A69B1"/>
    <w:p w14:paraId="59584F66" w14:textId="77777777" w:rsidR="009A69B1" w:rsidRDefault="00000000">
      <w:r>
        <w:rPr>
          <w:b/>
        </w:rPr>
        <w:t>2. Country Analysis</w:t>
      </w:r>
    </w:p>
    <w:p w14:paraId="2BEAE3AF" w14:textId="77777777" w:rsidR="009A69B1" w:rsidRDefault="009A69B1"/>
    <w:p w14:paraId="6D2D6C11" w14:textId="77777777" w:rsidR="009A69B1" w:rsidRDefault="00000000">
      <w:r>
        <w:rPr>
          <w:b/>
        </w:rPr>
        <w:t>Kuwait</w:t>
      </w:r>
    </w:p>
    <w:p w14:paraId="0297AA90" w14:textId="77777777" w:rsidR="009A69B1" w:rsidRDefault="009A69B1"/>
    <w:p w14:paraId="0F76F676" w14:textId="174D82D9" w:rsidR="009A69B1" w:rsidRDefault="00B21DEC">
      <w:r>
        <w:t>Kuwait is a high-income economy with one of the strongest GDP per capita rankings.</w:t>
      </w:r>
      <w:r w:rsidR="00000000">
        <w:t xml:space="preserve"> </w:t>
      </w:r>
      <w:r>
        <w:t>The country's heavy reliance on oil revenues makes it vulnerable to commodity price fluctuations but also affords Kuwait significant sovereign wealth and purchasing power.</w:t>
      </w:r>
      <w:r w:rsidR="00000000">
        <w:t xml:space="preserve"> </w:t>
      </w:r>
      <w:r>
        <w:t>The government’s Vision 2035 aims to diversify the economy and encourage private sector growth, particularly in the retail, tourism, and financial sectors.</w:t>
      </w:r>
    </w:p>
    <w:p w14:paraId="61D9BD6C" w14:textId="77777777" w:rsidR="009A69B1" w:rsidRDefault="009A69B1"/>
    <w:p w14:paraId="7944BDAF" w14:textId="6CB71F9A" w:rsidR="009A69B1" w:rsidRDefault="00000000">
      <w:r>
        <w:t xml:space="preserve">Consumer preferences in Kuwait lean heavily toward international luxury and western brands. </w:t>
      </w:r>
      <w:r w:rsidR="00B21DEC">
        <w:t>Young, affluent consumers, especially women, show an interest in premium fashion, making Kuwait attractive for upscale retail.</w:t>
      </w:r>
      <w:r>
        <w:t xml:space="preserve"> However, challenges remain in the form of strict regulatory controls, limited free trade engagement with Canada, and modest e-commerce development relative to neighboring Gulf countries such as the UAE and Saudi Arabia.</w:t>
      </w:r>
    </w:p>
    <w:p w14:paraId="5D2DE087" w14:textId="77777777" w:rsidR="009A69B1" w:rsidRDefault="009A69B1"/>
    <w:p w14:paraId="440B81EB" w14:textId="74FA9154" w:rsidR="009A69B1" w:rsidRDefault="00000000">
      <w:r>
        <w:lastRenderedPageBreak/>
        <w:t xml:space="preserve">Labor laws and workforce dynamics further add complexity. The workforce is predominantly expatriate, and while labor protection exists, enforcement varies. Digital payment systems are expanding, although the logistical infrastructure still relies heavily on traditional retail networks. </w:t>
      </w:r>
      <w:r w:rsidR="00B21DEC">
        <w:t>Nonetheless, Kuwait’s vibrant mall culture and centralized urban shopping hubs offer physical store visibility and accessibility.</w:t>
      </w:r>
    </w:p>
    <w:p w14:paraId="0883FD46" w14:textId="77777777" w:rsidR="009A69B1" w:rsidRDefault="009A69B1"/>
    <w:p w14:paraId="4A98254B" w14:textId="77777777" w:rsidR="009A69B1" w:rsidRDefault="00000000">
      <w:r>
        <w:t>[Map or Visual Suggestion: Kuwait retail zones, major mall locations.]</w:t>
      </w:r>
    </w:p>
    <w:p w14:paraId="49DB974C" w14:textId="77777777" w:rsidR="009A69B1" w:rsidRDefault="009A69B1"/>
    <w:p w14:paraId="08480B6A" w14:textId="77777777" w:rsidR="009A69B1" w:rsidRDefault="00000000">
      <w:r>
        <w:rPr>
          <w:b/>
        </w:rPr>
        <w:t>Poland</w:t>
      </w:r>
    </w:p>
    <w:p w14:paraId="4EEA9BF4" w14:textId="77777777" w:rsidR="009A69B1" w:rsidRDefault="009A69B1"/>
    <w:p w14:paraId="196DAD32" w14:textId="412C9C98" w:rsidR="009A69B1" w:rsidRDefault="00000000">
      <w:r>
        <w:t xml:space="preserve">Poland has emerged as a central figure in European retail growth. </w:t>
      </w:r>
      <w:r w:rsidR="00B21DEC">
        <w:t>With a population of 38 million and an expanding middle class, the country is experiencing an increase in disposable income, particularly in urban areas.</w:t>
      </w:r>
      <w:r>
        <w:t xml:space="preserve"> </w:t>
      </w:r>
      <w:r w:rsidR="00B21DEC">
        <w:t>The GDP has diversified across industries, and post-pandemic recovery has been strong.</w:t>
      </w:r>
      <w:r>
        <w:t xml:space="preserve"> </w:t>
      </w:r>
      <w:r w:rsidR="00B21DEC">
        <w:t>EU membership provides legal and business transparency and creates a predictable investment environment.</w:t>
      </w:r>
    </w:p>
    <w:p w14:paraId="1F9A0A91" w14:textId="77777777" w:rsidR="009A69B1" w:rsidRDefault="009A69B1"/>
    <w:p w14:paraId="73942760" w14:textId="2697DFDE" w:rsidR="009A69B1" w:rsidRDefault="00000000">
      <w:r>
        <w:t xml:space="preserve">The fashion market in Poland has grown steadily with a rising demand for leisure and sustainable fashion. </w:t>
      </w:r>
      <w:r w:rsidR="00B21DEC">
        <w:t>Younger consumers increasingly seek quality trend-conscious clothing, a demographic that aligns with Aritzia’s primary customer base.</w:t>
      </w:r>
      <w:r>
        <w:t xml:space="preserve"> Retail infrastructure is highly developed, with a blend of high-end shopping centers and accessible e-commerce portals.</w:t>
      </w:r>
    </w:p>
    <w:p w14:paraId="15B791C0" w14:textId="77777777" w:rsidR="009A69B1" w:rsidRDefault="009A69B1"/>
    <w:p w14:paraId="3E5F409A" w14:textId="7D95C706" w:rsidR="009A69B1" w:rsidRDefault="00000000">
      <w:r>
        <w:t xml:space="preserve">Poland’s digital economy is robust and marked by mobile-first consumer behavior and widespread digital payment adoption. </w:t>
      </w:r>
      <w:r w:rsidR="00B21DEC">
        <w:t xml:space="preserve">Local fintech platforms, such as BLIK, are used daily by consumers, while logistics providers, such as </w:t>
      </w:r>
      <w:proofErr w:type="spellStart"/>
      <w:r w:rsidR="00B21DEC">
        <w:t>InPost</w:t>
      </w:r>
      <w:proofErr w:type="spellEnd"/>
      <w:r w:rsidR="00B21DEC">
        <w:t>, offer extensive last-mile coverage.</w:t>
      </w:r>
      <w:r>
        <w:t xml:space="preserve"> Trade with Canada is further facilitated by the CETA agreement, reducing tariffs and enabling smoother market entry.</w:t>
      </w:r>
    </w:p>
    <w:p w14:paraId="673E2338" w14:textId="77777777" w:rsidR="009A69B1" w:rsidRDefault="009A69B1"/>
    <w:p w14:paraId="55D9FBED" w14:textId="77777777" w:rsidR="009A69B1" w:rsidRDefault="00000000">
      <w:r>
        <w:t>[Visual Suggestion: Internet penetration chart, mall distribution map, logistics coverage.]</w:t>
      </w:r>
    </w:p>
    <w:p w14:paraId="26A2921C" w14:textId="77777777" w:rsidR="009A69B1" w:rsidRDefault="009A69B1"/>
    <w:p w14:paraId="45CBFBF0" w14:textId="77777777" w:rsidR="009A69B1" w:rsidRDefault="00000000">
      <w:r>
        <w:rPr>
          <w:b/>
        </w:rPr>
        <w:t>Colombia</w:t>
      </w:r>
    </w:p>
    <w:p w14:paraId="3D8CEFC4" w14:textId="77777777" w:rsidR="009A69B1" w:rsidRDefault="009A69B1"/>
    <w:p w14:paraId="62D71A47" w14:textId="7D283CE7" w:rsidR="009A69B1" w:rsidRDefault="00B21DEC">
      <w:r>
        <w:t>Colombia has a dynamic market with potential growth in retail and consumer goods.</w:t>
      </w:r>
      <w:r w:rsidR="00000000">
        <w:t xml:space="preserve"> The economy is developing but stabilizing with increasing urbanization and improving infrastructure. </w:t>
      </w:r>
      <w:r>
        <w:t>While purchasing power remains lower than that in Kuwait or Poland, consumer demand is on the rise, particularly in cities such as Bogotá and Medellín.</w:t>
      </w:r>
    </w:p>
    <w:p w14:paraId="7117FB18" w14:textId="77777777" w:rsidR="009A69B1" w:rsidRDefault="009A69B1"/>
    <w:p w14:paraId="4008B7BD" w14:textId="6AC27013" w:rsidR="009A69B1" w:rsidRDefault="00B21DEC">
      <w:r>
        <w:t>Western brands are well received, particularly among younger consumers, although price sensitivity remains a concern.</w:t>
      </w:r>
      <w:r w:rsidR="00000000">
        <w:t xml:space="preserve"> Athleisure wear is gaining traction as fitness and wellness culture expands. However, Colombia’s logistical networks are less mature, with challenges in rural delivery and a limited warehousing infrastructure.</w:t>
      </w:r>
    </w:p>
    <w:p w14:paraId="297D966B" w14:textId="77777777" w:rsidR="009A69B1" w:rsidRDefault="009A69B1"/>
    <w:p w14:paraId="520048A8" w14:textId="153731FD" w:rsidR="009A69B1" w:rsidRDefault="00000000">
      <w:r>
        <w:t xml:space="preserve">Digital payments and mobile commerce are on the rise, driven by higher smartphone penetration. </w:t>
      </w:r>
      <w:r w:rsidR="00B21DEC">
        <w:t>Nonetheless, cash remains prevalent in many regions, creating a hybrid payment environment.</w:t>
      </w:r>
      <w:r>
        <w:t xml:space="preserve"> </w:t>
      </w:r>
      <w:r w:rsidR="00B21DEC">
        <w:t>The Canada–Colombia FTA reduces import duties and improves access. However, regulatory hurdles and taxation issues remain complex.</w:t>
      </w:r>
    </w:p>
    <w:p w14:paraId="6FF0414D" w14:textId="77777777" w:rsidR="009A69B1" w:rsidRDefault="009A69B1"/>
    <w:p w14:paraId="6F0612DE" w14:textId="77777777" w:rsidR="009A69B1" w:rsidRDefault="00000000">
      <w:r>
        <w:lastRenderedPageBreak/>
        <w:t>[Visual Suggestion: Urban retail zones in Bogotá/Medellín, digital vs. cash payment usage.]</w:t>
      </w:r>
    </w:p>
    <w:p w14:paraId="570EBE11" w14:textId="77777777" w:rsidR="009A69B1" w:rsidRDefault="009A69B1"/>
    <w:p w14:paraId="6B9E6FE9" w14:textId="77777777" w:rsidR="009A69B1" w:rsidRDefault="00000000">
      <w:r>
        <w:pict w14:anchorId="71963D12">
          <v:rect id="_x0000_i1027" style="width:468pt;height:1.5pt" o:hrstd="t" o:hr="t" fillcolor="gray" stroked="f">
            <v:path strokeok="f"/>
          </v:rect>
        </w:pict>
      </w:r>
    </w:p>
    <w:p w14:paraId="38382067" w14:textId="77777777" w:rsidR="009A69B1" w:rsidRDefault="009A69B1"/>
    <w:p w14:paraId="5C3FD27A" w14:textId="77777777" w:rsidR="009A69B1" w:rsidRDefault="00000000">
      <w:r>
        <w:rPr>
          <w:b/>
        </w:rPr>
        <w:t>3. Recommendation</w:t>
      </w:r>
    </w:p>
    <w:p w14:paraId="177A81F7" w14:textId="77777777" w:rsidR="009A69B1" w:rsidRDefault="009A69B1"/>
    <w:p w14:paraId="51D8ACEF" w14:textId="3CC36FC4" w:rsidR="009A69B1" w:rsidRDefault="00000000">
      <w:r>
        <w:t xml:space="preserve">Based on a detailed comparative analysis, Poland has emerged as the optimal market for Aritzia’s international expansion. </w:t>
      </w:r>
      <w:r w:rsidR="00B21DEC">
        <w:t>Poland's economic resilience, legal stability under EU governance, cultural alignment with Western brands, and evolving fashion markets create an ideal environment in which premium Canadian retailers can thrive.</w:t>
      </w:r>
    </w:p>
    <w:p w14:paraId="006F1C41" w14:textId="77777777" w:rsidR="009A69B1" w:rsidRDefault="009A69B1"/>
    <w:p w14:paraId="419B8B68" w14:textId="77777777" w:rsidR="009A69B1" w:rsidRDefault="00000000">
      <w:r>
        <w:t>Kuwait, while rich in purchasing power and consumer appetite for luxury, is limited by its complex labor environment, regulatory challenges, and underdeveloped digital commerce infrastructure. Colombia, with its youthful demographics and fashion interest, presents high potential but currently faces constraints in infrastructure and consumer spending.</w:t>
      </w:r>
    </w:p>
    <w:p w14:paraId="073FEB8E" w14:textId="77777777" w:rsidR="009A69B1" w:rsidRDefault="009A69B1"/>
    <w:p w14:paraId="3A3C4C33" w14:textId="77777777" w:rsidR="009A69B1" w:rsidRDefault="00000000">
      <w:r>
        <w:t>Poland provides a balanced combination of</w:t>
      </w:r>
    </w:p>
    <w:p w14:paraId="36442169" w14:textId="77777777" w:rsidR="009A69B1" w:rsidRDefault="009A69B1"/>
    <w:p w14:paraId="6EC28DA9" w14:textId="77777777" w:rsidR="009A69B1" w:rsidRDefault="00000000">
      <w:pPr>
        <w:numPr>
          <w:ilvl w:val="0"/>
          <w:numId w:val="1"/>
        </w:numPr>
      </w:pPr>
      <w:r>
        <w:t>Economic maturity and growth potential</w:t>
      </w:r>
    </w:p>
    <w:p w14:paraId="38C18867" w14:textId="77777777" w:rsidR="009A69B1" w:rsidRDefault="00000000">
      <w:pPr>
        <w:numPr>
          <w:ilvl w:val="0"/>
          <w:numId w:val="1"/>
        </w:numPr>
      </w:pPr>
      <w:r>
        <w:t>High internet penetration and digital shopping habits</w:t>
      </w:r>
    </w:p>
    <w:p w14:paraId="739AA291" w14:textId="77777777" w:rsidR="009A69B1" w:rsidRDefault="00000000">
      <w:pPr>
        <w:numPr>
          <w:ilvl w:val="0"/>
          <w:numId w:val="1"/>
        </w:numPr>
      </w:pPr>
      <w:r>
        <w:t>EU-CETA facilitated trade routes</w:t>
      </w:r>
    </w:p>
    <w:p w14:paraId="0E5B9C00" w14:textId="77777777" w:rsidR="009A69B1" w:rsidRDefault="00000000">
      <w:pPr>
        <w:numPr>
          <w:ilvl w:val="0"/>
          <w:numId w:val="1"/>
        </w:numPr>
      </w:pPr>
      <w:r>
        <w:t>Emerging wellness trends aligned with athleisure</w:t>
      </w:r>
    </w:p>
    <w:p w14:paraId="6B7C6146" w14:textId="77777777" w:rsidR="009A69B1" w:rsidRDefault="009A69B1"/>
    <w:p w14:paraId="1DAC99E4" w14:textId="62322F58" w:rsidR="009A69B1" w:rsidRDefault="00B21DEC">
      <w:r>
        <w:t>This combination supports Aritzia’s immediate entry and its long-term scalability.</w:t>
      </w:r>
    </w:p>
    <w:p w14:paraId="01988331" w14:textId="77777777" w:rsidR="009A69B1" w:rsidRDefault="009A69B1"/>
    <w:p w14:paraId="52EDAD97" w14:textId="77777777" w:rsidR="009A69B1" w:rsidRDefault="00000000">
      <w:r>
        <w:pict w14:anchorId="2BB1DA2B">
          <v:rect id="_x0000_i1028" style="width:468pt;height:1.5pt" o:hrstd="t" o:hr="t" fillcolor="gray" stroked="f">
            <v:path strokeok="f"/>
          </v:rect>
        </w:pict>
      </w:r>
    </w:p>
    <w:p w14:paraId="03295BF1" w14:textId="77777777" w:rsidR="009A69B1" w:rsidRDefault="009A69B1"/>
    <w:p w14:paraId="64B8E292" w14:textId="77777777" w:rsidR="009A69B1" w:rsidRDefault="00000000">
      <w:r>
        <w:rPr>
          <w:b/>
        </w:rPr>
        <w:t>4. Market Entry Strategy</w:t>
      </w:r>
    </w:p>
    <w:p w14:paraId="23D8F9D2" w14:textId="77777777" w:rsidR="009A69B1" w:rsidRDefault="009A69B1"/>
    <w:p w14:paraId="55F4C4A8" w14:textId="37822C63" w:rsidR="009A69B1" w:rsidRDefault="00B21DEC">
      <w:r>
        <w:t xml:space="preserve">Aritzia should pursue a </w:t>
      </w:r>
      <w:r>
        <w:rPr>
          <w:b/>
        </w:rPr>
        <w:t>dual-channel market-entry strategy</w:t>
      </w:r>
      <w:r>
        <w:t>.</w:t>
      </w:r>
    </w:p>
    <w:p w14:paraId="2A2932EE" w14:textId="77777777" w:rsidR="009A69B1" w:rsidRDefault="009A69B1"/>
    <w:p w14:paraId="09939C65" w14:textId="77777777" w:rsidR="009A69B1" w:rsidRDefault="00000000">
      <w:r>
        <w:rPr>
          <w:b/>
        </w:rPr>
        <w:t>1. Physical retail flagship store</w:t>
      </w:r>
    </w:p>
    <w:p w14:paraId="7EE3908D" w14:textId="77777777" w:rsidR="009A69B1" w:rsidRDefault="009A69B1"/>
    <w:p w14:paraId="7B2D6476" w14:textId="458647F5" w:rsidR="009A69B1" w:rsidRDefault="00B21DEC">
      <w:pPr>
        <w:numPr>
          <w:ilvl w:val="0"/>
          <w:numId w:val="2"/>
        </w:numPr>
      </w:pPr>
      <w:r>
        <w:t>Launch stores in Warsaw, Krakow, and Gdansk anchor brands in high traffic zones.</w:t>
      </w:r>
    </w:p>
    <w:p w14:paraId="1773EACC" w14:textId="77777777" w:rsidR="009A69B1" w:rsidRDefault="00000000">
      <w:pPr>
        <w:numPr>
          <w:ilvl w:val="0"/>
          <w:numId w:val="2"/>
        </w:numPr>
      </w:pPr>
      <w:r>
        <w:t>Lease space in premium and high-street retail strips.</w:t>
      </w:r>
    </w:p>
    <w:p w14:paraId="55034530" w14:textId="77777777" w:rsidR="009A69B1" w:rsidRDefault="00000000">
      <w:pPr>
        <w:numPr>
          <w:ilvl w:val="0"/>
          <w:numId w:val="2"/>
        </w:numPr>
      </w:pPr>
      <w:r>
        <w:t>Store interiors should mirror Canadian locations but with local touches in language, music, and seasonal merchandising.</w:t>
      </w:r>
    </w:p>
    <w:p w14:paraId="79821B4D" w14:textId="77777777" w:rsidR="009A69B1" w:rsidRDefault="009A69B1"/>
    <w:p w14:paraId="0F5E4326" w14:textId="77777777" w:rsidR="009A69B1" w:rsidRDefault="00000000">
      <w:r>
        <w:rPr>
          <w:b/>
        </w:rPr>
        <w:t>2. E-Commerce Platform:</w:t>
      </w:r>
    </w:p>
    <w:p w14:paraId="2E42CB1E" w14:textId="77777777" w:rsidR="009A69B1" w:rsidRDefault="009A69B1"/>
    <w:p w14:paraId="53770E39" w14:textId="77777777" w:rsidR="009A69B1" w:rsidRDefault="00000000">
      <w:pPr>
        <w:numPr>
          <w:ilvl w:val="0"/>
          <w:numId w:val="3"/>
        </w:numPr>
      </w:pPr>
      <w:r>
        <w:t>Launch a Polish language website with geo-targeted pricing.</w:t>
      </w:r>
    </w:p>
    <w:p w14:paraId="19696FC2" w14:textId="0872C60E" w:rsidR="009A69B1" w:rsidRDefault="00B21DEC">
      <w:pPr>
        <w:numPr>
          <w:ilvl w:val="0"/>
          <w:numId w:val="3"/>
        </w:numPr>
      </w:pPr>
      <w:r>
        <w:t>Integrating the BLIK, PayU, and mobile wall options.</w:t>
      </w:r>
    </w:p>
    <w:p w14:paraId="7CF13127" w14:textId="36FF632D" w:rsidR="009A69B1" w:rsidRDefault="00B21DEC">
      <w:pPr>
        <w:numPr>
          <w:ilvl w:val="0"/>
          <w:numId w:val="3"/>
        </w:numPr>
      </w:pPr>
      <w:r>
        <w:t xml:space="preserve">Implement same-day delivery in major cities using local logistics providers such as </w:t>
      </w:r>
      <w:proofErr w:type="spellStart"/>
      <w:r>
        <w:t>InPost</w:t>
      </w:r>
      <w:proofErr w:type="spellEnd"/>
      <w:r>
        <w:t>.</w:t>
      </w:r>
    </w:p>
    <w:p w14:paraId="4BF7908A" w14:textId="77777777" w:rsidR="009A69B1" w:rsidRDefault="009A69B1"/>
    <w:p w14:paraId="7370E335" w14:textId="77777777" w:rsidR="009A69B1" w:rsidRDefault="00000000">
      <w:r>
        <w:lastRenderedPageBreak/>
        <w:t>This hybrid strategy enables brand recognition via retail while leveraging Poland’s advanced digital behavior for scalable outreach.</w:t>
      </w:r>
    </w:p>
    <w:p w14:paraId="4CC969BB" w14:textId="77777777" w:rsidR="009A69B1" w:rsidRDefault="009A69B1"/>
    <w:p w14:paraId="65E9FFFA" w14:textId="77777777" w:rsidR="009A69B1" w:rsidRDefault="00000000">
      <w:r>
        <w:t>[Visual Suggestion: Store interior mockup, website localization example.]</w:t>
      </w:r>
    </w:p>
    <w:p w14:paraId="5D0DF9E0" w14:textId="77777777" w:rsidR="009A69B1" w:rsidRDefault="009A69B1"/>
    <w:p w14:paraId="7C380154" w14:textId="77777777" w:rsidR="009A69B1" w:rsidRDefault="00000000">
      <w:r>
        <w:pict w14:anchorId="610B7C8F">
          <v:rect id="_x0000_i1029" style="width:468pt;height:1.5pt" o:hrstd="t" o:hr="t" fillcolor="gray" stroked="f">
            <v:path strokeok="f"/>
          </v:rect>
        </w:pict>
      </w:r>
    </w:p>
    <w:p w14:paraId="0B97F67E" w14:textId="77777777" w:rsidR="009A69B1" w:rsidRDefault="009A69B1"/>
    <w:p w14:paraId="5FD806BB" w14:textId="77777777" w:rsidR="009A69B1" w:rsidRDefault="00000000">
      <w:r>
        <w:rPr>
          <w:b/>
        </w:rPr>
        <w:t>5. Implementation Plan</w:t>
      </w:r>
    </w:p>
    <w:p w14:paraId="7D870E4B" w14:textId="77777777" w:rsidR="009A69B1" w:rsidRDefault="009A69B1"/>
    <w:p w14:paraId="413C55B2" w14:textId="03251FCB" w:rsidR="009A69B1" w:rsidRDefault="00B21DEC">
      <w:r>
        <w:t>Successful market entry into Poland will require a multiphase implementation strategy designed to manage costs, mitigate risks, and adapt to local preferences.</w:t>
      </w:r>
      <w:r w:rsidR="00000000">
        <w:t xml:space="preserve"> </w:t>
      </w:r>
      <w:r>
        <w:t>Aritzia should approach this expansion in the following four phases.</w:t>
      </w:r>
    </w:p>
    <w:p w14:paraId="42B070A5" w14:textId="77777777" w:rsidR="009A69B1" w:rsidRDefault="009A69B1"/>
    <w:p w14:paraId="05DE41C3" w14:textId="77777777" w:rsidR="009A69B1" w:rsidRDefault="00000000">
      <w:r>
        <w:rPr>
          <w:b/>
        </w:rPr>
        <w:t>Phase 1: Pre-Entry Preparation (Q2 2025)</w:t>
      </w:r>
    </w:p>
    <w:p w14:paraId="3A8D84D2" w14:textId="77777777" w:rsidR="009A69B1" w:rsidRDefault="009A69B1"/>
    <w:p w14:paraId="622D41DB" w14:textId="77777777" w:rsidR="009A69B1" w:rsidRDefault="00000000">
      <w:pPr>
        <w:numPr>
          <w:ilvl w:val="0"/>
          <w:numId w:val="4"/>
        </w:numPr>
      </w:pPr>
      <w:r>
        <w:t>Conduct in-depth market validation and finalize feasibility studies.</w:t>
      </w:r>
    </w:p>
    <w:p w14:paraId="7D445907" w14:textId="77777777" w:rsidR="009A69B1" w:rsidRDefault="00000000">
      <w:pPr>
        <w:numPr>
          <w:ilvl w:val="0"/>
          <w:numId w:val="4"/>
        </w:numPr>
      </w:pPr>
      <w:r>
        <w:t>Register Aritzia Polska LLC and ensure compliance with EU commercial, tax, and labor regulations.</w:t>
      </w:r>
    </w:p>
    <w:p w14:paraId="42186604" w14:textId="77777777" w:rsidR="009A69B1" w:rsidRDefault="00000000">
      <w:pPr>
        <w:numPr>
          <w:ilvl w:val="0"/>
          <w:numId w:val="4"/>
        </w:numPr>
      </w:pPr>
      <w:r>
        <w:t>Hire a local expansion team that includes legal consultants, HR managers, and real estate agents.</w:t>
      </w:r>
    </w:p>
    <w:p w14:paraId="3D0E86B0" w14:textId="77777777" w:rsidR="009A69B1" w:rsidRDefault="00000000">
      <w:pPr>
        <w:numPr>
          <w:ilvl w:val="0"/>
          <w:numId w:val="4"/>
        </w:numPr>
      </w:pPr>
      <w:r>
        <w:t>Translate and localize digital content, marketing materials, and operational manuals.</w:t>
      </w:r>
    </w:p>
    <w:p w14:paraId="7151E29B" w14:textId="77777777" w:rsidR="009A69B1" w:rsidRDefault="009A69B1"/>
    <w:p w14:paraId="6D6F37E3" w14:textId="77777777" w:rsidR="009A69B1" w:rsidRDefault="00000000">
      <w:r>
        <w:rPr>
          <w:b/>
        </w:rPr>
        <w:t>Phase 2: Infrastructure Setup (Q3–Q4 2025)</w:t>
      </w:r>
    </w:p>
    <w:p w14:paraId="5EBFE8BD" w14:textId="77777777" w:rsidR="009A69B1" w:rsidRDefault="009A69B1"/>
    <w:p w14:paraId="03507C72" w14:textId="77777777" w:rsidR="009A69B1" w:rsidRDefault="00000000">
      <w:pPr>
        <w:numPr>
          <w:ilvl w:val="0"/>
          <w:numId w:val="5"/>
        </w:numPr>
      </w:pPr>
      <w:r>
        <w:t>Finalize lease agreements and begin interior construction for the three flagship locations.</w:t>
      </w:r>
    </w:p>
    <w:p w14:paraId="41C2D677" w14:textId="77777777" w:rsidR="009A69B1" w:rsidRDefault="00000000">
      <w:pPr>
        <w:numPr>
          <w:ilvl w:val="0"/>
          <w:numId w:val="5"/>
        </w:numPr>
      </w:pPr>
      <w:r>
        <w:t xml:space="preserve">Partners with logistics providers (e.g., </w:t>
      </w:r>
      <w:proofErr w:type="spellStart"/>
      <w:r>
        <w:t>InPost</w:t>
      </w:r>
      <w:proofErr w:type="spellEnd"/>
      <w:r>
        <w:t xml:space="preserve"> and DPD) for warehousing and distribution.</w:t>
      </w:r>
    </w:p>
    <w:p w14:paraId="6AAA5DC9" w14:textId="220983CA" w:rsidR="009A69B1" w:rsidRDefault="00B21DEC">
      <w:pPr>
        <w:numPr>
          <w:ilvl w:val="0"/>
          <w:numId w:val="5"/>
        </w:numPr>
      </w:pPr>
      <w:r>
        <w:t>Integrating payment gateways with e-Commerce platforms.</w:t>
      </w:r>
    </w:p>
    <w:p w14:paraId="24DCCE99" w14:textId="0144CEBD" w:rsidR="009A69B1" w:rsidRDefault="00B21DEC">
      <w:pPr>
        <w:numPr>
          <w:ilvl w:val="0"/>
          <w:numId w:val="5"/>
        </w:numPr>
      </w:pPr>
      <w:r>
        <w:t>Launch staff recruitment began with onboarding and training, aligned with Aritzia’s customer service philosophy.</w:t>
      </w:r>
    </w:p>
    <w:p w14:paraId="45EE909C" w14:textId="77777777" w:rsidR="009A69B1" w:rsidRDefault="009A69B1"/>
    <w:p w14:paraId="6C2E8005" w14:textId="77777777" w:rsidR="009A69B1" w:rsidRDefault="00000000">
      <w:r>
        <w:rPr>
          <w:b/>
        </w:rPr>
        <w:t>Phase 3: Launch and Awareness Campaign (Q1 2026)</w:t>
      </w:r>
    </w:p>
    <w:p w14:paraId="4EF2275E" w14:textId="77777777" w:rsidR="009A69B1" w:rsidRDefault="009A69B1"/>
    <w:p w14:paraId="3ADD1C30" w14:textId="77777777" w:rsidR="009A69B1" w:rsidRDefault="00000000">
      <w:pPr>
        <w:numPr>
          <w:ilvl w:val="0"/>
          <w:numId w:val="6"/>
        </w:numPr>
      </w:pPr>
      <w:r>
        <w:t>Launch physical stores in Warsaw and Krakow.</w:t>
      </w:r>
    </w:p>
    <w:p w14:paraId="4F8F2B83" w14:textId="019D6884" w:rsidR="009A69B1" w:rsidRDefault="00B21DEC">
      <w:pPr>
        <w:numPr>
          <w:ilvl w:val="0"/>
          <w:numId w:val="6"/>
        </w:numPr>
      </w:pPr>
      <w:r>
        <w:t>Go live on e-commerce platforms.</w:t>
      </w:r>
    </w:p>
    <w:p w14:paraId="428524C5" w14:textId="77777777" w:rsidR="009A69B1" w:rsidRDefault="00000000">
      <w:pPr>
        <w:numPr>
          <w:ilvl w:val="0"/>
          <w:numId w:val="6"/>
        </w:numPr>
      </w:pPr>
      <w:r>
        <w:t>Initiate a coordinated national marketing campaign including influencer partnerships, opening events, digital advertisements, and PR outreach.</w:t>
      </w:r>
    </w:p>
    <w:p w14:paraId="08E06DCA" w14:textId="77777777" w:rsidR="009A69B1" w:rsidRDefault="00000000">
      <w:pPr>
        <w:numPr>
          <w:ilvl w:val="0"/>
          <w:numId w:val="6"/>
        </w:numPr>
      </w:pPr>
      <w:r>
        <w:t>Launch a loyalty reward program specific to the Polish market.</w:t>
      </w:r>
    </w:p>
    <w:p w14:paraId="24E09828" w14:textId="77777777" w:rsidR="009A69B1" w:rsidRDefault="009A69B1"/>
    <w:p w14:paraId="5739EBBB" w14:textId="77777777" w:rsidR="009A69B1" w:rsidRDefault="00000000">
      <w:r>
        <w:rPr>
          <w:b/>
        </w:rPr>
        <w:t>Phase 4: Optimization and Expansion (Q2–Q4 2026)</w:t>
      </w:r>
    </w:p>
    <w:p w14:paraId="64153D6C" w14:textId="77777777" w:rsidR="009A69B1" w:rsidRDefault="009A69B1"/>
    <w:p w14:paraId="1DE245EF" w14:textId="77777777" w:rsidR="009A69B1" w:rsidRDefault="00000000">
      <w:pPr>
        <w:numPr>
          <w:ilvl w:val="0"/>
          <w:numId w:val="7"/>
        </w:numPr>
      </w:pPr>
      <w:r>
        <w:t>Conduct a 6-month performance review for all locations and digital channels.</w:t>
      </w:r>
    </w:p>
    <w:p w14:paraId="0CA1924E" w14:textId="77777777" w:rsidR="009A69B1" w:rsidRDefault="00000000">
      <w:pPr>
        <w:numPr>
          <w:ilvl w:val="0"/>
          <w:numId w:val="7"/>
        </w:numPr>
      </w:pPr>
      <w:r>
        <w:t>Adjust inventory planning, promotions, and staffing levels based on customer feedback and performance data.</w:t>
      </w:r>
    </w:p>
    <w:p w14:paraId="2D7681D2" w14:textId="77777777" w:rsidR="009A69B1" w:rsidRDefault="00000000">
      <w:pPr>
        <w:numPr>
          <w:ilvl w:val="0"/>
          <w:numId w:val="7"/>
        </w:numPr>
      </w:pPr>
      <w:r>
        <w:t xml:space="preserve">Identify second-tier cities for expansion (e.g., </w:t>
      </w:r>
      <w:proofErr w:type="spellStart"/>
      <w:r>
        <w:t>Wrocław</w:t>
      </w:r>
      <w:proofErr w:type="spellEnd"/>
      <w:r>
        <w:t xml:space="preserve"> and </w:t>
      </w:r>
      <w:proofErr w:type="spellStart"/>
      <w:r>
        <w:t>Poznań</w:t>
      </w:r>
      <w:proofErr w:type="spellEnd"/>
      <w:r>
        <w:t>).</w:t>
      </w:r>
    </w:p>
    <w:p w14:paraId="365F13B5" w14:textId="77777777" w:rsidR="009A69B1" w:rsidRDefault="009A69B1"/>
    <w:p w14:paraId="7883C5FE" w14:textId="77777777" w:rsidR="009A69B1" w:rsidRDefault="00000000">
      <w:r>
        <w:t>[Visual Suggestion: Gantt chart showing key milestones across 2025–2026.]</w:t>
      </w:r>
    </w:p>
    <w:p w14:paraId="724F86CC" w14:textId="77777777" w:rsidR="009A69B1" w:rsidRDefault="009A69B1"/>
    <w:p w14:paraId="6FF3451B" w14:textId="77777777" w:rsidR="009A69B1" w:rsidRDefault="00000000">
      <w:r>
        <w:pict w14:anchorId="10B66B18">
          <v:rect id="_x0000_i1030" style="width:468pt;height:1.5pt" o:hrstd="t" o:hr="t" fillcolor="gray" stroked="f">
            <v:path strokeok="f"/>
          </v:rect>
        </w:pict>
      </w:r>
    </w:p>
    <w:p w14:paraId="62AF0688" w14:textId="77777777" w:rsidR="009A69B1" w:rsidRDefault="009A69B1"/>
    <w:p w14:paraId="6F9A74A2" w14:textId="77777777" w:rsidR="009A69B1" w:rsidRDefault="00000000">
      <w:r>
        <w:rPr>
          <w:b/>
        </w:rPr>
        <w:t>6. Financial Considerations</w:t>
      </w:r>
    </w:p>
    <w:p w14:paraId="137953E7" w14:textId="77777777" w:rsidR="009A69B1" w:rsidRDefault="009A69B1"/>
    <w:p w14:paraId="309491DF" w14:textId="77777777" w:rsidR="009A69B1" w:rsidRDefault="00000000">
      <w:r>
        <w:rPr>
          <w:b/>
        </w:rPr>
        <w:t>Initial Investment Overview</w:t>
      </w:r>
    </w:p>
    <w:p w14:paraId="4EACE064" w14:textId="77777777" w:rsidR="009A69B1" w:rsidRDefault="009A69B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5"/>
        <w:gridCol w:w="3905"/>
      </w:tblGrid>
      <w:tr w:rsidR="009A69B1" w14:paraId="0C2D0EA1" w14:textId="77777777">
        <w:tc>
          <w:tcPr>
            <w:tcW w:w="0" w:type="auto"/>
          </w:tcPr>
          <w:p w14:paraId="59294800" w14:textId="77777777" w:rsidR="009A69B1" w:rsidRDefault="00000000">
            <w:r>
              <w:t>Cost Category</w:t>
            </w:r>
          </w:p>
          <w:p w14:paraId="1FBC0284" w14:textId="77777777" w:rsidR="009A69B1" w:rsidRDefault="009A69B1"/>
        </w:tc>
        <w:tc>
          <w:tcPr>
            <w:tcW w:w="0" w:type="auto"/>
          </w:tcPr>
          <w:p w14:paraId="0AB9459E" w14:textId="77777777" w:rsidR="009A69B1" w:rsidRDefault="00000000">
            <w:r>
              <w:t>Estimated Budget (CAD)</w:t>
            </w:r>
          </w:p>
          <w:p w14:paraId="00B072B4" w14:textId="77777777" w:rsidR="009A69B1" w:rsidRDefault="009A69B1"/>
        </w:tc>
      </w:tr>
      <w:tr w:rsidR="009A69B1" w14:paraId="7E3DB4E3" w14:textId="77777777">
        <w:tc>
          <w:tcPr>
            <w:tcW w:w="0" w:type="auto"/>
          </w:tcPr>
          <w:p w14:paraId="3796E28C" w14:textId="77777777" w:rsidR="009A69B1" w:rsidRDefault="00000000">
            <w:r>
              <w:t>Retail Store Development (3 stores)</w:t>
            </w:r>
          </w:p>
          <w:p w14:paraId="327DF2B5" w14:textId="77777777" w:rsidR="009A69B1" w:rsidRDefault="009A69B1"/>
        </w:tc>
        <w:tc>
          <w:tcPr>
            <w:tcW w:w="0" w:type="auto"/>
          </w:tcPr>
          <w:p w14:paraId="24D4E3D2" w14:textId="77777777" w:rsidR="009A69B1" w:rsidRDefault="00000000">
            <w:r>
              <w:t>$6,500,000</w:t>
            </w:r>
          </w:p>
          <w:p w14:paraId="1634AF81" w14:textId="77777777" w:rsidR="009A69B1" w:rsidRDefault="009A69B1"/>
        </w:tc>
      </w:tr>
      <w:tr w:rsidR="009A69B1" w14:paraId="1A23D7AA" w14:textId="77777777">
        <w:tc>
          <w:tcPr>
            <w:tcW w:w="0" w:type="auto"/>
          </w:tcPr>
          <w:p w14:paraId="20515E2E" w14:textId="77777777" w:rsidR="009A69B1" w:rsidRDefault="00000000">
            <w:r>
              <w:t>E-commerce Infrastructure</w:t>
            </w:r>
          </w:p>
          <w:p w14:paraId="6C96CBF9" w14:textId="77777777" w:rsidR="009A69B1" w:rsidRDefault="009A69B1"/>
        </w:tc>
        <w:tc>
          <w:tcPr>
            <w:tcW w:w="0" w:type="auto"/>
          </w:tcPr>
          <w:p w14:paraId="701BF150" w14:textId="77777777" w:rsidR="009A69B1" w:rsidRDefault="00000000">
            <w:r>
              <w:t>$600,000</w:t>
            </w:r>
          </w:p>
          <w:p w14:paraId="7B056C97" w14:textId="77777777" w:rsidR="009A69B1" w:rsidRDefault="009A69B1"/>
        </w:tc>
      </w:tr>
      <w:tr w:rsidR="009A69B1" w14:paraId="7C8379C6" w14:textId="77777777">
        <w:tc>
          <w:tcPr>
            <w:tcW w:w="0" w:type="auto"/>
          </w:tcPr>
          <w:p w14:paraId="6C156381" w14:textId="77777777" w:rsidR="009A69B1" w:rsidRDefault="00000000">
            <w:r>
              <w:t>Staff Recruitment and Training</w:t>
            </w:r>
          </w:p>
          <w:p w14:paraId="0B974866" w14:textId="77777777" w:rsidR="009A69B1" w:rsidRDefault="009A69B1"/>
        </w:tc>
        <w:tc>
          <w:tcPr>
            <w:tcW w:w="0" w:type="auto"/>
          </w:tcPr>
          <w:p w14:paraId="45C12056" w14:textId="77777777" w:rsidR="009A69B1" w:rsidRDefault="00000000">
            <w:r>
              <w:t>$1,000,000</w:t>
            </w:r>
          </w:p>
          <w:p w14:paraId="1D024E53" w14:textId="77777777" w:rsidR="009A69B1" w:rsidRDefault="009A69B1"/>
        </w:tc>
      </w:tr>
      <w:tr w:rsidR="009A69B1" w14:paraId="4DA050DE" w14:textId="77777777">
        <w:tc>
          <w:tcPr>
            <w:tcW w:w="0" w:type="auto"/>
          </w:tcPr>
          <w:p w14:paraId="5AE3A6E6" w14:textId="77777777" w:rsidR="009A69B1" w:rsidRDefault="00000000">
            <w:r>
              <w:t>Logistics and Warehousing Setup</w:t>
            </w:r>
          </w:p>
          <w:p w14:paraId="6A86BD10" w14:textId="77777777" w:rsidR="009A69B1" w:rsidRDefault="009A69B1"/>
        </w:tc>
        <w:tc>
          <w:tcPr>
            <w:tcW w:w="0" w:type="auto"/>
          </w:tcPr>
          <w:p w14:paraId="4E100426" w14:textId="77777777" w:rsidR="009A69B1" w:rsidRDefault="00000000">
            <w:r>
              <w:t>$900,000</w:t>
            </w:r>
          </w:p>
          <w:p w14:paraId="577C10E0" w14:textId="77777777" w:rsidR="009A69B1" w:rsidRDefault="009A69B1"/>
        </w:tc>
      </w:tr>
      <w:tr w:rsidR="009A69B1" w14:paraId="5802B2E2" w14:textId="77777777">
        <w:tc>
          <w:tcPr>
            <w:tcW w:w="0" w:type="auto"/>
          </w:tcPr>
          <w:p w14:paraId="1A4B3948" w14:textId="77777777" w:rsidR="009A69B1" w:rsidRDefault="00000000">
            <w:r>
              <w:t>Marketing &amp; Advertising Campaign</w:t>
            </w:r>
          </w:p>
          <w:p w14:paraId="52E13075" w14:textId="77777777" w:rsidR="009A69B1" w:rsidRDefault="009A69B1"/>
        </w:tc>
        <w:tc>
          <w:tcPr>
            <w:tcW w:w="0" w:type="auto"/>
          </w:tcPr>
          <w:p w14:paraId="240CE647" w14:textId="77777777" w:rsidR="009A69B1" w:rsidRDefault="00000000">
            <w:r>
              <w:t>$1,200,000</w:t>
            </w:r>
          </w:p>
          <w:p w14:paraId="1DEAE93E" w14:textId="77777777" w:rsidR="009A69B1" w:rsidRDefault="009A69B1"/>
        </w:tc>
      </w:tr>
      <w:tr w:rsidR="009A69B1" w14:paraId="7476AE0F" w14:textId="77777777">
        <w:tc>
          <w:tcPr>
            <w:tcW w:w="0" w:type="auto"/>
          </w:tcPr>
          <w:p w14:paraId="7A956D40" w14:textId="77777777" w:rsidR="009A69B1" w:rsidRDefault="00000000">
            <w:r>
              <w:t>Legal, Licensing &amp; Compliance</w:t>
            </w:r>
          </w:p>
          <w:p w14:paraId="518D38B2" w14:textId="77777777" w:rsidR="009A69B1" w:rsidRDefault="009A69B1"/>
        </w:tc>
        <w:tc>
          <w:tcPr>
            <w:tcW w:w="0" w:type="auto"/>
          </w:tcPr>
          <w:p w14:paraId="31C4D5AA" w14:textId="77777777" w:rsidR="009A69B1" w:rsidRDefault="00000000">
            <w:r>
              <w:t>$300,000</w:t>
            </w:r>
          </w:p>
          <w:p w14:paraId="67459BCB" w14:textId="77777777" w:rsidR="009A69B1" w:rsidRDefault="009A69B1"/>
        </w:tc>
      </w:tr>
      <w:tr w:rsidR="009A69B1" w14:paraId="069F2879" w14:textId="77777777">
        <w:tc>
          <w:tcPr>
            <w:tcW w:w="0" w:type="auto"/>
          </w:tcPr>
          <w:p w14:paraId="08006432" w14:textId="77777777" w:rsidR="009A69B1" w:rsidRDefault="00000000">
            <w:r>
              <w:t>Contingency Funds (10%)</w:t>
            </w:r>
          </w:p>
          <w:p w14:paraId="121097A0" w14:textId="77777777" w:rsidR="009A69B1" w:rsidRDefault="009A69B1"/>
        </w:tc>
        <w:tc>
          <w:tcPr>
            <w:tcW w:w="0" w:type="auto"/>
          </w:tcPr>
          <w:p w14:paraId="21959737" w14:textId="77777777" w:rsidR="009A69B1" w:rsidRDefault="00000000">
            <w:r>
              <w:t>$1,050,000</w:t>
            </w:r>
          </w:p>
          <w:p w14:paraId="02D6D467" w14:textId="77777777" w:rsidR="009A69B1" w:rsidRDefault="009A69B1"/>
        </w:tc>
      </w:tr>
      <w:tr w:rsidR="009A69B1" w14:paraId="16301178" w14:textId="77777777">
        <w:tc>
          <w:tcPr>
            <w:tcW w:w="0" w:type="auto"/>
          </w:tcPr>
          <w:p w14:paraId="22E04E27" w14:textId="77777777" w:rsidR="009A69B1" w:rsidRDefault="00000000">
            <w:r>
              <w:t>Total Estimated Investment</w:t>
            </w:r>
          </w:p>
          <w:p w14:paraId="1222EE60" w14:textId="77777777" w:rsidR="009A69B1" w:rsidRDefault="009A69B1"/>
        </w:tc>
        <w:tc>
          <w:tcPr>
            <w:tcW w:w="0" w:type="auto"/>
          </w:tcPr>
          <w:p w14:paraId="611F96A7" w14:textId="77777777" w:rsidR="009A69B1" w:rsidRDefault="00000000">
            <w:r>
              <w:t>$11,550,000</w:t>
            </w:r>
          </w:p>
          <w:p w14:paraId="13E36896" w14:textId="77777777" w:rsidR="009A69B1" w:rsidRDefault="009A69B1"/>
        </w:tc>
      </w:tr>
    </w:tbl>
    <w:p w14:paraId="4D1AED4D" w14:textId="77777777" w:rsidR="009A69B1" w:rsidRDefault="009A69B1"/>
    <w:p w14:paraId="1D0E9278" w14:textId="77777777" w:rsidR="009A69B1" w:rsidRDefault="00000000">
      <w:r>
        <w:rPr>
          <w:b/>
        </w:rPr>
        <w:t>Revenue Forecast (Years 1–3)</w:t>
      </w:r>
    </w:p>
    <w:p w14:paraId="5315C3DC" w14:textId="77777777" w:rsidR="009A69B1" w:rsidRDefault="009A69B1"/>
    <w:p w14:paraId="0507A698" w14:textId="77777777" w:rsidR="009A69B1" w:rsidRDefault="00000000">
      <w:pPr>
        <w:numPr>
          <w:ilvl w:val="0"/>
          <w:numId w:val="8"/>
        </w:numPr>
      </w:pPr>
      <w:r>
        <w:t>Year 1 (2026)</w:t>
      </w:r>
    </w:p>
    <w:p w14:paraId="118EB644" w14:textId="77777777" w:rsidR="009A69B1" w:rsidRDefault="00000000">
      <w:pPr>
        <w:numPr>
          <w:ilvl w:val="0"/>
          <w:numId w:val="8"/>
        </w:numPr>
      </w:pPr>
      <w:r>
        <w:t>: CAD $7.8 million (modest store and online growth)Year 2 (2027)</w:t>
      </w:r>
    </w:p>
    <w:p w14:paraId="2AF30627" w14:textId="77777777" w:rsidR="009A69B1" w:rsidRDefault="00000000">
      <w:pPr>
        <w:numPr>
          <w:ilvl w:val="0"/>
          <w:numId w:val="8"/>
        </w:numPr>
      </w:pPr>
      <w:r>
        <w:t>: CAD $12 million (expansion to more cities, increased brand awareness)Year 3 (2028)</w:t>
      </w:r>
    </w:p>
    <w:p w14:paraId="483FC987" w14:textId="77777777" w:rsidR="009A69B1" w:rsidRDefault="00000000">
      <w:r>
        <w:t>: CAD $17 million (break-even achieved mid-year, profitability in Q3)</w:t>
      </w:r>
    </w:p>
    <w:p w14:paraId="52232532" w14:textId="77777777" w:rsidR="009A69B1" w:rsidRDefault="00000000">
      <w:r>
        <w:rPr>
          <w:b/>
        </w:rPr>
        <w:t>Key Financial Metrics</w:t>
      </w:r>
    </w:p>
    <w:p w14:paraId="2956D13F" w14:textId="77777777" w:rsidR="009A69B1" w:rsidRDefault="009A69B1"/>
    <w:p w14:paraId="02A62ED0" w14:textId="77777777" w:rsidR="009A69B1" w:rsidRDefault="00000000">
      <w:pPr>
        <w:numPr>
          <w:ilvl w:val="0"/>
          <w:numId w:val="9"/>
        </w:numPr>
      </w:pPr>
      <w:r>
        <w:t>Average Order Value (AOV)</w:t>
      </w:r>
    </w:p>
    <w:p w14:paraId="3C5E9BA2" w14:textId="77777777" w:rsidR="009A69B1" w:rsidRDefault="00000000">
      <w:pPr>
        <w:numPr>
          <w:ilvl w:val="0"/>
          <w:numId w:val="9"/>
        </w:numPr>
      </w:pPr>
      <w:r>
        <w:t>: Target CAD $180–220Customer Acquisition Cost (CAC)</w:t>
      </w:r>
    </w:p>
    <w:p w14:paraId="148566EE" w14:textId="77777777" w:rsidR="009A69B1" w:rsidRDefault="00000000">
      <w:pPr>
        <w:numPr>
          <w:ilvl w:val="0"/>
          <w:numId w:val="9"/>
        </w:numPr>
      </w:pPr>
      <w:r>
        <w:t>: Estimated CAD $40–50Gross Margin</w:t>
      </w:r>
    </w:p>
    <w:p w14:paraId="5CCA711B" w14:textId="77777777" w:rsidR="009A69B1" w:rsidRDefault="00000000">
      <w:pPr>
        <w:numPr>
          <w:ilvl w:val="0"/>
          <w:numId w:val="9"/>
        </w:numPr>
      </w:pPr>
      <w:r>
        <w:t>: Projected 58–63%Payback Period</w:t>
      </w:r>
    </w:p>
    <w:p w14:paraId="5D61FEEF" w14:textId="77777777" w:rsidR="009A69B1" w:rsidRDefault="00000000">
      <w:r>
        <w:t>: 3.2 years</w:t>
      </w:r>
    </w:p>
    <w:p w14:paraId="137E06C5" w14:textId="77777777" w:rsidR="009A69B1" w:rsidRDefault="00000000">
      <w:r>
        <w:rPr>
          <w:b/>
        </w:rPr>
        <w:t>Risk Adjustments &amp; Sensitivities</w:t>
      </w:r>
    </w:p>
    <w:p w14:paraId="64D67547" w14:textId="77777777" w:rsidR="009A69B1" w:rsidRDefault="009A69B1"/>
    <w:p w14:paraId="125E0A19" w14:textId="77777777" w:rsidR="009A69B1" w:rsidRDefault="00000000">
      <w:pPr>
        <w:numPr>
          <w:ilvl w:val="0"/>
          <w:numId w:val="10"/>
        </w:numPr>
      </w:pPr>
      <w:r>
        <w:t>Including a 10% buffer for foreign exchange fluctuations.</w:t>
      </w:r>
    </w:p>
    <w:p w14:paraId="3CB62ABD" w14:textId="77777777" w:rsidR="009A69B1" w:rsidRDefault="00000000">
      <w:pPr>
        <w:numPr>
          <w:ilvl w:val="0"/>
          <w:numId w:val="10"/>
        </w:numPr>
      </w:pPr>
      <w:r>
        <w:t>Diversify suppliers to avoid over-reliance on single-source imports.</w:t>
      </w:r>
    </w:p>
    <w:p w14:paraId="33925D57" w14:textId="77777777" w:rsidR="009A69B1" w:rsidRDefault="00000000">
      <w:pPr>
        <w:numPr>
          <w:ilvl w:val="0"/>
          <w:numId w:val="10"/>
        </w:numPr>
      </w:pPr>
      <w:r>
        <w:t>Invest in cybersecurity for e-commerce infrastructure.</w:t>
      </w:r>
    </w:p>
    <w:p w14:paraId="1113B3CA" w14:textId="77777777" w:rsidR="009A69B1" w:rsidRDefault="009A69B1"/>
    <w:p w14:paraId="3BE5166A" w14:textId="77777777" w:rsidR="009A69B1" w:rsidRDefault="00000000">
      <w:r>
        <w:lastRenderedPageBreak/>
        <w:t>[Visual Suggestion: Bar chart showing revenue growth vs. cumulative investment.]</w:t>
      </w:r>
    </w:p>
    <w:p w14:paraId="5E99A5AA" w14:textId="77777777" w:rsidR="009A69B1" w:rsidRDefault="009A69B1"/>
    <w:p w14:paraId="47755DB3" w14:textId="77777777" w:rsidR="009A69B1" w:rsidRDefault="00000000">
      <w:r>
        <w:pict w14:anchorId="413735D6">
          <v:rect id="_x0000_i1031" style="width:468pt;height:1.5pt" o:hrstd="t" o:hr="t" fillcolor="gray" stroked="f">
            <v:path strokeok="f"/>
          </v:rect>
        </w:pict>
      </w:r>
    </w:p>
    <w:p w14:paraId="7C9867ED" w14:textId="77777777" w:rsidR="009A69B1" w:rsidRDefault="009A69B1"/>
    <w:p w14:paraId="7DD7EF5F" w14:textId="77777777" w:rsidR="009A69B1" w:rsidRDefault="00000000">
      <w:r>
        <w:rPr>
          <w:b/>
        </w:rPr>
        <w:t>7. Risk Analysis</w:t>
      </w:r>
    </w:p>
    <w:p w14:paraId="60070E83" w14:textId="77777777" w:rsidR="009A69B1" w:rsidRDefault="009A69B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2628"/>
        <w:gridCol w:w="2147"/>
        <w:gridCol w:w="2827"/>
      </w:tblGrid>
      <w:tr w:rsidR="009A69B1" w14:paraId="55EF176D" w14:textId="77777777">
        <w:tc>
          <w:tcPr>
            <w:tcW w:w="0" w:type="auto"/>
          </w:tcPr>
          <w:p w14:paraId="09C4B34D" w14:textId="77777777" w:rsidR="009A69B1" w:rsidRDefault="00000000">
            <w:r>
              <w:t>Risk Category</w:t>
            </w:r>
          </w:p>
          <w:p w14:paraId="5A1F402D" w14:textId="77777777" w:rsidR="009A69B1" w:rsidRDefault="009A69B1"/>
        </w:tc>
        <w:tc>
          <w:tcPr>
            <w:tcW w:w="0" w:type="auto"/>
          </w:tcPr>
          <w:p w14:paraId="7BEDE8D1" w14:textId="77777777" w:rsidR="009A69B1" w:rsidRDefault="00000000">
            <w:r>
              <w:t>Description</w:t>
            </w:r>
          </w:p>
          <w:p w14:paraId="71099E65" w14:textId="77777777" w:rsidR="009A69B1" w:rsidRDefault="009A69B1"/>
        </w:tc>
        <w:tc>
          <w:tcPr>
            <w:tcW w:w="0" w:type="auto"/>
          </w:tcPr>
          <w:p w14:paraId="190E8E4B" w14:textId="77777777" w:rsidR="009A69B1" w:rsidRDefault="00000000">
            <w:r>
              <w:t>Potential Impact</w:t>
            </w:r>
          </w:p>
          <w:p w14:paraId="5E7581A0" w14:textId="77777777" w:rsidR="009A69B1" w:rsidRDefault="009A69B1"/>
        </w:tc>
        <w:tc>
          <w:tcPr>
            <w:tcW w:w="0" w:type="auto"/>
          </w:tcPr>
          <w:p w14:paraId="5CFAC1AC" w14:textId="77777777" w:rsidR="009A69B1" w:rsidRDefault="00000000">
            <w:r>
              <w:t>Mitigation Strategy</w:t>
            </w:r>
          </w:p>
          <w:p w14:paraId="1AE4C891" w14:textId="77777777" w:rsidR="009A69B1" w:rsidRDefault="009A69B1"/>
        </w:tc>
      </w:tr>
      <w:tr w:rsidR="009A69B1" w14:paraId="02EF3BB5" w14:textId="77777777">
        <w:tc>
          <w:tcPr>
            <w:tcW w:w="0" w:type="auto"/>
          </w:tcPr>
          <w:p w14:paraId="506285A4" w14:textId="77777777" w:rsidR="009A69B1" w:rsidRDefault="00000000">
            <w:r>
              <w:t>Political &amp; Legal</w:t>
            </w:r>
          </w:p>
          <w:p w14:paraId="6EADC4A2" w14:textId="77777777" w:rsidR="009A69B1" w:rsidRDefault="009A69B1"/>
        </w:tc>
        <w:tc>
          <w:tcPr>
            <w:tcW w:w="0" w:type="auto"/>
          </w:tcPr>
          <w:p w14:paraId="1B5D75D0" w14:textId="77777777" w:rsidR="009A69B1" w:rsidRDefault="00000000">
            <w:r>
              <w:t>Regulatory shifts in the EU or Polish tax/labor law changes</w:t>
            </w:r>
          </w:p>
          <w:p w14:paraId="6B7D62E2" w14:textId="77777777" w:rsidR="009A69B1" w:rsidRDefault="009A69B1"/>
        </w:tc>
        <w:tc>
          <w:tcPr>
            <w:tcW w:w="0" w:type="auto"/>
          </w:tcPr>
          <w:p w14:paraId="44476C64" w14:textId="77777777" w:rsidR="009A69B1" w:rsidRDefault="00000000">
            <w:r>
              <w:t>Operational disruptions; increased costs</w:t>
            </w:r>
          </w:p>
          <w:p w14:paraId="03160E93" w14:textId="77777777" w:rsidR="009A69B1" w:rsidRDefault="009A69B1"/>
        </w:tc>
        <w:tc>
          <w:tcPr>
            <w:tcW w:w="0" w:type="auto"/>
          </w:tcPr>
          <w:p w14:paraId="0039D381" w14:textId="77777777" w:rsidR="009A69B1" w:rsidRDefault="00000000">
            <w:r>
              <w:t>Regular legal reviews; EU-aligned compliance tools</w:t>
            </w:r>
          </w:p>
          <w:p w14:paraId="4573B4E3" w14:textId="77777777" w:rsidR="009A69B1" w:rsidRDefault="009A69B1"/>
        </w:tc>
      </w:tr>
      <w:tr w:rsidR="009A69B1" w14:paraId="0A977EF8" w14:textId="77777777">
        <w:tc>
          <w:tcPr>
            <w:tcW w:w="0" w:type="auto"/>
          </w:tcPr>
          <w:p w14:paraId="2ED250C4" w14:textId="77777777" w:rsidR="009A69B1" w:rsidRDefault="00000000">
            <w:r>
              <w:t>Economic</w:t>
            </w:r>
          </w:p>
          <w:p w14:paraId="55714A04" w14:textId="77777777" w:rsidR="009A69B1" w:rsidRDefault="009A69B1"/>
        </w:tc>
        <w:tc>
          <w:tcPr>
            <w:tcW w:w="0" w:type="auto"/>
          </w:tcPr>
          <w:p w14:paraId="763171FD" w14:textId="77777777" w:rsidR="009A69B1" w:rsidRDefault="00000000">
            <w:r>
              <w:t>Inflation, interest rate hikes, or currency volatility</w:t>
            </w:r>
          </w:p>
          <w:p w14:paraId="61EEDE62" w14:textId="77777777" w:rsidR="009A69B1" w:rsidRDefault="009A69B1"/>
        </w:tc>
        <w:tc>
          <w:tcPr>
            <w:tcW w:w="0" w:type="auto"/>
          </w:tcPr>
          <w:p w14:paraId="23D64FF6" w14:textId="77777777" w:rsidR="009A69B1" w:rsidRDefault="00000000">
            <w:r>
              <w:t>Profit margin erosion; reduced consumer spending</w:t>
            </w:r>
          </w:p>
          <w:p w14:paraId="6FC65B98" w14:textId="77777777" w:rsidR="009A69B1" w:rsidRDefault="009A69B1"/>
        </w:tc>
        <w:tc>
          <w:tcPr>
            <w:tcW w:w="0" w:type="auto"/>
          </w:tcPr>
          <w:p w14:paraId="27B4BE25" w14:textId="77777777" w:rsidR="009A69B1" w:rsidRDefault="00000000">
            <w:r>
              <w:t>Use of hedging tools; flexible pricing strategies</w:t>
            </w:r>
          </w:p>
          <w:p w14:paraId="5BEF68E2" w14:textId="77777777" w:rsidR="009A69B1" w:rsidRDefault="009A69B1"/>
        </w:tc>
      </w:tr>
      <w:tr w:rsidR="009A69B1" w14:paraId="298E821D" w14:textId="77777777">
        <w:tc>
          <w:tcPr>
            <w:tcW w:w="0" w:type="auto"/>
          </w:tcPr>
          <w:p w14:paraId="70EEB3E7" w14:textId="77777777" w:rsidR="009A69B1" w:rsidRDefault="00000000">
            <w:r>
              <w:t>Cultural Misalignment</w:t>
            </w:r>
          </w:p>
          <w:p w14:paraId="10788D85" w14:textId="77777777" w:rsidR="009A69B1" w:rsidRDefault="009A69B1"/>
        </w:tc>
        <w:tc>
          <w:tcPr>
            <w:tcW w:w="0" w:type="auto"/>
          </w:tcPr>
          <w:p w14:paraId="7BD9F0AB" w14:textId="77777777" w:rsidR="009A69B1" w:rsidRDefault="00000000">
            <w:r>
              <w:t>Disconnect between Aritzia’s brand voice and Polish consumer values</w:t>
            </w:r>
          </w:p>
          <w:p w14:paraId="72F2C9A7" w14:textId="77777777" w:rsidR="009A69B1" w:rsidRDefault="009A69B1"/>
        </w:tc>
        <w:tc>
          <w:tcPr>
            <w:tcW w:w="0" w:type="auto"/>
          </w:tcPr>
          <w:p w14:paraId="672EFD7B" w14:textId="77777777" w:rsidR="009A69B1" w:rsidRDefault="00000000">
            <w:r>
              <w:t>Poor brand reception or low engagement</w:t>
            </w:r>
          </w:p>
          <w:p w14:paraId="10BF5498" w14:textId="77777777" w:rsidR="009A69B1" w:rsidRDefault="009A69B1"/>
        </w:tc>
        <w:tc>
          <w:tcPr>
            <w:tcW w:w="0" w:type="auto"/>
          </w:tcPr>
          <w:p w14:paraId="171CF6D4" w14:textId="77777777" w:rsidR="009A69B1" w:rsidRDefault="00000000">
            <w:r>
              <w:t>Conduct cultural adaptation studies; hire local marketing leads</w:t>
            </w:r>
          </w:p>
          <w:p w14:paraId="4D35F1EA" w14:textId="77777777" w:rsidR="009A69B1" w:rsidRDefault="009A69B1"/>
        </w:tc>
      </w:tr>
      <w:tr w:rsidR="009A69B1" w14:paraId="1A8B1EC4" w14:textId="77777777">
        <w:tc>
          <w:tcPr>
            <w:tcW w:w="0" w:type="auto"/>
          </w:tcPr>
          <w:p w14:paraId="5B225FC9" w14:textId="77777777" w:rsidR="009A69B1" w:rsidRDefault="00000000">
            <w:r>
              <w:t>Operational</w:t>
            </w:r>
          </w:p>
          <w:p w14:paraId="50C18646" w14:textId="77777777" w:rsidR="009A69B1" w:rsidRDefault="009A69B1"/>
        </w:tc>
        <w:tc>
          <w:tcPr>
            <w:tcW w:w="0" w:type="auto"/>
          </w:tcPr>
          <w:p w14:paraId="2B49069E" w14:textId="77777777" w:rsidR="009A69B1" w:rsidRDefault="00000000">
            <w:r>
              <w:t>Supply chain delays; staffing shortages; inventory errors</w:t>
            </w:r>
          </w:p>
          <w:p w14:paraId="2B8FB769" w14:textId="77777777" w:rsidR="009A69B1" w:rsidRDefault="009A69B1"/>
        </w:tc>
        <w:tc>
          <w:tcPr>
            <w:tcW w:w="0" w:type="auto"/>
          </w:tcPr>
          <w:p w14:paraId="437C1315" w14:textId="77777777" w:rsidR="009A69B1" w:rsidRDefault="00000000">
            <w:r>
              <w:t>Service delays; reduced sales performance</w:t>
            </w:r>
          </w:p>
          <w:p w14:paraId="09F4E19A" w14:textId="77777777" w:rsidR="009A69B1" w:rsidRDefault="009A69B1"/>
        </w:tc>
        <w:tc>
          <w:tcPr>
            <w:tcW w:w="0" w:type="auto"/>
          </w:tcPr>
          <w:p w14:paraId="127F83AD" w14:textId="77777777" w:rsidR="009A69B1" w:rsidRDefault="00000000">
            <w:r>
              <w:t>Build local vendor network; implement just-in-time inventory systems</w:t>
            </w:r>
          </w:p>
          <w:p w14:paraId="40EB3633" w14:textId="77777777" w:rsidR="009A69B1" w:rsidRDefault="009A69B1"/>
        </w:tc>
      </w:tr>
      <w:tr w:rsidR="009A69B1" w14:paraId="24E68DCA" w14:textId="77777777">
        <w:tc>
          <w:tcPr>
            <w:tcW w:w="0" w:type="auto"/>
          </w:tcPr>
          <w:p w14:paraId="66280FAE" w14:textId="77777777" w:rsidR="009A69B1" w:rsidRDefault="00000000">
            <w:r>
              <w:t>Technological</w:t>
            </w:r>
          </w:p>
          <w:p w14:paraId="29EE752E" w14:textId="77777777" w:rsidR="009A69B1" w:rsidRDefault="009A69B1"/>
        </w:tc>
        <w:tc>
          <w:tcPr>
            <w:tcW w:w="0" w:type="auto"/>
          </w:tcPr>
          <w:p w14:paraId="3C123FED" w14:textId="77777777" w:rsidR="009A69B1" w:rsidRDefault="00000000">
            <w:r>
              <w:t>Cybersecurity threats to e-commerce systems</w:t>
            </w:r>
          </w:p>
          <w:p w14:paraId="232B3540" w14:textId="77777777" w:rsidR="009A69B1" w:rsidRDefault="009A69B1"/>
        </w:tc>
        <w:tc>
          <w:tcPr>
            <w:tcW w:w="0" w:type="auto"/>
          </w:tcPr>
          <w:p w14:paraId="4BA69D09" w14:textId="77777777" w:rsidR="009A69B1" w:rsidRDefault="00000000">
            <w:r>
              <w:t>Data breaches; consumer trust erosion</w:t>
            </w:r>
          </w:p>
          <w:p w14:paraId="51E3325E" w14:textId="77777777" w:rsidR="009A69B1" w:rsidRDefault="009A69B1"/>
        </w:tc>
        <w:tc>
          <w:tcPr>
            <w:tcW w:w="0" w:type="auto"/>
          </w:tcPr>
          <w:p w14:paraId="141020A9" w14:textId="77777777" w:rsidR="009A69B1" w:rsidRDefault="00000000">
            <w:r>
              <w:t>Use encrypted transactions; perform quarterly audits; ensure GDPR compliance</w:t>
            </w:r>
          </w:p>
          <w:p w14:paraId="49C1A512" w14:textId="77777777" w:rsidR="009A69B1" w:rsidRDefault="009A69B1"/>
        </w:tc>
      </w:tr>
      <w:tr w:rsidR="009A69B1" w14:paraId="3F0E114E" w14:textId="77777777">
        <w:tc>
          <w:tcPr>
            <w:tcW w:w="0" w:type="auto"/>
          </w:tcPr>
          <w:p w14:paraId="3BDA4797" w14:textId="77777777" w:rsidR="009A69B1" w:rsidRDefault="00000000">
            <w:r>
              <w:t>Competitive</w:t>
            </w:r>
          </w:p>
          <w:p w14:paraId="3FF93117" w14:textId="77777777" w:rsidR="009A69B1" w:rsidRDefault="009A69B1"/>
        </w:tc>
        <w:tc>
          <w:tcPr>
            <w:tcW w:w="0" w:type="auto"/>
          </w:tcPr>
          <w:p w14:paraId="55DD12E6" w14:textId="77777777" w:rsidR="009A69B1" w:rsidRDefault="00000000">
            <w:r>
              <w:t>Entry of established or aggressive competitors</w:t>
            </w:r>
          </w:p>
          <w:p w14:paraId="1D2AEFB4" w14:textId="77777777" w:rsidR="009A69B1" w:rsidRDefault="009A69B1"/>
        </w:tc>
        <w:tc>
          <w:tcPr>
            <w:tcW w:w="0" w:type="auto"/>
          </w:tcPr>
          <w:p w14:paraId="133A8052" w14:textId="77777777" w:rsidR="009A69B1" w:rsidRDefault="00000000">
            <w:r>
              <w:t>Loss of market share</w:t>
            </w:r>
          </w:p>
          <w:p w14:paraId="4659788B" w14:textId="77777777" w:rsidR="009A69B1" w:rsidRDefault="009A69B1"/>
        </w:tc>
        <w:tc>
          <w:tcPr>
            <w:tcW w:w="0" w:type="auto"/>
          </w:tcPr>
          <w:p w14:paraId="71725385" w14:textId="77777777" w:rsidR="009A69B1" w:rsidRDefault="00000000">
            <w:r>
              <w:t>Invest in loyalty programs; emphasize brand differentiation</w:t>
            </w:r>
          </w:p>
          <w:p w14:paraId="49FB0C27" w14:textId="77777777" w:rsidR="009A69B1" w:rsidRDefault="009A69B1"/>
        </w:tc>
      </w:tr>
    </w:tbl>
    <w:p w14:paraId="19BAAEB6" w14:textId="77777777" w:rsidR="009A69B1" w:rsidRDefault="009A69B1"/>
    <w:p w14:paraId="29CD39A3" w14:textId="77777777" w:rsidR="009A69B1" w:rsidRDefault="00000000">
      <w:r>
        <w:t>[Visual Suggestion: Risk heat map with impact vs. likelihood quadrant.]</w:t>
      </w:r>
    </w:p>
    <w:p w14:paraId="4128DA90" w14:textId="77777777" w:rsidR="009A69B1" w:rsidRDefault="009A69B1"/>
    <w:p w14:paraId="57559091" w14:textId="77777777" w:rsidR="009A69B1" w:rsidRDefault="00000000">
      <w:r>
        <w:pict w14:anchorId="7E191C78">
          <v:rect id="_x0000_i1032" style="width:468pt;height:1.5pt" o:hrstd="t" o:hr="t" fillcolor="gray" stroked="f">
            <v:path strokeok="f"/>
          </v:rect>
        </w:pict>
      </w:r>
    </w:p>
    <w:p w14:paraId="0897E4BE" w14:textId="77777777" w:rsidR="009A69B1" w:rsidRDefault="009A69B1"/>
    <w:p w14:paraId="462F0D3D" w14:textId="77777777" w:rsidR="009A69B1" w:rsidRDefault="00000000">
      <w:r>
        <w:rPr>
          <w:b/>
        </w:rPr>
        <w:t>8. Conclusion</w:t>
      </w:r>
    </w:p>
    <w:p w14:paraId="161BAA30" w14:textId="77777777" w:rsidR="009A69B1" w:rsidRDefault="009A69B1"/>
    <w:p w14:paraId="3E5CC2C9" w14:textId="17B7DE47" w:rsidR="009A69B1" w:rsidRDefault="00B21DEC">
      <w:r>
        <w:t>Poland presents a compelling case for Aritzia’s international expansion strategy.</w:t>
      </w:r>
      <w:r w:rsidR="00000000">
        <w:t xml:space="preserve"> With a dynamic consumer base, high fashion literacy, robust digital infrastructure, and alignment under the Canada-EU CETA trade agreement, the Polish market offers a strong potential for revenue growth and brand resonance.</w:t>
      </w:r>
    </w:p>
    <w:p w14:paraId="07A98093" w14:textId="77777777" w:rsidR="009A69B1" w:rsidRDefault="009A69B1"/>
    <w:p w14:paraId="0CB63BEE" w14:textId="5FAACF48" w:rsidR="009A69B1" w:rsidRDefault="00B21DEC">
      <w:r>
        <w:t>The proposed dual-entry model, which combines physical flagship stores with a full-scale e-commerce platform, ensures that Aritzia can efficiently establish its presence and scale.</w:t>
      </w:r>
      <w:r w:rsidR="00000000">
        <w:t xml:space="preserve"> </w:t>
      </w:r>
      <w:r>
        <w:t>A well-</w:t>
      </w:r>
      <w:r>
        <w:lastRenderedPageBreak/>
        <w:t>structured implementation plan coupled with a comprehensive financial strategy and risk-management framework creates a low-risk, high-return pathway in Europe.</w:t>
      </w:r>
    </w:p>
    <w:p w14:paraId="4625D999" w14:textId="77777777" w:rsidR="009A69B1" w:rsidRDefault="009A69B1"/>
    <w:p w14:paraId="3519AF01" w14:textId="3CFE7A1A" w:rsidR="009A69B1" w:rsidRDefault="00B21DEC">
      <w:r>
        <w:t>Poland has also positioned Aritzia as a springboard for future European expansion.</w:t>
      </w:r>
      <w:r w:rsidR="00000000">
        <w:t xml:space="preserve"> </w:t>
      </w:r>
      <w:r>
        <w:t>Markets, such as the Czech Republic, Austria, and Germany, are geographically and logistically accessible to Poland.</w:t>
      </w:r>
      <w:r w:rsidR="00000000">
        <w:t xml:space="preserve"> </w:t>
      </w:r>
      <w:r>
        <w:t>The first step sets the tone for the long-term global growth.</w:t>
      </w:r>
    </w:p>
    <w:p w14:paraId="355B8CD6" w14:textId="77777777" w:rsidR="009A69B1" w:rsidRDefault="009A69B1"/>
    <w:p w14:paraId="1436AE8F" w14:textId="3B9B291F" w:rsidR="009A69B1" w:rsidRDefault="00B21DEC">
      <w:r>
        <w:t>By staying authentic to its brand, localizing operations appropriately, and maintaining operational excellence, Aritzia can build a thriving international presence while strengthening its image as a modern, globally relevant retailer.</w:t>
      </w:r>
    </w:p>
    <w:p w14:paraId="10D35C00" w14:textId="77777777" w:rsidR="009A69B1" w:rsidRDefault="009A69B1"/>
    <w:p w14:paraId="177D1A62" w14:textId="77777777" w:rsidR="009A69B1" w:rsidRDefault="00000000">
      <w:r>
        <w:pict w14:anchorId="24661D9C">
          <v:rect id="_x0000_i1033" style="width:468pt;height:1.5pt" o:hrstd="t" o:hr="t" fillcolor="gray" stroked="f">
            <v:path strokeok="f"/>
          </v:rect>
        </w:pict>
      </w:r>
    </w:p>
    <w:p w14:paraId="3569E5CA" w14:textId="77777777" w:rsidR="009A69B1" w:rsidRDefault="009A69B1"/>
    <w:p w14:paraId="3AA13519" w14:textId="77777777" w:rsidR="009A69B1" w:rsidRDefault="00000000">
      <w:r>
        <w:rPr>
          <w:b/>
        </w:rPr>
        <w:t>9. References</w:t>
      </w:r>
    </w:p>
    <w:p w14:paraId="557EDB32" w14:textId="77777777" w:rsidR="009A69B1" w:rsidRDefault="009A69B1"/>
    <w:p w14:paraId="7EABE234" w14:textId="77777777" w:rsidR="009A69B1" w:rsidRDefault="00000000">
      <w:pPr>
        <w:numPr>
          <w:ilvl w:val="0"/>
          <w:numId w:val="11"/>
        </w:numPr>
      </w:pPr>
      <w:r>
        <w:t xml:space="preserve">World Bank. (2023). Doing Business Report – Kuwait. </w:t>
      </w:r>
    </w:p>
    <w:p w14:paraId="2311EB50" w14:textId="1CB48666" w:rsidR="009A69B1" w:rsidRDefault="00000000">
      <w:pPr>
        <w:numPr>
          <w:ilvl w:val="0"/>
          <w:numId w:val="11"/>
        </w:numPr>
      </w:pPr>
      <w:r>
        <w:t xml:space="preserve">https://www.worldbank.orgEuropean Commission. (2024). </w:t>
      </w:r>
      <w:r w:rsidR="00B21DEC">
        <w:t>CETA–EU–Canada trade agreement.</w:t>
      </w:r>
      <w:r>
        <w:t xml:space="preserve"> </w:t>
      </w:r>
    </w:p>
    <w:p w14:paraId="017D30CF" w14:textId="7607E03A" w:rsidR="009A69B1" w:rsidRDefault="00000000">
      <w:pPr>
        <w:numPr>
          <w:ilvl w:val="0"/>
          <w:numId w:val="11"/>
        </w:numPr>
      </w:pPr>
      <w:r>
        <w:t xml:space="preserve">https://ec.europa.eu/tradeStatista. (2024). </w:t>
      </w:r>
      <w:r w:rsidR="00B21DEC">
        <w:t>E-commerce in Poland: Market Data.</w:t>
      </w:r>
      <w:r>
        <w:t xml:space="preserve"> </w:t>
      </w:r>
    </w:p>
    <w:p w14:paraId="3AC63962" w14:textId="77777777" w:rsidR="009A69B1" w:rsidRDefault="00000000">
      <w:pPr>
        <w:numPr>
          <w:ilvl w:val="0"/>
          <w:numId w:val="11"/>
        </w:numPr>
      </w:pPr>
      <w:r>
        <w:t xml:space="preserve">https://www.statista.comPayU Poland. (2024). Digital Payment Overview. </w:t>
      </w:r>
    </w:p>
    <w:p w14:paraId="619449AE" w14:textId="77777777" w:rsidR="009A69B1" w:rsidRDefault="00000000">
      <w:pPr>
        <w:numPr>
          <w:ilvl w:val="0"/>
          <w:numId w:val="11"/>
        </w:numPr>
      </w:pPr>
      <w:r>
        <w:t xml:space="preserve">https://corporate.payu.comInPost Logistics. (2024). Corporate Solutions. </w:t>
      </w:r>
    </w:p>
    <w:p w14:paraId="10DB7ECA" w14:textId="77777777" w:rsidR="009A69B1" w:rsidRDefault="00000000">
      <w:pPr>
        <w:numPr>
          <w:ilvl w:val="0"/>
          <w:numId w:val="11"/>
        </w:numPr>
      </w:pPr>
      <w:r>
        <w:t xml:space="preserve">https://inpost.plOECD. (2024). Economic Outlook: Poland. </w:t>
      </w:r>
    </w:p>
    <w:p w14:paraId="4F9BD869" w14:textId="09DC5599" w:rsidR="009A69B1" w:rsidRDefault="00000000">
      <w:pPr>
        <w:numPr>
          <w:ilvl w:val="0"/>
          <w:numId w:val="11"/>
        </w:numPr>
      </w:pPr>
      <w:r>
        <w:t xml:space="preserve">https://www.oecd.orgTrading Economics. (2024). </w:t>
      </w:r>
      <w:r w:rsidR="00B21DEC">
        <w:t>Country Indicators: Colombia.</w:t>
      </w:r>
      <w:r>
        <w:t xml:space="preserve"> </w:t>
      </w:r>
    </w:p>
    <w:p w14:paraId="28CA037F" w14:textId="73A20B1E" w:rsidR="009A69B1" w:rsidRDefault="00000000">
      <w:pPr>
        <w:numPr>
          <w:ilvl w:val="0"/>
          <w:numId w:val="11"/>
        </w:numPr>
      </w:pPr>
      <w:r>
        <w:t xml:space="preserve">https://tradingeconomics.comILO. (2024). </w:t>
      </w:r>
      <w:r w:rsidR="00B21DEC">
        <w:t>Labor Market Profiles – Kuwait, Poland, and Colombia.</w:t>
      </w:r>
      <w:r>
        <w:t xml:space="preserve"> </w:t>
      </w:r>
    </w:p>
    <w:p w14:paraId="68F4E052" w14:textId="77777777" w:rsidR="009A69B1" w:rsidRDefault="00000000">
      <w:pPr>
        <w:numPr>
          <w:ilvl w:val="0"/>
          <w:numId w:val="11"/>
        </w:numPr>
      </w:pPr>
      <w:r>
        <w:t xml:space="preserve">https://ilo.orgIMF. (2024). World Economic Outlook. </w:t>
      </w:r>
    </w:p>
    <w:p w14:paraId="154EAB0B" w14:textId="77777777" w:rsidR="009A69B1" w:rsidRDefault="00000000">
      <w:pPr>
        <w:numPr>
          <w:ilvl w:val="0"/>
          <w:numId w:val="11"/>
        </w:numPr>
      </w:pPr>
      <w:r>
        <w:t xml:space="preserve">https://www.imf.orgGlobal Edge. (2024). Country Commercial Guides. </w:t>
      </w:r>
    </w:p>
    <w:p w14:paraId="06048523" w14:textId="77777777" w:rsidR="009A69B1" w:rsidRDefault="00000000">
      <w:pPr>
        <w:numPr>
          <w:ilvl w:val="0"/>
          <w:numId w:val="11"/>
        </w:numPr>
      </w:pPr>
      <w:r>
        <w:t xml:space="preserve">https://globaledge.msu.eduCBRE Poland. (2024). Retail Market Reports. </w:t>
      </w:r>
    </w:p>
    <w:p w14:paraId="767455C5" w14:textId="77777777" w:rsidR="009A69B1" w:rsidRDefault="00000000">
      <w:pPr>
        <w:numPr>
          <w:ilvl w:val="0"/>
          <w:numId w:val="11"/>
        </w:numPr>
      </w:pPr>
      <w:r>
        <w:t xml:space="preserve">https://www.cbre.plEuromonitor International. (2024). Fashion and Apparel in Eastern Europe. </w:t>
      </w:r>
    </w:p>
    <w:p w14:paraId="680B6066" w14:textId="77777777" w:rsidR="009A69B1" w:rsidRDefault="00000000">
      <w:r>
        <w:t>https://www.euromonitor.com</w:t>
      </w:r>
    </w:p>
    <w:p w14:paraId="177E1062" w14:textId="77777777" w:rsidR="009A69B1" w:rsidRDefault="00000000">
      <w:r>
        <w:t> </w:t>
      </w:r>
    </w:p>
    <w:p w14:paraId="5A474595" w14:textId="77777777" w:rsidR="009A69B1" w:rsidRDefault="009A69B1"/>
    <w:sectPr w:rsidR="009A69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144E6C6E">
      <w:start w:val="1"/>
      <w:numFmt w:val="bullet"/>
      <w:lvlText w:val="."/>
      <w:lvlJc w:val="left"/>
      <w:pPr>
        <w:tabs>
          <w:tab w:val="num" w:pos="720"/>
        </w:tabs>
        <w:ind w:left="720" w:hanging="360"/>
      </w:pPr>
      <w:rPr>
        <w:rFonts w:ascii="Symbol" w:hAnsi="Symbol"/>
      </w:rPr>
    </w:lvl>
    <w:lvl w:ilvl="1" w:tplc="2C12303E">
      <w:start w:val="1"/>
      <w:numFmt w:val="bullet"/>
      <w:lvlText w:val="o"/>
      <w:lvlJc w:val="left"/>
      <w:pPr>
        <w:tabs>
          <w:tab w:val="num" w:pos="1440"/>
        </w:tabs>
        <w:ind w:left="1440" w:hanging="360"/>
      </w:pPr>
      <w:rPr>
        <w:rFonts w:ascii="Courier New" w:hAnsi="Courier New"/>
      </w:rPr>
    </w:lvl>
    <w:lvl w:ilvl="2" w:tplc="1BC4728C">
      <w:start w:val="1"/>
      <w:numFmt w:val="bullet"/>
      <w:lvlText w:val=""/>
      <w:lvlJc w:val="left"/>
      <w:pPr>
        <w:tabs>
          <w:tab w:val="num" w:pos="2160"/>
        </w:tabs>
        <w:ind w:left="2160" w:hanging="360"/>
      </w:pPr>
      <w:rPr>
        <w:rFonts w:ascii="Wingdings" w:hAnsi="Wingdings"/>
      </w:rPr>
    </w:lvl>
    <w:lvl w:ilvl="3" w:tplc="E578BE8A">
      <w:start w:val="1"/>
      <w:numFmt w:val="bullet"/>
      <w:lvlText w:val=""/>
      <w:lvlJc w:val="left"/>
      <w:pPr>
        <w:tabs>
          <w:tab w:val="num" w:pos="2880"/>
        </w:tabs>
        <w:ind w:left="2880" w:hanging="360"/>
      </w:pPr>
      <w:rPr>
        <w:rFonts w:ascii="Symbol" w:hAnsi="Symbol"/>
      </w:rPr>
    </w:lvl>
    <w:lvl w:ilvl="4" w:tplc="3EF6B8A0">
      <w:start w:val="1"/>
      <w:numFmt w:val="bullet"/>
      <w:lvlText w:val="o"/>
      <w:lvlJc w:val="left"/>
      <w:pPr>
        <w:tabs>
          <w:tab w:val="num" w:pos="3600"/>
        </w:tabs>
        <w:ind w:left="3600" w:hanging="360"/>
      </w:pPr>
      <w:rPr>
        <w:rFonts w:ascii="Courier New" w:hAnsi="Courier New"/>
      </w:rPr>
    </w:lvl>
    <w:lvl w:ilvl="5" w:tplc="7ABC1F3A">
      <w:start w:val="1"/>
      <w:numFmt w:val="bullet"/>
      <w:lvlText w:val=""/>
      <w:lvlJc w:val="left"/>
      <w:pPr>
        <w:tabs>
          <w:tab w:val="num" w:pos="4320"/>
        </w:tabs>
        <w:ind w:left="4320" w:hanging="360"/>
      </w:pPr>
      <w:rPr>
        <w:rFonts w:ascii="Wingdings" w:hAnsi="Wingdings"/>
      </w:rPr>
    </w:lvl>
    <w:lvl w:ilvl="6" w:tplc="7A70978A">
      <w:start w:val="1"/>
      <w:numFmt w:val="bullet"/>
      <w:lvlText w:val=""/>
      <w:lvlJc w:val="left"/>
      <w:pPr>
        <w:tabs>
          <w:tab w:val="num" w:pos="5040"/>
        </w:tabs>
        <w:ind w:left="5040" w:hanging="360"/>
      </w:pPr>
      <w:rPr>
        <w:rFonts w:ascii="Symbol" w:hAnsi="Symbol"/>
      </w:rPr>
    </w:lvl>
    <w:lvl w:ilvl="7" w:tplc="F0BE2CA6">
      <w:start w:val="1"/>
      <w:numFmt w:val="bullet"/>
      <w:lvlText w:val="o"/>
      <w:lvlJc w:val="left"/>
      <w:pPr>
        <w:tabs>
          <w:tab w:val="num" w:pos="5760"/>
        </w:tabs>
        <w:ind w:left="5760" w:hanging="360"/>
      </w:pPr>
      <w:rPr>
        <w:rFonts w:ascii="Courier New" w:hAnsi="Courier New"/>
      </w:rPr>
    </w:lvl>
    <w:lvl w:ilvl="8" w:tplc="37BC8B2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648594C">
      <w:start w:val="1"/>
      <w:numFmt w:val="bullet"/>
      <w:lvlText w:val="."/>
      <w:lvlJc w:val="left"/>
      <w:pPr>
        <w:tabs>
          <w:tab w:val="num" w:pos="720"/>
        </w:tabs>
        <w:ind w:left="720" w:hanging="360"/>
      </w:pPr>
      <w:rPr>
        <w:rFonts w:ascii="Symbol" w:hAnsi="Symbol"/>
      </w:rPr>
    </w:lvl>
    <w:lvl w:ilvl="1" w:tplc="446C3CDC">
      <w:start w:val="1"/>
      <w:numFmt w:val="bullet"/>
      <w:lvlText w:val="o"/>
      <w:lvlJc w:val="left"/>
      <w:pPr>
        <w:tabs>
          <w:tab w:val="num" w:pos="1440"/>
        </w:tabs>
        <w:ind w:left="1440" w:hanging="360"/>
      </w:pPr>
      <w:rPr>
        <w:rFonts w:ascii="Courier New" w:hAnsi="Courier New"/>
      </w:rPr>
    </w:lvl>
    <w:lvl w:ilvl="2" w:tplc="53B6BF90">
      <w:start w:val="1"/>
      <w:numFmt w:val="bullet"/>
      <w:lvlText w:val=""/>
      <w:lvlJc w:val="left"/>
      <w:pPr>
        <w:tabs>
          <w:tab w:val="num" w:pos="2160"/>
        </w:tabs>
        <w:ind w:left="2160" w:hanging="360"/>
      </w:pPr>
      <w:rPr>
        <w:rFonts w:ascii="Wingdings" w:hAnsi="Wingdings"/>
      </w:rPr>
    </w:lvl>
    <w:lvl w:ilvl="3" w:tplc="A43E46C6">
      <w:start w:val="1"/>
      <w:numFmt w:val="bullet"/>
      <w:lvlText w:val=""/>
      <w:lvlJc w:val="left"/>
      <w:pPr>
        <w:tabs>
          <w:tab w:val="num" w:pos="2880"/>
        </w:tabs>
        <w:ind w:left="2880" w:hanging="360"/>
      </w:pPr>
      <w:rPr>
        <w:rFonts w:ascii="Symbol" w:hAnsi="Symbol"/>
      </w:rPr>
    </w:lvl>
    <w:lvl w:ilvl="4" w:tplc="90EC4C7C">
      <w:start w:val="1"/>
      <w:numFmt w:val="bullet"/>
      <w:lvlText w:val="o"/>
      <w:lvlJc w:val="left"/>
      <w:pPr>
        <w:tabs>
          <w:tab w:val="num" w:pos="3600"/>
        </w:tabs>
        <w:ind w:left="3600" w:hanging="360"/>
      </w:pPr>
      <w:rPr>
        <w:rFonts w:ascii="Courier New" w:hAnsi="Courier New"/>
      </w:rPr>
    </w:lvl>
    <w:lvl w:ilvl="5" w:tplc="985ECB14">
      <w:start w:val="1"/>
      <w:numFmt w:val="bullet"/>
      <w:lvlText w:val=""/>
      <w:lvlJc w:val="left"/>
      <w:pPr>
        <w:tabs>
          <w:tab w:val="num" w:pos="4320"/>
        </w:tabs>
        <w:ind w:left="4320" w:hanging="360"/>
      </w:pPr>
      <w:rPr>
        <w:rFonts w:ascii="Wingdings" w:hAnsi="Wingdings"/>
      </w:rPr>
    </w:lvl>
    <w:lvl w:ilvl="6" w:tplc="675CB958">
      <w:start w:val="1"/>
      <w:numFmt w:val="bullet"/>
      <w:lvlText w:val=""/>
      <w:lvlJc w:val="left"/>
      <w:pPr>
        <w:tabs>
          <w:tab w:val="num" w:pos="5040"/>
        </w:tabs>
        <w:ind w:left="5040" w:hanging="360"/>
      </w:pPr>
      <w:rPr>
        <w:rFonts w:ascii="Symbol" w:hAnsi="Symbol"/>
      </w:rPr>
    </w:lvl>
    <w:lvl w:ilvl="7" w:tplc="E13C44BA">
      <w:start w:val="1"/>
      <w:numFmt w:val="bullet"/>
      <w:lvlText w:val="o"/>
      <w:lvlJc w:val="left"/>
      <w:pPr>
        <w:tabs>
          <w:tab w:val="num" w:pos="5760"/>
        </w:tabs>
        <w:ind w:left="5760" w:hanging="360"/>
      </w:pPr>
      <w:rPr>
        <w:rFonts w:ascii="Courier New" w:hAnsi="Courier New"/>
      </w:rPr>
    </w:lvl>
    <w:lvl w:ilvl="8" w:tplc="E1B0C77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C1929998">
      <w:start w:val="1"/>
      <w:numFmt w:val="bullet"/>
      <w:lvlText w:val="."/>
      <w:lvlJc w:val="left"/>
      <w:pPr>
        <w:tabs>
          <w:tab w:val="num" w:pos="720"/>
        </w:tabs>
        <w:ind w:left="720" w:hanging="360"/>
      </w:pPr>
      <w:rPr>
        <w:rFonts w:ascii="Symbol" w:hAnsi="Symbol"/>
      </w:rPr>
    </w:lvl>
    <w:lvl w:ilvl="1" w:tplc="C37CE3DC">
      <w:start w:val="1"/>
      <w:numFmt w:val="bullet"/>
      <w:lvlText w:val="o"/>
      <w:lvlJc w:val="left"/>
      <w:pPr>
        <w:tabs>
          <w:tab w:val="num" w:pos="1440"/>
        </w:tabs>
        <w:ind w:left="1440" w:hanging="360"/>
      </w:pPr>
      <w:rPr>
        <w:rFonts w:ascii="Courier New" w:hAnsi="Courier New"/>
      </w:rPr>
    </w:lvl>
    <w:lvl w:ilvl="2" w:tplc="2724D69A">
      <w:start w:val="1"/>
      <w:numFmt w:val="bullet"/>
      <w:lvlText w:val=""/>
      <w:lvlJc w:val="left"/>
      <w:pPr>
        <w:tabs>
          <w:tab w:val="num" w:pos="2160"/>
        </w:tabs>
        <w:ind w:left="2160" w:hanging="360"/>
      </w:pPr>
      <w:rPr>
        <w:rFonts w:ascii="Wingdings" w:hAnsi="Wingdings"/>
      </w:rPr>
    </w:lvl>
    <w:lvl w:ilvl="3" w:tplc="917E0FF6">
      <w:start w:val="1"/>
      <w:numFmt w:val="bullet"/>
      <w:lvlText w:val=""/>
      <w:lvlJc w:val="left"/>
      <w:pPr>
        <w:tabs>
          <w:tab w:val="num" w:pos="2880"/>
        </w:tabs>
        <w:ind w:left="2880" w:hanging="360"/>
      </w:pPr>
      <w:rPr>
        <w:rFonts w:ascii="Symbol" w:hAnsi="Symbol"/>
      </w:rPr>
    </w:lvl>
    <w:lvl w:ilvl="4" w:tplc="B58C3FA8">
      <w:start w:val="1"/>
      <w:numFmt w:val="bullet"/>
      <w:lvlText w:val="o"/>
      <w:lvlJc w:val="left"/>
      <w:pPr>
        <w:tabs>
          <w:tab w:val="num" w:pos="3600"/>
        </w:tabs>
        <w:ind w:left="3600" w:hanging="360"/>
      </w:pPr>
      <w:rPr>
        <w:rFonts w:ascii="Courier New" w:hAnsi="Courier New"/>
      </w:rPr>
    </w:lvl>
    <w:lvl w:ilvl="5" w:tplc="7766189A">
      <w:start w:val="1"/>
      <w:numFmt w:val="bullet"/>
      <w:lvlText w:val=""/>
      <w:lvlJc w:val="left"/>
      <w:pPr>
        <w:tabs>
          <w:tab w:val="num" w:pos="4320"/>
        </w:tabs>
        <w:ind w:left="4320" w:hanging="360"/>
      </w:pPr>
      <w:rPr>
        <w:rFonts w:ascii="Wingdings" w:hAnsi="Wingdings"/>
      </w:rPr>
    </w:lvl>
    <w:lvl w:ilvl="6" w:tplc="3A923EEC">
      <w:start w:val="1"/>
      <w:numFmt w:val="bullet"/>
      <w:lvlText w:val=""/>
      <w:lvlJc w:val="left"/>
      <w:pPr>
        <w:tabs>
          <w:tab w:val="num" w:pos="5040"/>
        </w:tabs>
        <w:ind w:left="5040" w:hanging="360"/>
      </w:pPr>
      <w:rPr>
        <w:rFonts w:ascii="Symbol" w:hAnsi="Symbol"/>
      </w:rPr>
    </w:lvl>
    <w:lvl w:ilvl="7" w:tplc="4D5E757A">
      <w:start w:val="1"/>
      <w:numFmt w:val="bullet"/>
      <w:lvlText w:val="o"/>
      <w:lvlJc w:val="left"/>
      <w:pPr>
        <w:tabs>
          <w:tab w:val="num" w:pos="5760"/>
        </w:tabs>
        <w:ind w:left="5760" w:hanging="360"/>
      </w:pPr>
      <w:rPr>
        <w:rFonts w:ascii="Courier New" w:hAnsi="Courier New"/>
      </w:rPr>
    </w:lvl>
    <w:lvl w:ilvl="8" w:tplc="3806AF6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18E157C">
      <w:start w:val="1"/>
      <w:numFmt w:val="bullet"/>
      <w:lvlText w:val="."/>
      <w:lvlJc w:val="left"/>
      <w:pPr>
        <w:tabs>
          <w:tab w:val="num" w:pos="720"/>
        </w:tabs>
        <w:ind w:left="720" w:hanging="360"/>
      </w:pPr>
      <w:rPr>
        <w:rFonts w:ascii="Symbol" w:hAnsi="Symbol"/>
      </w:rPr>
    </w:lvl>
    <w:lvl w:ilvl="1" w:tplc="88709A5C">
      <w:start w:val="1"/>
      <w:numFmt w:val="bullet"/>
      <w:lvlText w:val="o"/>
      <w:lvlJc w:val="left"/>
      <w:pPr>
        <w:tabs>
          <w:tab w:val="num" w:pos="1440"/>
        </w:tabs>
        <w:ind w:left="1440" w:hanging="360"/>
      </w:pPr>
      <w:rPr>
        <w:rFonts w:ascii="Courier New" w:hAnsi="Courier New"/>
      </w:rPr>
    </w:lvl>
    <w:lvl w:ilvl="2" w:tplc="47BA074E">
      <w:start w:val="1"/>
      <w:numFmt w:val="bullet"/>
      <w:lvlText w:val=""/>
      <w:lvlJc w:val="left"/>
      <w:pPr>
        <w:tabs>
          <w:tab w:val="num" w:pos="2160"/>
        </w:tabs>
        <w:ind w:left="2160" w:hanging="360"/>
      </w:pPr>
      <w:rPr>
        <w:rFonts w:ascii="Wingdings" w:hAnsi="Wingdings"/>
      </w:rPr>
    </w:lvl>
    <w:lvl w:ilvl="3" w:tplc="8D2AF90C">
      <w:start w:val="1"/>
      <w:numFmt w:val="bullet"/>
      <w:lvlText w:val=""/>
      <w:lvlJc w:val="left"/>
      <w:pPr>
        <w:tabs>
          <w:tab w:val="num" w:pos="2880"/>
        </w:tabs>
        <w:ind w:left="2880" w:hanging="360"/>
      </w:pPr>
      <w:rPr>
        <w:rFonts w:ascii="Symbol" w:hAnsi="Symbol"/>
      </w:rPr>
    </w:lvl>
    <w:lvl w:ilvl="4" w:tplc="F5AC4B3C">
      <w:start w:val="1"/>
      <w:numFmt w:val="bullet"/>
      <w:lvlText w:val="o"/>
      <w:lvlJc w:val="left"/>
      <w:pPr>
        <w:tabs>
          <w:tab w:val="num" w:pos="3600"/>
        </w:tabs>
        <w:ind w:left="3600" w:hanging="360"/>
      </w:pPr>
      <w:rPr>
        <w:rFonts w:ascii="Courier New" w:hAnsi="Courier New"/>
      </w:rPr>
    </w:lvl>
    <w:lvl w:ilvl="5" w:tplc="CC0A2D0E">
      <w:start w:val="1"/>
      <w:numFmt w:val="bullet"/>
      <w:lvlText w:val=""/>
      <w:lvlJc w:val="left"/>
      <w:pPr>
        <w:tabs>
          <w:tab w:val="num" w:pos="4320"/>
        </w:tabs>
        <w:ind w:left="4320" w:hanging="360"/>
      </w:pPr>
      <w:rPr>
        <w:rFonts w:ascii="Wingdings" w:hAnsi="Wingdings"/>
      </w:rPr>
    </w:lvl>
    <w:lvl w:ilvl="6" w:tplc="DE088B14">
      <w:start w:val="1"/>
      <w:numFmt w:val="bullet"/>
      <w:lvlText w:val=""/>
      <w:lvlJc w:val="left"/>
      <w:pPr>
        <w:tabs>
          <w:tab w:val="num" w:pos="5040"/>
        </w:tabs>
        <w:ind w:left="5040" w:hanging="360"/>
      </w:pPr>
      <w:rPr>
        <w:rFonts w:ascii="Symbol" w:hAnsi="Symbol"/>
      </w:rPr>
    </w:lvl>
    <w:lvl w:ilvl="7" w:tplc="EED2B584">
      <w:start w:val="1"/>
      <w:numFmt w:val="bullet"/>
      <w:lvlText w:val="o"/>
      <w:lvlJc w:val="left"/>
      <w:pPr>
        <w:tabs>
          <w:tab w:val="num" w:pos="5760"/>
        </w:tabs>
        <w:ind w:left="5760" w:hanging="360"/>
      </w:pPr>
      <w:rPr>
        <w:rFonts w:ascii="Courier New" w:hAnsi="Courier New"/>
      </w:rPr>
    </w:lvl>
    <w:lvl w:ilvl="8" w:tplc="2E62CD2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BAE23C4">
      <w:start w:val="1"/>
      <w:numFmt w:val="bullet"/>
      <w:lvlText w:val="."/>
      <w:lvlJc w:val="left"/>
      <w:pPr>
        <w:tabs>
          <w:tab w:val="num" w:pos="720"/>
        </w:tabs>
        <w:ind w:left="720" w:hanging="360"/>
      </w:pPr>
      <w:rPr>
        <w:rFonts w:ascii="Symbol" w:hAnsi="Symbol"/>
      </w:rPr>
    </w:lvl>
    <w:lvl w:ilvl="1" w:tplc="7BD4F1AC">
      <w:start w:val="1"/>
      <w:numFmt w:val="bullet"/>
      <w:lvlText w:val="o"/>
      <w:lvlJc w:val="left"/>
      <w:pPr>
        <w:tabs>
          <w:tab w:val="num" w:pos="1440"/>
        </w:tabs>
        <w:ind w:left="1440" w:hanging="360"/>
      </w:pPr>
      <w:rPr>
        <w:rFonts w:ascii="Courier New" w:hAnsi="Courier New"/>
      </w:rPr>
    </w:lvl>
    <w:lvl w:ilvl="2" w:tplc="EB4A041E">
      <w:start w:val="1"/>
      <w:numFmt w:val="bullet"/>
      <w:lvlText w:val=""/>
      <w:lvlJc w:val="left"/>
      <w:pPr>
        <w:tabs>
          <w:tab w:val="num" w:pos="2160"/>
        </w:tabs>
        <w:ind w:left="2160" w:hanging="360"/>
      </w:pPr>
      <w:rPr>
        <w:rFonts w:ascii="Wingdings" w:hAnsi="Wingdings"/>
      </w:rPr>
    </w:lvl>
    <w:lvl w:ilvl="3" w:tplc="55BC625C">
      <w:start w:val="1"/>
      <w:numFmt w:val="bullet"/>
      <w:lvlText w:val=""/>
      <w:lvlJc w:val="left"/>
      <w:pPr>
        <w:tabs>
          <w:tab w:val="num" w:pos="2880"/>
        </w:tabs>
        <w:ind w:left="2880" w:hanging="360"/>
      </w:pPr>
      <w:rPr>
        <w:rFonts w:ascii="Symbol" w:hAnsi="Symbol"/>
      </w:rPr>
    </w:lvl>
    <w:lvl w:ilvl="4" w:tplc="EF38E2DA">
      <w:start w:val="1"/>
      <w:numFmt w:val="bullet"/>
      <w:lvlText w:val="o"/>
      <w:lvlJc w:val="left"/>
      <w:pPr>
        <w:tabs>
          <w:tab w:val="num" w:pos="3600"/>
        </w:tabs>
        <w:ind w:left="3600" w:hanging="360"/>
      </w:pPr>
      <w:rPr>
        <w:rFonts w:ascii="Courier New" w:hAnsi="Courier New"/>
      </w:rPr>
    </w:lvl>
    <w:lvl w:ilvl="5" w:tplc="53D47792">
      <w:start w:val="1"/>
      <w:numFmt w:val="bullet"/>
      <w:lvlText w:val=""/>
      <w:lvlJc w:val="left"/>
      <w:pPr>
        <w:tabs>
          <w:tab w:val="num" w:pos="4320"/>
        </w:tabs>
        <w:ind w:left="4320" w:hanging="360"/>
      </w:pPr>
      <w:rPr>
        <w:rFonts w:ascii="Wingdings" w:hAnsi="Wingdings"/>
      </w:rPr>
    </w:lvl>
    <w:lvl w:ilvl="6" w:tplc="9BEE6A56">
      <w:start w:val="1"/>
      <w:numFmt w:val="bullet"/>
      <w:lvlText w:val=""/>
      <w:lvlJc w:val="left"/>
      <w:pPr>
        <w:tabs>
          <w:tab w:val="num" w:pos="5040"/>
        </w:tabs>
        <w:ind w:left="5040" w:hanging="360"/>
      </w:pPr>
      <w:rPr>
        <w:rFonts w:ascii="Symbol" w:hAnsi="Symbol"/>
      </w:rPr>
    </w:lvl>
    <w:lvl w:ilvl="7" w:tplc="CC6E354E">
      <w:start w:val="1"/>
      <w:numFmt w:val="bullet"/>
      <w:lvlText w:val="o"/>
      <w:lvlJc w:val="left"/>
      <w:pPr>
        <w:tabs>
          <w:tab w:val="num" w:pos="5760"/>
        </w:tabs>
        <w:ind w:left="5760" w:hanging="360"/>
      </w:pPr>
      <w:rPr>
        <w:rFonts w:ascii="Courier New" w:hAnsi="Courier New"/>
      </w:rPr>
    </w:lvl>
    <w:lvl w:ilvl="8" w:tplc="73226C4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A684AE2A">
      <w:start w:val="1"/>
      <w:numFmt w:val="bullet"/>
      <w:lvlText w:val="."/>
      <w:lvlJc w:val="left"/>
      <w:pPr>
        <w:tabs>
          <w:tab w:val="num" w:pos="720"/>
        </w:tabs>
        <w:ind w:left="720" w:hanging="360"/>
      </w:pPr>
      <w:rPr>
        <w:rFonts w:ascii="Symbol" w:hAnsi="Symbol"/>
      </w:rPr>
    </w:lvl>
    <w:lvl w:ilvl="1" w:tplc="2AD200FC">
      <w:start w:val="1"/>
      <w:numFmt w:val="bullet"/>
      <w:lvlText w:val="o"/>
      <w:lvlJc w:val="left"/>
      <w:pPr>
        <w:tabs>
          <w:tab w:val="num" w:pos="1440"/>
        </w:tabs>
        <w:ind w:left="1440" w:hanging="360"/>
      </w:pPr>
      <w:rPr>
        <w:rFonts w:ascii="Courier New" w:hAnsi="Courier New"/>
      </w:rPr>
    </w:lvl>
    <w:lvl w:ilvl="2" w:tplc="29F61FBE">
      <w:start w:val="1"/>
      <w:numFmt w:val="bullet"/>
      <w:lvlText w:val=""/>
      <w:lvlJc w:val="left"/>
      <w:pPr>
        <w:tabs>
          <w:tab w:val="num" w:pos="2160"/>
        </w:tabs>
        <w:ind w:left="2160" w:hanging="360"/>
      </w:pPr>
      <w:rPr>
        <w:rFonts w:ascii="Wingdings" w:hAnsi="Wingdings"/>
      </w:rPr>
    </w:lvl>
    <w:lvl w:ilvl="3" w:tplc="2F728106">
      <w:start w:val="1"/>
      <w:numFmt w:val="bullet"/>
      <w:lvlText w:val=""/>
      <w:lvlJc w:val="left"/>
      <w:pPr>
        <w:tabs>
          <w:tab w:val="num" w:pos="2880"/>
        </w:tabs>
        <w:ind w:left="2880" w:hanging="360"/>
      </w:pPr>
      <w:rPr>
        <w:rFonts w:ascii="Symbol" w:hAnsi="Symbol"/>
      </w:rPr>
    </w:lvl>
    <w:lvl w:ilvl="4" w:tplc="54546FC0">
      <w:start w:val="1"/>
      <w:numFmt w:val="bullet"/>
      <w:lvlText w:val="o"/>
      <w:lvlJc w:val="left"/>
      <w:pPr>
        <w:tabs>
          <w:tab w:val="num" w:pos="3600"/>
        </w:tabs>
        <w:ind w:left="3600" w:hanging="360"/>
      </w:pPr>
      <w:rPr>
        <w:rFonts w:ascii="Courier New" w:hAnsi="Courier New"/>
      </w:rPr>
    </w:lvl>
    <w:lvl w:ilvl="5" w:tplc="A344EA54">
      <w:start w:val="1"/>
      <w:numFmt w:val="bullet"/>
      <w:lvlText w:val=""/>
      <w:lvlJc w:val="left"/>
      <w:pPr>
        <w:tabs>
          <w:tab w:val="num" w:pos="4320"/>
        </w:tabs>
        <w:ind w:left="4320" w:hanging="360"/>
      </w:pPr>
      <w:rPr>
        <w:rFonts w:ascii="Wingdings" w:hAnsi="Wingdings"/>
      </w:rPr>
    </w:lvl>
    <w:lvl w:ilvl="6" w:tplc="1C403BE2">
      <w:start w:val="1"/>
      <w:numFmt w:val="bullet"/>
      <w:lvlText w:val=""/>
      <w:lvlJc w:val="left"/>
      <w:pPr>
        <w:tabs>
          <w:tab w:val="num" w:pos="5040"/>
        </w:tabs>
        <w:ind w:left="5040" w:hanging="360"/>
      </w:pPr>
      <w:rPr>
        <w:rFonts w:ascii="Symbol" w:hAnsi="Symbol"/>
      </w:rPr>
    </w:lvl>
    <w:lvl w:ilvl="7" w:tplc="DB7E3102">
      <w:start w:val="1"/>
      <w:numFmt w:val="bullet"/>
      <w:lvlText w:val="o"/>
      <w:lvlJc w:val="left"/>
      <w:pPr>
        <w:tabs>
          <w:tab w:val="num" w:pos="5760"/>
        </w:tabs>
        <w:ind w:left="5760" w:hanging="360"/>
      </w:pPr>
      <w:rPr>
        <w:rFonts w:ascii="Courier New" w:hAnsi="Courier New"/>
      </w:rPr>
    </w:lvl>
    <w:lvl w:ilvl="8" w:tplc="6F14DBB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60C4FBA">
      <w:start w:val="1"/>
      <w:numFmt w:val="bullet"/>
      <w:lvlText w:val="."/>
      <w:lvlJc w:val="left"/>
      <w:pPr>
        <w:tabs>
          <w:tab w:val="num" w:pos="720"/>
        </w:tabs>
        <w:ind w:left="720" w:hanging="360"/>
      </w:pPr>
      <w:rPr>
        <w:rFonts w:ascii="Symbol" w:hAnsi="Symbol"/>
      </w:rPr>
    </w:lvl>
    <w:lvl w:ilvl="1" w:tplc="297841A8">
      <w:start w:val="1"/>
      <w:numFmt w:val="bullet"/>
      <w:lvlText w:val="o"/>
      <w:lvlJc w:val="left"/>
      <w:pPr>
        <w:tabs>
          <w:tab w:val="num" w:pos="1440"/>
        </w:tabs>
        <w:ind w:left="1440" w:hanging="360"/>
      </w:pPr>
      <w:rPr>
        <w:rFonts w:ascii="Courier New" w:hAnsi="Courier New"/>
      </w:rPr>
    </w:lvl>
    <w:lvl w:ilvl="2" w:tplc="48323BA8">
      <w:start w:val="1"/>
      <w:numFmt w:val="bullet"/>
      <w:lvlText w:val=""/>
      <w:lvlJc w:val="left"/>
      <w:pPr>
        <w:tabs>
          <w:tab w:val="num" w:pos="2160"/>
        </w:tabs>
        <w:ind w:left="2160" w:hanging="360"/>
      </w:pPr>
      <w:rPr>
        <w:rFonts w:ascii="Wingdings" w:hAnsi="Wingdings"/>
      </w:rPr>
    </w:lvl>
    <w:lvl w:ilvl="3" w:tplc="1FB4A958">
      <w:start w:val="1"/>
      <w:numFmt w:val="bullet"/>
      <w:lvlText w:val=""/>
      <w:lvlJc w:val="left"/>
      <w:pPr>
        <w:tabs>
          <w:tab w:val="num" w:pos="2880"/>
        </w:tabs>
        <w:ind w:left="2880" w:hanging="360"/>
      </w:pPr>
      <w:rPr>
        <w:rFonts w:ascii="Symbol" w:hAnsi="Symbol"/>
      </w:rPr>
    </w:lvl>
    <w:lvl w:ilvl="4" w:tplc="0C00DA24">
      <w:start w:val="1"/>
      <w:numFmt w:val="bullet"/>
      <w:lvlText w:val="o"/>
      <w:lvlJc w:val="left"/>
      <w:pPr>
        <w:tabs>
          <w:tab w:val="num" w:pos="3600"/>
        </w:tabs>
        <w:ind w:left="3600" w:hanging="360"/>
      </w:pPr>
      <w:rPr>
        <w:rFonts w:ascii="Courier New" w:hAnsi="Courier New"/>
      </w:rPr>
    </w:lvl>
    <w:lvl w:ilvl="5" w:tplc="0FF0C370">
      <w:start w:val="1"/>
      <w:numFmt w:val="bullet"/>
      <w:lvlText w:val=""/>
      <w:lvlJc w:val="left"/>
      <w:pPr>
        <w:tabs>
          <w:tab w:val="num" w:pos="4320"/>
        </w:tabs>
        <w:ind w:left="4320" w:hanging="360"/>
      </w:pPr>
      <w:rPr>
        <w:rFonts w:ascii="Wingdings" w:hAnsi="Wingdings"/>
      </w:rPr>
    </w:lvl>
    <w:lvl w:ilvl="6" w:tplc="4E023178">
      <w:start w:val="1"/>
      <w:numFmt w:val="bullet"/>
      <w:lvlText w:val=""/>
      <w:lvlJc w:val="left"/>
      <w:pPr>
        <w:tabs>
          <w:tab w:val="num" w:pos="5040"/>
        </w:tabs>
        <w:ind w:left="5040" w:hanging="360"/>
      </w:pPr>
      <w:rPr>
        <w:rFonts w:ascii="Symbol" w:hAnsi="Symbol"/>
      </w:rPr>
    </w:lvl>
    <w:lvl w:ilvl="7" w:tplc="5538B6CA">
      <w:start w:val="1"/>
      <w:numFmt w:val="bullet"/>
      <w:lvlText w:val="o"/>
      <w:lvlJc w:val="left"/>
      <w:pPr>
        <w:tabs>
          <w:tab w:val="num" w:pos="5760"/>
        </w:tabs>
        <w:ind w:left="5760" w:hanging="360"/>
      </w:pPr>
      <w:rPr>
        <w:rFonts w:ascii="Courier New" w:hAnsi="Courier New"/>
      </w:rPr>
    </w:lvl>
    <w:lvl w:ilvl="8" w:tplc="D360BE9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324E5DCC">
      <w:start w:val="1"/>
      <w:numFmt w:val="bullet"/>
      <w:lvlText w:val="."/>
      <w:lvlJc w:val="left"/>
      <w:pPr>
        <w:tabs>
          <w:tab w:val="num" w:pos="720"/>
        </w:tabs>
        <w:ind w:left="720" w:hanging="360"/>
      </w:pPr>
      <w:rPr>
        <w:rFonts w:ascii="Symbol" w:hAnsi="Symbol"/>
      </w:rPr>
    </w:lvl>
    <w:lvl w:ilvl="1" w:tplc="C694D6B4">
      <w:start w:val="1"/>
      <w:numFmt w:val="bullet"/>
      <w:lvlText w:val="o"/>
      <w:lvlJc w:val="left"/>
      <w:pPr>
        <w:tabs>
          <w:tab w:val="num" w:pos="1440"/>
        </w:tabs>
        <w:ind w:left="1440" w:hanging="360"/>
      </w:pPr>
      <w:rPr>
        <w:rFonts w:ascii="Courier New" w:hAnsi="Courier New"/>
      </w:rPr>
    </w:lvl>
    <w:lvl w:ilvl="2" w:tplc="6848F860">
      <w:start w:val="1"/>
      <w:numFmt w:val="bullet"/>
      <w:lvlText w:val=""/>
      <w:lvlJc w:val="left"/>
      <w:pPr>
        <w:tabs>
          <w:tab w:val="num" w:pos="2160"/>
        </w:tabs>
        <w:ind w:left="2160" w:hanging="360"/>
      </w:pPr>
      <w:rPr>
        <w:rFonts w:ascii="Wingdings" w:hAnsi="Wingdings"/>
      </w:rPr>
    </w:lvl>
    <w:lvl w:ilvl="3" w:tplc="02782EC8">
      <w:start w:val="1"/>
      <w:numFmt w:val="bullet"/>
      <w:lvlText w:val=""/>
      <w:lvlJc w:val="left"/>
      <w:pPr>
        <w:tabs>
          <w:tab w:val="num" w:pos="2880"/>
        </w:tabs>
        <w:ind w:left="2880" w:hanging="360"/>
      </w:pPr>
      <w:rPr>
        <w:rFonts w:ascii="Symbol" w:hAnsi="Symbol"/>
      </w:rPr>
    </w:lvl>
    <w:lvl w:ilvl="4" w:tplc="014E848E">
      <w:start w:val="1"/>
      <w:numFmt w:val="bullet"/>
      <w:lvlText w:val="o"/>
      <w:lvlJc w:val="left"/>
      <w:pPr>
        <w:tabs>
          <w:tab w:val="num" w:pos="3600"/>
        </w:tabs>
        <w:ind w:left="3600" w:hanging="360"/>
      </w:pPr>
      <w:rPr>
        <w:rFonts w:ascii="Courier New" w:hAnsi="Courier New"/>
      </w:rPr>
    </w:lvl>
    <w:lvl w:ilvl="5" w:tplc="C0C62662">
      <w:start w:val="1"/>
      <w:numFmt w:val="bullet"/>
      <w:lvlText w:val=""/>
      <w:lvlJc w:val="left"/>
      <w:pPr>
        <w:tabs>
          <w:tab w:val="num" w:pos="4320"/>
        </w:tabs>
        <w:ind w:left="4320" w:hanging="360"/>
      </w:pPr>
      <w:rPr>
        <w:rFonts w:ascii="Wingdings" w:hAnsi="Wingdings"/>
      </w:rPr>
    </w:lvl>
    <w:lvl w:ilvl="6" w:tplc="F63C10D2">
      <w:start w:val="1"/>
      <w:numFmt w:val="bullet"/>
      <w:lvlText w:val=""/>
      <w:lvlJc w:val="left"/>
      <w:pPr>
        <w:tabs>
          <w:tab w:val="num" w:pos="5040"/>
        </w:tabs>
        <w:ind w:left="5040" w:hanging="360"/>
      </w:pPr>
      <w:rPr>
        <w:rFonts w:ascii="Symbol" w:hAnsi="Symbol"/>
      </w:rPr>
    </w:lvl>
    <w:lvl w:ilvl="7" w:tplc="C5DAB44C">
      <w:start w:val="1"/>
      <w:numFmt w:val="bullet"/>
      <w:lvlText w:val="o"/>
      <w:lvlJc w:val="left"/>
      <w:pPr>
        <w:tabs>
          <w:tab w:val="num" w:pos="5760"/>
        </w:tabs>
        <w:ind w:left="5760" w:hanging="360"/>
      </w:pPr>
      <w:rPr>
        <w:rFonts w:ascii="Courier New" w:hAnsi="Courier New"/>
      </w:rPr>
    </w:lvl>
    <w:lvl w:ilvl="8" w:tplc="468263B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B404644">
      <w:start w:val="1"/>
      <w:numFmt w:val="bullet"/>
      <w:lvlText w:val="."/>
      <w:lvlJc w:val="left"/>
      <w:pPr>
        <w:tabs>
          <w:tab w:val="num" w:pos="720"/>
        </w:tabs>
        <w:ind w:left="720" w:hanging="360"/>
      </w:pPr>
      <w:rPr>
        <w:rFonts w:ascii="Symbol" w:hAnsi="Symbol"/>
      </w:rPr>
    </w:lvl>
    <w:lvl w:ilvl="1" w:tplc="0E74DF28">
      <w:start w:val="1"/>
      <w:numFmt w:val="bullet"/>
      <w:lvlText w:val="o"/>
      <w:lvlJc w:val="left"/>
      <w:pPr>
        <w:tabs>
          <w:tab w:val="num" w:pos="1440"/>
        </w:tabs>
        <w:ind w:left="1440" w:hanging="360"/>
      </w:pPr>
      <w:rPr>
        <w:rFonts w:ascii="Courier New" w:hAnsi="Courier New"/>
      </w:rPr>
    </w:lvl>
    <w:lvl w:ilvl="2" w:tplc="B5AC1952">
      <w:start w:val="1"/>
      <w:numFmt w:val="bullet"/>
      <w:lvlText w:val=""/>
      <w:lvlJc w:val="left"/>
      <w:pPr>
        <w:tabs>
          <w:tab w:val="num" w:pos="2160"/>
        </w:tabs>
        <w:ind w:left="2160" w:hanging="360"/>
      </w:pPr>
      <w:rPr>
        <w:rFonts w:ascii="Wingdings" w:hAnsi="Wingdings"/>
      </w:rPr>
    </w:lvl>
    <w:lvl w:ilvl="3" w:tplc="E6BEBA82">
      <w:start w:val="1"/>
      <w:numFmt w:val="bullet"/>
      <w:lvlText w:val=""/>
      <w:lvlJc w:val="left"/>
      <w:pPr>
        <w:tabs>
          <w:tab w:val="num" w:pos="2880"/>
        </w:tabs>
        <w:ind w:left="2880" w:hanging="360"/>
      </w:pPr>
      <w:rPr>
        <w:rFonts w:ascii="Symbol" w:hAnsi="Symbol"/>
      </w:rPr>
    </w:lvl>
    <w:lvl w:ilvl="4" w:tplc="C3007F94">
      <w:start w:val="1"/>
      <w:numFmt w:val="bullet"/>
      <w:lvlText w:val="o"/>
      <w:lvlJc w:val="left"/>
      <w:pPr>
        <w:tabs>
          <w:tab w:val="num" w:pos="3600"/>
        </w:tabs>
        <w:ind w:left="3600" w:hanging="360"/>
      </w:pPr>
      <w:rPr>
        <w:rFonts w:ascii="Courier New" w:hAnsi="Courier New"/>
      </w:rPr>
    </w:lvl>
    <w:lvl w:ilvl="5" w:tplc="B2C23E9C">
      <w:start w:val="1"/>
      <w:numFmt w:val="bullet"/>
      <w:lvlText w:val=""/>
      <w:lvlJc w:val="left"/>
      <w:pPr>
        <w:tabs>
          <w:tab w:val="num" w:pos="4320"/>
        </w:tabs>
        <w:ind w:left="4320" w:hanging="360"/>
      </w:pPr>
      <w:rPr>
        <w:rFonts w:ascii="Wingdings" w:hAnsi="Wingdings"/>
      </w:rPr>
    </w:lvl>
    <w:lvl w:ilvl="6" w:tplc="57223920">
      <w:start w:val="1"/>
      <w:numFmt w:val="bullet"/>
      <w:lvlText w:val=""/>
      <w:lvlJc w:val="left"/>
      <w:pPr>
        <w:tabs>
          <w:tab w:val="num" w:pos="5040"/>
        </w:tabs>
        <w:ind w:left="5040" w:hanging="360"/>
      </w:pPr>
      <w:rPr>
        <w:rFonts w:ascii="Symbol" w:hAnsi="Symbol"/>
      </w:rPr>
    </w:lvl>
    <w:lvl w:ilvl="7" w:tplc="FAA895C0">
      <w:start w:val="1"/>
      <w:numFmt w:val="bullet"/>
      <w:lvlText w:val="o"/>
      <w:lvlJc w:val="left"/>
      <w:pPr>
        <w:tabs>
          <w:tab w:val="num" w:pos="5760"/>
        </w:tabs>
        <w:ind w:left="5760" w:hanging="360"/>
      </w:pPr>
      <w:rPr>
        <w:rFonts w:ascii="Courier New" w:hAnsi="Courier New"/>
      </w:rPr>
    </w:lvl>
    <w:lvl w:ilvl="8" w:tplc="62AAAC5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B51C9B0E">
      <w:start w:val="1"/>
      <w:numFmt w:val="bullet"/>
      <w:lvlText w:val="."/>
      <w:lvlJc w:val="left"/>
      <w:pPr>
        <w:tabs>
          <w:tab w:val="num" w:pos="720"/>
        </w:tabs>
        <w:ind w:left="720" w:hanging="360"/>
      </w:pPr>
      <w:rPr>
        <w:rFonts w:ascii="Symbol" w:hAnsi="Symbol"/>
      </w:rPr>
    </w:lvl>
    <w:lvl w:ilvl="1" w:tplc="DF9A996A">
      <w:start w:val="1"/>
      <w:numFmt w:val="bullet"/>
      <w:lvlText w:val="o"/>
      <w:lvlJc w:val="left"/>
      <w:pPr>
        <w:tabs>
          <w:tab w:val="num" w:pos="1440"/>
        </w:tabs>
        <w:ind w:left="1440" w:hanging="360"/>
      </w:pPr>
      <w:rPr>
        <w:rFonts w:ascii="Courier New" w:hAnsi="Courier New"/>
      </w:rPr>
    </w:lvl>
    <w:lvl w:ilvl="2" w:tplc="FB2C5E0E">
      <w:start w:val="1"/>
      <w:numFmt w:val="bullet"/>
      <w:lvlText w:val=""/>
      <w:lvlJc w:val="left"/>
      <w:pPr>
        <w:tabs>
          <w:tab w:val="num" w:pos="2160"/>
        </w:tabs>
        <w:ind w:left="2160" w:hanging="360"/>
      </w:pPr>
      <w:rPr>
        <w:rFonts w:ascii="Wingdings" w:hAnsi="Wingdings"/>
      </w:rPr>
    </w:lvl>
    <w:lvl w:ilvl="3" w:tplc="D512BED4">
      <w:start w:val="1"/>
      <w:numFmt w:val="bullet"/>
      <w:lvlText w:val=""/>
      <w:lvlJc w:val="left"/>
      <w:pPr>
        <w:tabs>
          <w:tab w:val="num" w:pos="2880"/>
        </w:tabs>
        <w:ind w:left="2880" w:hanging="360"/>
      </w:pPr>
      <w:rPr>
        <w:rFonts w:ascii="Symbol" w:hAnsi="Symbol"/>
      </w:rPr>
    </w:lvl>
    <w:lvl w:ilvl="4" w:tplc="4142F972">
      <w:start w:val="1"/>
      <w:numFmt w:val="bullet"/>
      <w:lvlText w:val="o"/>
      <w:lvlJc w:val="left"/>
      <w:pPr>
        <w:tabs>
          <w:tab w:val="num" w:pos="3600"/>
        </w:tabs>
        <w:ind w:left="3600" w:hanging="360"/>
      </w:pPr>
      <w:rPr>
        <w:rFonts w:ascii="Courier New" w:hAnsi="Courier New"/>
      </w:rPr>
    </w:lvl>
    <w:lvl w:ilvl="5" w:tplc="2F9E4F5C">
      <w:start w:val="1"/>
      <w:numFmt w:val="bullet"/>
      <w:lvlText w:val=""/>
      <w:lvlJc w:val="left"/>
      <w:pPr>
        <w:tabs>
          <w:tab w:val="num" w:pos="4320"/>
        </w:tabs>
        <w:ind w:left="4320" w:hanging="360"/>
      </w:pPr>
      <w:rPr>
        <w:rFonts w:ascii="Wingdings" w:hAnsi="Wingdings"/>
      </w:rPr>
    </w:lvl>
    <w:lvl w:ilvl="6" w:tplc="EAE2A5FC">
      <w:start w:val="1"/>
      <w:numFmt w:val="bullet"/>
      <w:lvlText w:val=""/>
      <w:lvlJc w:val="left"/>
      <w:pPr>
        <w:tabs>
          <w:tab w:val="num" w:pos="5040"/>
        </w:tabs>
        <w:ind w:left="5040" w:hanging="360"/>
      </w:pPr>
      <w:rPr>
        <w:rFonts w:ascii="Symbol" w:hAnsi="Symbol"/>
      </w:rPr>
    </w:lvl>
    <w:lvl w:ilvl="7" w:tplc="1E4A7E70">
      <w:start w:val="1"/>
      <w:numFmt w:val="bullet"/>
      <w:lvlText w:val="o"/>
      <w:lvlJc w:val="left"/>
      <w:pPr>
        <w:tabs>
          <w:tab w:val="num" w:pos="5760"/>
        </w:tabs>
        <w:ind w:left="5760" w:hanging="360"/>
      </w:pPr>
      <w:rPr>
        <w:rFonts w:ascii="Courier New" w:hAnsi="Courier New"/>
      </w:rPr>
    </w:lvl>
    <w:lvl w:ilvl="8" w:tplc="2B50F9F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86005140">
      <w:start w:val="1"/>
      <w:numFmt w:val="bullet"/>
      <w:lvlText w:val="."/>
      <w:lvlJc w:val="left"/>
      <w:pPr>
        <w:tabs>
          <w:tab w:val="num" w:pos="720"/>
        </w:tabs>
        <w:ind w:left="720" w:hanging="360"/>
      </w:pPr>
      <w:rPr>
        <w:rFonts w:ascii="Symbol" w:hAnsi="Symbol"/>
      </w:rPr>
    </w:lvl>
    <w:lvl w:ilvl="1" w:tplc="9294E0BE">
      <w:start w:val="1"/>
      <w:numFmt w:val="bullet"/>
      <w:lvlText w:val="o"/>
      <w:lvlJc w:val="left"/>
      <w:pPr>
        <w:tabs>
          <w:tab w:val="num" w:pos="1440"/>
        </w:tabs>
        <w:ind w:left="1440" w:hanging="360"/>
      </w:pPr>
      <w:rPr>
        <w:rFonts w:ascii="Courier New" w:hAnsi="Courier New"/>
      </w:rPr>
    </w:lvl>
    <w:lvl w:ilvl="2" w:tplc="947E2E8A">
      <w:start w:val="1"/>
      <w:numFmt w:val="bullet"/>
      <w:lvlText w:val=""/>
      <w:lvlJc w:val="left"/>
      <w:pPr>
        <w:tabs>
          <w:tab w:val="num" w:pos="2160"/>
        </w:tabs>
        <w:ind w:left="2160" w:hanging="360"/>
      </w:pPr>
      <w:rPr>
        <w:rFonts w:ascii="Wingdings" w:hAnsi="Wingdings"/>
      </w:rPr>
    </w:lvl>
    <w:lvl w:ilvl="3" w:tplc="B9E63A6C">
      <w:start w:val="1"/>
      <w:numFmt w:val="bullet"/>
      <w:lvlText w:val=""/>
      <w:lvlJc w:val="left"/>
      <w:pPr>
        <w:tabs>
          <w:tab w:val="num" w:pos="2880"/>
        </w:tabs>
        <w:ind w:left="2880" w:hanging="360"/>
      </w:pPr>
      <w:rPr>
        <w:rFonts w:ascii="Symbol" w:hAnsi="Symbol"/>
      </w:rPr>
    </w:lvl>
    <w:lvl w:ilvl="4" w:tplc="B50C1B2A">
      <w:start w:val="1"/>
      <w:numFmt w:val="bullet"/>
      <w:lvlText w:val="o"/>
      <w:lvlJc w:val="left"/>
      <w:pPr>
        <w:tabs>
          <w:tab w:val="num" w:pos="3600"/>
        </w:tabs>
        <w:ind w:left="3600" w:hanging="360"/>
      </w:pPr>
      <w:rPr>
        <w:rFonts w:ascii="Courier New" w:hAnsi="Courier New"/>
      </w:rPr>
    </w:lvl>
    <w:lvl w:ilvl="5" w:tplc="6D5A6D56">
      <w:start w:val="1"/>
      <w:numFmt w:val="bullet"/>
      <w:lvlText w:val=""/>
      <w:lvlJc w:val="left"/>
      <w:pPr>
        <w:tabs>
          <w:tab w:val="num" w:pos="4320"/>
        </w:tabs>
        <w:ind w:left="4320" w:hanging="360"/>
      </w:pPr>
      <w:rPr>
        <w:rFonts w:ascii="Wingdings" w:hAnsi="Wingdings"/>
      </w:rPr>
    </w:lvl>
    <w:lvl w:ilvl="6" w:tplc="F0D6FECA">
      <w:start w:val="1"/>
      <w:numFmt w:val="bullet"/>
      <w:lvlText w:val=""/>
      <w:lvlJc w:val="left"/>
      <w:pPr>
        <w:tabs>
          <w:tab w:val="num" w:pos="5040"/>
        </w:tabs>
        <w:ind w:left="5040" w:hanging="360"/>
      </w:pPr>
      <w:rPr>
        <w:rFonts w:ascii="Symbol" w:hAnsi="Symbol"/>
      </w:rPr>
    </w:lvl>
    <w:lvl w:ilvl="7" w:tplc="1EBEB3AA">
      <w:start w:val="1"/>
      <w:numFmt w:val="bullet"/>
      <w:lvlText w:val="o"/>
      <w:lvlJc w:val="left"/>
      <w:pPr>
        <w:tabs>
          <w:tab w:val="num" w:pos="5760"/>
        </w:tabs>
        <w:ind w:left="5760" w:hanging="360"/>
      </w:pPr>
      <w:rPr>
        <w:rFonts w:ascii="Courier New" w:hAnsi="Courier New"/>
      </w:rPr>
    </w:lvl>
    <w:lvl w:ilvl="8" w:tplc="147409A2">
      <w:start w:val="1"/>
      <w:numFmt w:val="bullet"/>
      <w:lvlText w:val=""/>
      <w:lvlJc w:val="left"/>
      <w:pPr>
        <w:tabs>
          <w:tab w:val="num" w:pos="6480"/>
        </w:tabs>
        <w:ind w:left="6480" w:hanging="360"/>
      </w:pPr>
      <w:rPr>
        <w:rFonts w:ascii="Wingdings" w:hAnsi="Wingdings"/>
      </w:rPr>
    </w:lvl>
  </w:abstractNum>
  <w:num w:numId="1" w16cid:durableId="1864320334">
    <w:abstractNumId w:val="0"/>
  </w:num>
  <w:num w:numId="2" w16cid:durableId="569387481">
    <w:abstractNumId w:val="1"/>
  </w:num>
  <w:num w:numId="3" w16cid:durableId="338893999">
    <w:abstractNumId w:val="2"/>
  </w:num>
  <w:num w:numId="4" w16cid:durableId="1125387565">
    <w:abstractNumId w:val="3"/>
  </w:num>
  <w:num w:numId="5" w16cid:durableId="711810265">
    <w:abstractNumId w:val="4"/>
  </w:num>
  <w:num w:numId="6" w16cid:durableId="860821933">
    <w:abstractNumId w:val="5"/>
  </w:num>
  <w:num w:numId="7" w16cid:durableId="903754857">
    <w:abstractNumId w:val="6"/>
  </w:num>
  <w:num w:numId="8" w16cid:durableId="513569742">
    <w:abstractNumId w:val="7"/>
  </w:num>
  <w:num w:numId="9" w16cid:durableId="434132872">
    <w:abstractNumId w:val="8"/>
  </w:num>
  <w:num w:numId="10" w16cid:durableId="425076659">
    <w:abstractNumId w:val="9"/>
  </w:num>
  <w:num w:numId="11" w16cid:durableId="9597232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653013"/>
    <w:rsid w:val="009A69B1"/>
    <w:rsid w:val="00A77B3E"/>
    <w:rsid w:val="00B21DEC"/>
    <w:rsid w:val="00CA2A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1D8614"/>
  <w15:docId w15:val="{4F48BC3A-F7C3-49DB-8D41-5B94F4E2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ofcontent">
    <w:name w:val="Table of content"/>
    <w:pPr>
      <w:spacing w:after="200"/>
      <w:jc w:val="center"/>
    </w:pPr>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D4FA21-D740-4689-9AE7-263EFC84BE3F}">
  <we:reference id="wa200001361" version="2.129.3.0" store="en-US" storeType="OMEX"/>
  <we:alternateReferences>
    <we:reference id="wa200001361" version="2.129.3.0" store="en-US" storeType="OMEX"/>
  </we:alternateReferences>
  <we:properties>
    <we:property name="paperpal-document-id" value="&quot;09cae9b8-e37b-46b2-9a9a-622921110621&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8</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Mannat Sharma</dc:creator>
  <cp:lastModifiedBy>Mannat Sharma</cp:lastModifiedBy>
  <cp:revision>2</cp:revision>
  <dcterms:created xsi:type="dcterms:W3CDTF">2025-04-05T01:38:00Z</dcterms:created>
  <dcterms:modified xsi:type="dcterms:W3CDTF">2025-04-05T01:38:00Z</dcterms:modified>
</cp:coreProperties>
</file>