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D6CA2" w14:textId="5A7050F6" w:rsidR="000331DE" w:rsidRDefault="00440164" w:rsidP="00440164">
      <w:pPr>
        <w:pStyle w:val="Title"/>
      </w:pPr>
      <w:r w:rsidRPr="00CC0FBF">
        <w:t>A Conceptual Framework for Student Learning Engagement Tracking via xAPI Verbs in Higher Education</w:t>
      </w:r>
    </w:p>
    <w:p w14:paraId="4E81B6B7" w14:textId="77777777" w:rsidR="00440164" w:rsidRDefault="00440164" w:rsidP="00440164"/>
    <w:p w14:paraId="239C77BD" w14:textId="44AA6241" w:rsidR="00440164" w:rsidRDefault="00440164" w:rsidP="00440164">
      <w:pPr>
        <w:pStyle w:val="Heading1"/>
      </w:pPr>
      <w:r w:rsidRPr="00CC0FBF">
        <w:t>Introduction</w:t>
      </w:r>
    </w:p>
    <w:p w14:paraId="5F48BBB0" w14:textId="7BBC594D" w:rsidR="00440164" w:rsidRDefault="00440164" w:rsidP="00440164">
      <w:pPr>
        <w:pStyle w:val="Heading2"/>
      </w:pPr>
      <w:r w:rsidRPr="00CC0FBF">
        <w:t>Background &amp; Context</w:t>
      </w:r>
    </w:p>
    <w:p w14:paraId="08D72E60" w14:textId="0FDE0B0D" w:rsidR="00D6147C" w:rsidRDefault="005E4F3B" w:rsidP="00440164">
      <w:r w:rsidRPr="00440164">
        <w:t>Student engagement is a cr</w:t>
      </w:r>
      <w:r>
        <w:t>ucial</w:t>
      </w:r>
      <w:r w:rsidRPr="00440164">
        <w:t xml:space="preserve"> factor in higher education that influences academic success, retention rates, and overall student satisfaction.</w:t>
      </w:r>
      <w:r w:rsidR="00440164" w:rsidRPr="00440164">
        <w:t xml:space="preserve"> Engaged students are more likely to develop critical thinking skills, foster meaningful relationships with peers and faculty, and achieve better learning outcomes</w:t>
      </w:r>
      <w:r w:rsidR="00666824">
        <w:t>.</w:t>
      </w:r>
      <w:r w:rsidR="00E21CD3">
        <w:fldChar w:fldCharType="begin"/>
      </w:r>
      <w:r w:rsidR="00E21CD3">
        <w:instrText xml:space="preserve"> ADDIN ZOTERO_ITEM CSL_CITATION {"citationID":"qAwiWCjF","properties":{"formattedCitation":"(Trowler, 2010)","plainCitation":"(Trowler, 2010)","noteIndex":0},"citationItems":[{"id":129,"uris":["http://zotero.org/users/16662168/items/CX86CHZ6"],"itemData":{"id":129,"type":"article-journal","source":"ResearchGate","title":"Student Engagement Literature Review","author":[{"family":"Trowler","given":"Vicki"}],"issued":{"date-parts":[["2010",11,1]]}}}],"schema":"https://github.com/citation-style-language/schema/raw/master/csl-citation.json"} </w:instrText>
      </w:r>
      <w:r w:rsidR="00E21CD3">
        <w:fldChar w:fldCharType="separate"/>
      </w:r>
      <w:r w:rsidR="00E21CD3" w:rsidRPr="00E21CD3">
        <w:rPr>
          <w:rFonts w:ascii="Aptos" w:hAnsi="Aptos"/>
        </w:rPr>
        <w:t>(Trowler, 2010)</w:t>
      </w:r>
      <w:r w:rsidR="00E21CD3">
        <w:fldChar w:fldCharType="end"/>
      </w:r>
      <w:r w:rsidR="001E103D">
        <w:t>.</w:t>
      </w:r>
      <w:r w:rsidR="00440164" w:rsidRPr="00440164">
        <w:t xml:space="preserve"> </w:t>
      </w:r>
      <w:r>
        <w:fldChar w:fldCharType="begin"/>
      </w:r>
      <w:r>
        <w:instrText xml:space="preserve"> ADDIN ZOTERO_ITEM CSL_CITATION {"citationID":"vdY9nKwn","properties":{"formattedCitation":"(Kahu, 2011)","plainCitation":"(Kahu, 2011)","noteIndex":0},"citationItems":[{"id":126,"uris":["http://zotero.org/users/16662168/items/L7X3V43D"],"itemData":{"id":126,"type":"article-journal","abstract":"Student engagement is widely recognised as an important influence on achievement and learning in higher education and as such is being widely theorised and researched. This article firstly reviews and critiques the four dominant research perspectives on student engagement: the behavioural perspective, which foregrounds student behaviour and institutional practice; the psychological perspective, which clearly defines engagement as an individual psycho-social process; the socio-cultural perspective, which highlights the critical role of the socio-political context; and, finally, the holistic perspective, which takes a broader view of engagement. Key problems are identified, in particular poor definitions and a lack of distinction between the state of engagement, factors that influence student engagement, and the immediate and longer term consequences of engagement. The second part of the article presents a conceptual framework that overcomes these problems, incorporating valuable elements from each of the perspectives, to enable a better shared understanding of student engagement to frame future research and improve student outcomes.","container-title":"Studies in Higher Education","DOI":"10.1080/03075079.2011.598505","journalAbbreviation":"Studies in Higher Education","source":"ResearchGate","title":"Framing Student Engagement in Higher Education","volume":"2011","author":[{"family":"Kahu","given":"Ella"}],"issued":{"date-parts":[["2011",8,18]]}}}],"schema":"https://github.com/citation-style-language/schema/raw/master/csl-citation.json"} </w:instrText>
      </w:r>
      <w:r>
        <w:fldChar w:fldCharType="separate"/>
      </w:r>
      <w:r w:rsidR="009A50F6" w:rsidRPr="009A50F6">
        <w:rPr>
          <w:rFonts w:ascii="Aptos" w:hAnsi="Aptos"/>
        </w:rPr>
        <w:t>(Kahu, 2011)</w:t>
      </w:r>
      <w:r>
        <w:fldChar w:fldCharType="end"/>
      </w:r>
      <w:r w:rsidRPr="00440164">
        <w:t xml:space="preserve"> highlighted that student engagement positively correlates with academic performance and persistence in higher </w:t>
      </w:r>
      <w:r w:rsidRPr="00440164">
        <w:lastRenderedPageBreak/>
        <w:t>education</w:t>
      </w:r>
      <w:r>
        <w:t>.</w:t>
      </w:r>
      <w:r w:rsidR="005E4D35">
        <w:t xml:space="preserve"> </w:t>
      </w:r>
      <w:r>
        <w:t xml:space="preserve">Moreover, </w:t>
      </w:r>
      <w:r w:rsidRPr="00440164">
        <w:t>Engagement encourages active learning, where students are not passive recipients of knowledge but are actively involved in problem-solving and critical thinking</w:t>
      </w:r>
      <w:r>
        <w:t xml:space="preserve"> </w:t>
      </w:r>
      <w:r>
        <w:fldChar w:fldCharType="begin"/>
      </w:r>
      <w:r>
        <w:instrText xml:space="preserve"> ADDIN ZOTERO_ITEM CSL_CITATION {"citationID":"jRmj9zbV","properties":{"formattedCitation":"(Blumenfeld &amp; Paris, 2004)","plainCitation":"(Blumenfeld &amp; Paris, 2004)","noteIndex":0},"citationItems":[{"id":137,"uris":["http://zotero.org/users/16662168/items/NGT7FDTE"],"itemData":{"id":137,"type":"article-journal","abstract":"The concept of school engagement has attracted increasing attention as representing a possible antidote to declining academic motivation and achievement. Engagement is presumed to be malleable, responsive to contextual features, and amenable to environmental change. Researchers describe behavioral, emotional, and cognitive engagement and recommend studying engagement as a multifaceted construct. This article reviews definitions, measures, precursors, and outcomes of engagement; discusses limitations in the existing research; and suggests improvements. The authors conclude that, although much has been learned, the potential contribution of the concept of school engagement to research on student experience has yet to be realized. They call for richer characterizations of how students behave, feel, and think—research that could aid in the development of finely tuned interventions","container-title":"Review of Educational Research - REV EDUC RES","DOI":"10.3102/00346543074001059","journalAbbreviation":"Review of Educational Research - REV EDUC RES","page":"59-109","source":"ResearchGate","title":"School Engagement: Potential of the Concept, State of the Evidence","title-short":"School Engagement","volume":"74","author":[{"family":"Blumenfeld","given":"Phyllis"},{"family":"Paris","given":"Alison"}],"issued":{"date-parts":[["2004",3,1]]}}}],"schema":"https://github.com/citation-style-language/schema/raw/master/csl-citation.json"} </w:instrText>
      </w:r>
      <w:r>
        <w:fldChar w:fldCharType="separate"/>
      </w:r>
      <w:r w:rsidRPr="001E103D">
        <w:rPr>
          <w:rFonts w:ascii="Aptos" w:hAnsi="Aptos"/>
        </w:rPr>
        <w:t>(Blumenfeld &amp; Paris, 2004)</w:t>
      </w:r>
      <w:r>
        <w:fldChar w:fldCharType="end"/>
      </w:r>
      <w:r w:rsidRPr="00440164">
        <w:t>.</w:t>
      </w:r>
      <w:r>
        <w:t xml:space="preserve">Furthermore, </w:t>
      </w:r>
      <w:r w:rsidRPr="00440164">
        <w:t>Higher student engagement benefits institutions by improving their teaching effectiveness and institutional reputation.</w:t>
      </w:r>
      <w:r w:rsidR="00440164" w:rsidRPr="00440164">
        <w:t xml:space="preserve"> </w:t>
      </w:r>
      <w:r w:rsidRPr="00440164">
        <w:t xml:space="preserve">Universities that prioritize engagement through interactive teaching methods and student support services have higher levels of student satisfaction and institutional loyalty </w:t>
      </w:r>
      <w:r>
        <w:fldChar w:fldCharType="begin"/>
      </w:r>
      <w:r>
        <w:instrText xml:space="preserve"> ADDIN ZOTERO_ITEM CSL_CITATION {"citationID":"olWkaFSy","properties":{"formattedCitation":"(Zepke &amp; Leach, 2010)","plainCitation":"(Zepke &amp; Leach, 2010)","noteIndex":0},"citationItems":[{"id":134,"uris":["http://zotero.org/users/16662168/items/JC7B7IE8"],"itemData":{"id":134,"type":"article-journal","abstract":"Since the 1980s an extensive research literature has investigated how to improve student success in higher education focusing on student outcomes such as retention, completion and employability. A parallel research programme has focused on how students engage with their studies and what they, institutions and educators can do to enhance their engagement, and hence success. This article reports on two syntheses of research literature on student engagement and how this can be enhanced. It first synthesizes 93 research studies from ten countries to develop a conceptual organizer for student engagement that consists of four perspectives identified in the research: student motivation; transactions between teachers and students; institutional support; and engagement for active citizenship. Secondly, the article synthesizes findings from these perspectives as ten propositions for improving student engagement in higher education. It concludes by identifying some limitations with the conceptual organizer and one suggestion for developing a more integrated approach to student engagement.","container-title":"Active Learning in Higher Education","DOI":"10.1177/1469787410379680","journalAbbreviation":"Active Learning in Higher Education","page":"167-177","source":"ResearchGate","title":"Improving student engagement: Ten proposals for action","title-short":"Improving student engagement","volume":"11","author":[{"family":"Zepke","given":"Nick"},{"family":"Leach","given":"Linda"}],"issued":{"date-parts":[["2010",10,26]]}}}],"schema":"https://github.com/citation-style-language/schema/raw/master/csl-citation.json"} </w:instrText>
      </w:r>
      <w:r>
        <w:fldChar w:fldCharType="separate"/>
      </w:r>
      <w:r w:rsidR="009A50F6" w:rsidRPr="009A50F6">
        <w:rPr>
          <w:rFonts w:ascii="Aptos" w:hAnsi="Aptos"/>
        </w:rPr>
        <w:t>(Zepke &amp; Leach, 2010)</w:t>
      </w:r>
      <w:r>
        <w:fldChar w:fldCharType="end"/>
      </w:r>
      <w:r w:rsidRPr="00440164">
        <w:t>.</w:t>
      </w:r>
    </w:p>
    <w:p w14:paraId="07E91122" w14:textId="4C29DE36" w:rsidR="00BB09FE" w:rsidRDefault="005E4F3B" w:rsidP="00EF5B74">
      <w:r w:rsidRPr="00EF5B74">
        <w:t xml:space="preserve">Learning analytics and xAPI provide data-driven solutions by enabling the collection, analysis, and interpretation of learner data from various sources </w:t>
      </w:r>
      <w:r>
        <w:t>to measure student engagement and facilitate</w:t>
      </w:r>
      <w:r w:rsidRPr="00EF5B74">
        <w:t xml:space="preserve"> informed </w:t>
      </w:r>
      <w:r w:rsidR="00B24105">
        <w:t>decision-making</w:t>
      </w:r>
      <w:r w:rsidRPr="00EF5B74">
        <w:t xml:space="preserve"> in educational contexts.</w:t>
      </w:r>
      <w:r w:rsidR="00EF5B74" w:rsidRPr="00EF5B74">
        <w:t xml:space="preserve"> </w:t>
      </w:r>
      <w:r w:rsidRPr="00EF5B74">
        <w:t>The Experience API (xAPI) addresses the challenge of scalable derivation of user interaction data from multiple technologies, allowing educators to embrace a growing number of social and content-related technologies</w:t>
      </w:r>
      <w:r>
        <w:t xml:space="preserve"> </w:t>
      </w:r>
      <w:r w:rsidRPr="00EF5B74">
        <w:t>(Bakharia et al., 2016).</w:t>
      </w:r>
      <w:r w:rsidR="00EF5B74" w:rsidRPr="00EF5B74">
        <w:t xml:space="preserve"> </w:t>
      </w:r>
      <w:r w:rsidRPr="00EF5B74">
        <w:t xml:space="preserve">It enables data extraction from social media and is imported into a Learning Record Store (LRS), providing a consistent method for storing and analyzing verb/object/activity statements across different online environments </w:t>
      </w:r>
      <w:r>
        <w:t xml:space="preserve"> </w:t>
      </w:r>
      <w:r>
        <w:fldChar w:fldCharType="begin"/>
      </w:r>
      <w:r>
        <w:instrText xml:space="preserve"> ADDIN ZOTERO_ITEM CSL_CITATION {"citationID":"38W2FSBR","properties":{"formattedCitation":"(Kitto et al., 2015)","plainCitation":"(Kitto et al., 2015)","noteIndex":0},"citationItems":[{"id":142,"uris":["http://zotero.org/users/16662168/items/36H2PK67"],"itemData":{"id":142,"type":"book","abstract":"We present a Connected Learning Analytics (CLA) toolkit, which enables data to be extracted from social media and imported into a Learning Record Store (LRS), as defined by the new xAPI standard. A number of implementation issues are discussed, and a mapping that will enable the consistent storage and then analysis of xAPI verb/object/activity statements across different social media and online environments is introduced. A set of example learning activities are proposed, each facilitated by the Learning Analytics beyond the LMS that the toolkit enables.","note":"page: 15\nDOI: 10.1145/2723576.2723627","number-of-pages":"11","source":"ResearchGate","title":"Learning analytics beyond the LMS","author":[{"family":"Kitto","given":"Kirsty"},{"family":"Cross","given":"Sebastian"},{"family":"Waters","given":"Zak"},{"family":"Lupton","given":"Mandy"}],"issued":{"date-parts":[["2015",3,16]]}}}],"schema":"https://github.com/citation-style-language/schema/raw/master/csl-citation.json"} </w:instrText>
      </w:r>
      <w:r>
        <w:fldChar w:fldCharType="separate"/>
      </w:r>
      <w:r w:rsidRPr="00EF5B74">
        <w:rPr>
          <w:rFonts w:ascii="Aptos" w:hAnsi="Aptos"/>
        </w:rPr>
        <w:t>(Kitto et al., 2015)</w:t>
      </w:r>
      <w:r>
        <w:fldChar w:fldCharType="end"/>
      </w:r>
      <w:r w:rsidRPr="00EF5B74">
        <w:t>.</w:t>
      </w:r>
      <w:r w:rsidR="00EF5B74" w:rsidRPr="00EF5B74">
        <w:t xml:space="preserve"> </w:t>
      </w:r>
      <w:r w:rsidRPr="00EF5B74">
        <w:t xml:space="preserve">This standardization supports the learning community in collecting both formal and informal distributed learning activities </w:t>
      </w:r>
      <w:r>
        <w:fldChar w:fldCharType="begin"/>
      </w:r>
      <w:r>
        <w:instrText xml:space="preserve"> ADDIN ZOTERO_ITEM CSL_CITATION {"citationID":"xCKU7iJ8","properties":{"formattedCitation":"(Kevan &amp; Ryan, 2016)","plainCitation":"(Kevan &amp; Ryan, 2016)","noteIndex":0},"citationItems":[{"id":150,"uris":["http://zotero.org/users/16662168/items/HZTM8YLZ"],"itemData":{"id":150,"type":"article-journal","abstract":"This emerging technology report describes the Experience API (xAPI), a new e-learning specification designed to support the learning community in standardizing and collecting both formal and informal distributed learning activities. Informed by Activity Theory, a framework aligned with constructivism, data is collected in the form of activity statements with the flexibility to describe a wide array of learning experiences from museum exhibits to learning environment interactions. Fast adoption by private sector tool developers and the majority of learning management systems used in academia suggests the specification may have long-term implications. This report summarizes major educational research opportunities and key challenges to implementation.","container-title":"Technology, Knowledge and Learning","DOI":"10.1007/s10758-015-9260-x","ISSN":"2211-1670","issue":"1","journalAbbreviation":"Technology, Knowledge and Learning","page":"143-149","title":"Experience API: Flexible, Decentralized and Activity-Centric Data Collection","volume":"21","author":[{"family":"Kevan","given":"Jonathan M."},{"family":"Ryan","given":"Paul R."}],"issued":{"date-parts":[["2016",4,1]]}}}],"schema":"https://github.com/citation-style-language/schema/raw/master/csl-citation.json"} </w:instrText>
      </w:r>
      <w:r>
        <w:fldChar w:fldCharType="separate"/>
      </w:r>
      <w:r w:rsidR="009A50F6" w:rsidRPr="009A50F6">
        <w:rPr>
          <w:rFonts w:ascii="Aptos" w:hAnsi="Aptos"/>
        </w:rPr>
        <w:t>(Kevan &amp; Ryan, 2016)</w:t>
      </w:r>
      <w:r>
        <w:fldChar w:fldCharType="end"/>
      </w:r>
      <w:r w:rsidRPr="00EF5B74">
        <w:t>.</w:t>
      </w:r>
      <w:r w:rsidR="00EF5B74" w:rsidRPr="00EF5B74">
        <w:t xml:space="preserve"> </w:t>
      </w:r>
      <w:r w:rsidRPr="00EF5B74">
        <w:t>Interestingly, although xAPI offers significant potential, there are subtle considerations when implementing it in Learning Analytics.</w:t>
      </w:r>
      <w:r w:rsidR="00EF5B74" w:rsidRPr="00EF5B74">
        <w:t xml:space="preserve"> </w:t>
      </w:r>
      <w:r w:rsidRPr="00EF5B74">
        <w:t xml:space="preserve">Early decisions about vocabularies and structural relationships between statements can either facilitate or handicap analytics solutions </w:t>
      </w:r>
      <w:r>
        <w:fldChar w:fldCharType="begin"/>
      </w:r>
      <w:r>
        <w:instrText xml:space="preserve"> ADDIN ZOTERO_ITEM CSL_CITATION {"citationID":"hVTv1WLx","properties":{"formattedCitation":"(Bakharia et al., 2016)","plainCitation":"(Bakharia et al., 2016)","noteIndex":0},"citationItems":[{"id":140,"uris":["http://zotero.org/users/16662168/items/IW7GVS8W"],"itemData":{"id":140,"type":"paper-conference","abstract":"An ongoing challenge for Learning Analytics research has been the scalable derivation of user interaction data from multiple technologies. The complexities associated with this challenge are increasing as educators embrace an ever growing number of social and content-related technologies. The Experience API (xAPI) alongside the development of user specific record stores has been touted as a means to address this challenge, but a number of subtle considerations must be made when using xAPI in Learning Analytics. This paper provides a general overview to the complexities and challenges of using xAPI in a general systemic analytics solution - called the Connected Learning Analytics (CLA) toolkit. The importance of design is emphasised, as is the notion of common vocabularies and xAPI Recipes. Early decisions about vocabularies and structural relationships between statements can serve to either facilitate or handicap later analytics solutions. The CLA toolkit case study provides us with a way of examining both the strengths and the weaknesses of the current xAPI specification, and we conclude with a proposal for how xAPI might be improved by using JSON-LD to formalise Recipes in a machine readable form.","collection-title":"LAK '16","container-title":"Proceedings of the Sixth International Conference on Learning Analytics &amp; Knowledge","DOI":"10.1145/2883851.2883882","event-place":"New York, NY, USA","ISBN":"978-1-4503-4190-5","page":"378–382","publisher":"Association for Computing Machinery","publisher-place":"New York, NY, USA","source":"ACM Digital Library","title":"Recipe for success: lessons learnt from using xAPI within the connected learning analytics toolkit","title-short":"Recipe for success","URL":"https://doi.org/10.1145/2883851.2883882","author":[{"family":"Bakharia","given":"Aneesha"},{"family":"Kitto","given":"Kirsty"},{"family":"Pardo","given":"Abelardo"},{"family":"Gašević","given":"Dragan"},{"family":"Dawson","given":"Shane"}],"accessed":{"date-parts":[["2025",4,1]]},"issued":{"date-parts":[["2016",4,25]]}}}],"schema":"https://github.com/citation-style-language/schema/raw/master/csl-citation.json"} </w:instrText>
      </w:r>
      <w:r>
        <w:fldChar w:fldCharType="separate"/>
      </w:r>
      <w:r w:rsidRPr="005E4D35">
        <w:rPr>
          <w:rFonts w:ascii="Aptos" w:hAnsi="Aptos"/>
        </w:rPr>
        <w:t>(Bakharia et al., 2016)</w:t>
      </w:r>
      <w:r>
        <w:fldChar w:fldCharType="end"/>
      </w:r>
      <w:r>
        <w:t xml:space="preserve">. </w:t>
      </w:r>
      <w:r w:rsidRPr="00EF5B74">
        <w:t>.</w:t>
      </w:r>
      <w:r w:rsidR="00EF5B74" w:rsidRPr="00EF5B74">
        <w:t xml:space="preserve"> </w:t>
      </w:r>
      <w:r w:rsidRPr="00EF5B74">
        <w:t xml:space="preserve">In </w:t>
      </w:r>
      <w:r>
        <w:t>short</w:t>
      </w:r>
      <w:r w:rsidRPr="00EF5B74">
        <w:t xml:space="preserve">, learning analytics and xAPI </w:t>
      </w:r>
      <w:r w:rsidRPr="00EF5B74">
        <w:lastRenderedPageBreak/>
        <w:t xml:space="preserve">provide a powerful framework for data-driven </w:t>
      </w:r>
      <w:r w:rsidR="00815FA5">
        <w:t>decision-making</w:t>
      </w:r>
      <w:r w:rsidRPr="00EF5B74">
        <w:t xml:space="preserve"> in education.</w:t>
      </w:r>
      <w:r w:rsidR="00EF5B74" w:rsidRPr="00EF5B74">
        <w:t xml:space="preserve"> </w:t>
      </w:r>
      <w:r w:rsidRPr="00EF5B74">
        <w:t>By capturing a wide array of learning experiences and standardizing data collection, educators can make informed choices to improve students’ learning outcomes.</w:t>
      </w:r>
      <w:r w:rsidR="00EF5B74" w:rsidRPr="00EF5B74">
        <w:t xml:space="preserve"> </w:t>
      </w:r>
      <w:r w:rsidRPr="00EF5B74">
        <w:t>However, careful implementation and consideration of data quality are crucial to maximize the benefits of these tools in educational settings.</w:t>
      </w:r>
    </w:p>
    <w:p w14:paraId="0C4503B3" w14:textId="01F4F65E" w:rsidR="00BB09FE" w:rsidRDefault="005E4F3B" w:rsidP="00EF5B74">
      <w:r w:rsidRPr="00BB09FE">
        <w:t>There is limited research on standardizing xAPI verb taxonomies specifically designed for higher-education learning contexts.</w:t>
      </w:r>
      <w:r w:rsidR="00BB09FE">
        <w:t xml:space="preserve"> </w:t>
      </w:r>
      <w:r w:rsidR="00214012">
        <w:fldChar w:fldCharType="begin"/>
      </w:r>
      <w:r w:rsidR="00214012">
        <w:instrText xml:space="preserve"> ADDIN ZOTERO_ITEM CSL_CITATION {"citationID":"1pXwnY7K","properties":{"formattedCitation":"(Corbi &amp; Burgos, 2014)","plainCitation":"(Corbi &amp; Burgos, 2014)","noteIndex":0},"citationItems":[{"id":165,"uris":["http://zotero.org/users/16662168/items/Z4IVX68S"],"itemData":{"id":165,"type":"article-journal","abstract":"Recommender systems require input information in order to properly operate and deliver content or behaviour suggestions to end users. eLearning scenarios are no exception. Users are current students and recommendations can be built upon paths (both formal and informal), relationships, behaviours, friends, followers, actions, grades, tutor interaction, etc. A recommender system must somehow retrieve, categorize and work with all these details. There are several ways to do so: from raw and inelegant database access to more curated web APIs or even via HTML scrapping. New server-centric user-action logging and monitoring standard technologies have been presented in past years by several groups, organizations and standard bodies. The Experience API (xAPI), detailed in this article, is one of these. In the first part of this paper we analyse current learner-monitoring techniques as an initialization phase for eLearning recommender systems. We next review standardization efforts in this area; finally, we focus on xAPI and the potential interaction with the LIME model, which will be also summarized below.","container-title":"International Journal of Artificial Intelligence and Interactive Multimedia","DOI":"10.9781/ijimai.2014.276","journalAbbreviation":"International Journal of Artificial Intelligence and Interactive Multimedia","page":"44-52","source":"ResearchGate","title":"Review of Current Student-Monitoring Techniques used in eLearning-Focused recommender Systems and Learning analytics. The Experience API &amp; LIME model Case Study","volume":"2","author":[{"family":"Corbi","given":"Alberto"},{"family":"Burgos","given":"Daniel"}],"issued":{"date-parts":[["2014",9,1]]}}}],"schema":"https://github.com/citation-style-language/schema/raw/master/csl-citation.json"} </w:instrText>
      </w:r>
      <w:r w:rsidR="00214012">
        <w:fldChar w:fldCharType="separate"/>
      </w:r>
      <w:r w:rsidR="00214012" w:rsidRPr="00214012">
        <w:rPr>
          <w:rFonts w:ascii="Aptos" w:hAnsi="Aptos"/>
        </w:rPr>
        <w:t>(Corbi &amp; Burgos, 2014)</w:t>
      </w:r>
      <w:r w:rsidR="00214012">
        <w:fldChar w:fldCharType="end"/>
      </w:r>
      <w:r w:rsidR="00BB09FE" w:rsidRPr="00BB09FE">
        <w:t>highlighted that "despite the flexibility of xAPI, the lack of standardized vocabularies limits cross-platform analysis capabilities in educational settings." Their work demonstrates the need for domain-specific verb standardization.</w:t>
      </w:r>
      <w:r w:rsidR="00214012">
        <w:t xml:space="preserve"> </w:t>
      </w:r>
      <w:r w:rsidR="00214012" w:rsidRPr="00214012">
        <w:t>While engagement frameworks exist, research linking specific xAPI verb patterns to established engagement metrics is underdeveloped.</w:t>
      </w:r>
      <w:r w:rsidR="00815FA5">
        <w:t xml:space="preserve"> </w:t>
      </w:r>
      <w:r w:rsidR="00214012" w:rsidRPr="00214012">
        <w:t xml:space="preserve">According to </w:t>
      </w:r>
      <w:r w:rsidR="00214012">
        <w:fldChar w:fldCharType="begin"/>
      </w:r>
      <w:r w:rsidR="00214012">
        <w:instrText xml:space="preserve"> ADDIN ZOTERO_ITEM CSL_CITATION {"citationID":"nALS5BwC","properties":{"formattedCitation":"(Brown et al., 2022)","plainCitation":"(Brown et al., 2022)","noteIndex":0},"citationItems":[{"id":47,"uris":["http://zotero.org/users/16662168/items/TR72RAIC"],"itemData":{"id":47,"type":"article-journal","abstract":"Student engagement is consistently identiﬁed as a key predictor of learner outcomes within the online learning environment. However, there is limited guidance about using proactive strategies to improve engagement for low and non-engaged students: for example by speciﬁcally employing course learning analytics (CLA) and nudging strategies in courses to assist these students. To explore how CLA and nudging can be used more e</w:instrText>
      </w:r>
      <w:r w:rsidR="00214012">
        <w:rPr>
          <w:rFonts w:ascii="Arial" w:hAnsi="Arial" w:cs="Arial"/>
        </w:rPr>
        <w:instrText>ﬀ</w:instrText>
      </w:r>
      <w:r w:rsidR="00214012">
        <w:instrText>ectively to engage students, the authors were informed by a 12-month research project, as well as by the theoretical perspectives presented by communication and critical literacies. These perspectives were applied to develop a conceptual framework which the authors designed to prioritise expectation management and engagement principles for both students and academics. The article explains the development of the framework as well as the elements and key communication strategies it embodies. The framework contributes to practice by explaining and justifying the accessible, time-e</w:instrText>
      </w:r>
      <w:r w:rsidR="00214012">
        <w:rPr>
          <w:rFonts w:ascii="Arial" w:hAnsi="Arial" w:cs="Arial"/>
        </w:rPr>
        <w:instrText>ﬃ</w:instrText>
      </w:r>
      <w:r w:rsidR="00214012">
        <w:instrText>cient, studentfocused approaches that can be integrated simply into each course</w:instrText>
      </w:r>
      <w:r w:rsidR="00214012">
        <w:rPr>
          <w:rFonts w:ascii="Aptos" w:hAnsi="Aptos" w:cs="Aptos"/>
        </w:rPr>
        <w:instrText>’</w:instrText>
      </w:r>
      <w:r w:rsidR="00214012">
        <w:instrText>s online learning pedagogy to support both academics</w:instrText>
      </w:r>
      <w:r w:rsidR="00214012">
        <w:rPr>
          <w:rFonts w:ascii="Aptos" w:hAnsi="Aptos" w:cs="Aptos"/>
        </w:rPr>
        <w:instrText>’</w:instrText>
      </w:r>
      <w:r w:rsidR="00214012">
        <w:instrText xml:space="preserve"> and students</w:instrText>
      </w:r>
      <w:r w:rsidR="00214012">
        <w:rPr>
          <w:rFonts w:ascii="Aptos" w:hAnsi="Aptos" w:cs="Aptos"/>
        </w:rPr>
        <w:instrText>’</w:instrText>
      </w:r>
      <w:r w:rsidR="00214012">
        <w:instrText xml:space="preserve"> engagement.","container-title":"Higher Education Research &amp; Development","DOI":"10.1080/07294360.2020.1860912","ISSN":"0729-4360, 1469-8366","issue":"2","journalAbbreviation":"Higher Education Research &amp; Development","language":"en","page":"284-299","source":"DOI.org (Crossref)","title":"A conceptual framework to enhance student online learning and engagement in higher education","volume":"41","author":[{"family":"Brown","given":"Alice"},{"family":"Lawrence","given":"Jill"},{"family":"Basson","given":"Marita"},{"family":"Redmond","given":"Petrea"}],"issued":{"date-parts":[["2022",2,23]]}}}],"schema":"https://github.com/citation-style-language/schema/raw/master/csl-citation.json"} </w:instrText>
      </w:r>
      <w:r w:rsidR="00214012">
        <w:fldChar w:fldCharType="separate"/>
      </w:r>
      <w:r w:rsidR="00214012" w:rsidRPr="00214012">
        <w:rPr>
          <w:rFonts w:ascii="Aptos" w:hAnsi="Aptos"/>
        </w:rPr>
        <w:t>(Brown et al., 2022)</w:t>
      </w:r>
      <w:r w:rsidR="00214012">
        <w:fldChar w:fldCharType="end"/>
      </w:r>
      <w:r w:rsidR="00214012" w:rsidRPr="00214012">
        <w:t xml:space="preserve">, "Current xAPI implementations track actions but rarely connect verb sequences to theoretical models of engagement or learning design." </w:t>
      </w:r>
      <w:r w:rsidRPr="00214012">
        <w:t>This suggests an opportunity to map xAPI data onto engagement theories.</w:t>
      </w:r>
      <w:r w:rsidR="00214012">
        <w:t xml:space="preserve"> Furthermore, </w:t>
      </w:r>
      <w:r w:rsidR="00214012" w:rsidRPr="00214012">
        <w:t>Most current approaches focus on retrospective analysis rather than real-time intervention opportunities through xAPI data streams</w:t>
      </w:r>
      <w:r w:rsidR="00214012">
        <w:t xml:space="preserve"> as</w:t>
      </w:r>
      <w:r w:rsidR="00214012">
        <w:fldChar w:fldCharType="begin"/>
      </w:r>
      <w:r w:rsidR="00B30584">
        <w:instrText xml:space="preserve"> ADDIN ZOTERO_ITEM CSL_CITATION {"citationID":"U5TtgspO","properties":{"formattedCitation":"(Martinez-Maldonado et al., 2021)","plainCitation":"(Martinez-Maldonado et al., 2021)","noteIndex":0},"citationItems":[{"id":173,"uris":["http://zotero.org/users/16662168/items/MQYPP2GP"],"itemData":{"id":173,"type":"article-journal","abstract":"Using data to generate a deeper understanding of collaborative learning is not new, but automatically analyzing log data has enabled new means of identifying key indicators of effective collaboration and teamwork that can be used to predict outcomes and personalize feedback. Collaboration analytics is emerging as a new term to refer to computational methods for identifying salient aspects of collaboration from multiple group data sources for learners, educators, or other stakeholders to gain and act upon insights. Yet, it remains unclear how collaboration analytics go beyond previous work focused on modelling group interactions for the purpose of adapting instruction. This paper provides a conceptual model of collaboration analytics to help researchers and designers identify the opportunities enabled by such innovations to advance knowledge in, and provide enhanced support for, collaborative learning and teamwork. We argue that mapping from low-level data to higher-order constructs that are educationally meaningful, and that can be understood by educators and learners, is essential to assessing the validity of collaboration analytics. Through four cases, the paper illustrates the critical role of theory, task design, and human factors in the design of interfaces that inform actionable insights for improving collaboration and group learning.","container-title":"Journal of Learning Analytics","DOI":"10.18608/jla.2021.7227","ISSN":"1929-7750","issue":"1","language":"en","license":"Copyright (c) 2021 Journal of Learning Analytics","note":"number: 1","page":"126-153","source":"learning-analytics.info","title":"What Do You Mean by Collaboration Analytics? A Conceptual Model","title-short":"What Do You Mean by Collaboration Analytics?","volume":"8","author":[{"family":"Martinez-Maldonado","given":"Roberto"},{"family":"Gašević","given":"Dragan"},{"family":"Echeverria","given":"Vanessa"},{"family":"Nieto","given":"Gloria Fernandez"},{"family":"Swiecki","given":"Zachari"},{"family":"Shum","given":"Simon Buckingham"}],"issued":{"date-parts":[["2021",4,8]]}}}],"schema":"https://github.com/citation-style-language/schema/raw/master/csl-citation.json"} </w:instrText>
      </w:r>
      <w:r w:rsidR="00214012">
        <w:fldChar w:fldCharType="separate"/>
      </w:r>
      <w:r w:rsidR="00B30584" w:rsidRPr="00B30584">
        <w:rPr>
          <w:rFonts w:ascii="Aptos" w:hAnsi="Aptos"/>
        </w:rPr>
        <w:t>(Martinez-Maldonado et al., 2021)</w:t>
      </w:r>
      <w:r w:rsidR="00214012">
        <w:fldChar w:fldCharType="end"/>
      </w:r>
      <w:r w:rsidR="00B30584">
        <w:t xml:space="preserve"> </w:t>
      </w:r>
      <w:r w:rsidR="00214012" w:rsidRPr="00214012">
        <w:t>noted that "educational analytics often focuses on post-hoc analysis, missing opportunities for timely interventions that could improve student outcomes."</w:t>
      </w:r>
      <w:r w:rsidR="00B30584">
        <w:t xml:space="preserve"> </w:t>
      </w:r>
      <w:r w:rsidR="00B30584" w:rsidRPr="00B30584">
        <w:t>Ethical frameworks specific to xAPI verb tracking in higher education are underdeveloped</w:t>
      </w:r>
      <w:r w:rsidR="00B30584">
        <w:t xml:space="preserve"> </w:t>
      </w:r>
      <w:r w:rsidR="00B30584" w:rsidRPr="00B30584">
        <w:rPr>
          <w:rFonts w:ascii="Aptos" w:hAnsi="Aptos"/>
        </w:rPr>
        <w:t xml:space="preserve">(Prinsloo &amp; </w:t>
      </w:r>
      <w:r w:rsidR="00B30584" w:rsidRPr="00B30584">
        <w:rPr>
          <w:rFonts w:ascii="Aptos" w:hAnsi="Aptos"/>
        </w:rPr>
        <w:lastRenderedPageBreak/>
        <w:t>Slade, 2017)</w:t>
      </w:r>
      <w:r w:rsidR="00B30584">
        <w:t xml:space="preserve"> </w:t>
      </w:r>
      <w:r w:rsidR="00B30584" w:rsidRPr="00B30584">
        <w:t>argue that "as learning analytics becomes more granular, ethical frameworks have not kept pace with technological capabilities, particularly regarding student consent and data ownership."</w:t>
      </w:r>
      <w:r w:rsidR="00B30584">
        <w:t xml:space="preserve"> </w:t>
      </w:r>
    </w:p>
    <w:p w14:paraId="78E2C2E5" w14:textId="77777777" w:rsidR="009E0841" w:rsidRDefault="009E0841" w:rsidP="00EF5B74"/>
    <w:p w14:paraId="579D5A1A" w14:textId="77777777" w:rsidR="009E0841" w:rsidRPr="009E0841" w:rsidRDefault="009E0841" w:rsidP="00AB0229">
      <w:pPr>
        <w:pStyle w:val="Heading3"/>
      </w:pPr>
      <w:r w:rsidRPr="009E0841">
        <w:t>Existing Conceptual Frameworks for Student Online Learning and Engagement</w:t>
      </w:r>
    </w:p>
    <w:p w14:paraId="4A96825E" w14:textId="0E37EB3D" w:rsidR="009E0841" w:rsidRPr="009E0841" w:rsidRDefault="005E4F3B" w:rsidP="009E0841">
      <w:r w:rsidRPr="009E0841">
        <w:t>A significant body of research has focused on developing conceptual frameworks for understanding and enhancing students’ online learning and engagement in higher education.</w:t>
      </w:r>
      <w:r w:rsidR="009E0841" w:rsidRPr="009E0841">
        <w:t xml:space="preserve"> </w:t>
      </w:r>
      <w:r w:rsidRPr="009E0841">
        <w:t xml:space="preserve">One notable framework, presented by </w:t>
      </w:r>
      <w:r>
        <w:fldChar w:fldCharType="begin"/>
      </w:r>
      <w:r>
        <w:instrText xml:space="preserve"> ADDIN ZOTERO_ITEM CSL_CITATION {"citationID":"WLad7Dcq","properties":{"formattedCitation":"(Brown et al., 2022)","plainCitation":"(Brown et al., 2022)","noteIndex":0},"citationItems":[{"id":47,"uris":["http://zotero.org/users/16662168/items/TR72RAIC"],"itemData":{"id":47,"type":"article-journal","abstract":"Student engagement is consistently identiﬁed as a key predictor of learner outcomes within the online learning environment. However, there is limited guidance about using proactive strategies to improve engagement for low and non-engaged students: for example by speciﬁcally employing course learning analytics (CLA) and nudging strategies in courses to assist these students. To explore how CLA and nudging can be used more e</w:instrText>
      </w:r>
      <w:r>
        <w:rPr>
          <w:rFonts w:ascii="Arial" w:hAnsi="Arial" w:cs="Arial"/>
        </w:rPr>
        <w:instrText>ﬀ</w:instrText>
      </w:r>
      <w:r>
        <w:instrText>ectively to engage students, the authors were informed by a 12-month research project, as well as by the theoretical perspectives presented by communication and critical literacies. These perspectives were applied to develop a conceptual framework which the authors designed to prioritise expectation management and engagement principles for both students and academics. The article explains the development of the framework as well as the elements and key communication strategies it embodies. The framework contributes to practice by explaining and justifying the accessible, time-e</w:instrText>
      </w:r>
      <w:r>
        <w:rPr>
          <w:rFonts w:ascii="Arial" w:hAnsi="Arial" w:cs="Arial"/>
        </w:rPr>
        <w:instrText>ﬃ</w:instrText>
      </w:r>
      <w:r>
        <w:instrText>cient, studentfocused approaches that can be integrated simply into each course</w:instrText>
      </w:r>
      <w:r>
        <w:rPr>
          <w:rFonts w:ascii="Aptos" w:hAnsi="Aptos" w:cs="Aptos"/>
        </w:rPr>
        <w:instrText>’</w:instrText>
      </w:r>
      <w:r>
        <w:instrText>s online learning pedagogy to support both academics</w:instrText>
      </w:r>
      <w:r>
        <w:rPr>
          <w:rFonts w:ascii="Aptos" w:hAnsi="Aptos" w:cs="Aptos"/>
        </w:rPr>
        <w:instrText>’</w:instrText>
      </w:r>
      <w:r>
        <w:instrText xml:space="preserve"> and students</w:instrText>
      </w:r>
      <w:r>
        <w:rPr>
          <w:rFonts w:ascii="Aptos" w:hAnsi="Aptos" w:cs="Aptos"/>
        </w:rPr>
        <w:instrText>’</w:instrText>
      </w:r>
      <w:r>
        <w:instrText xml:space="preserve"> engagement.","container-title":"Higher Education Research &amp; Development","DOI":"10.1080/07294360.2020.1860912","ISSN":"0729-4360, 1469-8366","issue":"2","journalAbbreviation":"Higher Education Research &amp; Development","language":"en","page":"284-299","source":"DOI.org (Crossref)","title":"A conceptual framework to enhance student online learning and engagement in higher education","volume":"41","author":[{"family":"Brown","given":"Alice"},{"family":"Lawrence","given":"Jill"},{"family":"Basson","given":"Marita"},{"family":"Redmond","given":"Petrea"}],"issued":{"date-parts":[["2022",2,23]]}}}],"schema":"https://github.com/citation-style-language/schema/raw/master/csl-citation.json"} </w:instrText>
      </w:r>
      <w:r>
        <w:fldChar w:fldCharType="separate"/>
      </w:r>
      <w:r w:rsidR="009A50F6" w:rsidRPr="009A50F6">
        <w:rPr>
          <w:rFonts w:ascii="Aptos" w:hAnsi="Aptos"/>
        </w:rPr>
        <w:t>(Brown et al., 2022)</w:t>
      </w:r>
      <w:r>
        <w:fldChar w:fldCharType="end"/>
      </w:r>
      <w:r w:rsidRPr="009E0841">
        <w:t>, was developed through a rigorous constant comparison method in the existing literature with the aim of identifying recurring themes and indicators of online engagement.</w:t>
      </w:r>
      <w:r w:rsidR="009E0841" w:rsidRPr="009E0841">
        <w:t xml:space="preserve"> This framework posits five key elements of online engagement: social, cognitive, behavioral, collaborative, and emotional. </w:t>
      </w:r>
      <w:r w:rsidRPr="009E0841">
        <w:t>This underscores the importance of students' beliefs, attitudes, and behaviors as foundational to their engagement in the online learning environment.</w:t>
      </w:r>
      <w:r w:rsidR="009E0841" w:rsidRPr="009E0841">
        <w:t xml:space="preserve">   </w:t>
      </w:r>
    </w:p>
    <w:p w14:paraId="0B1431B5" w14:textId="2E5793AB" w:rsidR="009E0841" w:rsidRPr="009E0841" w:rsidRDefault="009A50F6" w:rsidP="009E0841">
      <w:r w:rsidRPr="009E0841">
        <w:t xml:space="preserve">Another conceptual framework developed by </w:t>
      </w:r>
      <w:r>
        <w:fldChar w:fldCharType="begin"/>
      </w:r>
      <w:r>
        <w:instrText xml:space="preserve"> ADDIN ZOTERO_ITEM CSL_CITATION {"citationID":"FjUECEMk","properties":{"formattedCitation":"(Brown et al., 2022)","plainCitation":"(Brown et al., 2022)","noteIndex":0},"citationItems":[{"id":47,"uris":["http://zotero.org/users/16662168/items/TR72RAIC"],"itemData":{"id":47,"type":"article-journal","abstract":"Student engagement is consistently identiﬁed as a key predictor of learner outcomes within the online learning environment. However, there is limited guidance about using proactive strategies to improve engagement for low and non-engaged students: for example by speciﬁcally employing course learning analytics (CLA) and nudging strategies in courses to assist these students. To explore how CLA and nudging can be used more e</w:instrText>
      </w:r>
      <w:r>
        <w:rPr>
          <w:rFonts w:ascii="Arial" w:hAnsi="Arial" w:cs="Arial"/>
        </w:rPr>
        <w:instrText>ﬀ</w:instrText>
      </w:r>
      <w:r>
        <w:instrText>ectively to engage students, the authors were informed by a 12-month research project, as well as by the theoretical perspectives presented by communication and critical literacies. These perspectives were applied to develop a conceptual framework which the authors designed to prioritise expectation management and engagement principles for both students and academics. The article explains the development of the framework as well as the elements and key communication strategies it embodies. The framework contributes to practice by explaining and justifying the accessible, time-e</w:instrText>
      </w:r>
      <w:r>
        <w:rPr>
          <w:rFonts w:ascii="Arial" w:hAnsi="Arial" w:cs="Arial"/>
        </w:rPr>
        <w:instrText>ﬃ</w:instrText>
      </w:r>
      <w:r>
        <w:instrText>cient, studentfocused approaches that can be integrated simply into each course</w:instrText>
      </w:r>
      <w:r>
        <w:rPr>
          <w:rFonts w:ascii="Aptos" w:hAnsi="Aptos" w:cs="Aptos"/>
        </w:rPr>
        <w:instrText>’</w:instrText>
      </w:r>
      <w:r>
        <w:instrText>s online learning pedagogy to support both academics</w:instrText>
      </w:r>
      <w:r>
        <w:rPr>
          <w:rFonts w:ascii="Aptos" w:hAnsi="Aptos" w:cs="Aptos"/>
        </w:rPr>
        <w:instrText>’</w:instrText>
      </w:r>
      <w:r>
        <w:instrText xml:space="preserve"> and students</w:instrText>
      </w:r>
      <w:r>
        <w:rPr>
          <w:rFonts w:ascii="Aptos" w:hAnsi="Aptos" w:cs="Aptos"/>
        </w:rPr>
        <w:instrText>’</w:instrText>
      </w:r>
      <w:r>
        <w:instrText xml:space="preserve"> engagement.","container-title":"Higher Education Research &amp; Development","DOI":"10.1080/07294360.2020.1860912","ISSN":"0729-4360, 1469-8366","issue":"2","journalAbbreviation":"Higher Education Research &amp; Development","language":"en","page":"284-299","source":"DOI.org (Crossref)","title":"A conceptual framework to enhance student online learning and engagement in higher education","volume":"41","author":[{"family":"Brown","given":"Alice"},{"family":"Lawrence","given":"Jill"},{"family":"Basson","given":"Marita"},{"family":"Redmond","given":"Petrea"}],"issued":{"date-parts":[["2022",2,23]]}}}],"schema":"https://github.com/citation-style-language/schema/raw/master/csl-citation.json"} </w:instrText>
      </w:r>
      <w:r>
        <w:fldChar w:fldCharType="separate"/>
      </w:r>
      <w:r w:rsidRPr="009A50F6">
        <w:rPr>
          <w:rFonts w:ascii="Aptos" w:hAnsi="Aptos"/>
        </w:rPr>
        <w:t>(Brown et al., 2022)</w:t>
      </w:r>
      <w:r>
        <w:fldChar w:fldCharType="end"/>
      </w:r>
      <w:r>
        <w:t xml:space="preserve"> </w:t>
      </w:r>
      <w:r w:rsidRPr="009E0841">
        <w:t>was developed by a 12-month research project and drew on the theoretical perspectives of communication and critical literacies.</w:t>
      </w:r>
      <w:r w:rsidR="009E0841" w:rsidRPr="009E0841">
        <w:t xml:space="preserve"> This framework prioritizes expectation management and engagement principles for both students and academics, with a specific focus on improving engagement for students who are low or non-engaged through the strategic use of course learning </w:t>
      </w:r>
      <w:r w:rsidR="009E0841" w:rsidRPr="009E0841">
        <w:lastRenderedPageBreak/>
        <w:t xml:space="preserve">analytics (CLA) and nudging strategies. </w:t>
      </w:r>
      <w:r w:rsidR="005E4F3B" w:rsidRPr="009E0841">
        <w:t>The authors emphasized the need for clear communication and the alignment of expectations between instructors and students to foster a more engaging online learning experience.</w:t>
      </w:r>
      <w:r w:rsidR="009E0841" w:rsidRPr="009E0841">
        <w:t xml:space="preserve">   </w:t>
      </w:r>
    </w:p>
    <w:p w14:paraId="20C3B343" w14:textId="30EADBF0" w:rsidR="009E0841" w:rsidRPr="009E0841" w:rsidRDefault="005E4F3B" w:rsidP="009E0841">
      <w:r w:rsidRPr="009E0841">
        <w:t>Furthermore, a conceptual framework for multimodal engagement in online higher education has been proposed operating at the implementation level to consider the critical elements inherent in the construct of engagement.</w:t>
      </w:r>
      <w:r w:rsidR="009E0841" w:rsidRPr="009E0841">
        <w:t xml:space="preserve"> </w:t>
      </w:r>
      <w:r w:rsidRPr="009E0841">
        <w:t>This framework encompasses eight categories: Teaching presence, diversity and inclusivity, working relationships, facilitation practices, learner autonomy and empowerment, sense of community, access to technology, and trust and transparency.</w:t>
      </w:r>
      <w:r w:rsidR="009E0841" w:rsidRPr="009E0841">
        <w:t xml:space="preserve"> </w:t>
      </w:r>
      <w:r w:rsidRPr="009E0841">
        <w:t>Each category was accompanied by reflective questions designed to encourage faculty to critically examine their teaching practices and identify areas for improvement.</w:t>
      </w:r>
      <w:r w:rsidR="009E0841" w:rsidRPr="009E0841">
        <w:t xml:space="preserve">   </w:t>
      </w:r>
    </w:p>
    <w:p w14:paraId="0EC0E843" w14:textId="3DF95D4A" w:rsidR="009E0841" w:rsidRPr="009E0841" w:rsidRDefault="005E4F3B" w:rsidP="009E0841">
      <w:r w:rsidRPr="009E0841">
        <w:t>The variety of these conceptual frameworks, each with its own unique focus and theoretical underpinnings, suggests that the field is still in the process of understanding the complexities of online learning engagement.</w:t>
      </w:r>
      <w:r w:rsidR="009E0841" w:rsidRPr="009E0841">
        <w:t xml:space="preserve"> </w:t>
      </w:r>
      <w:r w:rsidRPr="009E0841">
        <w:t>Different perspectives emphasize various aspects, such as student characteristics, instructor actions, course design, and a broader learning environment.</w:t>
      </w:r>
      <w:r w:rsidR="009E0841" w:rsidRPr="009E0841">
        <w:t xml:space="preserve"> </w:t>
      </w:r>
      <w:r w:rsidRPr="009E0841">
        <w:t>This diversity indicates that a single, universally applicable framework may be challenging to achieve, and that the most effective approach might depend on the specific context and goals of the educational setting.</w:t>
      </w:r>
    </w:p>
    <w:p w14:paraId="199AFA6E" w14:textId="4EA89144" w:rsidR="009E0841" w:rsidRPr="009E0841" w:rsidRDefault="009E0841" w:rsidP="009E0841">
      <w:r w:rsidRPr="009E0841">
        <w:lastRenderedPageBreak/>
        <w:t xml:space="preserve">The authors of these frameworks themselves acknowledge the need for further research and refinement. </w:t>
      </w:r>
      <w:r w:rsidR="005E4F3B" w:rsidRPr="009E0841">
        <w:t>Brown et al. (2018) identified several research gaps, including the necessity for the statistical validation of their proposed Online Engagement Framework for Higher Education.</w:t>
      </w:r>
      <w:r w:rsidRPr="009E0841">
        <w:t xml:space="preserve"> </w:t>
      </w:r>
      <w:r w:rsidR="005E4F3B" w:rsidRPr="009E0841">
        <w:t>They also highlighted the importance of applying the framework in practical settings by the research team and other academics, understanding students’ perspectives on its utility, and exploring its validity across different disciplines and institutions.</w:t>
      </w:r>
      <w:r w:rsidRPr="009E0841">
        <w:t xml:space="preserve"> </w:t>
      </w:r>
      <w:r w:rsidR="005E4F3B" w:rsidRPr="009E0841">
        <w:t>Furthermore, the authors encourage future research to utilize the framework to investigate various types and levels of online engagement and to challenge the existing understanding of this concept.</w:t>
      </w:r>
      <w:r w:rsidRPr="009E0841">
        <w:t xml:space="preserve">   </w:t>
      </w:r>
    </w:p>
    <w:p w14:paraId="69860841" w14:textId="0C0D38F2" w:rsidR="009E0841" w:rsidRPr="009E0841" w:rsidRDefault="005E4F3B" w:rsidP="009E0841">
      <w:r w:rsidRPr="009E0841">
        <w:t>The 2022 study by Brown et al. also points to several opportunities for future research.</w:t>
      </w:r>
      <w:r w:rsidR="009E0841" w:rsidRPr="009E0841">
        <w:t xml:space="preserve"> </w:t>
      </w:r>
      <w:r w:rsidRPr="009E0841">
        <w:t>These include exploring why students in one particular course showed less positive responses to nudging strategies than students in other courses, suggesting a need to understand the nuances of student populations' perceptions of such interventions.</w:t>
      </w:r>
      <w:r w:rsidR="009E0841" w:rsidRPr="009E0841">
        <w:t xml:space="preserve"> </w:t>
      </w:r>
      <w:r w:rsidRPr="009E0841">
        <w:t>The authors also proposed the creation of a readily accessible bank of nudging samples, supported by clear principles and indicators, to guide academics in their effective implementation.</w:t>
      </w:r>
      <w:r w:rsidR="009E0841" w:rsidRPr="009E0841">
        <w:t xml:space="preserve"> </w:t>
      </w:r>
      <w:r w:rsidRPr="009E0841">
        <w:t>Additionally, the study suggests exploring the potential of real-time data analytics and adaptive learning systems to provide personalized support for students at risk of academic underachievement.</w:t>
      </w:r>
      <w:r w:rsidR="009E0841" w:rsidRPr="009E0841">
        <w:t xml:space="preserve"> </w:t>
      </w:r>
      <w:r w:rsidRPr="009E0841">
        <w:t>The importance of considering diverse student perspectives on engagement and success as well as the psychological impact of nudging to avoid increasing anxiety was also highlighted as an area for future investigation.</w:t>
      </w:r>
      <w:r w:rsidR="009E0841" w:rsidRPr="009E0841">
        <w:t xml:space="preserve">   </w:t>
      </w:r>
    </w:p>
    <w:p w14:paraId="55F78B97" w14:textId="114A3ED9" w:rsidR="009E0841" w:rsidRPr="009E0841" w:rsidRDefault="005E4F3B" w:rsidP="009E0841">
      <w:r w:rsidRPr="009E0841">
        <w:lastRenderedPageBreak/>
        <w:t>Despite variations in these conceptual frameworks, several recurring themes and key components have emerged.</w:t>
      </w:r>
      <w:r w:rsidR="009E0841" w:rsidRPr="009E0841">
        <w:t xml:space="preserve"> </w:t>
      </w:r>
      <w:r w:rsidRPr="009E0841">
        <w:t>Cognitive, behavioral, and emotional engagement are consistently recognized as crucial dimensions that influence students' attitudes and motivations in online learning.</w:t>
      </w:r>
      <w:r w:rsidR="009E0841" w:rsidRPr="009E0841">
        <w:t xml:space="preserve"> Social and collaborative aspects of learning are also frequently emphasized as important elements of online engagement. Moreover, the foundational role of students' beliefs, attitudes, and behaviors in shaping their engagement is a common thread across these frameworks. </w:t>
      </w:r>
      <w:r w:rsidRPr="009E0841">
        <w:t>More recent frameworks have also highlighted the increasing significance of expectation management and proactive strategies, such as the use of course learning analytics and nudging, in fostering student engagement in online environments.</w:t>
      </w:r>
      <w:r w:rsidR="009E0841" w:rsidRPr="009E0841">
        <w:t xml:space="preserve"> </w:t>
      </w:r>
      <w:r w:rsidRPr="009E0841">
        <w:t>The multimodal engagement framework broadens the scope by including factors related to teaching presence and institutional support, acknowledging the broader context that influences student engagement</w:t>
      </w:r>
      <w:r>
        <w:t xml:space="preserve"> </w:t>
      </w:r>
      <w:r>
        <w:fldChar w:fldCharType="begin"/>
      </w:r>
      <w:r>
        <w:instrText xml:space="preserve"> ADDIN ZOTERO_ITEM CSL_CITATION {"citationID":"SP376IQK","properties":{"formattedCitation":"(Bloomberg, 2023)","plainCitation":"(Bloomberg, 2023)","noteIndex":0},"citationItems":[{"id":180,"uris":["http://zotero.org/users/16662168/items/YUDHRBXH"],"itemData":{"id":180,"type":"article-journal","abstract":"ABSTRACT As the growth of online programs continues to rapidly accelerate, there has also been an increased concern about student retention and quality of instruction. Research in the online learning environment supports a clear link between faculty engagement, learner engagement, and learning. While models and frameworks for understanding persistence in the face-to-face learning environment are well established, there is a need for establishing effective ways to monitor and evaluate online learning engagement in light of the unique characteristics of the online environment and the online learner.&amp;nbsp; The framework presented in this paper operates at the implementation level in that it allows for a thorough consideration of the critical elements inherent in the construct of engagement, and affords an opportunity for instructors to select and apply the indicators of engagement to their teaching practice.&amp;nbsp; The engagement indicators are encapsulated within eight categories: (1) Teaching presence; (2) Diversity and inclusivity; (3) Working relationships; (4) Facilitation practices; (5) Learner autonomy and empowerment; (6) Sense of community; (7) Access to technology; and (8) Trust and transparency. These categories work in unison to create an optimal online learning experience, providing valuable information regarding the distinct dimensions of the construct of engagement, and can be used to review and improve teaching practices. Each category is accompanied by reflective questions to encourage faculty to think more deeply about their current practice, and may also be used as discussion points for faculty development.","container-title":"Journal of Online Graduate Education","DOI":"10.5281/zenodo.7858922","ISSN":"2640-608X","issue":"1","journalAbbreviation":"JOGE","language":"en","source":"ijoge.org","title":"A Conceptual Framework for Multimodal Engagement in Online Higher Education","URL":"https://ijoge.org","volume":"6","author":[{"family":"Bloomberg","given":"Linda D."}],"accessed":{"date-parts":[["2025",4,2]]},"issued":{"date-parts":[["2023",4,24]]}}}],"schema":"https://github.com/citation-style-language/schema/raw/master/csl-citation.json"} </w:instrText>
      </w:r>
      <w:r>
        <w:fldChar w:fldCharType="separate"/>
      </w:r>
      <w:r w:rsidRPr="009E0841">
        <w:rPr>
          <w:rFonts w:ascii="Aptos" w:hAnsi="Aptos"/>
        </w:rPr>
        <w:t>(Bloomberg, 2023)</w:t>
      </w:r>
      <w:r>
        <w:fldChar w:fldCharType="end"/>
      </w:r>
      <w:r w:rsidRPr="009E0841">
        <w:t>.</w:t>
      </w:r>
      <w:r w:rsidR="009E0841" w:rsidRPr="009E0841">
        <w:t xml:space="preserve"> </w:t>
      </w:r>
      <w:r w:rsidRPr="009E0841">
        <w:t>These recurring themes suggest that while specific approaches and theoretical underpinnings may differ, there is a growing consensus on the core elements that constitute engagement in online higher education.</w:t>
      </w:r>
      <w:r w:rsidR="009E0841" w:rsidRPr="009E0841">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8"/>
        <w:gridCol w:w="1300"/>
        <w:gridCol w:w="4095"/>
        <w:gridCol w:w="1893"/>
      </w:tblGrid>
      <w:tr w:rsidR="009E0841" w:rsidRPr="009E0841" w14:paraId="32F53378" w14:textId="77777777" w:rsidTr="009E0841">
        <w:trPr>
          <w:tblCellSpacing w:w="15" w:type="dxa"/>
        </w:trPr>
        <w:tc>
          <w:tcPr>
            <w:tcW w:w="0" w:type="auto"/>
            <w:vAlign w:val="center"/>
            <w:hideMark/>
          </w:tcPr>
          <w:p w14:paraId="14B301DD" w14:textId="77777777" w:rsidR="009E0841" w:rsidRPr="009E0841" w:rsidRDefault="009E0841" w:rsidP="009E0841">
            <w:pPr>
              <w:rPr>
                <w:b/>
                <w:bCs/>
              </w:rPr>
            </w:pPr>
            <w:r w:rsidRPr="009E0841">
              <w:rPr>
                <w:b/>
                <w:bCs/>
              </w:rPr>
              <w:t>Framework Name (if explicitly given)</w:t>
            </w:r>
          </w:p>
        </w:tc>
        <w:tc>
          <w:tcPr>
            <w:tcW w:w="0" w:type="auto"/>
            <w:vAlign w:val="center"/>
            <w:hideMark/>
          </w:tcPr>
          <w:p w14:paraId="325B453E" w14:textId="77777777" w:rsidR="009E0841" w:rsidRPr="009E0841" w:rsidRDefault="009E0841" w:rsidP="009E0841">
            <w:pPr>
              <w:rPr>
                <w:b/>
                <w:bCs/>
              </w:rPr>
            </w:pPr>
            <w:r w:rsidRPr="009E0841">
              <w:rPr>
                <w:b/>
                <w:bCs/>
              </w:rPr>
              <w:t>Authors (Year)</w:t>
            </w:r>
          </w:p>
        </w:tc>
        <w:tc>
          <w:tcPr>
            <w:tcW w:w="0" w:type="auto"/>
            <w:vAlign w:val="center"/>
            <w:hideMark/>
          </w:tcPr>
          <w:p w14:paraId="727C19B6" w14:textId="77777777" w:rsidR="009E0841" w:rsidRPr="009E0841" w:rsidRDefault="009E0841" w:rsidP="009E0841">
            <w:pPr>
              <w:rPr>
                <w:b/>
                <w:bCs/>
              </w:rPr>
            </w:pPr>
            <w:r w:rsidRPr="009E0841">
              <w:rPr>
                <w:b/>
                <w:bCs/>
              </w:rPr>
              <w:t>Key Components/Categories of Engagement</w:t>
            </w:r>
          </w:p>
        </w:tc>
        <w:tc>
          <w:tcPr>
            <w:tcW w:w="0" w:type="auto"/>
            <w:vAlign w:val="center"/>
            <w:hideMark/>
          </w:tcPr>
          <w:p w14:paraId="1DF3522E" w14:textId="77777777" w:rsidR="009E0841" w:rsidRPr="009E0841" w:rsidRDefault="009E0841" w:rsidP="009E0841">
            <w:pPr>
              <w:rPr>
                <w:b/>
                <w:bCs/>
              </w:rPr>
            </w:pPr>
            <w:r w:rsidRPr="009E0841">
              <w:rPr>
                <w:b/>
                <w:bCs/>
              </w:rPr>
              <w:t>Theoretical Perspective(s)</w:t>
            </w:r>
          </w:p>
        </w:tc>
      </w:tr>
      <w:tr w:rsidR="009E0841" w:rsidRPr="009E0841" w14:paraId="75708C94" w14:textId="77777777" w:rsidTr="009E0841">
        <w:trPr>
          <w:tblCellSpacing w:w="15" w:type="dxa"/>
        </w:trPr>
        <w:tc>
          <w:tcPr>
            <w:tcW w:w="0" w:type="auto"/>
            <w:vAlign w:val="center"/>
            <w:hideMark/>
          </w:tcPr>
          <w:p w14:paraId="03C4455C" w14:textId="77777777" w:rsidR="009E0841" w:rsidRPr="009E0841" w:rsidRDefault="009E0841" w:rsidP="009E0841">
            <w:r w:rsidRPr="009E0841">
              <w:t>Online Engagement Framework</w:t>
            </w:r>
          </w:p>
        </w:tc>
        <w:tc>
          <w:tcPr>
            <w:tcW w:w="0" w:type="auto"/>
            <w:vAlign w:val="center"/>
            <w:hideMark/>
          </w:tcPr>
          <w:p w14:paraId="1BA587D5" w14:textId="25181F93" w:rsidR="009E0841" w:rsidRPr="009E0841" w:rsidRDefault="009E0841" w:rsidP="009E0841">
            <w:r>
              <w:fldChar w:fldCharType="begin"/>
            </w:r>
            <w:r>
              <w:instrText xml:space="preserve"> ADDIN ZOTERO_ITEM CSL_CITATION {"citationID":"2fjzeOLH","properties":{"formattedCitation":"(Brown et al., 2022)","plainCitation":"(Brown et al., 2022)","noteIndex":0},"citationItems":[{"id":47,"uris":["http://zotero.org/users/16662168/items/TR72RAIC"],"itemData":{"id":47,"type":"article-journal","abstract":"Student engagement is consistently identiﬁed as a key predictor of learner outcomes within the online learning environment. However, there is limited guidance about using proactive strategies to improve engagement for low and non-engaged students: for example by speciﬁcally employing course learning analytics (CLA) and nudging strategies in courses to assist these students. To explore how CLA and nudging can be used more e</w:instrText>
            </w:r>
            <w:r>
              <w:rPr>
                <w:rFonts w:ascii="Arial" w:hAnsi="Arial" w:cs="Arial"/>
              </w:rPr>
              <w:instrText>ﬀ</w:instrText>
            </w:r>
            <w:r>
              <w:instrText>ectively to engage students, the authors were informed by a 12-month research project, as well as by the theoretical perspectives presented by communication and critical literacies. These perspectives were applied to develop a conceptual framework which the authors designed to prioritise expectation management and engagement principles for both students and academics. The article explains the development of the framework as well as the elements and key communication strategies it embodies. The framework contributes to practice by explaining and justifying the accessible, time-e</w:instrText>
            </w:r>
            <w:r>
              <w:rPr>
                <w:rFonts w:ascii="Arial" w:hAnsi="Arial" w:cs="Arial"/>
              </w:rPr>
              <w:instrText>ﬃ</w:instrText>
            </w:r>
            <w:r>
              <w:instrText>cient, studentfocused approaches that can be integrated simply into each course</w:instrText>
            </w:r>
            <w:r>
              <w:rPr>
                <w:rFonts w:ascii="Aptos" w:hAnsi="Aptos" w:cs="Aptos"/>
              </w:rPr>
              <w:instrText>’</w:instrText>
            </w:r>
            <w:r>
              <w:instrText>s online learning pedagogy to support both academics</w:instrText>
            </w:r>
            <w:r>
              <w:rPr>
                <w:rFonts w:ascii="Aptos" w:hAnsi="Aptos" w:cs="Aptos"/>
              </w:rPr>
              <w:instrText>’</w:instrText>
            </w:r>
            <w:r>
              <w:instrText xml:space="preserve"> and students</w:instrText>
            </w:r>
            <w:r>
              <w:rPr>
                <w:rFonts w:ascii="Aptos" w:hAnsi="Aptos" w:cs="Aptos"/>
              </w:rPr>
              <w:instrText>’</w:instrText>
            </w:r>
            <w:r>
              <w:instrText xml:space="preserve"> engagement.","container-title":"Higher Education Research &amp; Development","DOI":"10.1080/07294360.2020.1860912","ISSN":"0729-4360, 1469-8366","issue":"2","journalAbbreviation":"Higher Education Research &amp; Development","language":"en","page":"284-299","source":"DOI.org (Crossref)","title":"A conceptual framework to enhance student online learning and engagement in higher education","volume":"41","author":[{"family":"Brown","given":"Alice"},{"family":"Lawrence","given":"Jill"},{"family":"Basson","given":"Marita"},{"family":"Redmond","given":"Petrea"}],"issued":{"date-parts":[["2022",2,23]]}}}],"schema":"https://github.com/citation-style-language/schema/raw/master/csl-citation.json"} </w:instrText>
            </w:r>
            <w:r>
              <w:fldChar w:fldCharType="separate"/>
            </w:r>
            <w:r w:rsidRPr="009E0841">
              <w:rPr>
                <w:rFonts w:ascii="Aptos" w:hAnsi="Aptos"/>
              </w:rPr>
              <w:t>(Brown et al., 2022)</w:t>
            </w:r>
            <w:r>
              <w:fldChar w:fldCharType="end"/>
            </w:r>
          </w:p>
        </w:tc>
        <w:tc>
          <w:tcPr>
            <w:tcW w:w="0" w:type="auto"/>
            <w:vAlign w:val="center"/>
            <w:hideMark/>
          </w:tcPr>
          <w:p w14:paraId="3858ACB4" w14:textId="77777777" w:rsidR="009E0841" w:rsidRPr="009E0841" w:rsidRDefault="009E0841" w:rsidP="009E0841">
            <w:r w:rsidRPr="009E0841">
              <w:t>Social, Cognitive, Behavioral, Collaborative, Emotional</w:t>
            </w:r>
          </w:p>
        </w:tc>
        <w:tc>
          <w:tcPr>
            <w:tcW w:w="0" w:type="auto"/>
            <w:vAlign w:val="center"/>
            <w:hideMark/>
          </w:tcPr>
          <w:p w14:paraId="3CE64351" w14:textId="77777777" w:rsidR="009E0841" w:rsidRPr="009E0841" w:rsidRDefault="009E0841" w:rsidP="009E0841">
            <w:r w:rsidRPr="009E0841">
              <w:t>Social Constructionist</w:t>
            </w:r>
          </w:p>
        </w:tc>
      </w:tr>
      <w:tr w:rsidR="009E0841" w:rsidRPr="009E0841" w14:paraId="14C03824" w14:textId="77777777" w:rsidTr="009E0841">
        <w:trPr>
          <w:tblCellSpacing w:w="15" w:type="dxa"/>
        </w:trPr>
        <w:tc>
          <w:tcPr>
            <w:tcW w:w="0" w:type="auto"/>
            <w:vAlign w:val="center"/>
            <w:hideMark/>
          </w:tcPr>
          <w:p w14:paraId="79CE0F82" w14:textId="77777777" w:rsidR="009E0841" w:rsidRPr="009E0841" w:rsidRDefault="009E0841" w:rsidP="009E0841">
            <w:r w:rsidRPr="009E0841">
              <w:lastRenderedPageBreak/>
              <w:t>Expectation Management &amp; Engagement Framework</w:t>
            </w:r>
          </w:p>
        </w:tc>
        <w:tc>
          <w:tcPr>
            <w:tcW w:w="0" w:type="auto"/>
            <w:vAlign w:val="center"/>
            <w:hideMark/>
          </w:tcPr>
          <w:p w14:paraId="7135F745" w14:textId="791A20BF" w:rsidR="009E0841" w:rsidRPr="009E0841" w:rsidRDefault="009E0841" w:rsidP="009E0841">
            <w:r>
              <w:fldChar w:fldCharType="begin"/>
            </w:r>
            <w:r>
              <w:instrText xml:space="preserve"> ADDIN ZOTERO_ITEM CSL_CITATION {"citationID":"1ezqaJXL","properties":{"formattedCitation":"(Brown et al., 2022)","plainCitation":"(Brown et al., 2022)","noteIndex":0},"citationItems":[{"id":47,"uris":["http://zotero.org/users/16662168/items/TR72RAIC"],"itemData":{"id":47,"type":"article-journal","abstract":"Student engagement is consistently identiﬁed as a key predictor of learner outcomes within the online learning environment. However, there is limited guidance about using proactive strategies to improve engagement for low and non-engaged students: for example by speciﬁcally employing course learning analytics (CLA) and nudging strategies in courses to assist these students. To explore how CLA and nudging can be used more e</w:instrText>
            </w:r>
            <w:r>
              <w:rPr>
                <w:rFonts w:ascii="Arial" w:hAnsi="Arial" w:cs="Arial"/>
              </w:rPr>
              <w:instrText>ﬀ</w:instrText>
            </w:r>
            <w:r>
              <w:instrText>ectively to engage students, the authors were informed by a 12-month research project, as well as by the theoretical perspectives presented by communication and critical literacies. These perspectives were applied to develop a conceptual framework which the authors designed to prioritise expectation management and engagement principles for both students and academics. The article explains the development of the framework as well as the elements and key communication strategies it embodies. The framework contributes to practice by explaining and justifying the accessible, time-e</w:instrText>
            </w:r>
            <w:r>
              <w:rPr>
                <w:rFonts w:ascii="Arial" w:hAnsi="Arial" w:cs="Arial"/>
              </w:rPr>
              <w:instrText>ﬃ</w:instrText>
            </w:r>
            <w:r>
              <w:instrText>cient, studentfocused approaches that can be integrated simply into each course</w:instrText>
            </w:r>
            <w:r>
              <w:rPr>
                <w:rFonts w:ascii="Aptos" w:hAnsi="Aptos" w:cs="Aptos"/>
              </w:rPr>
              <w:instrText>’</w:instrText>
            </w:r>
            <w:r>
              <w:instrText>s online learning pedagogy to support both academics</w:instrText>
            </w:r>
            <w:r>
              <w:rPr>
                <w:rFonts w:ascii="Aptos" w:hAnsi="Aptos" w:cs="Aptos"/>
              </w:rPr>
              <w:instrText>’</w:instrText>
            </w:r>
            <w:r>
              <w:instrText xml:space="preserve"> and students</w:instrText>
            </w:r>
            <w:r>
              <w:rPr>
                <w:rFonts w:ascii="Aptos" w:hAnsi="Aptos" w:cs="Aptos"/>
              </w:rPr>
              <w:instrText>’</w:instrText>
            </w:r>
            <w:r>
              <w:instrText xml:space="preserve"> engagement.","container-title":"Higher Education Research &amp; Development","DOI":"10.1080/07294360.2020.1860912","ISSN":"0729-4360, 1469-8366","issue":"2","journalAbbreviation":"Higher Education Research &amp; Development","language":"en","page":"284-299","source":"DOI.org (Crossref)","title":"A conceptual framework to enhance student online learning and engagement in higher education","volume":"41","author":[{"family":"Brown","given":"Alice"},{"family":"Lawrence","given":"Jill"},{"family":"Basson","given":"Marita"},{"family":"Redmond","given":"Petrea"}],"issued":{"date-parts":[["2022",2,23]]}}}],"schema":"https://github.com/citation-style-language/schema/raw/master/csl-citation.json"} </w:instrText>
            </w:r>
            <w:r>
              <w:fldChar w:fldCharType="separate"/>
            </w:r>
            <w:r w:rsidRPr="009E0841">
              <w:rPr>
                <w:rFonts w:ascii="Aptos" w:hAnsi="Aptos"/>
              </w:rPr>
              <w:t>(Brown et al., 2022)</w:t>
            </w:r>
            <w:r>
              <w:fldChar w:fldCharType="end"/>
            </w:r>
          </w:p>
        </w:tc>
        <w:tc>
          <w:tcPr>
            <w:tcW w:w="0" w:type="auto"/>
            <w:vAlign w:val="center"/>
            <w:hideMark/>
          </w:tcPr>
          <w:p w14:paraId="3E5BF473" w14:textId="77777777" w:rsidR="009E0841" w:rsidRPr="009E0841" w:rsidRDefault="009E0841" w:rsidP="009E0841">
            <w:r w:rsidRPr="009E0841">
              <w:t>Expectation Management, Engagement Principles (for students &amp; academics)</w:t>
            </w:r>
          </w:p>
        </w:tc>
        <w:tc>
          <w:tcPr>
            <w:tcW w:w="0" w:type="auto"/>
            <w:vAlign w:val="center"/>
            <w:hideMark/>
          </w:tcPr>
          <w:p w14:paraId="68BDA648" w14:textId="77777777" w:rsidR="009E0841" w:rsidRPr="009E0841" w:rsidRDefault="009E0841" w:rsidP="009E0841">
            <w:r w:rsidRPr="009E0841">
              <w:t>Communication Theory, Critical Literacies</w:t>
            </w:r>
          </w:p>
        </w:tc>
      </w:tr>
      <w:tr w:rsidR="009E0841" w:rsidRPr="009E0841" w14:paraId="7E4B18D2" w14:textId="77777777" w:rsidTr="009E0841">
        <w:trPr>
          <w:tblCellSpacing w:w="15" w:type="dxa"/>
        </w:trPr>
        <w:tc>
          <w:tcPr>
            <w:tcW w:w="0" w:type="auto"/>
            <w:vAlign w:val="center"/>
            <w:hideMark/>
          </w:tcPr>
          <w:p w14:paraId="2D367760" w14:textId="77777777" w:rsidR="009E0841" w:rsidRPr="009E0841" w:rsidRDefault="009E0841" w:rsidP="009E0841">
            <w:r w:rsidRPr="009E0841">
              <w:t>Multimodal Engagement Framework</w:t>
            </w:r>
          </w:p>
        </w:tc>
        <w:tc>
          <w:tcPr>
            <w:tcW w:w="0" w:type="auto"/>
            <w:vAlign w:val="center"/>
            <w:hideMark/>
          </w:tcPr>
          <w:p w14:paraId="1D8E5D7E" w14:textId="3C73B290" w:rsidR="009E0841" w:rsidRPr="009E0841" w:rsidRDefault="009E0841" w:rsidP="009E0841">
            <w:r>
              <w:fldChar w:fldCharType="begin"/>
            </w:r>
            <w:r>
              <w:instrText xml:space="preserve"> ADDIN ZOTERO_ITEM CSL_CITATION {"citationID":"Dxi7DpWW","properties":{"formattedCitation":"(Bloomberg, 2023)","plainCitation":"(Bloomberg, 2023)","noteIndex":0},"citationItems":[{"id":180,"uris":["http://zotero.org/users/16662168/items/YUDHRBXH"],"itemData":{"id":180,"type":"article-journal","abstract":"ABSTRACT As the growth of online programs continues to rapidly accelerate, there has also been an increased concern about student retention and quality of instruction. Research in the online learning environment supports a clear link between faculty engagement, learner engagement, and learning. While models and frameworks for understanding persistence in the face-to-face learning environment are well established, there is a need for establishing effective ways to monitor and evaluate online learning engagement in light of the unique characteristics of the online environment and the online learner.&amp;nbsp; The framework presented in this paper operates at the implementation level in that it allows for a thorough consideration of the critical elements inherent in the construct of engagement, and affords an opportunity for instructors to select and apply the indicators of engagement to their teaching practice.&amp;nbsp; The engagement indicators are encapsulated within eight categories: (1) Teaching presence; (2) Diversity and inclusivity; (3) Working relationships; (4) Facilitation practices; (5) Learner autonomy and empowerment; (6) Sense of community; (7) Access to technology; and (8) Trust and transparency. These categories work in unison to create an optimal online learning experience, providing valuable information regarding the distinct dimensions of the construct of engagement, and can be used to review and improve teaching practices. Each category is accompanied by reflective questions to encourage faculty to think more deeply about their current practice, and may also be used as discussion points for faculty development.","container-title":"Journal of Online Graduate Education","DOI":"10.5281/zenodo.7858922","ISSN":"2640-608X","issue":"1","journalAbbreviation":"JOGE","language":"en","source":"ijoge.org","title":"A Conceptual Framework for Multimodal Engagement in Online Higher Education","URL":"https://ijoge.org","volume":"6","author":[{"family":"Bloomberg","given":"Linda D."}],"accessed":{"date-parts":[["2025",4,2]]},"issued":{"date-parts":[["2023",4,24]]}}}],"schema":"https://github.com/citation-style-language/schema/raw/master/csl-citation.json"} </w:instrText>
            </w:r>
            <w:r>
              <w:fldChar w:fldCharType="separate"/>
            </w:r>
            <w:r w:rsidRPr="009E0841">
              <w:rPr>
                <w:rFonts w:ascii="Aptos" w:hAnsi="Aptos"/>
              </w:rPr>
              <w:t>(Bloomberg, 2023)</w:t>
            </w:r>
            <w:r>
              <w:fldChar w:fldCharType="end"/>
            </w:r>
          </w:p>
        </w:tc>
        <w:tc>
          <w:tcPr>
            <w:tcW w:w="0" w:type="auto"/>
            <w:vAlign w:val="center"/>
            <w:hideMark/>
          </w:tcPr>
          <w:p w14:paraId="79A5666A" w14:textId="77777777" w:rsidR="009E0841" w:rsidRPr="009E0841" w:rsidRDefault="009E0841" w:rsidP="009E0841">
            <w:r w:rsidRPr="009E0841">
              <w:t>Teaching Presence, Diversity &amp; Inclusivity, Working Relationships, Facilitation Practices, Learner Autonomy, Sense of Community, Access to Technology, Trust &amp; Transparency</w:t>
            </w:r>
          </w:p>
        </w:tc>
        <w:tc>
          <w:tcPr>
            <w:tcW w:w="0" w:type="auto"/>
            <w:vAlign w:val="center"/>
            <w:hideMark/>
          </w:tcPr>
          <w:p w14:paraId="5956E0D3" w14:textId="77777777" w:rsidR="009E0841" w:rsidRPr="009E0841" w:rsidRDefault="009E0841" w:rsidP="009E0841">
            <w:r w:rsidRPr="009E0841">
              <w:t>(Not explicitly stated)</w:t>
            </w:r>
          </w:p>
        </w:tc>
      </w:tr>
    </w:tbl>
    <w:p w14:paraId="0F6937F7" w14:textId="77777777" w:rsidR="009E0841" w:rsidRDefault="009E0841" w:rsidP="00EF5B74"/>
    <w:p w14:paraId="030E1DC6" w14:textId="321FAA04" w:rsidR="0053636D" w:rsidRDefault="00AB0229" w:rsidP="00AB0229">
      <w:pPr>
        <w:pStyle w:val="Heading2"/>
      </w:pPr>
      <w:r>
        <w:t>Problem Statement</w:t>
      </w:r>
    </w:p>
    <w:p w14:paraId="1E38CD23" w14:textId="7A7D7E71" w:rsidR="005E4D35" w:rsidRDefault="005E4F3B" w:rsidP="00EF5B74">
      <w:r>
        <w:t>Much work has been done to track and monitor student performance for many reasons, such as dropout predictions, improving course design, early interventions, and supporting the students in their learning, to meet the goals.</w:t>
      </w:r>
      <w:r w:rsidR="004C0006">
        <w:t xml:space="preserve"> </w:t>
      </w:r>
      <w:r>
        <w:t>There are many techniques and tools to monitor student performance, such as computer vision techniques, eye-tracking, detection, and many more for live physical classes, and there exist methods for online tracking, such as click stream data.</w:t>
      </w:r>
      <w:r w:rsidR="004C0006">
        <w:t xml:space="preserve"> </w:t>
      </w:r>
      <w:r>
        <w:t>Clickstream data contain only numbers that cannot provide meaningful insights; thus, meaningful insights into the context and label of each activity are required.</w:t>
      </w:r>
      <w:r w:rsidR="004C0006">
        <w:t xml:space="preserve"> </w:t>
      </w:r>
      <w:r>
        <w:t>However, there is very little research in this area to have a set of activities that can be used to measure certain performance and provide the best insights to understand student behavior towards the course.</w:t>
      </w:r>
      <w:r w:rsidR="004C0006">
        <w:t xml:space="preserve"> </w:t>
      </w:r>
      <w:r>
        <w:t>Xapi facilities for this issue to have structures of objects, verbs, and actors.</w:t>
      </w:r>
      <w:r w:rsidR="004C0006">
        <w:t xml:space="preserve"> </w:t>
      </w:r>
      <w:r>
        <w:t>This clearly defines the object on which action will be performed, such as a slide, video, or quiz, and the verb refers to the type of action that was performed, such as accessed(document) or viewed(videos).</w:t>
      </w:r>
      <w:r w:rsidR="00666824">
        <w:t xml:space="preserve"> </w:t>
      </w:r>
      <w:r>
        <w:t>An actor refers to the doer of action, which is usually a student.</w:t>
      </w:r>
      <w:r w:rsidR="00666824">
        <w:t xml:space="preserve"> </w:t>
      </w:r>
      <w:r>
        <w:t xml:space="preserve">The challenge is to </w:t>
      </w:r>
      <w:r>
        <w:lastRenderedPageBreak/>
        <w:t>select verbs from the Xapi dictionary to achieve specific goals or to obtain insights.</w:t>
      </w:r>
      <w:r w:rsidR="00666824">
        <w:t xml:space="preserve"> </w:t>
      </w:r>
      <w:r>
        <w:t>Few studies support this.</w:t>
      </w:r>
      <w:r w:rsidR="00666824">
        <w:t xml:space="preserve"> </w:t>
      </w:r>
      <w:r>
        <w:t>Like</w:t>
      </w:r>
      <w:r w:rsidR="00AB0229">
        <w:fldChar w:fldCharType="begin"/>
      </w:r>
      <w:r w:rsidR="00AB0229">
        <w:instrText xml:space="preserve"> ADDIN ZOTERO_ITEM CSL_CITATION {"citationID":"lL11H0Ij","properties":{"formattedCitation":"(Manso V\\uc0\\u225{}zquez et al., 2018)","plainCitation":"(Manso Vázquez et al., 2018)","noteIndex":0},"citationItems":[{"id":194,"uris":["http://zotero.org/users/16662168/items/S3YMPNSQ"],"itemData":{"id":194,"type":"article-journal","abstract":"Self-Regulated Learning (SRL) is being promoted and adopted increasingly due to the needs of current education, student centered and focused on competence development. One of the main components of SRL is learners’ self-monitoring, which eventually contributes to a better performance. Monitoring is also important for teachers, as it enables them to know to what extent their learners are doing well and progressing properly. At the same time, the use of technology for learning is now common and facilitates monitoring. Nevertheless, available software still offers poor support from the SRL point of view, especially for SRL monitoring. This clashes with the growth of Learning Analytics and Educational Data Mining. A main issue is the wide variety of SRL actions that need to be captured, commonly performed in different tools, and the need to integrate them to support the development of analytics and data mining developments, making imperative the search of interoperable solutions. This paper focuses on the standardization of SRL traces to enable data collection from multiple sources and data analysis with the goal of easing the monitoring process for teachers and learners. First, the paper analyzes current monitoring software and its limitations for SRL. Then, after a brief analysis of available standards on this area, an application profile for the eXperience API (xAPI) specification is proposed to enable the interoperable recording of the SRL traces. The paper describes the process followed to create the profile, from the analysis to the final implementation, including the selection of the interactions that represent relevant SRL actions, the selection of vocabularies to record them and a case study. OAPA","container-title":"IEEE Access","DOI":"10.1109/ACCESS.2018.2860519","journalAbbreviation":"IEEE Access","source":"ResearchGate","title":"An xAPI Application Profile to Monitor Self-Regulated Learning Strategies","volume":"6","author":[{"family":"Manso Vázquez","given":"Mario"},{"family":"Caeiro Rodriguez","given":"Manuel"},{"family":"Llamas Nistal","given":"Martín"}],"issued":{"date-parts":[["2018",7,27]]}}}],"schema":"https://github.com/citation-style-language/schema/raw/master/csl-citation.json"} </w:instrText>
      </w:r>
      <w:r w:rsidR="00AB0229">
        <w:fldChar w:fldCharType="separate"/>
      </w:r>
      <w:r w:rsidR="00AB0229" w:rsidRPr="00AB0229">
        <w:rPr>
          <w:rFonts w:ascii="Aptos" w:hAnsi="Aptos" w:cs="Times New Roman"/>
          <w:kern w:val="0"/>
        </w:rPr>
        <w:t>(Manso Vázquez et al., 2018)</w:t>
      </w:r>
      <w:r w:rsidR="00AB0229">
        <w:fldChar w:fldCharType="end"/>
      </w:r>
      <w:r>
        <w:t xml:space="preserve"> which gives recipes for the use of verbs for a certain goal, but their work only focused on the management side, and,</w:t>
      </w:r>
      <w:r w:rsidR="00AB0229">
        <w:fldChar w:fldCharType="begin"/>
      </w:r>
      <w:r w:rsidR="00AB0229">
        <w:instrText xml:space="preserve"> ADDIN ZOTERO_ITEM CSL_CITATION {"citationID":"o0NGXJeM","properties":{"formattedCitation":"(Amrieh et al., 2015; Heinemann et al., 2022)","plainCitation":"(Amrieh et al., 2015; Heinemann et al., 2022)","noteIndex":0},"citationItems":[{"id":184,"uris":["http://zotero.org/users/16662168/items/YH9QU4GH"],"itemData":{"id":184,"type":"book","abstract":"Educational data mining concerns of developing methods to discover hidden patterns from educational data. The quality of data mining techniques depends on the collected data and features. In this paper, we proposed a new student performance model with a new category of features, which called behavioral features. This type of features is related to the learner interactivity with e-learning system. We collect the data from an e-Learning system called Kalboard 360 using Experience API web service (XAPI). After that, we use some data mining techniques such as Artificial Neural Network, Naive Bayesian, and Decision Tree classifiers to evaluate the impact of such features on student's academic performance. The results reveal that there is a strong relationship between learner behaviors and its academic achievement. Results with different classification methods using behavioral features achieved up to 29% improvement in the classification accuracy compared to the same data set when removing such features.","note":"DOI: 10.1109/AEECT.2015.7360581","source":"ResearchGate","title":"Preprocessing and Analyzing Educational Data Set Using X-API for Improving Student’s Performance","author":[{"family":"Amrieh","given":"Elaf"},{"family":"Hamtini","given":"Thair"},{"family":"Aljarah","given":"Ibrahim"}],"issued":{"date-parts":[["2015",11,1]]}}},{"id":189,"uris":["http://zotero.org/users/16662168/items/SNZZHEDB"],"itemData":{"id":189,"type":"article-journal","abstract":"Learning Analytics provides plenty of pedagogical uses. However, the integration of learning analytics must be accompanied by different perspectives: technical, organizational, and pedagogical. At this point, there are still gaps, e.g., the need to connect the various stakeholders and support the systematic, structured, and sustainable process. This paper presents different approaches to making the learning data standard xAPI for interdisciplinary projects easier by working on other starting points. Starting with a basic infrastructure to support the interdisciplinary collection of definitions for the standardized data format, it continues with a graphical user interface supporting different stakeholders. A modular tool for quickly connecting programming IDEs with the vocabulary is also presented. Last, a connector is shown for easier multi-modal data management using virtual reality as an example.","container-title":"International Journal of Online and Biomedical Engineering (iJOE)","DOI":"10.3991/ijoe.v18i14.35079","journalAbbreviation":"International Journal of Online and Biomedical Engineering (iJOE)","page":"99-113","source":"ResearchGate","title":"xAPI Made Easy: A Learning Analytics Infrastructure for Interdisciplinary Projects","title-short":"xAPI Made Easy","volume":"18","author":[{"family":"Heinemann","given":"Birte"},{"family":"Ehlenz","given":"Matthias"},{"family":"Görzen","given":"Sergej"},{"family":"Schroeder","given":"Ulrik"}],"issued":{"date-parts":[["2022",11,22]]}}}],"schema":"https://github.com/citation-style-language/schema/raw/master/csl-citation.json"} </w:instrText>
      </w:r>
      <w:r w:rsidR="00AB0229">
        <w:fldChar w:fldCharType="separate"/>
      </w:r>
      <w:r w:rsidR="00AB0229" w:rsidRPr="00AB0229">
        <w:rPr>
          <w:rFonts w:ascii="Aptos" w:hAnsi="Aptos"/>
        </w:rPr>
        <w:t>(Amrieh et al., 2015; Heinemann et al., 2022)</w:t>
      </w:r>
      <w:r w:rsidR="00AB0229">
        <w:fldChar w:fldCharType="end"/>
      </w:r>
      <w:r>
        <w:t xml:space="preserve"> declared the use of xapi verbs but not </w:t>
      </w:r>
      <w:r w:rsidR="009A50F6">
        <w:t>justified</w:t>
      </w:r>
      <w:r>
        <w:t xml:space="preserve"> and revealed the verbs that were used to track student behaviors.</w:t>
      </w:r>
      <w:r w:rsidR="00666824">
        <w:t xml:space="preserve"> </w:t>
      </w:r>
      <w:r>
        <w:t>There is a need for a framework that can provide instructors with direction to use certain verbs for correspondence use cases.</w:t>
      </w:r>
      <w:r w:rsidR="00666824">
        <w:t xml:space="preserve"> </w:t>
      </w:r>
      <w:r w:rsidR="004C0006">
        <w:t xml:space="preserve"> </w:t>
      </w:r>
    </w:p>
    <w:p w14:paraId="0F7B1D3E" w14:textId="22C97A05" w:rsidR="00AB0229" w:rsidRPr="00CC0FBF" w:rsidRDefault="00AB0229" w:rsidP="00AB0229">
      <w:pPr>
        <w:pStyle w:val="Heading2"/>
      </w:pPr>
      <w:r w:rsidRPr="00CC0FBF">
        <w:t>Research Objectives</w:t>
      </w:r>
    </w:p>
    <w:p w14:paraId="011D7B77" w14:textId="77777777" w:rsidR="00AB0229" w:rsidRPr="00CC0FBF" w:rsidRDefault="00AB0229" w:rsidP="00AB0229">
      <w:pPr>
        <w:numPr>
          <w:ilvl w:val="1"/>
          <w:numId w:val="1"/>
        </w:numPr>
      </w:pPr>
      <w:r w:rsidRPr="00AB0229">
        <w:t>Develop</w:t>
      </w:r>
      <w:r w:rsidRPr="00CC0FBF">
        <w:t xml:space="preserve"> a conceptual framework to track student behavioral engagement</w:t>
      </w:r>
    </w:p>
    <w:p w14:paraId="63163096" w14:textId="77777777" w:rsidR="00AB0229" w:rsidRPr="00CC0FBF" w:rsidRDefault="00AB0229" w:rsidP="00AB0229">
      <w:pPr>
        <w:numPr>
          <w:ilvl w:val="1"/>
          <w:numId w:val="1"/>
        </w:numPr>
      </w:pPr>
      <w:r w:rsidRPr="00AB0229">
        <w:t>Map xAPI verbs</w:t>
      </w:r>
      <w:r w:rsidRPr="00CC0FBF">
        <w:t xml:space="preserve"> to engagement indicators</w:t>
      </w:r>
    </w:p>
    <w:p w14:paraId="58507638" w14:textId="77777777" w:rsidR="00E354EF" w:rsidRDefault="00E354EF" w:rsidP="00E354EF">
      <w:pPr>
        <w:numPr>
          <w:ilvl w:val="1"/>
          <w:numId w:val="1"/>
        </w:numPr>
      </w:pPr>
      <w:r>
        <w:t xml:space="preserve">Integrate theoretical foundations to establish a robust understanding of engagement. </w:t>
      </w:r>
    </w:p>
    <w:p w14:paraId="21D42F5E" w14:textId="77777777" w:rsidR="00E354EF" w:rsidRDefault="00E354EF" w:rsidP="00E354EF">
      <w:pPr>
        <w:numPr>
          <w:ilvl w:val="1"/>
          <w:numId w:val="1"/>
        </w:numPr>
      </w:pPr>
      <w:r>
        <w:t xml:space="preserve">Develop and recommend practical strategies for fostering engagement. </w:t>
      </w:r>
    </w:p>
    <w:p w14:paraId="78B21A97" w14:textId="32AE045A" w:rsidR="00E354EF" w:rsidRPr="00CC0FBF" w:rsidRDefault="00E354EF" w:rsidP="00E354EF">
      <w:pPr>
        <w:numPr>
          <w:ilvl w:val="1"/>
          <w:numId w:val="1"/>
        </w:numPr>
      </w:pPr>
      <w:r>
        <w:t xml:space="preserve">Validate the framework through a pilot study, ensuring its applicability and effectiveness. </w:t>
      </w:r>
    </w:p>
    <w:p w14:paraId="3650AAD7" w14:textId="5D3CC5DE" w:rsidR="00AB0229" w:rsidRPr="00CC0FBF" w:rsidRDefault="00AB0229" w:rsidP="00AB0229">
      <w:pPr>
        <w:pStyle w:val="Heading2"/>
      </w:pPr>
      <w:r w:rsidRPr="00CC0FBF">
        <w:t>Research Questions (RQs)</w:t>
      </w:r>
    </w:p>
    <w:p w14:paraId="4FB6C316" w14:textId="77777777" w:rsidR="00AB0229" w:rsidRPr="00CC0FBF" w:rsidRDefault="00AB0229" w:rsidP="00AB0229">
      <w:pPr>
        <w:numPr>
          <w:ilvl w:val="1"/>
          <w:numId w:val="1"/>
        </w:numPr>
      </w:pPr>
      <w:r w:rsidRPr="00CC0FBF">
        <w:t>What key behaviors indicate student engagement in online learning?</w:t>
      </w:r>
    </w:p>
    <w:p w14:paraId="3166F9AF" w14:textId="77777777" w:rsidR="00AB0229" w:rsidRPr="00CC0FBF" w:rsidRDefault="00AB0229" w:rsidP="00AB0229">
      <w:pPr>
        <w:numPr>
          <w:ilvl w:val="1"/>
          <w:numId w:val="1"/>
        </w:numPr>
      </w:pPr>
      <w:r w:rsidRPr="00CC0FBF">
        <w:lastRenderedPageBreak/>
        <w:t>How can xAPI effectively track these behaviors?</w:t>
      </w:r>
    </w:p>
    <w:p w14:paraId="56858E7B" w14:textId="77777777" w:rsidR="00AB0229" w:rsidRPr="00CC0FBF" w:rsidRDefault="00AB0229" w:rsidP="00AB0229">
      <w:pPr>
        <w:numPr>
          <w:ilvl w:val="1"/>
          <w:numId w:val="1"/>
        </w:numPr>
      </w:pPr>
      <w:r w:rsidRPr="00CC0FBF">
        <w:t>Which theoretical foundations support engagement tracking?</w:t>
      </w:r>
    </w:p>
    <w:p w14:paraId="5CB7F1B4" w14:textId="77777777" w:rsidR="00AB0229" w:rsidRDefault="00AB0229" w:rsidP="00AB0229">
      <w:pPr>
        <w:numPr>
          <w:ilvl w:val="1"/>
          <w:numId w:val="1"/>
        </w:numPr>
      </w:pPr>
      <w:r w:rsidRPr="00CC0FBF">
        <w:t>What practical strategies can be implemented?</w:t>
      </w:r>
    </w:p>
    <w:p w14:paraId="64A6098A" w14:textId="77777777" w:rsidR="00E354EF" w:rsidRDefault="00E354EF" w:rsidP="00E354EF">
      <w:pPr>
        <w:pStyle w:val="Heading3"/>
      </w:pPr>
      <w:r>
        <w:t>Table: Research Objectives and Corresponding Research Questions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37"/>
        <w:gridCol w:w="4379"/>
      </w:tblGrid>
      <w:tr w:rsidR="00E354EF" w14:paraId="54B76D34" w14:textId="77777777" w:rsidTr="00E354EF">
        <w:trPr>
          <w:tblHeader/>
          <w:tblCellSpacing w:w="15" w:type="dxa"/>
        </w:trPr>
        <w:tc>
          <w:tcPr>
            <w:tcW w:w="0" w:type="auto"/>
            <w:vAlign w:val="center"/>
            <w:hideMark/>
          </w:tcPr>
          <w:p w14:paraId="50C8EB3E" w14:textId="77777777" w:rsidR="00E354EF" w:rsidRDefault="00E354EF">
            <w:pPr>
              <w:jc w:val="center"/>
              <w:rPr>
                <w:b/>
                <w:bCs/>
              </w:rPr>
            </w:pPr>
            <w:r>
              <w:rPr>
                <w:rStyle w:val="Strong"/>
              </w:rPr>
              <w:t>Research Objective</w:t>
            </w:r>
          </w:p>
        </w:tc>
        <w:tc>
          <w:tcPr>
            <w:tcW w:w="0" w:type="auto"/>
            <w:vAlign w:val="center"/>
            <w:hideMark/>
          </w:tcPr>
          <w:p w14:paraId="46F589E2" w14:textId="77777777" w:rsidR="00E354EF" w:rsidRDefault="00E354EF">
            <w:pPr>
              <w:jc w:val="center"/>
              <w:rPr>
                <w:b/>
                <w:bCs/>
              </w:rPr>
            </w:pPr>
            <w:r>
              <w:rPr>
                <w:rStyle w:val="Strong"/>
              </w:rPr>
              <w:t>Corresponding Research Question (RQ)</w:t>
            </w:r>
          </w:p>
        </w:tc>
      </w:tr>
      <w:tr w:rsidR="00E354EF" w14:paraId="696829B9" w14:textId="77777777" w:rsidTr="00E354EF">
        <w:trPr>
          <w:tblCellSpacing w:w="15" w:type="dxa"/>
        </w:trPr>
        <w:tc>
          <w:tcPr>
            <w:tcW w:w="0" w:type="auto"/>
            <w:vAlign w:val="center"/>
            <w:hideMark/>
          </w:tcPr>
          <w:p w14:paraId="1BE55662" w14:textId="77777777" w:rsidR="00E354EF" w:rsidRDefault="00E354EF">
            <w:r>
              <w:t>Develop a conceptual framework to track student behavioral engagement</w:t>
            </w:r>
          </w:p>
        </w:tc>
        <w:tc>
          <w:tcPr>
            <w:tcW w:w="0" w:type="auto"/>
            <w:vAlign w:val="center"/>
            <w:hideMark/>
          </w:tcPr>
          <w:p w14:paraId="482FB60F" w14:textId="77777777" w:rsidR="00E354EF" w:rsidRDefault="00E354EF">
            <w:r>
              <w:t>What key behaviors indicate student engagement in online learning?</w:t>
            </w:r>
          </w:p>
        </w:tc>
      </w:tr>
      <w:tr w:rsidR="00E354EF" w14:paraId="05716B59" w14:textId="77777777" w:rsidTr="00E354EF">
        <w:trPr>
          <w:tblCellSpacing w:w="15" w:type="dxa"/>
        </w:trPr>
        <w:tc>
          <w:tcPr>
            <w:tcW w:w="0" w:type="auto"/>
            <w:vAlign w:val="center"/>
            <w:hideMark/>
          </w:tcPr>
          <w:p w14:paraId="5C159AF6" w14:textId="77777777" w:rsidR="00E354EF" w:rsidRDefault="00E354EF">
            <w:r>
              <w:t>Map xAPI verbs to engagement indicators</w:t>
            </w:r>
          </w:p>
        </w:tc>
        <w:tc>
          <w:tcPr>
            <w:tcW w:w="0" w:type="auto"/>
            <w:vAlign w:val="center"/>
            <w:hideMark/>
          </w:tcPr>
          <w:p w14:paraId="43E6B9C4" w14:textId="77777777" w:rsidR="00E354EF" w:rsidRDefault="00E354EF">
            <w:r>
              <w:t>How can xAPI effectively track these behaviors?</w:t>
            </w:r>
          </w:p>
        </w:tc>
      </w:tr>
      <w:tr w:rsidR="00E354EF" w14:paraId="4FB2B297" w14:textId="77777777" w:rsidTr="00E354EF">
        <w:trPr>
          <w:tblCellSpacing w:w="15" w:type="dxa"/>
        </w:trPr>
        <w:tc>
          <w:tcPr>
            <w:tcW w:w="0" w:type="auto"/>
            <w:vAlign w:val="center"/>
            <w:hideMark/>
          </w:tcPr>
          <w:p w14:paraId="6B2FF252" w14:textId="77777777" w:rsidR="00E354EF" w:rsidRDefault="00E354EF">
            <w:r>
              <w:t>Integrate theoretical foundations to establish a robust understanding of engagement</w:t>
            </w:r>
          </w:p>
        </w:tc>
        <w:tc>
          <w:tcPr>
            <w:tcW w:w="0" w:type="auto"/>
            <w:vAlign w:val="center"/>
            <w:hideMark/>
          </w:tcPr>
          <w:p w14:paraId="29702E73" w14:textId="77777777" w:rsidR="00E354EF" w:rsidRDefault="00E354EF">
            <w:r>
              <w:t>Which theoretical foundations support engagement tracking?</w:t>
            </w:r>
          </w:p>
        </w:tc>
      </w:tr>
      <w:tr w:rsidR="00E354EF" w14:paraId="016801F7" w14:textId="77777777" w:rsidTr="00E354EF">
        <w:trPr>
          <w:tblCellSpacing w:w="15" w:type="dxa"/>
        </w:trPr>
        <w:tc>
          <w:tcPr>
            <w:tcW w:w="0" w:type="auto"/>
            <w:vAlign w:val="center"/>
            <w:hideMark/>
          </w:tcPr>
          <w:p w14:paraId="157A2945" w14:textId="77777777" w:rsidR="00E354EF" w:rsidRDefault="00E354EF">
            <w:r>
              <w:t>Develop and recommend practical strategies for fostering engagement</w:t>
            </w:r>
          </w:p>
        </w:tc>
        <w:tc>
          <w:tcPr>
            <w:tcW w:w="0" w:type="auto"/>
            <w:vAlign w:val="center"/>
            <w:hideMark/>
          </w:tcPr>
          <w:p w14:paraId="0A8DEA73" w14:textId="77777777" w:rsidR="00E354EF" w:rsidRDefault="00E354EF">
            <w:r>
              <w:t>What practical strategies can be implemented?</w:t>
            </w:r>
          </w:p>
        </w:tc>
      </w:tr>
      <w:tr w:rsidR="00E354EF" w14:paraId="55BCA296" w14:textId="77777777" w:rsidTr="00E354EF">
        <w:trPr>
          <w:tblCellSpacing w:w="15" w:type="dxa"/>
        </w:trPr>
        <w:tc>
          <w:tcPr>
            <w:tcW w:w="0" w:type="auto"/>
            <w:vAlign w:val="center"/>
            <w:hideMark/>
          </w:tcPr>
          <w:p w14:paraId="0E201F73" w14:textId="77777777" w:rsidR="00E354EF" w:rsidRDefault="00E354EF">
            <w:r>
              <w:t>Validate the framework through a pilot study, ensuring its applicability and effectiveness</w:t>
            </w:r>
          </w:p>
        </w:tc>
        <w:tc>
          <w:tcPr>
            <w:tcW w:w="0" w:type="auto"/>
            <w:vAlign w:val="center"/>
            <w:hideMark/>
          </w:tcPr>
          <w:p w14:paraId="01633388" w14:textId="77777777" w:rsidR="00E354EF" w:rsidRDefault="00E354EF">
            <w:r>
              <w:t>How effective and applicable is the proposed framework in a real-world context?</w:t>
            </w:r>
          </w:p>
        </w:tc>
      </w:tr>
    </w:tbl>
    <w:p w14:paraId="667B7F4D" w14:textId="77777777" w:rsidR="00E354EF" w:rsidRDefault="00E354EF" w:rsidP="00E354EF"/>
    <w:p w14:paraId="13CC377C" w14:textId="6619A4FD" w:rsidR="00E354EF" w:rsidRPr="00FC5FD3" w:rsidRDefault="00FC5FD3" w:rsidP="00FC5FD3">
      <w:pPr>
        <w:pStyle w:val="Heading1"/>
      </w:pPr>
      <w:r w:rsidRPr="00FC5FD3">
        <w:lastRenderedPageBreak/>
        <w:t>Literature Review</w:t>
      </w:r>
    </w:p>
    <w:p w14:paraId="7A5D6B6F" w14:textId="4B8B6504" w:rsidR="00FC5FD3" w:rsidRDefault="00FC5FD3" w:rsidP="00FC5FD3">
      <w:pPr>
        <w:pStyle w:val="Heading1"/>
      </w:pPr>
      <w:r w:rsidRPr="00FC5FD3">
        <w:t>Methodology</w:t>
      </w:r>
    </w:p>
    <w:p w14:paraId="4E2939AF" w14:textId="0C3ED126" w:rsidR="00FC5FD3" w:rsidRDefault="00FC5FD3" w:rsidP="00FC5FD3">
      <w:pPr>
        <w:pStyle w:val="Heading2"/>
      </w:pPr>
      <w:r>
        <w:t>Research Approach</w:t>
      </w:r>
    </w:p>
    <w:p w14:paraId="3AF2F956" w14:textId="77777777" w:rsidR="00BD165F" w:rsidRPr="00BD165F" w:rsidRDefault="00BD165F" w:rsidP="00BD165F">
      <w:r w:rsidRPr="00BD165F">
        <w:t xml:space="preserve">This study adopts a </w:t>
      </w:r>
      <w:r w:rsidRPr="00BD165F">
        <w:rPr>
          <w:b/>
          <w:bCs/>
        </w:rPr>
        <w:t>Design Science Research (DSR)</w:t>
      </w:r>
      <w:r w:rsidRPr="00BD165F">
        <w:t xml:space="preserve"> approach to develop a prescriptive framework that maps xAPI verbs to measurable engagement behaviors in digital learning environments. The framework aims to bridge the gap in current literature by offering a structured way to interpret learner activity using both technical standards (xAPI) and pedagogical theories.</w:t>
      </w:r>
    </w:p>
    <w:p w14:paraId="16542CEA" w14:textId="77777777" w:rsidR="00BD165F" w:rsidRPr="00BD165F" w:rsidRDefault="00BD165F" w:rsidP="00BD165F">
      <w:r w:rsidRPr="00BD165F">
        <w:t xml:space="preserve">The process began with a </w:t>
      </w:r>
      <w:r w:rsidRPr="00BD165F">
        <w:rPr>
          <w:b/>
          <w:bCs/>
        </w:rPr>
        <w:t>comprehensive literature review</w:t>
      </w:r>
      <w:r w:rsidRPr="00BD165F">
        <w:t xml:space="preserve"> focusing on two core domains: (1) student behavioral engagement in online learning, and (2) xAPI (Experience API) as a learning analytics standard. Search queries included terms such as “student engagement behaviors,” “learning analytics,” “xAPI in education,” and “engagement theory.” A total of 10–15 scholarly papers were reviewed to identify existing gaps, leading to the observation that no comprehensive model currently integrates xAPI verbs with educational theory to monitor student engagement systematically.</w:t>
      </w:r>
    </w:p>
    <w:p w14:paraId="364BCA3A" w14:textId="77777777" w:rsidR="00BD165F" w:rsidRPr="00BD165F" w:rsidRDefault="00BD165F" w:rsidP="00BD165F">
      <w:r w:rsidRPr="00BD165F">
        <w:lastRenderedPageBreak/>
        <w:t xml:space="preserve">Consequently, a conceptual framework was developed through a </w:t>
      </w:r>
      <w:r w:rsidRPr="00BD165F">
        <w:rPr>
          <w:b/>
          <w:bCs/>
        </w:rPr>
        <w:t>literature-driven mapping methodology</w:t>
      </w:r>
      <w:r w:rsidRPr="00BD165F">
        <w:t>, in which relevant xAPI verbs were aligned with use-case-specific student behaviors and pedagogical theories. The process was iterative, involving expert consultation, theoretical validation, and justification based on empirical and conceptual evidence.</w:t>
      </w:r>
    </w:p>
    <w:p w14:paraId="7AC2FE97" w14:textId="77777777" w:rsidR="00BD165F" w:rsidRPr="00BD165F" w:rsidRDefault="00BD165F" w:rsidP="00BD165F"/>
    <w:p w14:paraId="162D1F4F" w14:textId="6E6D726D" w:rsidR="00FC5FD3" w:rsidRDefault="00FC5FD3" w:rsidP="00FC5FD3">
      <w:pPr>
        <w:pStyle w:val="Heading2"/>
      </w:pPr>
      <w:r>
        <w:t>Selection of xAPIs Verbs</w:t>
      </w:r>
    </w:p>
    <w:p w14:paraId="625CCEA1" w14:textId="77777777" w:rsidR="00BD165F" w:rsidRPr="00BD165F" w:rsidRDefault="00BD165F" w:rsidP="00BD165F">
      <w:pPr>
        <w:rPr>
          <w:b/>
          <w:bCs/>
        </w:rPr>
      </w:pPr>
      <w:r w:rsidRPr="00BD165F">
        <w:rPr>
          <w:b/>
          <w:bCs/>
        </w:rPr>
        <w:t>Step 1: Reviewing xAPI Documentation</w:t>
      </w:r>
    </w:p>
    <w:p w14:paraId="1D6FEFCD" w14:textId="77777777" w:rsidR="00BD165F" w:rsidRPr="00BD165F" w:rsidRDefault="00BD165F" w:rsidP="00BD165F">
      <w:r w:rsidRPr="00BD165F">
        <w:t xml:space="preserve">The first step involved a detailed exploration of the </w:t>
      </w:r>
      <w:hyperlink r:id="rId6" w:anchor="home/verbs" w:tgtFrame="_new" w:history="1">
        <w:r w:rsidRPr="00BD165F">
          <w:rPr>
            <w:rStyle w:val="Hyperlink"/>
          </w:rPr>
          <w:t>xAPI verb registry</w:t>
        </w:r>
      </w:hyperlink>
      <w:r w:rsidRPr="00BD165F">
        <w:t>, a publicly maintained repository of standardized action verbs used for tracking digital learning experiences. Supplementary guidance was taken from community blogs, technical documentation, and case studies related to xAPI implementation in education. Verbs such as accessed, viewed, attempted, and completed were shortlisted for their relevance to observable engagement behaviors.</w:t>
      </w:r>
    </w:p>
    <w:p w14:paraId="6A4F41DE" w14:textId="77777777" w:rsidR="00BD165F" w:rsidRPr="00BD165F" w:rsidRDefault="00BD165F" w:rsidP="00BD165F">
      <w:pPr>
        <w:rPr>
          <w:b/>
          <w:bCs/>
        </w:rPr>
      </w:pPr>
      <w:r w:rsidRPr="00BD165F">
        <w:rPr>
          <w:b/>
          <w:bCs/>
        </w:rPr>
        <w:t>Step 2: Mapping Verbs to Engagement Behaviors</w:t>
      </w:r>
    </w:p>
    <w:p w14:paraId="7D9EDCE7" w14:textId="77777777" w:rsidR="00BD165F" w:rsidRPr="00BD165F" w:rsidRDefault="00BD165F" w:rsidP="00BD165F">
      <w:r w:rsidRPr="00BD165F">
        <w:t xml:space="preserve">The initial mapping of verbs to student engagement use-cases was guided by </w:t>
      </w:r>
      <w:r w:rsidRPr="00BD165F">
        <w:rPr>
          <w:b/>
          <w:bCs/>
        </w:rPr>
        <w:t>design intuition</w:t>
      </w:r>
      <w:r w:rsidRPr="00BD165F">
        <w:t xml:space="preserve"> and </w:t>
      </w:r>
      <w:r w:rsidRPr="00BD165F">
        <w:rPr>
          <w:b/>
          <w:bCs/>
        </w:rPr>
        <w:t>expert input</w:t>
      </w:r>
      <w:r w:rsidRPr="00BD165F">
        <w:t xml:space="preserve"> from academic mentors. Each xAPI verb was examined for its semantic alignment with specific behavioral </w:t>
      </w:r>
      <w:r w:rsidRPr="00BD165F">
        <w:lastRenderedPageBreak/>
        <w:t>indicators commonly observed in LMS and MOOC platforms. For example, the verbs logged-in and logged-out were linked to temporal engagement metrics, while attempted and scored were associated with assessment-related activities.</w:t>
      </w:r>
    </w:p>
    <w:p w14:paraId="528D8267" w14:textId="77777777" w:rsidR="00BD165F" w:rsidRPr="00BD165F" w:rsidRDefault="00BD165F" w:rsidP="00BD165F">
      <w:pPr>
        <w:rPr>
          <w:b/>
          <w:bCs/>
        </w:rPr>
      </w:pPr>
      <w:r w:rsidRPr="00BD165F">
        <w:rPr>
          <w:b/>
          <w:bCs/>
        </w:rPr>
        <w:t>Step 3: Theoretical Validation of Selected Verbs</w:t>
      </w:r>
    </w:p>
    <w:p w14:paraId="19D08642" w14:textId="77777777" w:rsidR="00BD165F" w:rsidRPr="00BD165F" w:rsidRDefault="00BD165F" w:rsidP="00BD165F">
      <w:r w:rsidRPr="00BD165F">
        <w:t xml:space="preserve">Once the verbs were provisionally mapped to use-cases, a validation step was introduced through a </w:t>
      </w:r>
      <w:r w:rsidRPr="00BD165F">
        <w:rPr>
          <w:b/>
          <w:bCs/>
        </w:rPr>
        <w:t>manual review of relevant behavioral and learning theories</w:t>
      </w:r>
      <w:r w:rsidRPr="00BD165F">
        <w:t xml:space="preserve">. For each use-case, the underlying behavioral construct was identified, and relevant theories were matched to ensure educational validity. For instance, quiz participation verbs (attempted, scored) were grounded in </w:t>
      </w:r>
      <w:r w:rsidRPr="00BD165F">
        <w:rPr>
          <w:b/>
          <w:bCs/>
        </w:rPr>
        <w:t>Behaviorism</w:t>
      </w:r>
      <w:r w:rsidRPr="00BD165F">
        <w:t xml:space="preserve"> and </w:t>
      </w:r>
      <w:r w:rsidRPr="00BD165F">
        <w:rPr>
          <w:b/>
          <w:bCs/>
        </w:rPr>
        <w:t>Social Learning Theory</w:t>
      </w:r>
      <w:r w:rsidRPr="00BD165F">
        <w:t>, which emphasize reinforcement and social modeling. This step ensured that the framework is not only technically consistent but also pedagogically grounded.</w:t>
      </w:r>
    </w:p>
    <w:p w14:paraId="6FBB4779" w14:textId="77777777" w:rsidR="00BD165F" w:rsidRPr="00BD165F" w:rsidRDefault="00BD165F" w:rsidP="00BD165F">
      <w:r w:rsidRPr="00BD165F">
        <w:rPr>
          <w:rFonts w:ascii="Segoe UI Emoji" w:hAnsi="Segoe UI Emoji" w:cs="Segoe UI Emoji"/>
        </w:rPr>
        <w:t>📊</w:t>
      </w:r>
      <w:r w:rsidRPr="00BD165F">
        <w:t xml:space="preserve"> </w:t>
      </w:r>
      <w:r w:rsidRPr="00BD165F">
        <w:rPr>
          <w:b/>
          <w:bCs/>
        </w:rPr>
        <w:t>Table 3</w:t>
      </w:r>
      <w:r w:rsidRPr="00BD165F">
        <w:t xml:space="preserve">: </w:t>
      </w:r>
      <w:r w:rsidRPr="00BD165F">
        <w:rPr>
          <w:i/>
          <w:iCs/>
        </w:rPr>
        <w:t>List of Selected xAPI Verbs with Definitions</w:t>
      </w:r>
      <w:r w:rsidRPr="00BD165F">
        <w:t xml:space="preserve"> (as per the shared table above)</w:t>
      </w:r>
    </w:p>
    <w:p w14:paraId="7EB1E151" w14:textId="77777777" w:rsidR="00BD165F" w:rsidRPr="00BD165F" w:rsidRDefault="00BD165F" w:rsidP="00BD165F">
      <w:r w:rsidRPr="00BD165F">
        <w:rPr>
          <w:rFonts w:ascii="Segoe UI Emoji" w:hAnsi="Segoe UI Emoji" w:cs="Segoe UI Emoji"/>
        </w:rPr>
        <w:t>📈</w:t>
      </w:r>
      <w:r w:rsidRPr="00BD165F">
        <w:t xml:space="preserve"> </w:t>
      </w:r>
      <w:r w:rsidRPr="00BD165F">
        <w:rPr>
          <w:b/>
          <w:bCs/>
        </w:rPr>
        <w:t>Figure 3</w:t>
      </w:r>
      <w:r w:rsidRPr="00BD165F">
        <w:t xml:space="preserve">: </w:t>
      </w:r>
      <w:r w:rsidRPr="00BD165F">
        <w:rPr>
          <w:i/>
          <w:iCs/>
        </w:rPr>
        <w:t>Data Flow of xAPI Engagement Tracking</w:t>
      </w:r>
    </w:p>
    <w:p w14:paraId="6A7650EE" w14:textId="77777777" w:rsidR="00BD165F" w:rsidRPr="00BD165F" w:rsidRDefault="00BD165F" w:rsidP="00BD165F"/>
    <w:p w14:paraId="5BB58DCF" w14:textId="244EA974" w:rsidR="00FC5FD3" w:rsidRDefault="00FC5FD3" w:rsidP="00FC5FD3">
      <w:pPr>
        <w:pStyle w:val="Heading2"/>
      </w:pPr>
      <w:r>
        <w:lastRenderedPageBreak/>
        <w:t>Theoretical Mapping Process</w:t>
      </w:r>
    </w:p>
    <w:p w14:paraId="756EFEBD" w14:textId="77777777" w:rsidR="00C836CE" w:rsidRPr="00C836CE" w:rsidRDefault="00C836CE" w:rsidP="00C836CE">
      <w:pPr>
        <w:spacing w:before="100" w:beforeAutospacing="1" w:after="100" w:afterAutospacing="1" w:line="240" w:lineRule="auto"/>
        <w:rPr>
          <w:rFonts w:ascii="Times New Roman" w:eastAsia="Times New Roman" w:hAnsi="Times New Roman" w:cs="Times New Roman"/>
          <w:kern w:val="0"/>
          <w:sz w:val="24"/>
          <w:szCs w:val="24"/>
          <w:lang w:eastAsia="en-PK"/>
          <w14:ligatures w14:val="none"/>
        </w:rPr>
      </w:pPr>
      <w:r w:rsidRPr="00C836CE">
        <w:rPr>
          <w:rFonts w:ascii="Times New Roman" w:eastAsia="Times New Roman" w:hAnsi="Times New Roman" w:cs="Times New Roman"/>
          <w:kern w:val="0"/>
          <w:sz w:val="24"/>
          <w:szCs w:val="24"/>
          <w:lang w:eastAsia="en-PK"/>
          <w14:ligatures w14:val="none"/>
        </w:rPr>
        <w:t>To ensure the academic rigor of the framework, a structured theoretical mapping process was employed to align each xAPI verb and engagement behavior with relevant learning theories. This process was designed to add interpretive depth to otherwise raw digital activity data by embedding it within recognized pedagogical models. Eight major theories were identified through an extensive literature review and selected for their foundational status in educational psychology, their relevance to digital learning environments, and their demonstrated applicability in previous engagement analytics research. These theories include Self-Determination Theory (SDT), Social Cognitive Theory (SCT), Cognitive Load Theory (CLT), Behaviorism, Constructivism, Multimedia Learning Theory, Social Learning Theory, and Connectivism.</w:t>
      </w:r>
    </w:p>
    <w:p w14:paraId="3E2F8887" w14:textId="77777777" w:rsidR="00C836CE" w:rsidRPr="00C836CE" w:rsidRDefault="00C836CE" w:rsidP="00C836CE">
      <w:pPr>
        <w:spacing w:before="100" w:beforeAutospacing="1" w:after="100" w:afterAutospacing="1" w:line="240" w:lineRule="auto"/>
        <w:rPr>
          <w:rFonts w:ascii="Times New Roman" w:eastAsia="Times New Roman" w:hAnsi="Times New Roman" w:cs="Times New Roman"/>
          <w:kern w:val="0"/>
          <w:sz w:val="24"/>
          <w:szCs w:val="24"/>
          <w:lang w:eastAsia="en-PK"/>
          <w14:ligatures w14:val="none"/>
        </w:rPr>
      </w:pPr>
      <w:r w:rsidRPr="00C836CE">
        <w:rPr>
          <w:rFonts w:ascii="Times New Roman" w:eastAsia="Times New Roman" w:hAnsi="Times New Roman" w:cs="Times New Roman"/>
          <w:kern w:val="0"/>
          <w:sz w:val="24"/>
          <w:szCs w:val="24"/>
          <w:lang w:eastAsia="en-PK"/>
          <w14:ligatures w14:val="none"/>
        </w:rPr>
        <w:t xml:space="preserve">The mapping procedure focused on ensuring conceptual coherence between the observed engagement behavior, the semantics of the associated xAPI verb, and the mechanisms explained by the selected learning theory. For instance, the behavior of logging in and out—captured through verbs like </w:t>
      </w:r>
      <w:r w:rsidRPr="00C836CE">
        <w:rPr>
          <w:rFonts w:ascii="Courier New" w:eastAsia="Times New Roman" w:hAnsi="Courier New" w:cs="Courier New"/>
          <w:kern w:val="0"/>
          <w:sz w:val="20"/>
          <w:szCs w:val="20"/>
          <w:lang w:eastAsia="en-PK"/>
          <w14:ligatures w14:val="none"/>
        </w:rPr>
        <w:t>logged-in</w:t>
      </w:r>
      <w:r w:rsidRPr="00C836CE">
        <w:rPr>
          <w:rFonts w:ascii="Times New Roman" w:eastAsia="Times New Roman" w:hAnsi="Times New Roman" w:cs="Times New Roman"/>
          <w:kern w:val="0"/>
          <w:sz w:val="24"/>
          <w:szCs w:val="24"/>
          <w:lang w:eastAsia="en-PK"/>
          <w14:ligatures w14:val="none"/>
        </w:rPr>
        <w:t xml:space="preserve"> and </w:t>
      </w:r>
      <w:r w:rsidRPr="00C836CE">
        <w:rPr>
          <w:rFonts w:ascii="Courier New" w:eastAsia="Times New Roman" w:hAnsi="Courier New" w:cs="Courier New"/>
          <w:kern w:val="0"/>
          <w:sz w:val="20"/>
          <w:szCs w:val="20"/>
          <w:lang w:eastAsia="en-PK"/>
          <w14:ligatures w14:val="none"/>
        </w:rPr>
        <w:t>logged-out</w:t>
      </w:r>
      <w:r w:rsidRPr="00C836CE">
        <w:rPr>
          <w:rFonts w:ascii="Times New Roman" w:eastAsia="Times New Roman" w:hAnsi="Times New Roman" w:cs="Times New Roman"/>
          <w:kern w:val="0"/>
          <w:sz w:val="24"/>
          <w:szCs w:val="24"/>
          <w:lang w:eastAsia="en-PK"/>
          <w14:ligatures w14:val="none"/>
        </w:rPr>
        <w:t xml:space="preserve">—was associated with SDT due to its emphasis on learner autonomy and intrinsic motivation. Similarly, content engagement behaviors tracked using verbs like </w:t>
      </w:r>
      <w:r w:rsidRPr="00C836CE">
        <w:rPr>
          <w:rFonts w:ascii="Courier New" w:eastAsia="Times New Roman" w:hAnsi="Courier New" w:cs="Courier New"/>
          <w:kern w:val="0"/>
          <w:sz w:val="20"/>
          <w:szCs w:val="20"/>
          <w:lang w:eastAsia="en-PK"/>
          <w14:ligatures w14:val="none"/>
        </w:rPr>
        <w:t>accessed</w:t>
      </w:r>
      <w:r w:rsidRPr="00C836CE">
        <w:rPr>
          <w:rFonts w:ascii="Times New Roman" w:eastAsia="Times New Roman" w:hAnsi="Times New Roman" w:cs="Times New Roman"/>
          <w:kern w:val="0"/>
          <w:sz w:val="24"/>
          <w:szCs w:val="24"/>
          <w:lang w:eastAsia="en-PK"/>
          <w14:ligatures w14:val="none"/>
        </w:rPr>
        <w:t xml:space="preserve">, </w:t>
      </w:r>
      <w:r w:rsidRPr="00C836CE">
        <w:rPr>
          <w:rFonts w:ascii="Courier New" w:eastAsia="Times New Roman" w:hAnsi="Courier New" w:cs="Courier New"/>
          <w:kern w:val="0"/>
          <w:sz w:val="20"/>
          <w:szCs w:val="20"/>
          <w:lang w:eastAsia="en-PK"/>
          <w14:ligatures w14:val="none"/>
        </w:rPr>
        <w:t>viewed</w:t>
      </w:r>
      <w:r w:rsidRPr="00C836CE">
        <w:rPr>
          <w:rFonts w:ascii="Times New Roman" w:eastAsia="Times New Roman" w:hAnsi="Times New Roman" w:cs="Times New Roman"/>
          <w:kern w:val="0"/>
          <w:sz w:val="24"/>
          <w:szCs w:val="24"/>
          <w:lang w:eastAsia="en-PK"/>
          <w14:ligatures w14:val="none"/>
        </w:rPr>
        <w:t xml:space="preserve">, and </w:t>
      </w:r>
      <w:r w:rsidRPr="00C836CE">
        <w:rPr>
          <w:rFonts w:ascii="Courier New" w:eastAsia="Times New Roman" w:hAnsi="Courier New" w:cs="Courier New"/>
          <w:kern w:val="0"/>
          <w:sz w:val="20"/>
          <w:szCs w:val="20"/>
          <w:lang w:eastAsia="en-PK"/>
          <w14:ligatures w14:val="none"/>
        </w:rPr>
        <w:t>interacted</w:t>
      </w:r>
      <w:r w:rsidRPr="00C836CE">
        <w:rPr>
          <w:rFonts w:ascii="Times New Roman" w:eastAsia="Times New Roman" w:hAnsi="Times New Roman" w:cs="Times New Roman"/>
          <w:kern w:val="0"/>
          <w:sz w:val="24"/>
          <w:szCs w:val="24"/>
          <w:lang w:eastAsia="en-PK"/>
          <w14:ligatures w14:val="none"/>
        </w:rPr>
        <w:t xml:space="preserve"> were grounded in Social Cognitive Theory and Engagement Theory, which emphasize self-regulation and interactive learning. The theoretical alignment was further supported by prior empirical studies validating the use of these theories in </w:t>
      </w:r>
      <w:r w:rsidRPr="00C836CE">
        <w:rPr>
          <w:rFonts w:ascii="Times New Roman" w:eastAsia="Times New Roman" w:hAnsi="Times New Roman" w:cs="Times New Roman"/>
          <w:kern w:val="0"/>
          <w:sz w:val="24"/>
          <w:szCs w:val="24"/>
          <w:lang w:eastAsia="en-PK"/>
          <w14:ligatures w14:val="none"/>
        </w:rPr>
        <w:lastRenderedPageBreak/>
        <w:t>digital contexts. Thus, each engagement dimension was matched with one or more theories based on their psychological constructs, observable behavior fit, learning environment relevance, and documented pedagogical implications. This mapping lends interpretive robustness to the framework and ensures that tracked behaviors are not only technically valid but pedagogically meaningful.</w:t>
      </w:r>
    </w:p>
    <w:p w14:paraId="0AF4B7A5" w14:textId="7F47BE99" w:rsidR="00BD165F" w:rsidRPr="00BD165F" w:rsidRDefault="00BD165F" w:rsidP="00BD165F">
      <w:pPr>
        <w:rPr>
          <w:b/>
          <w:bCs/>
        </w:rPr>
      </w:pPr>
      <w:r w:rsidRPr="00BD165F">
        <w:rPr>
          <w:b/>
          <w:bCs/>
        </w:rPr>
        <w:t xml:space="preserve"> Criteria for Mapping Theories to Use-Cases: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4"/>
        <w:gridCol w:w="3782"/>
        <w:gridCol w:w="3200"/>
      </w:tblGrid>
      <w:tr w:rsidR="00BD165F" w:rsidRPr="00BD165F" w14:paraId="0DFB14CF" w14:textId="77777777" w:rsidTr="00C836CE">
        <w:trPr>
          <w:tblHeader/>
          <w:tblCellSpacing w:w="15" w:type="dxa"/>
        </w:trPr>
        <w:tc>
          <w:tcPr>
            <w:tcW w:w="0" w:type="auto"/>
            <w:vAlign w:val="center"/>
            <w:hideMark/>
          </w:tcPr>
          <w:p w14:paraId="6935F0F5" w14:textId="77777777" w:rsidR="00BD165F" w:rsidRPr="00BD165F" w:rsidRDefault="00BD165F" w:rsidP="00BD165F">
            <w:pPr>
              <w:rPr>
                <w:b/>
                <w:bCs/>
              </w:rPr>
            </w:pPr>
            <w:r w:rsidRPr="00BD165F">
              <w:rPr>
                <w:b/>
                <w:bCs/>
              </w:rPr>
              <w:t>Criterion</w:t>
            </w:r>
          </w:p>
        </w:tc>
        <w:tc>
          <w:tcPr>
            <w:tcW w:w="0" w:type="auto"/>
            <w:vAlign w:val="center"/>
            <w:hideMark/>
          </w:tcPr>
          <w:p w14:paraId="5569D3CC" w14:textId="77777777" w:rsidR="00BD165F" w:rsidRPr="00BD165F" w:rsidRDefault="00BD165F" w:rsidP="00BD165F">
            <w:pPr>
              <w:rPr>
                <w:b/>
                <w:bCs/>
              </w:rPr>
            </w:pPr>
            <w:r w:rsidRPr="00BD165F">
              <w:rPr>
                <w:b/>
                <w:bCs/>
              </w:rPr>
              <w:t>Explanation</w:t>
            </w:r>
          </w:p>
        </w:tc>
        <w:tc>
          <w:tcPr>
            <w:tcW w:w="0" w:type="auto"/>
            <w:vAlign w:val="center"/>
            <w:hideMark/>
          </w:tcPr>
          <w:p w14:paraId="57EF2F6C" w14:textId="3349D07C" w:rsidR="00BD165F" w:rsidRPr="00BD165F" w:rsidRDefault="00C836CE" w:rsidP="00BD165F">
            <w:pPr>
              <w:rPr>
                <w:b/>
                <w:bCs/>
              </w:rPr>
            </w:pPr>
            <w:r>
              <w:rPr>
                <w:b/>
                <w:bCs/>
              </w:rPr>
              <w:t>Mapping</w:t>
            </w:r>
          </w:p>
        </w:tc>
      </w:tr>
      <w:tr w:rsidR="00BD165F" w:rsidRPr="00BD165F" w14:paraId="6390446A" w14:textId="77777777" w:rsidTr="00C836CE">
        <w:trPr>
          <w:tblCellSpacing w:w="15" w:type="dxa"/>
        </w:trPr>
        <w:tc>
          <w:tcPr>
            <w:tcW w:w="0" w:type="auto"/>
            <w:vAlign w:val="center"/>
            <w:hideMark/>
          </w:tcPr>
          <w:p w14:paraId="745A031E" w14:textId="77777777" w:rsidR="00BD165F" w:rsidRPr="00BD165F" w:rsidRDefault="00BD165F" w:rsidP="00BD165F">
            <w:r w:rsidRPr="00BD165F">
              <w:t>Psychological Construct Match</w:t>
            </w:r>
          </w:p>
        </w:tc>
        <w:tc>
          <w:tcPr>
            <w:tcW w:w="0" w:type="auto"/>
            <w:vAlign w:val="center"/>
            <w:hideMark/>
          </w:tcPr>
          <w:p w14:paraId="3C367F66" w14:textId="77777777" w:rsidR="00BD165F" w:rsidRPr="00BD165F" w:rsidRDefault="00BD165F" w:rsidP="00BD165F">
            <w:r w:rsidRPr="00BD165F">
              <w:t>Matching theory mechanisms (motivation, cognition) to the engagement behavior</w:t>
            </w:r>
          </w:p>
        </w:tc>
        <w:tc>
          <w:tcPr>
            <w:tcW w:w="0" w:type="auto"/>
            <w:vAlign w:val="center"/>
            <w:hideMark/>
          </w:tcPr>
          <w:p w14:paraId="11C23C4E" w14:textId="77777777" w:rsidR="00BD165F" w:rsidRPr="00BD165F" w:rsidRDefault="00BD165F" w:rsidP="00BD165F">
            <w:r w:rsidRPr="00BD165F">
              <w:t>SDT was linked to login behavior for its focus on autonomy</w:t>
            </w:r>
          </w:p>
        </w:tc>
      </w:tr>
      <w:tr w:rsidR="00BD165F" w:rsidRPr="00BD165F" w14:paraId="6D0F61FB" w14:textId="77777777" w:rsidTr="00C836CE">
        <w:trPr>
          <w:tblCellSpacing w:w="15" w:type="dxa"/>
        </w:trPr>
        <w:tc>
          <w:tcPr>
            <w:tcW w:w="0" w:type="auto"/>
            <w:vAlign w:val="center"/>
            <w:hideMark/>
          </w:tcPr>
          <w:p w14:paraId="309D8CAC" w14:textId="77777777" w:rsidR="00BD165F" w:rsidRPr="00BD165F" w:rsidRDefault="00BD165F" w:rsidP="00BD165F">
            <w:r w:rsidRPr="00BD165F">
              <w:t>Observable Behavior Alignment</w:t>
            </w:r>
          </w:p>
        </w:tc>
        <w:tc>
          <w:tcPr>
            <w:tcW w:w="0" w:type="auto"/>
            <w:vAlign w:val="center"/>
            <w:hideMark/>
          </w:tcPr>
          <w:p w14:paraId="272A671F" w14:textId="77777777" w:rsidR="00BD165F" w:rsidRPr="00BD165F" w:rsidRDefault="00BD165F" w:rsidP="00BD165F">
            <w:r w:rsidRPr="00BD165F">
              <w:t>Theories focusing on measurable behavior were matched to quantifiable actions</w:t>
            </w:r>
          </w:p>
        </w:tc>
        <w:tc>
          <w:tcPr>
            <w:tcW w:w="0" w:type="auto"/>
            <w:vAlign w:val="center"/>
            <w:hideMark/>
          </w:tcPr>
          <w:p w14:paraId="20C2D26D" w14:textId="77777777" w:rsidR="00BD165F" w:rsidRPr="00BD165F" w:rsidRDefault="00BD165F" w:rsidP="00BD165F">
            <w:r w:rsidRPr="00BD165F">
              <w:t>Behaviorism aligned with quiz attempts and feedback loops</w:t>
            </w:r>
          </w:p>
        </w:tc>
      </w:tr>
      <w:tr w:rsidR="00BD165F" w:rsidRPr="00BD165F" w14:paraId="1D71B189" w14:textId="77777777" w:rsidTr="00C836CE">
        <w:trPr>
          <w:tblCellSpacing w:w="15" w:type="dxa"/>
        </w:trPr>
        <w:tc>
          <w:tcPr>
            <w:tcW w:w="0" w:type="auto"/>
            <w:vAlign w:val="center"/>
            <w:hideMark/>
          </w:tcPr>
          <w:p w14:paraId="022ED7D8" w14:textId="77777777" w:rsidR="00BD165F" w:rsidRPr="00BD165F" w:rsidRDefault="00BD165F" w:rsidP="00BD165F">
            <w:r w:rsidRPr="00BD165F">
              <w:t>Learning Environment Fit</w:t>
            </w:r>
          </w:p>
        </w:tc>
        <w:tc>
          <w:tcPr>
            <w:tcW w:w="0" w:type="auto"/>
            <w:vAlign w:val="center"/>
            <w:hideMark/>
          </w:tcPr>
          <w:p w14:paraId="5A1B1E1C" w14:textId="77777777" w:rsidR="00BD165F" w:rsidRPr="00BD165F" w:rsidRDefault="00BD165F" w:rsidP="00BD165F">
            <w:r w:rsidRPr="00BD165F">
              <w:t>The theory's relevance to digital or hybrid environments</w:t>
            </w:r>
          </w:p>
        </w:tc>
        <w:tc>
          <w:tcPr>
            <w:tcW w:w="0" w:type="auto"/>
            <w:vAlign w:val="center"/>
            <w:hideMark/>
          </w:tcPr>
          <w:p w14:paraId="5D5EEB31" w14:textId="77777777" w:rsidR="00BD165F" w:rsidRPr="00BD165F" w:rsidRDefault="00BD165F" w:rsidP="00BD165F">
            <w:r w:rsidRPr="00BD165F">
              <w:t>Connectivism mapped to external resource use</w:t>
            </w:r>
          </w:p>
        </w:tc>
      </w:tr>
      <w:tr w:rsidR="00BD165F" w:rsidRPr="00BD165F" w14:paraId="7F8EB393" w14:textId="77777777" w:rsidTr="00C836CE">
        <w:trPr>
          <w:tblCellSpacing w:w="15" w:type="dxa"/>
        </w:trPr>
        <w:tc>
          <w:tcPr>
            <w:tcW w:w="0" w:type="auto"/>
            <w:vAlign w:val="center"/>
            <w:hideMark/>
          </w:tcPr>
          <w:p w14:paraId="2DB49C7A" w14:textId="77777777" w:rsidR="00BD165F" w:rsidRPr="00BD165F" w:rsidRDefault="00BD165F" w:rsidP="00BD165F">
            <w:r w:rsidRPr="00BD165F">
              <w:t>Pedagogical Implications</w:t>
            </w:r>
          </w:p>
        </w:tc>
        <w:tc>
          <w:tcPr>
            <w:tcW w:w="0" w:type="auto"/>
            <w:vAlign w:val="center"/>
            <w:hideMark/>
          </w:tcPr>
          <w:p w14:paraId="04E3C7A5" w14:textId="77777777" w:rsidR="00BD165F" w:rsidRPr="00BD165F" w:rsidRDefault="00BD165F" w:rsidP="00BD165F">
            <w:r w:rsidRPr="00BD165F">
              <w:t>The theory supports interpretation and instructional design</w:t>
            </w:r>
          </w:p>
        </w:tc>
        <w:tc>
          <w:tcPr>
            <w:tcW w:w="0" w:type="auto"/>
            <w:vAlign w:val="center"/>
            <w:hideMark/>
          </w:tcPr>
          <w:p w14:paraId="316EB7D2" w14:textId="77777777" w:rsidR="00BD165F" w:rsidRPr="00BD165F" w:rsidRDefault="00BD165F" w:rsidP="00BD165F">
            <w:r w:rsidRPr="00BD165F">
              <w:t>CLT applied to navigation behaviors to reduce cognitive overload</w:t>
            </w:r>
          </w:p>
        </w:tc>
      </w:tr>
    </w:tbl>
    <w:p w14:paraId="33B749AA" w14:textId="77777777" w:rsidR="00BD165F" w:rsidRPr="00BD165F" w:rsidRDefault="00BD165F" w:rsidP="00BD165F">
      <w:r w:rsidRPr="00BD165F">
        <w:rPr>
          <w:rFonts w:ascii="Segoe UI Emoji" w:hAnsi="Segoe UI Emoji" w:cs="Segoe UI Emoji"/>
        </w:rPr>
        <w:t>📊</w:t>
      </w:r>
      <w:r w:rsidRPr="00BD165F">
        <w:t xml:space="preserve"> </w:t>
      </w:r>
      <w:r w:rsidRPr="00BD165F">
        <w:rPr>
          <w:b/>
          <w:bCs/>
        </w:rPr>
        <w:t>Table 4</w:t>
      </w:r>
      <w:r w:rsidRPr="00BD165F">
        <w:t xml:space="preserve">: </w:t>
      </w:r>
      <w:r w:rsidRPr="00BD165F">
        <w:rPr>
          <w:i/>
          <w:iCs/>
        </w:rPr>
        <w:t>Mapping of Theoretical Foundations to Engagement Behaviors</w:t>
      </w:r>
    </w:p>
    <w:p w14:paraId="5A512210" w14:textId="77777777" w:rsidR="00BD165F" w:rsidRPr="00BD165F" w:rsidRDefault="00BD165F" w:rsidP="00BD165F"/>
    <w:p w14:paraId="1BAE836C" w14:textId="5B0C7B86" w:rsidR="00FC5FD3" w:rsidRDefault="00FC5FD3" w:rsidP="00FC5FD3">
      <w:pPr>
        <w:pStyle w:val="Heading2"/>
      </w:pPr>
      <w:r>
        <w:lastRenderedPageBreak/>
        <w:t>Framework Development Process</w:t>
      </w:r>
    </w:p>
    <w:p w14:paraId="5B91FC93" w14:textId="77777777" w:rsidR="00C836CE" w:rsidRPr="00C836CE" w:rsidRDefault="00C836CE" w:rsidP="00C836CE">
      <w:r w:rsidRPr="00C836CE">
        <w:t>The final framework was developed by synthesizing three core elements: observed learner behaviors in digital platforms, corresponding xAPI verbs that technically capture these actions, and theoretical models that provide pedagogical context. This process began by identifying distinct behavioral engagement patterns such as activity timing, content interaction, quiz participation, navigation flow, time spent, revisiting behavior, and use of external resources. Each of these behaviors was then matched with appropriate xAPI verbs based on their semantic fidelity and frequency of use in xAPI-compliant systems. For example, verbs like attempted, completed, and scored were mapped to quiz participation, while verbs like accessed, viewed, and interacted were assigned to content engagement.</w:t>
      </w:r>
    </w:p>
    <w:p w14:paraId="0A93854C" w14:textId="77777777" w:rsidR="00C836CE" w:rsidRPr="00C836CE" w:rsidRDefault="00C836CE" w:rsidP="00C836CE">
      <w:r w:rsidRPr="00C836CE">
        <w:t>The critical layer of validation came through the theoretical lens applied to each use-case. Rather than treating xAPI data as raw interaction logs, the framework interprets these behaviors through established theories that explain learning motivation, cognition, and behavior. For instance, quiz participation was grounded in Behaviorism and Social Learning Theory, emphasizing the role of reinforcement and modeling in learner engagement. Navigation and flow behaviors, captured through navigated and accessed, were interpreted using Cognitive Load Theory, which addresses the mental effort involved in content sequencing. External resource utilization was linked to Connectivism, highlighting the networked nature of modern knowledge consumption.</w:t>
      </w:r>
    </w:p>
    <w:p w14:paraId="7FCE6B2F" w14:textId="7796E952" w:rsidR="00C836CE" w:rsidRPr="00C836CE" w:rsidRDefault="00C836CE" w:rsidP="00C836CE">
      <w:r w:rsidRPr="00C836CE">
        <w:lastRenderedPageBreak/>
        <w:t>The resulting model is both prescriptive and diagnostic. It enables educational stakeholders to not only observe and quantify engagement but also interpret these actions meaningfully to inform instructional design, learner support, and system-level intervention strategies. By uniting technical tracking with pedagogical theory, the framework offers a scalable, flexible, and theoretically grounded approach to understanding behavioral engagement in online learning environments. It provides a structured pathway from behavior to verb to theory to insight, positioning itself as a valuable tool in the evolving landscape of learning analytics and educational data science.</w:t>
      </w:r>
    </w:p>
    <w:p w14:paraId="689A065F" w14:textId="77777777" w:rsidR="00BD165F" w:rsidRPr="00BD165F" w:rsidRDefault="00BD165F" w:rsidP="00BD165F">
      <w:r w:rsidRPr="00BD165F">
        <w:rPr>
          <w:rFonts w:ascii="Segoe UI Emoji" w:hAnsi="Segoe UI Emoji" w:cs="Segoe UI Emoji"/>
        </w:rPr>
        <w:t>📈</w:t>
      </w:r>
      <w:r w:rsidRPr="00BD165F">
        <w:t xml:space="preserve"> </w:t>
      </w:r>
      <w:r w:rsidRPr="00BD165F">
        <w:rPr>
          <w:b/>
          <w:bCs/>
        </w:rPr>
        <w:t>Figure 4</w:t>
      </w:r>
      <w:r w:rsidRPr="00BD165F">
        <w:t xml:space="preserve">: </w:t>
      </w:r>
      <w:r w:rsidRPr="00BD165F">
        <w:rPr>
          <w:i/>
          <w:iCs/>
        </w:rPr>
        <w:t>Proposed Conceptual Framework for Engagement Tracking</w:t>
      </w:r>
    </w:p>
    <w:p w14:paraId="77F3526F" w14:textId="7C5B4673" w:rsidR="00BD165F" w:rsidRPr="00BD165F" w:rsidRDefault="00BD165F" w:rsidP="00BD165F">
      <w:pPr>
        <w:rPr>
          <w:b/>
          <w:bCs/>
        </w:rPr>
      </w:pPr>
      <w:r w:rsidRPr="00BD165F">
        <w:rPr>
          <w:b/>
          <w:bCs/>
        </w:rPr>
        <w:t xml:space="preserve"> Summary of Model Components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5"/>
        <w:gridCol w:w="6326"/>
      </w:tblGrid>
      <w:tr w:rsidR="00BD165F" w:rsidRPr="00BD165F" w14:paraId="35928738" w14:textId="77777777" w:rsidTr="00BD165F">
        <w:trPr>
          <w:tblHeader/>
          <w:tblCellSpacing w:w="15" w:type="dxa"/>
        </w:trPr>
        <w:tc>
          <w:tcPr>
            <w:tcW w:w="0" w:type="auto"/>
            <w:vAlign w:val="center"/>
            <w:hideMark/>
          </w:tcPr>
          <w:p w14:paraId="4CAE6A0E" w14:textId="77777777" w:rsidR="00BD165F" w:rsidRPr="00BD165F" w:rsidRDefault="00BD165F" w:rsidP="00BD165F">
            <w:pPr>
              <w:rPr>
                <w:b/>
                <w:bCs/>
              </w:rPr>
            </w:pPr>
            <w:r w:rsidRPr="00BD165F">
              <w:rPr>
                <w:b/>
                <w:bCs/>
              </w:rPr>
              <w:t>Component</w:t>
            </w:r>
          </w:p>
        </w:tc>
        <w:tc>
          <w:tcPr>
            <w:tcW w:w="0" w:type="auto"/>
            <w:vAlign w:val="center"/>
            <w:hideMark/>
          </w:tcPr>
          <w:p w14:paraId="5A276D22" w14:textId="77777777" w:rsidR="00BD165F" w:rsidRPr="00BD165F" w:rsidRDefault="00BD165F" w:rsidP="00BD165F">
            <w:pPr>
              <w:rPr>
                <w:b/>
                <w:bCs/>
              </w:rPr>
            </w:pPr>
            <w:r w:rsidRPr="00BD165F">
              <w:rPr>
                <w:b/>
                <w:bCs/>
              </w:rPr>
              <w:t>Role</w:t>
            </w:r>
          </w:p>
        </w:tc>
      </w:tr>
      <w:tr w:rsidR="00BD165F" w:rsidRPr="00BD165F" w14:paraId="355EA0D0" w14:textId="77777777" w:rsidTr="00BD165F">
        <w:trPr>
          <w:tblCellSpacing w:w="15" w:type="dxa"/>
        </w:trPr>
        <w:tc>
          <w:tcPr>
            <w:tcW w:w="0" w:type="auto"/>
            <w:vAlign w:val="center"/>
            <w:hideMark/>
          </w:tcPr>
          <w:p w14:paraId="515A4F53" w14:textId="77777777" w:rsidR="00BD165F" w:rsidRPr="00BD165F" w:rsidRDefault="00BD165F" w:rsidP="00BD165F">
            <w:r w:rsidRPr="00BD165F">
              <w:t>Engagement Behavior</w:t>
            </w:r>
          </w:p>
        </w:tc>
        <w:tc>
          <w:tcPr>
            <w:tcW w:w="0" w:type="auto"/>
            <w:vAlign w:val="center"/>
            <w:hideMark/>
          </w:tcPr>
          <w:p w14:paraId="10A21725" w14:textId="77777777" w:rsidR="00BD165F" w:rsidRPr="00BD165F" w:rsidRDefault="00BD165F" w:rsidP="00BD165F">
            <w:r w:rsidRPr="00BD165F">
              <w:t>Observed student activity</w:t>
            </w:r>
          </w:p>
        </w:tc>
      </w:tr>
      <w:tr w:rsidR="00BD165F" w:rsidRPr="00BD165F" w14:paraId="5963A7D8" w14:textId="77777777" w:rsidTr="00BD165F">
        <w:trPr>
          <w:tblCellSpacing w:w="15" w:type="dxa"/>
        </w:trPr>
        <w:tc>
          <w:tcPr>
            <w:tcW w:w="0" w:type="auto"/>
            <w:vAlign w:val="center"/>
            <w:hideMark/>
          </w:tcPr>
          <w:p w14:paraId="0A4C1226" w14:textId="77777777" w:rsidR="00BD165F" w:rsidRPr="00BD165F" w:rsidRDefault="00BD165F" w:rsidP="00BD165F">
            <w:r w:rsidRPr="00BD165F">
              <w:t>xAPI Verb</w:t>
            </w:r>
          </w:p>
        </w:tc>
        <w:tc>
          <w:tcPr>
            <w:tcW w:w="0" w:type="auto"/>
            <w:vAlign w:val="center"/>
            <w:hideMark/>
          </w:tcPr>
          <w:p w14:paraId="2360F354" w14:textId="77777777" w:rsidR="00BD165F" w:rsidRPr="00BD165F" w:rsidRDefault="00BD165F" w:rsidP="00BD165F">
            <w:r w:rsidRPr="00BD165F">
              <w:t>Digitally captured action descriptor</w:t>
            </w:r>
          </w:p>
        </w:tc>
      </w:tr>
      <w:tr w:rsidR="00BD165F" w:rsidRPr="00BD165F" w14:paraId="35AB0E68" w14:textId="77777777" w:rsidTr="00BD165F">
        <w:trPr>
          <w:tblCellSpacing w:w="15" w:type="dxa"/>
        </w:trPr>
        <w:tc>
          <w:tcPr>
            <w:tcW w:w="0" w:type="auto"/>
            <w:vAlign w:val="center"/>
            <w:hideMark/>
          </w:tcPr>
          <w:p w14:paraId="5F2AEA80" w14:textId="77777777" w:rsidR="00BD165F" w:rsidRPr="00BD165F" w:rsidRDefault="00BD165F" w:rsidP="00BD165F">
            <w:r w:rsidRPr="00BD165F">
              <w:t>Learning Theory</w:t>
            </w:r>
          </w:p>
        </w:tc>
        <w:tc>
          <w:tcPr>
            <w:tcW w:w="0" w:type="auto"/>
            <w:vAlign w:val="center"/>
            <w:hideMark/>
          </w:tcPr>
          <w:p w14:paraId="0C7312F6" w14:textId="77777777" w:rsidR="00BD165F" w:rsidRPr="00BD165F" w:rsidRDefault="00BD165F" w:rsidP="00BD165F">
            <w:r w:rsidRPr="00BD165F">
              <w:t>Justification and pedagogical significance</w:t>
            </w:r>
          </w:p>
        </w:tc>
      </w:tr>
      <w:tr w:rsidR="00BD165F" w:rsidRPr="00BD165F" w14:paraId="2C09803C" w14:textId="77777777" w:rsidTr="00BD165F">
        <w:trPr>
          <w:tblCellSpacing w:w="15" w:type="dxa"/>
        </w:trPr>
        <w:tc>
          <w:tcPr>
            <w:tcW w:w="0" w:type="auto"/>
            <w:vAlign w:val="center"/>
            <w:hideMark/>
          </w:tcPr>
          <w:p w14:paraId="7E54779B" w14:textId="77777777" w:rsidR="00BD165F" w:rsidRPr="00BD165F" w:rsidRDefault="00BD165F" w:rsidP="00BD165F">
            <w:r w:rsidRPr="00BD165F">
              <w:t>Outcome</w:t>
            </w:r>
          </w:p>
        </w:tc>
        <w:tc>
          <w:tcPr>
            <w:tcW w:w="0" w:type="auto"/>
            <w:vAlign w:val="center"/>
            <w:hideMark/>
          </w:tcPr>
          <w:p w14:paraId="097D6E9F" w14:textId="77777777" w:rsidR="00BD165F" w:rsidRPr="00BD165F" w:rsidRDefault="00BD165F" w:rsidP="00BD165F">
            <w:r w:rsidRPr="00BD165F">
              <w:t>Interpretable insights for educators and learning system designers</w:t>
            </w:r>
          </w:p>
        </w:tc>
      </w:tr>
    </w:tbl>
    <w:p w14:paraId="5426108B" w14:textId="77777777" w:rsidR="00FC5FD3" w:rsidRPr="00FC5FD3" w:rsidRDefault="00FC5FD3" w:rsidP="00FC5FD3"/>
    <w:p w14:paraId="78C5F025" w14:textId="77777777" w:rsidR="00FC5FD3" w:rsidRPr="00FC5FD3" w:rsidRDefault="00FC5FD3" w:rsidP="00FC5FD3"/>
    <w:p w14:paraId="4F22C72F" w14:textId="4C7EDFA2" w:rsidR="00FC5FD3" w:rsidRPr="00FC5FD3" w:rsidRDefault="00FC5FD3" w:rsidP="00FC5FD3">
      <w:pPr>
        <w:pStyle w:val="Heading1"/>
      </w:pPr>
      <w:r w:rsidRPr="00FC5FD3">
        <w:lastRenderedPageBreak/>
        <w:t>Conceptual Framework Presentation</w:t>
      </w:r>
    </w:p>
    <w:p w14:paraId="1741FC5A" w14:textId="13A8709E" w:rsidR="00FC5FD3" w:rsidRPr="00FC5FD3" w:rsidRDefault="00FC5FD3" w:rsidP="00FC5FD3">
      <w:pPr>
        <w:pStyle w:val="Heading1"/>
      </w:pPr>
      <w:r w:rsidRPr="00FC5FD3">
        <w:t>Discussion and Implications</w:t>
      </w:r>
    </w:p>
    <w:p w14:paraId="3B1BCA70" w14:textId="40D734AA" w:rsidR="00FC5FD3" w:rsidRPr="00FC5FD3" w:rsidRDefault="00FC5FD3" w:rsidP="00FC5FD3">
      <w:pPr>
        <w:pStyle w:val="Heading1"/>
      </w:pPr>
      <w:r w:rsidRPr="00FC5FD3">
        <w:t>Conclusion</w:t>
      </w:r>
    </w:p>
    <w:p w14:paraId="0C831A11" w14:textId="2A73420B" w:rsidR="00FC5FD3" w:rsidRPr="00FC5FD3" w:rsidRDefault="00FC5FD3" w:rsidP="00FC5FD3">
      <w:pPr>
        <w:pStyle w:val="Heading1"/>
      </w:pPr>
      <w:r w:rsidRPr="00FC5FD3">
        <w:t xml:space="preserve">Acknowledgment </w:t>
      </w:r>
    </w:p>
    <w:p w14:paraId="35C945D6" w14:textId="77777777" w:rsidR="00AB0229" w:rsidRPr="00CC0FBF" w:rsidRDefault="00AB0229" w:rsidP="00AB0229">
      <w:pPr>
        <w:ind w:left="720"/>
      </w:pPr>
    </w:p>
    <w:p w14:paraId="0F02CE31" w14:textId="77777777" w:rsidR="00AB0229" w:rsidRDefault="00AB0229" w:rsidP="00EF5B74"/>
    <w:p w14:paraId="14548635" w14:textId="77777777" w:rsidR="009A50F6" w:rsidRDefault="009A50F6" w:rsidP="00EF5B74"/>
    <w:p w14:paraId="5C2B807F" w14:textId="13FE51C9" w:rsidR="009A50F6" w:rsidRDefault="009A50F6" w:rsidP="009A50F6">
      <w:pPr>
        <w:pStyle w:val="Heading1"/>
      </w:pPr>
      <w:r>
        <w:lastRenderedPageBreak/>
        <w:t>References</w:t>
      </w:r>
    </w:p>
    <w:p w14:paraId="624EBF44" w14:textId="77777777" w:rsidR="00AB0229" w:rsidRPr="00AB0229" w:rsidRDefault="009A50F6" w:rsidP="00AB0229">
      <w:pPr>
        <w:pStyle w:val="Bibliography"/>
        <w:rPr>
          <w:rFonts w:ascii="Aptos" w:hAnsi="Aptos"/>
        </w:rPr>
      </w:pPr>
      <w:r>
        <w:fldChar w:fldCharType="begin"/>
      </w:r>
      <w:r w:rsidRPr="004807E9">
        <w:rPr>
          <w:lang w:val="en-US"/>
        </w:rPr>
        <w:instrText xml:space="preserve"> ADDIN ZOTERO_BIBL {"uncited":[],"omitted":[],"custom":[]} CSL_BIBLIOGRAPHY </w:instrText>
      </w:r>
      <w:r>
        <w:fldChar w:fldCharType="separate"/>
      </w:r>
      <w:r w:rsidR="00AB0229" w:rsidRPr="004807E9">
        <w:rPr>
          <w:rFonts w:ascii="Aptos" w:hAnsi="Aptos"/>
          <w:lang w:val="en-US"/>
        </w:rPr>
        <w:t xml:space="preserve">Amrieh, E., Hamtini, T., &amp; Aljarah, I. (2015). </w:t>
      </w:r>
      <w:r w:rsidR="00AB0229" w:rsidRPr="00AB0229">
        <w:rPr>
          <w:rFonts w:ascii="Aptos" w:hAnsi="Aptos"/>
          <w:i/>
          <w:iCs/>
        </w:rPr>
        <w:t>Preprocessing and Analyzing Educational Data Set Using X-API for Improving Student’s Performance</w:t>
      </w:r>
      <w:r w:rsidR="00AB0229" w:rsidRPr="00AB0229">
        <w:rPr>
          <w:rFonts w:ascii="Aptos" w:hAnsi="Aptos"/>
        </w:rPr>
        <w:t>. https://doi.org/10.1109/AEECT.2015.7360581</w:t>
      </w:r>
    </w:p>
    <w:p w14:paraId="020C84ED" w14:textId="77777777" w:rsidR="00AB0229" w:rsidRPr="00AB0229" w:rsidRDefault="00AB0229" w:rsidP="00AB0229">
      <w:pPr>
        <w:pStyle w:val="Bibliography"/>
        <w:rPr>
          <w:rFonts w:ascii="Aptos" w:hAnsi="Aptos"/>
        </w:rPr>
      </w:pPr>
      <w:r w:rsidRPr="00AB0229">
        <w:rPr>
          <w:rFonts w:ascii="Aptos" w:hAnsi="Aptos"/>
        </w:rPr>
        <w:t xml:space="preserve">Bakharia, A., Kitto, K., Pardo, A., Gašević, D., &amp; Dawson, S. (2016). Recipe for success: Lessons learnt from using xAPI within the connected learning analytics toolkit. </w:t>
      </w:r>
      <w:r w:rsidRPr="00AB0229">
        <w:rPr>
          <w:rFonts w:ascii="Aptos" w:hAnsi="Aptos"/>
          <w:i/>
          <w:iCs/>
        </w:rPr>
        <w:t>Proceedings of the Sixth International Conference on Learning Analytics &amp; Knowledge</w:t>
      </w:r>
      <w:r w:rsidRPr="00AB0229">
        <w:rPr>
          <w:rFonts w:ascii="Aptos" w:hAnsi="Aptos"/>
        </w:rPr>
        <w:t>, 378–382. https://doi.org/10.1145/2883851.2883882</w:t>
      </w:r>
    </w:p>
    <w:p w14:paraId="355416D2" w14:textId="77777777" w:rsidR="00AB0229" w:rsidRPr="00AB0229" w:rsidRDefault="00AB0229" w:rsidP="00AB0229">
      <w:pPr>
        <w:pStyle w:val="Bibliography"/>
        <w:rPr>
          <w:rFonts w:ascii="Aptos" w:hAnsi="Aptos"/>
        </w:rPr>
      </w:pPr>
      <w:r w:rsidRPr="00AB0229">
        <w:rPr>
          <w:rFonts w:ascii="Aptos" w:hAnsi="Aptos"/>
        </w:rPr>
        <w:t xml:space="preserve">Bloomberg, L. D. (2023). A Conceptual Framework for Multimodal Engagement in Online Higher Education. </w:t>
      </w:r>
      <w:r w:rsidRPr="00AB0229">
        <w:rPr>
          <w:rFonts w:ascii="Aptos" w:hAnsi="Aptos"/>
          <w:i/>
          <w:iCs/>
        </w:rPr>
        <w:t>Journal of Online Graduate Education</w:t>
      </w:r>
      <w:r w:rsidRPr="00AB0229">
        <w:rPr>
          <w:rFonts w:ascii="Aptos" w:hAnsi="Aptos"/>
        </w:rPr>
        <w:t xml:space="preserve">, </w:t>
      </w:r>
      <w:r w:rsidRPr="00AB0229">
        <w:rPr>
          <w:rFonts w:ascii="Aptos" w:hAnsi="Aptos"/>
          <w:i/>
          <w:iCs/>
        </w:rPr>
        <w:t>6</w:t>
      </w:r>
      <w:r w:rsidRPr="00AB0229">
        <w:rPr>
          <w:rFonts w:ascii="Aptos" w:hAnsi="Aptos"/>
        </w:rPr>
        <w:t>(1). https://doi.org/10.5281/zenodo.7858922</w:t>
      </w:r>
    </w:p>
    <w:p w14:paraId="75FC3BE6" w14:textId="77777777" w:rsidR="00AB0229" w:rsidRPr="00AB0229" w:rsidRDefault="00AB0229" w:rsidP="00AB0229">
      <w:pPr>
        <w:pStyle w:val="Bibliography"/>
        <w:rPr>
          <w:rFonts w:ascii="Aptos" w:hAnsi="Aptos"/>
        </w:rPr>
      </w:pPr>
      <w:r w:rsidRPr="00AB0229">
        <w:rPr>
          <w:rFonts w:ascii="Aptos" w:hAnsi="Aptos"/>
        </w:rPr>
        <w:lastRenderedPageBreak/>
        <w:t xml:space="preserve">Blumenfeld, P., &amp; Paris, A. (2004). School Engagement: Potential of the Concept, State of the Evidence. </w:t>
      </w:r>
      <w:r w:rsidRPr="00AB0229">
        <w:rPr>
          <w:rFonts w:ascii="Aptos" w:hAnsi="Aptos"/>
          <w:i/>
          <w:iCs/>
        </w:rPr>
        <w:t>Review of Educational Research - REV EDUC RES</w:t>
      </w:r>
      <w:r w:rsidRPr="00AB0229">
        <w:rPr>
          <w:rFonts w:ascii="Aptos" w:hAnsi="Aptos"/>
        </w:rPr>
        <w:t xml:space="preserve">, </w:t>
      </w:r>
      <w:r w:rsidRPr="00AB0229">
        <w:rPr>
          <w:rFonts w:ascii="Aptos" w:hAnsi="Aptos"/>
          <w:i/>
          <w:iCs/>
        </w:rPr>
        <w:t>74</w:t>
      </w:r>
      <w:r w:rsidRPr="00AB0229">
        <w:rPr>
          <w:rFonts w:ascii="Aptos" w:hAnsi="Aptos"/>
        </w:rPr>
        <w:t>, 59–109. https://doi.org/10.3102/00346543074001059</w:t>
      </w:r>
    </w:p>
    <w:p w14:paraId="6892CD94" w14:textId="77777777" w:rsidR="00AB0229" w:rsidRPr="00AB0229" w:rsidRDefault="00AB0229" w:rsidP="00AB0229">
      <w:pPr>
        <w:pStyle w:val="Bibliography"/>
        <w:rPr>
          <w:rFonts w:ascii="Aptos" w:hAnsi="Aptos"/>
        </w:rPr>
      </w:pPr>
      <w:r w:rsidRPr="00AB0229">
        <w:rPr>
          <w:rFonts w:ascii="Aptos" w:hAnsi="Aptos"/>
        </w:rPr>
        <w:t xml:space="preserve">Brown, A., Lawrence, J., Basson, M., &amp; Redmond, P. (2022). A conceptual framework to enhance student online learning and engagement in higher education. </w:t>
      </w:r>
      <w:r w:rsidRPr="00AB0229">
        <w:rPr>
          <w:rFonts w:ascii="Aptos" w:hAnsi="Aptos"/>
          <w:i/>
          <w:iCs/>
        </w:rPr>
        <w:t>Higher Education Research &amp; Development</w:t>
      </w:r>
      <w:r w:rsidRPr="00AB0229">
        <w:rPr>
          <w:rFonts w:ascii="Aptos" w:hAnsi="Aptos"/>
        </w:rPr>
        <w:t xml:space="preserve">, </w:t>
      </w:r>
      <w:r w:rsidRPr="00AB0229">
        <w:rPr>
          <w:rFonts w:ascii="Aptos" w:hAnsi="Aptos"/>
          <w:i/>
          <w:iCs/>
        </w:rPr>
        <w:t>41</w:t>
      </w:r>
      <w:r w:rsidRPr="00AB0229">
        <w:rPr>
          <w:rFonts w:ascii="Aptos" w:hAnsi="Aptos"/>
        </w:rPr>
        <w:t>(2), 284–299. https://doi.org/10.1080/07294360.2020.1860912</w:t>
      </w:r>
    </w:p>
    <w:p w14:paraId="62E59DAD" w14:textId="77777777" w:rsidR="00AB0229" w:rsidRPr="00AB0229" w:rsidRDefault="00AB0229" w:rsidP="00AB0229">
      <w:pPr>
        <w:pStyle w:val="Bibliography"/>
        <w:rPr>
          <w:rFonts w:ascii="Aptos" w:hAnsi="Aptos"/>
        </w:rPr>
      </w:pPr>
      <w:r w:rsidRPr="00AB0229">
        <w:rPr>
          <w:rFonts w:ascii="Aptos" w:hAnsi="Aptos"/>
        </w:rPr>
        <w:t xml:space="preserve">Corbi, A., &amp; Burgos, D. (2014). Review of Current Student-Monitoring Techniques used in eLearning-Focused recommender Systems and Learning analytics. The Experience API &amp; LIME model Case Study. </w:t>
      </w:r>
      <w:r w:rsidRPr="00AB0229">
        <w:rPr>
          <w:rFonts w:ascii="Aptos" w:hAnsi="Aptos"/>
          <w:i/>
          <w:iCs/>
        </w:rPr>
        <w:t>International Journal of Artificial Intelligence and Interactive Multimedia</w:t>
      </w:r>
      <w:r w:rsidRPr="00AB0229">
        <w:rPr>
          <w:rFonts w:ascii="Aptos" w:hAnsi="Aptos"/>
        </w:rPr>
        <w:t xml:space="preserve">, </w:t>
      </w:r>
      <w:r w:rsidRPr="00AB0229">
        <w:rPr>
          <w:rFonts w:ascii="Aptos" w:hAnsi="Aptos"/>
          <w:i/>
          <w:iCs/>
        </w:rPr>
        <w:t>2</w:t>
      </w:r>
      <w:r w:rsidRPr="00AB0229">
        <w:rPr>
          <w:rFonts w:ascii="Aptos" w:hAnsi="Aptos"/>
        </w:rPr>
        <w:t>, 44–52. https://doi.org/10.9781/ijimai.2014.276</w:t>
      </w:r>
    </w:p>
    <w:p w14:paraId="1DDED9CE" w14:textId="77777777" w:rsidR="00AB0229" w:rsidRPr="00AB0229" w:rsidRDefault="00AB0229" w:rsidP="00AB0229">
      <w:pPr>
        <w:pStyle w:val="Bibliography"/>
        <w:rPr>
          <w:rFonts w:ascii="Aptos" w:hAnsi="Aptos"/>
        </w:rPr>
      </w:pPr>
      <w:r w:rsidRPr="00AB0229">
        <w:rPr>
          <w:rFonts w:ascii="Aptos" w:hAnsi="Aptos"/>
        </w:rPr>
        <w:lastRenderedPageBreak/>
        <w:t xml:space="preserve">Heinemann, B., Ehlenz, M., Görzen, S., &amp; Schroeder, U. (2022). xAPI Made Easy: A Learning Analytics Infrastructure for Interdisciplinary Projects. </w:t>
      </w:r>
      <w:r w:rsidRPr="00AB0229">
        <w:rPr>
          <w:rFonts w:ascii="Aptos" w:hAnsi="Aptos"/>
          <w:i/>
          <w:iCs/>
        </w:rPr>
        <w:t>International Journal of Online and Biomedical Engineering (iJOE)</w:t>
      </w:r>
      <w:r w:rsidRPr="00AB0229">
        <w:rPr>
          <w:rFonts w:ascii="Aptos" w:hAnsi="Aptos"/>
        </w:rPr>
        <w:t xml:space="preserve">, </w:t>
      </w:r>
      <w:r w:rsidRPr="00AB0229">
        <w:rPr>
          <w:rFonts w:ascii="Aptos" w:hAnsi="Aptos"/>
          <w:i/>
          <w:iCs/>
        </w:rPr>
        <w:t>18</w:t>
      </w:r>
      <w:r w:rsidRPr="00AB0229">
        <w:rPr>
          <w:rFonts w:ascii="Aptos" w:hAnsi="Aptos"/>
        </w:rPr>
        <w:t>, 99–113. https://doi.org/10.3991/ijoe.v18i14.35079</w:t>
      </w:r>
    </w:p>
    <w:p w14:paraId="09567327" w14:textId="77777777" w:rsidR="00AB0229" w:rsidRPr="00AB0229" w:rsidRDefault="00AB0229" w:rsidP="00AB0229">
      <w:pPr>
        <w:pStyle w:val="Bibliography"/>
        <w:rPr>
          <w:rFonts w:ascii="Aptos" w:hAnsi="Aptos"/>
        </w:rPr>
      </w:pPr>
      <w:r w:rsidRPr="00AB0229">
        <w:rPr>
          <w:rFonts w:ascii="Aptos" w:hAnsi="Aptos"/>
        </w:rPr>
        <w:t xml:space="preserve">Kahu, E. (2011). Framing Student Engagement in Higher Education. </w:t>
      </w:r>
      <w:r w:rsidRPr="00AB0229">
        <w:rPr>
          <w:rFonts w:ascii="Aptos" w:hAnsi="Aptos"/>
          <w:i/>
          <w:iCs/>
        </w:rPr>
        <w:t>Studies in Higher Education</w:t>
      </w:r>
      <w:r w:rsidRPr="00AB0229">
        <w:rPr>
          <w:rFonts w:ascii="Aptos" w:hAnsi="Aptos"/>
        </w:rPr>
        <w:t xml:space="preserve">, </w:t>
      </w:r>
      <w:r w:rsidRPr="00AB0229">
        <w:rPr>
          <w:rFonts w:ascii="Aptos" w:hAnsi="Aptos"/>
          <w:i/>
          <w:iCs/>
        </w:rPr>
        <w:t>2011</w:t>
      </w:r>
      <w:r w:rsidRPr="00AB0229">
        <w:rPr>
          <w:rFonts w:ascii="Aptos" w:hAnsi="Aptos"/>
        </w:rPr>
        <w:t>. https://doi.org/10.1080/03075079.2011.598505</w:t>
      </w:r>
    </w:p>
    <w:p w14:paraId="548C654D" w14:textId="77777777" w:rsidR="00AB0229" w:rsidRPr="00AB0229" w:rsidRDefault="00AB0229" w:rsidP="00AB0229">
      <w:pPr>
        <w:pStyle w:val="Bibliography"/>
        <w:rPr>
          <w:rFonts w:ascii="Aptos" w:hAnsi="Aptos"/>
        </w:rPr>
      </w:pPr>
      <w:r w:rsidRPr="00AB0229">
        <w:rPr>
          <w:rFonts w:ascii="Aptos" w:hAnsi="Aptos"/>
        </w:rPr>
        <w:t xml:space="preserve">Kevan, J. M., &amp; Ryan, P. R. (2016). Experience API: Flexible, Decentralized and Activity-Centric Data Collection. </w:t>
      </w:r>
      <w:r w:rsidRPr="00AB0229">
        <w:rPr>
          <w:rFonts w:ascii="Aptos" w:hAnsi="Aptos"/>
          <w:i/>
          <w:iCs/>
        </w:rPr>
        <w:t>Technology, Knowledge and Learning</w:t>
      </w:r>
      <w:r w:rsidRPr="00AB0229">
        <w:rPr>
          <w:rFonts w:ascii="Aptos" w:hAnsi="Aptos"/>
        </w:rPr>
        <w:t xml:space="preserve">, </w:t>
      </w:r>
      <w:r w:rsidRPr="00AB0229">
        <w:rPr>
          <w:rFonts w:ascii="Aptos" w:hAnsi="Aptos"/>
          <w:i/>
          <w:iCs/>
        </w:rPr>
        <w:t>21</w:t>
      </w:r>
      <w:r w:rsidRPr="00AB0229">
        <w:rPr>
          <w:rFonts w:ascii="Aptos" w:hAnsi="Aptos"/>
        </w:rPr>
        <w:t>(1), 143–149. https://doi.org/10.1007/s10758-015-9260-x</w:t>
      </w:r>
    </w:p>
    <w:p w14:paraId="2917156A" w14:textId="77777777" w:rsidR="00AB0229" w:rsidRPr="00AB0229" w:rsidRDefault="00AB0229" w:rsidP="00AB0229">
      <w:pPr>
        <w:pStyle w:val="Bibliography"/>
        <w:rPr>
          <w:rFonts w:ascii="Aptos" w:hAnsi="Aptos"/>
        </w:rPr>
      </w:pPr>
      <w:r w:rsidRPr="00AB0229">
        <w:rPr>
          <w:rFonts w:ascii="Aptos" w:hAnsi="Aptos"/>
        </w:rPr>
        <w:t xml:space="preserve">Kitto, K., Cross, S., Waters, Z., &amp; Lupton, M. (2015). </w:t>
      </w:r>
      <w:r w:rsidRPr="00AB0229">
        <w:rPr>
          <w:rFonts w:ascii="Aptos" w:hAnsi="Aptos"/>
          <w:i/>
          <w:iCs/>
        </w:rPr>
        <w:t>Learning analytics beyond the LMS</w:t>
      </w:r>
      <w:r w:rsidRPr="00AB0229">
        <w:rPr>
          <w:rFonts w:ascii="Aptos" w:hAnsi="Aptos"/>
        </w:rPr>
        <w:t xml:space="preserve"> (p. 15). https://doi.org/10.1145/2723576.2723627</w:t>
      </w:r>
    </w:p>
    <w:p w14:paraId="759D4032" w14:textId="77777777" w:rsidR="00AB0229" w:rsidRPr="00AB0229" w:rsidRDefault="00AB0229" w:rsidP="00AB0229">
      <w:pPr>
        <w:pStyle w:val="Bibliography"/>
        <w:rPr>
          <w:rFonts w:ascii="Aptos" w:hAnsi="Aptos"/>
        </w:rPr>
      </w:pPr>
      <w:r w:rsidRPr="00AB0229">
        <w:rPr>
          <w:rFonts w:ascii="Aptos" w:hAnsi="Aptos"/>
        </w:rPr>
        <w:lastRenderedPageBreak/>
        <w:t xml:space="preserve">Manso Vázquez, M., Caeiro Rodriguez, M., &amp; Llamas Nistal, M. (2018). An xAPI Application Profile to Monitor Self-Regulated Learning Strategies. </w:t>
      </w:r>
      <w:r w:rsidRPr="00AB0229">
        <w:rPr>
          <w:rFonts w:ascii="Aptos" w:hAnsi="Aptos"/>
          <w:i/>
          <w:iCs/>
        </w:rPr>
        <w:t>IEEE Access</w:t>
      </w:r>
      <w:r w:rsidRPr="00AB0229">
        <w:rPr>
          <w:rFonts w:ascii="Aptos" w:hAnsi="Aptos"/>
        </w:rPr>
        <w:t xml:space="preserve">, </w:t>
      </w:r>
      <w:r w:rsidRPr="00AB0229">
        <w:rPr>
          <w:rFonts w:ascii="Aptos" w:hAnsi="Aptos"/>
          <w:i/>
          <w:iCs/>
        </w:rPr>
        <w:t>6</w:t>
      </w:r>
      <w:r w:rsidRPr="00AB0229">
        <w:rPr>
          <w:rFonts w:ascii="Aptos" w:hAnsi="Aptos"/>
        </w:rPr>
        <w:t>. https://doi.org/10.1109/ACCESS.2018.2860519</w:t>
      </w:r>
    </w:p>
    <w:p w14:paraId="2CB4C350" w14:textId="77777777" w:rsidR="00AB0229" w:rsidRPr="00AB0229" w:rsidRDefault="00AB0229" w:rsidP="00AB0229">
      <w:pPr>
        <w:pStyle w:val="Bibliography"/>
        <w:rPr>
          <w:rFonts w:ascii="Aptos" w:hAnsi="Aptos"/>
        </w:rPr>
      </w:pPr>
      <w:r w:rsidRPr="00AB0229">
        <w:rPr>
          <w:rFonts w:ascii="Aptos" w:hAnsi="Aptos"/>
        </w:rPr>
        <w:t xml:space="preserve">Martinez-Maldonado, R., Gašević, D., Echeverria, V., Nieto, G. F., Swiecki, Z., &amp; Shum, S. B. (2021). What Do You Mean by Collaboration Analytics? A Conceptual Model. </w:t>
      </w:r>
      <w:r w:rsidRPr="00AB0229">
        <w:rPr>
          <w:rFonts w:ascii="Aptos" w:hAnsi="Aptos"/>
          <w:i/>
          <w:iCs/>
        </w:rPr>
        <w:t>Journal of Learning Analytics</w:t>
      </w:r>
      <w:r w:rsidRPr="00AB0229">
        <w:rPr>
          <w:rFonts w:ascii="Aptos" w:hAnsi="Aptos"/>
        </w:rPr>
        <w:t xml:space="preserve">, </w:t>
      </w:r>
      <w:r w:rsidRPr="00AB0229">
        <w:rPr>
          <w:rFonts w:ascii="Aptos" w:hAnsi="Aptos"/>
          <w:i/>
          <w:iCs/>
        </w:rPr>
        <w:t>8</w:t>
      </w:r>
      <w:r w:rsidRPr="00AB0229">
        <w:rPr>
          <w:rFonts w:ascii="Aptos" w:hAnsi="Aptos"/>
        </w:rPr>
        <w:t>(1), Article 1. https://doi.org/10.18608/jla.2021.7227</w:t>
      </w:r>
    </w:p>
    <w:p w14:paraId="2DB5A55C" w14:textId="77777777" w:rsidR="00AB0229" w:rsidRPr="00AB0229" w:rsidRDefault="00AB0229" w:rsidP="00AB0229">
      <w:pPr>
        <w:pStyle w:val="Bibliography"/>
        <w:rPr>
          <w:rFonts w:ascii="Aptos" w:hAnsi="Aptos"/>
        </w:rPr>
      </w:pPr>
      <w:r w:rsidRPr="00AB0229">
        <w:rPr>
          <w:rFonts w:ascii="Aptos" w:hAnsi="Aptos"/>
        </w:rPr>
        <w:t xml:space="preserve">Trowler, V. (2010). </w:t>
      </w:r>
      <w:r w:rsidRPr="00AB0229">
        <w:rPr>
          <w:rFonts w:ascii="Aptos" w:hAnsi="Aptos"/>
          <w:i/>
          <w:iCs/>
        </w:rPr>
        <w:t>Student Engagement Literature Review</w:t>
      </w:r>
      <w:r w:rsidRPr="00AB0229">
        <w:rPr>
          <w:rFonts w:ascii="Aptos" w:hAnsi="Aptos"/>
        </w:rPr>
        <w:t>.</w:t>
      </w:r>
    </w:p>
    <w:p w14:paraId="2C959756" w14:textId="77777777" w:rsidR="00AB0229" w:rsidRPr="00AB0229" w:rsidRDefault="00AB0229" w:rsidP="00AB0229">
      <w:pPr>
        <w:pStyle w:val="Bibliography"/>
        <w:rPr>
          <w:rFonts w:ascii="Aptos" w:hAnsi="Aptos"/>
        </w:rPr>
      </w:pPr>
      <w:r w:rsidRPr="00AB0229">
        <w:rPr>
          <w:rFonts w:ascii="Aptos" w:hAnsi="Aptos"/>
        </w:rPr>
        <w:t xml:space="preserve">Zepke, N., &amp; Leach, L. (2010). Improving student engagement: Ten proposals for action. </w:t>
      </w:r>
      <w:r w:rsidRPr="00AB0229">
        <w:rPr>
          <w:rFonts w:ascii="Aptos" w:hAnsi="Aptos"/>
          <w:i/>
          <w:iCs/>
        </w:rPr>
        <w:t>Active Learning in Higher Education</w:t>
      </w:r>
      <w:r w:rsidRPr="00AB0229">
        <w:rPr>
          <w:rFonts w:ascii="Aptos" w:hAnsi="Aptos"/>
        </w:rPr>
        <w:t xml:space="preserve">, </w:t>
      </w:r>
      <w:r w:rsidRPr="00AB0229">
        <w:rPr>
          <w:rFonts w:ascii="Aptos" w:hAnsi="Aptos"/>
          <w:i/>
          <w:iCs/>
        </w:rPr>
        <w:t>11</w:t>
      </w:r>
      <w:r w:rsidRPr="00AB0229">
        <w:rPr>
          <w:rFonts w:ascii="Aptos" w:hAnsi="Aptos"/>
        </w:rPr>
        <w:t>, 167–177. https://doi.org/10.1177/1469787410379680</w:t>
      </w:r>
    </w:p>
    <w:p w14:paraId="23CC09C2" w14:textId="5BFF61FF" w:rsidR="009A50F6" w:rsidRPr="009A50F6" w:rsidRDefault="009A50F6" w:rsidP="009A50F6">
      <w:r>
        <w:fldChar w:fldCharType="end"/>
      </w:r>
    </w:p>
    <w:p w14:paraId="11507836" w14:textId="30C38E0A" w:rsidR="008D0C1A" w:rsidRPr="00440164" w:rsidRDefault="008D0C1A" w:rsidP="00440164"/>
    <w:p w14:paraId="7C6478B7" w14:textId="77777777" w:rsidR="00440164" w:rsidRPr="00440164" w:rsidRDefault="00440164" w:rsidP="00440164">
      <w:pPr>
        <w:pStyle w:val="Title"/>
      </w:pPr>
    </w:p>
    <w:sectPr w:rsidR="00440164" w:rsidRPr="004401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C37D8"/>
    <w:multiLevelType w:val="multilevel"/>
    <w:tmpl w:val="140C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C29BA"/>
    <w:multiLevelType w:val="multilevel"/>
    <w:tmpl w:val="16D0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52AAB"/>
    <w:multiLevelType w:val="multilevel"/>
    <w:tmpl w:val="247C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D5275"/>
    <w:multiLevelType w:val="multilevel"/>
    <w:tmpl w:val="3F86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95111E"/>
    <w:multiLevelType w:val="multilevel"/>
    <w:tmpl w:val="DF4CE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465976">
    <w:abstractNumId w:val="4"/>
  </w:num>
  <w:num w:numId="2" w16cid:durableId="551575878">
    <w:abstractNumId w:val="0"/>
  </w:num>
  <w:num w:numId="3" w16cid:durableId="1965186236">
    <w:abstractNumId w:val="1"/>
  </w:num>
  <w:num w:numId="4" w16cid:durableId="832062871">
    <w:abstractNumId w:val="3"/>
  </w:num>
  <w:num w:numId="5" w16cid:durableId="2020693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64"/>
    <w:rsid w:val="00017AE6"/>
    <w:rsid w:val="000331DE"/>
    <w:rsid w:val="00064C4F"/>
    <w:rsid w:val="000C1DC4"/>
    <w:rsid w:val="001E103D"/>
    <w:rsid w:val="00214012"/>
    <w:rsid w:val="00307CFC"/>
    <w:rsid w:val="003E1B8B"/>
    <w:rsid w:val="00440164"/>
    <w:rsid w:val="00476BE1"/>
    <w:rsid w:val="004807E9"/>
    <w:rsid w:val="004C0006"/>
    <w:rsid w:val="004E2CAF"/>
    <w:rsid w:val="0053636D"/>
    <w:rsid w:val="005E4D35"/>
    <w:rsid w:val="005E4F3B"/>
    <w:rsid w:val="00666824"/>
    <w:rsid w:val="006C68C4"/>
    <w:rsid w:val="00815FA5"/>
    <w:rsid w:val="008D0C1A"/>
    <w:rsid w:val="00964B34"/>
    <w:rsid w:val="009A50F6"/>
    <w:rsid w:val="009E0841"/>
    <w:rsid w:val="009F1DD0"/>
    <w:rsid w:val="00AA18A3"/>
    <w:rsid w:val="00AB0229"/>
    <w:rsid w:val="00AF42E0"/>
    <w:rsid w:val="00B24105"/>
    <w:rsid w:val="00B30584"/>
    <w:rsid w:val="00BB09FE"/>
    <w:rsid w:val="00BD165F"/>
    <w:rsid w:val="00C836CE"/>
    <w:rsid w:val="00CF60E5"/>
    <w:rsid w:val="00D46B71"/>
    <w:rsid w:val="00D6147C"/>
    <w:rsid w:val="00DB3F81"/>
    <w:rsid w:val="00E21CD3"/>
    <w:rsid w:val="00E354EF"/>
    <w:rsid w:val="00E37BD2"/>
    <w:rsid w:val="00E40F50"/>
    <w:rsid w:val="00EF5B74"/>
    <w:rsid w:val="00FC5FD3"/>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D3C337"/>
  <w15:chartTrackingRefBased/>
  <w15:docId w15:val="{42CA0D4D-001E-4DAD-ABEC-4E091101B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1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01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01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1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1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1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1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1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1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1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01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01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1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1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1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1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1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164"/>
    <w:rPr>
      <w:rFonts w:eastAsiaTheme="majorEastAsia" w:cstheme="majorBidi"/>
      <w:color w:val="272727" w:themeColor="text1" w:themeTint="D8"/>
    </w:rPr>
  </w:style>
  <w:style w:type="paragraph" w:styleId="Title">
    <w:name w:val="Title"/>
    <w:basedOn w:val="Normal"/>
    <w:next w:val="Normal"/>
    <w:link w:val="TitleChar"/>
    <w:uiPriority w:val="10"/>
    <w:qFormat/>
    <w:rsid w:val="00440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1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1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164"/>
    <w:pPr>
      <w:spacing w:before="160"/>
      <w:jc w:val="center"/>
    </w:pPr>
    <w:rPr>
      <w:i/>
      <w:iCs/>
      <w:color w:val="404040" w:themeColor="text1" w:themeTint="BF"/>
    </w:rPr>
  </w:style>
  <w:style w:type="character" w:customStyle="1" w:styleId="QuoteChar">
    <w:name w:val="Quote Char"/>
    <w:basedOn w:val="DefaultParagraphFont"/>
    <w:link w:val="Quote"/>
    <w:uiPriority w:val="29"/>
    <w:rsid w:val="00440164"/>
    <w:rPr>
      <w:i/>
      <w:iCs/>
      <w:color w:val="404040" w:themeColor="text1" w:themeTint="BF"/>
    </w:rPr>
  </w:style>
  <w:style w:type="paragraph" w:styleId="ListParagraph">
    <w:name w:val="List Paragraph"/>
    <w:basedOn w:val="Normal"/>
    <w:uiPriority w:val="34"/>
    <w:qFormat/>
    <w:rsid w:val="00440164"/>
    <w:pPr>
      <w:ind w:left="720"/>
      <w:contextualSpacing/>
    </w:pPr>
  </w:style>
  <w:style w:type="character" w:styleId="IntenseEmphasis">
    <w:name w:val="Intense Emphasis"/>
    <w:basedOn w:val="DefaultParagraphFont"/>
    <w:uiPriority w:val="21"/>
    <w:qFormat/>
    <w:rsid w:val="00440164"/>
    <w:rPr>
      <w:i/>
      <w:iCs/>
      <w:color w:val="0F4761" w:themeColor="accent1" w:themeShade="BF"/>
    </w:rPr>
  </w:style>
  <w:style w:type="paragraph" w:styleId="IntenseQuote">
    <w:name w:val="Intense Quote"/>
    <w:basedOn w:val="Normal"/>
    <w:next w:val="Normal"/>
    <w:link w:val="IntenseQuoteChar"/>
    <w:uiPriority w:val="30"/>
    <w:qFormat/>
    <w:rsid w:val="004401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164"/>
    <w:rPr>
      <w:i/>
      <w:iCs/>
      <w:color w:val="0F4761" w:themeColor="accent1" w:themeShade="BF"/>
    </w:rPr>
  </w:style>
  <w:style w:type="character" w:styleId="IntenseReference">
    <w:name w:val="Intense Reference"/>
    <w:basedOn w:val="DefaultParagraphFont"/>
    <w:uiPriority w:val="32"/>
    <w:qFormat/>
    <w:rsid w:val="00440164"/>
    <w:rPr>
      <w:b/>
      <w:bCs/>
      <w:smallCaps/>
      <w:color w:val="0F4761" w:themeColor="accent1" w:themeShade="BF"/>
      <w:spacing w:val="5"/>
    </w:rPr>
  </w:style>
  <w:style w:type="paragraph" w:styleId="NormalWeb">
    <w:name w:val="Normal (Web)"/>
    <w:basedOn w:val="Normal"/>
    <w:uiPriority w:val="99"/>
    <w:semiHidden/>
    <w:unhideWhenUsed/>
    <w:rsid w:val="00EF5B74"/>
    <w:rPr>
      <w:rFonts w:ascii="Times New Roman" w:hAnsi="Times New Roman" w:cs="Times New Roman"/>
      <w:sz w:val="24"/>
      <w:szCs w:val="24"/>
    </w:rPr>
  </w:style>
  <w:style w:type="paragraph" w:styleId="Bibliography">
    <w:name w:val="Bibliography"/>
    <w:basedOn w:val="Normal"/>
    <w:next w:val="Normal"/>
    <w:uiPriority w:val="37"/>
    <w:unhideWhenUsed/>
    <w:rsid w:val="009A50F6"/>
    <w:pPr>
      <w:spacing w:after="0" w:line="480" w:lineRule="auto"/>
      <w:ind w:left="720" w:hanging="720"/>
    </w:pPr>
  </w:style>
  <w:style w:type="character" w:styleId="Strong">
    <w:name w:val="Strong"/>
    <w:basedOn w:val="DefaultParagraphFont"/>
    <w:uiPriority w:val="22"/>
    <w:qFormat/>
    <w:rsid w:val="00E354EF"/>
    <w:rPr>
      <w:b/>
      <w:bCs/>
    </w:rPr>
  </w:style>
  <w:style w:type="character" w:styleId="Hyperlink">
    <w:name w:val="Hyperlink"/>
    <w:basedOn w:val="DefaultParagraphFont"/>
    <w:uiPriority w:val="99"/>
    <w:unhideWhenUsed/>
    <w:rsid w:val="00BD165F"/>
    <w:rPr>
      <w:color w:val="467886" w:themeColor="hyperlink"/>
      <w:u w:val="single"/>
    </w:rPr>
  </w:style>
  <w:style w:type="character" w:styleId="UnresolvedMention">
    <w:name w:val="Unresolved Mention"/>
    <w:basedOn w:val="DefaultParagraphFont"/>
    <w:uiPriority w:val="99"/>
    <w:semiHidden/>
    <w:unhideWhenUsed/>
    <w:rsid w:val="00BD1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6482">
      <w:bodyDiv w:val="1"/>
      <w:marLeft w:val="0"/>
      <w:marRight w:val="0"/>
      <w:marTop w:val="0"/>
      <w:marBottom w:val="0"/>
      <w:divBdr>
        <w:top w:val="none" w:sz="0" w:space="0" w:color="auto"/>
        <w:left w:val="none" w:sz="0" w:space="0" w:color="auto"/>
        <w:bottom w:val="none" w:sz="0" w:space="0" w:color="auto"/>
        <w:right w:val="none" w:sz="0" w:space="0" w:color="auto"/>
      </w:divBdr>
    </w:div>
    <w:div w:id="74010134">
      <w:bodyDiv w:val="1"/>
      <w:marLeft w:val="0"/>
      <w:marRight w:val="0"/>
      <w:marTop w:val="0"/>
      <w:marBottom w:val="0"/>
      <w:divBdr>
        <w:top w:val="none" w:sz="0" w:space="0" w:color="auto"/>
        <w:left w:val="none" w:sz="0" w:space="0" w:color="auto"/>
        <w:bottom w:val="none" w:sz="0" w:space="0" w:color="auto"/>
        <w:right w:val="none" w:sz="0" w:space="0" w:color="auto"/>
      </w:divBdr>
    </w:div>
    <w:div w:id="169756350">
      <w:bodyDiv w:val="1"/>
      <w:marLeft w:val="0"/>
      <w:marRight w:val="0"/>
      <w:marTop w:val="0"/>
      <w:marBottom w:val="0"/>
      <w:divBdr>
        <w:top w:val="none" w:sz="0" w:space="0" w:color="auto"/>
        <w:left w:val="none" w:sz="0" w:space="0" w:color="auto"/>
        <w:bottom w:val="none" w:sz="0" w:space="0" w:color="auto"/>
        <w:right w:val="none" w:sz="0" w:space="0" w:color="auto"/>
      </w:divBdr>
      <w:divsChild>
        <w:div w:id="965426084">
          <w:marLeft w:val="0"/>
          <w:marRight w:val="0"/>
          <w:marTop w:val="0"/>
          <w:marBottom w:val="0"/>
          <w:divBdr>
            <w:top w:val="none" w:sz="0" w:space="0" w:color="auto"/>
            <w:left w:val="none" w:sz="0" w:space="0" w:color="auto"/>
            <w:bottom w:val="none" w:sz="0" w:space="0" w:color="auto"/>
            <w:right w:val="none" w:sz="0" w:space="0" w:color="auto"/>
          </w:divBdr>
          <w:divsChild>
            <w:div w:id="210641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3504">
      <w:bodyDiv w:val="1"/>
      <w:marLeft w:val="0"/>
      <w:marRight w:val="0"/>
      <w:marTop w:val="0"/>
      <w:marBottom w:val="0"/>
      <w:divBdr>
        <w:top w:val="none" w:sz="0" w:space="0" w:color="auto"/>
        <w:left w:val="none" w:sz="0" w:space="0" w:color="auto"/>
        <w:bottom w:val="none" w:sz="0" w:space="0" w:color="auto"/>
        <w:right w:val="none" w:sz="0" w:space="0" w:color="auto"/>
      </w:divBdr>
    </w:div>
    <w:div w:id="596526956">
      <w:bodyDiv w:val="1"/>
      <w:marLeft w:val="0"/>
      <w:marRight w:val="0"/>
      <w:marTop w:val="0"/>
      <w:marBottom w:val="0"/>
      <w:divBdr>
        <w:top w:val="none" w:sz="0" w:space="0" w:color="auto"/>
        <w:left w:val="none" w:sz="0" w:space="0" w:color="auto"/>
        <w:bottom w:val="none" w:sz="0" w:space="0" w:color="auto"/>
        <w:right w:val="none" w:sz="0" w:space="0" w:color="auto"/>
      </w:divBdr>
      <w:divsChild>
        <w:div w:id="198013904">
          <w:marLeft w:val="0"/>
          <w:marRight w:val="0"/>
          <w:marTop w:val="0"/>
          <w:marBottom w:val="0"/>
          <w:divBdr>
            <w:top w:val="none" w:sz="0" w:space="0" w:color="auto"/>
            <w:left w:val="none" w:sz="0" w:space="0" w:color="auto"/>
            <w:bottom w:val="none" w:sz="0" w:space="0" w:color="auto"/>
            <w:right w:val="none" w:sz="0" w:space="0" w:color="auto"/>
          </w:divBdr>
        </w:div>
      </w:divsChild>
    </w:div>
    <w:div w:id="743840128">
      <w:bodyDiv w:val="1"/>
      <w:marLeft w:val="0"/>
      <w:marRight w:val="0"/>
      <w:marTop w:val="0"/>
      <w:marBottom w:val="0"/>
      <w:divBdr>
        <w:top w:val="none" w:sz="0" w:space="0" w:color="auto"/>
        <w:left w:val="none" w:sz="0" w:space="0" w:color="auto"/>
        <w:bottom w:val="none" w:sz="0" w:space="0" w:color="auto"/>
        <w:right w:val="none" w:sz="0" w:space="0" w:color="auto"/>
      </w:divBdr>
    </w:div>
    <w:div w:id="780345343">
      <w:bodyDiv w:val="1"/>
      <w:marLeft w:val="0"/>
      <w:marRight w:val="0"/>
      <w:marTop w:val="0"/>
      <w:marBottom w:val="0"/>
      <w:divBdr>
        <w:top w:val="none" w:sz="0" w:space="0" w:color="auto"/>
        <w:left w:val="none" w:sz="0" w:space="0" w:color="auto"/>
        <w:bottom w:val="none" w:sz="0" w:space="0" w:color="auto"/>
        <w:right w:val="none" w:sz="0" w:space="0" w:color="auto"/>
      </w:divBdr>
    </w:div>
    <w:div w:id="1021126653">
      <w:bodyDiv w:val="1"/>
      <w:marLeft w:val="0"/>
      <w:marRight w:val="0"/>
      <w:marTop w:val="0"/>
      <w:marBottom w:val="0"/>
      <w:divBdr>
        <w:top w:val="none" w:sz="0" w:space="0" w:color="auto"/>
        <w:left w:val="none" w:sz="0" w:space="0" w:color="auto"/>
        <w:bottom w:val="none" w:sz="0" w:space="0" w:color="auto"/>
        <w:right w:val="none" w:sz="0" w:space="0" w:color="auto"/>
      </w:divBdr>
      <w:divsChild>
        <w:div w:id="1521165886">
          <w:marLeft w:val="0"/>
          <w:marRight w:val="0"/>
          <w:marTop w:val="0"/>
          <w:marBottom w:val="0"/>
          <w:divBdr>
            <w:top w:val="none" w:sz="0" w:space="0" w:color="auto"/>
            <w:left w:val="none" w:sz="0" w:space="0" w:color="auto"/>
            <w:bottom w:val="none" w:sz="0" w:space="0" w:color="auto"/>
            <w:right w:val="none" w:sz="0" w:space="0" w:color="auto"/>
          </w:divBdr>
        </w:div>
      </w:divsChild>
    </w:div>
    <w:div w:id="1087530778">
      <w:bodyDiv w:val="1"/>
      <w:marLeft w:val="0"/>
      <w:marRight w:val="0"/>
      <w:marTop w:val="0"/>
      <w:marBottom w:val="0"/>
      <w:divBdr>
        <w:top w:val="none" w:sz="0" w:space="0" w:color="auto"/>
        <w:left w:val="none" w:sz="0" w:space="0" w:color="auto"/>
        <w:bottom w:val="none" w:sz="0" w:space="0" w:color="auto"/>
        <w:right w:val="none" w:sz="0" w:space="0" w:color="auto"/>
      </w:divBdr>
      <w:divsChild>
        <w:div w:id="1907377409">
          <w:marLeft w:val="0"/>
          <w:marRight w:val="0"/>
          <w:marTop w:val="0"/>
          <w:marBottom w:val="0"/>
          <w:divBdr>
            <w:top w:val="none" w:sz="0" w:space="0" w:color="auto"/>
            <w:left w:val="none" w:sz="0" w:space="0" w:color="auto"/>
            <w:bottom w:val="none" w:sz="0" w:space="0" w:color="auto"/>
            <w:right w:val="none" w:sz="0" w:space="0" w:color="auto"/>
          </w:divBdr>
          <w:divsChild>
            <w:div w:id="491918974">
              <w:marLeft w:val="0"/>
              <w:marRight w:val="0"/>
              <w:marTop w:val="0"/>
              <w:marBottom w:val="0"/>
              <w:divBdr>
                <w:top w:val="none" w:sz="0" w:space="0" w:color="auto"/>
                <w:left w:val="none" w:sz="0" w:space="0" w:color="auto"/>
                <w:bottom w:val="none" w:sz="0" w:space="0" w:color="auto"/>
                <w:right w:val="none" w:sz="0" w:space="0" w:color="auto"/>
              </w:divBdr>
            </w:div>
          </w:divsChild>
        </w:div>
        <w:div w:id="1753357366">
          <w:marLeft w:val="0"/>
          <w:marRight w:val="0"/>
          <w:marTop w:val="0"/>
          <w:marBottom w:val="0"/>
          <w:divBdr>
            <w:top w:val="none" w:sz="0" w:space="0" w:color="auto"/>
            <w:left w:val="none" w:sz="0" w:space="0" w:color="auto"/>
            <w:bottom w:val="none" w:sz="0" w:space="0" w:color="auto"/>
            <w:right w:val="none" w:sz="0" w:space="0" w:color="auto"/>
          </w:divBdr>
          <w:divsChild>
            <w:div w:id="1765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2660">
      <w:bodyDiv w:val="1"/>
      <w:marLeft w:val="0"/>
      <w:marRight w:val="0"/>
      <w:marTop w:val="0"/>
      <w:marBottom w:val="0"/>
      <w:divBdr>
        <w:top w:val="none" w:sz="0" w:space="0" w:color="auto"/>
        <w:left w:val="none" w:sz="0" w:space="0" w:color="auto"/>
        <w:bottom w:val="none" w:sz="0" w:space="0" w:color="auto"/>
        <w:right w:val="none" w:sz="0" w:space="0" w:color="auto"/>
      </w:divBdr>
    </w:div>
    <w:div w:id="1413162017">
      <w:bodyDiv w:val="1"/>
      <w:marLeft w:val="0"/>
      <w:marRight w:val="0"/>
      <w:marTop w:val="0"/>
      <w:marBottom w:val="0"/>
      <w:divBdr>
        <w:top w:val="none" w:sz="0" w:space="0" w:color="auto"/>
        <w:left w:val="none" w:sz="0" w:space="0" w:color="auto"/>
        <w:bottom w:val="none" w:sz="0" w:space="0" w:color="auto"/>
        <w:right w:val="none" w:sz="0" w:space="0" w:color="auto"/>
      </w:divBdr>
    </w:div>
    <w:div w:id="1739087796">
      <w:bodyDiv w:val="1"/>
      <w:marLeft w:val="0"/>
      <w:marRight w:val="0"/>
      <w:marTop w:val="0"/>
      <w:marBottom w:val="0"/>
      <w:divBdr>
        <w:top w:val="none" w:sz="0" w:space="0" w:color="auto"/>
        <w:left w:val="none" w:sz="0" w:space="0" w:color="auto"/>
        <w:bottom w:val="none" w:sz="0" w:space="0" w:color="auto"/>
        <w:right w:val="none" w:sz="0" w:space="0" w:color="auto"/>
      </w:divBdr>
      <w:divsChild>
        <w:div w:id="1604802856">
          <w:marLeft w:val="0"/>
          <w:marRight w:val="0"/>
          <w:marTop w:val="0"/>
          <w:marBottom w:val="0"/>
          <w:divBdr>
            <w:top w:val="none" w:sz="0" w:space="0" w:color="auto"/>
            <w:left w:val="none" w:sz="0" w:space="0" w:color="auto"/>
            <w:bottom w:val="none" w:sz="0" w:space="0" w:color="auto"/>
            <w:right w:val="none" w:sz="0" w:space="0" w:color="auto"/>
          </w:divBdr>
        </w:div>
      </w:divsChild>
    </w:div>
    <w:div w:id="1780028320">
      <w:bodyDiv w:val="1"/>
      <w:marLeft w:val="0"/>
      <w:marRight w:val="0"/>
      <w:marTop w:val="0"/>
      <w:marBottom w:val="0"/>
      <w:divBdr>
        <w:top w:val="none" w:sz="0" w:space="0" w:color="auto"/>
        <w:left w:val="none" w:sz="0" w:space="0" w:color="auto"/>
        <w:bottom w:val="none" w:sz="0" w:space="0" w:color="auto"/>
        <w:right w:val="none" w:sz="0" w:space="0" w:color="auto"/>
      </w:divBdr>
    </w:div>
    <w:div w:id="1813254216">
      <w:bodyDiv w:val="1"/>
      <w:marLeft w:val="0"/>
      <w:marRight w:val="0"/>
      <w:marTop w:val="0"/>
      <w:marBottom w:val="0"/>
      <w:divBdr>
        <w:top w:val="none" w:sz="0" w:space="0" w:color="auto"/>
        <w:left w:val="none" w:sz="0" w:space="0" w:color="auto"/>
        <w:bottom w:val="none" w:sz="0" w:space="0" w:color="auto"/>
        <w:right w:val="none" w:sz="0" w:space="0" w:color="auto"/>
      </w:divBdr>
    </w:div>
    <w:div w:id="1827935453">
      <w:bodyDiv w:val="1"/>
      <w:marLeft w:val="0"/>
      <w:marRight w:val="0"/>
      <w:marTop w:val="0"/>
      <w:marBottom w:val="0"/>
      <w:divBdr>
        <w:top w:val="none" w:sz="0" w:space="0" w:color="auto"/>
        <w:left w:val="none" w:sz="0" w:space="0" w:color="auto"/>
        <w:bottom w:val="none" w:sz="0" w:space="0" w:color="auto"/>
        <w:right w:val="none" w:sz="0" w:space="0" w:color="auto"/>
      </w:divBdr>
      <w:divsChild>
        <w:div w:id="777332291">
          <w:marLeft w:val="0"/>
          <w:marRight w:val="0"/>
          <w:marTop w:val="0"/>
          <w:marBottom w:val="0"/>
          <w:divBdr>
            <w:top w:val="none" w:sz="0" w:space="0" w:color="auto"/>
            <w:left w:val="none" w:sz="0" w:space="0" w:color="auto"/>
            <w:bottom w:val="none" w:sz="0" w:space="0" w:color="auto"/>
            <w:right w:val="none" w:sz="0" w:space="0" w:color="auto"/>
          </w:divBdr>
          <w:divsChild>
            <w:div w:id="14000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73055">
      <w:bodyDiv w:val="1"/>
      <w:marLeft w:val="0"/>
      <w:marRight w:val="0"/>
      <w:marTop w:val="0"/>
      <w:marBottom w:val="0"/>
      <w:divBdr>
        <w:top w:val="none" w:sz="0" w:space="0" w:color="auto"/>
        <w:left w:val="none" w:sz="0" w:space="0" w:color="auto"/>
        <w:bottom w:val="none" w:sz="0" w:space="0" w:color="auto"/>
        <w:right w:val="none" w:sz="0" w:space="0" w:color="auto"/>
      </w:divBdr>
    </w:div>
    <w:div w:id="1896430429">
      <w:bodyDiv w:val="1"/>
      <w:marLeft w:val="0"/>
      <w:marRight w:val="0"/>
      <w:marTop w:val="0"/>
      <w:marBottom w:val="0"/>
      <w:divBdr>
        <w:top w:val="none" w:sz="0" w:space="0" w:color="auto"/>
        <w:left w:val="none" w:sz="0" w:space="0" w:color="auto"/>
        <w:bottom w:val="none" w:sz="0" w:space="0" w:color="auto"/>
        <w:right w:val="none" w:sz="0" w:space="0" w:color="auto"/>
      </w:divBdr>
      <w:divsChild>
        <w:div w:id="579679916">
          <w:marLeft w:val="0"/>
          <w:marRight w:val="0"/>
          <w:marTop w:val="0"/>
          <w:marBottom w:val="0"/>
          <w:divBdr>
            <w:top w:val="none" w:sz="0" w:space="0" w:color="auto"/>
            <w:left w:val="none" w:sz="0" w:space="0" w:color="auto"/>
            <w:bottom w:val="none" w:sz="0" w:space="0" w:color="auto"/>
            <w:right w:val="none" w:sz="0" w:space="0" w:color="auto"/>
          </w:divBdr>
          <w:divsChild>
            <w:div w:id="1520042252">
              <w:marLeft w:val="0"/>
              <w:marRight w:val="0"/>
              <w:marTop w:val="0"/>
              <w:marBottom w:val="0"/>
              <w:divBdr>
                <w:top w:val="none" w:sz="0" w:space="0" w:color="auto"/>
                <w:left w:val="none" w:sz="0" w:space="0" w:color="auto"/>
                <w:bottom w:val="none" w:sz="0" w:space="0" w:color="auto"/>
                <w:right w:val="none" w:sz="0" w:space="0" w:color="auto"/>
              </w:divBdr>
            </w:div>
          </w:divsChild>
        </w:div>
        <w:div w:id="595091429">
          <w:marLeft w:val="0"/>
          <w:marRight w:val="0"/>
          <w:marTop w:val="0"/>
          <w:marBottom w:val="0"/>
          <w:divBdr>
            <w:top w:val="none" w:sz="0" w:space="0" w:color="auto"/>
            <w:left w:val="none" w:sz="0" w:space="0" w:color="auto"/>
            <w:bottom w:val="none" w:sz="0" w:space="0" w:color="auto"/>
            <w:right w:val="none" w:sz="0" w:space="0" w:color="auto"/>
          </w:divBdr>
          <w:divsChild>
            <w:div w:id="183795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163592">
      <w:bodyDiv w:val="1"/>
      <w:marLeft w:val="0"/>
      <w:marRight w:val="0"/>
      <w:marTop w:val="0"/>
      <w:marBottom w:val="0"/>
      <w:divBdr>
        <w:top w:val="none" w:sz="0" w:space="0" w:color="auto"/>
        <w:left w:val="none" w:sz="0" w:space="0" w:color="auto"/>
        <w:bottom w:val="none" w:sz="0" w:space="0" w:color="auto"/>
        <w:right w:val="none" w:sz="0" w:space="0" w:color="auto"/>
      </w:divBdr>
    </w:div>
    <w:div w:id="204918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egistry.tincanapi.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A26F44-5A15-4545-A1F2-61E2EE161D2E}">
  <we:reference id="wa200001361" version="2.129.3.0" store="en-US" storeType="OMEX"/>
  <we:alternateReferences>
    <we:reference id="wa200001361" version="2.129.3.0" store="en-US" storeType="OMEX"/>
  </we:alternateReferences>
  <we:properties>
    <we:property name="paperpal-document-id" value="&quot;dbe9ca6f-85ab-49da-96a0-218dc1421ec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B9CB0-B054-4DF0-B291-E692EC291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1684</TotalTime>
  <Pages>1</Pages>
  <Words>8402</Words>
  <Characters>54619</Characters>
  <Application>Microsoft Office Word</Application>
  <DocSecurity>0</DocSecurity>
  <Lines>1030</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dc:creator>
  <cp:keywords/>
  <dc:description/>
  <cp:lastModifiedBy>Abdul Rehman</cp:lastModifiedBy>
  <cp:revision>10</cp:revision>
  <dcterms:created xsi:type="dcterms:W3CDTF">2025-04-02T03:21:00Z</dcterms:created>
  <dcterms:modified xsi:type="dcterms:W3CDTF">2025-04-14T05:15:00Z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60dabf98-0745-48b3-836e-64c02a1a2050</vt:lpwstr>
  </property>
  <property fmtid="{D5CDD505-2E9C-101B-9397-08002B2CF9AE}" pid="3" name="ZOTERO_PREF_1">
    <vt:lpwstr>&lt;data data-version="3" zotero-version="7.0.13"&gt;&lt;session id="f5bpCTN0"/&gt;&lt;style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