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6A7BD5">
      <w:pPr>
        <w:spacing w:before="100" w:beforeAutospacing="1" w:after="100" w:afterAutospacing="1" w:line="240" w:lineRule="auto"/>
        <w:rPr>
          <w:rFonts w:ascii="Times New Roman" w:hAnsi="Times New Roman" w:eastAsia="Times New Roman" w:cs="Times New Roman"/>
          <w:b/>
          <w:sz w:val="40"/>
          <w:szCs w:val="40"/>
        </w:rPr>
      </w:pPr>
      <w:r>
        <w:rPr>
          <w:rFonts w:ascii="Times New Roman" w:hAnsi="Times New Roman" w:eastAsia="Times New Roman" w:cs="Times New Roman"/>
          <w:b/>
          <w:sz w:val="40"/>
          <w:szCs w:val="40"/>
        </w:rPr>
        <w:t xml:space="preserve">                </w:t>
      </w:r>
      <w:r>
        <w:rPr>
          <w:rFonts w:ascii="Times New Roman" w:hAnsi="Times New Roman" w:cs="Times New Roman"/>
        </w:rPr>
        <w:drawing>
          <wp:inline distT="0" distB="0" distL="0" distR="0">
            <wp:extent cx="1244600" cy="1192530"/>
            <wp:effectExtent l="0" t="0" r="1270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244600" cy="1192530"/>
                    </a:xfrm>
                    <a:prstGeom prst="rect">
                      <a:avLst/>
                    </a:prstGeom>
                    <a:noFill/>
                  </pic:spPr>
                </pic:pic>
              </a:graphicData>
            </a:graphic>
          </wp:inline>
        </w:drawing>
      </w:r>
      <w:r>
        <w:rPr>
          <w:rFonts w:ascii="Times New Roman" w:hAnsi="Times New Roman" w:eastAsia="Times New Roman" w:cs="Times New Roman"/>
          <w:b/>
          <w:sz w:val="40"/>
          <w:szCs w:val="40"/>
        </w:rPr>
        <w:t xml:space="preserve">        </w:t>
      </w:r>
      <w:bookmarkStart w:id="0" w:name="_GoBack"/>
      <w:bookmarkEnd w:id="0"/>
      <w:r>
        <w:rPr>
          <w:rFonts w:ascii="Times New Roman" w:hAnsi="Times New Roman" w:eastAsia="Times New Roman" w:cs="Times New Roman"/>
          <w:b/>
          <w:sz w:val="40"/>
          <w:szCs w:val="40"/>
        </w:rPr>
        <w:t xml:space="preserve">                                                  </w:t>
      </w:r>
      <w:r>
        <w:rPr>
          <w:rFonts w:ascii="Times New Roman" w:hAnsi="Times New Roman" w:eastAsia="Times New Roman" w:cs="Times New Roman"/>
          <w:b/>
          <w:sz w:val="40"/>
          <w:szCs w:val="40"/>
        </w:rPr>
        <w:br w:type="textWrapping"/>
      </w:r>
    </w:p>
    <w:tbl>
      <w:tblPr>
        <w:tblStyle w:val="11"/>
        <w:tblW w:w="9620" w:type="dxa"/>
        <w:tblInd w:w="0" w:type="dxa"/>
        <w:tblLayout w:type="autofit"/>
        <w:tblCellMar>
          <w:top w:w="0" w:type="dxa"/>
          <w:left w:w="108" w:type="dxa"/>
          <w:bottom w:w="0" w:type="dxa"/>
          <w:right w:w="108" w:type="dxa"/>
        </w:tblCellMar>
      </w:tblPr>
      <w:tblGrid>
        <w:gridCol w:w="2653"/>
        <w:gridCol w:w="2808"/>
        <w:gridCol w:w="4159"/>
      </w:tblGrid>
      <w:tr w14:paraId="5BB09579">
        <w:tblPrEx>
          <w:tblCellMar>
            <w:top w:w="0" w:type="dxa"/>
            <w:left w:w="108" w:type="dxa"/>
            <w:bottom w:w="0" w:type="dxa"/>
            <w:right w:w="108" w:type="dxa"/>
          </w:tblCellMar>
        </w:tblPrEx>
        <w:trPr>
          <w:trHeight w:val="420" w:hRule="atLeast"/>
        </w:trPr>
        <w:tc>
          <w:tcPr>
            <w:tcW w:w="2653" w:type="dxa"/>
            <w:tcBorders>
              <w:top w:val="single" w:color="auto" w:sz="4" w:space="0"/>
              <w:left w:val="single" w:color="auto" w:sz="8" w:space="0"/>
              <w:bottom w:val="single" w:color="auto" w:sz="4" w:space="0"/>
              <w:right w:val="single" w:color="auto" w:sz="4" w:space="0"/>
            </w:tcBorders>
            <w:shd w:val="clear" w:color="auto" w:fill="auto"/>
            <w:vAlign w:val="bottom"/>
          </w:tcPr>
          <w:p w14:paraId="24595358">
            <w:pPr>
              <w:spacing w:after="0" w:line="240" w:lineRule="auto"/>
              <w:jc w:val="center"/>
              <w:rPr>
                <w:rFonts w:hint="default" w:ascii="Calibri Light" w:hAnsi="Calibri Light" w:eastAsia="Times New Roman" w:cs="Calibri Light"/>
                <w:b/>
                <w:bCs/>
                <w:color w:val="000000"/>
                <w:sz w:val="24"/>
                <w:szCs w:val="24"/>
              </w:rPr>
            </w:pPr>
            <w:r>
              <w:rPr>
                <w:rFonts w:hint="default" w:ascii="Calibri Light" w:hAnsi="Calibri Light" w:eastAsia="Times New Roman" w:cs="Calibri Light"/>
                <w:b/>
                <w:bCs/>
                <w:color w:val="000000"/>
                <w:sz w:val="24"/>
                <w:szCs w:val="24"/>
              </w:rPr>
              <w:t>Researcher Name</w:t>
            </w:r>
          </w:p>
        </w:tc>
        <w:tc>
          <w:tcPr>
            <w:tcW w:w="2808" w:type="dxa"/>
            <w:tcBorders>
              <w:top w:val="single" w:color="auto" w:sz="4" w:space="0"/>
              <w:left w:val="nil"/>
              <w:bottom w:val="single" w:color="auto" w:sz="4" w:space="0"/>
              <w:right w:val="single" w:color="auto" w:sz="4" w:space="0"/>
            </w:tcBorders>
            <w:shd w:val="clear" w:color="auto" w:fill="auto"/>
            <w:vAlign w:val="bottom"/>
          </w:tcPr>
          <w:p w14:paraId="7E0E990E">
            <w:pPr>
              <w:spacing w:after="0" w:line="240" w:lineRule="auto"/>
              <w:jc w:val="center"/>
              <w:rPr>
                <w:rFonts w:hint="default" w:ascii="Calibri Light" w:hAnsi="Calibri Light" w:eastAsia="Times New Roman" w:cs="Calibri Light"/>
                <w:b/>
                <w:bCs/>
                <w:color w:val="000000"/>
                <w:sz w:val="24"/>
                <w:szCs w:val="24"/>
              </w:rPr>
            </w:pPr>
            <w:r>
              <w:rPr>
                <w:rFonts w:hint="default" w:ascii="Calibri Light" w:hAnsi="Calibri Light" w:eastAsia="Times New Roman" w:cs="Calibri Light"/>
                <w:b/>
                <w:bCs/>
                <w:color w:val="000000"/>
                <w:sz w:val="24"/>
                <w:szCs w:val="24"/>
              </w:rPr>
              <w:t>Department Affiliation</w:t>
            </w:r>
          </w:p>
        </w:tc>
        <w:tc>
          <w:tcPr>
            <w:tcW w:w="4159" w:type="dxa"/>
            <w:tcBorders>
              <w:top w:val="single" w:color="auto" w:sz="4" w:space="0"/>
              <w:left w:val="nil"/>
              <w:bottom w:val="single" w:color="auto" w:sz="4" w:space="0"/>
              <w:right w:val="single" w:color="000000" w:sz="8" w:space="0"/>
            </w:tcBorders>
            <w:shd w:val="clear" w:color="auto" w:fill="auto"/>
            <w:vAlign w:val="bottom"/>
          </w:tcPr>
          <w:p w14:paraId="0C0ABEED">
            <w:pPr>
              <w:spacing w:after="0" w:line="240" w:lineRule="auto"/>
              <w:jc w:val="center"/>
              <w:rPr>
                <w:rFonts w:hint="default" w:ascii="Calibri Light" w:hAnsi="Calibri Light" w:eastAsia="Times New Roman" w:cs="Calibri Light"/>
                <w:b/>
                <w:bCs/>
                <w:color w:val="000000"/>
                <w:sz w:val="24"/>
                <w:szCs w:val="24"/>
              </w:rPr>
            </w:pPr>
            <w:r>
              <w:rPr>
                <w:rFonts w:hint="default" w:ascii="Calibri Light" w:hAnsi="Calibri Light" w:eastAsia="Times New Roman" w:cs="Calibri Light"/>
                <w:b/>
                <w:bCs/>
                <w:color w:val="000000"/>
                <w:sz w:val="24"/>
                <w:szCs w:val="24"/>
              </w:rPr>
              <w:t>Contact Information</w:t>
            </w:r>
          </w:p>
        </w:tc>
      </w:tr>
      <w:tr w14:paraId="5D70C61A">
        <w:tblPrEx>
          <w:tblCellMar>
            <w:top w:w="0" w:type="dxa"/>
            <w:left w:w="108" w:type="dxa"/>
            <w:bottom w:w="0" w:type="dxa"/>
            <w:right w:w="108" w:type="dxa"/>
          </w:tblCellMar>
        </w:tblPrEx>
        <w:trPr>
          <w:trHeight w:val="360" w:hRule="atLeast"/>
        </w:trPr>
        <w:tc>
          <w:tcPr>
            <w:tcW w:w="2653" w:type="dxa"/>
            <w:tcBorders>
              <w:top w:val="single" w:color="auto" w:sz="4" w:space="0"/>
              <w:left w:val="single" w:color="auto" w:sz="8" w:space="0"/>
              <w:bottom w:val="single" w:color="auto" w:sz="4" w:space="0"/>
              <w:right w:val="single" w:color="auto" w:sz="4" w:space="0"/>
            </w:tcBorders>
            <w:shd w:val="clear" w:color="auto" w:fill="auto"/>
            <w:vAlign w:val="bottom"/>
          </w:tcPr>
          <w:p w14:paraId="5C34367D">
            <w:pPr>
              <w:spacing w:after="0" w:line="240" w:lineRule="auto"/>
              <w:jc w:val="center"/>
              <w:rPr>
                <w:rFonts w:hint="default" w:ascii="Calibri Light" w:hAnsi="Calibri Light" w:eastAsia="Times New Roman" w:cs="Calibri Light"/>
                <w:b/>
                <w:color w:val="000000"/>
                <w:sz w:val="22"/>
                <w:szCs w:val="22"/>
              </w:rPr>
            </w:pPr>
            <w:r>
              <w:rPr>
                <w:rFonts w:hint="default" w:ascii="Calibri Light" w:hAnsi="Calibri Light" w:eastAsia="Times New Roman" w:cs="Calibri Light"/>
                <w:b/>
                <w:color w:val="000000"/>
                <w:sz w:val="22"/>
                <w:szCs w:val="22"/>
              </w:rPr>
              <w:t>Dr.Ihsan Ullah</w:t>
            </w:r>
          </w:p>
        </w:tc>
        <w:tc>
          <w:tcPr>
            <w:tcW w:w="2808" w:type="dxa"/>
            <w:tcBorders>
              <w:top w:val="single" w:color="auto" w:sz="4" w:space="0"/>
              <w:left w:val="nil"/>
              <w:bottom w:val="single" w:color="auto" w:sz="4" w:space="0"/>
              <w:right w:val="single" w:color="auto" w:sz="4" w:space="0"/>
            </w:tcBorders>
            <w:shd w:val="clear" w:color="auto" w:fill="auto"/>
            <w:vAlign w:val="bottom"/>
          </w:tcPr>
          <w:p w14:paraId="4A0E3C4D">
            <w:pPr>
              <w:spacing w:after="0" w:line="240" w:lineRule="auto"/>
              <w:jc w:val="center"/>
              <w:rPr>
                <w:rFonts w:hint="default" w:ascii="Calibri Light" w:hAnsi="Calibri Light" w:eastAsia="Times New Roman" w:cs="Calibri Light"/>
                <w:b/>
                <w:color w:val="000000"/>
                <w:sz w:val="22"/>
                <w:szCs w:val="22"/>
              </w:rPr>
            </w:pPr>
            <w:r>
              <w:rPr>
                <w:rFonts w:hint="default" w:ascii="Calibri Light" w:hAnsi="Calibri Light" w:eastAsia="Times New Roman" w:cs="Calibri Light"/>
                <w:b/>
                <w:color w:val="000000"/>
                <w:sz w:val="22"/>
                <w:szCs w:val="22"/>
              </w:rPr>
              <w:t>ENT Resident ,KTH</w:t>
            </w:r>
          </w:p>
        </w:tc>
        <w:tc>
          <w:tcPr>
            <w:tcW w:w="4159" w:type="dxa"/>
            <w:tcBorders>
              <w:top w:val="single" w:color="auto" w:sz="4" w:space="0"/>
              <w:left w:val="nil"/>
              <w:bottom w:val="single" w:color="auto" w:sz="4" w:space="0"/>
              <w:right w:val="single" w:color="000000" w:sz="8" w:space="0"/>
            </w:tcBorders>
            <w:shd w:val="clear" w:color="auto" w:fill="auto"/>
            <w:vAlign w:val="bottom"/>
          </w:tcPr>
          <w:p w14:paraId="0EAB99E7">
            <w:pPr>
              <w:spacing w:after="0" w:line="240" w:lineRule="auto"/>
              <w:jc w:val="center"/>
              <w:rPr>
                <w:rFonts w:hint="default" w:ascii="Times New Roman" w:hAnsi="Times New Roman" w:eastAsia="Times New Roman" w:cs="Times New Roman"/>
                <w:color w:val="000000"/>
                <w:sz w:val="22"/>
                <w:szCs w:val="22"/>
              </w:rPr>
            </w:pPr>
            <w:r>
              <w:rPr>
                <w:rFonts w:hint="default" w:ascii="Times New Roman" w:hAnsi="Times New Roman" w:eastAsia="Times New Roman" w:cs="Times New Roman"/>
                <w:color w:val="000000"/>
                <w:sz w:val="22"/>
                <w:szCs w:val="22"/>
                <w:lang w:val="en-US"/>
              </w:rPr>
              <w:t xml:space="preserve">       </w:t>
            </w:r>
            <w:r>
              <w:rPr>
                <w:rFonts w:hint="default" w:ascii="Times New Roman" w:hAnsi="Times New Roman" w:eastAsia="Times New Roman" w:cs="Times New Roman"/>
                <w:color w:val="000000"/>
                <w:sz w:val="22"/>
                <w:szCs w:val="22"/>
              </w:rPr>
              <w:t>doctor5901783@gmail.com </w:t>
            </w:r>
          </w:p>
        </w:tc>
      </w:tr>
      <w:tr w14:paraId="72A7E139">
        <w:tblPrEx>
          <w:tblCellMar>
            <w:top w:w="0" w:type="dxa"/>
            <w:left w:w="108" w:type="dxa"/>
            <w:bottom w:w="0" w:type="dxa"/>
            <w:right w:w="108" w:type="dxa"/>
          </w:tblCellMar>
        </w:tblPrEx>
        <w:trPr>
          <w:trHeight w:val="360" w:hRule="atLeast"/>
        </w:trPr>
        <w:tc>
          <w:tcPr>
            <w:tcW w:w="2653" w:type="dxa"/>
            <w:tcBorders>
              <w:top w:val="single" w:color="auto" w:sz="4" w:space="0"/>
              <w:left w:val="single" w:color="auto" w:sz="8" w:space="0"/>
              <w:bottom w:val="single" w:color="auto" w:sz="4" w:space="0"/>
              <w:right w:val="single" w:color="auto" w:sz="4" w:space="0"/>
            </w:tcBorders>
            <w:shd w:val="clear" w:color="auto" w:fill="auto"/>
            <w:vAlign w:val="bottom"/>
          </w:tcPr>
          <w:p w14:paraId="141EF209">
            <w:pPr>
              <w:spacing w:after="0" w:line="240" w:lineRule="auto"/>
              <w:jc w:val="center"/>
              <w:rPr>
                <w:rFonts w:hint="default" w:ascii="Calibri Light" w:hAnsi="Calibri Light" w:eastAsia="Times New Roman" w:cs="Calibri Light"/>
                <w:b/>
                <w:color w:val="000000"/>
                <w:sz w:val="22"/>
                <w:szCs w:val="22"/>
              </w:rPr>
            </w:pPr>
            <w:r>
              <w:rPr>
                <w:rFonts w:hint="default" w:ascii="Calibri Light" w:hAnsi="Calibri Light" w:eastAsia="Times New Roman" w:cs="Calibri Light"/>
                <w:b/>
                <w:color w:val="000000"/>
                <w:sz w:val="22"/>
                <w:szCs w:val="22"/>
              </w:rPr>
              <w:t>Dr.Shaakir ullah</w:t>
            </w:r>
          </w:p>
        </w:tc>
        <w:tc>
          <w:tcPr>
            <w:tcW w:w="2808" w:type="dxa"/>
            <w:tcBorders>
              <w:top w:val="single" w:color="auto" w:sz="4" w:space="0"/>
              <w:left w:val="nil"/>
              <w:bottom w:val="single" w:color="auto" w:sz="4" w:space="0"/>
              <w:right w:val="single" w:color="auto" w:sz="4" w:space="0"/>
            </w:tcBorders>
            <w:shd w:val="clear" w:color="auto" w:fill="auto"/>
            <w:vAlign w:val="bottom"/>
          </w:tcPr>
          <w:p w14:paraId="17492E9F">
            <w:pPr>
              <w:spacing w:after="0" w:line="240" w:lineRule="auto"/>
              <w:jc w:val="center"/>
              <w:rPr>
                <w:rFonts w:hint="default" w:ascii="Calibri Light" w:hAnsi="Calibri Light" w:eastAsia="Times New Roman" w:cs="Calibri Light"/>
                <w:b/>
                <w:color w:val="000000"/>
                <w:sz w:val="22"/>
                <w:szCs w:val="22"/>
              </w:rPr>
            </w:pPr>
            <w:r>
              <w:rPr>
                <w:rFonts w:hint="default" w:ascii="Calibri Light" w:hAnsi="Calibri Light" w:eastAsia="Times New Roman" w:cs="Calibri Light"/>
                <w:b/>
                <w:color w:val="000000"/>
                <w:sz w:val="22"/>
                <w:szCs w:val="22"/>
              </w:rPr>
              <w:t>ENT Resident ,KTH</w:t>
            </w:r>
          </w:p>
        </w:tc>
        <w:tc>
          <w:tcPr>
            <w:tcW w:w="4159" w:type="dxa"/>
            <w:tcBorders>
              <w:top w:val="single" w:color="auto" w:sz="4" w:space="0"/>
              <w:left w:val="nil"/>
              <w:bottom w:val="single" w:color="auto" w:sz="4" w:space="0"/>
              <w:right w:val="single" w:color="000000" w:sz="8" w:space="0"/>
            </w:tcBorders>
            <w:shd w:val="clear" w:color="auto" w:fill="auto"/>
            <w:vAlign w:val="bottom"/>
          </w:tcPr>
          <w:p w14:paraId="6D90ED9F">
            <w:pPr>
              <w:spacing w:after="0" w:line="240" w:lineRule="auto"/>
              <w:jc w:val="center"/>
              <w:rPr>
                <w:rFonts w:hint="default" w:ascii="Times New Roman" w:hAnsi="Times New Roman" w:eastAsia="Times New Roman" w:cs="Times New Roman"/>
                <w:color w:val="000000"/>
                <w:sz w:val="22"/>
                <w:szCs w:val="22"/>
              </w:rPr>
            </w:pPr>
            <w:r>
              <w:rPr>
                <w:rFonts w:hint="default" w:ascii="Times New Roman" w:hAnsi="Times New Roman" w:eastAsia="Times New Roman" w:cs="Times New Roman"/>
                <w:color w:val="000000"/>
                <w:sz w:val="22"/>
                <w:szCs w:val="22"/>
              </w:rPr>
              <w:t>shaakir192@gmail.com </w:t>
            </w:r>
          </w:p>
        </w:tc>
      </w:tr>
      <w:tr w14:paraId="1718AC0C">
        <w:tblPrEx>
          <w:tblCellMar>
            <w:top w:w="0" w:type="dxa"/>
            <w:left w:w="108" w:type="dxa"/>
            <w:bottom w:w="0" w:type="dxa"/>
            <w:right w:w="108" w:type="dxa"/>
          </w:tblCellMar>
        </w:tblPrEx>
        <w:trPr>
          <w:trHeight w:val="360" w:hRule="atLeast"/>
        </w:trPr>
        <w:tc>
          <w:tcPr>
            <w:tcW w:w="2653" w:type="dxa"/>
            <w:tcBorders>
              <w:top w:val="single" w:color="auto" w:sz="4" w:space="0"/>
              <w:left w:val="single" w:color="auto" w:sz="8" w:space="0"/>
              <w:bottom w:val="single" w:color="auto" w:sz="4" w:space="0"/>
              <w:right w:val="single" w:color="auto" w:sz="4" w:space="0"/>
            </w:tcBorders>
            <w:shd w:val="clear" w:color="auto" w:fill="auto"/>
            <w:vAlign w:val="bottom"/>
          </w:tcPr>
          <w:p w14:paraId="2B438C52">
            <w:pPr>
              <w:spacing w:after="0" w:line="240" w:lineRule="auto"/>
              <w:jc w:val="center"/>
              <w:rPr>
                <w:rFonts w:hint="default" w:ascii="Calibri Light" w:hAnsi="Calibri Light" w:eastAsia="Times New Roman" w:cs="Calibri Light"/>
                <w:b/>
                <w:color w:val="000000"/>
                <w:sz w:val="22"/>
                <w:szCs w:val="22"/>
              </w:rPr>
            </w:pPr>
            <w:r>
              <w:rPr>
                <w:rFonts w:hint="default" w:ascii="Calibri Light" w:hAnsi="Calibri Light" w:eastAsia="Times New Roman" w:cs="Calibri Light"/>
                <w:b/>
                <w:color w:val="000000"/>
                <w:sz w:val="22"/>
                <w:szCs w:val="22"/>
              </w:rPr>
              <w:t>Mr.Yasir Saleem</w:t>
            </w:r>
          </w:p>
        </w:tc>
        <w:tc>
          <w:tcPr>
            <w:tcW w:w="2808" w:type="dxa"/>
            <w:tcBorders>
              <w:top w:val="single" w:color="auto" w:sz="4" w:space="0"/>
              <w:left w:val="nil"/>
              <w:bottom w:val="single" w:color="auto" w:sz="4" w:space="0"/>
              <w:right w:val="single" w:color="auto" w:sz="4" w:space="0"/>
            </w:tcBorders>
            <w:shd w:val="clear" w:color="auto" w:fill="auto"/>
            <w:vAlign w:val="bottom"/>
          </w:tcPr>
          <w:p w14:paraId="64831E27">
            <w:pPr>
              <w:spacing w:after="0" w:line="240" w:lineRule="auto"/>
              <w:jc w:val="center"/>
              <w:rPr>
                <w:rFonts w:hint="default" w:ascii="Calibri Light" w:hAnsi="Calibri Light" w:eastAsia="Times New Roman" w:cs="Calibri Light"/>
                <w:b/>
                <w:color w:val="000000"/>
                <w:sz w:val="22"/>
                <w:szCs w:val="22"/>
              </w:rPr>
            </w:pPr>
            <w:r>
              <w:rPr>
                <w:rFonts w:hint="default" w:ascii="Calibri Light" w:hAnsi="Calibri Light" w:eastAsia="Times New Roman" w:cs="Calibri Light"/>
                <w:b/>
                <w:color w:val="000000"/>
                <w:sz w:val="22"/>
                <w:szCs w:val="22"/>
              </w:rPr>
              <w:t>3rd Year MBBS KMC</w:t>
            </w:r>
          </w:p>
        </w:tc>
        <w:tc>
          <w:tcPr>
            <w:tcW w:w="4159" w:type="dxa"/>
            <w:tcBorders>
              <w:top w:val="single" w:color="auto" w:sz="4" w:space="0"/>
              <w:left w:val="nil"/>
              <w:bottom w:val="single" w:color="auto" w:sz="4" w:space="0"/>
              <w:right w:val="single" w:color="000000" w:sz="8" w:space="0"/>
            </w:tcBorders>
            <w:shd w:val="clear" w:color="auto" w:fill="auto"/>
            <w:vAlign w:val="bottom"/>
          </w:tcPr>
          <w:p w14:paraId="58EDB02E">
            <w:pPr>
              <w:bidi w:val="0"/>
              <w:ind w:firstLine="770" w:firstLineChars="350"/>
              <w:rPr>
                <w:rFonts w:hint="default" w:ascii="Times New Roman" w:hAnsi="Times New Roman" w:eastAsia="Times New Roman" w:cs="Times New Roman"/>
                <w:color w:val="0563C1"/>
                <w:sz w:val="22"/>
                <w:szCs w:val="22"/>
                <w:u w:val="single"/>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"mailto:Khanbj3d@gamil.com"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Khanbj3d@gamil.com</w:t>
            </w:r>
            <w:r>
              <w:rPr>
                <w:rFonts w:hint="default" w:ascii="Times New Roman" w:hAnsi="Times New Roman" w:cs="Times New Roman"/>
                <w:sz w:val="22"/>
                <w:szCs w:val="22"/>
              </w:rPr>
              <w:fldChar w:fldCharType="end"/>
            </w:r>
          </w:p>
        </w:tc>
      </w:tr>
      <w:tr w14:paraId="31A8FDF0">
        <w:tblPrEx>
          <w:tblCellMar>
            <w:top w:w="0" w:type="dxa"/>
            <w:left w:w="108" w:type="dxa"/>
            <w:bottom w:w="0" w:type="dxa"/>
            <w:right w:w="108" w:type="dxa"/>
          </w:tblCellMar>
        </w:tblPrEx>
        <w:trPr>
          <w:trHeight w:val="360" w:hRule="atLeast"/>
        </w:trPr>
        <w:tc>
          <w:tcPr>
            <w:tcW w:w="2653" w:type="dxa"/>
            <w:tcBorders>
              <w:top w:val="single" w:color="auto" w:sz="4" w:space="0"/>
              <w:left w:val="single" w:color="auto" w:sz="8" w:space="0"/>
              <w:bottom w:val="single" w:color="auto" w:sz="4" w:space="0"/>
              <w:right w:val="single" w:color="auto" w:sz="4" w:space="0"/>
            </w:tcBorders>
            <w:shd w:val="clear" w:color="auto" w:fill="auto"/>
            <w:vAlign w:val="bottom"/>
          </w:tcPr>
          <w:p w14:paraId="4582634D">
            <w:pPr>
              <w:spacing w:after="0" w:line="240" w:lineRule="auto"/>
              <w:jc w:val="center"/>
              <w:rPr>
                <w:rFonts w:hint="default" w:ascii="Calibri Light" w:hAnsi="Calibri Light" w:eastAsia="Times New Roman" w:cs="Calibri Light"/>
                <w:b/>
                <w:color w:val="000000"/>
                <w:sz w:val="22"/>
                <w:szCs w:val="22"/>
              </w:rPr>
            </w:pPr>
            <w:r>
              <w:rPr>
                <w:rFonts w:hint="default" w:ascii="Calibri Light" w:hAnsi="Calibri Light" w:eastAsia="Times New Roman" w:cs="Calibri Light"/>
                <w:b/>
                <w:color w:val="000000"/>
                <w:sz w:val="22"/>
                <w:szCs w:val="22"/>
              </w:rPr>
              <w:t>Mr.Imtiaz Ullah</w:t>
            </w:r>
          </w:p>
        </w:tc>
        <w:tc>
          <w:tcPr>
            <w:tcW w:w="2808" w:type="dxa"/>
            <w:tcBorders>
              <w:top w:val="single" w:color="auto" w:sz="4" w:space="0"/>
              <w:left w:val="nil"/>
              <w:bottom w:val="single" w:color="auto" w:sz="4" w:space="0"/>
              <w:right w:val="single" w:color="auto" w:sz="4" w:space="0"/>
            </w:tcBorders>
            <w:shd w:val="clear" w:color="auto" w:fill="auto"/>
            <w:vAlign w:val="bottom"/>
          </w:tcPr>
          <w:p w14:paraId="0D094F9C">
            <w:pPr>
              <w:spacing w:after="0" w:line="240" w:lineRule="auto"/>
              <w:jc w:val="center"/>
              <w:rPr>
                <w:rFonts w:hint="default" w:ascii="Calibri Light" w:hAnsi="Calibri Light" w:eastAsia="Times New Roman" w:cs="Calibri Light"/>
                <w:b/>
                <w:color w:val="000000"/>
                <w:sz w:val="22"/>
                <w:szCs w:val="22"/>
              </w:rPr>
            </w:pPr>
            <w:r>
              <w:rPr>
                <w:rFonts w:hint="default" w:ascii="Calibri Light" w:hAnsi="Calibri Light" w:eastAsia="Times New Roman" w:cs="Calibri Light"/>
                <w:b/>
                <w:color w:val="000000"/>
                <w:sz w:val="22"/>
                <w:szCs w:val="22"/>
              </w:rPr>
              <w:t>3rd Year MBBS KMC</w:t>
            </w:r>
          </w:p>
        </w:tc>
        <w:tc>
          <w:tcPr>
            <w:tcW w:w="4159" w:type="dxa"/>
            <w:tcBorders>
              <w:top w:val="single" w:color="auto" w:sz="4" w:space="0"/>
              <w:left w:val="nil"/>
              <w:bottom w:val="single" w:color="auto" w:sz="4" w:space="0"/>
              <w:right w:val="single" w:color="000000" w:sz="8" w:space="0"/>
            </w:tcBorders>
            <w:shd w:val="clear" w:color="auto" w:fill="auto"/>
            <w:vAlign w:val="bottom"/>
          </w:tcPr>
          <w:p w14:paraId="4627776D">
            <w:pPr>
              <w:spacing w:after="0" w:line="240" w:lineRule="auto"/>
              <w:jc w:val="center"/>
              <w:rPr>
                <w:rFonts w:hint="default" w:ascii="Times New Roman" w:hAnsi="Times New Roman" w:eastAsia="Times New Roman" w:cs="Times New Roman"/>
                <w:color w:val="000000"/>
                <w:sz w:val="22"/>
                <w:szCs w:val="22"/>
              </w:rPr>
            </w:pPr>
            <w:r>
              <w:rPr>
                <w:rFonts w:hint="default" w:ascii="Times New Roman" w:hAnsi="Times New Roman" w:eastAsia="Times New Roman" w:cs="Times New Roman"/>
                <w:color w:val="000000"/>
                <w:sz w:val="22"/>
                <w:szCs w:val="22"/>
                <w:lang w:val="en-US"/>
              </w:rPr>
              <w:t xml:space="preserve">           </w:t>
            </w:r>
            <w:r>
              <w:rPr>
                <w:rFonts w:hint="default" w:ascii="Times New Roman" w:hAnsi="Times New Roman" w:eastAsia="Times New Roman" w:cs="Times New Roman"/>
                <w:color w:val="000000"/>
                <w:sz w:val="22"/>
                <w:szCs w:val="22"/>
              </w:rPr>
              <w:t>imtiazullah45078@gmail.com </w:t>
            </w:r>
          </w:p>
        </w:tc>
      </w:tr>
      <w:tr w14:paraId="6AEE744B">
        <w:tblPrEx>
          <w:tblCellMar>
            <w:top w:w="0" w:type="dxa"/>
            <w:left w:w="108" w:type="dxa"/>
            <w:bottom w:w="0" w:type="dxa"/>
            <w:right w:w="108" w:type="dxa"/>
          </w:tblCellMar>
        </w:tblPrEx>
        <w:trPr>
          <w:trHeight w:val="372" w:hRule="atLeast"/>
        </w:trPr>
        <w:tc>
          <w:tcPr>
            <w:tcW w:w="2653" w:type="dxa"/>
            <w:tcBorders>
              <w:top w:val="single" w:color="auto" w:sz="4" w:space="0"/>
              <w:left w:val="single" w:color="auto" w:sz="8" w:space="0"/>
              <w:bottom w:val="double" w:color="auto" w:sz="6" w:space="0"/>
              <w:right w:val="single" w:color="auto" w:sz="4" w:space="0"/>
            </w:tcBorders>
            <w:shd w:val="clear" w:color="auto" w:fill="auto"/>
            <w:vAlign w:val="bottom"/>
          </w:tcPr>
          <w:p w14:paraId="65EB9B1E">
            <w:pPr>
              <w:spacing w:after="0" w:line="240" w:lineRule="auto"/>
              <w:jc w:val="center"/>
              <w:rPr>
                <w:rFonts w:hint="default" w:ascii="Calibri Light" w:hAnsi="Calibri Light" w:eastAsia="Times New Roman" w:cs="Calibri Light"/>
                <w:b/>
                <w:color w:val="000000"/>
                <w:sz w:val="22"/>
                <w:szCs w:val="22"/>
              </w:rPr>
            </w:pPr>
            <w:r>
              <w:rPr>
                <w:rFonts w:hint="default" w:ascii="Calibri Light" w:hAnsi="Calibri Light" w:eastAsia="Times New Roman" w:cs="Calibri Light"/>
                <w:b/>
                <w:color w:val="000000"/>
                <w:sz w:val="22"/>
                <w:szCs w:val="22"/>
              </w:rPr>
              <w:t>Ms.Malaika Usman</w:t>
            </w:r>
          </w:p>
        </w:tc>
        <w:tc>
          <w:tcPr>
            <w:tcW w:w="2808" w:type="dxa"/>
            <w:tcBorders>
              <w:top w:val="single" w:color="auto" w:sz="4" w:space="0"/>
              <w:left w:val="nil"/>
              <w:bottom w:val="double" w:color="auto" w:sz="6" w:space="0"/>
              <w:right w:val="single" w:color="auto" w:sz="4" w:space="0"/>
            </w:tcBorders>
            <w:shd w:val="clear" w:color="auto" w:fill="auto"/>
            <w:vAlign w:val="bottom"/>
          </w:tcPr>
          <w:p w14:paraId="5BE818F5">
            <w:pPr>
              <w:spacing w:after="0" w:line="240" w:lineRule="auto"/>
              <w:jc w:val="center"/>
              <w:rPr>
                <w:rFonts w:hint="default" w:ascii="Calibri Light" w:hAnsi="Calibri Light" w:eastAsia="Times New Roman" w:cs="Calibri Light"/>
                <w:b/>
                <w:color w:val="000000"/>
                <w:sz w:val="22"/>
                <w:szCs w:val="22"/>
              </w:rPr>
            </w:pPr>
            <w:r>
              <w:rPr>
                <w:rFonts w:hint="default" w:ascii="Calibri Light" w:hAnsi="Calibri Light" w:eastAsia="Times New Roman" w:cs="Calibri Light"/>
                <w:b/>
                <w:color w:val="000000"/>
                <w:sz w:val="22"/>
                <w:szCs w:val="22"/>
              </w:rPr>
              <w:t>3rd Year MBBS KMC</w:t>
            </w:r>
          </w:p>
        </w:tc>
        <w:tc>
          <w:tcPr>
            <w:tcW w:w="4159" w:type="dxa"/>
            <w:tcBorders>
              <w:top w:val="single" w:color="auto" w:sz="4" w:space="0"/>
              <w:left w:val="nil"/>
              <w:bottom w:val="double" w:color="auto" w:sz="6" w:space="0"/>
              <w:right w:val="single" w:color="000000" w:sz="8" w:space="0"/>
            </w:tcBorders>
            <w:shd w:val="clear" w:color="auto" w:fill="auto"/>
            <w:vAlign w:val="bottom"/>
          </w:tcPr>
          <w:p w14:paraId="1C8286E4">
            <w:pPr>
              <w:spacing w:after="0" w:line="240" w:lineRule="auto"/>
              <w:jc w:val="center"/>
              <w:rPr>
                <w:rFonts w:hint="default" w:ascii="Times New Roman" w:hAnsi="Times New Roman" w:eastAsia="Times New Roman" w:cs="Times New Roman"/>
                <w:color w:val="000000"/>
                <w:sz w:val="22"/>
                <w:szCs w:val="22"/>
              </w:rPr>
            </w:pPr>
            <w:r>
              <w:rPr>
                <w:rFonts w:hint="default" w:ascii="Times New Roman" w:hAnsi="Times New Roman" w:eastAsia="Times New Roman" w:cs="Times New Roman"/>
                <w:color w:val="000000"/>
                <w:sz w:val="22"/>
                <w:szCs w:val="22"/>
                <w:lang w:val="en-US"/>
              </w:rPr>
              <w:t xml:space="preserve">         </w:t>
            </w:r>
            <w:r>
              <w:rPr>
                <w:rFonts w:hint="default" w:ascii="Times New Roman" w:hAnsi="Times New Roman" w:eastAsia="Times New Roman" w:cs="Times New Roman"/>
                <w:color w:val="000000"/>
                <w:sz w:val="22"/>
                <w:szCs w:val="22"/>
              </w:rPr>
              <w:t>MalaikaUsmanK@gmail.com </w:t>
            </w:r>
          </w:p>
        </w:tc>
      </w:tr>
    </w:tbl>
    <w:p w14:paraId="64C96876">
      <w:pPr>
        <w:rPr>
          <w:rFonts w:hint="default"/>
          <w:sz w:val="32"/>
          <w:szCs w:val="32"/>
          <w:lang w:val="en-US"/>
        </w:rPr>
      </w:pPr>
    </w:p>
    <w:p w14:paraId="41288F4E">
      <w:pPr>
        <w:spacing w:before="100" w:beforeAutospacing="1" w:after="100" w:afterAutospacing="1" w:line="240" w:lineRule="auto"/>
        <w:ind w:left="220" w:leftChars="100" w:firstLine="0" w:firstLineChars="0"/>
        <w:outlineLvl w:val="2"/>
        <w:rPr>
          <w:rFonts w:hint="default" w:ascii="Times New Roman" w:hAnsi="Times New Roman" w:cs="Times New Roman"/>
          <w:b w:val="0"/>
          <w:bCs/>
          <w:sz w:val="22"/>
          <w:szCs w:val="22"/>
        </w:rPr>
      </w:pPr>
      <w:r>
        <w:rPr>
          <w:rFonts w:hint="default" w:ascii="Times New Roman" w:hAnsi="Times New Roman" w:cs="Times New Roman"/>
          <w:b/>
          <w:sz w:val="22"/>
          <w:szCs w:val="22"/>
          <w:u w:val="none"/>
        </w:rPr>
        <w:t>INTRODUCTION:</w:t>
      </w:r>
      <w:r>
        <w:rPr>
          <w:b/>
          <w:sz w:val="40"/>
          <w:szCs w:val="40"/>
        </w:rPr>
        <w:br w:type="textWrapping"/>
      </w:r>
      <w:r>
        <w:rPr>
          <w:rFonts w:hint="default" w:ascii="Times New Roman" w:hAnsi="Times New Roman" w:cs="Times New Roman"/>
          <w:b w:val="0"/>
          <w:bCs/>
          <w:sz w:val="22"/>
          <w:szCs w:val="22"/>
        </w:rPr>
        <w:t>Neck swellings, especially those involving the thyroid gland, are a common clinical concern. The diagnosis of thyroid nodules, which are abnormal tissue growths in the thyroid gland, affects a significant portion of the population, with prevalence estimates of 4–5% in adults and up to 40% in individuals over the age of 60.</w:t>
      </w:r>
      <w:r>
        <w:rPr>
          <w:rFonts w:hint="default" w:ascii="Times New Roman" w:hAnsi="Times New Roman" w:cs="Times New Roman"/>
          <w:b w:val="0"/>
          <w:bCs/>
          <w:sz w:val="24"/>
          <w:szCs w:val="24"/>
        </w:rPr>
        <w:t>¹</w:t>
      </w:r>
      <w:r>
        <w:rPr>
          <w:rFonts w:hint="default" w:ascii="Times New Roman" w:hAnsi="Times New Roman" w:cs="Times New Roman"/>
          <w:b w:val="0"/>
          <w:bCs/>
          <w:sz w:val="22"/>
          <w:szCs w:val="22"/>
        </w:rPr>
        <w:t xml:space="preserve"> Accurate diagnosis is crucial in distinguishing benign conditions from malignant ones, as inappropriate treatment may lead to unnecessary surgeries or delayed interventions for malignancies. Ultrasonography (US) is a non-invasive, widely used imaging technique that plays a key role in evaluating thyroid nodules. The Thyroid Imaging Reporting and Data System (TI-RADS) is the standard classification system for thyroid nodules based on ultrasound findings. TI-RADS has been shown to have a sensitivity of 79% and a specificity of 71%</w:t>
      </w:r>
      <w:r>
        <w:rPr>
          <w:rFonts w:hint="default" w:ascii="Times New Roman" w:hAnsi="Times New Roman" w:cs="Times New Roman"/>
          <w:b w:val="0"/>
          <w:bCs/>
          <w:sz w:val="24"/>
          <w:szCs w:val="24"/>
        </w:rPr>
        <w:t>.²</w:t>
      </w:r>
      <w:r>
        <w:rPr>
          <w:rFonts w:hint="default" w:ascii="Times New Roman" w:hAnsi="Times New Roman" w:cs="Times New Roman"/>
          <w:b w:val="0"/>
          <w:bCs/>
          <w:sz w:val="22"/>
          <w:szCs w:val="22"/>
        </w:rPr>
        <w:t xml:space="preserve"> However, the accuracy of ultrasound is often affected by the sensitivity of the equipment and the experience of the operator. Fine-needle aspiration cytology (FNAC) is a widely accepted diagnostic tool that is often recommended for thyroid nodules with suspicious ultrasound findings. FNAC has the advantage of being minimally invasive, yet it has limitations, especially in cases involving small nodules (&lt;1 cm), thyroiditis, or follicular neoplasms.¹ While histopathological biopsy remains the gold standard for definitive diagnosis, it is more invasive and costly. Despite this, histopathology is essential when FNAC results are indeterminate or inconclusive.</w:t>
      </w:r>
      <w:r>
        <w:rPr>
          <w:rFonts w:hint="default" w:ascii="Times New Roman" w:hAnsi="Times New Roman" w:cs="Times New Roman"/>
          <w:b w:val="0"/>
          <w:bCs/>
          <w:sz w:val="24"/>
          <w:szCs w:val="24"/>
        </w:rPr>
        <w:t>³</w:t>
      </w:r>
      <w:r>
        <w:rPr>
          <w:rFonts w:hint="default" w:ascii="Times New Roman" w:hAnsi="Times New Roman" w:cs="Times New Roman"/>
          <w:b w:val="0"/>
          <w:bCs/>
          <w:sz w:val="22"/>
          <w:szCs w:val="22"/>
        </w:rPr>
        <w:t xml:space="preserve"> This research aims to explore the correlation between FNAC, ultrasound thyroid scoring, and histopathological biopsy in the evaluation of neck swellings, focusing on thyroid nodules.</w:t>
      </w:r>
    </w:p>
    <w:p w14:paraId="3F9EFB32">
      <w:pPr>
        <w:spacing w:before="100" w:beforeAutospacing="1" w:after="100" w:afterAutospacing="1" w:line="240" w:lineRule="auto"/>
        <w:ind w:left="220" w:leftChars="100" w:firstLine="0" w:firstLineChars="0"/>
        <w:outlineLvl w:val="2"/>
        <w:rPr>
          <w:rFonts w:ascii="Times New Roman" w:hAnsi="Times New Roman" w:eastAsia="Times New Roman" w:cs="Times New Roman"/>
          <w:sz w:val="22"/>
          <w:szCs w:val="22"/>
        </w:rPr>
      </w:pPr>
    </w:p>
    <w:p w14:paraId="26F2343F">
      <w:pPr>
        <w:spacing w:before="100" w:beforeAutospacing="1" w:after="100" w:afterAutospacing="1" w:line="240" w:lineRule="auto"/>
        <w:ind w:left="220" w:leftChars="100" w:firstLine="0" w:firstLineChars="0"/>
        <w:outlineLvl w:val="2"/>
        <w:rPr>
          <w:rFonts w:ascii="Times New Roman" w:hAnsi="Times New Roman" w:eastAsia="Times New Roman" w:cs="Times New Roman"/>
          <w:sz w:val="22"/>
          <w:szCs w:val="22"/>
        </w:rPr>
      </w:pPr>
    </w:p>
    <w:p w14:paraId="39785599">
      <w:pPr>
        <w:spacing w:before="100" w:beforeAutospacing="1" w:after="100" w:afterAutospacing="1" w:line="240" w:lineRule="auto"/>
        <w:rPr>
          <w:rFonts w:ascii="Times New Roman" w:hAnsi="Times New Roman" w:eastAsia="Times New Roman" w:cs="Times New Roman"/>
          <w:b/>
          <w:sz w:val="22"/>
          <w:szCs w:val="22"/>
        </w:rPr>
      </w:pPr>
      <w:r>
        <w:rPr>
          <w:rFonts w:ascii="Times New Roman" w:hAnsi="Times New Roman" w:eastAsia="Times New Roman" w:cs="Times New Roman"/>
          <w:b/>
          <w:sz w:val="22"/>
          <w:szCs w:val="22"/>
        </w:rPr>
        <w:t>RATIONALE:</w:t>
      </w:r>
    </w:p>
    <w:p w14:paraId="79149220">
      <w:pPr>
        <w:spacing w:before="100" w:beforeAutospacing="1" w:after="100" w:afterAutospacing="1" w:line="240" w:lineRule="auto"/>
        <w:ind w:left="220" w:leftChars="100" w:firstLine="0" w:firstLineChars="0"/>
        <w:outlineLvl w:val="2"/>
        <w:rPr>
          <w:rFonts w:ascii="Times New Roman" w:hAnsi="Times New Roman" w:eastAsia="Times New Roman" w:cs="Times New Roman"/>
          <w:sz w:val="28"/>
          <w:szCs w:val="28"/>
        </w:rPr>
      </w:pPr>
      <w:r>
        <w:rPr>
          <w:rFonts w:hint="default" w:ascii="Times New Roman" w:hAnsi="Times New Roman" w:eastAsia="Times New Roman"/>
          <w:b w:val="0"/>
          <w:bCs/>
          <w:sz w:val="22"/>
          <w:szCs w:val="22"/>
        </w:rPr>
        <w:t xml:space="preserve">This prospective study aims to bridge the knowledge gap by evaluating the correlation between FNAC, Ultrasound Thyroid Scoring and Histopathological Biopsy in diagnosing thyroid swellings. By exploring the concordance between these diagnostic tools, </w:t>
      </w:r>
      <w:r>
        <w:rPr>
          <w:rFonts w:hint="default" w:ascii="Times New Roman" w:hAnsi="Times New Roman" w:eastAsia="Times New Roman"/>
          <w:b w:val="0"/>
          <w:bCs/>
          <w:sz w:val="22"/>
          <w:szCs w:val="22"/>
          <w:lang w:val="en-US"/>
        </w:rPr>
        <w:t>It is</w:t>
      </w:r>
      <w:r>
        <w:rPr>
          <w:rFonts w:hint="default" w:ascii="Times New Roman" w:hAnsi="Times New Roman" w:eastAsia="Times New Roman"/>
          <w:b w:val="0"/>
          <w:bCs/>
          <w:sz w:val="22"/>
          <w:szCs w:val="22"/>
        </w:rPr>
        <w:t xml:space="preserve"> hope</w:t>
      </w:r>
      <w:r>
        <w:rPr>
          <w:rFonts w:hint="default" w:ascii="Times New Roman" w:hAnsi="Times New Roman" w:eastAsia="Times New Roman"/>
          <w:b w:val="0"/>
          <w:bCs/>
          <w:sz w:val="22"/>
          <w:szCs w:val="22"/>
          <w:lang w:val="en-US"/>
        </w:rPr>
        <w:t>d</w:t>
      </w:r>
      <w:r>
        <w:rPr>
          <w:rFonts w:hint="default" w:ascii="Times New Roman" w:hAnsi="Times New Roman" w:eastAsia="Times New Roman"/>
          <w:b w:val="0"/>
          <w:bCs/>
          <w:sz w:val="22"/>
          <w:szCs w:val="22"/>
        </w:rPr>
        <w:t xml:space="preserve"> to enhance diagnostic accuracy</w:t>
      </w:r>
      <w:r>
        <w:rPr>
          <w:rFonts w:hint="default" w:ascii="Times New Roman" w:hAnsi="Times New Roman" w:eastAsia="Times New Roman"/>
          <w:b w:val="0"/>
          <w:bCs/>
          <w:sz w:val="22"/>
          <w:szCs w:val="22"/>
          <w:lang w:val="en-US"/>
        </w:rPr>
        <w:t xml:space="preserve"> and </w:t>
      </w:r>
      <w:r>
        <w:rPr>
          <w:rFonts w:hint="default" w:ascii="Times New Roman" w:hAnsi="Times New Roman" w:eastAsia="Times New Roman"/>
          <w:b w:val="0"/>
          <w:bCs/>
          <w:sz w:val="22"/>
          <w:szCs w:val="22"/>
        </w:rPr>
        <w:t>streamline patient management, affected by thyroid swelling</w:t>
      </w:r>
      <w:r>
        <w:rPr>
          <w:rFonts w:hint="default" w:ascii="Times New Roman" w:hAnsi="Times New Roman" w:eastAsia="Times New Roman"/>
          <w:b w:val="0"/>
          <w:bCs/>
          <w:sz w:val="22"/>
          <w:szCs w:val="22"/>
          <w:lang w:val="en-US"/>
        </w:rPr>
        <w:t>s.</w:t>
      </w:r>
      <w:r>
        <w:rPr>
          <w:rFonts w:hint="default" w:ascii="Times New Roman" w:hAnsi="Times New Roman" w:eastAsia="Times New Roman"/>
          <w:b w:val="0"/>
          <w:bCs/>
          <w:sz w:val="22"/>
          <w:szCs w:val="22"/>
          <w:lang w:val="en-US"/>
        </w:rPr>
        <w:br w:type="textWrapping"/>
      </w:r>
      <w:r>
        <w:rPr>
          <w:rFonts w:hint="default" w:ascii="Times New Roman" w:hAnsi="Times New Roman" w:eastAsia="Times New Roman"/>
          <w:b w:val="0"/>
          <w:bCs/>
          <w:sz w:val="22"/>
          <w:szCs w:val="22"/>
          <w:lang w:val="en-US"/>
        </w:rPr>
        <w:t>Ultimately, this study seeks to illuminate the complex interplay between diagnostic modalities, paving the way for more precise, compassionate, and effective care for patients with thyroid swellings.</w:t>
      </w:r>
      <w:r>
        <w:rPr>
          <w:rFonts w:ascii="Times New Roman" w:hAnsi="Times New Roman" w:eastAsia="Times New Roman" w:cs="Times New Roman"/>
          <w:sz w:val="28"/>
          <w:szCs w:val="28"/>
        </w:rPr>
        <w:br w:type="textWrapping"/>
      </w:r>
    </w:p>
    <w:p w14:paraId="542D6877">
      <w:pPr>
        <w:spacing w:before="100" w:beforeAutospacing="1" w:after="100" w:afterAutospacing="1" w:line="240" w:lineRule="auto"/>
        <w:ind w:left="220" w:leftChars="100" w:firstLine="0" w:firstLineChars="0"/>
        <w:jc w:val="center"/>
        <w:outlineLvl w:val="2"/>
        <w:rPr>
          <w:rFonts w:ascii="Times New Roman" w:hAnsi="Times New Roman" w:eastAsia="Times New Roman" w:cs="Times New Roman"/>
          <w:b/>
          <w:bCs/>
          <w:sz w:val="40"/>
          <w:szCs w:val="40"/>
        </w:rPr>
      </w:pPr>
      <w:r>
        <w:rPr>
          <w:rFonts w:ascii="Times New Roman" w:hAnsi="Times New Roman" w:eastAsia="Times New Roman" w:cs="Times New Roman"/>
          <w:b/>
          <w:bCs/>
          <w:sz w:val="24"/>
          <w:szCs w:val="24"/>
        </w:rPr>
        <w:t>RESEARCH OBJECTIVES:</w:t>
      </w:r>
    </w:p>
    <w:p w14:paraId="62CBD27E">
      <w:pPr>
        <w:spacing w:before="100" w:beforeAutospacing="1" w:after="100" w:afterAutospacing="1" w:line="240" w:lineRule="auto"/>
        <w:outlineLvl w:val="3"/>
        <w:rPr>
          <w:rFonts w:hint="default" w:ascii="Calibri Light" w:hAnsi="Calibri Light" w:eastAsia="Times New Roman" w:cs="Calibri Light"/>
          <w:b/>
          <w:bCs/>
          <w:sz w:val="22"/>
          <w:szCs w:val="22"/>
        </w:rPr>
      </w:pPr>
      <w:r>
        <w:rPr>
          <w:rFonts w:hint="default" w:ascii="Calibri Light" w:hAnsi="Calibri Light" w:eastAsia="Times New Roman" w:cs="Calibri Light"/>
          <w:b/>
          <w:bCs/>
          <w:sz w:val="22"/>
          <w:szCs w:val="22"/>
        </w:rPr>
        <w:t>Primary Objective:</w:t>
      </w:r>
    </w:p>
    <w:p w14:paraId="55B35083">
      <w:pPr>
        <w:spacing w:before="100" w:beforeAutospacing="1" w:after="100" w:afterAutospacing="1" w:line="240" w:lineRule="auto"/>
        <w:rPr>
          <w:rFonts w:ascii="Times New Roman" w:hAnsi="Times New Roman" w:eastAsia="Times New Roman" w:cs="Times New Roman"/>
          <w:sz w:val="28"/>
          <w:szCs w:val="28"/>
        </w:rPr>
      </w:pPr>
      <w:r>
        <w:rPr>
          <w:rFonts w:ascii="Times New Roman" w:hAnsi="Times New Roman" w:eastAsia="Times New Roman" w:cs="Times New Roman"/>
          <w:sz w:val="22"/>
          <w:szCs w:val="22"/>
        </w:rPr>
        <w:t>To assess the correlation between Fine-Needle Aspiration Cytology (FNAC) findings, Ultrasound Thyroid Scoring, and Histopathological Biopsy results in evaluating thyroid-related neck swellings</w:t>
      </w:r>
      <w:r>
        <w:rPr>
          <w:rFonts w:ascii="Times New Roman" w:hAnsi="Times New Roman" w:eastAsia="Times New Roman" w:cs="Times New Roman"/>
          <w:sz w:val="28"/>
          <w:szCs w:val="28"/>
        </w:rPr>
        <w:t>.</w:t>
      </w:r>
    </w:p>
    <w:p w14:paraId="60C30DCA">
      <w:pPr>
        <w:spacing w:before="100" w:beforeAutospacing="1" w:after="100" w:afterAutospacing="1" w:line="240" w:lineRule="auto"/>
        <w:rPr>
          <w:rFonts w:hint="default" w:ascii="Calibri Light" w:hAnsi="Calibri Light" w:eastAsia="Times New Roman" w:cs="Calibri Light"/>
          <w:b/>
          <w:bCs/>
          <w:sz w:val="22"/>
          <w:szCs w:val="22"/>
        </w:rPr>
      </w:pPr>
      <w:r>
        <w:rPr>
          <w:rFonts w:hint="default" w:ascii="Calibri Light" w:hAnsi="Calibri Light" w:eastAsia="Times New Roman" w:cs="Calibri Light"/>
          <w:b/>
          <w:bCs/>
          <w:sz w:val="22"/>
          <w:szCs w:val="22"/>
        </w:rPr>
        <w:t>Secondary Objectives:</w:t>
      </w:r>
    </w:p>
    <w:p w14:paraId="0EF0520C">
      <w:pPr>
        <w:pStyle w:val="18"/>
        <w:numPr>
          <w:ilvl w:val="0"/>
          <w:numId w:val="1"/>
        </w:numPr>
        <w:spacing w:before="100" w:beforeAutospacing="1" w:after="100" w:afterAutospacing="1" w:line="240" w:lineRule="auto"/>
        <w:ind w:left="360" w:leftChars="0" w:firstLineChars="0"/>
        <w:rPr>
          <w:rFonts w:ascii="Times New Roman" w:hAnsi="Times New Roman" w:eastAsia="Times New Roman" w:cs="Times New Roman"/>
          <w:sz w:val="22"/>
          <w:szCs w:val="22"/>
        </w:rPr>
      </w:pPr>
      <w:r>
        <w:rPr>
          <w:rFonts w:ascii="Times New Roman" w:hAnsi="Times New Roman" w:eastAsia="Times New Roman" w:cs="Times New Roman"/>
          <w:sz w:val="22"/>
          <w:szCs w:val="22"/>
        </w:rPr>
        <w:t>To evaluate the diagnostic accuracy of FNAC in detecting malignancies in thyroid swellings.</w:t>
      </w:r>
    </w:p>
    <w:p w14:paraId="0FCC0434">
      <w:pPr>
        <w:pStyle w:val="18"/>
        <w:numPr>
          <w:ilvl w:val="0"/>
          <w:numId w:val="1"/>
        </w:numPr>
        <w:spacing w:before="100" w:beforeAutospacing="1" w:after="100" w:afterAutospacing="1" w:line="240" w:lineRule="auto"/>
        <w:ind w:left="360" w:leftChars="0" w:firstLineChars="0"/>
        <w:rPr>
          <w:rFonts w:ascii="Times New Roman" w:hAnsi="Times New Roman" w:eastAsia="Times New Roman" w:cs="Times New Roman"/>
          <w:sz w:val="28"/>
          <w:szCs w:val="28"/>
        </w:rPr>
      </w:pPr>
      <w:r>
        <w:rPr>
          <w:rFonts w:ascii="Times New Roman" w:hAnsi="Times New Roman" w:eastAsia="Times New Roman" w:cs="Times New Roman"/>
          <w:sz w:val="22"/>
          <w:szCs w:val="22"/>
        </w:rPr>
        <w:t xml:space="preserve">To assess the sensitivity, specificity, positive predictive value (PPV), and negative predictive value (NPV) of FNAC, ultrasound thyroid scoring, and histopathology in diagnosing thyroid-related neck masses. </w:t>
      </w:r>
    </w:p>
    <w:p w14:paraId="52018E02">
      <w:pPr>
        <w:pStyle w:val="18"/>
        <w:numPr>
          <w:ilvl w:val="0"/>
          <w:numId w:val="1"/>
        </w:numPr>
        <w:spacing w:before="100" w:beforeAutospacing="1" w:after="100" w:afterAutospacing="1" w:line="240" w:lineRule="auto"/>
        <w:ind w:left="360" w:leftChars="0" w:firstLineChars="0"/>
        <w:rPr>
          <w:rFonts w:ascii="Times New Roman" w:hAnsi="Times New Roman" w:eastAsia="Times New Roman" w:cs="Times New Roman"/>
          <w:sz w:val="22"/>
          <w:szCs w:val="22"/>
        </w:rPr>
      </w:pPr>
      <w:r>
        <w:rPr>
          <w:rFonts w:ascii="Times New Roman" w:hAnsi="Times New Roman" w:eastAsia="Times New Roman" w:cs="Times New Roman"/>
          <w:sz w:val="22"/>
          <w:szCs w:val="22"/>
        </w:rPr>
        <w:t>To explore the potential role of ultrasound thyroid scoring in improving the pre-operative diagnostic accuracy when combined with FNAC</w:t>
      </w:r>
      <w:r>
        <w:rPr>
          <w:rFonts w:ascii="Times New Roman" w:hAnsi="Times New Roman" w:eastAsia="Times New Roman" w:cs="Times New Roman"/>
          <w:sz w:val="28"/>
          <w:szCs w:val="28"/>
        </w:rPr>
        <w:t>.</w:t>
      </w:r>
      <w:r>
        <w:rPr>
          <w:rFonts w:ascii="Times New Roman" w:hAnsi="Times New Roman" w:eastAsia="Times New Roman" w:cs="Times New Roman"/>
          <w:sz w:val="28"/>
          <w:szCs w:val="28"/>
        </w:rPr>
        <w:br w:type="textWrapping"/>
      </w:r>
    </w:p>
    <w:p w14:paraId="7F56CD90">
      <w:pPr>
        <w:pStyle w:val="18"/>
        <w:numPr>
          <w:ilvl w:val="0"/>
          <w:numId w:val="0"/>
        </w:numPr>
        <w:spacing w:before="100" w:beforeAutospacing="1" w:after="100" w:afterAutospacing="1" w:line="240" w:lineRule="auto"/>
        <w:rPr>
          <w:rFonts w:ascii="Times New Roman" w:hAnsi="Times New Roman" w:eastAsia="Times New Roman" w:cs="Times New Roman"/>
          <w:sz w:val="28"/>
          <w:szCs w:val="28"/>
        </w:rPr>
      </w:pPr>
      <w:r>
        <w:rPr>
          <w:rFonts w:ascii="Times New Roman" w:hAnsi="Times New Roman" w:eastAsia="Times New Roman" w:cs="Times New Roman"/>
          <w:b/>
          <w:sz w:val="22"/>
          <w:szCs w:val="22"/>
        </w:rPr>
        <w:t>RESEARCH QUESTION:</w:t>
      </w:r>
      <w:r>
        <w:rPr>
          <w:rFonts w:ascii="Times New Roman" w:hAnsi="Times New Roman" w:eastAsia="Times New Roman" w:cs="Times New Roman"/>
          <w:b/>
          <w:sz w:val="40"/>
          <w:szCs w:val="40"/>
        </w:rPr>
        <w:br w:type="textWrapping"/>
      </w:r>
      <w:r>
        <w:rPr>
          <w:rFonts w:ascii="Times New Roman" w:hAnsi="Times New Roman" w:eastAsia="Times New Roman" w:cs="Times New Roman"/>
          <w:b/>
          <w:sz w:val="22"/>
          <w:szCs w:val="22"/>
        </w:rPr>
        <w:t xml:space="preserve">  </w:t>
      </w:r>
      <w:r>
        <w:rPr>
          <w:rFonts w:hint="default" w:ascii="Times New Roman" w:hAnsi="Times New Roman" w:cs="Times New Roman"/>
          <w:b w:val="0"/>
          <w:bCs/>
          <w:sz w:val="22"/>
          <w:szCs w:val="22"/>
        </w:rPr>
        <w:t>To what extent does Fine-Needle Aspiration Cytology (FNAC) align with Ultrasound Thyroid Scoring and Histopathological Biopsy in accurately diagnosing thyroid-related neck swellings, and how can combining these methods improve the precision of distinguishing between benign and malignant lesions?</w:t>
      </w:r>
    </w:p>
    <w:p w14:paraId="588C6E23">
      <w:pPr>
        <w:pStyle w:val="15"/>
        <w:jc w:val="center"/>
        <w:rPr>
          <w:sz w:val="22"/>
          <w:szCs w:val="22"/>
        </w:rPr>
      </w:pPr>
      <w:r>
        <w:rPr>
          <w:b/>
          <w:sz w:val="24"/>
          <w:szCs w:val="24"/>
        </w:rPr>
        <w:t>OPERATIONAL DEFINITIONS</w:t>
      </w:r>
      <w:r>
        <w:rPr>
          <w:b/>
          <w:sz w:val="22"/>
          <w:szCs w:val="22"/>
        </w:rPr>
        <w:t>:</w:t>
      </w:r>
    </w:p>
    <w:p w14:paraId="3ECB5BB1">
      <w:pPr>
        <w:numPr>
          <w:ilvl w:val="0"/>
          <w:numId w:val="2"/>
        </w:numPr>
        <w:spacing w:before="100" w:beforeAutospacing="1" w:after="100" w:afterAutospacing="1" w:line="240" w:lineRule="auto"/>
        <w:ind w:left="425" w:leftChars="0" w:hanging="425" w:firstLineChars="0"/>
        <w:outlineLvl w:val="2"/>
        <w:rPr>
          <w:rFonts w:ascii="Times New Roman" w:hAnsi="Times New Roman" w:eastAsia="Times New Roman" w:cs="Times New Roman"/>
          <w:sz w:val="22"/>
          <w:szCs w:val="22"/>
        </w:rPr>
      </w:pPr>
      <w:r>
        <w:rPr>
          <w:rFonts w:hint="default" w:ascii="Cambria" w:hAnsi="Cambria" w:eastAsia="Times New Roman" w:cs="Cambria"/>
          <w:b/>
          <w:bCs/>
          <w:sz w:val="22"/>
          <w:szCs w:val="22"/>
        </w:rPr>
        <w:t>FNAC</w:t>
      </w:r>
      <w:r>
        <w:rPr>
          <w:rFonts w:hint="default" w:ascii="Cambria" w:hAnsi="Cambria" w:eastAsia="Times New Roman" w:cs="Cambria"/>
          <w:b/>
          <w:bCs/>
          <w:sz w:val="22"/>
          <w:szCs w:val="22"/>
          <w:lang w:val="en-US"/>
        </w:rPr>
        <w:t xml:space="preserve"> </w:t>
      </w:r>
      <w:r>
        <w:rPr>
          <w:rFonts w:hint="default" w:ascii="Cambria" w:hAnsi="Cambria" w:eastAsia="Times New Roman" w:cs="Cambria"/>
          <w:b/>
          <w:bCs/>
          <w:sz w:val="22"/>
          <w:szCs w:val="22"/>
        </w:rPr>
        <w:t>:</w:t>
      </w:r>
      <w:r>
        <w:rPr>
          <w:rFonts w:hint="default" w:ascii="Times New Roman" w:hAnsi="Times New Roman" w:eastAsia="Times New Roman" w:cs="Times New Roman"/>
          <w:b/>
          <w:bCs/>
          <w:sz w:val="22"/>
          <w:szCs w:val="22"/>
          <w:lang w:val="en-US"/>
        </w:rPr>
        <w:t xml:space="preserve"> </w:t>
      </w:r>
      <w:r>
        <w:rPr>
          <w:rFonts w:ascii="Times New Roman" w:hAnsi="Times New Roman" w:eastAsia="Times New Roman" w:cs="Times New Roman"/>
          <w:sz w:val="22"/>
          <w:szCs w:val="22"/>
        </w:rPr>
        <w:t>A diagnostic procedure where a thin needle is used to extract cells from a thyroid nodule or neck swelling for microscopic examination to identify benign or malignant conditions.</w:t>
      </w:r>
    </w:p>
    <w:p w14:paraId="225DCB95">
      <w:pPr>
        <w:numPr>
          <w:ilvl w:val="0"/>
          <w:numId w:val="2"/>
        </w:numPr>
        <w:spacing w:before="100" w:beforeAutospacing="1" w:after="100" w:afterAutospacing="1" w:line="240" w:lineRule="auto"/>
        <w:ind w:left="425" w:leftChars="0" w:hanging="425" w:firstLineChars="0"/>
        <w:outlineLvl w:val="2"/>
        <w:rPr>
          <w:rFonts w:ascii="Times New Roman" w:hAnsi="Times New Roman" w:eastAsia="Times New Roman" w:cs="Times New Roman"/>
          <w:sz w:val="22"/>
          <w:szCs w:val="22"/>
        </w:rPr>
      </w:pPr>
      <w:r>
        <w:rPr>
          <w:rFonts w:hint="default" w:ascii="Cambria" w:hAnsi="Cambria" w:eastAsia="Times New Roman" w:cs="Cambria"/>
          <w:b/>
          <w:bCs/>
          <w:sz w:val="22"/>
          <w:szCs w:val="22"/>
        </w:rPr>
        <w:t>Thyroid Ultrasound:</w:t>
      </w:r>
      <w:r>
        <w:rPr>
          <w:rFonts w:hint="default" w:ascii="Calibri Light" w:hAnsi="Calibri Light" w:eastAsia="Times New Roman" w:cs="Calibri Light"/>
          <w:b/>
          <w:bCs/>
          <w:sz w:val="22"/>
          <w:szCs w:val="22"/>
          <w:lang w:val="en-US"/>
        </w:rPr>
        <w:t xml:space="preserve"> </w:t>
      </w:r>
      <w:r>
        <w:rPr>
          <w:rFonts w:ascii="Times New Roman" w:hAnsi="Times New Roman" w:eastAsia="Times New Roman" w:cs="Times New Roman"/>
          <w:sz w:val="22"/>
          <w:szCs w:val="22"/>
        </w:rPr>
        <w:t>A non-invasive imaging technique that uses sound waves to visualize the thyroid gland and assess the characteristics of thyroid nodules, aiding in the evaluation of malignancy risk.</w:t>
      </w:r>
    </w:p>
    <w:p w14:paraId="2D83123E">
      <w:pPr>
        <w:numPr>
          <w:ilvl w:val="0"/>
          <w:numId w:val="2"/>
        </w:numPr>
        <w:spacing w:before="100" w:beforeAutospacing="1" w:after="100" w:afterAutospacing="1" w:line="240" w:lineRule="auto"/>
        <w:ind w:left="425" w:leftChars="0" w:hanging="425" w:firstLineChars="0"/>
        <w:outlineLvl w:val="2"/>
        <w:rPr>
          <w:rFonts w:ascii="Times New Roman" w:hAnsi="Times New Roman" w:eastAsia="Times New Roman" w:cs="Times New Roman"/>
          <w:sz w:val="22"/>
          <w:szCs w:val="22"/>
        </w:rPr>
      </w:pPr>
      <w:r>
        <w:rPr>
          <w:rFonts w:hint="default" w:ascii="Calibri Light" w:hAnsi="Calibri Light" w:eastAsia="Times New Roman" w:cs="Calibri Light"/>
          <w:b/>
          <w:bCs/>
          <w:sz w:val="22"/>
          <w:szCs w:val="22"/>
        </w:rPr>
        <w:t xml:space="preserve"> </w:t>
      </w:r>
      <w:r>
        <w:rPr>
          <w:rFonts w:hint="default" w:ascii="Cambria" w:hAnsi="Cambria" w:eastAsia="Times New Roman" w:cs="Cambria"/>
          <w:b/>
          <w:bCs/>
          <w:sz w:val="22"/>
          <w:szCs w:val="22"/>
        </w:rPr>
        <w:t>Histopathological Biopsy:</w:t>
      </w:r>
      <w:r>
        <w:rPr>
          <w:rFonts w:hint="default" w:ascii="Calibri Light" w:hAnsi="Calibri Light" w:eastAsia="Times New Roman" w:cs="Calibri Light"/>
          <w:b/>
          <w:bCs/>
          <w:sz w:val="22"/>
          <w:szCs w:val="22"/>
          <w:lang w:val="en-US"/>
        </w:rPr>
        <w:t xml:space="preserve"> </w:t>
      </w:r>
      <w:r>
        <w:rPr>
          <w:rFonts w:ascii="Times New Roman" w:hAnsi="Times New Roman" w:eastAsia="Times New Roman" w:cs="Times New Roman"/>
          <w:sz w:val="22"/>
          <w:szCs w:val="22"/>
        </w:rPr>
        <w:t>A procedure where tissue samples from a thyroid nodule or lymph node are surgically obtained and examined under a microscope to provide a definitive diagnosis of malignancy or other pathologies.</w:t>
      </w:r>
    </w:p>
    <w:p w14:paraId="78A18CF2">
      <w:pPr>
        <w:numPr>
          <w:ilvl w:val="0"/>
          <w:numId w:val="1"/>
        </w:numPr>
        <w:spacing w:before="100" w:beforeAutospacing="1" w:after="100" w:afterAutospacing="1" w:line="240" w:lineRule="auto"/>
        <w:ind w:left="360" w:leftChars="0" w:hanging="360" w:firstLineChars="0"/>
        <w:outlineLvl w:val="2"/>
        <w:rPr>
          <w:rFonts w:hint="default"/>
          <w:b/>
          <w:sz w:val="24"/>
          <w:szCs w:val="24"/>
          <w:lang w:val="en-US"/>
        </w:rPr>
      </w:pPr>
      <w:r>
        <w:rPr>
          <w:rFonts w:hint="default" w:ascii="Cambria" w:hAnsi="Cambria" w:cs="Cambria"/>
          <w:b/>
          <w:sz w:val="22"/>
          <w:szCs w:val="22"/>
        </w:rPr>
        <w:t>Sensitivity</w:t>
      </w:r>
      <w:r>
        <w:rPr>
          <w:rFonts w:hint="default" w:ascii="Cambria" w:hAnsi="Cambria" w:cs="Cambria"/>
          <w:b/>
          <w:sz w:val="22"/>
          <w:szCs w:val="22"/>
          <w:lang w:val="en-US"/>
        </w:rPr>
        <w:t>:</w:t>
      </w:r>
      <w:r>
        <w:rPr>
          <w:rFonts w:hint="default"/>
          <w:b/>
          <w:sz w:val="24"/>
          <w:szCs w:val="24"/>
          <w:lang w:val="en-US"/>
        </w:rPr>
        <w:t xml:space="preserve">  </w:t>
      </w:r>
      <w:r>
        <w:rPr>
          <w:rFonts w:hint="default" w:ascii="Times New Roman" w:hAnsi="Times New Roman" w:cs="Times New Roman"/>
          <w:b w:val="0"/>
          <w:bCs/>
          <w:sz w:val="22"/>
          <w:szCs w:val="22"/>
          <w:lang w:val="en-US"/>
        </w:rPr>
        <w:t>Sensitivity is the proportion of true positive results among all actual positives. It measures how well a test detects people who have the disease</w:t>
      </w:r>
      <w:r>
        <w:rPr>
          <w:rFonts w:hint="default"/>
          <w:b/>
          <w:sz w:val="24"/>
          <w:szCs w:val="24"/>
          <w:lang w:val="en-US"/>
        </w:rPr>
        <w:t>.</w:t>
      </w:r>
    </w:p>
    <w:p w14:paraId="70992B2A">
      <w:pPr>
        <w:numPr>
          <w:ilvl w:val="0"/>
          <w:numId w:val="1"/>
        </w:numPr>
        <w:spacing w:before="100" w:beforeAutospacing="1" w:after="100" w:afterAutospacing="1" w:line="240" w:lineRule="auto"/>
        <w:ind w:left="360" w:leftChars="0" w:hanging="360" w:firstLineChars="0"/>
        <w:outlineLvl w:val="2"/>
        <w:rPr>
          <w:rFonts w:hint="default" w:ascii="Times New Roman" w:hAnsi="Times New Roman" w:cs="Times New Roman"/>
          <w:b w:val="0"/>
          <w:bCs/>
          <w:sz w:val="22"/>
          <w:szCs w:val="22"/>
          <w:lang w:val="en-US"/>
        </w:rPr>
      </w:pPr>
      <w:r>
        <w:rPr>
          <w:rFonts w:hint="default" w:ascii="Cambria" w:hAnsi="Cambria" w:cs="Cambria"/>
          <w:b w:val="0"/>
          <w:bCs/>
          <w:sz w:val="22"/>
          <w:szCs w:val="22"/>
        </w:rPr>
        <w:t xml:space="preserve"> </w:t>
      </w:r>
      <w:r>
        <w:rPr>
          <w:rFonts w:hint="default" w:ascii="Cambria" w:hAnsi="Cambria" w:cs="Cambria"/>
          <w:b/>
          <w:bCs w:val="0"/>
          <w:sz w:val="22"/>
          <w:szCs w:val="22"/>
        </w:rPr>
        <w:t>Specificity</w:t>
      </w:r>
      <w:r>
        <w:rPr>
          <w:rFonts w:hint="default" w:ascii="Cambria" w:hAnsi="Cambria" w:cs="Cambria"/>
          <w:b/>
          <w:bCs w:val="0"/>
          <w:sz w:val="22"/>
          <w:szCs w:val="22"/>
          <w:lang w:val="en-US"/>
        </w:rPr>
        <w:t>:</w:t>
      </w:r>
      <w:r>
        <w:rPr>
          <w:rFonts w:hint="default" w:ascii="Calibri Light" w:hAnsi="Calibri Light" w:cs="Calibri Light"/>
          <w:b/>
          <w:bCs w:val="0"/>
          <w:sz w:val="22"/>
          <w:szCs w:val="22"/>
          <w:lang w:val="en-US"/>
        </w:rPr>
        <w:t xml:space="preserve">  </w:t>
      </w:r>
      <w:r>
        <w:rPr>
          <w:rFonts w:hint="default" w:ascii="Times New Roman" w:hAnsi="Times New Roman" w:cs="Times New Roman"/>
          <w:b w:val="0"/>
          <w:bCs/>
          <w:sz w:val="22"/>
          <w:szCs w:val="22"/>
          <w:lang w:val="en-US"/>
        </w:rPr>
        <w:t>Specificity is the proportion of true negative results among all actual negatives. It measures how well a test excludes people who don't have the disease.</w:t>
      </w:r>
    </w:p>
    <w:p w14:paraId="38194841">
      <w:pPr>
        <w:numPr>
          <w:ilvl w:val="0"/>
          <w:numId w:val="1"/>
        </w:numPr>
        <w:spacing w:before="100" w:beforeAutospacing="1" w:after="100" w:afterAutospacing="1" w:line="240" w:lineRule="auto"/>
        <w:ind w:left="360" w:leftChars="0" w:hanging="360" w:firstLineChars="0"/>
        <w:outlineLvl w:val="2"/>
        <w:rPr>
          <w:rFonts w:hint="default" w:ascii="Times New Roman" w:hAnsi="Times New Roman" w:cs="Times New Roman"/>
          <w:b w:val="0"/>
          <w:bCs/>
          <w:sz w:val="22"/>
          <w:szCs w:val="22"/>
          <w:lang w:val="en-US"/>
        </w:rPr>
      </w:pPr>
      <w:r>
        <w:rPr>
          <w:rFonts w:hint="default" w:ascii="Cambria" w:hAnsi="Cambria" w:cs="Cambria"/>
          <w:b w:val="0"/>
          <w:bCs/>
          <w:sz w:val="22"/>
          <w:szCs w:val="22"/>
          <w:lang w:val="en-US"/>
        </w:rPr>
        <w:t xml:space="preserve"> </w:t>
      </w:r>
      <w:r>
        <w:rPr>
          <w:rFonts w:hint="default" w:ascii="Cambria" w:hAnsi="Cambria" w:cs="Cambria"/>
          <w:b/>
          <w:bCs w:val="0"/>
          <w:sz w:val="22"/>
          <w:szCs w:val="22"/>
          <w:lang w:val="en-US"/>
        </w:rPr>
        <w:t>Positive Predictive Value (PPV)</w:t>
      </w:r>
      <w:r>
        <w:rPr>
          <w:rFonts w:hint="default" w:ascii="Calibri Light" w:hAnsi="Calibri Light" w:cs="Calibri Light"/>
          <w:b/>
          <w:bCs w:val="0"/>
          <w:sz w:val="22"/>
          <w:szCs w:val="22"/>
          <w:lang w:val="en-US"/>
        </w:rPr>
        <w:t xml:space="preserve">: </w:t>
      </w:r>
      <w:r>
        <w:rPr>
          <w:rFonts w:hint="default" w:ascii="Times New Roman" w:hAnsi="Times New Roman" w:cs="Times New Roman"/>
          <w:b w:val="0"/>
          <w:bCs/>
          <w:sz w:val="22"/>
          <w:szCs w:val="22"/>
          <w:lang w:val="en-US"/>
        </w:rPr>
        <w:t>PPV is the proportion of true positive results among all positive test results. It indicates the likelihood that a positive test result is accurate.</w:t>
      </w:r>
    </w:p>
    <w:p w14:paraId="73A232A8">
      <w:pPr>
        <w:numPr>
          <w:ilvl w:val="0"/>
          <w:numId w:val="1"/>
        </w:numPr>
        <w:spacing w:before="100" w:beforeAutospacing="1" w:after="100" w:afterAutospacing="1" w:line="240" w:lineRule="auto"/>
        <w:ind w:left="360" w:leftChars="0" w:hanging="360" w:firstLineChars="0"/>
        <w:outlineLvl w:val="2"/>
        <w:rPr>
          <w:rFonts w:hint="default" w:ascii="Times New Roman" w:hAnsi="Times New Roman" w:cs="Times New Roman"/>
          <w:b w:val="0"/>
          <w:bCs/>
          <w:sz w:val="22"/>
          <w:szCs w:val="22"/>
          <w:lang w:val="en-US"/>
        </w:rPr>
      </w:pPr>
      <w:r>
        <w:rPr>
          <w:rFonts w:hint="default" w:ascii="Cambria" w:hAnsi="Cambria" w:cs="Cambria"/>
          <w:b/>
          <w:bCs w:val="0"/>
          <w:sz w:val="22"/>
          <w:szCs w:val="22"/>
          <w:lang w:val="en-US"/>
        </w:rPr>
        <w:t>Negative Predictive Value (NPV)</w:t>
      </w:r>
      <w:r>
        <w:rPr>
          <w:rFonts w:hint="default" w:ascii="Times New Roman" w:hAnsi="Times New Roman" w:cs="Times New Roman"/>
          <w:b w:val="0"/>
          <w:bCs/>
          <w:sz w:val="22"/>
          <w:szCs w:val="22"/>
          <w:lang w:val="en-US"/>
        </w:rPr>
        <w:t>:  NPV is the proportion of true negative results among all negative test results. It indicates the likelihood that a negative test result is accurate.</w:t>
      </w:r>
    </w:p>
    <w:p w14:paraId="651A3BC0">
      <w:pPr>
        <w:numPr>
          <w:ilvl w:val="0"/>
          <w:numId w:val="1"/>
        </w:numPr>
        <w:spacing w:before="100" w:beforeAutospacing="1" w:after="100" w:afterAutospacing="1" w:line="240" w:lineRule="auto"/>
        <w:ind w:left="360" w:leftChars="0" w:hanging="360" w:firstLineChars="0"/>
        <w:outlineLvl w:val="2"/>
        <w:rPr>
          <w:rFonts w:hint="default" w:ascii="Times New Roman" w:hAnsi="Times New Roman" w:cs="Times New Roman"/>
          <w:b w:val="0"/>
          <w:bCs/>
          <w:sz w:val="22"/>
          <w:szCs w:val="22"/>
          <w:lang w:val="en-US"/>
        </w:rPr>
      </w:pPr>
      <w:r>
        <w:rPr>
          <w:rFonts w:hint="default" w:ascii="Cambria" w:hAnsi="Cambria" w:cs="Cambria"/>
          <w:b/>
          <w:bCs w:val="0"/>
          <w:sz w:val="22"/>
          <w:szCs w:val="22"/>
          <w:lang w:val="en-US"/>
        </w:rPr>
        <w:t xml:space="preserve"> False Positive Rate (FPR)</w:t>
      </w:r>
      <w:r>
        <w:rPr>
          <w:rFonts w:hint="default" w:ascii="Cambria" w:hAnsi="Cambria" w:cs="Cambria"/>
          <w:b w:val="0"/>
          <w:bCs/>
          <w:sz w:val="22"/>
          <w:szCs w:val="22"/>
          <w:lang w:val="en-US"/>
        </w:rPr>
        <w:t>:</w:t>
      </w:r>
      <w:r>
        <w:rPr>
          <w:rFonts w:hint="default" w:ascii="Times New Roman" w:hAnsi="Times New Roman" w:cs="Times New Roman"/>
          <w:b w:val="0"/>
          <w:bCs/>
          <w:sz w:val="22"/>
          <w:szCs w:val="22"/>
          <w:lang w:val="en-US"/>
        </w:rPr>
        <w:t xml:space="preserve">  FPR is the proportion of false positive results among all actual negatives. It measures how often the test incorrectly identifies someone as having the disease.</w:t>
      </w:r>
    </w:p>
    <w:p w14:paraId="29973247">
      <w:pPr>
        <w:numPr>
          <w:ilvl w:val="0"/>
          <w:numId w:val="1"/>
        </w:numPr>
        <w:spacing w:before="100" w:beforeAutospacing="1" w:after="100" w:afterAutospacing="1" w:line="240" w:lineRule="auto"/>
        <w:ind w:left="360" w:leftChars="0" w:hanging="360" w:firstLineChars="0"/>
        <w:outlineLvl w:val="2"/>
        <w:rPr>
          <w:rFonts w:hint="default"/>
          <w:b/>
          <w:sz w:val="24"/>
          <w:szCs w:val="24"/>
          <w:lang w:val="en-US"/>
        </w:rPr>
      </w:pPr>
      <w:r>
        <w:rPr>
          <w:rFonts w:hint="default" w:ascii="Times New Roman" w:hAnsi="Times New Roman" w:cs="Times New Roman"/>
          <w:b w:val="0"/>
          <w:bCs/>
          <w:sz w:val="22"/>
          <w:szCs w:val="22"/>
          <w:lang w:val="en-US"/>
        </w:rPr>
        <w:t xml:space="preserve"> </w:t>
      </w:r>
      <w:r>
        <w:rPr>
          <w:rFonts w:hint="default" w:ascii="Cambria" w:hAnsi="Cambria" w:cs="Cambria"/>
          <w:b/>
          <w:bCs w:val="0"/>
          <w:sz w:val="22"/>
          <w:szCs w:val="22"/>
          <w:lang w:val="en-US"/>
        </w:rPr>
        <w:t>False Negative Rate (FNR):</w:t>
      </w:r>
      <w:r>
        <w:rPr>
          <w:rFonts w:hint="default" w:ascii="Calibri Light" w:hAnsi="Calibri Light" w:cs="Calibri Light"/>
          <w:b/>
          <w:bCs w:val="0"/>
          <w:sz w:val="22"/>
          <w:szCs w:val="22"/>
          <w:lang w:val="en-US"/>
        </w:rPr>
        <w:t xml:space="preserve">  </w:t>
      </w:r>
      <w:r>
        <w:rPr>
          <w:rFonts w:hint="default" w:ascii="Times New Roman" w:hAnsi="Times New Roman" w:cs="Times New Roman"/>
          <w:b w:val="0"/>
          <w:bCs/>
          <w:sz w:val="22"/>
          <w:szCs w:val="22"/>
          <w:lang w:val="en-US"/>
        </w:rPr>
        <w:t>FNR is the proportion of false negative results among all actual positives. It measures how often the test fails to detect someone who actually has the disease.</w:t>
      </w:r>
    </w:p>
    <w:p w14:paraId="7C443D62">
      <w:pPr>
        <w:pStyle w:val="15"/>
        <w:bidi w:val="0"/>
        <w:jc w:val="center"/>
        <w:rPr>
          <w:rFonts w:hint="default" w:ascii="Times New Roman" w:hAnsi="Times New Roman" w:eastAsia="Times New Roman" w:cs="Times New Roman"/>
          <w:b/>
          <w:bCs/>
          <w:sz w:val="22"/>
          <w:szCs w:val="22"/>
          <w:lang w:val="en-US"/>
        </w:rPr>
      </w:pPr>
      <w:r>
        <w:rPr>
          <w:rFonts w:hint="default" w:ascii="Times New Roman" w:hAnsi="Times New Roman" w:cs="Times New Roman"/>
          <w:b/>
          <w:sz w:val="24"/>
          <w:szCs w:val="24"/>
          <w:lang w:val="en-US"/>
        </w:rPr>
        <w:t xml:space="preserve">RESEARCH </w:t>
      </w:r>
      <w:r>
        <w:rPr>
          <w:rFonts w:hint="default" w:ascii="Times New Roman" w:hAnsi="Times New Roman" w:eastAsia="Times New Roman" w:cs="Times New Roman"/>
          <w:b/>
          <w:bCs/>
          <w:sz w:val="24"/>
          <w:szCs w:val="24"/>
        </w:rPr>
        <w:t>METHODOLOGY</w:t>
      </w:r>
    </w:p>
    <w:p w14:paraId="04BD5EEF">
      <w:pPr>
        <w:spacing w:before="100" w:beforeAutospacing="1" w:after="100" w:afterAutospacing="1" w:line="240" w:lineRule="auto"/>
        <w:outlineLvl w:val="3"/>
        <w:rPr>
          <w:rFonts w:hint="default" w:ascii="Times New Roman" w:hAnsi="Times New Roman" w:eastAsia="Times New Roman" w:cs="Times New Roman"/>
          <w:sz w:val="22"/>
          <w:szCs w:val="22"/>
          <w:lang w:val="en-US"/>
        </w:rPr>
      </w:pPr>
      <w:r>
        <w:rPr>
          <w:rFonts w:hint="default" w:ascii="Times New Roman" w:hAnsi="Times New Roman" w:eastAsia="Times New Roman" w:cs="Times New Roman"/>
          <w:b/>
          <w:bCs/>
          <w:sz w:val="22"/>
          <w:szCs w:val="22"/>
          <w:u w:val="single"/>
          <w:lang w:val="en-US"/>
        </w:rPr>
        <w:t>S</w:t>
      </w:r>
      <w:r>
        <w:rPr>
          <w:rFonts w:ascii="Times New Roman" w:hAnsi="Times New Roman" w:eastAsia="Times New Roman" w:cs="Times New Roman"/>
          <w:b/>
          <w:bCs/>
          <w:sz w:val="22"/>
          <w:szCs w:val="22"/>
          <w:u w:val="single"/>
        </w:rPr>
        <w:t>tudy Design:</w:t>
      </w:r>
      <w:r>
        <w:rPr>
          <w:rFonts w:ascii="Times New Roman" w:hAnsi="Times New Roman" w:eastAsia="Times New Roman" w:cs="Times New Roman"/>
          <w:b/>
          <w:bCs/>
          <w:sz w:val="36"/>
          <w:szCs w:val="36"/>
        </w:rPr>
        <w:br w:type="textWrapping"/>
      </w:r>
      <w:r>
        <w:rPr>
          <w:rFonts w:ascii="Times New Roman" w:hAnsi="Times New Roman" w:eastAsia="Times New Roman" w:cs="Times New Roman"/>
          <w:sz w:val="22"/>
          <w:szCs w:val="22"/>
        </w:rPr>
        <w:t>This will be a prospective observational study conducted at Khyber Teaching Hospital Peshawar. The study will include patients presenting with thyroid nodules or neck swellings</w:t>
      </w:r>
      <w:r>
        <w:rPr>
          <w:rFonts w:hint="default" w:ascii="Times New Roman" w:hAnsi="Times New Roman" w:eastAsia="Times New Roman" w:cs="Times New Roman"/>
          <w:sz w:val="22"/>
          <w:szCs w:val="22"/>
          <w:lang w:val="en-US"/>
        </w:rPr>
        <w:t>.</w:t>
      </w:r>
    </w:p>
    <w:p w14:paraId="2359C623">
      <w:pPr>
        <w:spacing w:before="100" w:beforeAutospacing="1" w:after="100" w:afterAutospacing="1" w:line="240" w:lineRule="auto"/>
        <w:outlineLvl w:val="3"/>
        <w:rPr>
          <w:rFonts w:ascii="Times New Roman" w:hAnsi="Times New Roman" w:eastAsia="Times New Roman" w:cs="Times New Roman"/>
          <w:sz w:val="22"/>
          <w:szCs w:val="22"/>
        </w:rPr>
      </w:pPr>
      <w:r>
        <w:rPr>
          <w:rFonts w:ascii="Times New Roman" w:hAnsi="Times New Roman" w:eastAsia="Times New Roman" w:cs="Times New Roman"/>
          <w:sz w:val="24"/>
          <w:szCs w:val="24"/>
        </w:rPr>
        <w:t xml:space="preserve"> </w:t>
      </w:r>
      <w:r>
        <w:rPr>
          <w:rFonts w:ascii="Times New Roman" w:hAnsi="Times New Roman" w:eastAsia="Times New Roman" w:cs="Times New Roman"/>
          <w:sz w:val="28"/>
          <w:szCs w:val="28"/>
        </w:rPr>
        <w:br w:type="textWrapping"/>
      </w:r>
      <w:r>
        <w:rPr>
          <w:rFonts w:ascii="Times New Roman" w:hAnsi="Times New Roman" w:eastAsia="Times New Roman" w:cs="Times New Roman"/>
          <w:b/>
          <w:sz w:val="22"/>
          <w:szCs w:val="22"/>
          <w:u w:val="single"/>
        </w:rPr>
        <w:t>Sample Size:</w:t>
      </w:r>
      <w:r>
        <w:rPr>
          <w:rFonts w:ascii="Times New Roman" w:hAnsi="Times New Roman" w:eastAsia="Times New Roman" w:cs="Times New Roman"/>
          <w:b/>
          <w:sz w:val="40"/>
          <w:szCs w:val="40"/>
        </w:rPr>
        <w:br w:type="textWrapping"/>
      </w:r>
      <w:r>
        <w:rPr>
          <w:rFonts w:ascii="Times New Roman" w:hAnsi="Times New Roman" w:eastAsia="Times New Roman" w:cs="Times New Roman"/>
          <w:sz w:val="22"/>
          <w:szCs w:val="22"/>
        </w:rPr>
        <w:t>A sample size of 101 patients will be targeted to achieve statistical power for assessing diagnostic accuracy measures (sensitivity, specificity, PPV, NPV).</w:t>
      </w:r>
    </w:p>
    <w:p w14:paraId="225EB3BE">
      <w:pPr>
        <w:spacing w:before="100" w:beforeAutospacing="1" w:after="100" w:afterAutospacing="1" w:line="240" w:lineRule="auto"/>
        <w:outlineLvl w:val="3"/>
        <w:rPr>
          <w:rFonts w:hint="default" w:ascii="Times New Roman" w:hAnsi="Times New Roman" w:cs="Times New Roman"/>
          <w:b w:val="0"/>
          <w:bCs/>
          <w:iCs/>
          <w:u w:val="none"/>
          <w:lang w:val="en-US"/>
        </w:rPr>
      </w:pPr>
      <w:r>
        <w:rPr>
          <w:rFonts w:hint="default" w:ascii="Times New Roman" w:hAnsi="Times New Roman" w:cs="Times New Roman"/>
          <w:b/>
          <w:iCs/>
          <w:u w:val="single"/>
          <w:lang w:val="en-US"/>
        </w:rPr>
        <w:t>S</w:t>
      </w:r>
      <w:r>
        <w:rPr>
          <w:rFonts w:ascii="Times New Roman" w:hAnsi="Times New Roman" w:cs="Times New Roman"/>
          <w:b/>
          <w:iCs/>
          <w:u w:val="single"/>
        </w:rPr>
        <w:t>tudy design</w:t>
      </w:r>
      <w:r>
        <w:rPr>
          <w:rFonts w:hint="default" w:ascii="Times New Roman" w:hAnsi="Times New Roman" w:cs="Times New Roman"/>
          <w:b/>
          <w:iCs/>
          <w:u w:val="none"/>
          <w:lang w:val="en-US"/>
        </w:rPr>
        <w:t>:</w:t>
      </w:r>
      <w:r>
        <w:rPr>
          <w:rFonts w:hint="default" w:ascii="Times New Roman" w:hAnsi="Times New Roman" w:cs="Times New Roman"/>
          <w:b w:val="0"/>
          <w:bCs/>
          <w:iCs/>
          <w:u w:val="none"/>
          <w:lang w:val="en-US"/>
        </w:rPr>
        <w:t>This is a Prospective Study.</w:t>
      </w:r>
    </w:p>
    <w:p w14:paraId="4F5D9288">
      <w:pPr>
        <w:spacing w:before="100" w:beforeAutospacing="1" w:after="100" w:afterAutospacing="1" w:line="240" w:lineRule="auto"/>
        <w:outlineLvl w:val="3"/>
        <w:rPr>
          <w:rFonts w:ascii="Times New Roman" w:hAnsi="Times New Roman" w:eastAsia="Times New Roman" w:cs="Times New Roman"/>
          <w:b/>
          <w:bCs/>
          <w:sz w:val="22"/>
          <w:szCs w:val="22"/>
        </w:rPr>
      </w:pPr>
      <w:r>
        <w:rPr>
          <w:rFonts w:ascii="Times New Roman" w:hAnsi="Times New Roman" w:eastAsia="Times New Roman" w:cs="Times New Roman"/>
          <w:b/>
          <w:bCs/>
          <w:sz w:val="22"/>
          <w:szCs w:val="22"/>
          <w:u w:val="single"/>
        </w:rPr>
        <w:t>INCLUSION CRITERIA</w:t>
      </w:r>
      <w:r>
        <w:rPr>
          <w:rFonts w:ascii="Times New Roman" w:hAnsi="Times New Roman" w:eastAsia="Times New Roman" w:cs="Times New Roman"/>
          <w:b/>
          <w:bCs/>
          <w:sz w:val="22"/>
          <w:szCs w:val="22"/>
        </w:rPr>
        <w:t>:</w:t>
      </w:r>
    </w:p>
    <w:p w14:paraId="0BE5B928">
      <w:pPr>
        <w:pStyle w:val="18"/>
        <w:numPr>
          <w:ilvl w:val="0"/>
          <w:numId w:val="3"/>
        </w:numPr>
        <w:tabs>
          <w:tab w:val="clear" w:pos="425"/>
        </w:tabs>
        <w:spacing w:before="100" w:beforeAutospacing="1" w:after="100" w:afterAutospacing="1" w:line="240" w:lineRule="auto"/>
        <w:ind w:left="425" w:leftChars="0" w:hanging="425" w:firstLineChars="0"/>
        <w:rPr>
          <w:rFonts w:ascii="Times New Roman" w:hAnsi="Times New Roman" w:eastAsia="Times New Roman" w:cs="Times New Roman"/>
          <w:sz w:val="22"/>
          <w:szCs w:val="22"/>
        </w:rPr>
      </w:pPr>
      <w:r>
        <w:rPr>
          <w:rFonts w:ascii="Times New Roman" w:hAnsi="Times New Roman" w:eastAsia="Times New Roman" w:cs="Times New Roman"/>
          <w:sz w:val="22"/>
          <w:szCs w:val="22"/>
        </w:rPr>
        <w:t>Patients presenting with thyroid-swellings, regardless of age or gender.</w:t>
      </w:r>
    </w:p>
    <w:p w14:paraId="23586C96">
      <w:pPr>
        <w:numPr>
          <w:ilvl w:val="0"/>
          <w:numId w:val="3"/>
        </w:numPr>
        <w:tabs>
          <w:tab w:val="clear" w:pos="425"/>
        </w:tabs>
        <w:spacing w:before="100" w:beforeAutospacing="1" w:after="100" w:afterAutospacing="1" w:line="240" w:lineRule="auto"/>
        <w:ind w:left="425" w:leftChars="0" w:hanging="425" w:firstLineChars="0"/>
        <w:rPr>
          <w:rFonts w:ascii="Times New Roman" w:hAnsi="Times New Roman" w:eastAsia="Times New Roman" w:cs="Times New Roman"/>
          <w:sz w:val="32"/>
          <w:szCs w:val="32"/>
        </w:rPr>
      </w:pPr>
      <w:r>
        <w:rPr>
          <w:rFonts w:ascii="Times New Roman" w:hAnsi="Times New Roman" w:eastAsia="Times New Roman" w:cs="Times New Roman"/>
          <w:sz w:val="22"/>
          <w:szCs w:val="22"/>
        </w:rPr>
        <w:t>Patients willing to provide informed consent for the study.</w:t>
      </w:r>
    </w:p>
    <w:p w14:paraId="10DFBD8A">
      <w:pPr>
        <w:numPr>
          <w:ilvl w:val="0"/>
          <w:numId w:val="3"/>
        </w:numPr>
        <w:tabs>
          <w:tab w:val="clear" w:pos="425"/>
        </w:tabs>
        <w:spacing w:before="100" w:beforeAutospacing="1" w:after="100" w:afterAutospacing="1" w:line="240" w:lineRule="auto"/>
        <w:ind w:left="425" w:leftChars="0" w:hanging="425" w:firstLineChars="0"/>
        <w:rPr>
          <w:rFonts w:ascii="Times New Roman" w:hAnsi="Times New Roman" w:eastAsia="Times New Roman" w:cs="Times New Roman"/>
          <w:sz w:val="32"/>
          <w:szCs w:val="32"/>
        </w:rPr>
      </w:pPr>
      <w:r>
        <w:rPr>
          <w:rFonts w:ascii="Times New Roman" w:hAnsi="Times New Roman" w:eastAsia="Times New Roman" w:cs="Times New Roman"/>
          <w:sz w:val="22"/>
          <w:szCs w:val="22"/>
        </w:rPr>
        <w:t>Patients who undergo FNAC, ultrasound thyroid scoring, and histopathological biopsy as part of their diagnostic workup</w:t>
      </w:r>
    </w:p>
    <w:p w14:paraId="32773711">
      <w:pPr>
        <w:numPr>
          <w:ilvl w:val="0"/>
          <w:numId w:val="0"/>
        </w:numPr>
        <w:spacing w:before="100" w:beforeAutospacing="1" w:after="100" w:afterAutospacing="1" w:line="240" w:lineRule="auto"/>
        <w:ind w:leftChars="0"/>
        <w:jc w:val="both"/>
        <w:rPr>
          <w:rFonts w:ascii="Times New Roman" w:hAnsi="Times New Roman" w:eastAsia="Times New Roman" w:cs="Times New Roman"/>
          <w:sz w:val="22"/>
          <w:szCs w:val="22"/>
          <w:u w:val="single"/>
        </w:rPr>
      </w:pPr>
      <w:r>
        <w:rPr>
          <w:rFonts w:ascii="Times New Roman" w:hAnsi="Times New Roman" w:eastAsia="Times New Roman" w:cs="Times New Roman"/>
          <w:b/>
          <w:bCs/>
          <w:sz w:val="22"/>
          <w:szCs w:val="22"/>
          <w:u w:val="single"/>
        </w:rPr>
        <w:t>EXCLUSION CRITERIA:</w:t>
      </w:r>
    </w:p>
    <w:p w14:paraId="4C2909A5">
      <w:pPr>
        <w:pStyle w:val="18"/>
        <w:numPr>
          <w:ilvl w:val="0"/>
          <w:numId w:val="4"/>
        </w:numPr>
        <w:tabs>
          <w:tab w:val="clear" w:pos="425"/>
        </w:tabs>
        <w:spacing w:before="100" w:beforeAutospacing="1" w:after="100" w:afterAutospacing="1" w:line="240" w:lineRule="auto"/>
        <w:ind w:left="425" w:leftChars="0" w:hanging="425" w:firstLineChars="0"/>
        <w:rPr>
          <w:rFonts w:ascii="Times New Roman" w:hAnsi="Times New Roman" w:eastAsia="Times New Roman" w:cs="Times New Roman"/>
          <w:sz w:val="22"/>
          <w:szCs w:val="22"/>
        </w:rPr>
      </w:pPr>
      <w:r>
        <w:rPr>
          <w:rFonts w:ascii="Times New Roman" w:hAnsi="Times New Roman" w:eastAsia="Times New Roman" w:cs="Times New Roman"/>
          <w:sz w:val="22"/>
          <w:szCs w:val="22"/>
        </w:rPr>
        <w:t>Patients with neck swellings unrelated to thyroid pathology</w:t>
      </w:r>
      <w:r>
        <w:rPr>
          <w:rFonts w:hint="default" w:ascii="Times New Roman" w:hAnsi="Times New Roman" w:eastAsia="Times New Roman" w:cs="Times New Roman"/>
          <w:sz w:val="22"/>
          <w:szCs w:val="22"/>
          <w:lang w:val="en-US"/>
        </w:rPr>
        <w:t xml:space="preserve"> like Thyroglossal Duct cyst and cervical cysts.</w:t>
      </w:r>
    </w:p>
    <w:p w14:paraId="5AFA921D">
      <w:pPr>
        <w:pStyle w:val="18"/>
        <w:numPr>
          <w:ilvl w:val="0"/>
          <w:numId w:val="4"/>
        </w:numPr>
        <w:tabs>
          <w:tab w:val="clear" w:pos="425"/>
        </w:tabs>
        <w:spacing w:before="100" w:beforeAutospacing="1" w:after="100" w:afterAutospacing="1" w:line="240" w:lineRule="auto"/>
        <w:ind w:left="425" w:leftChars="0" w:hanging="425" w:firstLineChars="0"/>
        <w:rPr>
          <w:rFonts w:ascii="Times New Roman" w:hAnsi="Times New Roman" w:eastAsia="Times New Roman" w:cs="Times New Roman"/>
          <w:sz w:val="22"/>
          <w:szCs w:val="22"/>
        </w:rPr>
      </w:pPr>
      <w:r>
        <w:rPr>
          <w:rFonts w:ascii="Times New Roman" w:hAnsi="Times New Roman" w:eastAsia="Times New Roman" w:cs="Times New Roman"/>
          <w:sz w:val="22"/>
          <w:szCs w:val="22"/>
        </w:rPr>
        <w:t>Patients who do not undergo the entire diagnostic workup (FNAC, ultrasound, and biopsy).</w:t>
      </w:r>
    </w:p>
    <w:p w14:paraId="4FDFC912">
      <w:pPr>
        <w:pStyle w:val="18"/>
        <w:numPr>
          <w:ilvl w:val="0"/>
          <w:numId w:val="4"/>
        </w:numPr>
        <w:tabs>
          <w:tab w:val="clear" w:pos="425"/>
        </w:tabs>
        <w:spacing w:before="100" w:beforeAutospacing="1" w:after="100" w:afterAutospacing="1" w:line="240" w:lineRule="auto"/>
        <w:ind w:left="425" w:leftChars="0" w:hanging="425" w:firstLineChars="0"/>
        <w:rPr>
          <w:rFonts w:ascii="Times New Roman" w:hAnsi="Times New Roman" w:eastAsia="Times New Roman" w:cs="Times New Roman"/>
          <w:b/>
          <w:sz w:val="22"/>
          <w:szCs w:val="22"/>
        </w:rPr>
      </w:pPr>
      <w:r>
        <w:rPr>
          <w:rFonts w:ascii="Times New Roman" w:hAnsi="Times New Roman" w:eastAsia="Times New Roman" w:cs="Times New Roman"/>
          <w:sz w:val="22"/>
          <w:szCs w:val="22"/>
        </w:rPr>
        <w:t>Patients who are not willing to participate in the study.</w:t>
      </w:r>
      <w:r>
        <w:rPr>
          <w:rFonts w:ascii="Times New Roman" w:hAnsi="Times New Roman" w:eastAsia="Times New Roman" w:cs="Times New Roman"/>
          <w:sz w:val="22"/>
          <w:szCs w:val="22"/>
        </w:rPr>
        <w:br w:type="textWrapping"/>
      </w:r>
    </w:p>
    <w:p w14:paraId="42867305">
      <w:pPr>
        <w:pStyle w:val="18"/>
        <w:numPr>
          <w:ilvl w:val="0"/>
          <w:numId w:val="0"/>
        </w:numPr>
        <w:spacing w:before="100" w:beforeAutospacing="1" w:after="100" w:afterAutospacing="1" w:line="240" w:lineRule="auto"/>
        <w:ind w:leftChars="0"/>
        <w:rPr>
          <w:rFonts w:ascii="Times New Roman" w:hAnsi="Times New Roman" w:eastAsia="Times New Roman" w:cs="Times New Roman"/>
          <w:sz w:val="22"/>
          <w:szCs w:val="22"/>
        </w:rPr>
      </w:pPr>
    </w:p>
    <w:p w14:paraId="246BB381">
      <w:pPr>
        <w:pStyle w:val="18"/>
        <w:numPr>
          <w:ilvl w:val="0"/>
          <w:numId w:val="0"/>
        </w:numPr>
        <w:spacing w:before="100" w:beforeAutospacing="1" w:after="100" w:afterAutospacing="1" w:line="240" w:lineRule="auto"/>
        <w:ind w:leftChars="0"/>
        <w:jc w:val="center"/>
        <w:rPr>
          <w:rFonts w:ascii="Times New Roman" w:hAnsi="Times New Roman" w:eastAsia="Times New Roman" w:cs="Times New Roman"/>
          <w:b/>
          <w:sz w:val="22"/>
          <w:szCs w:val="22"/>
        </w:rPr>
      </w:pPr>
      <w:r>
        <w:rPr>
          <w:rFonts w:ascii="Times New Roman" w:hAnsi="Times New Roman" w:eastAsia="Times New Roman" w:cs="Times New Roman"/>
          <w:b/>
          <w:sz w:val="22"/>
          <w:szCs w:val="22"/>
        </w:rPr>
        <w:t>DATA COLLECTION:</w:t>
      </w:r>
    </w:p>
    <w:p w14:paraId="74651872">
      <w:pPr>
        <w:numPr>
          <w:ilvl w:val="0"/>
          <w:numId w:val="5"/>
        </w:numPr>
        <w:spacing w:before="100" w:beforeAutospacing="1" w:after="100" w:afterAutospacing="1" w:line="240" w:lineRule="auto"/>
        <w:ind w:left="425" w:leftChars="0" w:hanging="425" w:firstLineChars="0"/>
        <w:rPr>
          <w:rFonts w:ascii="Times New Roman" w:hAnsi="Times New Roman" w:eastAsia="Times New Roman" w:cs="Times New Roman"/>
          <w:sz w:val="22"/>
          <w:szCs w:val="22"/>
        </w:rPr>
      </w:pPr>
      <w:r>
        <w:rPr>
          <w:rFonts w:ascii="Times New Roman" w:hAnsi="Times New Roman" w:eastAsia="Times New Roman" w:cs="Times New Roman"/>
          <w:b/>
          <w:bCs/>
          <w:sz w:val="22"/>
          <w:szCs w:val="22"/>
        </w:rPr>
        <w:t>Ultrasound Evaluation (TI-RADS):</w:t>
      </w:r>
      <w:r>
        <w:rPr>
          <w:rFonts w:ascii="Times New Roman" w:hAnsi="Times New Roman" w:eastAsia="Times New Roman" w:cs="Times New Roman"/>
          <w:sz w:val="32"/>
          <w:szCs w:val="32"/>
        </w:rPr>
        <w:br w:type="textWrapping"/>
      </w:r>
      <w:r>
        <w:rPr>
          <w:rFonts w:ascii="Times New Roman" w:hAnsi="Times New Roman" w:eastAsia="Times New Roman" w:cs="Times New Roman"/>
          <w:sz w:val="22"/>
          <w:szCs w:val="22"/>
        </w:rPr>
        <w:t>All patients will undergo neck ultrasound using high-resolution equipment. The thyroid nodules will be classified according to the TI-RADS system. Each nodule will be assessed based on characteristics such as size, shape, margins, echogenicity, and presence of calcifications.</w:t>
      </w:r>
      <w:r>
        <w:rPr>
          <w:rFonts w:ascii="Times New Roman" w:hAnsi="Times New Roman" w:eastAsia="Times New Roman" w:cs="Times New Roman"/>
          <w:sz w:val="32"/>
          <w:szCs w:val="32"/>
        </w:rPr>
        <w:br w:type="textWrapping"/>
      </w:r>
    </w:p>
    <w:p w14:paraId="60EFF494">
      <w:pPr>
        <w:pStyle w:val="15"/>
        <w:numPr>
          <w:ilvl w:val="0"/>
          <w:numId w:val="5"/>
        </w:numPr>
        <w:ind w:left="425" w:leftChars="0" w:hanging="425" w:firstLineChars="0"/>
        <w:rPr>
          <w:sz w:val="24"/>
          <w:szCs w:val="24"/>
        </w:rPr>
      </w:pPr>
      <w:r>
        <w:rPr>
          <w:b/>
          <w:bCs/>
          <w:sz w:val="22"/>
          <w:szCs w:val="22"/>
        </w:rPr>
        <w:t xml:space="preserve"> Fine-Needle Aspiration Cytology (FNAC):</w:t>
      </w:r>
      <w:r>
        <w:rPr>
          <w:sz w:val="32"/>
          <w:szCs w:val="32"/>
        </w:rPr>
        <w:br w:type="textWrapping"/>
      </w:r>
      <w:r>
        <w:rPr>
          <w:sz w:val="32"/>
          <w:szCs w:val="32"/>
        </w:rPr>
        <w:t xml:space="preserve">       </w:t>
      </w:r>
      <w:r>
        <w:rPr>
          <w:sz w:val="22"/>
          <w:szCs w:val="22"/>
        </w:rPr>
        <w:t>FNAC will be performed on all patients with suspicious nodules.         FNAC results will be categorized using the Bethesda System for Reporting Thyroid Cytopathology (TBSRTC), which classifies nodules into six categories ranging from benign to malignant (Bongiovanni et al., 2012)</w:t>
      </w:r>
      <w:r>
        <w:rPr>
          <w:sz w:val="32"/>
          <w:szCs w:val="32"/>
        </w:rPr>
        <w:t>.</w:t>
      </w:r>
      <w:r>
        <w:rPr>
          <w:sz w:val="32"/>
          <w:szCs w:val="32"/>
        </w:rPr>
        <w:br w:type="textWrapping"/>
      </w:r>
    </w:p>
    <w:p w14:paraId="0B35B7C2">
      <w:pPr>
        <w:numPr>
          <w:ilvl w:val="0"/>
          <w:numId w:val="5"/>
        </w:numPr>
        <w:spacing w:before="100" w:beforeAutospacing="1" w:after="100" w:afterAutospacing="1" w:line="240" w:lineRule="auto"/>
        <w:ind w:left="425" w:leftChars="0" w:hanging="425" w:firstLineChars="0"/>
        <w:rPr>
          <w:rFonts w:ascii="Times New Roman" w:hAnsi="Times New Roman" w:eastAsia="Times New Roman" w:cs="Times New Roman"/>
          <w:sz w:val="32"/>
          <w:szCs w:val="32"/>
        </w:rPr>
      </w:pPr>
      <w:r>
        <w:rPr>
          <w:rFonts w:ascii="Times New Roman" w:hAnsi="Times New Roman" w:eastAsia="Times New Roman" w:cs="Times New Roman"/>
          <w:b/>
          <w:bCs/>
          <w:sz w:val="22"/>
          <w:szCs w:val="22"/>
        </w:rPr>
        <w:t>Histopathological Biopsy:</w:t>
      </w:r>
      <w:r>
        <w:rPr>
          <w:rFonts w:ascii="Times New Roman" w:hAnsi="Times New Roman" w:eastAsia="Times New Roman" w:cs="Times New Roman"/>
          <w:sz w:val="36"/>
          <w:szCs w:val="36"/>
        </w:rPr>
        <w:br w:type="textWrapping"/>
      </w:r>
      <w:r>
        <w:rPr>
          <w:rFonts w:ascii="Times New Roman" w:hAnsi="Times New Roman" w:eastAsia="Times New Roman" w:cs="Times New Roman"/>
          <w:sz w:val="22"/>
          <w:szCs w:val="22"/>
        </w:rPr>
        <w:t>For patients who undergo surgical resection or excision, histopathological biopsy will be performed to confirm the final diagnosis. Results will be compared with FNAC and ultrasound findings</w:t>
      </w:r>
      <w:r>
        <w:rPr>
          <w:rFonts w:ascii="Times New Roman" w:hAnsi="Times New Roman" w:eastAsia="Times New Roman" w:cs="Times New Roman"/>
          <w:sz w:val="32"/>
          <w:szCs w:val="32"/>
        </w:rPr>
        <w:t>.</w:t>
      </w:r>
    </w:p>
    <w:p w14:paraId="5887FB8E">
      <w:pPr>
        <w:pStyle w:val="15"/>
        <w:bidi w:val="0"/>
        <w:jc w:val="center"/>
        <w:rPr>
          <w:rFonts w:ascii="Times New Roman" w:hAnsi="Times New Roman" w:eastAsia="Times New Roman" w:cs="Times New Roman"/>
          <w:b/>
          <w:bCs/>
          <w:sz w:val="40"/>
          <w:szCs w:val="40"/>
        </w:rPr>
      </w:pPr>
      <w:r>
        <w:rPr>
          <w:rFonts w:ascii="Times New Roman" w:hAnsi="Times New Roman" w:eastAsia="Times New Roman" w:cs="Times New Roman"/>
          <w:sz w:val="32"/>
          <w:szCs w:val="32"/>
        </w:rPr>
        <w:br w:type="textWrapping"/>
      </w:r>
      <w:r>
        <w:rPr>
          <w:rFonts w:ascii="Times New Roman" w:hAnsi="Times New Roman" w:eastAsia="Times New Roman" w:cs="Times New Roman"/>
          <w:b/>
          <w:bCs/>
          <w:sz w:val="22"/>
          <w:szCs w:val="22"/>
        </w:rPr>
        <w:t>DATA ANALYSIS:</w:t>
      </w:r>
    </w:p>
    <w:p w14:paraId="1F8A6BBE">
      <w:pPr>
        <w:spacing w:before="100" w:beforeAutospacing="1" w:after="100" w:afterAutospacing="1" w:line="240" w:lineRule="auto"/>
        <w:rPr>
          <w:rFonts w:ascii="Times New Roman" w:hAnsi="Times New Roman" w:eastAsia="Times New Roman" w:cs="Times New Roman"/>
          <w:sz w:val="22"/>
          <w:szCs w:val="22"/>
        </w:rPr>
      </w:pPr>
      <w:r>
        <w:rPr>
          <w:rFonts w:ascii="Times New Roman" w:hAnsi="Times New Roman" w:eastAsia="Times New Roman" w:cs="Times New Roman"/>
          <w:sz w:val="22"/>
          <w:szCs w:val="22"/>
        </w:rPr>
        <w:t>Data will be analyzed using statistical software (SPSS version 25). The following statistical tests will be used:</w:t>
      </w:r>
    </w:p>
    <w:p w14:paraId="39EC299D">
      <w:pPr>
        <w:numPr>
          <w:ilvl w:val="0"/>
          <w:numId w:val="6"/>
        </w:numPr>
        <w:spacing w:before="100" w:beforeAutospacing="1" w:after="100" w:afterAutospacing="1" w:line="240" w:lineRule="auto"/>
        <w:ind w:left="420" w:leftChars="0" w:hanging="420" w:firstLineChars="0"/>
        <w:rPr>
          <w:rFonts w:ascii="Times New Roman" w:hAnsi="Times New Roman" w:eastAsia="Times New Roman" w:cs="Times New Roman"/>
          <w:sz w:val="22"/>
          <w:szCs w:val="22"/>
        </w:rPr>
      </w:pPr>
      <w:r>
        <w:rPr>
          <w:rFonts w:ascii="Times New Roman" w:hAnsi="Times New Roman" w:eastAsia="Times New Roman" w:cs="Times New Roman"/>
          <w:b/>
          <w:bCs/>
          <w:sz w:val="22"/>
          <w:szCs w:val="22"/>
        </w:rPr>
        <w:t>Pearson’s correlation coefficient</w:t>
      </w:r>
      <w:r>
        <w:rPr>
          <w:rFonts w:ascii="Times New Roman" w:hAnsi="Times New Roman" w:eastAsia="Times New Roman" w:cs="Times New Roman"/>
          <w:sz w:val="22"/>
          <w:szCs w:val="22"/>
        </w:rPr>
        <w:t xml:space="preserve"> to evaluate the relationship between ultrasound scoring (TI-RADS) and FNAC results.</w:t>
      </w:r>
    </w:p>
    <w:p w14:paraId="6C60A789">
      <w:pPr>
        <w:numPr>
          <w:ilvl w:val="0"/>
          <w:numId w:val="6"/>
        </w:numPr>
        <w:tabs>
          <w:tab w:val="clear" w:pos="420"/>
        </w:tabs>
        <w:spacing w:before="100" w:beforeAutospacing="1" w:after="100" w:afterAutospacing="1" w:line="240" w:lineRule="auto"/>
        <w:ind w:left="420" w:leftChars="0" w:hanging="420" w:firstLineChars="0"/>
        <w:rPr>
          <w:rFonts w:ascii="Times New Roman" w:hAnsi="Times New Roman" w:eastAsia="Times New Roman" w:cs="Times New Roman"/>
          <w:sz w:val="22"/>
          <w:szCs w:val="22"/>
        </w:rPr>
      </w:pPr>
      <w:r>
        <w:rPr>
          <w:rFonts w:ascii="Times New Roman" w:hAnsi="Times New Roman" w:eastAsia="Times New Roman" w:cs="Times New Roman"/>
          <w:b/>
          <w:bCs/>
          <w:sz w:val="22"/>
          <w:szCs w:val="22"/>
        </w:rPr>
        <w:t>Sensitivity, specificity, positive predictive value (PPV), and negative predictive value (NPV)</w:t>
      </w:r>
      <w:r>
        <w:rPr>
          <w:rFonts w:ascii="Times New Roman" w:hAnsi="Times New Roman" w:eastAsia="Times New Roman" w:cs="Times New Roman"/>
          <w:sz w:val="22"/>
          <w:szCs w:val="22"/>
        </w:rPr>
        <w:t xml:space="preserve"> will be calculated for FNAC, ultrasound, and histopathology.</w:t>
      </w:r>
    </w:p>
    <w:p w14:paraId="4E60CDB8">
      <w:pPr>
        <w:keepNext w:val="0"/>
        <w:keepLines w:val="0"/>
        <w:widowControl/>
        <w:numPr>
          <w:ilvl w:val="0"/>
          <w:numId w:val="6"/>
        </w:numPr>
        <w:suppressLineNumbers w:val="0"/>
        <w:spacing w:before="0" w:beforeAutospacing="1" w:after="0" w:afterAutospacing="1"/>
        <w:ind w:left="420" w:leftChars="0" w:right="0" w:hanging="420" w:firstLineChars="0"/>
        <w:jc w:val="left"/>
        <w:rPr>
          <w:rFonts w:hint="default" w:ascii="Times New Roman" w:hAnsi="Times New Roman" w:eastAsia="Calibri" w:cs="Times New Roman"/>
          <w:b/>
          <w:bCs w:val="0"/>
          <w:iCs/>
          <w:kern w:val="2"/>
          <w:sz w:val="22"/>
          <w:szCs w:val="22"/>
          <w:u w:val="single"/>
        </w:rPr>
      </w:pPr>
      <w:r>
        <w:rPr>
          <w:rFonts w:ascii="Times New Roman" w:hAnsi="Times New Roman" w:eastAsia="Times New Roman" w:cs="Times New Roman"/>
          <w:b/>
          <w:bCs/>
          <w:sz w:val="22"/>
          <w:szCs w:val="22"/>
        </w:rPr>
        <w:t>Kappa statistic</w:t>
      </w:r>
      <w:r>
        <w:rPr>
          <w:rFonts w:ascii="Times New Roman" w:hAnsi="Times New Roman" w:eastAsia="Times New Roman" w:cs="Times New Roman"/>
          <w:sz w:val="22"/>
          <w:szCs w:val="22"/>
        </w:rPr>
        <w:t xml:space="preserve"> will be used to assess the agreement between FNAC and histopathology</w:t>
      </w:r>
      <w:r>
        <w:rPr>
          <w:rFonts w:ascii="Times New Roman" w:hAnsi="Times New Roman" w:eastAsia="Times New Roman" w:cs="Times New Roman"/>
          <w:sz w:val="32"/>
          <w:szCs w:val="32"/>
        </w:rPr>
        <w:t>.</w:t>
      </w:r>
      <w:r>
        <w:rPr>
          <w:rFonts w:ascii="Times New Roman" w:hAnsi="Times New Roman" w:eastAsia="Times New Roman" w:cs="Times New Roman"/>
          <w:sz w:val="32"/>
          <w:szCs w:val="32"/>
        </w:rPr>
        <w:br w:type="textWrapping"/>
      </w:r>
      <w:r>
        <w:rPr>
          <w:rFonts w:ascii="Times New Roman" w:hAnsi="Times New Roman" w:eastAsia="Times New Roman" w:cs="Times New Roman"/>
          <w:sz w:val="22"/>
          <w:szCs w:val="22"/>
        </w:rPr>
        <w:br w:type="textWrapping"/>
      </w:r>
      <w:r>
        <w:rPr>
          <w:rFonts w:hint="default" w:ascii="Times New Roman" w:hAnsi="Times New Roman" w:eastAsia="Times New Roman" w:cs="Times New Roman"/>
          <w:sz w:val="22"/>
          <w:szCs w:val="22"/>
          <w:lang w:val="en-US"/>
        </w:rPr>
        <w:t xml:space="preserve"> </w:t>
      </w:r>
      <w:r>
        <w:rPr>
          <w:rFonts w:hint="default" w:ascii="Times New Roman" w:hAnsi="Times New Roman" w:eastAsia="Calibri" w:cs="Times New Roman"/>
          <w:b/>
          <w:bCs w:val="0"/>
          <w:iCs/>
          <w:kern w:val="2"/>
          <w:sz w:val="22"/>
          <w:szCs w:val="22"/>
          <w:u w:val="single"/>
          <w:lang w:val="en-US" w:eastAsia="zh-CN" w:bidi="ar"/>
        </w:rPr>
        <w:t>ETHICAL ISSUES:</w:t>
      </w:r>
    </w:p>
    <w:p w14:paraId="250ABCDA">
      <w:pPr>
        <w:keepNext w:val="0"/>
        <w:keepLines w:val="0"/>
        <w:widowControl/>
        <w:suppressLineNumbers w:val="0"/>
        <w:spacing w:before="0" w:beforeAutospacing="1" w:after="0" w:afterAutospacing="1"/>
        <w:ind w:left="0" w:right="0"/>
        <w:jc w:val="left"/>
        <w:rPr>
          <w:rFonts w:ascii="Times New Roman" w:hAnsi="Times New Roman" w:eastAsia="Times New Roman" w:cs="Times New Roman"/>
          <w:sz w:val="22"/>
          <w:szCs w:val="22"/>
        </w:rPr>
      </w:pPr>
      <w:r>
        <w:rPr>
          <w:rFonts w:hint="default" w:ascii="Times New Roman" w:hAnsi="Times New Roman" w:eastAsia="Calibri" w:cs="Times New Roman"/>
          <w:iCs/>
          <w:kern w:val="2"/>
          <w:sz w:val="22"/>
          <w:szCs w:val="22"/>
          <w:lang w:val="en-US" w:eastAsia="zh-CN" w:bidi="ar"/>
        </w:rPr>
        <w:t>This study adheres to ethical guidelines concerning participant confidentiality, informed consent, and data protection. Approval from the IREB of KMC/KTH Peshawar will be pursued.</w:t>
      </w:r>
    </w:p>
    <w:p w14:paraId="6553A0B4">
      <w:pPr>
        <w:numPr>
          <w:ilvl w:val="0"/>
          <w:numId w:val="0"/>
        </w:numPr>
        <w:spacing w:before="100" w:beforeAutospacing="1" w:after="100" w:afterAutospacing="1" w:line="240" w:lineRule="auto"/>
        <w:ind w:left="360" w:leftChars="0"/>
        <w:rPr>
          <w:rFonts w:ascii="Times New Roman" w:hAnsi="Times New Roman" w:eastAsia="Times New Roman" w:cs="Times New Roman"/>
          <w:sz w:val="22"/>
          <w:szCs w:val="22"/>
        </w:rPr>
      </w:pPr>
      <w:r>
        <w:rPr>
          <w:rFonts w:ascii="Times New Roman" w:hAnsi="Times New Roman" w:eastAsia="Times New Roman" w:cs="Times New Roman"/>
          <w:sz w:val="32"/>
          <w:szCs w:val="32"/>
        </w:rPr>
        <w:br w:type="textWrapping"/>
      </w:r>
      <w:r>
        <w:rPr>
          <w:rFonts w:ascii="Times New Roman" w:hAnsi="Times New Roman" w:eastAsia="Times New Roman" w:cs="Times New Roman"/>
          <w:b/>
          <w:sz w:val="24"/>
          <w:szCs w:val="24"/>
          <w:u w:val="single"/>
        </w:rPr>
        <w:br w:type="textWrapping"/>
      </w:r>
      <w:r>
        <w:rPr>
          <w:rFonts w:ascii="Times New Roman" w:hAnsi="Times New Roman" w:eastAsia="Times New Roman" w:cs="Times New Roman"/>
          <w:b/>
          <w:bCs/>
          <w:sz w:val="22"/>
          <w:szCs w:val="22"/>
          <w:u w:val="single"/>
        </w:rPr>
        <w:t>EXPECTED OUTCOMES</w:t>
      </w:r>
      <w:r>
        <w:rPr>
          <w:rFonts w:ascii="Times New Roman" w:hAnsi="Times New Roman" w:eastAsia="Times New Roman" w:cs="Times New Roman"/>
          <w:b/>
          <w:bCs/>
          <w:sz w:val="22"/>
          <w:szCs w:val="22"/>
        </w:rPr>
        <w:t>:</w:t>
      </w:r>
    </w:p>
    <w:p w14:paraId="074F8650">
      <w:pPr>
        <w:pStyle w:val="18"/>
        <w:numPr>
          <w:ilvl w:val="0"/>
          <w:numId w:val="6"/>
        </w:numPr>
        <w:ind w:left="420" w:leftChars="0" w:hanging="420" w:firstLineChars="0"/>
        <w:rPr>
          <w:sz w:val="22"/>
          <w:szCs w:val="22"/>
        </w:rPr>
      </w:pPr>
      <w:r>
        <w:rPr>
          <w:rFonts w:hint="default" w:ascii="Calibri Light" w:hAnsi="Calibri Light" w:cs="Calibri Light"/>
          <w:b/>
          <w:bCs/>
          <w:sz w:val="22"/>
          <w:szCs w:val="22"/>
        </w:rPr>
        <w:t>Correlation Analysis:</w:t>
      </w:r>
      <w:r>
        <w:rPr>
          <w:sz w:val="22"/>
          <w:szCs w:val="22"/>
        </w:rPr>
        <w:br w:type="textWrapping"/>
      </w:r>
      <w:r>
        <w:rPr>
          <w:sz w:val="22"/>
          <w:szCs w:val="22"/>
        </w:rPr>
        <w:t>The study expects to find a moderate to strong correlation between ultrasound thyroid scoring and FNAC results, particularly in high-risk TI-RADS categories (TI-RADS 4 and 5). FNAC is expected to show high sensitivity but lower specificity, while histopathology will provide definitive results.</w:t>
      </w:r>
    </w:p>
    <w:p w14:paraId="489E7EE0">
      <w:pPr>
        <w:pStyle w:val="18"/>
        <w:numPr>
          <w:ilvl w:val="0"/>
          <w:numId w:val="6"/>
        </w:numPr>
        <w:ind w:left="420" w:leftChars="0" w:hanging="420" w:firstLineChars="0"/>
        <w:rPr>
          <w:sz w:val="22"/>
          <w:szCs w:val="22"/>
        </w:rPr>
      </w:pPr>
      <w:r>
        <w:rPr>
          <w:rFonts w:hint="default" w:ascii="Calibri Light" w:hAnsi="Calibri Light" w:cs="Calibri Light"/>
          <w:b/>
          <w:bCs/>
          <w:sz w:val="22"/>
          <w:szCs w:val="22"/>
        </w:rPr>
        <w:t>Diagnostic Accuracy:</w:t>
      </w:r>
      <w:r>
        <w:rPr>
          <w:b/>
          <w:bCs/>
          <w:sz w:val="22"/>
          <w:szCs w:val="22"/>
        </w:rPr>
        <w:br w:type="textWrapping"/>
      </w:r>
      <w:r>
        <w:rPr>
          <w:b/>
          <w:bCs/>
          <w:sz w:val="22"/>
          <w:szCs w:val="22"/>
        </w:rPr>
        <w:t xml:space="preserve"> </w:t>
      </w:r>
      <w:r>
        <w:rPr>
          <w:sz w:val="22"/>
          <w:szCs w:val="22"/>
        </w:rPr>
        <w:t>FNAC is anticipated to have a high sensitivity for identifying malignant nodules but may have lower specificity due to indeterminate or atypical cytological results. Ultrasound scoring will assist in guiding FNAC decisions, particularly in determining which nodules should be aspirated.</w:t>
      </w:r>
    </w:p>
    <w:p w14:paraId="4D17D7FF">
      <w:pPr>
        <w:pStyle w:val="18"/>
        <w:numPr>
          <w:ilvl w:val="0"/>
          <w:numId w:val="6"/>
        </w:numPr>
        <w:ind w:left="420" w:leftChars="0" w:hanging="420" w:firstLineChars="0"/>
        <w:rPr>
          <w:rFonts w:eastAsiaTheme="majorEastAsia"/>
          <w:sz w:val="22"/>
          <w:szCs w:val="22"/>
        </w:rPr>
      </w:pPr>
      <w:r>
        <w:rPr>
          <w:rFonts w:hint="default" w:ascii="Calibri Light" w:hAnsi="Calibri Light" w:cs="Calibri Light"/>
          <w:b/>
          <w:sz w:val="22"/>
          <w:szCs w:val="22"/>
        </w:rPr>
        <w:t>Limitations:</w:t>
      </w:r>
      <w:r>
        <w:rPr>
          <w:sz w:val="22"/>
          <w:szCs w:val="22"/>
        </w:rPr>
        <w:br w:type="textWrapping"/>
      </w:r>
      <w:r>
        <w:rPr>
          <w:sz w:val="22"/>
          <w:szCs w:val="22"/>
        </w:rPr>
        <w:t>FNAC may be less effective in diagnosing small nodules (&lt;1 cm), follicular neoplasms, and thyroiditis. The study will examine how these limitations influence diagnostic outcomes.</w:t>
      </w:r>
      <w:r>
        <w:rPr>
          <w:sz w:val="22"/>
          <w:szCs w:val="22"/>
        </w:rPr>
        <w:br w:type="textWrapping"/>
      </w:r>
      <w:r>
        <w:rPr>
          <w:sz w:val="22"/>
          <w:szCs w:val="22"/>
        </w:rPr>
        <w:br w:type="textWrapping"/>
      </w:r>
      <w:r>
        <w:rPr>
          <w:sz w:val="22"/>
          <w:szCs w:val="22"/>
        </w:rPr>
        <w:br w:type="textWrapping"/>
      </w:r>
      <w:r>
        <w:rPr>
          <w:rFonts w:hint="default" w:ascii="Times New Roman" w:hAnsi="Times New Roman" w:cs="Times New Roman" w:eastAsiaTheme="majorEastAsia"/>
          <w:b/>
          <w:sz w:val="22"/>
          <w:szCs w:val="22"/>
        </w:rPr>
        <w:br w:type="textWrapping"/>
      </w:r>
      <w:r>
        <w:rPr>
          <w:rFonts w:hint="default" w:ascii="Times New Roman" w:hAnsi="Times New Roman" w:cs="Times New Roman" w:eastAsiaTheme="majorEastAsia"/>
          <w:b/>
          <w:sz w:val="22"/>
          <w:szCs w:val="22"/>
          <w:u w:val="single"/>
          <w:lang w:val="en-US"/>
        </w:rPr>
        <w:t>GRANT CHART:</w:t>
      </w:r>
      <w:r>
        <w:rPr>
          <w:rFonts w:eastAsiaTheme="majorEastAsia"/>
          <w:b/>
          <w:sz w:val="22"/>
          <w:szCs w:val="22"/>
        </w:rPr>
        <w:br w:type="textWrapping"/>
      </w:r>
    </w:p>
    <w:tbl>
      <w:tblPr>
        <w:tblStyle w:val="17"/>
        <w:tblW w:w="96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36"/>
        <w:gridCol w:w="1534"/>
        <w:gridCol w:w="1534"/>
        <w:gridCol w:w="1354"/>
        <w:gridCol w:w="1263"/>
        <w:gridCol w:w="1282"/>
      </w:tblGrid>
      <w:tr w14:paraId="05417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2636" w:type="dxa"/>
            <w:tcBorders>
              <w:top w:val="single" w:color="auto" w:sz="4" w:space="0"/>
              <w:left w:val="single" w:color="auto" w:sz="4" w:space="0"/>
              <w:bottom w:val="single" w:color="auto" w:sz="4" w:space="0"/>
              <w:right w:val="single" w:color="auto" w:sz="4" w:space="0"/>
            </w:tcBorders>
            <w:vAlign w:val="center"/>
          </w:tcPr>
          <w:p w14:paraId="57C1B1CB">
            <w:pPr>
              <w:pStyle w:val="18"/>
              <w:numPr>
                <w:ilvl w:val="0"/>
                <w:numId w:val="7"/>
              </w:numPr>
              <w:spacing w:after="0" w:line="360" w:lineRule="auto"/>
              <w:jc w:val="center"/>
              <w:rPr>
                <w:rFonts w:ascii="Times New Roman" w:hAnsi="Times New Roman" w:eastAsia="Calibri" w:cs="Times New Roman"/>
                <w:b/>
                <w:sz w:val="22"/>
                <w:szCs w:val="22"/>
              </w:rPr>
            </w:pPr>
            <w:r>
              <w:rPr>
                <w:rFonts w:ascii="Times New Roman" w:hAnsi="Times New Roman" w:eastAsia="Calibri" w:cs="Times New Roman"/>
                <w:b/>
                <w:sz w:val="22"/>
                <w:szCs w:val="22"/>
              </w:rPr>
              <w:t>Activities</w:t>
            </w:r>
          </w:p>
        </w:tc>
        <w:tc>
          <w:tcPr>
            <w:tcW w:w="1534" w:type="dxa"/>
            <w:tcBorders>
              <w:top w:val="single" w:color="auto" w:sz="4" w:space="0"/>
              <w:left w:val="single" w:color="auto" w:sz="4" w:space="0"/>
              <w:bottom w:val="single" w:color="auto" w:sz="4" w:space="0"/>
              <w:right w:val="single" w:color="auto" w:sz="4" w:space="0"/>
            </w:tcBorders>
            <w:vAlign w:val="center"/>
          </w:tcPr>
          <w:p w14:paraId="7044DEBE">
            <w:pPr>
              <w:spacing w:after="0" w:line="360" w:lineRule="auto"/>
              <w:jc w:val="center"/>
              <w:rPr>
                <w:rFonts w:ascii="Times New Roman" w:hAnsi="Times New Roman" w:eastAsia="Calibri" w:cs="Times New Roman"/>
                <w:sz w:val="22"/>
                <w:szCs w:val="22"/>
              </w:rPr>
            </w:pPr>
            <w:r>
              <w:rPr>
                <w:rFonts w:ascii="Times New Roman" w:hAnsi="Times New Roman" w:eastAsia="Calibri" w:cs="Times New Roman"/>
                <w:b/>
                <w:sz w:val="22"/>
                <w:szCs w:val="22"/>
              </w:rPr>
              <w:t>Mid-Feb 2025</w:t>
            </w:r>
          </w:p>
        </w:tc>
        <w:tc>
          <w:tcPr>
            <w:tcW w:w="1534" w:type="dxa"/>
            <w:tcBorders>
              <w:top w:val="single" w:color="auto" w:sz="4" w:space="0"/>
              <w:left w:val="single" w:color="auto" w:sz="4" w:space="0"/>
              <w:bottom w:val="single" w:color="auto" w:sz="4" w:space="0"/>
              <w:right w:val="single" w:color="auto" w:sz="4" w:space="0"/>
            </w:tcBorders>
            <w:vAlign w:val="center"/>
          </w:tcPr>
          <w:p w14:paraId="2531AAC6">
            <w:pPr>
              <w:spacing w:after="0" w:line="360" w:lineRule="auto"/>
              <w:jc w:val="center"/>
              <w:rPr>
                <w:rFonts w:ascii="Times New Roman" w:hAnsi="Times New Roman" w:eastAsia="Calibri" w:cs="Times New Roman"/>
                <w:b/>
                <w:sz w:val="22"/>
                <w:szCs w:val="22"/>
              </w:rPr>
            </w:pPr>
            <w:r>
              <w:rPr>
                <w:rFonts w:ascii="Times New Roman" w:hAnsi="Times New Roman" w:eastAsia="Calibri" w:cs="Times New Roman"/>
                <w:b/>
                <w:sz w:val="22"/>
                <w:szCs w:val="22"/>
              </w:rPr>
              <w:t>March-May 2025</w:t>
            </w:r>
          </w:p>
        </w:tc>
        <w:tc>
          <w:tcPr>
            <w:tcW w:w="1354" w:type="dxa"/>
            <w:tcBorders>
              <w:top w:val="single" w:color="auto" w:sz="4" w:space="0"/>
              <w:left w:val="single" w:color="auto" w:sz="4" w:space="0"/>
              <w:bottom w:val="single" w:color="auto" w:sz="4" w:space="0"/>
              <w:right w:val="single" w:color="auto" w:sz="4" w:space="0"/>
            </w:tcBorders>
            <w:vAlign w:val="center"/>
          </w:tcPr>
          <w:p w14:paraId="2A5021B3">
            <w:pPr>
              <w:spacing w:after="0" w:line="360" w:lineRule="auto"/>
              <w:jc w:val="center"/>
              <w:rPr>
                <w:rFonts w:ascii="Times New Roman" w:hAnsi="Times New Roman" w:eastAsia="Calibri" w:cs="Times New Roman"/>
                <w:b/>
                <w:sz w:val="22"/>
                <w:szCs w:val="22"/>
              </w:rPr>
            </w:pPr>
            <w:r>
              <w:rPr>
                <w:rFonts w:ascii="Times New Roman" w:hAnsi="Times New Roman" w:eastAsia="Calibri" w:cs="Times New Roman"/>
                <w:b/>
                <w:sz w:val="22"/>
                <w:szCs w:val="22"/>
              </w:rPr>
              <w:t>May- June 2025</w:t>
            </w:r>
          </w:p>
        </w:tc>
        <w:tc>
          <w:tcPr>
            <w:tcW w:w="1263" w:type="dxa"/>
            <w:tcBorders>
              <w:top w:val="single" w:color="auto" w:sz="4" w:space="0"/>
              <w:left w:val="single" w:color="auto" w:sz="4" w:space="0"/>
              <w:bottom w:val="single" w:color="auto" w:sz="4" w:space="0"/>
              <w:right w:val="single" w:color="auto" w:sz="4" w:space="0"/>
            </w:tcBorders>
            <w:vAlign w:val="center"/>
          </w:tcPr>
          <w:p w14:paraId="02103E71">
            <w:pPr>
              <w:spacing w:after="0" w:line="360" w:lineRule="auto"/>
              <w:rPr>
                <w:rFonts w:ascii="Times New Roman" w:hAnsi="Times New Roman" w:eastAsia="Calibri" w:cs="Times New Roman"/>
                <w:b/>
                <w:sz w:val="22"/>
                <w:szCs w:val="22"/>
              </w:rPr>
            </w:pPr>
            <w:r>
              <w:rPr>
                <w:rFonts w:ascii="Times New Roman" w:hAnsi="Times New Roman" w:eastAsia="Calibri" w:cs="Times New Roman"/>
                <w:b/>
                <w:sz w:val="22"/>
                <w:szCs w:val="22"/>
              </w:rPr>
              <w:t xml:space="preserve"> June 2025</w:t>
            </w:r>
          </w:p>
        </w:tc>
        <w:tc>
          <w:tcPr>
            <w:tcW w:w="1282" w:type="dxa"/>
            <w:tcBorders>
              <w:top w:val="single" w:color="auto" w:sz="4" w:space="0"/>
              <w:left w:val="single" w:color="auto" w:sz="4" w:space="0"/>
              <w:bottom w:val="single" w:color="auto" w:sz="4" w:space="0"/>
              <w:right w:val="single" w:color="auto" w:sz="4" w:space="0"/>
            </w:tcBorders>
            <w:vAlign w:val="center"/>
          </w:tcPr>
          <w:p w14:paraId="381FF03A">
            <w:pPr>
              <w:spacing w:after="0" w:line="360" w:lineRule="auto"/>
              <w:jc w:val="center"/>
              <w:rPr>
                <w:rFonts w:ascii="Times New Roman" w:hAnsi="Times New Roman" w:eastAsia="Calibri" w:cs="Times New Roman"/>
                <w:b/>
                <w:sz w:val="22"/>
                <w:szCs w:val="22"/>
              </w:rPr>
            </w:pPr>
            <w:r>
              <w:rPr>
                <w:rFonts w:ascii="Times New Roman" w:hAnsi="Times New Roman" w:eastAsia="Calibri" w:cs="Times New Roman"/>
                <w:b/>
                <w:sz w:val="22"/>
                <w:szCs w:val="22"/>
              </w:rPr>
              <w:t>July 2025</w:t>
            </w:r>
          </w:p>
        </w:tc>
      </w:tr>
      <w:tr w14:paraId="77A94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2636" w:type="dxa"/>
            <w:tcBorders>
              <w:top w:val="single" w:color="auto" w:sz="4" w:space="0"/>
              <w:left w:val="single" w:color="auto" w:sz="4" w:space="0"/>
              <w:bottom w:val="single" w:color="auto" w:sz="4" w:space="0"/>
              <w:right w:val="single" w:color="auto" w:sz="4" w:space="0"/>
            </w:tcBorders>
            <w:vAlign w:val="center"/>
          </w:tcPr>
          <w:p w14:paraId="187BE77B">
            <w:pPr>
              <w:spacing w:after="0" w:line="360" w:lineRule="auto"/>
              <w:jc w:val="center"/>
              <w:rPr>
                <w:rFonts w:ascii="Times New Roman" w:hAnsi="Times New Roman" w:eastAsia="Calibri" w:cs="Times New Roman"/>
                <w:b/>
                <w:sz w:val="22"/>
                <w:szCs w:val="22"/>
              </w:rPr>
            </w:pPr>
            <w:r>
              <w:rPr>
                <w:rFonts w:ascii="Times New Roman" w:hAnsi="Times New Roman" w:eastAsia="Calibri" w:cs="Times New Roman"/>
                <w:b/>
                <w:sz w:val="22"/>
                <w:szCs w:val="22"/>
              </w:rPr>
              <w:t>Proposal development, approval and ethical clearance</w:t>
            </w:r>
          </w:p>
        </w:tc>
        <w:tc>
          <w:tcPr>
            <w:tcW w:w="1534" w:type="dxa"/>
            <w:tcBorders>
              <w:top w:val="single" w:color="auto" w:sz="4" w:space="0"/>
              <w:left w:val="single" w:color="auto" w:sz="4" w:space="0"/>
              <w:bottom w:val="single" w:color="auto" w:sz="4" w:space="0"/>
              <w:right w:val="single" w:color="auto" w:sz="4" w:space="0"/>
            </w:tcBorders>
            <w:shd w:val="clear" w:color="auto" w:fill="F79646"/>
            <w:vAlign w:val="center"/>
          </w:tcPr>
          <w:p w14:paraId="2D029D52">
            <w:pPr>
              <w:spacing w:after="0" w:line="360" w:lineRule="auto"/>
              <w:jc w:val="center"/>
              <w:rPr>
                <w:rFonts w:ascii="Times New Roman" w:hAnsi="Times New Roman" w:eastAsia="Calibri" w:cs="Times New Roman"/>
                <w:sz w:val="22"/>
                <w:szCs w:val="22"/>
              </w:rPr>
            </w:pPr>
          </w:p>
        </w:tc>
        <w:tc>
          <w:tcPr>
            <w:tcW w:w="1534" w:type="dxa"/>
            <w:tcBorders>
              <w:top w:val="single" w:color="auto" w:sz="4" w:space="0"/>
              <w:left w:val="single" w:color="auto" w:sz="4" w:space="0"/>
              <w:bottom w:val="single" w:color="auto" w:sz="4" w:space="0"/>
              <w:right w:val="single" w:color="auto" w:sz="4" w:space="0"/>
            </w:tcBorders>
            <w:vAlign w:val="center"/>
          </w:tcPr>
          <w:p w14:paraId="77E2F2A5">
            <w:pPr>
              <w:spacing w:after="0" w:line="360" w:lineRule="auto"/>
              <w:jc w:val="center"/>
              <w:rPr>
                <w:rFonts w:ascii="Times New Roman" w:hAnsi="Times New Roman" w:eastAsia="Calibri" w:cs="Times New Roman"/>
                <w:sz w:val="22"/>
                <w:szCs w:val="22"/>
              </w:rPr>
            </w:pPr>
          </w:p>
        </w:tc>
        <w:tc>
          <w:tcPr>
            <w:tcW w:w="1354" w:type="dxa"/>
            <w:tcBorders>
              <w:top w:val="single" w:color="auto" w:sz="4" w:space="0"/>
              <w:left w:val="single" w:color="auto" w:sz="4" w:space="0"/>
              <w:bottom w:val="single" w:color="auto" w:sz="4" w:space="0"/>
              <w:right w:val="single" w:color="auto" w:sz="4" w:space="0"/>
            </w:tcBorders>
            <w:vAlign w:val="center"/>
          </w:tcPr>
          <w:p w14:paraId="0681CA46">
            <w:pPr>
              <w:spacing w:after="0" w:line="360" w:lineRule="auto"/>
              <w:jc w:val="center"/>
              <w:rPr>
                <w:rFonts w:ascii="Times New Roman" w:hAnsi="Times New Roman" w:eastAsia="Calibri" w:cs="Times New Roman"/>
                <w:sz w:val="22"/>
                <w:szCs w:val="22"/>
              </w:rPr>
            </w:pPr>
          </w:p>
        </w:tc>
        <w:tc>
          <w:tcPr>
            <w:tcW w:w="1263" w:type="dxa"/>
            <w:tcBorders>
              <w:top w:val="single" w:color="auto" w:sz="4" w:space="0"/>
              <w:left w:val="single" w:color="auto" w:sz="4" w:space="0"/>
              <w:bottom w:val="single" w:color="auto" w:sz="4" w:space="0"/>
              <w:right w:val="single" w:color="auto" w:sz="4" w:space="0"/>
            </w:tcBorders>
            <w:vAlign w:val="center"/>
          </w:tcPr>
          <w:p w14:paraId="5191735F">
            <w:pPr>
              <w:spacing w:after="0" w:line="360" w:lineRule="auto"/>
              <w:jc w:val="center"/>
              <w:rPr>
                <w:rFonts w:ascii="Times New Roman" w:hAnsi="Times New Roman" w:eastAsia="Calibri" w:cs="Times New Roman"/>
                <w:sz w:val="22"/>
                <w:szCs w:val="22"/>
              </w:rPr>
            </w:pPr>
          </w:p>
        </w:tc>
        <w:tc>
          <w:tcPr>
            <w:tcW w:w="1282" w:type="dxa"/>
            <w:tcBorders>
              <w:top w:val="single" w:color="auto" w:sz="4" w:space="0"/>
              <w:left w:val="single" w:color="auto" w:sz="4" w:space="0"/>
              <w:bottom w:val="single" w:color="auto" w:sz="4" w:space="0"/>
              <w:right w:val="single" w:color="auto" w:sz="4" w:space="0"/>
            </w:tcBorders>
            <w:vAlign w:val="center"/>
          </w:tcPr>
          <w:p w14:paraId="23EA78EC">
            <w:pPr>
              <w:spacing w:after="0" w:line="360" w:lineRule="auto"/>
              <w:jc w:val="center"/>
              <w:rPr>
                <w:rFonts w:ascii="Times New Roman" w:hAnsi="Times New Roman" w:eastAsia="Calibri" w:cs="Times New Roman"/>
                <w:sz w:val="22"/>
                <w:szCs w:val="22"/>
              </w:rPr>
            </w:pPr>
          </w:p>
        </w:tc>
      </w:tr>
      <w:tr w14:paraId="79020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2636" w:type="dxa"/>
            <w:tcBorders>
              <w:top w:val="single" w:color="auto" w:sz="4" w:space="0"/>
              <w:left w:val="single" w:color="auto" w:sz="4" w:space="0"/>
              <w:bottom w:val="single" w:color="auto" w:sz="4" w:space="0"/>
              <w:right w:val="single" w:color="auto" w:sz="4" w:space="0"/>
            </w:tcBorders>
            <w:vAlign w:val="center"/>
          </w:tcPr>
          <w:p w14:paraId="3F90680F">
            <w:pPr>
              <w:spacing w:after="0" w:line="360" w:lineRule="auto"/>
              <w:jc w:val="center"/>
              <w:rPr>
                <w:rFonts w:ascii="Times New Roman" w:hAnsi="Times New Roman" w:eastAsia="Calibri" w:cs="Times New Roman"/>
                <w:b/>
                <w:sz w:val="22"/>
                <w:szCs w:val="22"/>
              </w:rPr>
            </w:pPr>
            <w:r>
              <w:rPr>
                <w:rFonts w:ascii="Times New Roman" w:hAnsi="Times New Roman" w:eastAsia="Calibri" w:cs="Times New Roman"/>
                <w:b/>
                <w:sz w:val="22"/>
                <w:szCs w:val="22"/>
              </w:rPr>
              <w:t>Literature review</w:t>
            </w:r>
          </w:p>
        </w:tc>
        <w:tc>
          <w:tcPr>
            <w:tcW w:w="1534" w:type="dxa"/>
            <w:tcBorders>
              <w:top w:val="single" w:color="auto" w:sz="4" w:space="0"/>
              <w:left w:val="single" w:color="auto" w:sz="4" w:space="0"/>
              <w:bottom w:val="single" w:color="auto" w:sz="4" w:space="0"/>
              <w:right w:val="single" w:color="auto" w:sz="4" w:space="0"/>
            </w:tcBorders>
            <w:shd w:val="clear" w:color="auto" w:fill="C0504D"/>
            <w:vAlign w:val="center"/>
          </w:tcPr>
          <w:p w14:paraId="6116105C">
            <w:pPr>
              <w:spacing w:after="0" w:line="360" w:lineRule="auto"/>
              <w:jc w:val="center"/>
              <w:rPr>
                <w:rFonts w:ascii="Times New Roman" w:hAnsi="Times New Roman" w:eastAsia="Calibri" w:cs="Times New Roman"/>
                <w:sz w:val="22"/>
                <w:szCs w:val="22"/>
              </w:rPr>
            </w:pPr>
          </w:p>
        </w:tc>
        <w:tc>
          <w:tcPr>
            <w:tcW w:w="1534" w:type="dxa"/>
            <w:tcBorders>
              <w:top w:val="single" w:color="auto" w:sz="4" w:space="0"/>
              <w:left w:val="single" w:color="auto" w:sz="4" w:space="0"/>
              <w:bottom w:val="single" w:color="auto" w:sz="4" w:space="0"/>
              <w:right w:val="single" w:color="auto" w:sz="4" w:space="0"/>
            </w:tcBorders>
            <w:shd w:val="clear" w:color="auto" w:fill="C0504D"/>
            <w:vAlign w:val="center"/>
          </w:tcPr>
          <w:p w14:paraId="000B3335">
            <w:pPr>
              <w:spacing w:after="0" w:line="360" w:lineRule="auto"/>
              <w:jc w:val="center"/>
              <w:rPr>
                <w:rFonts w:ascii="Times New Roman" w:hAnsi="Times New Roman" w:eastAsia="Calibri" w:cs="Times New Roman"/>
                <w:sz w:val="22"/>
                <w:szCs w:val="22"/>
              </w:rPr>
            </w:pPr>
          </w:p>
        </w:tc>
        <w:tc>
          <w:tcPr>
            <w:tcW w:w="1354" w:type="dxa"/>
            <w:tcBorders>
              <w:top w:val="single" w:color="auto" w:sz="4" w:space="0"/>
              <w:left w:val="single" w:color="auto" w:sz="4" w:space="0"/>
              <w:bottom w:val="single" w:color="auto" w:sz="4" w:space="0"/>
              <w:right w:val="single" w:color="auto" w:sz="4" w:space="0"/>
            </w:tcBorders>
            <w:shd w:val="clear" w:color="auto" w:fill="C0504D"/>
            <w:vAlign w:val="center"/>
          </w:tcPr>
          <w:p w14:paraId="699A643A">
            <w:pPr>
              <w:spacing w:after="0" w:line="360" w:lineRule="auto"/>
              <w:jc w:val="center"/>
              <w:rPr>
                <w:rFonts w:ascii="Times New Roman" w:hAnsi="Times New Roman" w:eastAsia="Calibri" w:cs="Times New Roman"/>
                <w:sz w:val="22"/>
                <w:szCs w:val="22"/>
              </w:rPr>
            </w:pPr>
          </w:p>
        </w:tc>
        <w:tc>
          <w:tcPr>
            <w:tcW w:w="1263" w:type="dxa"/>
            <w:tcBorders>
              <w:top w:val="single" w:color="auto" w:sz="4" w:space="0"/>
              <w:left w:val="single" w:color="auto" w:sz="4" w:space="0"/>
              <w:bottom w:val="single" w:color="auto" w:sz="4" w:space="0"/>
              <w:right w:val="single" w:color="auto" w:sz="4" w:space="0"/>
            </w:tcBorders>
            <w:vAlign w:val="center"/>
          </w:tcPr>
          <w:p w14:paraId="0131D1BC">
            <w:pPr>
              <w:spacing w:after="0" w:line="360" w:lineRule="auto"/>
              <w:jc w:val="center"/>
              <w:rPr>
                <w:rFonts w:ascii="Times New Roman" w:hAnsi="Times New Roman" w:eastAsia="Calibri" w:cs="Times New Roman"/>
                <w:sz w:val="22"/>
                <w:szCs w:val="22"/>
              </w:rPr>
            </w:pPr>
          </w:p>
        </w:tc>
        <w:tc>
          <w:tcPr>
            <w:tcW w:w="1282" w:type="dxa"/>
            <w:tcBorders>
              <w:top w:val="single" w:color="auto" w:sz="4" w:space="0"/>
              <w:left w:val="single" w:color="auto" w:sz="4" w:space="0"/>
              <w:bottom w:val="single" w:color="auto" w:sz="4" w:space="0"/>
              <w:right w:val="single" w:color="auto" w:sz="4" w:space="0"/>
            </w:tcBorders>
            <w:vAlign w:val="center"/>
          </w:tcPr>
          <w:p w14:paraId="780645A8">
            <w:pPr>
              <w:spacing w:after="0" w:line="360" w:lineRule="auto"/>
              <w:jc w:val="center"/>
              <w:rPr>
                <w:rFonts w:ascii="Times New Roman" w:hAnsi="Times New Roman" w:eastAsia="Calibri" w:cs="Times New Roman"/>
                <w:sz w:val="22"/>
                <w:szCs w:val="22"/>
              </w:rPr>
            </w:pPr>
          </w:p>
        </w:tc>
      </w:tr>
      <w:tr w14:paraId="21BE6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2636" w:type="dxa"/>
            <w:tcBorders>
              <w:top w:val="single" w:color="auto" w:sz="4" w:space="0"/>
              <w:left w:val="single" w:color="auto" w:sz="4" w:space="0"/>
              <w:bottom w:val="single" w:color="auto" w:sz="4" w:space="0"/>
              <w:right w:val="single" w:color="auto" w:sz="4" w:space="0"/>
            </w:tcBorders>
            <w:vAlign w:val="center"/>
          </w:tcPr>
          <w:p w14:paraId="1D6221BE">
            <w:pPr>
              <w:spacing w:after="0" w:line="360" w:lineRule="auto"/>
              <w:jc w:val="center"/>
              <w:rPr>
                <w:rFonts w:ascii="Times New Roman" w:hAnsi="Times New Roman" w:eastAsia="Calibri" w:cs="Times New Roman"/>
                <w:b/>
                <w:sz w:val="22"/>
                <w:szCs w:val="22"/>
              </w:rPr>
            </w:pPr>
            <w:r>
              <w:rPr>
                <w:rFonts w:ascii="Times New Roman" w:hAnsi="Times New Roman" w:eastAsia="Calibri" w:cs="Times New Roman"/>
                <w:b/>
                <w:sz w:val="22"/>
                <w:szCs w:val="22"/>
              </w:rPr>
              <w:t>Data collection &amp; data analysis</w:t>
            </w:r>
          </w:p>
        </w:tc>
        <w:tc>
          <w:tcPr>
            <w:tcW w:w="1534" w:type="dxa"/>
            <w:tcBorders>
              <w:top w:val="single" w:color="auto" w:sz="4" w:space="0"/>
              <w:left w:val="single" w:color="auto" w:sz="4" w:space="0"/>
              <w:bottom w:val="single" w:color="auto" w:sz="4" w:space="0"/>
              <w:right w:val="single" w:color="auto" w:sz="4" w:space="0"/>
            </w:tcBorders>
            <w:vAlign w:val="center"/>
          </w:tcPr>
          <w:p w14:paraId="37500CEA">
            <w:pPr>
              <w:spacing w:after="0" w:line="360" w:lineRule="auto"/>
              <w:jc w:val="center"/>
              <w:rPr>
                <w:rFonts w:ascii="Times New Roman" w:hAnsi="Times New Roman" w:eastAsia="Calibri" w:cs="Times New Roman"/>
                <w:sz w:val="22"/>
                <w:szCs w:val="22"/>
              </w:rPr>
            </w:pPr>
          </w:p>
        </w:tc>
        <w:tc>
          <w:tcPr>
            <w:tcW w:w="1534" w:type="dxa"/>
            <w:tcBorders>
              <w:top w:val="single" w:color="auto" w:sz="4" w:space="0"/>
              <w:left w:val="single" w:color="auto" w:sz="4" w:space="0"/>
              <w:bottom w:val="single" w:color="auto" w:sz="4" w:space="0"/>
              <w:right w:val="single" w:color="auto" w:sz="4" w:space="0"/>
            </w:tcBorders>
            <w:shd w:val="clear" w:color="auto" w:fill="4F81BD"/>
            <w:vAlign w:val="center"/>
          </w:tcPr>
          <w:p w14:paraId="3C2B7522">
            <w:pPr>
              <w:spacing w:after="0" w:line="360" w:lineRule="auto"/>
              <w:jc w:val="center"/>
              <w:rPr>
                <w:rFonts w:ascii="Times New Roman" w:hAnsi="Times New Roman" w:eastAsia="Calibri" w:cs="Times New Roman"/>
                <w:sz w:val="22"/>
                <w:szCs w:val="22"/>
              </w:rPr>
            </w:pPr>
          </w:p>
        </w:tc>
        <w:tc>
          <w:tcPr>
            <w:tcW w:w="1354" w:type="dxa"/>
            <w:tcBorders>
              <w:top w:val="single" w:color="auto" w:sz="4" w:space="0"/>
              <w:left w:val="single" w:color="auto" w:sz="4" w:space="0"/>
              <w:bottom w:val="single" w:color="auto" w:sz="4" w:space="0"/>
              <w:right w:val="single" w:color="auto" w:sz="4" w:space="0"/>
            </w:tcBorders>
            <w:vAlign w:val="center"/>
          </w:tcPr>
          <w:p w14:paraId="560A1257">
            <w:pPr>
              <w:spacing w:after="0" w:line="360" w:lineRule="auto"/>
              <w:jc w:val="center"/>
              <w:rPr>
                <w:rFonts w:ascii="Times New Roman" w:hAnsi="Times New Roman" w:eastAsia="Calibri" w:cs="Times New Roman"/>
                <w:sz w:val="22"/>
                <w:szCs w:val="22"/>
              </w:rPr>
            </w:pPr>
          </w:p>
        </w:tc>
        <w:tc>
          <w:tcPr>
            <w:tcW w:w="1263" w:type="dxa"/>
            <w:tcBorders>
              <w:top w:val="single" w:color="auto" w:sz="4" w:space="0"/>
              <w:left w:val="single" w:color="auto" w:sz="4" w:space="0"/>
              <w:bottom w:val="single" w:color="auto" w:sz="4" w:space="0"/>
              <w:right w:val="single" w:color="auto" w:sz="4" w:space="0"/>
            </w:tcBorders>
            <w:vAlign w:val="center"/>
          </w:tcPr>
          <w:p w14:paraId="326C9769">
            <w:pPr>
              <w:spacing w:after="0" w:line="360" w:lineRule="auto"/>
              <w:jc w:val="center"/>
              <w:rPr>
                <w:rFonts w:ascii="Times New Roman" w:hAnsi="Times New Roman" w:eastAsia="Calibri" w:cs="Times New Roman"/>
                <w:sz w:val="22"/>
                <w:szCs w:val="22"/>
              </w:rPr>
            </w:pPr>
          </w:p>
        </w:tc>
        <w:tc>
          <w:tcPr>
            <w:tcW w:w="1282" w:type="dxa"/>
            <w:tcBorders>
              <w:top w:val="single" w:color="auto" w:sz="4" w:space="0"/>
              <w:left w:val="single" w:color="auto" w:sz="4" w:space="0"/>
              <w:bottom w:val="single" w:color="auto" w:sz="4" w:space="0"/>
              <w:right w:val="single" w:color="auto" w:sz="4" w:space="0"/>
            </w:tcBorders>
            <w:vAlign w:val="center"/>
          </w:tcPr>
          <w:p w14:paraId="2685DF66">
            <w:pPr>
              <w:spacing w:after="0" w:line="360" w:lineRule="auto"/>
              <w:jc w:val="center"/>
              <w:rPr>
                <w:rFonts w:ascii="Times New Roman" w:hAnsi="Times New Roman" w:eastAsia="Calibri" w:cs="Times New Roman"/>
                <w:sz w:val="22"/>
                <w:szCs w:val="22"/>
              </w:rPr>
            </w:pPr>
          </w:p>
        </w:tc>
      </w:tr>
      <w:tr w14:paraId="28031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2636" w:type="dxa"/>
            <w:tcBorders>
              <w:top w:val="single" w:color="auto" w:sz="4" w:space="0"/>
              <w:left w:val="single" w:color="auto" w:sz="4" w:space="0"/>
              <w:bottom w:val="single" w:color="auto" w:sz="4" w:space="0"/>
              <w:right w:val="single" w:color="auto" w:sz="4" w:space="0"/>
            </w:tcBorders>
            <w:vAlign w:val="center"/>
          </w:tcPr>
          <w:p w14:paraId="6CF11928">
            <w:pPr>
              <w:spacing w:after="0" w:line="360" w:lineRule="auto"/>
              <w:jc w:val="center"/>
              <w:rPr>
                <w:rFonts w:ascii="Times New Roman" w:hAnsi="Times New Roman" w:eastAsia="Calibri" w:cs="Times New Roman"/>
                <w:b/>
                <w:sz w:val="22"/>
                <w:szCs w:val="22"/>
              </w:rPr>
            </w:pPr>
            <w:r>
              <w:rPr>
                <w:rFonts w:ascii="Times New Roman" w:hAnsi="Times New Roman" w:eastAsia="Calibri" w:cs="Times New Roman"/>
                <w:b/>
                <w:sz w:val="22"/>
                <w:szCs w:val="22"/>
              </w:rPr>
              <w:t>Writing discussion and conclusions</w:t>
            </w:r>
          </w:p>
        </w:tc>
        <w:tc>
          <w:tcPr>
            <w:tcW w:w="1534" w:type="dxa"/>
            <w:tcBorders>
              <w:top w:val="single" w:color="auto" w:sz="4" w:space="0"/>
              <w:left w:val="single" w:color="auto" w:sz="4" w:space="0"/>
              <w:bottom w:val="single" w:color="auto" w:sz="4" w:space="0"/>
              <w:right w:val="single" w:color="auto" w:sz="4" w:space="0"/>
            </w:tcBorders>
            <w:vAlign w:val="center"/>
          </w:tcPr>
          <w:p w14:paraId="37F25F11">
            <w:pPr>
              <w:spacing w:after="0" w:line="360" w:lineRule="auto"/>
              <w:jc w:val="center"/>
              <w:rPr>
                <w:rFonts w:ascii="Times New Roman" w:hAnsi="Times New Roman" w:eastAsia="Calibri" w:cs="Times New Roman"/>
                <w:sz w:val="22"/>
                <w:szCs w:val="22"/>
              </w:rPr>
            </w:pPr>
          </w:p>
        </w:tc>
        <w:tc>
          <w:tcPr>
            <w:tcW w:w="1534" w:type="dxa"/>
            <w:tcBorders>
              <w:top w:val="single" w:color="auto" w:sz="4" w:space="0"/>
              <w:left w:val="single" w:color="auto" w:sz="4" w:space="0"/>
              <w:bottom w:val="single" w:color="auto" w:sz="4" w:space="0"/>
              <w:right w:val="single" w:color="auto" w:sz="4" w:space="0"/>
            </w:tcBorders>
            <w:vAlign w:val="center"/>
          </w:tcPr>
          <w:p w14:paraId="6DE2A576">
            <w:pPr>
              <w:spacing w:after="0" w:line="360" w:lineRule="auto"/>
              <w:jc w:val="center"/>
              <w:rPr>
                <w:rFonts w:ascii="Times New Roman" w:hAnsi="Times New Roman" w:eastAsia="Calibri" w:cs="Times New Roman"/>
                <w:sz w:val="22"/>
                <w:szCs w:val="22"/>
              </w:rPr>
            </w:pPr>
          </w:p>
        </w:tc>
        <w:tc>
          <w:tcPr>
            <w:tcW w:w="1354" w:type="dxa"/>
            <w:tcBorders>
              <w:top w:val="single" w:color="auto" w:sz="4" w:space="0"/>
              <w:left w:val="single" w:color="auto" w:sz="4" w:space="0"/>
              <w:bottom w:val="single" w:color="auto" w:sz="4" w:space="0"/>
              <w:right w:val="single" w:color="auto" w:sz="4" w:space="0"/>
            </w:tcBorders>
            <w:shd w:val="clear" w:color="auto" w:fill="FFFF00"/>
            <w:vAlign w:val="center"/>
          </w:tcPr>
          <w:p w14:paraId="41AE91DB">
            <w:pPr>
              <w:spacing w:after="0" w:line="360" w:lineRule="auto"/>
              <w:jc w:val="center"/>
              <w:rPr>
                <w:rFonts w:ascii="Times New Roman" w:hAnsi="Times New Roman" w:eastAsia="Calibri" w:cs="Times New Roman"/>
                <w:sz w:val="22"/>
                <w:szCs w:val="22"/>
              </w:rPr>
            </w:pPr>
          </w:p>
        </w:tc>
        <w:tc>
          <w:tcPr>
            <w:tcW w:w="1263" w:type="dxa"/>
            <w:tcBorders>
              <w:top w:val="single" w:color="auto" w:sz="4" w:space="0"/>
              <w:left w:val="single" w:color="auto" w:sz="4" w:space="0"/>
              <w:bottom w:val="single" w:color="auto" w:sz="4" w:space="0"/>
              <w:right w:val="single" w:color="auto" w:sz="4" w:space="0"/>
            </w:tcBorders>
            <w:vAlign w:val="center"/>
          </w:tcPr>
          <w:p w14:paraId="2514ED0C">
            <w:pPr>
              <w:spacing w:after="0" w:line="360" w:lineRule="auto"/>
              <w:jc w:val="center"/>
              <w:rPr>
                <w:rFonts w:ascii="Times New Roman" w:hAnsi="Times New Roman" w:eastAsia="Calibri" w:cs="Times New Roman"/>
                <w:sz w:val="22"/>
                <w:szCs w:val="22"/>
              </w:rPr>
            </w:pPr>
          </w:p>
        </w:tc>
        <w:tc>
          <w:tcPr>
            <w:tcW w:w="1282" w:type="dxa"/>
            <w:tcBorders>
              <w:top w:val="single" w:color="auto" w:sz="4" w:space="0"/>
              <w:left w:val="single" w:color="auto" w:sz="4" w:space="0"/>
              <w:bottom w:val="single" w:color="auto" w:sz="4" w:space="0"/>
              <w:right w:val="single" w:color="auto" w:sz="4" w:space="0"/>
            </w:tcBorders>
            <w:vAlign w:val="center"/>
          </w:tcPr>
          <w:p w14:paraId="7DEF2AA6">
            <w:pPr>
              <w:spacing w:after="0" w:line="360" w:lineRule="auto"/>
              <w:jc w:val="center"/>
              <w:rPr>
                <w:rFonts w:ascii="Times New Roman" w:hAnsi="Times New Roman" w:eastAsia="Calibri" w:cs="Times New Roman"/>
                <w:sz w:val="22"/>
                <w:szCs w:val="22"/>
              </w:rPr>
            </w:pPr>
          </w:p>
        </w:tc>
      </w:tr>
      <w:tr w14:paraId="2FEA7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rPr>
        <w:tc>
          <w:tcPr>
            <w:tcW w:w="2636" w:type="dxa"/>
            <w:tcBorders>
              <w:top w:val="single" w:color="auto" w:sz="4" w:space="0"/>
              <w:left w:val="single" w:color="auto" w:sz="4" w:space="0"/>
              <w:bottom w:val="single" w:color="auto" w:sz="4" w:space="0"/>
              <w:right w:val="single" w:color="auto" w:sz="4" w:space="0"/>
            </w:tcBorders>
            <w:vAlign w:val="center"/>
          </w:tcPr>
          <w:p w14:paraId="1C815582">
            <w:pPr>
              <w:spacing w:after="0" w:line="360" w:lineRule="auto"/>
              <w:jc w:val="center"/>
              <w:rPr>
                <w:rFonts w:ascii="Times New Roman" w:hAnsi="Times New Roman" w:eastAsia="Calibri" w:cs="Times New Roman"/>
                <w:b/>
                <w:sz w:val="22"/>
                <w:szCs w:val="22"/>
              </w:rPr>
            </w:pPr>
            <w:r>
              <w:rPr>
                <w:rFonts w:ascii="Times New Roman" w:hAnsi="Times New Roman" w:eastAsia="Calibri" w:cs="Times New Roman"/>
                <w:b/>
                <w:sz w:val="22"/>
                <w:szCs w:val="22"/>
              </w:rPr>
              <w:t>Submission</w:t>
            </w:r>
          </w:p>
        </w:tc>
        <w:tc>
          <w:tcPr>
            <w:tcW w:w="1534" w:type="dxa"/>
            <w:tcBorders>
              <w:top w:val="single" w:color="auto" w:sz="4" w:space="0"/>
              <w:left w:val="single" w:color="auto" w:sz="4" w:space="0"/>
              <w:bottom w:val="single" w:color="auto" w:sz="4" w:space="0"/>
              <w:right w:val="single" w:color="auto" w:sz="4" w:space="0"/>
            </w:tcBorders>
            <w:vAlign w:val="center"/>
          </w:tcPr>
          <w:p w14:paraId="7B542C6B">
            <w:pPr>
              <w:spacing w:after="0" w:line="360" w:lineRule="auto"/>
              <w:jc w:val="center"/>
              <w:rPr>
                <w:rFonts w:ascii="Times New Roman" w:hAnsi="Times New Roman" w:eastAsia="Calibri" w:cs="Times New Roman"/>
                <w:sz w:val="22"/>
                <w:szCs w:val="22"/>
              </w:rPr>
            </w:pPr>
          </w:p>
        </w:tc>
        <w:tc>
          <w:tcPr>
            <w:tcW w:w="1534" w:type="dxa"/>
            <w:tcBorders>
              <w:top w:val="single" w:color="auto" w:sz="4" w:space="0"/>
              <w:left w:val="single" w:color="auto" w:sz="4" w:space="0"/>
              <w:bottom w:val="single" w:color="auto" w:sz="4" w:space="0"/>
              <w:right w:val="single" w:color="auto" w:sz="4" w:space="0"/>
            </w:tcBorders>
            <w:vAlign w:val="center"/>
          </w:tcPr>
          <w:p w14:paraId="203BEFB0">
            <w:pPr>
              <w:spacing w:after="0" w:line="360" w:lineRule="auto"/>
              <w:jc w:val="center"/>
              <w:rPr>
                <w:rFonts w:ascii="Times New Roman" w:hAnsi="Times New Roman" w:eastAsia="Calibri" w:cs="Times New Roman"/>
                <w:sz w:val="22"/>
                <w:szCs w:val="22"/>
              </w:rPr>
            </w:pPr>
          </w:p>
        </w:tc>
        <w:tc>
          <w:tcPr>
            <w:tcW w:w="1354" w:type="dxa"/>
            <w:tcBorders>
              <w:top w:val="single" w:color="auto" w:sz="4" w:space="0"/>
              <w:left w:val="single" w:color="auto" w:sz="4" w:space="0"/>
              <w:bottom w:val="single" w:color="auto" w:sz="4" w:space="0"/>
              <w:right w:val="single" w:color="auto" w:sz="4" w:space="0"/>
            </w:tcBorders>
            <w:vAlign w:val="center"/>
          </w:tcPr>
          <w:p w14:paraId="4042A6EF">
            <w:pPr>
              <w:spacing w:after="0" w:line="360" w:lineRule="auto"/>
              <w:jc w:val="center"/>
              <w:rPr>
                <w:rFonts w:ascii="Times New Roman" w:hAnsi="Times New Roman" w:eastAsia="Calibri" w:cs="Times New Roman"/>
                <w:sz w:val="22"/>
                <w:szCs w:val="22"/>
              </w:rPr>
            </w:pPr>
          </w:p>
        </w:tc>
        <w:tc>
          <w:tcPr>
            <w:tcW w:w="1263" w:type="dxa"/>
            <w:tcBorders>
              <w:top w:val="single" w:color="auto" w:sz="4" w:space="0"/>
              <w:left w:val="single" w:color="auto" w:sz="4" w:space="0"/>
              <w:bottom w:val="single" w:color="auto" w:sz="4" w:space="0"/>
              <w:right w:val="single" w:color="auto" w:sz="4" w:space="0"/>
            </w:tcBorders>
            <w:shd w:val="clear" w:color="auto" w:fill="FF0000"/>
            <w:vAlign w:val="center"/>
          </w:tcPr>
          <w:p w14:paraId="68194601">
            <w:pPr>
              <w:spacing w:after="0" w:line="360" w:lineRule="auto"/>
              <w:jc w:val="center"/>
              <w:rPr>
                <w:rFonts w:ascii="Times New Roman" w:hAnsi="Times New Roman" w:eastAsia="Calibri" w:cs="Times New Roman"/>
                <w:sz w:val="22"/>
                <w:szCs w:val="22"/>
              </w:rPr>
            </w:pPr>
          </w:p>
        </w:tc>
        <w:tc>
          <w:tcPr>
            <w:tcW w:w="1282" w:type="dxa"/>
            <w:tcBorders>
              <w:top w:val="single" w:color="auto" w:sz="4" w:space="0"/>
              <w:left w:val="single" w:color="auto" w:sz="4" w:space="0"/>
              <w:bottom w:val="single" w:color="auto" w:sz="4" w:space="0"/>
              <w:right w:val="single" w:color="auto" w:sz="4" w:space="0"/>
            </w:tcBorders>
            <w:vAlign w:val="center"/>
          </w:tcPr>
          <w:p w14:paraId="585F0039">
            <w:pPr>
              <w:spacing w:after="0" w:line="360" w:lineRule="auto"/>
              <w:jc w:val="center"/>
              <w:rPr>
                <w:rFonts w:ascii="Times New Roman" w:hAnsi="Times New Roman" w:eastAsia="Calibri" w:cs="Times New Roman"/>
                <w:sz w:val="22"/>
                <w:szCs w:val="22"/>
              </w:rPr>
            </w:pPr>
          </w:p>
        </w:tc>
      </w:tr>
      <w:tr w14:paraId="2D880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2636" w:type="dxa"/>
            <w:tcBorders>
              <w:top w:val="single" w:color="auto" w:sz="4" w:space="0"/>
              <w:left w:val="single" w:color="auto" w:sz="4" w:space="0"/>
              <w:bottom w:val="single" w:color="auto" w:sz="4" w:space="0"/>
              <w:right w:val="single" w:color="auto" w:sz="4" w:space="0"/>
            </w:tcBorders>
            <w:vAlign w:val="center"/>
          </w:tcPr>
          <w:p w14:paraId="0DC53182">
            <w:pPr>
              <w:spacing w:after="0" w:line="360" w:lineRule="auto"/>
              <w:jc w:val="center"/>
              <w:rPr>
                <w:rFonts w:ascii="Times New Roman" w:hAnsi="Times New Roman" w:eastAsia="Calibri" w:cs="Times New Roman"/>
                <w:b/>
                <w:sz w:val="22"/>
                <w:szCs w:val="22"/>
              </w:rPr>
            </w:pPr>
            <w:r>
              <w:rPr>
                <w:rFonts w:ascii="Times New Roman" w:hAnsi="Times New Roman" w:eastAsia="Calibri" w:cs="Times New Roman"/>
                <w:b/>
                <w:sz w:val="22"/>
                <w:szCs w:val="22"/>
              </w:rPr>
              <w:t>Compiling and reviewing</w:t>
            </w:r>
          </w:p>
        </w:tc>
        <w:tc>
          <w:tcPr>
            <w:tcW w:w="1534" w:type="dxa"/>
            <w:tcBorders>
              <w:top w:val="single" w:color="auto" w:sz="4" w:space="0"/>
              <w:left w:val="single" w:color="auto" w:sz="4" w:space="0"/>
              <w:bottom w:val="single" w:color="auto" w:sz="4" w:space="0"/>
              <w:right w:val="single" w:color="auto" w:sz="4" w:space="0"/>
            </w:tcBorders>
            <w:vAlign w:val="center"/>
          </w:tcPr>
          <w:p w14:paraId="11FD5191">
            <w:pPr>
              <w:spacing w:after="0" w:line="360" w:lineRule="auto"/>
              <w:jc w:val="center"/>
              <w:rPr>
                <w:rFonts w:ascii="Times New Roman" w:hAnsi="Times New Roman" w:eastAsia="Calibri" w:cs="Times New Roman"/>
                <w:sz w:val="22"/>
                <w:szCs w:val="22"/>
              </w:rPr>
            </w:pPr>
          </w:p>
        </w:tc>
        <w:tc>
          <w:tcPr>
            <w:tcW w:w="1534" w:type="dxa"/>
            <w:tcBorders>
              <w:top w:val="single" w:color="auto" w:sz="4" w:space="0"/>
              <w:left w:val="single" w:color="auto" w:sz="4" w:space="0"/>
              <w:bottom w:val="single" w:color="auto" w:sz="4" w:space="0"/>
              <w:right w:val="single" w:color="auto" w:sz="4" w:space="0"/>
            </w:tcBorders>
            <w:vAlign w:val="center"/>
          </w:tcPr>
          <w:p w14:paraId="0DB70722">
            <w:pPr>
              <w:spacing w:after="0" w:line="360" w:lineRule="auto"/>
              <w:jc w:val="center"/>
              <w:rPr>
                <w:rFonts w:ascii="Times New Roman" w:hAnsi="Times New Roman" w:eastAsia="Calibri" w:cs="Times New Roman"/>
                <w:sz w:val="22"/>
                <w:szCs w:val="22"/>
              </w:rPr>
            </w:pPr>
          </w:p>
        </w:tc>
        <w:tc>
          <w:tcPr>
            <w:tcW w:w="1354" w:type="dxa"/>
            <w:tcBorders>
              <w:top w:val="single" w:color="auto" w:sz="4" w:space="0"/>
              <w:left w:val="single" w:color="auto" w:sz="4" w:space="0"/>
              <w:bottom w:val="single" w:color="auto" w:sz="4" w:space="0"/>
              <w:right w:val="single" w:color="auto" w:sz="4" w:space="0"/>
            </w:tcBorders>
            <w:vAlign w:val="center"/>
          </w:tcPr>
          <w:p w14:paraId="0101330B">
            <w:pPr>
              <w:spacing w:after="0" w:line="360" w:lineRule="auto"/>
              <w:jc w:val="center"/>
              <w:rPr>
                <w:rFonts w:ascii="Times New Roman" w:hAnsi="Times New Roman" w:eastAsia="Calibri" w:cs="Times New Roman"/>
                <w:sz w:val="22"/>
                <w:szCs w:val="22"/>
              </w:rPr>
            </w:pPr>
          </w:p>
        </w:tc>
        <w:tc>
          <w:tcPr>
            <w:tcW w:w="1263" w:type="dxa"/>
            <w:tcBorders>
              <w:top w:val="single" w:color="auto" w:sz="4" w:space="0"/>
              <w:left w:val="single" w:color="auto" w:sz="4" w:space="0"/>
              <w:bottom w:val="single" w:color="auto" w:sz="4" w:space="0"/>
              <w:right w:val="single" w:color="auto" w:sz="4" w:space="0"/>
            </w:tcBorders>
            <w:vAlign w:val="center"/>
          </w:tcPr>
          <w:p w14:paraId="127DB190">
            <w:pPr>
              <w:spacing w:after="0" w:line="360" w:lineRule="auto"/>
              <w:jc w:val="center"/>
              <w:rPr>
                <w:rFonts w:ascii="Times New Roman" w:hAnsi="Times New Roman" w:eastAsia="Calibri" w:cs="Times New Roman"/>
                <w:sz w:val="22"/>
                <w:szCs w:val="22"/>
              </w:rPr>
            </w:pPr>
          </w:p>
        </w:tc>
        <w:tc>
          <w:tcPr>
            <w:tcW w:w="1282" w:type="dxa"/>
            <w:tcBorders>
              <w:top w:val="single" w:color="auto" w:sz="4" w:space="0"/>
              <w:left w:val="single" w:color="auto" w:sz="4" w:space="0"/>
              <w:bottom w:val="single" w:color="auto" w:sz="4" w:space="0"/>
              <w:right w:val="single" w:color="auto" w:sz="4" w:space="0"/>
            </w:tcBorders>
            <w:shd w:val="clear" w:color="auto" w:fill="000000"/>
            <w:vAlign w:val="center"/>
          </w:tcPr>
          <w:p w14:paraId="69A4DB55">
            <w:pPr>
              <w:spacing w:after="0" w:line="240" w:lineRule="auto"/>
              <w:rPr>
                <w:rFonts w:ascii="Times New Roman" w:hAnsi="Times New Roman" w:eastAsia="Calibri" w:cs="Times New Roman"/>
                <w:sz w:val="22"/>
                <w:szCs w:val="22"/>
              </w:rPr>
            </w:pPr>
          </w:p>
        </w:tc>
      </w:tr>
    </w:tbl>
    <w:p w14:paraId="1F7D088E">
      <w:pPr>
        <w:spacing w:before="100" w:beforeAutospacing="1" w:after="100" w:afterAutospacing="1" w:line="240" w:lineRule="auto"/>
        <w:rPr>
          <w:rFonts w:ascii="Times New Roman" w:hAnsi="Times New Roman" w:eastAsia="Times New Roman" w:cs="Times New Roman"/>
          <w:sz w:val="22"/>
          <w:szCs w:val="22"/>
        </w:rPr>
      </w:pPr>
    </w:p>
    <w:tbl>
      <w:tblPr>
        <w:tblStyle w:val="11"/>
        <w:tblW w:w="0" w:type="auto"/>
        <w:tblCellSpacing w:w="15" w:type="dxa"/>
        <w:tblInd w:w="-159" w:type="dxa"/>
        <w:tblLayout w:type="autofit"/>
        <w:tblCellMar>
          <w:top w:w="15" w:type="dxa"/>
          <w:left w:w="15" w:type="dxa"/>
          <w:bottom w:w="15" w:type="dxa"/>
          <w:right w:w="15" w:type="dxa"/>
        </w:tblCellMar>
      </w:tblPr>
      <w:tblGrid>
        <w:gridCol w:w="240"/>
        <w:gridCol w:w="81"/>
      </w:tblGrid>
      <w:tr w14:paraId="53D611D4">
        <w:tblPrEx>
          <w:tblCellMar>
            <w:top w:w="15" w:type="dxa"/>
            <w:left w:w="15" w:type="dxa"/>
            <w:bottom w:w="15" w:type="dxa"/>
            <w:right w:w="15" w:type="dxa"/>
          </w:tblCellMar>
        </w:tblPrEx>
        <w:trPr>
          <w:tblHeader/>
          <w:tblCellSpacing w:w="15" w:type="dxa"/>
        </w:trPr>
        <w:tc>
          <w:tcPr>
            <w:tcW w:w="195" w:type="dxa"/>
            <w:vAlign w:val="center"/>
          </w:tcPr>
          <w:p w14:paraId="5DD58500">
            <w:pPr>
              <w:spacing w:after="0" w:line="240" w:lineRule="auto"/>
              <w:rPr>
                <w:rFonts w:ascii="Times New Roman" w:hAnsi="Times New Roman" w:eastAsia="Times New Roman" w:cs="Times New Roman"/>
                <w:b/>
                <w:bCs/>
                <w:sz w:val="22"/>
                <w:szCs w:val="22"/>
              </w:rPr>
            </w:pPr>
          </w:p>
        </w:tc>
        <w:tc>
          <w:tcPr>
            <w:tcW w:w="0" w:type="auto"/>
            <w:vAlign w:val="center"/>
          </w:tcPr>
          <w:p w14:paraId="5267CE1D">
            <w:pPr>
              <w:spacing w:after="0" w:line="240" w:lineRule="auto"/>
              <w:rPr>
                <w:rFonts w:ascii="Times New Roman" w:hAnsi="Times New Roman" w:eastAsia="Times New Roman" w:cs="Times New Roman"/>
                <w:b/>
                <w:bCs/>
                <w:sz w:val="22"/>
                <w:szCs w:val="22"/>
              </w:rPr>
            </w:pPr>
          </w:p>
        </w:tc>
      </w:tr>
    </w:tbl>
    <w:p w14:paraId="5BAA1F9F">
      <w:pPr>
        <w:spacing w:before="100" w:beforeAutospacing="1" w:after="100" w:afterAutospacing="1" w:line="240" w:lineRule="auto"/>
        <w:outlineLvl w:val="2"/>
        <w:rPr>
          <w:rFonts w:ascii="Times New Roman" w:hAnsi="Times New Roman" w:eastAsia="Times New Roman" w:cs="Times New Roman"/>
          <w:b/>
          <w:bCs/>
          <w:sz w:val="22"/>
          <w:szCs w:val="22"/>
          <w:u w:val="single"/>
        </w:rPr>
      </w:pPr>
      <w:r>
        <w:rPr>
          <w:rFonts w:ascii="Times New Roman" w:hAnsi="Times New Roman" w:eastAsia="Times New Roman" w:cs="Times New Roman"/>
          <w:b/>
          <w:bCs/>
          <w:sz w:val="22"/>
          <w:szCs w:val="22"/>
          <w:u w:val="single"/>
        </w:rPr>
        <w:t>REFERENCES:</w:t>
      </w:r>
    </w:p>
    <w:p w14:paraId="24F73471">
      <w:pPr>
        <w:numPr>
          <w:ilvl w:val="0"/>
          <w:numId w:val="8"/>
        </w:numPr>
        <w:spacing w:before="100" w:beforeAutospacing="1" w:after="100" w:afterAutospacing="1" w:line="240" w:lineRule="auto"/>
        <w:rPr>
          <w:rFonts w:ascii="Times New Roman" w:hAnsi="Times New Roman" w:eastAsia="Times New Roman" w:cs="Times New Roman"/>
          <w:sz w:val="22"/>
          <w:szCs w:val="22"/>
        </w:rPr>
      </w:pPr>
      <w:r>
        <w:rPr>
          <w:rFonts w:ascii="Times New Roman" w:hAnsi="Times New Roman" w:eastAsia="Times New Roman" w:cs="Times New Roman"/>
          <w:sz w:val="22"/>
          <w:szCs w:val="22"/>
        </w:rPr>
        <w:t xml:space="preserve">Buharali, K. (2017). </w:t>
      </w:r>
      <w:r>
        <w:rPr>
          <w:rFonts w:ascii="Times New Roman" w:hAnsi="Times New Roman" w:eastAsia="Times New Roman" w:cs="Times New Roman"/>
          <w:i/>
          <w:iCs/>
          <w:sz w:val="22"/>
          <w:szCs w:val="22"/>
        </w:rPr>
        <w:t>Prevalence and Clinical Management of Thyroid Nodules.</w:t>
      </w:r>
      <w:r>
        <w:rPr>
          <w:rFonts w:ascii="Times New Roman" w:hAnsi="Times New Roman" w:eastAsia="Times New Roman" w:cs="Times New Roman"/>
          <w:sz w:val="22"/>
          <w:szCs w:val="22"/>
        </w:rPr>
        <w:t xml:space="preserve"> Surgical Practice Journal, 30(4), 250-255.</w:t>
      </w:r>
    </w:p>
    <w:p w14:paraId="2A2A60A6">
      <w:pPr>
        <w:numPr>
          <w:ilvl w:val="0"/>
          <w:numId w:val="8"/>
        </w:numPr>
        <w:spacing w:before="100" w:beforeAutospacing="1" w:after="100" w:afterAutospacing="1" w:line="240" w:lineRule="auto"/>
        <w:rPr>
          <w:rFonts w:ascii="Times New Roman" w:hAnsi="Times New Roman" w:eastAsia="Times New Roman" w:cs="Times New Roman"/>
          <w:sz w:val="22"/>
          <w:szCs w:val="22"/>
        </w:rPr>
      </w:pPr>
      <w:r>
        <w:rPr>
          <w:rFonts w:ascii="Times New Roman" w:hAnsi="Times New Roman" w:eastAsia="Times New Roman" w:cs="Times New Roman"/>
          <w:sz w:val="22"/>
          <w:szCs w:val="22"/>
        </w:rPr>
        <w:t xml:space="preserve">Bongiovanni, M., Spitale, A., Faquin, W.C., &amp; et al. (2012). </w:t>
      </w:r>
      <w:r>
        <w:rPr>
          <w:rFonts w:ascii="Times New Roman" w:hAnsi="Times New Roman" w:eastAsia="Times New Roman" w:cs="Times New Roman"/>
          <w:i/>
          <w:iCs/>
          <w:sz w:val="22"/>
          <w:szCs w:val="22"/>
        </w:rPr>
        <w:t>The Bethesda System for Reporting Thyroid Cytopathology: A Meta-Analysis.</w:t>
      </w:r>
      <w:r>
        <w:rPr>
          <w:rFonts w:ascii="Times New Roman" w:hAnsi="Times New Roman" w:eastAsia="Times New Roman" w:cs="Times New Roman"/>
          <w:sz w:val="22"/>
          <w:szCs w:val="22"/>
        </w:rPr>
        <w:t xml:space="preserve"> </w:t>
      </w:r>
      <w:r>
        <w:rPr>
          <w:rFonts w:ascii="Times New Roman" w:hAnsi="Times New Roman" w:eastAsia="Times New Roman" w:cs="Times New Roman"/>
          <w:i/>
          <w:iCs/>
          <w:sz w:val="22"/>
          <w:szCs w:val="22"/>
        </w:rPr>
        <w:t>Acta Cytologica, 56</w:t>
      </w:r>
      <w:r>
        <w:rPr>
          <w:rFonts w:ascii="Times New Roman" w:hAnsi="Times New Roman" w:eastAsia="Times New Roman" w:cs="Times New Roman"/>
          <w:sz w:val="22"/>
          <w:szCs w:val="22"/>
        </w:rPr>
        <w:t>(4), 455-463.</w:t>
      </w:r>
    </w:p>
    <w:p w14:paraId="62EE4E07">
      <w:pPr>
        <w:numPr>
          <w:ilvl w:val="0"/>
          <w:numId w:val="8"/>
        </w:numPr>
        <w:spacing w:before="100" w:beforeAutospacing="1" w:after="100" w:afterAutospacing="1" w:line="240" w:lineRule="auto"/>
        <w:rPr>
          <w:rFonts w:ascii="Times New Roman" w:hAnsi="Times New Roman" w:eastAsia="Times New Roman" w:cs="Times New Roman"/>
          <w:sz w:val="22"/>
          <w:szCs w:val="22"/>
        </w:rPr>
      </w:pPr>
      <w:r>
        <w:rPr>
          <w:rFonts w:ascii="Times New Roman" w:hAnsi="Times New Roman" w:eastAsia="Times New Roman" w:cs="Times New Roman"/>
          <w:sz w:val="22"/>
          <w:szCs w:val="22"/>
        </w:rPr>
        <w:t xml:space="preserve">Kwong, N., Lee, J., &amp; Park, Y. (2011). </w:t>
      </w:r>
      <w:r>
        <w:rPr>
          <w:rFonts w:ascii="Times New Roman" w:hAnsi="Times New Roman" w:eastAsia="Times New Roman" w:cs="Times New Roman"/>
          <w:i/>
          <w:iCs/>
          <w:sz w:val="22"/>
          <w:szCs w:val="22"/>
        </w:rPr>
        <w:t>Evaluation of Thyroid Nodules with the TI-RADS System: Diagnostic Accuracy and Utility.</w:t>
      </w:r>
      <w:r>
        <w:rPr>
          <w:rFonts w:ascii="Times New Roman" w:hAnsi="Times New Roman" w:eastAsia="Times New Roman" w:cs="Times New Roman"/>
          <w:sz w:val="22"/>
          <w:szCs w:val="22"/>
        </w:rPr>
        <w:t xml:space="preserve"> </w:t>
      </w:r>
      <w:r>
        <w:rPr>
          <w:rFonts w:ascii="Times New Roman" w:hAnsi="Times New Roman" w:eastAsia="Times New Roman" w:cs="Times New Roman"/>
          <w:i/>
          <w:iCs/>
          <w:sz w:val="22"/>
          <w:szCs w:val="22"/>
        </w:rPr>
        <w:t>Journal of Ultrasound in Medicine, 30</w:t>
      </w:r>
      <w:r>
        <w:rPr>
          <w:rFonts w:ascii="Times New Roman" w:hAnsi="Times New Roman" w:eastAsia="Times New Roman" w:cs="Times New Roman"/>
          <w:sz w:val="22"/>
          <w:szCs w:val="22"/>
        </w:rPr>
        <w:t>(9), 1339-1344.</w:t>
      </w:r>
    </w:p>
    <w:p w14:paraId="4D1B04E8">
      <w:pPr>
        <w:numPr>
          <w:ilvl w:val="0"/>
          <w:numId w:val="8"/>
        </w:numPr>
        <w:spacing w:before="100" w:beforeAutospacing="1" w:after="100" w:afterAutospacing="1" w:line="240" w:lineRule="auto"/>
        <w:rPr>
          <w:rFonts w:ascii="Times New Roman" w:hAnsi="Times New Roman" w:eastAsia="Times New Roman" w:cs="Times New Roman"/>
          <w:sz w:val="22"/>
          <w:szCs w:val="22"/>
        </w:rPr>
      </w:pPr>
      <w:r>
        <w:rPr>
          <w:rFonts w:ascii="Times New Roman" w:hAnsi="Times New Roman" w:eastAsia="Times New Roman" w:cs="Times New Roman"/>
          <w:sz w:val="22"/>
          <w:szCs w:val="22"/>
        </w:rPr>
        <w:t xml:space="preserve">Cibas, E.S., &amp; Ali, S.Z. (2009). </w:t>
      </w:r>
      <w:r>
        <w:rPr>
          <w:rFonts w:ascii="Times New Roman" w:hAnsi="Times New Roman" w:eastAsia="Times New Roman" w:cs="Times New Roman"/>
          <w:i/>
          <w:iCs/>
          <w:sz w:val="22"/>
          <w:szCs w:val="22"/>
        </w:rPr>
        <w:t>The Bethesda System for Reporting Thyroid Cytopathology.</w:t>
      </w:r>
      <w:r>
        <w:rPr>
          <w:rFonts w:ascii="Times New Roman" w:hAnsi="Times New Roman" w:eastAsia="Times New Roman" w:cs="Times New Roman"/>
          <w:sz w:val="22"/>
          <w:szCs w:val="22"/>
        </w:rPr>
        <w:t xml:space="preserve"> </w:t>
      </w:r>
      <w:r>
        <w:rPr>
          <w:rFonts w:ascii="Times New Roman" w:hAnsi="Times New Roman" w:eastAsia="Times New Roman" w:cs="Times New Roman"/>
          <w:i/>
          <w:iCs/>
          <w:sz w:val="22"/>
          <w:szCs w:val="22"/>
        </w:rPr>
        <w:t>American Journal of Clinical Pathology, 132</w:t>
      </w:r>
      <w:r>
        <w:rPr>
          <w:rFonts w:ascii="Times New Roman" w:hAnsi="Times New Roman" w:eastAsia="Times New Roman" w:cs="Times New Roman"/>
          <w:sz w:val="22"/>
          <w:szCs w:val="22"/>
        </w:rPr>
        <w:t>(5), 658-665.</w:t>
      </w:r>
    </w:p>
    <w:p w14:paraId="6FF13C43">
      <w:pPr>
        <w:spacing w:before="100" w:beforeAutospacing="1" w:after="100" w:afterAutospacing="1" w:line="240" w:lineRule="auto"/>
        <w:ind w:left="720"/>
        <w:rPr>
          <w:rFonts w:ascii="Times New Roman" w:hAnsi="Times New Roman" w:eastAsia="Times New Roman" w:cs="Times New Roman"/>
          <w:sz w:val="22"/>
          <w:szCs w:val="22"/>
        </w:rPr>
      </w:pPr>
    </w:p>
    <w:tbl>
      <w:tblPr>
        <w:tblStyle w:val="11"/>
        <w:tblW w:w="0" w:type="auto"/>
        <w:tblCellSpacing w:w="15" w:type="dxa"/>
        <w:tblInd w:w="0" w:type="dxa"/>
        <w:tblLayout w:type="autofit"/>
        <w:tblCellMar>
          <w:top w:w="15" w:type="dxa"/>
          <w:left w:w="15" w:type="dxa"/>
          <w:bottom w:w="15" w:type="dxa"/>
          <w:right w:w="15" w:type="dxa"/>
        </w:tblCellMar>
      </w:tblPr>
      <w:tblGrid>
        <w:gridCol w:w="81"/>
        <w:gridCol w:w="81"/>
      </w:tblGrid>
      <w:tr w14:paraId="16E648C1">
        <w:tblPrEx>
          <w:tblCellMar>
            <w:top w:w="15" w:type="dxa"/>
            <w:left w:w="15" w:type="dxa"/>
            <w:bottom w:w="15" w:type="dxa"/>
            <w:right w:w="15" w:type="dxa"/>
          </w:tblCellMar>
        </w:tblPrEx>
        <w:trPr>
          <w:tblHeader/>
          <w:tblCellSpacing w:w="15" w:type="dxa"/>
        </w:trPr>
        <w:tc>
          <w:tcPr>
            <w:tcW w:w="0" w:type="auto"/>
            <w:vAlign w:val="center"/>
          </w:tcPr>
          <w:p w14:paraId="77849D0F">
            <w:pPr>
              <w:spacing w:after="0" w:line="240" w:lineRule="auto"/>
              <w:rPr>
                <w:rFonts w:ascii="Times New Roman" w:hAnsi="Times New Roman" w:eastAsia="Times New Roman" w:cs="Times New Roman"/>
                <w:b/>
                <w:bCs/>
                <w:sz w:val="22"/>
                <w:szCs w:val="22"/>
              </w:rPr>
            </w:pPr>
          </w:p>
        </w:tc>
        <w:tc>
          <w:tcPr>
            <w:tcW w:w="0" w:type="auto"/>
            <w:vAlign w:val="center"/>
          </w:tcPr>
          <w:p w14:paraId="6C04E718">
            <w:pPr>
              <w:spacing w:after="0" w:line="240" w:lineRule="auto"/>
              <w:rPr>
                <w:rFonts w:ascii="Times New Roman" w:hAnsi="Times New Roman" w:eastAsia="Times New Roman" w:cs="Times New Roman"/>
                <w:b/>
                <w:bCs/>
                <w:sz w:val="22"/>
                <w:szCs w:val="22"/>
              </w:rPr>
            </w:pPr>
          </w:p>
        </w:tc>
      </w:tr>
    </w:tbl>
    <w:p w14:paraId="55DCA54D">
      <w:pPr>
        <w:spacing w:after="0" w:line="240" w:lineRule="auto"/>
        <w:rPr>
          <w:rFonts w:ascii="Times New Roman" w:hAnsi="Times New Roman" w:eastAsia="Times New Roman" w:cs="Times New Roman"/>
          <w:sz w:val="22"/>
          <w:szCs w:val="22"/>
        </w:rPr>
      </w:pPr>
    </w:p>
    <w:p w14:paraId="5207CA68">
      <w:pPr>
        <w:spacing w:before="100" w:beforeAutospacing="1" w:after="100" w:afterAutospacing="1" w:line="240" w:lineRule="auto"/>
        <w:ind w:left="450"/>
        <w:rPr>
          <w:rFonts w:ascii="Times New Roman" w:hAnsi="Times New Roman" w:eastAsia="Times New Roman" w:cs="Times New Roman"/>
          <w:sz w:val="22"/>
          <w:szCs w:val="22"/>
        </w:rPr>
      </w:pPr>
    </w:p>
    <w:p w14:paraId="547F49A9">
      <w:pPr>
        <w:pStyle w:val="18"/>
        <w:ind w:left="810"/>
        <w:rPr>
          <w:b/>
          <w:sz w:val="22"/>
          <w:szCs w:val="22"/>
        </w:rPr>
      </w:pPr>
    </w:p>
    <w:sectPr>
      <w:headerReference r:id="rId5" w:type="first"/>
      <w:pgSz w:w="12240" w:h="15840"/>
      <w:pgMar w:top="1440" w:right="1440" w:bottom="1440" w:left="1440" w:header="720" w:footer="720"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DAFCB">
    <w:pPr>
      <w:keepNext w:val="0"/>
      <w:keepLines w:val="0"/>
      <w:widowControl/>
      <w:suppressLineNumbers w:val="0"/>
      <w:spacing w:before="0" w:beforeAutospacing="1" w:after="160" w:afterAutospacing="0" w:line="256" w:lineRule="auto"/>
      <w:ind w:left="0" w:right="0"/>
      <w:jc w:val="left"/>
      <w:rPr>
        <w:rFonts w:hint="default"/>
        <w:highlight w:val="none"/>
        <w:lang w:val="en-US"/>
      </w:rPr>
    </w:pPr>
    <w:r>
      <w:rPr>
        <w:rFonts w:hint="default" w:ascii="Times New Roman" w:hAnsi="Times New Roman" w:cs="Times New Roman" w:eastAsiaTheme="minorHAnsi"/>
        <w:b/>
        <w:bCs w:val="0"/>
        <w:kern w:val="0"/>
        <w:sz w:val="28"/>
        <w:szCs w:val="28"/>
        <w:highlight w:val="none"/>
        <w:lang w:val="en-US" w:eastAsia="zh-CN" w:bidi="ar"/>
      </w:rPr>
      <w:t>Correlation of Fine-Needle Aspiration Cytology (FNAC) with Ultrasound Thyroid Scoring and Histopathological Biopsy in Evaluating</w:t>
    </w:r>
    <w:r>
      <w:rPr>
        <w:rFonts w:hint="default" w:ascii="Times New Roman" w:hAnsi="Times New Roman" w:cs="Times New Roman"/>
        <w:b/>
        <w:bCs w:val="0"/>
        <w:kern w:val="0"/>
        <w:sz w:val="28"/>
        <w:szCs w:val="28"/>
        <w:highlight w:val="none"/>
        <w:lang w:val="en-US" w:eastAsia="zh-CN" w:bidi="ar"/>
      </w:rPr>
      <w:t xml:space="preserve"> Thyroid</w:t>
    </w:r>
    <w:r>
      <w:rPr>
        <w:rFonts w:hint="default" w:ascii="Times New Roman" w:hAnsi="Times New Roman" w:cs="Times New Roman" w:eastAsiaTheme="minorHAnsi"/>
        <w:b/>
        <w:bCs w:val="0"/>
        <w:kern w:val="0"/>
        <w:sz w:val="28"/>
        <w:szCs w:val="28"/>
        <w:highlight w:val="none"/>
        <w:lang w:val="en-US" w:eastAsia="zh-CN" w:bidi="ar"/>
      </w:rPr>
      <w:t xml:space="preserve"> Swelling</w:t>
    </w:r>
    <w:r>
      <w:rPr>
        <w:rFonts w:hint="default" w:ascii="Times New Roman" w:hAnsi="Times New Roman" w:cs="Times New Roman"/>
        <w:b/>
        <w:bCs w:val="0"/>
        <w:kern w:val="0"/>
        <w:sz w:val="28"/>
        <w:szCs w:val="28"/>
        <w:highlight w:val="none"/>
        <w:lang w:val="en-US" w:eastAsia="zh-CN" w:bidi="ar"/>
      </w:rPr>
      <w:t>. A Prospective Study</w:t>
    </w:r>
  </w:p>
  <w:p w14:paraId="6E4E7B57">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1DF534"/>
    <w:multiLevelType w:val="singleLevel"/>
    <w:tmpl w:val="901DF534"/>
    <w:lvl w:ilvl="0" w:tentative="0">
      <w:start w:val="1"/>
      <w:numFmt w:val="bullet"/>
      <w:lvlText w:val=""/>
      <w:lvlJc w:val="left"/>
      <w:pPr>
        <w:tabs>
          <w:tab w:val="left" w:pos="420"/>
        </w:tabs>
        <w:ind w:left="420" w:leftChars="0" w:hanging="420" w:firstLineChars="0"/>
      </w:pPr>
      <w:rPr>
        <w:rFonts w:hint="default" w:ascii="Wingdings" w:hAnsi="Wingdings"/>
        <w:b/>
        <w:bCs/>
        <w:sz w:val="15"/>
        <w:szCs w:val="15"/>
      </w:rPr>
    </w:lvl>
  </w:abstractNum>
  <w:abstractNum w:abstractNumId="1">
    <w:nsid w:val="9CAE55E0"/>
    <w:multiLevelType w:val="singleLevel"/>
    <w:tmpl w:val="9CAE55E0"/>
    <w:lvl w:ilvl="0" w:tentative="0">
      <w:start w:val="1"/>
      <w:numFmt w:val="decimal"/>
      <w:lvlText w:val="%1."/>
      <w:lvlJc w:val="left"/>
      <w:pPr>
        <w:tabs>
          <w:tab w:val="left" w:pos="425"/>
        </w:tabs>
        <w:ind w:left="425" w:leftChars="0" w:hanging="425" w:firstLineChars="0"/>
      </w:pPr>
      <w:rPr>
        <w:rFonts w:hint="default"/>
        <w:b w:val="0"/>
        <w:bCs w:val="0"/>
        <w:sz w:val="20"/>
        <w:szCs w:val="20"/>
      </w:rPr>
    </w:lvl>
  </w:abstractNum>
  <w:abstractNum w:abstractNumId="2">
    <w:nsid w:val="0AD276CF"/>
    <w:multiLevelType w:val="singleLevel"/>
    <w:tmpl w:val="0AD276CF"/>
    <w:lvl w:ilvl="0" w:tentative="0">
      <w:start w:val="1"/>
      <w:numFmt w:val="decimal"/>
      <w:lvlText w:val="%1)"/>
      <w:lvlJc w:val="left"/>
      <w:pPr>
        <w:tabs>
          <w:tab w:val="left" w:pos="425"/>
        </w:tabs>
        <w:ind w:left="425" w:leftChars="0" w:hanging="425" w:firstLineChars="0"/>
      </w:pPr>
      <w:rPr>
        <w:rFonts w:hint="default"/>
        <w:sz w:val="20"/>
        <w:szCs w:val="20"/>
      </w:rPr>
    </w:lvl>
  </w:abstractNum>
  <w:abstractNum w:abstractNumId="3">
    <w:nsid w:val="0D18BFA4"/>
    <w:multiLevelType w:val="singleLevel"/>
    <w:tmpl w:val="0D18BFA4"/>
    <w:lvl w:ilvl="0" w:tentative="0">
      <w:start w:val="1"/>
      <w:numFmt w:val="decimal"/>
      <w:lvlText w:val="%1."/>
      <w:lvlJc w:val="left"/>
      <w:pPr>
        <w:tabs>
          <w:tab w:val="left" w:pos="425"/>
        </w:tabs>
        <w:ind w:left="425" w:leftChars="0" w:hanging="425" w:firstLineChars="0"/>
      </w:pPr>
      <w:rPr>
        <w:rFonts w:hint="default"/>
      </w:rPr>
    </w:lvl>
  </w:abstractNum>
  <w:abstractNum w:abstractNumId="4">
    <w:nsid w:val="1E2B1090"/>
    <w:multiLevelType w:val="multilevel"/>
    <w:tmpl w:val="1E2B109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2378642C"/>
    <w:multiLevelType w:val="multilevel"/>
    <w:tmpl w:val="2378642C"/>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258A9075"/>
    <w:multiLevelType w:val="singleLevel"/>
    <w:tmpl w:val="258A9075"/>
    <w:lvl w:ilvl="0" w:tentative="0">
      <w:start w:val="1"/>
      <w:numFmt w:val="decimal"/>
      <w:lvlText w:val="%1."/>
      <w:lvlJc w:val="left"/>
      <w:pPr>
        <w:tabs>
          <w:tab w:val="left" w:pos="425"/>
        </w:tabs>
        <w:ind w:left="425" w:leftChars="0" w:hanging="425" w:firstLineChars="0"/>
      </w:pPr>
      <w:rPr>
        <w:rFonts w:hint="default"/>
        <w:sz w:val="20"/>
        <w:szCs w:val="20"/>
      </w:rPr>
    </w:lvl>
  </w:abstractNum>
  <w:abstractNum w:abstractNumId="7">
    <w:nsid w:val="3F0D1897"/>
    <w:multiLevelType w:val="multilevel"/>
    <w:tmpl w:val="3F0D1897"/>
    <w:lvl w:ilvl="0" w:tentative="0">
      <w:start w:val="1"/>
      <w:numFmt w:val="decimal"/>
      <w:lvlText w:val="%1."/>
      <w:lvlJc w:val="left"/>
      <w:pPr>
        <w:ind w:left="360" w:hanging="360"/>
      </w:pPr>
      <w:rPr>
        <w:rFonts w:hint="default"/>
        <w:b w:val="0"/>
        <w:bCs w:val="0"/>
        <w:sz w:val="22"/>
        <w:szCs w:val="22"/>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num w:numId="1">
    <w:abstractNumId w:val="7"/>
  </w:num>
  <w:num w:numId="2">
    <w:abstractNumId w:val="3"/>
  </w:num>
  <w:num w:numId="3">
    <w:abstractNumId w:val="6"/>
  </w:num>
  <w:num w:numId="4">
    <w:abstractNumId w:val="1"/>
  </w:num>
  <w:num w:numId="5">
    <w:abstractNumId w:val="2"/>
  </w:num>
  <w:num w:numId="6">
    <w:abstractNumId w:val="0"/>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bordersDoNotSurroundHeader w:val="0"/>
  <w:bordersDoNotSurroundFooter w:val="0"/>
  <w:documentProtection w:enforcement="0"/>
  <w:defaultTabStop w:val="720"/>
  <w:displayHorizontalDrawingGridEvery w:val="0"/>
  <w:displayVerticalDrawingGridEvery w:val="2"/>
  <w:characterSpacingControl w:val="doNotCompress"/>
  <w:footnotePr>
    <w:footnote w:id="0"/>
    <w:footnote w:id="1"/>
  </w:footnotePr>
  <w:endnotePr>
    <w:endnote w:id="0"/>
    <w:endnote w:id="1"/>
  </w:endnotePr>
  <w:compat>
    <w:balanceSingleByteDoubleByteWidth/>
    <w:doNotExpandShiftReturn/>
    <w:adjustLineHeightInTable/>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814"/>
    <w:rsid w:val="000A27D7"/>
    <w:rsid w:val="0012057D"/>
    <w:rsid w:val="001C1D05"/>
    <w:rsid w:val="0030469A"/>
    <w:rsid w:val="00320D05"/>
    <w:rsid w:val="004F7198"/>
    <w:rsid w:val="004F77F1"/>
    <w:rsid w:val="005B191C"/>
    <w:rsid w:val="00766B9F"/>
    <w:rsid w:val="007A264E"/>
    <w:rsid w:val="007A7ABF"/>
    <w:rsid w:val="007D390A"/>
    <w:rsid w:val="00867A5F"/>
    <w:rsid w:val="00881976"/>
    <w:rsid w:val="008E1DA9"/>
    <w:rsid w:val="009224CC"/>
    <w:rsid w:val="00A87814"/>
    <w:rsid w:val="00AB6639"/>
    <w:rsid w:val="00B00E33"/>
    <w:rsid w:val="00C47DE7"/>
    <w:rsid w:val="00D6393B"/>
    <w:rsid w:val="00DB4060"/>
    <w:rsid w:val="00DC3F02"/>
    <w:rsid w:val="00DE281B"/>
    <w:rsid w:val="00EE3A3A"/>
    <w:rsid w:val="252063E2"/>
    <w:rsid w:val="31353E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24"/>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23"/>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link w:val="22"/>
    <w:unhideWhenUsed/>
    <w:qFormat/>
    <w:uiPriority w:val="9"/>
    <w:pPr>
      <w:keepNext/>
      <w:keepLines/>
      <w:spacing w:before="40" w:after="0"/>
      <w:outlineLvl w:val="2"/>
    </w:pPr>
    <w:rPr>
      <w:rFonts w:asciiTheme="majorHAnsi" w:hAnsiTheme="majorHAnsi" w:eastAsiaTheme="majorEastAsia" w:cstheme="majorBidi"/>
      <w:color w:val="1F4E79" w:themeColor="accent1" w:themeShade="80"/>
      <w:sz w:val="24"/>
      <w:szCs w:val="24"/>
    </w:rPr>
  </w:style>
  <w:style w:type="paragraph" w:styleId="5">
    <w:name w:val="heading 4"/>
    <w:basedOn w:val="1"/>
    <w:next w:val="1"/>
    <w:link w:val="19"/>
    <w:unhideWhenUsed/>
    <w:qFormat/>
    <w:uiPriority w:val="9"/>
    <w:pPr>
      <w:keepNext/>
      <w:keepLines/>
      <w:spacing w:before="40" w:after="0"/>
      <w:outlineLvl w:val="3"/>
    </w:pPr>
    <w:rPr>
      <w:rFonts w:asciiTheme="majorHAnsi" w:hAnsiTheme="majorHAnsi" w:eastAsiaTheme="majorEastAsia" w:cstheme="majorBidi"/>
      <w:i/>
      <w:iCs/>
      <w:color w:val="2E75B6" w:themeColor="accent1" w:themeShade="BF"/>
    </w:rPr>
  </w:style>
  <w:style w:type="paragraph" w:styleId="6">
    <w:name w:val="heading 5"/>
    <w:basedOn w:val="1"/>
    <w:next w:val="1"/>
    <w:link w:val="20"/>
    <w:unhideWhenUsed/>
    <w:qFormat/>
    <w:uiPriority w:val="9"/>
    <w:pPr>
      <w:keepNext/>
      <w:keepLines/>
      <w:spacing w:before="40" w:after="0"/>
      <w:outlineLvl w:val="4"/>
    </w:pPr>
    <w:rPr>
      <w:rFonts w:asciiTheme="majorHAnsi" w:hAnsiTheme="majorHAnsi" w:eastAsiaTheme="majorEastAsia" w:cstheme="majorBidi"/>
      <w:color w:val="2E75B6" w:themeColor="accent1" w:themeShade="BF"/>
    </w:rPr>
  </w:style>
  <w:style w:type="paragraph" w:styleId="7">
    <w:name w:val="heading 6"/>
    <w:basedOn w:val="1"/>
    <w:next w:val="1"/>
    <w:link w:val="21"/>
    <w:unhideWhenUsed/>
    <w:qFormat/>
    <w:uiPriority w:val="9"/>
    <w:pPr>
      <w:keepNext/>
      <w:keepLines/>
      <w:spacing w:before="40" w:after="0"/>
      <w:outlineLvl w:val="5"/>
    </w:pPr>
    <w:rPr>
      <w:rFonts w:asciiTheme="majorHAnsi" w:hAnsiTheme="majorHAnsi" w:eastAsiaTheme="majorEastAsia" w:cstheme="majorBidi"/>
      <w:color w:val="1F4E79" w:themeColor="accent1" w:themeShade="80"/>
    </w:rPr>
  </w:style>
  <w:style w:type="paragraph" w:styleId="8">
    <w:name w:val="heading 7"/>
    <w:basedOn w:val="1"/>
    <w:next w:val="1"/>
    <w:link w:val="25"/>
    <w:unhideWhenUsed/>
    <w:qFormat/>
    <w:uiPriority w:val="9"/>
    <w:pPr>
      <w:keepNext/>
      <w:keepLines/>
      <w:spacing w:before="40" w:after="0"/>
      <w:outlineLvl w:val="6"/>
    </w:pPr>
    <w:rPr>
      <w:rFonts w:asciiTheme="majorHAnsi" w:hAnsiTheme="majorHAnsi" w:eastAsiaTheme="majorEastAsia" w:cstheme="majorBidi"/>
      <w:i/>
      <w:iCs/>
      <w:color w:val="1F4E79" w:themeColor="accent1" w:themeShade="80"/>
    </w:rPr>
  </w:style>
  <w:style w:type="paragraph" w:styleId="9">
    <w:name w:val="heading 8"/>
    <w:basedOn w:val="1"/>
    <w:next w:val="1"/>
    <w:link w:val="26"/>
    <w:unhideWhenUsed/>
    <w:qFormat/>
    <w:uiPriority w:val="9"/>
    <w:pPr>
      <w:keepNext/>
      <w:keepLines/>
      <w:spacing w:before="40" w:after="0"/>
      <w:outlineLvl w:val="7"/>
    </w:pPr>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character" w:default="1" w:styleId="10">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12">
    <w:name w:val="footer"/>
    <w:basedOn w:val="1"/>
    <w:semiHidden/>
    <w:unhideWhenUsed/>
    <w:uiPriority w:val="99"/>
    <w:pPr>
      <w:tabs>
        <w:tab w:val="center" w:pos="4153"/>
        <w:tab w:val="right" w:pos="8306"/>
      </w:tabs>
      <w:snapToGrid w:val="0"/>
      <w:jc w:val="left"/>
    </w:pPr>
    <w:rPr>
      <w:sz w:val="18"/>
      <w:szCs w:val="18"/>
    </w:rPr>
  </w:style>
  <w:style w:type="paragraph" w:styleId="13">
    <w:name w:val="header"/>
    <w:basedOn w:val="1"/>
    <w:semiHidden/>
    <w:unhideWhenUsed/>
    <w:uiPriority w:val="99"/>
    <w:pPr>
      <w:tabs>
        <w:tab w:val="center" w:pos="4153"/>
        <w:tab w:val="right" w:pos="8306"/>
      </w:tabs>
      <w:snapToGrid w:val="0"/>
    </w:pPr>
    <w:rPr>
      <w:sz w:val="18"/>
      <w:szCs w:val="18"/>
    </w:rPr>
  </w:style>
  <w:style w:type="character" w:styleId="14">
    <w:name w:val="Hyperlink"/>
    <w:basedOn w:val="10"/>
    <w:semiHidden/>
    <w:unhideWhenUsed/>
    <w:qFormat/>
    <w:uiPriority w:val="99"/>
    <w:rPr>
      <w:color w:val="0563C1"/>
      <w:u w:val="single"/>
    </w:rPr>
  </w:style>
  <w:style w:type="paragraph" w:styleId="15">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16">
    <w:name w:val="Strong"/>
    <w:basedOn w:val="10"/>
    <w:qFormat/>
    <w:uiPriority w:val="22"/>
    <w:rPr>
      <w:b/>
      <w:bCs/>
    </w:rPr>
  </w:style>
  <w:style w:type="table" w:styleId="17">
    <w:name w:val="Table Grid"/>
    <w:basedOn w:val="11"/>
    <w:qFormat/>
    <w:uiPriority w:val="99"/>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8">
    <w:name w:val="List Paragraph"/>
    <w:basedOn w:val="1"/>
    <w:qFormat/>
    <w:uiPriority w:val="34"/>
    <w:pPr>
      <w:ind w:left="720"/>
      <w:contextualSpacing/>
    </w:pPr>
  </w:style>
  <w:style w:type="character" w:customStyle="1" w:styleId="19">
    <w:name w:val="Heading 4 Char"/>
    <w:basedOn w:val="10"/>
    <w:link w:val="5"/>
    <w:qFormat/>
    <w:uiPriority w:val="9"/>
    <w:rPr>
      <w:rFonts w:asciiTheme="majorHAnsi" w:hAnsiTheme="majorHAnsi" w:eastAsiaTheme="majorEastAsia" w:cstheme="majorBidi"/>
      <w:i/>
      <w:iCs/>
      <w:color w:val="2E75B6" w:themeColor="accent1" w:themeShade="BF"/>
    </w:rPr>
  </w:style>
  <w:style w:type="character" w:customStyle="1" w:styleId="20">
    <w:name w:val="Heading 5 Char"/>
    <w:basedOn w:val="10"/>
    <w:link w:val="6"/>
    <w:qFormat/>
    <w:uiPriority w:val="9"/>
    <w:rPr>
      <w:rFonts w:asciiTheme="majorHAnsi" w:hAnsiTheme="majorHAnsi" w:eastAsiaTheme="majorEastAsia" w:cstheme="majorBidi"/>
      <w:color w:val="2E75B6" w:themeColor="accent1" w:themeShade="BF"/>
    </w:rPr>
  </w:style>
  <w:style w:type="character" w:customStyle="1" w:styleId="21">
    <w:name w:val="Heading 6 Char"/>
    <w:basedOn w:val="10"/>
    <w:link w:val="7"/>
    <w:qFormat/>
    <w:uiPriority w:val="9"/>
    <w:rPr>
      <w:rFonts w:asciiTheme="majorHAnsi" w:hAnsiTheme="majorHAnsi" w:eastAsiaTheme="majorEastAsia" w:cstheme="majorBidi"/>
      <w:color w:val="1F4E79" w:themeColor="accent1" w:themeShade="80"/>
    </w:rPr>
  </w:style>
  <w:style w:type="character" w:customStyle="1" w:styleId="22">
    <w:name w:val="Heading 3 Char"/>
    <w:basedOn w:val="10"/>
    <w:link w:val="4"/>
    <w:qFormat/>
    <w:uiPriority w:val="9"/>
    <w:rPr>
      <w:rFonts w:asciiTheme="majorHAnsi" w:hAnsiTheme="majorHAnsi" w:eastAsiaTheme="majorEastAsia" w:cstheme="majorBidi"/>
      <w:color w:val="1F4E79" w:themeColor="accent1" w:themeShade="80"/>
      <w:sz w:val="24"/>
      <w:szCs w:val="24"/>
    </w:rPr>
  </w:style>
  <w:style w:type="character" w:customStyle="1" w:styleId="23">
    <w:name w:val="Heading 2 Char"/>
    <w:basedOn w:val="10"/>
    <w:link w:val="3"/>
    <w:qFormat/>
    <w:uiPriority w:val="9"/>
    <w:rPr>
      <w:rFonts w:asciiTheme="majorHAnsi" w:hAnsiTheme="majorHAnsi" w:eastAsiaTheme="majorEastAsia" w:cstheme="majorBidi"/>
      <w:color w:val="2E75B6" w:themeColor="accent1" w:themeShade="BF"/>
      <w:sz w:val="26"/>
      <w:szCs w:val="26"/>
    </w:rPr>
  </w:style>
  <w:style w:type="character" w:customStyle="1" w:styleId="24">
    <w:name w:val="Heading 1 Char"/>
    <w:basedOn w:val="10"/>
    <w:link w:val="2"/>
    <w:qFormat/>
    <w:uiPriority w:val="9"/>
    <w:rPr>
      <w:rFonts w:asciiTheme="majorHAnsi" w:hAnsiTheme="majorHAnsi" w:eastAsiaTheme="majorEastAsia" w:cstheme="majorBidi"/>
      <w:color w:val="2E75B6" w:themeColor="accent1" w:themeShade="BF"/>
      <w:sz w:val="32"/>
      <w:szCs w:val="32"/>
    </w:rPr>
  </w:style>
  <w:style w:type="character" w:customStyle="1" w:styleId="25">
    <w:name w:val="Heading 7 Char"/>
    <w:basedOn w:val="10"/>
    <w:link w:val="8"/>
    <w:qFormat/>
    <w:uiPriority w:val="9"/>
    <w:rPr>
      <w:rFonts w:asciiTheme="majorHAnsi" w:hAnsiTheme="majorHAnsi" w:eastAsiaTheme="majorEastAsia" w:cstheme="majorBidi"/>
      <w:i/>
      <w:iCs/>
      <w:color w:val="1F4E79" w:themeColor="accent1" w:themeShade="80"/>
    </w:rPr>
  </w:style>
  <w:style w:type="character" w:customStyle="1" w:styleId="26">
    <w:name w:val="Heading 8 Char"/>
    <w:basedOn w:val="10"/>
    <w:link w:val="9"/>
    <w:qFormat/>
    <w:uiPriority w:val="9"/>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1427</Words>
  <Characters>8134</Characters>
  <Lines>1</Lines>
  <Paragraphs>1</Paragraphs>
  <TotalTime>0</TotalTime>
  <ScaleCrop>false</ScaleCrop>
  <LinksUpToDate>false</LinksUpToDate>
  <CharactersWithSpaces>9542</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2025-01-29T13:11:00Z</dcterms:created>
  <dc:creator>ADMIN</dc:creator>
  <cp:lastModifiedBy>Imtiaz Ullah</cp:lastModifiedBy>
  <dcterms:modified xsi:type="dcterms:W3CDTF">2025-02-06T18:57:16Z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8D789CFEB28C491587CED4D0080FB187_13</vt:lpwstr>
  </property>
</Properties>
</file>