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C5CDF" w14:textId="77777777" w:rsidR="00C731D3" w:rsidRDefault="00C731D3" w:rsidP="00C731D3">
      <w:pPr>
        <w:spacing w:after="0"/>
        <w:ind w:left="1"/>
        <w:jc w:val="center"/>
      </w:pPr>
      <w:r>
        <w:rPr>
          <w:rFonts w:ascii="Arial" w:eastAsia="Arial" w:hAnsi="Arial" w:cs="Arial"/>
          <w:b/>
          <w:sz w:val="28"/>
          <w:u w:val="single" w:color="000000"/>
        </w:rPr>
        <w:t>DISCUSSION</w:t>
      </w:r>
      <w:r>
        <w:rPr>
          <w:rFonts w:ascii="Arial" w:eastAsia="Arial" w:hAnsi="Arial" w:cs="Arial"/>
          <w:b/>
          <w:sz w:val="28"/>
        </w:rPr>
        <w:t xml:space="preserve"> </w:t>
      </w:r>
    </w:p>
    <w:p w14:paraId="60038B9C" w14:textId="77777777" w:rsidR="00C731D3" w:rsidRDefault="00C731D3" w:rsidP="00C731D3">
      <w:pPr>
        <w:spacing w:after="19"/>
      </w:pPr>
      <w:r>
        <w:rPr>
          <w:rFonts w:ascii="Arial" w:eastAsia="Arial" w:hAnsi="Arial" w:cs="Arial"/>
          <w:sz w:val="24"/>
        </w:rPr>
        <w:t xml:space="preserve"> </w:t>
      </w:r>
    </w:p>
    <w:p w14:paraId="030FCD25" w14:textId="77777777" w:rsidR="00C731D3" w:rsidRPr="008F6050" w:rsidRDefault="00C731D3" w:rsidP="00C731D3">
      <w:pPr>
        <w:spacing w:after="0" w:line="276" w:lineRule="auto"/>
        <w:ind w:left="-5" w:right="-8" w:hanging="10"/>
        <w:jc w:val="both"/>
        <w:rPr>
          <w:rFonts w:ascii="Arial" w:eastAsia="Arial" w:hAnsi="Arial" w:cs="Arial"/>
          <w:sz w:val="24"/>
        </w:rPr>
      </w:pPr>
      <w:r>
        <w:rPr>
          <w:rFonts w:ascii="Arial" w:eastAsia="Arial" w:hAnsi="Arial" w:cs="Arial"/>
          <w:sz w:val="24"/>
        </w:rPr>
        <w:t xml:space="preserve">Laparoscopic cholecystectomy is presently regarded as the gold standard in the surgical management of gallbladder stones. Due to its low invasiveness and safety, less surgical problems, quicker recovery, and noticeably shorter hospital stay, LC is used more frequently than open cholecystectomy (OC) in many facilities worldwide. </w:t>
      </w:r>
      <w:r w:rsidRPr="000B5C89">
        <w:rPr>
          <w:rFonts w:ascii="Arial" w:eastAsia="Arial" w:hAnsi="Arial" w:cs="Arial"/>
          <w:sz w:val="24"/>
        </w:rPr>
        <w:t>Conversion to open surgery may be necessary to prevent injury (e.g. bile duct injury), treat an intraoperative complication (e.g. bleeding, bowel injury, bile duct injury) or due to failure to</w:t>
      </w:r>
      <w:r>
        <w:rPr>
          <w:rFonts w:ascii="Arial" w:eastAsia="Arial" w:hAnsi="Arial" w:cs="Arial"/>
          <w:sz w:val="24"/>
        </w:rPr>
        <w:t xml:space="preserve"> </w:t>
      </w:r>
      <w:r w:rsidRPr="000B5C89">
        <w:rPr>
          <w:rFonts w:ascii="Arial" w:eastAsia="Arial" w:hAnsi="Arial" w:cs="Arial"/>
          <w:sz w:val="24"/>
        </w:rPr>
        <w:t>progress.</w:t>
      </w:r>
      <w:r>
        <w:rPr>
          <w:rFonts w:ascii="Arial" w:eastAsia="Arial" w:hAnsi="Arial" w:cs="Arial"/>
          <w:sz w:val="24"/>
        </w:rPr>
        <w:t xml:space="preserve"> There are many risk factors which predict the conversion from LC to OC. </w:t>
      </w:r>
    </w:p>
    <w:p w14:paraId="103DC662" w14:textId="77777777" w:rsidR="00C731D3" w:rsidRPr="00A50019" w:rsidRDefault="00C731D3" w:rsidP="00C731D3">
      <w:pPr>
        <w:spacing w:after="0" w:line="276" w:lineRule="auto"/>
        <w:ind w:left="-5" w:right="-8" w:hanging="10"/>
        <w:jc w:val="both"/>
        <w:rPr>
          <w:vertAlign w:val="superscript"/>
        </w:rPr>
      </w:pPr>
      <w:proofErr w:type="spellStart"/>
      <w:r>
        <w:rPr>
          <w:rFonts w:ascii="Arial" w:eastAsia="Arial" w:hAnsi="Arial" w:cs="Arial"/>
          <w:sz w:val="24"/>
        </w:rPr>
        <w:t>Warchalowski</w:t>
      </w:r>
      <w:proofErr w:type="spellEnd"/>
      <w:r>
        <w:rPr>
          <w:rFonts w:ascii="Arial" w:eastAsia="Arial" w:hAnsi="Arial" w:cs="Arial"/>
          <w:sz w:val="24"/>
        </w:rPr>
        <w:t xml:space="preserve"> et. </w:t>
      </w:r>
      <w:proofErr w:type="gramStart"/>
      <w:r>
        <w:rPr>
          <w:rFonts w:ascii="Arial" w:eastAsia="Arial" w:hAnsi="Arial" w:cs="Arial"/>
          <w:sz w:val="24"/>
        </w:rPr>
        <w:t>Al(</w:t>
      </w:r>
      <w:proofErr w:type="gramEnd"/>
      <w:r>
        <w:rPr>
          <w:rFonts w:ascii="Arial" w:eastAsia="Arial" w:hAnsi="Arial" w:cs="Arial"/>
          <w:sz w:val="24"/>
        </w:rPr>
        <w:t xml:space="preserve">2020) stated the time during the day when the surgery is </w:t>
      </w:r>
      <w:proofErr w:type="spellStart"/>
      <w:proofErr w:type="gramStart"/>
      <w:r>
        <w:rPr>
          <w:rFonts w:ascii="Arial" w:eastAsia="Arial" w:hAnsi="Arial" w:cs="Arial"/>
          <w:sz w:val="24"/>
        </w:rPr>
        <w:t>performed,limited</w:t>
      </w:r>
      <w:proofErr w:type="spellEnd"/>
      <w:proofErr w:type="gramEnd"/>
      <w:r>
        <w:rPr>
          <w:rFonts w:ascii="Arial" w:eastAsia="Arial" w:hAnsi="Arial" w:cs="Arial"/>
          <w:sz w:val="24"/>
        </w:rPr>
        <w:t xml:space="preserve"> experience of the surgeon performing cholecystectomy, emergency </w:t>
      </w:r>
      <w:proofErr w:type="spellStart"/>
      <w:proofErr w:type="gramStart"/>
      <w:r>
        <w:rPr>
          <w:rFonts w:ascii="Arial" w:eastAsia="Arial" w:hAnsi="Arial" w:cs="Arial"/>
          <w:sz w:val="24"/>
        </w:rPr>
        <w:t>surgery,age</w:t>
      </w:r>
      <w:proofErr w:type="gramEnd"/>
      <w:r>
        <w:rPr>
          <w:rFonts w:ascii="Arial" w:eastAsia="Arial" w:hAnsi="Arial" w:cs="Arial"/>
          <w:sz w:val="24"/>
        </w:rPr>
        <w:t>,</w:t>
      </w:r>
      <w:proofErr w:type="gramStart"/>
      <w:r>
        <w:rPr>
          <w:rFonts w:ascii="Arial" w:eastAsia="Arial" w:hAnsi="Arial" w:cs="Arial"/>
          <w:sz w:val="24"/>
        </w:rPr>
        <w:t>sex,diabetes</w:t>
      </w:r>
      <w:proofErr w:type="spellEnd"/>
      <w:proofErr w:type="gramEnd"/>
      <w:r>
        <w:rPr>
          <w:rFonts w:ascii="Arial" w:eastAsia="Arial" w:hAnsi="Arial" w:cs="Arial"/>
          <w:sz w:val="24"/>
        </w:rPr>
        <w:t xml:space="preserve">, hypertension, heart disease, neurological disorders, acute cholecystitis, choledocholithiasis, and, to a lesser degree, anatomical confusion are statistically significant </w:t>
      </w:r>
      <w:proofErr w:type="spellStart"/>
      <w:proofErr w:type="gramStart"/>
      <w:r>
        <w:rPr>
          <w:rFonts w:ascii="Arial" w:eastAsia="Arial" w:hAnsi="Arial" w:cs="Arial"/>
          <w:sz w:val="24"/>
        </w:rPr>
        <w:t>factors.The</w:t>
      </w:r>
      <w:proofErr w:type="spellEnd"/>
      <w:proofErr w:type="gramEnd"/>
      <w:r>
        <w:rPr>
          <w:rFonts w:ascii="Arial" w:eastAsia="Arial" w:hAnsi="Arial" w:cs="Arial"/>
          <w:sz w:val="24"/>
        </w:rPr>
        <w:t xml:space="preserve"> conversion rate was 8.2%.</w:t>
      </w:r>
      <w:r>
        <w:rPr>
          <w:rFonts w:ascii="Arial" w:eastAsia="Arial" w:hAnsi="Arial" w:cs="Arial"/>
          <w:sz w:val="24"/>
          <w:vertAlign w:val="superscript"/>
        </w:rPr>
        <w:t>1</w:t>
      </w:r>
    </w:p>
    <w:p w14:paraId="2CF04B16" w14:textId="77777777" w:rsidR="00C731D3" w:rsidRPr="00A50019" w:rsidRDefault="00C731D3" w:rsidP="00C731D3">
      <w:pPr>
        <w:spacing w:after="0" w:line="276" w:lineRule="auto"/>
        <w:ind w:left="-5" w:right="-8" w:hanging="10"/>
        <w:jc w:val="both"/>
        <w:rPr>
          <w:vertAlign w:val="superscript"/>
        </w:rPr>
      </w:pPr>
      <w:r>
        <w:rPr>
          <w:noProof/>
        </w:rPr>
        <mc:AlternateContent>
          <mc:Choice Requires="wpg">
            <w:drawing>
              <wp:anchor distT="0" distB="0" distL="114300" distR="114300" simplePos="0" relativeHeight="251659264" behindDoc="0" locked="0" layoutInCell="1" allowOverlap="1" wp14:anchorId="674259DF" wp14:editId="777EAD54">
                <wp:simplePos x="0" y="0"/>
                <wp:positionH relativeFrom="page">
                  <wp:posOffset>6962957</wp:posOffset>
                </wp:positionH>
                <wp:positionV relativeFrom="page">
                  <wp:posOffset>3557752</wp:posOffset>
                </wp:positionV>
                <wp:extent cx="26704" cy="26720"/>
                <wp:effectExtent l="0" t="0" r="0" b="0"/>
                <wp:wrapTopAndBottom/>
                <wp:docPr id="5061" name="Group 5061"/>
                <wp:cNvGraphicFramePr/>
                <a:graphic xmlns:a="http://schemas.openxmlformats.org/drawingml/2006/main">
                  <a:graphicData uri="http://schemas.microsoft.com/office/word/2010/wordprocessingGroup">
                    <wpg:wgp>
                      <wpg:cNvGrpSpPr/>
                      <wpg:grpSpPr>
                        <a:xfrm>
                          <a:off x="0" y="0"/>
                          <a:ext cx="26704" cy="26720"/>
                          <a:chOff x="0" y="0"/>
                          <a:chExt cx="26704" cy="26720"/>
                        </a:xfrm>
                      </wpg:grpSpPr>
                      <wps:wsp>
                        <wps:cNvPr id="775" name="Shape 775"/>
                        <wps:cNvSpPr/>
                        <wps:spPr>
                          <a:xfrm>
                            <a:off x="0" y="0"/>
                            <a:ext cx="26704" cy="26720"/>
                          </a:xfrm>
                          <a:custGeom>
                            <a:avLst/>
                            <a:gdLst/>
                            <a:ahLst/>
                            <a:cxnLst/>
                            <a:rect l="0" t="0" r="0" b="0"/>
                            <a:pathLst>
                              <a:path w="26704" h="26720">
                                <a:moveTo>
                                  <a:pt x="10701" y="0"/>
                                </a:moveTo>
                                <a:lnTo>
                                  <a:pt x="16003" y="0"/>
                                </a:lnTo>
                                <a:lnTo>
                                  <a:pt x="20906" y="2029"/>
                                </a:lnTo>
                                <a:lnTo>
                                  <a:pt x="24663" y="5768"/>
                                </a:lnTo>
                                <a:lnTo>
                                  <a:pt x="26704" y="10669"/>
                                </a:lnTo>
                                <a:lnTo>
                                  <a:pt x="26704" y="16052"/>
                                </a:lnTo>
                                <a:lnTo>
                                  <a:pt x="24663" y="20952"/>
                                </a:lnTo>
                                <a:lnTo>
                                  <a:pt x="20906" y="24691"/>
                                </a:lnTo>
                                <a:lnTo>
                                  <a:pt x="16003" y="26720"/>
                                </a:lnTo>
                                <a:lnTo>
                                  <a:pt x="10701" y="26720"/>
                                </a:lnTo>
                                <a:lnTo>
                                  <a:pt x="5797" y="24691"/>
                                </a:lnTo>
                                <a:lnTo>
                                  <a:pt x="2041" y="20952"/>
                                </a:lnTo>
                                <a:lnTo>
                                  <a:pt x="0" y="16052"/>
                                </a:lnTo>
                                <a:lnTo>
                                  <a:pt x="0" y="10669"/>
                                </a:lnTo>
                                <a:lnTo>
                                  <a:pt x="2041" y="5768"/>
                                </a:lnTo>
                                <a:lnTo>
                                  <a:pt x="5797" y="2029"/>
                                </a:lnTo>
                                <a:lnTo>
                                  <a:pt x="10701" y="0"/>
                                </a:lnTo>
                                <a:close/>
                              </a:path>
                            </a:pathLst>
                          </a:custGeom>
                          <a:ln w="0" cap="flat">
                            <a:miter lim="127000"/>
                          </a:ln>
                        </wps:spPr>
                        <wps:style>
                          <a:lnRef idx="0">
                            <a:srgbClr val="000000">
                              <a:alpha val="0"/>
                            </a:srgbClr>
                          </a:lnRef>
                          <a:fillRef idx="1">
                            <a:srgbClr val="FE5252"/>
                          </a:fillRef>
                          <a:effectRef idx="0">
                            <a:scrgbClr r="0" g="0" b="0"/>
                          </a:effectRef>
                          <a:fontRef idx="none"/>
                        </wps:style>
                        <wps:bodyPr/>
                      </wps:wsp>
                    </wpg:wgp>
                  </a:graphicData>
                </a:graphic>
              </wp:anchor>
            </w:drawing>
          </mc:Choice>
          <mc:Fallback>
            <w:pict>
              <v:group w14:anchorId="598B8190" id="Group 5061" o:spid="_x0000_s1026" style="position:absolute;margin-left:548.25pt;margin-top:280.15pt;width:2.1pt;height:2.1pt;z-index:251659264;mso-position-horizontal-relative:page;mso-position-vertical-relative:page" coordsize="26704,26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">
                <v:shape id="Shape 775" o:spid="_x0000_s1027" style="position:absolute;width:26704;height:26720;visibility:visible;mso-wrap-style:square;v-text-anchor:top" coordsize="26704,2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" path="m10701,r5302,l20906,2029r3757,3739l26704,10669r,5383l24663,20952r-3757,3739l16003,26720r-5302,l5797,24691,2041,20952,,16052,,10669,2041,5768,5797,2029,10701,xe" fillcolor="#fe5252" stroked="f" strokeweight="0">
                  <v:stroke miterlimit="83231f" joinstyle="miter"/>
                  <v:path arrowok="t" textboxrect="0,0,26704,26720"/>
                </v:shape>
                <w10:wrap type="topAndBottom" anchorx="page" anchory="page"/>
              </v:group>
            </w:pict>
          </mc:Fallback>
        </mc:AlternateContent>
      </w:r>
      <w:r>
        <w:rPr>
          <w:rFonts w:ascii="Arial" w:eastAsia="Arial" w:hAnsi="Arial" w:cs="Arial"/>
          <w:sz w:val="24"/>
        </w:rPr>
        <w:t xml:space="preserve">Osuch et. Al(2020) found that Inflammatory infiltration of hepatic hilar area was the most common indication for </w:t>
      </w:r>
      <w:proofErr w:type="spellStart"/>
      <w:r>
        <w:rPr>
          <w:rFonts w:ascii="Arial" w:eastAsia="Arial" w:hAnsi="Arial" w:cs="Arial"/>
          <w:sz w:val="24"/>
        </w:rPr>
        <w:t>conversion.The</w:t>
      </w:r>
      <w:proofErr w:type="spellEnd"/>
      <w:r>
        <w:rPr>
          <w:rFonts w:ascii="Arial" w:eastAsia="Arial" w:hAnsi="Arial" w:cs="Arial"/>
          <w:sz w:val="24"/>
        </w:rPr>
        <w:t xml:space="preserve"> other reasons being difficulties in identification of Calot’s triangle </w:t>
      </w:r>
      <w:proofErr w:type="spellStart"/>
      <w:r>
        <w:rPr>
          <w:rFonts w:ascii="Arial" w:eastAsia="Arial" w:hAnsi="Arial" w:cs="Arial"/>
          <w:sz w:val="24"/>
        </w:rPr>
        <w:t>structures,Common</w:t>
      </w:r>
      <w:proofErr w:type="spellEnd"/>
      <w:r>
        <w:rPr>
          <w:rFonts w:ascii="Arial" w:eastAsia="Arial" w:hAnsi="Arial" w:cs="Arial"/>
          <w:sz w:val="24"/>
        </w:rPr>
        <w:t xml:space="preserve"> bile duct </w:t>
      </w:r>
      <w:proofErr w:type="spellStart"/>
      <w:r>
        <w:rPr>
          <w:rFonts w:ascii="Arial" w:eastAsia="Arial" w:hAnsi="Arial" w:cs="Arial"/>
          <w:sz w:val="24"/>
        </w:rPr>
        <w:t>rupture,Hemorrhage</w:t>
      </w:r>
      <w:proofErr w:type="spellEnd"/>
      <w:r>
        <w:rPr>
          <w:rFonts w:ascii="Arial" w:eastAsia="Arial" w:hAnsi="Arial" w:cs="Arial"/>
          <w:sz w:val="24"/>
        </w:rPr>
        <w:t xml:space="preserve"> of hepatic artery </w:t>
      </w:r>
      <w:proofErr w:type="spellStart"/>
      <w:r>
        <w:rPr>
          <w:rFonts w:ascii="Arial" w:eastAsia="Arial" w:hAnsi="Arial" w:cs="Arial"/>
          <w:sz w:val="24"/>
        </w:rPr>
        <w:t>branches,Abscess</w:t>
      </w:r>
      <w:proofErr w:type="spellEnd"/>
      <w:r>
        <w:rPr>
          <w:rFonts w:ascii="Arial" w:eastAsia="Arial" w:hAnsi="Arial" w:cs="Arial"/>
          <w:sz w:val="24"/>
        </w:rPr>
        <w:t xml:space="preserve"> of the Calot’s </w:t>
      </w:r>
      <w:proofErr w:type="spellStart"/>
      <w:r>
        <w:rPr>
          <w:rFonts w:ascii="Arial" w:eastAsia="Arial" w:hAnsi="Arial" w:cs="Arial"/>
          <w:sz w:val="24"/>
        </w:rPr>
        <w:t>triangle,Fistula</w:t>
      </w:r>
      <w:proofErr w:type="spellEnd"/>
      <w:r>
        <w:rPr>
          <w:rFonts w:ascii="Arial" w:eastAsia="Arial" w:hAnsi="Arial" w:cs="Arial"/>
          <w:sz w:val="24"/>
        </w:rPr>
        <w:t xml:space="preserve"> between gallbladder and </w:t>
      </w:r>
      <w:proofErr w:type="spellStart"/>
      <w:r>
        <w:rPr>
          <w:rFonts w:ascii="Arial" w:eastAsia="Arial" w:hAnsi="Arial" w:cs="Arial"/>
          <w:sz w:val="24"/>
        </w:rPr>
        <w:t>duodenum.They</w:t>
      </w:r>
      <w:proofErr w:type="spellEnd"/>
      <w:r>
        <w:rPr>
          <w:rFonts w:ascii="Arial" w:eastAsia="Arial" w:hAnsi="Arial" w:cs="Arial"/>
          <w:sz w:val="24"/>
        </w:rPr>
        <w:t xml:space="preserve"> had a conversion rate of 6.9%.Age was found as a statistically significant risk factor which increased the likelihood of conversion and complications in Male patients undergoing cholecystectomy.[2]The most common indication for conversion in my study was Dense Adhesions and 80% were female with a conversion rate of 10% .</w:t>
      </w:r>
      <w:r>
        <w:rPr>
          <w:rFonts w:ascii="Arial" w:eastAsia="Arial" w:hAnsi="Arial" w:cs="Arial"/>
          <w:sz w:val="24"/>
          <w:vertAlign w:val="superscript"/>
        </w:rPr>
        <w:t>2</w:t>
      </w:r>
    </w:p>
    <w:p w14:paraId="197D5F4A" w14:textId="77777777" w:rsidR="00C731D3" w:rsidRDefault="00C731D3" w:rsidP="00C731D3">
      <w:pPr>
        <w:spacing w:after="10" w:line="268" w:lineRule="auto"/>
        <w:ind w:left="-5" w:hanging="10"/>
      </w:pPr>
      <w:r>
        <w:rPr>
          <w:rFonts w:ascii="Arial" w:eastAsia="Arial" w:hAnsi="Arial" w:cs="Arial"/>
          <w:sz w:val="24"/>
        </w:rPr>
        <w:t xml:space="preserve">Masri et. </w:t>
      </w:r>
      <w:proofErr w:type="gramStart"/>
      <w:r>
        <w:rPr>
          <w:rFonts w:ascii="Arial" w:eastAsia="Arial" w:hAnsi="Arial" w:cs="Arial"/>
          <w:sz w:val="24"/>
        </w:rPr>
        <w:t>Al(</w:t>
      </w:r>
      <w:proofErr w:type="gramEnd"/>
      <w:r>
        <w:rPr>
          <w:rFonts w:ascii="Arial" w:eastAsia="Arial" w:hAnsi="Arial" w:cs="Arial"/>
          <w:sz w:val="24"/>
        </w:rPr>
        <w:t xml:space="preserve">2018) stated that the most common intraoperative reasons for conversion were perceived difficult anatomy or obscured view secondary to severe adhesions or significant inflammation with a conversion rate of 1.07%. Patients who were in the LC–OC arm had a longer length of hospital </w:t>
      </w:r>
      <w:proofErr w:type="spellStart"/>
      <w:proofErr w:type="gramStart"/>
      <w:r>
        <w:rPr>
          <w:rFonts w:ascii="Arial" w:eastAsia="Arial" w:hAnsi="Arial" w:cs="Arial"/>
          <w:sz w:val="24"/>
        </w:rPr>
        <w:t>stay.The</w:t>
      </w:r>
      <w:proofErr w:type="spellEnd"/>
      <w:proofErr w:type="gramEnd"/>
      <w:r>
        <w:rPr>
          <w:rFonts w:ascii="Arial" w:eastAsia="Arial" w:hAnsi="Arial" w:cs="Arial"/>
          <w:sz w:val="24"/>
        </w:rPr>
        <w:t xml:space="preserve"> mean duration of postoperative stay in the conversion group was 10.2 days in our study which is longer than that in the LC group of 3.6 days.</w:t>
      </w:r>
      <w:r>
        <w:rPr>
          <w:rFonts w:ascii="Arial" w:eastAsia="Arial" w:hAnsi="Arial" w:cs="Arial"/>
          <w:sz w:val="24"/>
          <w:vertAlign w:val="superscript"/>
        </w:rPr>
        <w:t>3</w:t>
      </w:r>
      <w:r>
        <w:rPr>
          <w:rFonts w:ascii="Arial" w:eastAsia="Arial" w:hAnsi="Arial" w:cs="Arial"/>
          <w:sz w:val="24"/>
        </w:rPr>
        <w:t xml:space="preserve"> </w:t>
      </w:r>
    </w:p>
    <w:p w14:paraId="79BD5A9E" w14:textId="77777777" w:rsidR="00C731D3" w:rsidRDefault="00C731D3" w:rsidP="00C731D3">
      <w:pPr>
        <w:spacing w:after="10" w:line="268" w:lineRule="auto"/>
        <w:ind w:left="-5" w:hanging="10"/>
      </w:pPr>
      <w:r>
        <w:rPr>
          <w:rFonts w:ascii="Arial" w:eastAsia="Arial" w:hAnsi="Arial" w:cs="Arial"/>
          <w:sz w:val="24"/>
        </w:rPr>
        <w:t xml:space="preserve">Ishizuka et. </w:t>
      </w:r>
      <w:proofErr w:type="gramStart"/>
      <w:r>
        <w:rPr>
          <w:rFonts w:ascii="Arial" w:eastAsia="Arial" w:hAnsi="Arial" w:cs="Arial"/>
          <w:sz w:val="24"/>
        </w:rPr>
        <w:t>Al(</w:t>
      </w:r>
      <w:proofErr w:type="gramEnd"/>
      <w:r>
        <w:rPr>
          <w:rFonts w:ascii="Arial" w:eastAsia="Arial" w:hAnsi="Arial" w:cs="Arial"/>
          <w:sz w:val="24"/>
        </w:rPr>
        <w:t>2016) stated that γ-</w:t>
      </w:r>
      <w:proofErr w:type="spellStart"/>
      <w:proofErr w:type="gramStart"/>
      <w:r>
        <w:rPr>
          <w:rFonts w:ascii="Arial" w:eastAsia="Arial" w:hAnsi="Arial" w:cs="Arial"/>
          <w:sz w:val="24"/>
        </w:rPr>
        <w:t>glutamyltransferase</w:t>
      </w:r>
      <w:proofErr w:type="spellEnd"/>
      <w:r>
        <w:rPr>
          <w:rFonts w:ascii="Arial" w:eastAsia="Arial" w:hAnsi="Arial" w:cs="Arial"/>
          <w:sz w:val="24"/>
        </w:rPr>
        <w:t xml:space="preserve"> ,albumin</w:t>
      </w:r>
      <w:proofErr w:type="gramEnd"/>
      <w:r>
        <w:rPr>
          <w:rFonts w:ascii="Arial" w:eastAsia="Arial" w:hAnsi="Arial" w:cs="Arial"/>
          <w:sz w:val="24"/>
        </w:rPr>
        <w:t xml:space="preserve"> and platelet count were associated with </w:t>
      </w:r>
      <w:proofErr w:type="spellStart"/>
      <w:proofErr w:type="gramStart"/>
      <w:r>
        <w:rPr>
          <w:rFonts w:ascii="Arial" w:eastAsia="Arial" w:hAnsi="Arial" w:cs="Arial"/>
          <w:sz w:val="24"/>
        </w:rPr>
        <w:t>conversion.Preoperative</w:t>
      </w:r>
      <w:proofErr w:type="spellEnd"/>
      <w:proofErr w:type="gramEnd"/>
      <w:r>
        <w:rPr>
          <w:rFonts w:ascii="Arial" w:eastAsia="Arial" w:hAnsi="Arial" w:cs="Arial"/>
          <w:sz w:val="24"/>
        </w:rPr>
        <w:t xml:space="preserve"> hypoalbuminemia is the most important risk factor for conversion to OC in patients undergoing elective LC for cholecystolithiasis with conversion rate of 5.4</w:t>
      </w:r>
      <w:proofErr w:type="gramStart"/>
      <w:r>
        <w:rPr>
          <w:rFonts w:ascii="Arial" w:eastAsia="Arial" w:hAnsi="Arial" w:cs="Arial"/>
          <w:sz w:val="24"/>
        </w:rPr>
        <w:t>%.The</w:t>
      </w:r>
      <w:proofErr w:type="gramEnd"/>
      <w:r>
        <w:rPr>
          <w:rFonts w:ascii="Arial" w:eastAsia="Arial" w:hAnsi="Arial" w:cs="Arial"/>
          <w:sz w:val="24"/>
        </w:rPr>
        <w:t xml:space="preserve"> intra-operative </w:t>
      </w:r>
      <w:proofErr w:type="spellStart"/>
      <w:proofErr w:type="gramStart"/>
      <w:r>
        <w:rPr>
          <w:rFonts w:ascii="Arial" w:eastAsia="Arial" w:hAnsi="Arial" w:cs="Arial"/>
          <w:sz w:val="24"/>
        </w:rPr>
        <w:t>time,bleeding</w:t>
      </w:r>
      <w:proofErr w:type="spellEnd"/>
      <w:proofErr w:type="gramEnd"/>
      <w:r>
        <w:rPr>
          <w:rFonts w:ascii="Arial" w:eastAsia="Arial" w:hAnsi="Arial" w:cs="Arial"/>
          <w:sz w:val="24"/>
        </w:rPr>
        <w:t xml:space="preserve"> volume and hospital stay were found to be significantly more in the conversion group.</w:t>
      </w:r>
      <w:r>
        <w:rPr>
          <w:rFonts w:ascii="Arial" w:eastAsia="Arial" w:hAnsi="Arial" w:cs="Arial"/>
          <w:sz w:val="24"/>
          <w:vertAlign w:val="superscript"/>
        </w:rPr>
        <w:t>4</w:t>
      </w:r>
      <w:r>
        <w:rPr>
          <w:rFonts w:ascii="Arial" w:eastAsia="Arial" w:hAnsi="Arial" w:cs="Arial"/>
          <w:sz w:val="24"/>
        </w:rPr>
        <w:t xml:space="preserve"> </w:t>
      </w:r>
    </w:p>
    <w:p w14:paraId="704A5D33" w14:textId="77777777" w:rsidR="00C731D3" w:rsidRDefault="00C731D3" w:rsidP="00C731D3">
      <w:pPr>
        <w:spacing w:after="10" w:line="268" w:lineRule="auto"/>
        <w:ind w:left="-5" w:hanging="10"/>
      </w:pPr>
      <w:r>
        <w:rPr>
          <w:rFonts w:ascii="Arial" w:eastAsia="Arial" w:hAnsi="Arial" w:cs="Arial"/>
          <w:sz w:val="24"/>
        </w:rPr>
        <w:t xml:space="preserve">Chavez et. </w:t>
      </w:r>
      <w:proofErr w:type="gramStart"/>
      <w:r>
        <w:rPr>
          <w:rFonts w:ascii="Arial" w:eastAsia="Arial" w:hAnsi="Arial" w:cs="Arial"/>
          <w:sz w:val="24"/>
        </w:rPr>
        <w:t>Al(</w:t>
      </w:r>
      <w:proofErr w:type="gramEnd"/>
      <w:r>
        <w:rPr>
          <w:rFonts w:ascii="Arial" w:eastAsia="Arial" w:hAnsi="Arial" w:cs="Arial"/>
          <w:sz w:val="24"/>
        </w:rPr>
        <w:t xml:space="preserve">2016) revealed that the factor that was most associated with conversion was emergency </w:t>
      </w:r>
      <w:proofErr w:type="gramStart"/>
      <w:r>
        <w:rPr>
          <w:rFonts w:ascii="Arial" w:eastAsia="Arial" w:hAnsi="Arial" w:cs="Arial"/>
          <w:sz w:val="24"/>
        </w:rPr>
        <w:t>surgery ,as</w:t>
      </w:r>
      <w:proofErr w:type="gramEnd"/>
      <w:r>
        <w:rPr>
          <w:rFonts w:ascii="Arial" w:eastAsia="Arial" w:hAnsi="Arial" w:cs="Arial"/>
          <w:sz w:val="24"/>
        </w:rPr>
        <w:t xml:space="preserve"> well as dilatation &gt; 6 mm of the common bile duct in </w:t>
      </w:r>
      <w:proofErr w:type="gramStart"/>
      <w:r>
        <w:rPr>
          <w:rFonts w:ascii="Arial" w:eastAsia="Arial" w:hAnsi="Arial" w:cs="Arial"/>
          <w:sz w:val="24"/>
        </w:rPr>
        <w:t>ultrasound ,hepatomegaly ,diagnosis</w:t>
      </w:r>
      <w:proofErr w:type="gramEnd"/>
      <w:r>
        <w:rPr>
          <w:rFonts w:ascii="Arial" w:eastAsia="Arial" w:hAnsi="Arial" w:cs="Arial"/>
          <w:sz w:val="24"/>
        </w:rPr>
        <w:t xml:space="preserve"> of chronic cholecystitis associated to previous biliary </w:t>
      </w:r>
      <w:proofErr w:type="spellStart"/>
      <w:r>
        <w:rPr>
          <w:rFonts w:ascii="Arial" w:eastAsia="Arial" w:hAnsi="Arial" w:cs="Arial"/>
          <w:sz w:val="24"/>
        </w:rPr>
        <w:t>colics</w:t>
      </w:r>
      <w:proofErr w:type="spellEnd"/>
      <w:r>
        <w:rPr>
          <w:rFonts w:ascii="Arial" w:eastAsia="Arial" w:hAnsi="Arial" w:cs="Arial"/>
          <w:sz w:val="24"/>
        </w:rPr>
        <w:t xml:space="preserve"> and elevated alanine aminotransaminase with a conversion rate of 1%.</w:t>
      </w:r>
      <w:r>
        <w:rPr>
          <w:rFonts w:ascii="Arial" w:eastAsia="Arial" w:hAnsi="Arial" w:cs="Arial"/>
          <w:sz w:val="24"/>
          <w:vertAlign w:val="superscript"/>
        </w:rPr>
        <w:t>5</w:t>
      </w:r>
      <w:r>
        <w:rPr>
          <w:rFonts w:ascii="Arial" w:eastAsia="Arial" w:hAnsi="Arial" w:cs="Arial"/>
          <w:sz w:val="24"/>
        </w:rPr>
        <w:t xml:space="preserve"> </w:t>
      </w:r>
    </w:p>
    <w:p w14:paraId="6FE66CD4" w14:textId="77777777" w:rsidR="00C731D3" w:rsidRDefault="00C731D3" w:rsidP="00C731D3">
      <w:pPr>
        <w:spacing w:after="10" w:line="268" w:lineRule="auto"/>
        <w:ind w:left="-5" w:hanging="10"/>
        <w:rPr>
          <w:rFonts w:ascii="Arial" w:eastAsia="Arial" w:hAnsi="Arial" w:cs="Arial"/>
          <w:sz w:val="24"/>
        </w:rPr>
      </w:pPr>
      <w:r>
        <w:rPr>
          <w:rFonts w:ascii="Arial" w:eastAsia="Arial" w:hAnsi="Arial" w:cs="Arial"/>
          <w:sz w:val="24"/>
        </w:rPr>
        <w:t xml:space="preserve">Conversion increases overall </w:t>
      </w:r>
      <w:proofErr w:type="gramStart"/>
      <w:r>
        <w:rPr>
          <w:rFonts w:ascii="Arial" w:eastAsia="Arial" w:hAnsi="Arial" w:cs="Arial"/>
          <w:sz w:val="24"/>
        </w:rPr>
        <w:t>morbidity ,the</w:t>
      </w:r>
      <w:proofErr w:type="gramEnd"/>
      <w:r>
        <w:rPr>
          <w:rFonts w:ascii="Arial" w:eastAsia="Arial" w:hAnsi="Arial" w:cs="Arial"/>
          <w:sz w:val="24"/>
        </w:rPr>
        <w:t xml:space="preserve"> intra-hospital </w:t>
      </w:r>
      <w:proofErr w:type="gramStart"/>
      <w:r>
        <w:rPr>
          <w:rFonts w:ascii="Arial" w:eastAsia="Arial" w:hAnsi="Arial" w:cs="Arial"/>
          <w:sz w:val="24"/>
        </w:rPr>
        <w:t>stay</w:t>
      </w:r>
      <w:proofErr w:type="gramEnd"/>
      <w:r>
        <w:rPr>
          <w:rFonts w:ascii="Arial" w:eastAsia="Arial" w:hAnsi="Arial" w:cs="Arial"/>
          <w:sz w:val="24"/>
        </w:rPr>
        <w:t xml:space="preserve">, general hospital costs and surgical times. There have been statistical models to predict the conversion from </w:t>
      </w:r>
      <w:r>
        <w:rPr>
          <w:rFonts w:ascii="Arial" w:eastAsia="Arial" w:hAnsi="Arial" w:cs="Arial"/>
          <w:sz w:val="24"/>
        </w:rPr>
        <w:lastRenderedPageBreak/>
        <w:t xml:space="preserve">laparoscopic to open </w:t>
      </w:r>
      <w:proofErr w:type="spellStart"/>
      <w:proofErr w:type="gramStart"/>
      <w:r>
        <w:rPr>
          <w:rFonts w:ascii="Arial" w:eastAsia="Arial" w:hAnsi="Arial" w:cs="Arial"/>
          <w:sz w:val="24"/>
        </w:rPr>
        <w:t>cholecystectomy.Beksac</w:t>
      </w:r>
      <w:proofErr w:type="spellEnd"/>
      <w:proofErr w:type="gramEnd"/>
      <w:r>
        <w:rPr>
          <w:rFonts w:ascii="Arial" w:eastAsia="Arial" w:hAnsi="Arial" w:cs="Arial"/>
          <w:sz w:val="24"/>
        </w:rPr>
        <w:t xml:space="preserve"> et. Al</w:t>
      </w:r>
      <w:proofErr w:type="gramStart"/>
      <w:r>
        <w:rPr>
          <w:rFonts w:ascii="Arial" w:eastAsia="Arial" w:hAnsi="Arial" w:cs="Arial"/>
          <w:sz w:val="24"/>
        </w:rPr>
        <w:t>’(</w:t>
      </w:r>
      <w:proofErr w:type="gramEnd"/>
      <w:r>
        <w:rPr>
          <w:rFonts w:ascii="Arial" w:eastAsia="Arial" w:hAnsi="Arial" w:cs="Arial"/>
          <w:sz w:val="24"/>
        </w:rPr>
        <w:t>2016) proposed a statistical model,”</w:t>
      </w:r>
      <w:r w:rsidRPr="00244EFD">
        <w:t xml:space="preserve"> </w:t>
      </w:r>
      <w:r w:rsidRPr="00244EFD">
        <w:rPr>
          <w:rFonts w:ascii="Arial" w:eastAsia="Arial" w:hAnsi="Arial" w:cs="Arial"/>
          <w:sz w:val="24"/>
        </w:rPr>
        <w:t xml:space="preserve">Using four parameters—age, gender, history of abdominal surgery, and ALP—in </w:t>
      </w:r>
      <w:r>
        <w:rPr>
          <w:rFonts w:ascii="Arial" w:eastAsia="Arial" w:hAnsi="Arial" w:cs="Arial"/>
          <w:sz w:val="24"/>
        </w:rPr>
        <w:t>their</w:t>
      </w:r>
      <w:r w:rsidRPr="00244EFD">
        <w:rPr>
          <w:rFonts w:ascii="Arial" w:eastAsia="Arial" w:hAnsi="Arial" w:cs="Arial"/>
          <w:sz w:val="24"/>
        </w:rPr>
        <w:t xml:space="preserve"> statistical model, </w:t>
      </w:r>
      <w:r>
        <w:rPr>
          <w:rFonts w:ascii="Arial" w:eastAsia="Arial" w:hAnsi="Arial" w:cs="Arial"/>
          <w:sz w:val="24"/>
        </w:rPr>
        <w:t>they</w:t>
      </w:r>
      <w:r w:rsidRPr="00244EFD">
        <w:rPr>
          <w:rFonts w:ascii="Arial" w:eastAsia="Arial" w:hAnsi="Arial" w:cs="Arial"/>
          <w:sz w:val="24"/>
        </w:rPr>
        <w:t xml:space="preserve"> were able to predict the conversion from laparoscopic to open cholecystectomy with 70% sensitivity and 79% specificity. </w:t>
      </w:r>
      <w:r>
        <w:rPr>
          <w:rFonts w:ascii="Arial" w:eastAsia="Arial" w:hAnsi="Arial" w:cs="Arial"/>
          <w:sz w:val="24"/>
        </w:rPr>
        <w:t>T</w:t>
      </w:r>
      <w:r w:rsidRPr="00244EFD">
        <w:rPr>
          <w:rFonts w:ascii="Arial" w:eastAsia="Arial" w:hAnsi="Arial" w:cs="Arial"/>
          <w:sz w:val="24"/>
        </w:rPr>
        <w:t xml:space="preserve">he risk </w:t>
      </w:r>
      <w:r>
        <w:rPr>
          <w:rFonts w:ascii="Arial" w:eastAsia="Arial" w:hAnsi="Arial" w:cs="Arial"/>
          <w:sz w:val="24"/>
        </w:rPr>
        <w:t xml:space="preserve">of conversion </w:t>
      </w:r>
      <w:r w:rsidRPr="00244EFD">
        <w:rPr>
          <w:rFonts w:ascii="Arial" w:eastAsia="Arial" w:hAnsi="Arial" w:cs="Arial"/>
          <w:sz w:val="24"/>
        </w:rPr>
        <w:t>significantly increases after 55 years of age and an ALP over</w:t>
      </w:r>
      <w:r>
        <w:rPr>
          <w:rFonts w:ascii="Arial" w:eastAsia="Arial" w:hAnsi="Arial" w:cs="Arial"/>
          <w:sz w:val="24"/>
        </w:rPr>
        <w:t xml:space="preserve"> </w:t>
      </w:r>
      <w:r w:rsidRPr="00244EFD">
        <w:rPr>
          <w:rFonts w:ascii="Arial" w:eastAsia="Arial" w:hAnsi="Arial" w:cs="Arial"/>
          <w:sz w:val="24"/>
        </w:rPr>
        <w:t>80</w:t>
      </w:r>
      <w:r>
        <w:rPr>
          <w:rFonts w:ascii="Arial" w:eastAsia="Arial" w:hAnsi="Arial" w:cs="Arial"/>
          <w:sz w:val="24"/>
        </w:rPr>
        <w:t xml:space="preserve"> </w:t>
      </w:r>
      <w:r w:rsidRPr="00244EFD">
        <w:rPr>
          <w:rFonts w:ascii="Arial" w:eastAsia="Arial" w:hAnsi="Arial" w:cs="Arial"/>
          <w:sz w:val="24"/>
        </w:rPr>
        <w:t>IU/L.</w:t>
      </w:r>
      <w:r>
        <w:rPr>
          <w:rFonts w:ascii="Arial" w:eastAsia="Arial" w:hAnsi="Arial" w:cs="Arial"/>
          <w:sz w:val="24"/>
        </w:rPr>
        <w:t>”</w:t>
      </w:r>
      <w:r>
        <w:rPr>
          <w:rFonts w:ascii="Arial" w:eastAsia="Arial" w:hAnsi="Arial" w:cs="Arial"/>
          <w:sz w:val="24"/>
          <w:vertAlign w:val="superscript"/>
        </w:rPr>
        <w:t xml:space="preserve">6 </w:t>
      </w:r>
      <w:r>
        <w:rPr>
          <w:rFonts w:ascii="Arial" w:eastAsia="Arial" w:hAnsi="Arial" w:cs="Arial"/>
          <w:sz w:val="24"/>
        </w:rPr>
        <w:t>The conversion rate in their study was 7.7%.</w:t>
      </w:r>
    </w:p>
    <w:p w14:paraId="75E9F23B" w14:textId="77777777" w:rsidR="00C731D3" w:rsidRPr="00C662AB" w:rsidRDefault="00C731D3" w:rsidP="00C731D3">
      <w:pPr>
        <w:spacing w:after="10" w:line="268" w:lineRule="auto"/>
        <w:ind w:left="-5" w:hanging="10"/>
        <w:jc w:val="both"/>
        <w:rPr>
          <w:rFonts w:ascii="Arial" w:eastAsia="Arial" w:hAnsi="Arial" w:cs="Arial"/>
          <w:sz w:val="24"/>
        </w:rPr>
      </w:pPr>
      <w:r w:rsidRPr="000D2A43">
        <w:rPr>
          <w:rFonts w:ascii="Arial" w:eastAsia="Arial" w:hAnsi="Arial" w:cs="Arial"/>
          <w:sz w:val="24"/>
        </w:rPr>
        <w:t xml:space="preserve">The Conversion from Laparoscopic to Open Cholecystectomy (CLOC) score from the </w:t>
      </w:r>
      <w:proofErr w:type="spellStart"/>
      <w:r w:rsidRPr="000D2A43">
        <w:rPr>
          <w:rFonts w:ascii="Arial" w:eastAsia="Arial" w:hAnsi="Arial" w:cs="Arial"/>
          <w:sz w:val="24"/>
        </w:rPr>
        <w:t>CholeS</w:t>
      </w:r>
      <w:proofErr w:type="spellEnd"/>
      <w:r w:rsidRPr="000D2A43">
        <w:rPr>
          <w:rFonts w:ascii="Arial" w:eastAsia="Arial" w:hAnsi="Arial" w:cs="Arial"/>
          <w:sz w:val="24"/>
        </w:rPr>
        <w:t xml:space="preserve"> study</w:t>
      </w:r>
      <w:r>
        <w:rPr>
          <w:rFonts w:ascii="Arial" w:eastAsia="Arial" w:hAnsi="Arial" w:cs="Arial"/>
          <w:sz w:val="24"/>
        </w:rPr>
        <w:t xml:space="preserve"> </w:t>
      </w:r>
      <w:r w:rsidRPr="008B4750">
        <w:rPr>
          <w:rFonts w:ascii="Arial" w:eastAsia="Arial" w:hAnsi="Arial" w:cs="Arial"/>
          <w:sz w:val="24"/>
        </w:rPr>
        <w:t xml:space="preserve">was assessed for external validity by interrogating its accuracy and calibration in the CHOLENZ </w:t>
      </w:r>
      <w:proofErr w:type="gramStart"/>
      <w:r w:rsidRPr="008B4750">
        <w:rPr>
          <w:rFonts w:ascii="Arial" w:eastAsia="Arial" w:hAnsi="Arial" w:cs="Arial"/>
          <w:sz w:val="24"/>
        </w:rPr>
        <w:t>dataset</w:t>
      </w:r>
      <w:r>
        <w:rPr>
          <w:rFonts w:ascii="Arial" w:eastAsia="Arial" w:hAnsi="Arial" w:cs="Arial"/>
          <w:sz w:val="24"/>
        </w:rPr>
        <w:t>(</w:t>
      </w:r>
      <w:proofErr w:type="gramEnd"/>
      <w:r>
        <w:rPr>
          <w:rFonts w:ascii="Arial" w:eastAsia="Arial" w:hAnsi="Arial" w:cs="Arial"/>
          <w:sz w:val="24"/>
        </w:rPr>
        <w:t>2024),”</w:t>
      </w:r>
      <w:r w:rsidRPr="008B4750">
        <w:t xml:space="preserve"> </w:t>
      </w:r>
      <w:r w:rsidRPr="008B4750">
        <w:rPr>
          <w:rFonts w:ascii="Arial" w:eastAsia="Arial" w:hAnsi="Arial" w:cs="Arial"/>
          <w:sz w:val="24"/>
        </w:rPr>
        <w:t xml:space="preserve">Of 1162 cholecystectomies started laparoscopically, 20(1.7%) were converted to open in the CHOLENZ dataset. The CLOC score predicted 2.9% (IQR 1.3%–8.1%) would be </w:t>
      </w:r>
      <w:proofErr w:type="spellStart"/>
      <w:proofErr w:type="gramStart"/>
      <w:r w:rsidRPr="008B4750">
        <w:rPr>
          <w:rFonts w:ascii="Arial" w:eastAsia="Arial" w:hAnsi="Arial" w:cs="Arial"/>
          <w:sz w:val="24"/>
        </w:rPr>
        <w:t>converted.</w:t>
      </w:r>
      <w:r w:rsidRPr="00C662AB">
        <w:rPr>
          <w:rFonts w:ascii="Arial" w:eastAsia="Arial" w:hAnsi="Arial" w:cs="Arial"/>
          <w:sz w:val="24"/>
        </w:rPr>
        <w:t>One</w:t>
      </w:r>
      <w:proofErr w:type="spellEnd"/>
      <w:proofErr w:type="gramEnd"/>
      <w:r w:rsidRPr="00C662AB">
        <w:rPr>
          <w:rFonts w:ascii="Arial" w:eastAsia="Arial" w:hAnsi="Arial" w:cs="Arial"/>
          <w:sz w:val="24"/>
        </w:rPr>
        <w:t xml:space="preserve"> of the largest validated scores is the </w:t>
      </w:r>
      <w:proofErr w:type="spellStart"/>
      <w:r w:rsidRPr="00C662AB">
        <w:rPr>
          <w:rFonts w:ascii="Arial" w:eastAsia="Arial" w:hAnsi="Arial" w:cs="Arial"/>
          <w:sz w:val="24"/>
        </w:rPr>
        <w:t>CholeS</w:t>
      </w:r>
      <w:proofErr w:type="spellEnd"/>
      <w:r w:rsidRPr="00C662AB">
        <w:rPr>
          <w:rFonts w:ascii="Arial" w:eastAsia="Arial" w:hAnsi="Arial" w:cs="Arial"/>
          <w:sz w:val="24"/>
        </w:rPr>
        <w:t xml:space="preserve"> Conversion from Laparoscopic to Open Cholecystectomy (CLOC) </w:t>
      </w:r>
      <w:proofErr w:type="gramStart"/>
      <w:r w:rsidRPr="00C662AB">
        <w:rPr>
          <w:rFonts w:ascii="Arial" w:eastAsia="Arial" w:hAnsi="Arial" w:cs="Arial"/>
          <w:sz w:val="24"/>
        </w:rPr>
        <w:t>score</w:t>
      </w:r>
      <w:r>
        <w:rPr>
          <w:rFonts w:ascii="Arial" w:eastAsia="Arial" w:hAnsi="Arial" w:cs="Arial"/>
          <w:sz w:val="24"/>
        </w:rPr>
        <w:t xml:space="preserve"> </w:t>
      </w:r>
      <w:r w:rsidRPr="00C662AB">
        <w:rPr>
          <w:rFonts w:ascii="Arial" w:eastAsia="Arial" w:hAnsi="Arial" w:cs="Arial"/>
          <w:sz w:val="24"/>
        </w:rPr>
        <w:t xml:space="preserve"> based</w:t>
      </w:r>
      <w:proofErr w:type="gramEnd"/>
      <w:r w:rsidRPr="00C662AB">
        <w:rPr>
          <w:rFonts w:ascii="Arial" w:eastAsia="Arial" w:hAnsi="Arial" w:cs="Arial"/>
          <w:sz w:val="24"/>
        </w:rPr>
        <w:t xml:space="preserve"> on six factors– age, sex, indication for surgery, American Society of Anaesthesiologists score (ASA), thickness of the gallbladder</w:t>
      </w:r>
    </w:p>
    <w:p w14:paraId="2AFEACF5" w14:textId="77777777" w:rsidR="00C731D3" w:rsidRPr="00310F99" w:rsidRDefault="00C731D3" w:rsidP="00C731D3">
      <w:pPr>
        <w:spacing w:after="10" w:line="268" w:lineRule="auto"/>
        <w:ind w:left="-5" w:hanging="10"/>
        <w:jc w:val="both"/>
        <w:rPr>
          <w:rFonts w:ascii="Arial" w:eastAsia="Arial" w:hAnsi="Arial" w:cs="Arial"/>
          <w:sz w:val="24"/>
        </w:rPr>
      </w:pPr>
      <w:r w:rsidRPr="00C662AB">
        <w:rPr>
          <w:rFonts w:ascii="Arial" w:eastAsia="Arial" w:hAnsi="Arial" w:cs="Arial"/>
          <w:sz w:val="24"/>
        </w:rPr>
        <w:t xml:space="preserve"> wall, and common bile duct diameter</w:t>
      </w:r>
      <w:r>
        <w:rPr>
          <w:rFonts w:ascii="Arial" w:eastAsia="Arial" w:hAnsi="Arial" w:cs="Arial"/>
          <w:sz w:val="24"/>
        </w:rPr>
        <w:t>.</w:t>
      </w:r>
      <w:r w:rsidRPr="00310F99">
        <w:rPr>
          <w:rFonts w:ascii="AdvOTf9433e2d" w:eastAsiaTheme="minorEastAsia" w:hAnsi="AdvOTf9433e2d" w:cs="AdvOTf9433e2d"/>
          <w:color w:val="auto"/>
          <w:kern w:val="0"/>
          <w:sz w:val="18"/>
          <w:szCs w:val="18"/>
        </w:rPr>
        <w:t xml:space="preserve"> </w:t>
      </w:r>
      <w:r>
        <w:rPr>
          <w:rFonts w:ascii="AdvOTf9433e2d" w:eastAsiaTheme="minorEastAsia" w:hAnsi="AdvOTf9433e2d" w:cs="AdvOTf9433e2d"/>
          <w:color w:val="auto"/>
          <w:kern w:val="0"/>
          <w:sz w:val="18"/>
          <w:szCs w:val="18"/>
        </w:rPr>
        <w:t>“</w:t>
      </w:r>
      <w:r>
        <w:rPr>
          <w:rFonts w:ascii="AdvOTf9433e2d" w:eastAsiaTheme="minorEastAsia" w:hAnsi="AdvOTf9433e2d" w:cs="AdvOTf9433e2d"/>
          <w:color w:val="auto"/>
          <w:kern w:val="0"/>
          <w:sz w:val="18"/>
          <w:szCs w:val="18"/>
          <w:vertAlign w:val="superscript"/>
        </w:rPr>
        <w:t>7</w:t>
      </w:r>
      <w:r w:rsidRPr="00310F99">
        <w:rPr>
          <w:rFonts w:ascii="Arial" w:eastAsia="Arial" w:hAnsi="Arial" w:cs="Arial"/>
          <w:sz w:val="24"/>
        </w:rPr>
        <w:t>Being able to identify patients at higher risk</w:t>
      </w:r>
    </w:p>
    <w:p w14:paraId="073DFFA9" w14:textId="77777777" w:rsidR="00C731D3" w:rsidRPr="00310F99" w:rsidRDefault="00C731D3" w:rsidP="00C731D3">
      <w:pPr>
        <w:spacing w:after="10" w:line="268" w:lineRule="auto"/>
        <w:ind w:left="-5" w:hanging="10"/>
        <w:jc w:val="both"/>
        <w:rPr>
          <w:rFonts w:ascii="Arial" w:eastAsia="Arial" w:hAnsi="Arial" w:cs="Arial"/>
          <w:sz w:val="24"/>
        </w:rPr>
      </w:pPr>
      <w:r w:rsidRPr="00310F99">
        <w:rPr>
          <w:rFonts w:ascii="Arial" w:eastAsia="Arial" w:hAnsi="Arial" w:cs="Arial"/>
          <w:sz w:val="24"/>
        </w:rPr>
        <w:t>of conversion preoperatively may enable better operative list planning,</w:t>
      </w:r>
    </w:p>
    <w:p w14:paraId="7085A2E6" w14:textId="77777777" w:rsidR="00C731D3" w:rsidRPr="00310F99" w:rsidRDefault="00C731D3" w:rsidP="00C731D3">
      <w:pPr>
        <w:spacing w:after="10" w:line="268" w:lineRule="auto"/>
        <w:ind w:left="-5" w:hanging="10"/>
        <w:jc w:val="both"/>
        <w:rPr>
          <w:rFonts w:ascii="Arial" w:eastAsia="Arial" w:hAnsi="Arial" w:cs="Arial"/>
          <w:sz w:val="24"/>
        </w:rPr>
      </w:pPr>
      <w:r w:rsidRPr="00310F99">
        <w:rPr>
          <w:rFonts w:ascii="Arial" w:eastAsia="Arial" w:hAnsi="Arial" w:cs="Arial"/>
          <w:sz w:val="24"/>
        </w:rPr>
        <w:t>patient counselling, and determine the degree of consultant</w:t>
      </w:r>
    </w:p>
    <w:p w14:paraId="51C74DB6" w14:textId="77777777" w:rsidR="00C731D3" w:rsidRDefault="00C731D3" w:rsidP="00C731D3">
      <w:pPr>
        <w:spacing w:after="10" w:line="268" w:lineRule="auto"/>
        <w:ind w:left="-5" w:hanging="10"/>
        <w:jc w:val="both"/>
        <w:rPr>
          <w:rFonts w:ascii="Arial" w:eastAsia="Arial" w:hAnsi="Arial" w:cs="Arial"/>
          <w:sz w:val="24"/>
        </w:rPr>
      </w:pPr>
      <w:r w:rsidRPr="00310F99">
        <w:rPr>
          <w:rFonts w:ascii="Arial" w:eastAsia="Arial" w:hAnsi="Arial" w:cs="Arial"/>
          <w:sz w:val="24"/>
        </w:rPr>
        <w:t>supervision needed.</w:t>
      </w:r>
      <w:r w:rsidRPr="008F6050">
        <w:rPr>
          <w:rFonts w:ascii="Arial" w:eastAsia="Arial" w:hAnsi="Arial" w:cs="Arial"/>
          <w:noProof/>
          <w:sz w:val="24"/>
        </w:rPr>
        <w:t xml:space="preserve"> </w:t>
      </w:r>
      <w:r>
        <w:rPr>
          <w:rFonts w:ascii="Arial" w:eastAsia="Arial" w:hAnsi="Arial" w:cs="Arial"/>
          <w:noProof/>
          <w:sz w:val="24"/>
        </w:rPr>
        <w:drawing>
          <wp:inline distT="0" distB="0" distL="0" distR="0" wp14:anchorId="51CC703E" wp14:editId="2AFAD6C3">
            <wp:extent cx="5730875" cy="4432300"/>
            <wp:effectExtent l="0" t="0" r="3175" b="6350"/>
            <wp:docPr id="6689741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974129" name="Picture 668974129"/>
                    <pic:cNvPicPr/>
                  </pic:nvPicPr>
                  <pic:blipFill>
                    <a:blip r:embed="rId4">
                      <a:extLst>
                        <a:ext uri="{28A0092B-C50C-407E-A947-70E740481C1C}">
                          <a14:useLocalDpi xmlns:a14="http://schemas.microsoft.com/office/drawing/2010/main" val="0"/>
                        </a:ext>
                      </a:extLst>
                    </a:blip>
                    <a:stretch>
                      <a:fillRect/>
                    </a:stretch>
                  </pic:blipFill>
                  <pic:spPr>
                    <a:xfrm>
                      <a:off x="0" y="0"/>
                      <a:ext cx="5730875" cy="4432300"/>
                    </a:xfrm>
                    <a:prstGeom prst="rect">
                      <a:avLst/>
                    </a:prstGeom>
                  </pic:spPr>
                </pic:pic>
              </a:graphicData>
            </a:graphic>
          </wp:inline>
        </w:drawing>
      </w:r>
    </w:p>
    <w:p w14:paraId="65FD1834" w14:textId="77777777" w:rsidR="00C731D3" w:rsidRPr="00244EFD" w:rsidRDefault="00C731D3" w:rsidP="00C731D3">
      <w:pPr>
        <w:spacing w:after="10" w:line="268" w:lineRule="auto"/>
        <w:ind w:left="-5" w:hanging="10"/>
        <w:jc w:val="both"/>
        <w:rPr>
          <w:rFonts w:ascii="Arial" w:eastAsia="Arial" w:hAnsi="Arial" w:cs="Arial"/>
          <w:sz w:val="24"/>
        </w:rPr>
      </w:pPr>
    </w:p>
    <w:p w14:paraId="399681F8" w14:textId="77777777" w:rsidR="00C731D3" w:rsidRPr="00244EFD" w:rsidRDefault="00C731D3" w:rsidP="00C731D3">
      <w:pPr>
        <w:spacing w:after="10" w:line="268" w:lineRule="auto"/>
        <w:ind w:left="-5" w:hanging="10"/>
        <w:rPr>
          <w:rFonts w:ascii="Arial" w:eastAsia="Arial" w:hAnsi="Arial" w:cs="Arial"/>
          <w:sz w:val="24"/>
          <w:vertAlign w:val="superscript"/>
        </w:rPr>
      </w:pPr>
    </w:p>
    <w:p w14:paraId="5E04E354" w14:textId="77777777" w:rsidR="00C731D3" w:rsidRDefault="00C731D3" w:rsidP="00C731D3">
      <w:pPr>
        <w:spacing w:after="19"/>
        <w:rPr>
          <w:rFonts w:ascii="Arial" w:eastAsia="Arial" w:hAnsi="Arial" w:cs="Arial"/>
          <w:sz w:val="24"/>
        </w:rPr>
      </w:pPr>
      <w:r>
        <w:rPr>
          <w:rFonts w:ascii="Arial" w:eastAsia="Arial" w:hAnsi="Arial" w:cs="Arial"/>
          <w:sz w:val="24"/>
        </w:rPr>
        <w:t xml:space="preserve"> Conversion from laparoscopic to open cholecystectomy </w:t>
      </w:r>
      <w:proofErr w:type="gramStart"/>
      <w:r>
        <w:rPr>
          <w:rFonts w:ascii="Arial" w:eastAsia="Arial" w:hAnsi="Arial" w:cs="Arial"/>
          <w:sz w:val="24"/>
        </w:rPr>
        <w:t>score(</w:t>
      </w:r>
      <w:proofErr w:type="gramEnd"/>
      <w:r>
        <w:rPr>
          <w:rFonts w:ascii="Arial" w:eastAsia="Arial" w:hAnsi="Arial" w:cs="Arial"/>
          <w:sz w:val="24"/>
        </w:rPr>
        <w:t>CLOC SCORE)</w:t>
      </w:r>
    </w:p>
    <w:p w14:paraId="7C91FE5B" w14:textId="77777777" w:rsidR="00C731D3" w:rsidRDefault="00C731D3" w:rsidP="00C731D3">
      <w:pPr>
        <w:spacing w:after="19"/>
      </w:pPr>
    </w:p>
    <w:p w14:paraId="07D7D808" w14:textId="77777777" w:rsidR="00C731D3" w:rsidRPr="006C4B28" w:rsidRDefault="00C731D3" w:rsidP="00C731D3">
      <w:pPr>
        <w:spacing w:after="0"/>
        <w:jc w:val="both"/>
        <w:rPr>
          <w:rFonts w:ascii="Arial" w:eastAsia="Arial" w:hAnsi="Arial" w:cs="Arial"/>
          <w:sz w:val="24"/>
        </w:rPr>
      </w:pPr>
      <w:r>
        <w:rPr>
          <w:rFonts w:ascii="Arial" w:eastAsia="Arial" w:hAnsi="Arial" w:cs="Arial"/>
          <w:sz w:val="24"/>
        </w:rPr>
        <w:t xml:space="preserve">According to </w:t>
      </w:r>
      <w:proofErr w:type="spellStart"/>
      <w:r w:rsidRPr="006C4B28">
        <w:rPr>
          <w:rFonts w:ascii="Arial" w:eastAsia="Arial" w:hAnsi="Arial" w:cs="Arial"/>
          <w:sz w:val="24"/>
        </w:rPr>
        <w:t>Assanee</w:t>
      </w:r>
      <w:proofErr w:type="spellEnd"/>
      <w:r w:rsidRPr="006C4B28">
        <w:rPr>
          <w:rFonts w:ascii="Arial" w:eastAsia="Arial" w:hAnsi="Arial" w:cs="Arial"/>
          <w:sz w:val="24"/>
        </w:rPr>
        <w:t xml:space="preserve"> </w:t>
      </w:r>
      <w:proofErr w:type="spellStart"/>
      <w:r w:rsidRPr="006C4B28">
        <w:rPr>
          <w:rFonts w:ascii="Arial" w:eastAsia="Arial" w:hAnsi="Arial" w:cs="Arial"/>
          <w:sz w:val="24"/>
        </w:rPr>
        <w:t>Tongyoo</w:t>
      </w:r>
      <w:proofErr w:type="spellEnd"/>
      <w:r>
        <w:rPr>
          <w:rFonts w:ascii="Arial" w:eastAsia="Arial" w:hAnsi="Arial" w:cs="Arial"/>
          <w:sz w:val="24"/>
        </w:rPr>
        <w:t xml:space="preserve"> et. </w:t>
      </w:r>
      <w:proofErr w:type="gramStart"/>
      <w:r>
        <w:rPr>
          <w:rFonts w:ascii="Arial" w:eastAsia="Arial" w:hAnsi="Arial" w:cs="Arial"/>
          <w:sz w:val="24"/>
        </w:rPr>
        <w:t>Al(</w:t>
      </w:r>
      <w:proofErr w:type="gramEnd"/>
      <w:r>
        <w:rPr>
          <w:rFonts w:ascii="Arial" w:eastAsia="Arial" w:hAnsi="Arial" w:cs="Arial"/>
          <w:sz w:val="24"/>
        </w:rPr>
        <w:t>2021),” t</w:t>
      </w:r>
      <w:r w:rsidRPr="006C4B28">
        <w:rPr>
          <w:rFonts w:ascii="Arial" w:eastAsia="Arial" w:hAnsi="Arial" w:cs="Arial"/>
          <w:sz w:val="24"/>
        </w:rPr>
        <w:t>he most common condition leading to the conversion</w:t>
      </w:r>
      <w:r>
        <w:rPr>
          <w:rFonts w:ascii="Arial" w:eastAsia="Arial" w:hAnsi="Arial" w:cs="Arial"/>
          <w:sz w:val="24"/>
        </w:rPr>
        <w:t xml:space="preserve"> </w:t>
      </w:r>
      <w:r w:rsidRPr="006C4B28">
        <w:rPr>
          <w:rFonts w:ascii="Arial" w:eastAsia="Arial" w:hAnsi="Arial" w:cs="Arial"/>
          <w:sz w:val="24"/>
        </w:rPr>
        <w:t>was</w:t>
      </w:r>
      <w:r>
        <w:rPr>
          <w:rFonts w:ascii="Arial" w:eastAsia="Arial" w:hAnsi="Arial" w:cs="Arial"/>
          <w:sz w:val="24"/>
        </w:rPr>
        <w:t xml:space="preserve"> </w:t>
      </w:r>
      <w:r w:rsidRPr="006C4B28">
        <w:rPr>
          <w:rFonts w:ascii="Arial" w:eastAsia="Arial" w:hAnsi="Arial" w:cs="Arial"/>
          <w:sz w:val="24"/>
        </w:rPr>
        <w:t>the difficult dissection of Calot’s triangle, then failure to</w:t>
      </w:r>
    </w:p>
    <w:p w14:paraId="7E875ED4" w14:textId="77777777" w:rsidR="00C731D3" w:rsidRDefault="00C731D3" w:rsidP="00C731D3">
      <w:pPr>
        <w:spacing w:after="0"/>
        <w:jc w:val="both"/>
        <w:rPr>
          <w:rFonts w:ascii="Arial" w:hAnsi="Arial" w:cs="Arial"/>
          <w:sz w:val="24"/>
        </w:rPr>
      </w:pPr>
      <w:r w:rsidRPr="006C4B28">
        <w:rPr>
          <w:rFonts w:ascii="Arial" w:eastAsia="Arial" w:hAnsi="Arial" w:cs="Arial"/>
          <w:sz w:val="24"/>
        </w:rPr>
        <w:t>clearly inspect critical view of safety</w:t>
      </w:r>
      <w:r>
        <w:rPr>
          <w:rFonts w:ascii="Arial" w:eastAsia="Arial" w:hAnsi="Arial" w:cs="Arial"/>
          <w:sz w:val="24"/>
        </w:rPr>
        <w:t>.</w:t>
      </w:r>
      <w:r w:rsidRPr="006C4B28">
        <w:rPr>
          <w:rFonts w:ascii="AdvOT863180fb" w:eastAsiaTheme="minorEastAsia" w:hAnsi="AdvOT863180fb" w:cs="AdvOT863180fb"/>
          <w:color w:val="auto"/>
          <w:kern w:val="0"/>
          <w:sz w:val="16"/>
          <w:szCs w:val="16"/>
        </w:rPr>
        <w:t xml:space="preserve"> </w:t>
      </w:r>
      <w:r w:rsidRPr="006C4B28">
        <w:rPr>
          <w:rFonts w:ascii="Arial" w:eastAsia="Arial" w:hAnsi="Arial" w:cs="Arial"/>
          <w:sz w:val="24"/>
        </w:rPr>
        <w:t>A converted open cholecystectomy</w:t>
      </w:r>
      <w:r>
        <w:rPr>
          <w:rFonts w:ascii="Arial" w:eastAsia="Arial" w:hAnsi="Arial" w:cs="Arial"/>
          <w:sz w:val="24"/>
        </w:rPr>
        <w:t xml:space="preserve"> </w:t>
      </w:r>
      <w:r w:rsidRPr="006C4B28">
        <w:rPr>
          <w:rFonts w:ascii="Arial" w:eastAsia="Arial" w:hAnsi="Arial" w:cs="Arial"/>
          <w:sz w:val="24"/>
        </w:rPr>
        <w:t>resulted in many consequences</w:t>
      </w:r>
      <w:r>
        <w:rPr>
          <w:rFonts w:ascii="Arial" w:eastAsia="Arial" w:hAnsi="Arial" w:cs="Arial"/>
          <w:sz w:val="24"/>
        </w:rPr>
        <w:t xml:space="preserve"> like</w:t>
      </w:r>
      <w:r w:rsidRPr="006C4B28">
        <w:rPr>
          <w:rFonts w:ascii="Arial" w:eastAsia="Arial" w:hAnsi="Arial" w:cs="Arial"/>
          <w:sz w:val="24"/>
        </w:rPr>
        <w:t>, more intense post-operative pain, longer hospital</w:t>
      </w:r>
      <w:r>
        <w:rPr>
          <w:rFonts w:ascii="Arial" w:eastAsia="Arial" w:hAnsi="Arial" w:cs="Arial"/>
          <w:sz w:val="24"/>
        </w:rPr>
        <w:t xml:space="preserve"> </w:t>
      </w:r>
      <w:proofErr w:type="gramStart"/>
      <w:r w:rsidRPr="006C4B28">
        <w:rPr>
          <w:rFonts w:ascii="Arial" w:eastAsia="Arial" w:hAnsi="Arial" w:cs="Arial"/>
          <w:sz w:val="24"/>
        </w:rPr>
        <w:t>stay</w:t>
      </w:r>
      <w:proofErr w:type="gramEnd"/>
      <w:r w:rsidRPr="006C4B28">
        <w:rPr>
          <w:rFonts w:ascii="Arial" w:eastAsia="Arial" w:hAnsi="Arial" w:cs="Arial"/>
          <w:sz w:val="24"/>
        </w:rPr>
        <w:t>, much more wound complication, and subsequently higher</w:t>
      </w:r>
      <w:r>
        <w:rPr>
          <w:rFonts w:ascii="Arial" w:eastAsia="Arial" w:hAnsi="Arial" w:cs="Arial"/>
          <w:sz w:val="24"/>
        </w:rPr>
        <w:t xml:space="preserve"> </w:t>
      </w:r>
      <w:r w:rsidRPr="006C4B28">
        <w:rPr>
          <w:rFonts w:ascii="Arial" w:eastAsia="Arial" w:hAnsi="Arial" w:cs="Arial"/>
          <w:sz w:val="24"/>
        </w:rPr>
        <w:t>cost of treatment</w:t>
      </w:r>
      <w:r>
        <w:rPr>
          <w:rFonts w:ascii="Arial" w:eastAsia="Arial" w:hAnsi="Arial" w:cs="Arial"/>
          <w:sz w:val="24"/>
        </w:rPr>
        <w:t xml:space="preserve">. </w:t>
      </w:r>
      <w:r w:rsidRPr="004F6FA3">
        <w:rPr>
          <w:rFonts w:ascii="Arial" w:eastAsia="Arial" w:hAnsi="Arial" w:cs="Arial"/>
          <w:sz w:val="24"/>
        </w:rPr>
        <w:t>The operative time of successful LC and converted OC</w:t>
      </w:r>
      <w:r>
        <w:rPr>
          <w:rFonts w:ascii="Arial" w:eastAsia="Arial" w:hAnsi="Arial" w:cs="Arial"/>
          <w:sz w:val="24"/>
        </w:rPr>
        <w:t xml:space="preserve"> </w:t>
      </w:r>
      <w:r w:rsidRPr="004F6FA3">
        <w:rPr>
          <w:rFonts w:ascii="Arial" w:eastAsia="Arial" w:hAnsi="Arial" w:cs="Arial"/>
          <w:sz w:val="24"/>
        </w:rPr>
        <w:t>were 76.17 ± 29.64 and 119.06 ± 28.30 min respectively</w:t>
      </w:r>
      <w:r>
        <w:rPr>
          <w:rFonts w:ascii="Arial" w:eastAsia="Arial" w:hAnsi="Arial" w:cs="Arial"/>
          <w:sz w:val="24"/>
        </w:rPr>
        <w:t>. They had a conversion rate of 10.5%”</w:t>
      </w:r>
      <w:r>
        <w:rPr>
          <w:rFonts w:ascii="Arial" w:eastAsia="Arial" w:hAnsi="Arial" w:cs="Arial"/>
          <w:sz w:val="24"/>
          <w:vertAlign w:val="superscript"/>
        </w:rPr>
        <w:t xml:space="preserve">8 </w:t>
      </w:r>
      <w:r>
        <w:rPr>
          <w:rFonts w:ascii="Arial" w:hAnsi="Arial" w:cs="Arial"/>
          <w:sz w:val="24"/>
        </w:rPr>
        <w:t>The patients requiring conversion in our study also had more intense post operative pain and required analgesics for a longer mean duration of 7.4 days.66.6 % patients undergoing conversion had surgical site infection. The mean operative time in converted cases was significantly longer than those which were completed as LC.</w:t>
      </w:r>
    </w:p>
    <w:p w14:paraId="2A4DE680" w14:textId="77777777" w:rsidR="00C731D3" w:rsidRDefault="00C731D3" w:rsidP="00C731D3">
      <w:pPr>
        <w:spacing w:after="0"/>
        <w:jc w:val="both"/>
        <w:rPr>
          <w:rFonts w:ascii="Arial" w:hAnsi="Arial" w:cs="Arial"/>
          <w:sz w:val="24"/>
        </w:rPr>
      </w:pPr>
      <w:r>
        <w:rPr>
          <w:rFonts w:ascii="Arial" w:hAnsi="Arial" w:cs="Arial"/>
          <w:sz w:val="24"/>
        </w:rPr>
        <w:t xml:space="preserve">According to </w:t>
      </w:r>
      <w:r w:rsidRPr="000B5C89">
        <w:rPr>
          <w:rFonts w:ascii="Arial" w:hAnsi="Arial" w:cs="Arial"/>
          <w:sz w:val="24"/>
        </w:rPr>
        <w:t>Robert P. Sutcliffe</w:t>
      </w:r>
      <w:r>
        <w:rPr>
          <w:rFonts w:ascii="Arial" w:hAnsi="Arial" w:cs="Arial"/>
          <w:sz w:val="24"/>
        </w:rPr>
        <w:t xml:space="preserve"> et. Al,</w:t>
      </w:r>
      <w:r w:rsidRPr="00FC6C6A">
        <w:rPr>
          <w:rFonts w:ascii="AdvOT77db9845" w:eastAsiaTheme="minorEastAsia" w:hAnsi="AdvOT77db9845" w:cs="AdvOT77db9845"/>
          <w:color w:val="auto"/>
          <w:kern w:val="0"/>
          <w:sz w:val="18"/>
          <w:szCs w:val="18"/>
        </w:rPr>
        <w:t xml:space="preserve"> </w:t>
      </w:r>
      <w:r>
        <w:rPr>
          <w:rFonts w:ascii="AdvOT77db9845" w:eastAsiaTheme="minorEastAsia" w:hAnsi="AdvOT77db9845" w:cs="AdvOT77db9845"/>
          <w:color w:val="auto"/>
          <w:kern w:val="0"/>
          <w:sz w:val="18"/>
          <w:szCs w:val="18"/>
        </w:rPr>
        <w:t>“</w:t>
      </w:r>
      <w:r w:rsidRPr="00FC6C6A">
        <w:rPr>
          <w:rFonts w:ascii="Arial" w:hAnsi="Arial" w:cs="Arial"/>
          <w:sz w:val="24"/>
        </w:rPr>
        <w:t xml:space="preserve">Mean patient age </w:t>
      </w:r>
      <w:r>
        <w:rPr>
          <w:rFonts w:ascii="Arial" w:hAnsi="Arial" w:cs="Arial"/>
          <w:sz w:val="24"/>
        </w:rPr>
        <w:t xml:space="preserve">requiring conversion </w:t>
      </w:r>
      <w:r w:rsidRPr="00FC6C6A">
        <w:rPr>
          <w:rFonts w:ascii="Arial" w:hAnsi="Arial" w:cs="Arial"/>
          <w:sz w:val="24"/>
        </w:rPr>
        <w:t>was 51 ± 17 years</w:t>
      </w:r>
      <w:r>
        <w:rPr>
          <w:rFonts w:ascii="Arial" w:hAnsi="Arial" w:cs="Arial"/>
          <w:sz w:val="24"/>
        </w:rPr>
        <w:t xml:space="preserve"> with a conversion rate of 3.4%</w:t>
      </w:r>
      <w:proofErr w:type="gramStart"/>
      <w:r>
        <w:rPr>
          <w:rFonts w:ascii="Arial" w:hAnsi="Arial" w:cs="Arial"/>
          <w:sz w:val="24"/>
        </w:rPr>
        <w:t>.”The</w:t>
      </w:r>
      <w:proofErr w:type="gramEnd"/>
      <w:r>
        <w:rPr>
          <w:rFonts w:ascii="Arial" w:hAnsi="Arial" w:cs="Arial"/>
          <w:sz w:val="24"/>
        </w:rPr>
        <w:t xml:space="preserve"> mean age of patients requiring conversion in our study was </w:t>
      </w:r>
    </w:p>
    <w:p w14:paraId="09907D2B" w14:textId="77777777" w:rsidR="00C731D3" w:rsidRDefault="00C731D3" w:rsidP="00C731D3">
      <w:pPr>
        <w:spacing w:after="0"/>
        <w:jc w:val="both"/>
        <w:rPr>
          <w:rFonts w:ascii="Arial" w:eastAsia="Arial" w:hAnsi="Arial" w:cs="Arial"/>
          <w:sz w:val="24"/>
        </w:rPr>
      </w:pPr>
      <w:r w:rsidRPr="00856BA5">
        <w:rPr>
          <w:rFonts w:ascii="Arial" w:eastAsia="Arial" w:hAnsi="Arial" w:cs="Arial"/>
          <w:sz w:val="24"/>
        </w:rPr>
        <w:t xml:space="preserve">Patients with these risk factors should be </w:t>
      </w:r>
      <w:proofErr w:type="spellStart"/>
      <w:r w:rsidRPr="00856BA5">
        <w:rPr>
          <w:rFonts w:ascii="Arial" w:eastAsia="Arial" w:hAnsi="Arial" w:cs="Arial"/>
          <w:sz w:val="24"/>
        </w:rPr>
        <w:t>counseled</w:t>
      </w:r>
      <w:proofErr w:type="spellEnd"/>
      <w:r w:rsidRPr="00856BA5">
        <w:rPr>
          <w:rFonts w:ascii="Arial" w:eastAsia="Arial" w:hAnsi="Arial" w:cs="Arial"/>
          <w:sz w:val="24"/>
        </w:rPr>
        <w:t xml:space="preserve"> for the possibility of conversion to open surgery preoperatively. Further research is needed to determine whether these high risks patients should be operated on by surgeons with more extensive experience in minimal invasive surgery. Determining preoperative patient-related factors and anticipating the need to convert from LC to open surgery can help identify high risk patients and redefine surgical strategy in this group. Additionally, the conversion from laparoscopic to open surgery results in longer postoperative stays and higher morbidity and mortality rates in this group of patients</w:t>
      </w:r>
      <w:r>
        <w:rPr>
          <w:rFonts w:ascii="Arial" w:eastAsia="Arial" w:hAnsi="Arial" w:cs="Arial"/>
          <w:sz w:val="24"/>
        </w:rPr>
        <w:t>.</w:t>
      </w:r>
    </w:p>
    <w:p w14:paraId="071E84BC" w14:textId="77777777" w:rsidR="00C731D3" w:rsidRDefault="00C731D3" w:rsidP="00C731D3">
      <w:pPr>
        <w:spacing w:after="0"/>
        <w:jc w:val="both"/>
        <w:rPr>
          <w:rFonts w:ascii="Arial" w:eastAsia="Arial" w:hAnsi="Arial" w:cs="Arial"/>
          <w:sz w:val="24"/>
        </w:rPr>
      </w:pPr>
      <w:r w:rsidRPr="00856BA5">
        <w:rPr>
          <w:rFonts w:ascii="Arial" w:eastAsia="Arial" w:hAnsi="Arial" w:cs="Arial"/>
          <w:sz w:val="24"/>
        </w:rPr>
        <w:t>The surgeon’s experience is an important factor in determining the rate of conversion. Increased laparoscopic experience is associated with reduction in conversion and complication rate. Surgeons with larger caseloads may have better outcomes than those who do the procedures less frequently.</w:t>
      </w:r>
    </w:p>
    <w:p w14:paraId="38D6D6EC" w14:textId="77777777" w:rsidR="00C731D3" w:rsidRDefault="00C731D3" w:rsidP="00C731D3">
      <w:pPr>
        <w:spacing w:after="0"/>
        <w:jc w:val="both"/>
        <w:rPr>
          <w:rFonts w:ascii="Arial" w:eastAsia="Arial" w:hAnsi="Arial" w:cs="Arial"/>
          <w:sz w:val="24"/>
        </w:rPr>
      </w:pPr>
      <w:r>
        <w:rPr>
          <w:rFonts w:ascii="Arial" w:eastAsia="Arial" w:hAnsi="Arial" w:cs="Arial"/>
          <w:sz w:val="24"/>
        </w:rPr>
        <w:t>T</w:t>
      </w:r>
      <w:r w:rsidRPr="00856BA5">
        <w:rPr>
          <w:rFonts w:ascii="Arial" w:eastAsia="Arial" w:hAnsi="Arial" w:cs="Arial"/>
          <w:sz w:val="24"/>
        </w:rPr>
        <w:t>he identification of parameters predicting conversion improves preoperative patient counselling, provides for better preoperative planning, optimizes operating room efficiency, and helps avoiding laparoscopic-associated complications by performing an open operation when considered appropriate.</w:t>
      </w:r>
    </w:p>
    <w:p w14:paraId="24FFDF2C" w14:textId="77777777" w:rsidR="00C731D3" w:rsidRPr="00856BA5" w:rsidRDefault="00C731D3" w:rsidP="00C731D3">
      <w:pPr>
        <w:spacing w:after="0"/>
        <w:jc w:val="both"/>
        <w:rPr>
          <w:rFonts w:ascii="Arial" w:eastAsia="Arial" w:hAnsi="Arial" w:cs="Arial"/>
          <w:sz w:val="24"/>
        </w:rPr>
      </w:pPr>
      <w:r w:rsidRPr="00856BA5">
        <w:rPr>
          <w:rFonts w:ascii="Arial" w:eastAsia="Arial" w:hAnsi="Arial" w:cs="Arial"/>
          <w:sz w:val="24"/>
        </w:rPr>
        <w:t xml:space="preserve">Many </w:t>
      </w:r>
      <w:proofErr w:type="spellStart"/>
      <w:r w:rsidRPr="00856BA5">
        <w:rPr>
          <w:rFonts w:ascii="Arial" w:eastAsia="Arial" w:hAnsi="Arial" w:cs="Arial"/>
          <w:sz w:val="24"/>
        </w:rPr>
        <w:t>centers</w:t>
      </w:r>
      <w:proofErr w:type="spellEnd"/>
      <w:r w:rsidRPr="00856BA5">
        <w:rPr>
          <w:rFonts w:ascii="Arial" w:eastAsia="Arial" w:hAnsi="Arial" w:cs="Arial"/>
          <w:sz w:val="24"/>
        </w:rPr>
        <w:t xml:space="preserve"> around the world use the LC more frequently than classical cholecystectomy (CC) due to low invasiveness and safety of the surgeries performed, reduction of postoperative complications, faster recovery, and significantly shorter hospital </w:t>
      </w:r>
      <w:proofErr w:type="gramStart"/>
      <w:r w:rsidRPr="00856BA5">
        <w:rPr>
          <w:rFonts w:ascii="Arial" w:eastAsia="Arial" w:hAnsi="Arial" w:cs="Arial"/>
          <w:sz w:val="24"/>
        </w:rPr>
        <w:t>stay .</w:t>
      </w:r>
      <w:proofErr w:type="gramEnd"/>
      <w:r w:rsidRPr="00856BA5">
        <w:rPr>
          <w:rFonts w:ascii="Arial" w:eastAsia="Arial" w:hAnsi="Arial" w:cs="Arial"/>
          <w:sz w:val="24"/>
        </w:rPr>
        <w:t xml:space="preserve"> However, due to certain factors, there is occasionally a need to abandon the previously planned laparoscopic procedure and perform </w:t>
      </w:r>
      <w:r>
        <w:rPr>
          <w:rFonts w:ascii="Arial" w:eastAsia="Arial" w:hAnsi="Arial" w:cs="Arial"/>
          <w:sz w:val="24"/>
        </w:rPr>
        <w:t>open</w:t>
      </w:r>
      <w:r w:rsidRPr="00856BA5">
        <w:rPr>
          <w:rFonts w:ascii="Arial" w:eastAsia="Arial" w:hAnsi="Arial" w:cs="Arial"/>
          <w:sz w:val="24"/>
        </w:rPr>
        <w:t xml:space="preserve"> </w:t>
      </w:r>
      <w:proofErr w:type="spellStart"/>
      <w:proofErr w:type="gramStart"/>
      <w:r w:rsidRPr="00856BA5">
        <w:rPr>
          <w:rFonts w:ascii="Arial" w:eastAsia="Arial" w:hAnsi="Arial" w:cs="Arial"/>
          <w:sz w:val="24"/>
        </w:rPr>
        <w:t>cholecystectomy.</w:t>
      </w:r>
      <w:r>
        <w:rPr>
          <w:rFonts w:ascii="Arial" w:eastAsia="Arial" w:hAnsi="Arial" w:cs="Arial"/>
          <w:sz w:val="24"/>
        </w:rPr>
        <w:t>Hence</w:t>
      </w:r>
      <w:proofErr w:type="gramEnd"/>
      <w:r>
        <w:rPr>
          <w:rFonts w:ascii="Arial" w:eastAsia="Arial" w:hAnsi="Arial" w:cs="Arial"/>
          <w:sz w:val="24"/>
        </w:rPr>
        <w:t>,</w:t>
      </w:r>
      <w:r w:rsidRPr="00856BA5">
        <w:rPr>
          <w:rFonts w:ascii="Arial" w:eastAsia="Arial" w:hAnsi="Arial" w:cs="Arial"/>
          <w:sz w:val="24"/>
        </w:rPr>
        <w:t>Surgical</w:t>
      </w:r>
      <w:proofErr w:type="spellEnd"/>
      <w:r w:rsidRPr="00856BA5">
        <w:rPr>
          <w:rFonts w:ascii="Arial" w:eastAsia="Arial" w:hAnsi="Arial" w:cs="Arial"/>
          <w:sz w:val="24"/>
        </w:rPr>
        <w:t xml:space="preserve"> training in O.C is still relevant</w:t>
      </w:r>
      <w:r>
        <w:rPr>
          <w:rFonts w:ascii="Arial" w:eastAsia="Arial" w:hAnsi="Arial" w:cs="Arial"/>
          <w:sz w:val="24"/>
        </w:rPr>
        <w:t>.</w:t>
      </w:r>
      <w:r>
        <w:rPr>
          <w:rFonts w:ascii="Arial" w:hAnsi="Arial" w:cs="Arial"/>
          <w:sz w:val="24"/>
        </w:rPr>
        <w:t xml:space="preserve"> </w:t>
      </w:r>
      <w:r w:rsidRPr="005506E9">
        <w:rPr>
          <w:rFonts w:ascii="Arial" w:hAnsi="Arial" w:cs="Arial"/>
          <w:sz w:val="24"/>
        </w:rPr>
        <w:t>Rather than being considered a complication, the</w:t>
      </w:r>
      <w:r>
        <w:rPr>
          <w:rFonts w:ascii="Arial" w:hAnsi="Arial" w:cs="Arial"/>
          <w:sz w:val="24"/>
        </w:rPr>
        <w:t xml:space="preserve"> </w:t>
      </w:r>
      <w:r w:rsidRPr="005506E9">
        <w:rPr>
          <w:rFonts w:ascii="Arial" w:hAnsi="Arial" w:cs="Arial"/>
          <w:sz w:val="24"/>
        </w:rPr>
        <w:t>decision to convert should be regarded as a sign of good judgement</w:t>
      </w:r>
      <w:r>
        <w:rPr>
          <w:rFonts w:ascii="Arial" w:hAnsi="Arial" w:cs="Arial"/>
          <w:sz w:val="24"/>
        </w:rPr>
        <w:t xml:space="preserve"> </w:t>
      </w:r>
      <w:r w:rsidRPr="005506E9">
        <w:rPr>
          <w:rFonts w:ascii="Arial" w:hAnsi="Arial" w:cs="Arial"/>
          <w:sz w:val="24"/>
        </w:rPr>
        <w:t>in the presence of adverse conditions.</w:t>
      </w:r>
    </w:p>
    <w:p w14:paraId="072160BF" w14:textId="77777777" w:rsidR="00C731D3" w:rsidRPr="0063504A" w:rsidRDefault="00C731D3" w:rsidP="00C731D3">
      <w:pPr>
        <w:spacing w:after="0"/>
        <w:jc w:val="both"/>
        <w:rPr>
          <w:rFonts w:ascii="Arial" w:hAnsi="Arial" w:cs="Arial"/>
          <w:sz w:val="24"/>
        </w:rPr>
      </w:pPr>
      <w:r>
        <w:rPr>
          <w:rFonts w:ascii="Arial" w:hAnsi="Arial" w:cs="Arial"/>
          <w:sz w:val="24"/>
        </w:rPr>
        <w:t>With regard to the gender of patients undergoing cholecystectomy,</w:t>
      </w:r>
      <w:r w:rsidRPr="0073159D">
        <w:rPr>
          <w:rFonts w:ascii="Times New Roman" w:eastAsia="Times New Roman" w:hAnsi="Times New Roman" w:cs="Times New Roman"/>
          <w:color w:val="auto"/>
          <w:kern w:val="0"/>
          <w:sz w:val="24"/>
          <w14:ligatures w14:val="none"/>
        </w:rPr>
        <w:t xml:space="preserve"> </w:t>
      </w:r>
      <w:r w:rsidRPr="0073159D">
        <w:rPr>
          <w:rFonts w:ascii="Arial" w:hAnsi="Arial" w:cs="Arial"/>
          <w:sz w:val="24"/>
        </w:rPr>
        <w:t>Sutcliffe et colleagues found a conversion rate of 6.4% in male and 2.3% in female cholecystectomy patients, respectively.</w:t>
      </w:r>
      <w:r>
        <w:rPr>
          <w:rFonts w:ascii="Arial" w:hAnsi="Arial" w:cs="Arial"/>
          <w:sz w:val="24"/>
          <w:vertAlign w:val="superscript"/>
        </w:rPr>
        <w:t>9</w:t>
      </w:r>
      <w:r w:rsidRPr="0073159D">
        <w:rPr>
          <w:rFonts w:ascii="Arial" w:hAnsi="Arial" w:cs="Arial"/>
          <w:sz w:val="24"/>
        </w:rPr>
        <w:t xml:space="preserve"> Yol et </w:t>
      </w:r>
      <w:r>
        <w:rPr>
          <w:rFonts w:ascii="Arial" w:hAnsi="Arial" w:cs="Arial"/>
          <w:sz w:val="24"/>
        </w:rPr>
        <w:t>al.</w:t>
      </w:r>
      <w:r w:rsidRPr="0073159D">
        <w:rPr>
          <w:rFonts w:ascii="Arial" w:hAnsi="Arial" w:cs="Arial"/>
          <w:sz w:val="24"/>
        </w:rPr>
        <w:t xml:space="preserve"> found that men have more inflammatory cells and tissue collagen in the gallbladder wall, leading to more extensive fibrosis than women.</w:t>
      </w:r>
      <w:r>
        <w:rPr>
          <w:rFonts w:ascii="Arial" w:hAnsi="Arial" w:cs="Arial"/>
          <w:sz w:val="24"/>
          <w:vertAlign w:val="superscript"/>
        </w:rPr>
        <w:t xml:space="preserve">10 </w:t>
      </w:r>
      <w:r>
        <w:rPr>
          <w:rFonts w:ascii="Arial" w:hAnsi="Arial" w:cs="Arial"/>
          <w:sz w:val="24"/>
        </w:rPr>
        <w:t xml:space="preserve">The </w:t>
      </w:r>
      <w:proofErr w:type="gramStart"/>
      <w:r>
        <w:rPr>
          <w:rFonts w:ascii="Arial" w:hAnsi="Arial" w:cs="Arial"/>
          <w:sz w:val="24"/>
        </w:rPr>
        <w:t>patients</w:t>
      </w:r>
      <w:proofErr w:type="gramEnd"/>
      <w:r>
        <w:rPr>
          <w:rFonts w:ascii="Arial" w:hAnsi="Arial" w:cs="Arial"/>
          <w:sz w:val="24"/>
        </w:rPr>
        <w:t xml:space="preserve"> requiring conversion in our study were 80% female.</w:t>
      </w:r>
    </w:p>
    <w:p w14:paraId="268936FC" w14:textId="77777777" w:rsidR="00C731D3" w:rsidRPr="0063504A" w:rsidRDefault="00C731D3" w:rsidP="00C731D3">
      <w:pPr>
        <w:spacing w:after="0"/>
        <w:jc w:val="both"/>
        <w:rPr>
          <w:rFonts w:ascii="Arial" w:hAnsi="Arial" w:cs="Arial"/>
          <w:sz w:val="24"/>
        </w:rPr>
      </w:pPr>
      <w:r w:rsidRPr="0073159D">
        <w:rPr>
          <w:rFonts w:ascii="Arial" w:hAnsi="Arial" w:cs="Arial"/>
          <w:sz w:val="24"/>
        </w:rPr>
        <w:lastRenderedPageBreak/>
        <w:t>Numerous studies have provided evidence linking a patient's age to more challenging LC or a higher conversion rate.</w:t>
      </w:r>
      <w:r w:rsidRPr="0073159D">
        <w:rPr>
          <w:rFonts w:ascii="AdvOT863180fb" w:eastAsiaTheme="minorEastAsia" w:hAnsi="AdvOT863180fb" w:cs="AdvOT863180fb"/>
          <w:color w:val="auto"/>
          <w:kern w:val="0"/>
          <w:sz w:val="16"/>
          <w:szCs w:val="16"/>
        </w:rPr>
        <w:t xml:space="preserve"> </w:t>
      </w:r>
      <w:r w:rsidRPr="0073159D">
        <w:rPr>
          <w:rFonts w:ascii="Arial" w:hAnsi="Arial" w:cs="Arial"/>
          <w:sz w:val="24"/>
        </w:rPr>
        <w:t>Yetkin et al reported conversion rate of 14.7% and 8% of</w:t>
      </w:r>
      <w:r>
        <w:rPr>
          <w:rFonts w:ascii="Arial" w:hAnsi="Arial" w:cs="Arial"/>
          <w:sz w:val="24"/>
        </w:rPr>
        <w:t xml:space="preserve"> </w:t>
      </w:r>
      <w:r w:rsidRPr="0073159D">
        <w:rPr>
          <w:rFonts w:ascii="Arial" w:hAnsi="Arial" w:cs="Arial"/>
          <w:sz w:val="24"/>
        </w:rPr>
        <w:t xml:space="preserve">patients aged more and less than </w:t>
      </w:r>
      <w:r>
        <w:rPr>
          <w:rFonts w:ascii="Arial" w:hAnsi="Arial" w:cs="Arial"/>
          <w:sz w:val="24"/>
        </w:rPr>
        <w:t>6</w:t>
      </w:r>
      <w:r w:rsidRPr="0073159D">
        <w:rPr>
          <w:rFonts w:ascii="Arial" w:hAnsi="Arial" w:cs="Arial"/>
          <w:sz w:val="24"/>
        </w:rPr>
        <w:t>0 years, respectively</w:t>
      </w:r>
      <w:r>
        <w:rPr>
          <w:rFonts w:ascii="Arial" w:hAnsi="Arial" w:cs="Arial"/>
          <w:sz w:val="24"/>
        </w:rPr>
        <w:t>.</w:t>
      </w:r>
      <w:proofErr w:type="gramStart"/>
      <w:r>
        <w:rPr>
          <w:rFonts w:ascii="Arial" w:hAnsi="Arial" w:cs="Arial"/>
          <w:sz w:val="24"/>
          <w:vertAlign w:val="superscript"/>
        </w:rPr>
        <w:t xml:space="preserve">11 </w:t>
      </w:r>
      <w:r>
        <w:rPr>
          <w:rFonts w:ascii="Arial" w:hAnsi="Arial" w:cs="Arial"/>
          <w:sz w:val="24"/>
        </w:rPr>
        <w:t xml:space="preserve"> </w:t>
      </w:r>
      <w:r w:rsidRPr="0063504A">
        <w:rPr>
          <w:rFonts w:ascii="Arial" w:hAnsi="Arial" w:cs="Arial"/>
          <w:sz w:val="24"/>
        </w:rPr>
        <w:t>This</w:t>
      </w:r>
      <w:proofErr w:type="gramEnd"/>
      <w:r w:rsidRPr="0063504A">
        <w:rPr>
          <w:rFonts w:ascii="Arial" w:hAnsi="Arial" w:cs="Arial"/>
          <w:sz w:val="24"/>
        </w:rPr>
        <w:t xml:space="preserve"> conclusion could be attributed to the presence of gallstones for a longer period of time and increased </w:t>
      </w:r>
      <w:proofErr w:type="spellStart"/>
      <w:proofErr w:type="gramStart"/>
      <w:r w:rsidRPr="0063504A">
        <w:rPr>
          <w:rFonts w:ascii="Arial" w:hAnsi="Arial" w:cs="Arial"/>
          <w:sz w:val="24"/>
        </w:rPr>
        <w:t>inflammation.</w:t>
      </w:r>
      <w:r>
        <w:rPr>
          <w:rFonts w:ascii="Arial" w:hAnsi="Arial" w:cs="Arial"/>
          <w:sz w:val="24"/>
        </w:rPr>
        <w:t>The</w:t>
      </w:r>
      <w:proofErr w:type="spellEnd"/>
      <w:proofErr w:type="gramEnd"/>
      <w:r>
        <w:rPr>
          <w:rFonts w:ascii="Arial" w:hAnsi="Arial" w:cs="Arial"/>
          <w:sz w:val="24"/>
        </w:rPr>
        <w:t xml:space="preserve"> mean age of patients requiring conversion in our study was 35.5 years.</w:t>
      </w:r>
    </w:p>
    <w:p w14:paraId="790F32D7" w14:textId="77777777" w:rsidR="00C731D3" w:rsidRPr="0073159D" w:rsidRDefault="00C731D3" w:rsidP="00C731D3">
      <w:pPr>
        <w:spacing w:after="0"/>
        <w:jc w:val="both"/>
        <w:rPr>
          <w:rFonts w:ascii="Arial" w:hAnsi="Arial" w:cs="Arial"/>
          <w:sz w:val="24"/>
        </w:rPr>
      </w:pPr>
    </w:p>
    <w:p w14:paraId="571E6561" w14:textId="77777777" w:rsidR="00C731D3" w:rsidRPr="00064175" w:rsidRDefault="00C731D3" w:rsidP="00C731D3">
      <w:pPr>
        <w:spacing w:after="0"/>
        <w:jc w:val="both"/>
        <w:rPr>
          <w:rFonts w:ascii="Arial" w:hAnsi="Arial" w:cs="Arial"/>
          <w:sz w:val="24"/>
        </w:rPr>
      </w:pPr>
    </w:p>
    <w:p w14:paraId="44241D12" w14:textId="77777777" w:rsidR="00C731D3" w:rsidRDefault="00C731D3" w:rsidP="00C731D3">
      <w:pPr>
        <w:spacing w:after="10" w:line="268" w:lineRule="auto"/>
        <w:ind w:left="-5" w:hanging="10"/>
        <w:rPr>
          <w:rFonts w:ascii="Arial" w:eastAsia="Arial" w:hAnsi="Arial" w:cs="Arial"/>
          <w:sz w:val="24"/>
        </w:rPr>
      </w:pPr>
    </w:p>
    <w:p w14:paraId="387C056B" w14:textId="77777777" w:rsidR="00C731D3" w:rsidRDefault="00C731D3" w:rsidP="00C731D3">
      <w:pPr>
        <w:spacing w:after="10" w:line="268" w:lineRule="auto"/>
        <w:ind w:left="-5" w:hanging="10"/>
        <w:rPr>
          <w:rFonts w:ascii="Arial" w:eastAsia="Arial" w:hAnsi="Arial" w:cs="Arial"/>
          <w:sz w:val="24"/>
        </w:rPr>
      </w:pPr>
    </w:p>
    <w:p w14:paraId="08E8B776" w14:textId="77777777" w:rsidR="00C731D3" w:rsidRDefault="00C731D3" w:rsidP="00C731D3">
      <w:pPr>
        <w:spacing w:after="10" w:line="268" w:lineRule="auto"/>
        <w:ind w:left="-5" w:hanging="10"/>
        <w:rPr>
          <w:rFonts w:ascii="Arial" w:eastAsia="Arial" w:hAnsi="Arial" w:cs="Arial"/>
          <w:sz w:val="24"/>
        </w:rPr>
      </w:pPr>
    </w:p>
    <w:p w14:paraId="62D2D852" w14:textId="77777777" w:rsidR="00C731D3" w:rsidRDefault="00C731D3" w:rsidP="00C731D3">
      <w:pPr>
        <w:spacing w:after="10" w:line="268" w:lineRule="auto"/>
        <w:ind w:left="-5" w:hanging="10"/>
        <w:rPr>
          <w:rFonts w:ascii="Arial" w:eastAsia="Arial" w:hAnsi="Arial" w:cs="Arial"/>
          <w:sz w:val="24"/>
        </w:rPr>
      </w:pPr>
    </w:p>
    <w:p w14:paraId="4DC1B34E" w14:textId="77777777" w:rsidR="00C731D3" w:rsidRDefault="00C731D3" w:rsidP="00C731D3">
      <w:pPr>
        <w:spacing w:after="10" w:line="268" w:lineRule="auto"/>
        <w:ind w:left="-5" w:hanging="10"/>
        <w:rPr>
          <w:rFonts w:ascii="Arial" w:eastAsia="Arial" w:hAnsi="Arial" w:cs="Arial"/>
          <w:sz w:val="24"/>
        </w:rPr>
      </w:pPr>
    </w:p>
    <w:p w14:paraId="1B08984C" w14:textId="77777777" w:rsidR="00C731D3" w:rsidRDefault="00C731D3" w:rsidP="00C731D3">
      <w:pPr>
        <w:spacing w:after="10" w:line="268" w:lineRule="auto"/>
        <w:ind w:left="-5" w:hanging="10"/>
        <w:rPr>
          <w:rFonts w:ascii="Arial" w:eastAsia="Arial" w:hAnsi="Arial" w:cs="Arial"/>
          <w:sz w:val="24"/>
        </w:rPr>
      </w:pPr>
    </w:p>
    <w:p w14:paraId="33C750BC" w14:textId="77777777" w:rsidR="00C731D3" w:rsidRDefault="00C731D3" w:rsidP="00C731D3">
      <w:pPr>
        <w:spacing w:after="10" w:line="268" w:lineRule="auto"/>
        <w:ind w:left="-5" w:hanging="10"/>
        <w:rPr>
          <w:rFonts w:ascii="Arial" w:eastAsia="Arial" w:hAnsi="Arial" w:cs="Arial"/>
          <w:sz w:val="24"/>
        </w:rPr>
      </w:pPr>
    </w:p>
    <w:p w14:paraId="00710DD3" w14:textId="77777777" w:rsidR="00C731D3" w:rsidRDefault="00C731D3" w:rsidP="00C731D3">
      <w:pPr>
        <w:spacing w:after="10" w:line="268" w:lineRule="auto"/>
        <w:ind w:left="-5" w:hanging="10"/>
        <w:rPr>
          <w:rFonts w:ascii="Arial" w:eastAsia="Arial" w:hAnsi="Arial" w:cs="Arial"/>
          <w:sz w:val="24"/>
        </w:rPr>
      </w:pPr>
    </w:p>
    <w:p w14:paraId="0C2BFCBF" w14:textId="77777777" w:rsidR="00C731D3" w:rsidRDefault="00C731D3" w:rsidP="00C731D3">
      <w:pPr>
        <w:spacing w:after="10" w:line="268" w:lineRule="auto"/>
        <w:ind w:left="-5" w:hanging="10"/>
        <w:rPr>
          <w:rFonts w:ascii="Arial" w:eastAsia="Arial" w:hAnsi="Arial" w:cs="Arial"/>
          <w:sz w:val="24"/>
        </w:rPr>
      </w:pPr>
    </w:p>
    <w:p w14:paraId="0E8BDB7F" w14:textId="77777777" w:rsidR="00C731D3" w:rsidRDefault="00C731D3" w:rsidP="00C731D3">
      <w:pPr>
        <w:spacing w:after="10" w:line="268" w:lineRule="auto"/>
        <w:ind w:left="-5" w:hanging="10"/>
        <w:rPr>
          <w:rFonts w:ascii="Arial" w:eastAsia="Arial" w:hAnsi="Arial" w:cs="Arial"/>
          <w:sz w:val="24"/>
        </w:rPr>
      </w:pPr>
    </w:p>
    <w:p w14:paraId="26704748" w14:textId="77777777" w:rsidR="00C731D3" w:rsidRDefault="00C731D3" w:rsidP="00C731D3">
      <w:pPr>
        <w:spacing w:after="10" w:line="268" w:lineRule="auto"/>
        <w:ind w:left="-5" w:hanging="10"/>
        <w:rPr>
          <w:rFonts w:ascii="Arial" w:eastAsia="Arial" w:hAnsi="Arial" w:cs="Arial"/>
          <w:sz w:val="24"/>
        </w:rPr>
      </w:pPr>
    </w:p>
    <w:p w14:paraId="3C6B5076" w14:textId="77777777" w:rsidR="00C731D3" w:rsidRDefault="00C731D3" w:rsidP="00C731D3">
      <w:pPr>
        <w:spacing w:after="10" w:line="268" w:lineRule="auto"/>
        <w:ind w:left="-5" w:hanging="10"/>
        <w:rPr>
          <w:rFonts w:ascii="Arial" w:eastAsia="Arial" w:hAnsi="Arial" w:cs="Arial"/>
          <w:sz w:val="24"/>
        </w:rPr>
      </w:pPr>
    </w:p>
    <w:p w14:paraId="7BFAA301" w14:textId="77777777" w:rsidR="00C731D3" w:rsidRDefault="00C731D3" w:rsidP="00C731D3">
      <w:pPr>
        <w:spacing w:after="10" w:line="268" w:lineRule="auto"/>
        <w:ind w:left="-5" w:hanging="10"/>
        <w:rPr>
          <w:rFonts w:ascii="Arial" w:eastAsia="Arial" w:hAnsi="Arial" w:cs="Arial"/>
          <w:sz w:val="24"/>
        </w:rPr>
      </w:pPr>
    </w:p>
    <w:p w14:paraId="594C67AE" w14:textId="77777777" w:rsidR="00C731D3" w:rsidRDefault="00C731D3" w:rsidP="00C731D3">
      <w:pPr>
        <w:spacing w:after="10" w:line="268" w:lineRule="auto"/>
        <w:ind w:left="-5" w:hanging="10"/>
        <w:rPr>
          <w:rFonts w:ascii="Arial" w:eastAsia="Arial" w:hAnsi="Arial" w:cs="Arial"/>
          <w:sz w:val="24"/>
        </w:rPr>
      </w:pPr>
    </w:p>
    <w:p w14:paraId="63326409" w14:textId="77777777" w:rsidR="00C731D3" w:rsidRDefault="00C731D3" w:rsidP="00C731D3">
      <w:pPr>
        <w:spacing w:after="10" w:line="268" w:lineRule="auto"/>
        <w:ind w:left="-5" w:hanging="10"/>
        <w:rPr>
          <w:rFonts w:ascii="Arial" w:eastAsia="Arial" w:hAnsi="Arial" w:cs="Arial"/>
          <w:sz w:val="24"/>
        </w:rPr>
      </w:pPr>
    </w:p>
    <w:p w14:paraId="1F34A7B4" w14:textId="77777777" w:rsidR="00C731D3" w:rsidRDefault="00C731D3" w:rsidP="00C731D3">
      <w:pPr>
        <w:spacing w:after="10" w:line="268" w:lineRule="auto"/>
        <w:ind w:left="-5" w:hanging="10"/>
        <w:rPr>
          <w:rFonts w:ascii="Arial" w:eastAsia="Arial" w:hAnsi="Arial" w:cs="Arial"/>
          <w:sz w:val="24"/>
        </w:rPr>
      </w:pPr>
    </w:p>
    <w:p w14:paraId="42127696" w14:textId="77777777" w:rsidR="00C731D3" w:rsidRDefault="00C731D3" w:rsidP="00C731D3">
      <w:pPr>
        <w:spacing w:after="10" w:line="268" w:lineRule="auto"/>
        <w:ind w:left="-5" w:hanging="10"/>
        <w:rPr>
          <w:rFonts w:ascii="Arial" w:eastAsia="Arial" w:hAnsi="Arial" w:cs="Arial"/>
          <w:sz w:val="24"/>
        </w:rPr>
      </w:pPr>
    </w:p>
    <w:p w14:paraId="595C3C4C" w14:textId="77777777" w:rsidR="00C731D3" w:rsidRDefault="00C731D3" w:rsidP="00C731D3">
      <w:pPr>
        <w:spacing w:after="10" w:line="268" w:lineRule="auto"/>
        <w:ind w:left="-5" w:hanging="10"/>
        <w:rPr>
          <w:rFonts w:ascii="Arial" w:eastAsia="Arial" w:hAnsi="Arial" w:cs="Arial"/>
          <w:sz w:val="24"/>
        </w:rPr>
      </w:pPr>
    </w:p>
    <w:p w14:paraId="4282075A" w14:textId="77777777" w:rsidR="00C731D3" w:rsidRDefault="00C731D3" w:rsidP="00C731D3">
      <w:pPr>
        <w:spacing w:after="10" w:line="268" w:lineRule="auto"/>
        <w:ind w:left="-5" w:hanging="10"/>
        <w:rPr>
          <w:rFonts w:ascii="Arial" w:eastAsia="Arial" w:hAnsi="Arial" w:cs="Arial"/>
          <w:sz w:val="24"/>
        </w:rPr>
      </w:pPr>
    </w:p>
    <w:p w14:paraId="1160D613" w14:textId="77777777" w:rsidR="00C731D3" w:rsidRDefault="00C731D3" w:rsidP="00C731D3">
      <w:pPr>
        <w:spacing w:after="10" w:line="268" w:lineRule="auto"/>
        <w:ind w:left="-5" w:hanging="10"/>
        <w:rPr>
          <w:rFonts w:ascii="Arial" w:eastAsia="Arial" w:hAnsi="Arial" w:cs="Arial"/>
          <w:sz w:val="24"/>
        </w:rPr>
      </w:pPr>
    </w:p>
    <w:p w14:paraId="4B014A3A" w14:textId="77777777" w:rsidR="00C731D3" w:rsidRDefault="00C731D3" w:rsidP="00C731D3">
      <w:pPr>
        <w:spacing w:after="10" w:line="268" w:lineRule="auto"/>
        <w:ind w:left="-5" w:hanging="10"/>
        <w:rPr>
          <w:rFonts w:ascii="Arial" w:eastAsia="Arial" w:hAnsi="Arial" w:cs="Arial"/>
          <w:sz w:val="24"/>
        </w:rPr>
      </w:pPr>
    </w:p>
    <w:p w14:paraId="0B897D2C" w14:textId="77777777" w:rsidR="00C731D3" w:rsidRDefault="00C731D3" w:rsidP="00C731D3">
      <w:pPr>
        <w:spacing w:after="10" w:line="268" w:lineRule="auto"/>
        <w:ind w:left="-5" w:hanging="10"/>
        <w:rPr>
          <w:rFonts w:ascii="Arial" w:eastAsia="Arial" w:hAnsi="Arial" w:cs="Arial"/>
          <w:sz w:val="24"/>
        </w:rPr>
      </w:pPr>
    </w:p>
    <w:p w14:paraId="3493BC41" w14:textId="77777777" w:rsidR="00C731D3" w:rsidRDefault="00C731D3" w:rsidP="00C731D3">
      <w:pPr>
        <w:spacing w:after="10" w:line="268" w:lineRule="auto"/>
        <w:ind w:left="-5" w:hanging="10"/>
        <w:rPr>
          <w:rFonts w:ascii="Arial" w:eastAsia="Arial" w:hAnsi="Arial" w:cs="Arial"/>
          <w:sz w:val="24"/>
        </w:rPr>
      </w:pPr>
    </w:p>
    <w:p w14:paraId="22A9D717" w14:textId="77777777" w:rsidR="00C731D3" w:rsidRDefault="00C731D3" w:rsidP="00C731D3">
      <w:pPr>
        <w:spacing w:after="10" w:line="268" w:lineRule="auto"/>
        <w:ind w:left="-5" w:hanging="10"/>
        <w:rPr>
          <w:rFonts w:ascii="Arial" w:eastAsia="Arial" w:hAnsi="Arial" w:cs="Arial"/>
          <w:sz w:val="24"/>
        </w:rPr>
      </w:pPr>
    </w:p>
    <w:p w14:paraId="68AD6026" w14:textId="77777777" w:rsidR="00C731D3" w:rsidRDefault="00C731D3" w:rsidP="00C731D3">
      <w:pPr>
        <w:spacing w:after="10" w:line="268" w:lineRule="auto"/>
        <w:ind w:left="-5" w:hanging="10"/>
        <w:rPr>
          <w:rFonts w:ascii="Arial" w:eastAsia="Arial" w:hAnsi="Arial" w:cs="Arial"/>
          <w:sz w:val="24"/>
        </w:rPr>
      </w:pPr>
    </w:p>
    <w:p w14:paraId="5E4E86FE" w14:textId="77777777" w:rsidR="00C731D3" w:rsidRDefault="00C731D3" w:rsidP="00C731D3">
      <w:pPr>
        <w:spacing w:after="10" w:line="268" w:lineRule="auto"/>
        <w:ind w:left="-5" w:hanging="10"/>
        <w:rPr>
          <w:rFonts w:ascii="Arial" w:eastAsia="Arial" w:hAnsi="Arial" w:cs="Arial"/>
          <w:sz w:val="24"/>
        </w:rPr>
      </w:pPr>
    </w:p>
    <w:p w14:paraId="059D9B6A" w14:textId="77777777" w:rsidR="00C731D3" w:rsidRDefault="00C731D3" w:rsidP="00C731D3">
      <w:pPr>
        <w:spacing w:after="10" w:line="268" w:lineRule="auto"/>
        <w:ind w:left="-5" w:hanging="10"/>
        <w:rPr>
          <w:rFonts w:ascii="Arial" w:eastAsia="Arial" w:hAnsi="Arial" w:cs="Arial"/>
          <w:sz w:val="24"/>
        </w:rPr>
      </w:pPr>
    </w:p>
    <w:p w14:paraId="0A5FDC85" w14:textId="77777777" w:rsidR="00C731D3" w:rsidRDefault="00C731D3" w:rsidP="00C731D3">
      <w:pPr>
        <w:spacing w:after="10" w:line="268" w:lineRule="auto"/>
        <w:ind w:left="-5" w:hanging="10"/>
        <w:rPr>
          <w:rFonts w:ascii="Arial" w:eastAsia="Arial" w:hAnsi="Arial" w:cs="Arial"/>
          <w:sz w:val="24"/>
        </w:rPr>
      </w:pPr>
    </w:p>
    <w:p w14:paraId="1A9B97D6" w14:textId="77777777" w:rsidR="00C731D3" w:rsidRDefault="00C731D3" w:rsidP="00C731D3">
      <w:pPr>
        <w:spacing w:after="10" w:line="268" w:lineRule="auto"/>
        <w:ind w:left="-5" w:hanging="10"/>
        <w:rPr>
          <w:rFonts w:ascii="Arial" w:eastAsia="Arial" w:hAnsi="Arial" w:cs="Arial"/>
          <w:sz w:val="24"/>
        </w:rPr>
      </w:pPr>
    </w:p>
    <w:p w14:paraId="5E1CA516" w14:textId="77777777" w:rsidR="00C731D3" w:rsidRDefault="00C731D3" w:rsidP="00C731D3">
      <w:pPr>
        <w:spacing w:after="10" w:line="268" w:lineRule="auto"/>
        <w:ind w:left="-5" w:hanging="10"/>
        <w:rPr>
          <w:rFonts w:ascii="Arial" w:eastAsia="Arial" w:hAnsi="Arial" w:cs="Arial"/>
          <w:sz w:val="24"/>
        </w:rPr>
      </w:pPr>
    </w:p>
    <w:p w14:paraId="0BF62D9D" w14:textId="77777777" w:rsidR="00C731D3" w:rsidRDefault="00C731D3" w:rsidP="00C731D3">
      <w:pPr>
        <w:spacing w:after="10" w:line="268" w:lineRule="auto"/>
        <w:ind w:left="-5" w:hanging="10"/>
        <w:rPr>
          <w:rFonts w:ascii="Arial" w:eastAsia="Arial" w:hAnsi="Arial" w:cs="Arial"/>
          <w:sz w:val="24"/>
        </w:rPr>
      </w:pPr>
    </w:p>
    <w:p w14:paraId="7E4093BB" w14:textId="77777777" w:rsidR="00C731D3" w:rsidRDefault="00C731D3" w:rsidP="00C731D3">
      <w:pPr>
        <w:spacing w:after="10" w:line="268" w:lineRule="auto"/>
        <w:ind w:left="-5" w:hanging="10"/>
        <w:rPr>
          <w:rFonts w:ascii="Arial" w:eastAsia="Arial" w:hAnsi="Arial" w:cs="Arial"/>
          <w:sz w:val="24"/>
        </w:rPr>
      </w:pPr>
    </w:p>
    <w:p w14:paraId="0E7079E1" w14:textId="77777777" w:rsidR="00C731D3" w:rsidRDefault="00C731D3" w:rsidP="00C731D3">
      <w:pPr>
        <w:spacing w:after="10" w:line="268" w:lineRule="auto"/>
        <w:ind w:left="-5" w:hanging="10"/>
        <w:rPr>
          <w:rFonts w:ascii="Arial" w:eastAsia="Arial" w:hAnsi="Arial" w:cs="Arial"/>
          <w:sz w:val="24"/>
        </w:rPr>
      </w:pPr>
    </w:p>
    <w:p w14:paraId="0C00537B" w14:textId="77777777" w:rsidR="00C731D3" w:rsidRDefault="00C731D3" w:rsidP="00C731D3">
      <w:pPr>
        <w:spacing w:after="10" w:line="268" w:lineRule="auto"/>
        <w:ind w:left="-5" w:hanging="10"/>
        <w:rPr>
          <w:rFonts w:ascii="Arial" w:eastAsia="Arial" w:hAnsi="Arial" w:cs="Arial"/>
          <w:sz w:val="24"/>
        </w:rPr>
      </w:pPr>
    </w:p>
    <w:p w14:paraId="038F45A4" w14:textId="77777777" w:rsidR="00C731D3" w:rsidRDefault="00C731D3" w:rsidP="00C731D3">
      <w:pPr>
        <w:spacing w:after="10" w:line="268" w:lineRule="auto"/>
        <w:ind w:left="-5" w:hanging="10"/>
        <w:rPr>
          <w:rFonts w:ascii="Arial" w:eastAsia="Arial" w:hAnsi="Arial" w:cs="Arial"/>
          <w:sz w:val="24"/>
        </w:rPr>
      </w:pPr>
    </w:p>
    <w:p w14:paraId="2A6F61A5" w14:textId="77777777" w:rsidR="00C731D3" w:rsidRDefault="00C731D3" w:rsidP="00C731D3">
      <w:pPr>
        <w:spacing w:after="10" w:line="268" w:lineRule="auto"/>
        <w:ind w:left="-5" w:hanging="10"/>
        <w:rPr>
          <w:rFonts w:ascii="Arial" w:eastAsia="Arial" w:hAnsi="Arial" w:cs="Arial"/>
          <w:sz w:val="24"/>
        </w:rPr>
      </w:pPr>
    </w:p>
    <w:p w14:paraId="0E01D235" w14:textId="77777777" w:rsidR="00C731D3" w:rsidRDefault="00C731D3" w:rsidP="00C731D3">
      <w:pPr>
        <w:spacing w:after="10" w:line="268" w:lineRule="auto"/>
        <w:ind w:left="-5" w:hanging="10"/>
      </w:pPr>
      <w:r>
        <w:rPr>
          <w:rFonts w:ascii="Arial" w:eastAsia="Arial" w:hAnsi="Arial" w:cs="Arial"/>
          <w:sz w:val="24"/>
        </w:rPr>
        <w:t>1)</w:t>
      </w:r>
      <w:proofErr w:type="spellStart"/>
      <w:r>
        <w:rPr>
          <w:rFonts w:ascii="Arial" w:eastAsia="Arial" w:hAnsi="Arial" w:cs="Arial"/>
          <w:sz w:val="24"/>
        </w:rPr>
        <w:t>Warchałowski</w:t>
      </w:r>
      <w:proofErr w:type="spellEnd"/>
      <w:r>
        <w:rPr>
          <w:rFonts w:ascii="Arial" w:eastAsia="Arial" w:hAnsi="Arial" w:cs="Arial"/>
          <w:sz w:val="24"/>
        </w:rPr>
        <w:t xml:space="preserve"> Ł, </w:t>
      </w:r>
      <w:proofErr w:type="spellStart"/>
      <w:r>
        <w:rPr>
          <w:rFonts w:ascii="Arial" w:eastAsia="Arial" w:hAnsi="Arial" w:cs="Arial"/>
          <w:sz w:val="24"/>
        </w:rPr>
        <w:t>Łuszczki</w:t>
      </w:r>
      <w:proofErr w:type="spellEnd"/>
      <w:r>
        <w:rPr>
          <w:rFonts w:ascii="Arial" w:eastAsia="Arial" w:hAnsi="Arial" w:cs="Arial"/>
          <w:sz w:val="24"/>
        </w:rPr>
        <w:t xml:space="preserve"> E, Bartosiewicz A, </w:t>
      </w:r>
      <w:proofErr w:type="spellStart"/>
      <w:r>
        <w:rPr>
          <w:rFonts w:ascii="Arial" w:eastAsia="Arial" w:hAnsi="Arial" w:cs="Arial"/>
          <w:sz w:val="24"/>
        </w:rPr>
        <w:t>Dereń</w:t>
      </w:r>
      <w:proofErr w:type="spellEnd"/>
      <w:r>
        <w:rPr>
          <w:rFonts w:ascii="Arial" w:eastAsia="Arial" w:hAnsi="Arial" w:cs="Arial"/>
          <w:sz w:val="24"/>
        </w:rPr>
        <w:t xml:space="preserve"> K, </w:t>
      </w:r>
      <w:proofErr w:type="spellStart"/>
      <w:r>
        <w:rPr>
          <w:rFonts w:ascii="Arial" w:eastAsia="Arial" w:hAnsi="Arial" w:cs="Arial"/>
          <w:sz w:val="24"/>
        </w:rPr>
        <w:t>Warchałowska</w:t>
      </w:r>
      <w:proofErr w:type="spellEnd"/>
      <w:r>
        <w:rPr>
          <w:rFonts w:ascii="Arial" w:eastAsia="Arial" w:hAnsi="Arial" w:cs="Arial"/>
          <w:sz w:val="24"/>
        </w:rPr>
        <w:t xml:space="preserve"> M, Oleksy Ł, </w:t>
      </w:r>
    </w:p>
    <w:p w14:paraId="76E9F7DE" w14:textId="77777777" w:rsidR="00C731D3" w:rsidRDefault="00C731D3" w:rsidP="00C731D3">
      <w:pPr>
        <w:spacing w:after="10" w:line="268" w:lineRule="auto"/>
        <w:ind w:left="-5" w:hanging="10"/>
      </w:pPr>
      <w:r>
        <w:rPr>
          <w:rFonts w:ascii="Arial" w:eastAsia="Arial" w:hAnsi="Arial" w:cs="Arial"/>
          <w:sz w:val="24"/>
        </w:rPr>
        <w:t xml:space="preserve">Stolarczyk A, Podlasek R. The Analysis of Risk Factors in the Conversion from Laparoscopic to Open Cholecystectomy. Int J Environ Res Public Health. 2020 Oct 18;17(20):7571. </w:t>
      </w:r>
      <w:proofErr w:type="spellStart"/>
      <w:r>
        <w:rPr>
          <w:rFonts w:ascii="Arial" w:eastAsia="Arial" w:hAnsi="Arial" w:cs="Arial"/>
          <w:sz w:val="24"/>
        </w:rPr>
        <w:t>doi</w:t>
      </w:r>
      <w:proofErr w:type="spellEnd"/>
      <w:r>
        <w:rPr>
          <w:rFonts w:ascii="Arial" w:eastAsia="Arial" w:hAnsi="Arial" w:cs="Arial"/>
          <w:sz w:val="24"/>
        </w:rPr>
        <w:t xml:space="preserve">: 10.3390/ijerph17207571. PMID: 33080991; PMCID: </w:t>
      </w:r>
    </w:p>
    <w:p w14:paraId="08D6FDD5" w14:textId="77777777" w:rsidR="00C731D3" w:rsidRDefault="00C731D3" w:rsidP="00C731D3">
      <w:pPr>
        <w:spacing w:after="10" w:line="268" w:lineRule="auto"/>
        <w:ind w:left="-5" w:hanging="10"/>
      </w:pPr>
      <w:r>
        <w:rPr>
          <w:rFonts w:ascii="Arial" w:eastAsia="Arial" w:hAnsi="Arial" w:cs="Arial"/>
          <w:sz w:val="24"/>
        </w:rPr>
        <w:t xml:space="preserve">PMC7588875. </w:t>
      </w:r>
    </w:p>
    <w:p w14:paraId="3AD4835C" w14:textId="77777777" w:rsidR="00C731D3" w:rsidRDefault="00C731D3" w:rsidP="00C731D3">
      <w:pPr>
        <w:spacing w:after="10" w:line="268" w:lineRule="auto"/>
        <w:ind w:left="-5" w:hanging="10"/>
      </w:pPr>
      <w:r>
        <w:rPr>
          <w:rFonts w:ascii="Arial" w:eastAsia="Arial" w:hAnsi="Arial" w:cs="Arial"/>
          <w:sz w:val="24"/>
        </w:rPr>
        <w:t xml:space="preserve">2)Osuch, Czesław, et al. "Gender as a predictive factor in cholecystectomy—is it true or </w:t>
      </w:r>
      <w:proofErr w:type="gramStart"/>
      <w:r>
        <w:rPr>
          <w:rFonts w:ascii="Arial" w:eastAsia="Arial" w:hAnsi="Arial" w:cs="Arial"/>
          <w:sz w:val="24"/>
        </w:rPr>
        <w:t>false?.</w:t>
      </w:r>
      <w:proofErr w:type="gramEnd"/>
      <w:r>
        <w:rPr>
          <w:rFonts w:ascii="Arial" w:eastAsia="Arial" w:hAnsi="Arial" w:cs="Arial"/>
          <w:sz w:val="24"/>
        </w:rPr>
        <w:t xml:space="preserve">" Folia Medica </w:t>
      </w:r>
      <w:proofErr w:type="spellStart"/>
      <w:r>
        <w:rPr>
          <w:rFonts w:ascii="Arial" w:eastAsia="Arial" w:hAnsi="Arial" w:cs="Arial"/>
          <w:sz w:val="24"/>
        </w:rPr>
        <w:t>Cracoviensia</w:t>
      </w:r>
      <w:proofErr w:type="spellEnd"/>
      <w:r>
        <w:rPr>
          <w:rFonts w:ascii="Arial" w:eastAsia="Arial" w:hAnsi="Arial" w:cs="Arial"/>
          <w:sz w:val="24"/>
        </w:rPr>
        <w:t xml:space="preserve"> 60.2 (2020): 97-107. </w:t>
      </w:r>
    </w:p>
    <w:p w14:paraId="05C035FE" w14:textId="77777777" w:rsidR="00C731D3" w:rsidRDefault="00C731D3" w:rsidP="00C731D3">
      <w:pPr>
        <w:spacing w:after="10" w:line="268" w:lineRule="auto"/>
        <w:ind w:left="-5" w:right="385" w:hanging="10"/>
      </w:pPr>
      <w:r>
        <w:rPr>
          <w:rFonts w:ascii="Arial" w:eastAsia="Arial" w:hAnsi="Arial" w:cs="Arial"/>
          <w:sz w:val="24"/>
        </w:rPr>
        <w:t xml:space="preserve">3)Al Masri, Samer, et al. "Predicting conversion from laparoscopic to open cholecystectomy: a single institution retrospective study." World journal of surgery 42.8 (2018): 2373-2382. </w:t>
      </w:r>
    </w:p>
    <w:p w14:paraId="39E41562" w14:textId="77777777" w:rsidR="00C731D3" w:rsidRDefault="00C731D3" w:rsidP="00C731D3">
      <w:pPr>
        <w:spacing w:after="0" w:line="276" w:lineRule="auto"/>
        <w:rPr>
          <w:rFonts w:ascii="Arial" w:eastAsia="Arial" w:hAnsi="Arial" w:cs="Arial"/>
          <w:color w:val="222222"/>
          <w:sz w:val="24"/>
        </w:rPr>
      </w:pPr>
      <w:r>
        <w:rPr>
          <w:rFonts w:ascii="Arial" w:eastAsia="Arial" w:hAnsi="Arial" w:cs="Arial"/>
          <w:sz w:val="24"/>
        </w:rPr>
        <w:t>4)</w:t>
      </w:r>
      <w:r>
        <w:rPr>
          <w:rFonts w:ascii="Arial" w:eastAsia="Arial" w:hAnsi="Arial" w:cs="Arial"/>
          <w:color w:val="222222"/>
          <w:sz w:val="24"/>
        </w:rPr>
        <w:t xml:space="preserve">Ishizuka, Mitsuru, et al. "Preoperative hypoalbuminemia is an independent risk factor for conversion from laparoscopic to open cholecystectomy in patients with cholecystolithiasis." </w:t>
      </w:r>
      <w:r>
        <w:rPr>
          <w:rFonts w:ascii="Arial" w:eastAsia="Arial" w:hAnsi="Arial" w:cs="Arial"/>
          <w:i/>
          <w:color w:val="222222"/>
          <w:sz w:val="24"/>
        </w:rPr>
        <w:t>Asian Journal of Endoscopic Surgery</w:t>
      </w:r>
      <w:r>
        <w:rPr>
          <w:rFonts w:ascii="Arial" w:eastAsia="Arial" w:hAnsi="Arial" w:cs="Arial"/>
          <w:color w:val="222222"/>
          <w:sz w:val="24"/>
        </w:rPr>
        <w:t xml:space="preserve"> 9.4 (2016): 275-280. 5)Chávez, K.V., Márquez-González, H., Aguirre, I. </w:t>
      </w:r>
      <w:r>
        <w:rPr>
          <w:rFonts w:ascii="Arial" w:eastAsia="Arial" w:hAnsi="Arial" w:cs="Arial"/>
          <w:i/>
          <w:color w:val="222222"/>
          <w:sz w:val="24"/>
        </w:rPr>
        <w:t>et al.</w:t>
      </w:r>
      <w:r>
        <w:rPr>
          <w:rFonts w:ascii="Arial" w:eastAsia="Arial" w:hAnsi="Arial" w:cs="Arial"/>
          <w:color w:val="222222"/>
          <w:sz w:val="24"/>
        </w:rPr>
        <w:t xml:space="preserve"> Prognostic risk factors for conversion in laparoscopic cholecystectomy. </w:t>
      </w:r>
      <w:r>
        <w:rPr>
          <w:rFonts w:ascii="Arial" w:eastAsia="Arial" w:hAnsi="Arial" w:cs="Arial"/>
          <w:i/>
          <w:color w:val="222222"/>
          <w:sz w:val="24"/>
        </w:rPr>
        <w:t xml:space="preserve">Updates </w:t>
      </w:r>
      <w:proofErr w:type="spellStart"/>
      <w:r>
        <w:rPr>
          <w:rFonts w:ascii="Arial" w:eastAsia="Arial" w:hAnsi="Arial" w:cs="Arial"/>
          <w:i/>
          <w:color w:val="222222"/>
          <w:sz w:val="24"/>
        </w:rPr>
        <w:t>Surg</w:t>
      </w:r>
      <w:proofErr w:type="spellEnd"/>
      <w:r>
        <w:rPr>
          <w:rFonts w:ascii="Arial" w:eastAsia="Arial" w:hAnsi="Arial" w:cs="Arial"/>
          <w:color w:val="222222"/>
          <w:sz w:val="24"/>
        </w:rPr>
        <w:t xml:space="preserve"> </w:t>
      </w:r>
      <w:r>
        <w:rPr>
          <w:rFonts w:ascii="Arial" w:eastAsia="Arial" w:hAnsi="Arial" w:cs="Arial"/>
          <w:b/>
          <w:color w:val="222222"/>
          <w:sz w:val="24"/>
        </w:rPr>
        <w:t>70</w:t>
      </w:r>
      <w:r>
        <w:rPr>
          <w:rFonts w:ascii="Arial" w:eastAsia="Arial" w:hAnsi="Arial" w:cs="Arial"/>
          <w:color w:val="222222"/>
          <w:sz w:val="24"/>
        </w:rPr>
        <w:t xml:space="preserve">, 67–72 (2018). </w:t>
      </w:r>
    </w:p>
    <w:p w14:paraId="7E152EB5" w14:textId="77777777" w:rsidR="00C731D3" w:rsidRDefault="00C731D3" w:rsidP="00C731D3">
      <w:pPr>
        <w:spacing w:after="0" w:line="276" w:lineRule="auto"/>
        <w:rPr>
          <w:rFonts w:ascii="Arial" w:eastAsia="Arial" w:hAnsi="Arial" w:cs="Arial"/>
          <w:color w:val="222222"/>
          <w:sz w:val="24"/>
        </w:rPr>
      </w:pPr>
      <w:r>
        <w:rPr>
          <w:rFonts w:ascii="Arial" w:eastAsia="Arial" w:hAnsi="Arial" w:cs="Arial"/>
          <w:color w:val="222222"/>
          <w:sz w:val="24"/>
        </w:rPr>
        <w:t>6)</w:t>
      </w:r>
      <w:r w:rsidRPr="00507C8A">
        <w:rPr>
          <w:rFonts w:ascii="Arial" w:hAnsi="Arial" w:cs="Arial"/>
          <w:color w:val="222222"/>
          <w:sz w:val="20"/>
          <w:szCs w:val="20"/>
          <w:shd w:val="clear" w:color="auto" w:fill="FFFFFF"/>
        </w:rPr>
        <w:t xml:space="preserve"> </w:t>
      </w:r>
      <w:proofErr w:type="spellStart"/>
      <w:r w:rsidRPr="00507C8A">
        <w:rPr>
          <w:rFonts w:ascii="Arial" w:eastAsia="Arial" w:hAnsi="Arial" w:cs="Arial"/>
          <w:color w:val="222222"/>
          <w:sz w:val="24"/>
        </w:rPr>
        <w:t>Beksac</w:t>
      </w:r>
      <w:proofErr w:type="spellEnd"/>
      <w:r w:rsidRPr="00507C8A">
        <w:rPr>
          <w:rFonts w:ascii="Arial" w:eastAsia="Arial" w:hAnsi="Arial" w:cs="Arial"/>
          <w:color w:val="222222"/>
          <w:sz w:val="24"/>
        </w:rPr>
        <w:t>, Kemal, et al. "Risk factors for conversion of laparoscopic cholecystectomy to open surgery: a new predictive statistical model." </w:t>
      </w:r>
      <w:r w:rsidRPr="00507C8A">
        <w:rPr>
          <w:rFonts w:ascii="Arial" w:eastAsia="Arial" w:hAnsi="Arial" w:cs="Arial"/>
          <w:i/>
          <w:iCs/>
          <w:color w:val="222222"/>
          <w:sz w:val="24"/>
        </w:rPr>
        <w:t xml:space="preserve">Journal of </w:t>
      </w:r>
      <w:proofErr w:type="spellStart"/>
      <w:r w:rsidRPr="00507C8A">
        <w:rPr>
          <w:rFonts w:ascii="Arial" w:eastAsia="Arial" w:hAnsi="Arial" w:cs="Arial"/>
          <w:i/>
          <w:iCs/>
          <w:color w:val="222222"/>
          <w:sz w:val="24"/>
        </w:rPr>
        <w:t>Laparoendoscopic</w:t>
      </w:r>
      <w:proofErr w:type="spellEnd"/>
      <w:r w:rsidRPr="00507C8A">
        <w:rPr>
          <w:rFonts w:ascii="Arial" w:eastAsia="Arial" w:hAnsi="Arial" w:cs="Arial"/>
          <w:i/>
          <w:iCs/>
          <w:color w:val="222222"/>
          <w:sz w:val="24"/>
        </w:rPr>
        <w:t xml:space="preserve"> &amp; Advanced Surgical Techniques</w:t>
      </w:r>
      <w:r w:rsidRPr="00507C8A">
        <w:rPr>
          <w:rFonts w:ascii="Arial" w:eastAsia="Arial" w:hAnsi="Arial" w:cs="Arial"/>
          <w:color w:val="222222"/>
          <w:sz w:val="24"/>
        </w:rPr>
        <w:t> 26.9 (2016): 693-696.</w:t>
      </w:r>
    </w:p>
    <w:p w14:paraId="0DADDB5B" w14:textId="77777777" w:rsidR="00C731D3" w:rsidRDefault="00C731D3" w:rsidP="00C731D3">
      <w:pPr>
        <w:spacing w:after="0" w:line="276" w:lineRule="auto"/>
        <w:rPr>
          <w:rFonts w:ascii="Arial" w:eastAsia="Arial" w:hAnsi="Arial" w:cs="Arial"/>
          <w:color w:val="222222"/>
          <w:sz w:val="24"/>
        </w:rPr>
      </w:pPr>
      <w:r>
        <w:rPr>
          <w:rFonts w:ascii="Arial" w:eastAsia="Arial" w:hAnsi="Arial" w:cs="Arial"/>
          <w:color w:val="222222"/>
          <w:sz w:val="24"/>
        </w:rPr>
        <w:t>7)</w:t>
      </w:r>
      <w:r w:rsidRPr="00507C8A">
        <w:rPr>
          <w:rFonts w:ascii="Arial" w:hAnsi="Arial" w:cs="Arial"/>
          <w:color w:val="222222"/>
          <w:sz w:val="20"/>
          <w:szCs w:val="20"/>
          <w:shd w:val="clear" w:color="auto" w:fill="FFFFFF"/>
        </w:rPr>
        <w:t xml:space="preserve"> </w:t>
      </w:r>
      <w:r w:rsidRPr="00507C8A">
        <w:rPr>
          <w:rFonts w:ascii="Arial" w:eastAsia="Arial" w:hAnsi="Arial" w:cs="Arial"/>
          <w:color w:val="222222"/>
          <w:sz w:val="24"/>
        </w:rPr>
        <w:t xml:space="preserve">STRATA Collaborative and </w:t>
      </w:r>
      <w:proofErr w:type="spellStart"/>
      <w:r w:rsidRPr="00507C8A">
        <w:rPr>
          <w:rFonts w:ascii="Arial" w:eastAsia="Arial" w:hAnsi="Arial" w:cs="Arial"/>
          <w:color w:val="222222"/>
          <w:sz w:val="24"/>
        </w:rPr>
        <w:t>CholeS</w:t>
      </w:r>
      <w:proofErr w:type="spellEnd"/>
      <w:r w:rsidRPr="00507C8A">
        <w:rPr>
          <w:rFonts w:ascii="Arial" w:eastAsia="Arial" w:hAnsi="Arial" w:cs="Arial"/>
          <w:color w:val="222222"/>
          <w:sz w:val="24"/>
        </w:rPr>
        <w:t xml:space="preserve"> Collaborative, et al. "External validation of the </w:t>
      </w:r>
      <w:proofErr w:type="spellStart"/>
      <w:r w:rsidRPr="00507C8A">
        <w:rPr>
          <w:rFonts w:ascii="Arial" w:eastAsia="Arial" w:hAnsi="Arial" w:cs="Arial"/>
          <w:color w:val="222222"/>
          <w:sz w:val="24"/>
        </w:rPr>
        <w:t>CholeS</w:t>
      </w:r>
      <w:proofErr w:type="spellEnd"/>
      <w:r w:rsidRPr="00507C8A">
        <w:rPr>
          <w:rFonts w:ascii="Arial" w:eastAsia="Arial" w:hAnsi="Arial" w:cs="Arial"/>
          <w:color w:val="222222"/>
          <w:sz w:val="24"/>
        </w:rPr>
        <w:t xml:space="preserve"> conversion from laparoscopic to open cholecystectomy (CLOC) risk score in Aotearoa New Zealand: a validation study." </w:t>
      </w:r>
      <w:r w:rsidRPr="00507C8A">
        <w:rPr>
          <w:rFonts w:ascii="Arial" w:eastAsia="Arial" w:hAnsi="Arial" w:cs="Arial"/>
          <w:i/>
          <w:iCs/>
          <w:color w:val="222222"/>
          <w:sz w:val="24"/>
        </w:rPr>
        <w:t>ANZ journal of surgery</w:t>
      </w:r>
      <w:r w:rsidRPr="00507C8A">
        <w:rPr>
          <w:rFonts w:ascii="Arial" w:eastAsia="Arial" w:hAnsi="Arial" w:cs="Arial"/>
          <w:color w:val="222222"/>
          <w:sz w:val="24"/>
        </w:rPr>
        <w:t> 94.6 (2024): 1108-1113.</w:t>
      </w:r>
    </w:p>
    <w:p w14:paraId="61C4E070" w14:textId="77777777" w:rsidR="00C731D3" w:rsidRPr="00064175" w:rsidRDefault="00C731D3" w:rsidP="00C731D3">
      <w:pPr>
        <w:spacing w:after="0" w:line="276" w:lineRule="auto"/>
        <w:rPr>
          <w:rFonts w:ascii="Arial" w:eastAsia="Arial" w:hAnsi="Arial" w:cs="Arial"/>
          <w:color w:val="222222"/>
          <w:sz w:val="24"/>
        </w:rPr>
      </w:pPr>
      <w:r>
        <w:rPr>
          <w:rFonts w:ascii="Arial" w:eastAsia="Arial" w:hAnsi="Arial" w:cs="Arial"/>
          <w:color w:val="222222"/>
          <w:sz w:val="24"/>
        </w:rPr>
        <w:t>8</w:t>
      </w:r>
      <w:r w:rsidRPr="00064175">
        <w:rPr>
          <w:rFonts w:ascii="Arial" w:eastAsia="Arial" w:hAnsi="Arial" w:cs="Arial"/>
          <w:color w:val="222222"/>
          <w:sz w:val="24"/>
        </w:rPr>
        <w:t>)</w:t>
      </w:r>
      <w:r w:rsidRPr="00064175">
        <w:rPr>
          <w:rFonts w:ascii="Arial" w:hAnsi="Arial" w:cs="Arial"/>
          <w:sz w:val="24"/>
        </w:rPr>
        <w:t xml:space="preserve"> </w:t>
      </w:r>
      <w:proofErr w:type="spellStart"/>
      <w:r w:rsidRPr="00064175">
        <w:rPr>
          <w:rFonts w:ascii="Arial" w:hAnsi="Arial" w:cs="Arial"/>
          <w:sz w:val="24"/>
        </w:rPr>
        <w:t>Tongyoo</w:t>
      </w:r>
      <w:proofErr w:type="spellEnd"/>
      <w:r w:rsidRPr="00064175">
        <w:rPr>
          <w:rFonts w:ascii="Arial" w:hAnsi="Arial" w:cs="Arial"/>
          <w:sz w:val="24"/>
        </w:rPr>
        <w:t xml:space="preserve">, </w:t>
      </w:r>
      <w:proofErr w:type="spellStart"/>
      <w:r w:rsidRPr="00064175">
        <w:rPr>
          <w:rFonts w:ascii="Arial" w:hAnsi="Arial" w:cs="Arial"/>
          <w:sz w:val="24"/>
        </w:rPr>
        <w:t>Assanee</w:t>
      </w:r>
      <w:proofErr w:type="spellEnd"/>
      <w:r w:rsidRPr="00064175">
        <w:rPr>
          <w:rFonts w:ascii="Arial" w:hAnsi="Arial" w:cs="Arial"/>
          <w:sz w:val="24"/>
        </w:rPr>
        <w:t>, et al. "The pre-operative predictive model for difficult elective laparoscopic cholecystectomy: A modification." Asian Journal of Surgery 44.4 (2021): 656-661.</w:t>
      </w:r>
    </w:p>
    <w:p w14:paraId="58E3133C" w14:textId="77777777" w:rsidR="00C731D3" w:rsidRPr="0073159D" w:rsidRDefault="00C731D3" w:rsidP="00C731D3">
      <w:pPr>
        <w:spacing w:after="0" w:line="276" w:lineRule="auto"/>
        <w:rPr>
          <w:rFonts w:ascii="Arial" w:hAnsi="Arial" w:cs="Arial"/>
          <w:sz w:val="24"/>
        </w:rPr>
      </w:pPr>
      <w:r>
        <w:rPr>
          <w:rFonts w:ascii="Arial" w:hAnsi="Arial" w:cs="Arial"/>
          <w:sz w:val="24"/>
        </w:rPr>
        <w:t>9)</w:t>
      </w:r>
      <w:r w:rsidRPr="0073159D">
        <w:rPr>
          <w:rFonts w:ascii="AdvOT863180fb" w:eastAsiaTheme="minorEastAsia" w:hAnsi="AdvOT863180fb" w:cs="AdvOT863180fb"/>
          <w:color w:val="2197D2"/>
          <w:kern w:val="0"/>
          <w:sz w:val="13"/>
          <w:szCs w:val="13"/>
        </w:rPr>
        <w:t xml:space="preserve"> </w:t>
      </w:r>
      <w:r w:rsidRPr="0073159D">
        <w:rPr>
          <w:rFonts w:ascii="Arial" w:hAnsi="Arial" w:cs="Arial"/>
          <w:sz w:val="24"/>
        </w:rPr>
        <w:t xml:space="preserve">Sutcliffe RP, </w:t>
      </w:r>
      <w:proofErr w:type="spellStart"/>
      <w:r w:rsidRPr="0073159D">
        <w:rPr>
          <w:rFonts w:ascii="Arial" w:hAnsi="Arial" w:cs="Arial"/>
          <w:sz w:val="24"/>
        </w:rPr>
        <w:t>Hollyman</w:t>
      </w:r>
      <w:proofErr w:type="spellEnd"/>
      <w:r w:rsidRPr="0073159D">
        <w:rPr>
          <w:rFonts w:ascii="Arial" w:hAnsi="Arial" w:cs="Arial"/>
          <w:sz w:val="24"/>
        </w:rPr>
        <w:t xml:space="preserve"> M, Hodson J, Bonney G, Vohra RS, Griffiths EA. Preoperative</w:t>
      </w:r>
      <w:r>
        <w:rPr>
          <w:rFonts w:ascii="Arial" w:hAnsi="Arial" w:cs="Arial"/>
          <w:sz w:val="24"/>
        </w:rPr>
        <w:t xml:space="preserve"> </w:t>
      </w:r>
      <w:r w:rsidRPr="0073159D">
        <w:rPr>
          <w:rFonts w:ascii="Arial" w:hAnsi="Arial" w:cs="Arial"/>
          <w:sz w:val="24"/>
        </w:rPr>
        <w:t>risk factors for conversion from laparoscopic to open cholecystectomy:</w:t>
      </w:r>
    </w:p>
    <w:p w14:paraId="1A65C9E1" w14:textId="77777777" w:rsidR="00C731D3" w:rsidRPr="0073159D" w:rsidRDefault="00C731D3" w:rsidP="00C731D3">
      <w:pPr>
        <w:spacing w:after="0" w:line="276" w:lineRule="auto"/>
        <w:rPr>
          <w:rFonts w:ascii="Arial" w:hAnsi="Arial" w:cs="Arial"/>
          <w:sz w:val="24"/>
        </w:rPr>
      </w:pPr>
      <w:r w:rsidRPr="0073159D">
        <w:rPr>
          <w:rFonts w:ascii="Arial" w:hAnsi="Arial" w:cs="Arial"/>
          <w:sz w:val="24"/>
        </w:rPr>
        <w:t>a validated risk score derived from a prospective U.K. database of 8820 patients.</w:t>
      </w:r>
    </w:p>
    <w:p w14:paraId="4DFE717D" w14:textId="77777777" w:rsidR="00C731D3" w:rsidRDefault="00C731D3" w:rsidP="00C731D3">
      <w:pPr>
        <w:spacing w:after="0" w:line="276" w:lineRule="auto"/>
        <w:rPr>
          <w:rFonts w:ascii="Arial" w:hAnsi="Arial" w:cs="Arial"/>
          <w:sz w:val="24"/>
        </w:rPr>
      </w:pPr>
      <w:r w:rsidRPr="0073159D">
        <w:rPr>
          <w:rFonts w:ascii="Arial" w:hAnsi="Arial" w:cs="Arial"/>
          <w:sz w:val="24"/>
        </w:rPr>
        <w:t xml:space="preserve">HPB. </w:t>
      </w:r>
      <w:proofErr w:type="gramStart"/>
      <w:r w:rsidRPr="0073159D">
        <w:rPr>
          <w:rFonts w:ascii="Arial" w:hAnsi="Arial" w:cs="Arial"/>
          <w:sz w:val="24"/>
        </w:rPr>
        <w:t>2016;18:922</w:t>
      </w:r>
      <w:proofErr w:type="gramEnd"/>
      <w:r w:rsidRPr="0073159D">
        <w:rPr>
          <w:rFonts w:ascii="Arial" w:hAnsi="Arial" w:cs="Arial"/>
          <w:sz w:val="24"/>
        </w:rPr>
        <w:t>e928</w:t>
      </w:r>
    </w:p>
    <w:p w14:paraId="35549D74" w14:textId="77777777" w:rsidR="00C731D3" w:rsidRDefault="00C731D3" w:rsidP="00C731D3">
      <w:pPr>
        <w:spacing w:after="0" w:line="276" w:lineRule="auto"/>
        <w:rPr>
          <w:rFonts w:ascii="Arial" w:hAnsi="Arial" w:cs="Arial"/>
          <w:sz w:val="24"/>
        </w:rPr>
      </w:pPr>
      <w:r>
        <w:rPr>
          <w:rFonts w:ascii="Arial" w:hAnsi="Arial" w:cs="Arial"/>
          <w:sz w:val="24"/>
        </w:rPr>
        <w:t>10)</w:t>
      </w:r>
      <w:r w:rsidRPr="0073159D">
        <w:rPr>
          <w:rFonts w:ascii="Arial" w:hAnsi="Arial" w:cs="Arial"/>
          <w:color w:val="222222"/>
          <w:sz w:val="20"/>
          <w:szCs w:val="20"/>
          <w:shd w:val="clear" w:color="auto" w:fill="FFFFFF"/>
        </w:rPr>
        <w:t xml:space="preserve"> </w:t>
      </w:r>
      <w:r w:rsidRPr="0073159D">
        <w:rPr>
          <w:rFonts w:ascii="Arial" w:hAnsi="Arial" w:cs="Arial"/>
          <w:sz w:val="24"/>
        </w:rPr>
        <w:t>Yol, Serdar, et al. "Sex as a factor in conversion from laparoscopic cholecystectomy to open surgery." </w:t>
      </w:r>
      <w:r w:rsidRPr="0073159D">
        <w:rPr>
          <w:rFonts w:ascii="Arial" w:hAnsi="Arial" w:cs="Arial"/>
          <w:i/>
          <w:iCs/>
          <w:sz w:val="24"/>
        </w:rPr>
        <w:t xml:space="preserve">JSLS: Journal of the Society of </w:t>
      </w:r>
      <w:proofErr w:type="spellStart"/>
      <w:r w:rsidRPr="0073159D">
        <w:rPr>
          <w:rFonts w:ascii="Arial" w:hAnsi="Arial" w:cs="Arial"/>
          <w:i/>
          <w:iCs/>
          <w:sz w:val="24"/>
        </w:rPr>
        <w:t>Laparoendoscopic</w:t>
      </w:r>
      <w:proofErr w:type="spellEnd"/>
      <w:r w:rsidRPr="0073159D">
        <w:rPr>
          <w:rFonts w:ascii="Arial" w:hAnsi="Arial" w:cs="Arial"/>
          <w:i/>
          <w:iCs/>
          <w:sz w:val="24"/>
        </w:rPr>
        <w:t xml:space="preserve"> Surgeons</w:t>
      </w:r>
      <w:r w:rsidRPr="0073159D">
        <w:rPr>
          <w:rFonts w:ascii="Arial" w:hAnsi="Arial" w:cs="Arial"/>
          <w:sz w:val="24"/>
        </w:rPr>
        <w:t> 10.3 (2006): 359.</w:t>
      </w:r>
    </w:p>
    <w:p w14:paraId="0A294B34" w14:textId="77777777" w:rsidR="00C731D3" w:rsidRPr="0063504A" w:rsidRDefault="00C731D3" w:rsidP="00C731D3">
      <w:pPr>
        <w:spacing w:after="0" w:line="276" w:lineRule="auto"/>
        <w:rPr>
          <w:rFonts w:ascii="Arial" w:hAnsi="Arial" w:cs="Arial"/>
          <w:sz w:val="24"/>
        </w:rPr>
      </w:pPr>
      <w:r>
        <w:rPr>
          <w:rFonts w:ascii="Arial" w:hAnsi="Arial" w:cs="Arial"/>
          <w:sz w:val="24"/>
        </w:rPr>
        <w:t>11)</w:t>
      </w:r>
      <w:r w:rsidRPr="0063504A">
        <w:rPr>
          <w:rFonts w:ascii="AdvOT863180fb" w:eastAsiaTheme="minorEastAsia" w:hAnsi="AdvOT863180fb" w:cs="AdvOT863180fb"/>
          <w:color w:val="2197D2"/>
          <w:kern w:val="0"/>
          <w:sz w:val="13"/>
          <w:szCs w:val="13"/>
        </w:rPr>
        <w:t xml:space="preserve"> </w:t>
      </w:r>
      <w:r w:rsidRPr="0063504A">
        <w:rPr>
          <w:rFonts w:ascii="Arial" w:hAnsi="Arial" w:cs="Arial"/>
          <w:sz w:val="24"/>
        </w:rPr>
        <w:t xml:space="preserve">Yetkin G, </w:t>
      </w:r>
      <w:proofErr w:type="spellStart"/>
      <w:r w:rsidRPr="0063504A">
        <w:rPr>
          <w:rFonts w:ascii="Arial" w:hAnsi="Arial" w:cs="Arial"/>
          <w:sz w:val="24"/>
        </w:rPr>
        <w:t>Uludag</w:t>
      </w:r>
      <w:proofErr w:type="spellEnd"/>
      <w:r w:rsidRPr="0063504A">
        <w:rPr>
          <w:rFonts w:ascii="Arial" w:hAnsi="Arial" w:cs="Arial"/>
          <w:sz w:val="24"/>
        </w:rPr>
        <w:t xml:space="preserve"> M, Oba S, </w:t>
      </w:r>
      <w:proofErr w:type="spellStart"/>
      <w:r w:rsidRPr="0063504A">
        <w:rPr>
          <w:rFonts w:ascii="Arial" w:hAnsi="Arial" w:cs="Arial"/>
          <w:sz w:val="24"/>
        </w:rPr>
        <w:t>Citgez</w:t>
      </w:r>
      <w:proofErr w:type="spellEnd"/>
      <w:r w:rsidRPr="0063504A">
        <w:rPr>
          <w:rFonts w:ascii="Arial" w:hAnsi="Arial" w:cs="Arial"/>
          <w:sz w:val="24"/>
        </w:rPr>
        <w:t xml:space="preserve"> B, </w:t>
      </w:r>
      <w:proofErr w:type="spellStart"/>
      <w:r w:rsidRPr="0063504A">
        <w:rPr>
          <w:rFonts w:ascii="Arial" w:hAnsi="Arial" w:cs="Arial"/>
          <w:sz w:val="24"/>
        </w:rPr>
        <w:t>Paksoy</w:t>
      </w:r>
      <w:proofErr w:type="spellEnd"/>
      <w:r w:rsidRPr="0063504A">
        <w:rPr>
          <w:rFonts w:ascii="Arial" w:hAnsi="Arial" w:cs="Arial"/>
          <w:sz w:val="24"/>
        </w:rPr>
        <w:t xml:space="preserve"> I. Laparoscopic cholecystectomy in</w:t>
      </w:r>
    </w:p>
    <w:p w14:paraId="6D36B81E" w14:textId="77777777" w:rsidR="00C731D3" w:rsidRPr="00064175" w:rsidRDefault="00C731D3" w:rsidP="00C731D3">
      <w:pPr>
        <w:spacing w:after="0" w:line="276" w:lineRule="auto"/>
        <w:rPr>
          <w:rFonts w:ascii="Arial" w:hAnsi="Arial" w:cs="Arial"/>
          <w:sz w:val="24"/>
        </w:rPr>
      </w:pPr>
      <w:r w:rsidRPr="0063504A">
        <w:rPr>
          <w:rFonts w:ascii="Arial" w:hAnsi="Arial" w:cs="Arial"/>
          <w:sz w:val="24"/>
        </w:rPr>
        <w:t xml:space="preserve">elderly patients. JSLS. </w:t>
      </w:r>
      <w:proofErr w:type="gramStart"/>
      <w:r w:rsidRPr="0063504A">
        <w:rPr>
          <w:rFonts w:ascii="Arial" w:hAnsi="Arial" w:cs="Arial"/>
          <w:sz w:val="24"/>
        </w:rPr>
        <w:t>2009;13:587</w:t>
      </w:r>
      <w:proofErr w:type="gramEnd"/>
      <w:r w:rsidRPr="0063504A">
        <w:rPr>
          <w:rFonts w:ascii="Arial" w:hAnsi="Arial" w:cs="Arial"/>
          <w:sz w:val="24"/>
        </w:rPr>
        <w:t>e591.</w:t>
      </w:r>
    </w:p>
    <w:p w14:paraId="2CF64A2C" w14:textId="77777777" w:rsidR="006C7D60" w:rsidRDefault="006C7D60"/>
    <w:sectPr w:rsidR="006C7D60" w:rsidSect="00C731D3">
      <w:pgSz w:w="11920" w:h="16840"/>
      <w:pgMar w:top="1490" w:right="1455" w:bottom="174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vOTf9433e2d">
    <w:altName w:val="Cambria"/>
    <w:panose1 w:val="00000000000000000000"/>
    <w:charset w:val="00"/>
    <w:family w:val="roman"/>
    <w:notTrueType/>
    <w:pitch w:val="default"/>
    <w:sig w:usb0="00000003" w:usb1="00000000" w:usb2="00000000" w:usb3="00000000" w:csb0="00000001" w:csb1="00000000"/>
  </w:font>
  <w:font w:name="AdvOT863180fb">
    <w:altName w:val="Cambria"/>
    <w:panose1 w:val="00000000000000000000"/>
    <w:charset w:val="00"/>
    <w:family w:val="roman"/>
    <w:notTrueType/>
    <w:pitch w:val="default"/>
    <w:sig w:usb0="00000003" w:usb1="00000000" w:usb2="00000000" w:usb3="00000000" w:csb0="00000001" w:csb1="00000000"/>
  </w:font>
  <w:font w:name="AdvOT77db9845">
    <w:altName w:val="Cambria"/>
    <w:panose1 w:val="00000000000000000000"/>
    <w:charset w:val="00"/>
    <w:family w:val="roman"/>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1D3"/>
    <w:rsid w:val="003A1506"/>
    <w:rsid w:val="006C7D60"/>
    <w:rsid w:val="00985705"/>
    <w:rsid w:val="00C731D3"/>
    <w:rsid w:val="00FC5E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B83F3"/>
  <w15:chartTrackingRefBased/>
  <w15:docId w15:val="{B282E026-4D31-42B0-862F-C735C4D27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1D3"/>
    <w:rPr>
      <w:rFonts w:ascii="Calibri" w:eastAsia="Calibri" w:hAnsi="Calibri" w:cs="Calibri"/>
      <w:color w:val="000000"/>
      <w:szCs w:val="24"/>
      <w:lang w:eastAsia="en-IN"/>
    </w:rPr>
  </w:style>
  <w:style w:type="paragraph" w:styleId="Heading1">
    <w:name w:val="heading 1"/>
    <w:basedOn w:val="Normal"/>
    <w:next w:val="Normal"/>
    <w:link w:val="Heading1Char"/>
    <w:uiPriority w:val="9"/>
    <w:qFormat/>
    <w:rsid w:val="00C731D3"/>
    <w:pPr>
      <w:keepNext/>
      <w:keepLines/>
      <w:spacing w:before="360" w:after="80"/>
      <w:outlineLvl w:val="0"/>
    </w:pPr>
    <w:rPr>
      <w:rFonts w:asciiTheme="majorHAnsi" w:eastAsiaTheme="majorEastAsia" w:hAnsiTheme="majorHAnsi" w:cstheme="majorBidi"/>
      <w:color w:val="2F5496" w:themeColor="accent1" w:themeShade="BF"/>
      <w:sz w:val="40"/>
      <w:szCs w:val="40"/>
      <w:lang w:eastAsia="en-US"/>
    </w:rPr>
  </w:style>
  <w:style w:type="paragraph" w:styleId="Heading2">
    <w:name w:val="heading 2"/>
    <w:basedOn w:val="Normal"/>
    <w:next w:val="Normal"/>
    <w:link w:val="Heading2Char"/>
    <w:uiPriority w:val="9"/>
    <w:semiHidden/>
    <w:unhideWhenUsed/>
    <w:qFormat/>
    <w:rsid w:val="00C731D3"/>
    <w:pPr>
      <w:keepNext/>
      <w:keepLines/>
      <w:spacing w:before="160" w:after="80"/>
      <w:outlineLvl w:val="1"/>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C731D3"/>
    <w:pPr>
      <w:keepNext/>
      <w:keepLines/>
      <w:spacing w:before="160" w:after="80"/>
      <w:outlineLvl w:val="2"/>
    </w:pPr>
    <w:rPr>
      <w:rFonts w:asciiTheme="minorHAnsi" w:eastAsiaTheme="majorEastAsia" w:hAnsiTheme="minorHAnsi"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C731D3"/>
    <w:pPr>
      <w:keepNext/>
      <w:keepLines/>
      <w:spacing w:before="80" w:after="40"/>
      <w:outlineLvl w:val="3"/>
    </w:pPr>
    <w:rPr>
      <w:rFonts w:asciiTheme="minorHAnsi" w:eastAsiaTheme="majorEastAsia" w:hAnsiTheme="minorHAnsi" w:cstheme="majorBidi"/>
      <w:i/>
      <w:iCs/>
      <w:color w:val="2F5496" w:themeColor="accent1" w:themeShade="BF"/>
      <w:szCs w:val="22"/>
      <w:lang w:eastAsia="en-US"/>
    </w:rPr>
  </w:style>
  <w:style w:type="paragraph" w:styleId="Heading5">
    <w:name w:val="heading 5"/>
    <w:basedOn w:val="Normal"/>
    <w:next w:val="Normal"/>
    <w:link w:val="Heading5Char"/>
    <w:uiPriority w:val="9"/>
    <w:semiHidden/>
    <w:unhideWhenUsed/>
    <w:qFormat/>
    <w:rsid w:val="00C731D3"/>
    <w:pPr>
      <w:keepNext/>
      <w:keepLines/>
      <w:spacing w:before="80" w:after="40"/>
      <w:outlineLvl w:val="4"/>
    </w:pPr>
    <w:rPr>
      <w:rFonts w:asciiTheme="minorHAnsi" w:eastAsiaTheme="majorEastAsia" w:hAnsiTheme="minorHAnsi" w:cstheme="majorBidi"/>
      <w:color w:val="2F5496" w:themeColor="accent1" w:themeShade="BF"/>
      <w:szCs w:val="22"/>
      <w:lang w:eastAsia="en-US"/>
    </w:rPr>
  </w:style>
  <w:style w:type="paragraph" w:styleId="Heading6">
    <w:name w:val="heading 6"/>
    <w:basedOn w:val="Normal"/>
    <w:next w:val="Normal"/>
    <w:link w:val="Heading6Char"/>
    <w:uiPriority w:val="9"/>
    <w:semiHidden/>
    <w:unhideWhenUsed/>
    <w:qFormat/>
    <w:rsid w:val="00C731D3"/>
    <w:pPr>
      <w:keepNext/>
      <w:keepLines/>
      <w:spacing w:before="40" w:after="0"/>
      <w:outlineLvl w:val="5"/>
    </w:pPr>
    <w:rPr>
      <w:rFonts w:asciiTheme="minorHAnsi" w:eastAsiaTheme="majorEastAsia" w:hAnsiTheme="minorHAnsi" w:cstheme="majorBidi"/>
      <w:i/>
      <w:iCs/>
      <w:color w:val="595959" w:themeColor="text1" w:themeTint="A6"/>
      <w:szCs w:val="22"/>
      <w:lang w:eastAsia="en-US"/>
    </w:rPr>
  </w:style>
  <w:style w:type="paragraph" w:styleId="Heading7">
    <w:name w:val="heading 7"/>
    <w:basedOn w:val="Normal"/>
    <w:next w:val="Normal"/>
    <w:link w:val="Heading7Char"/>
    <w:uiPriority w:val="9"/>
    <w:semiHidden/>
    <w:unhideWhenUsed/>
    <w:qFormat/>
    <w:rsid w:val="00C731D3"/>
    <w:pPr>
      <w:keepNext/>
      <w:keepLines/>
      <w:spacing w:before="40" w:after="0"/>
      <w:outlineLvl w:val="6"/>
    </w:pPr>
    <w:rPr>
      <w:rFonts w:asciiTheme="minorHAnsi" w:eastAsiaTheme="majorEastAsia" w:hAnsiTheme="minorHAnsi" w:cstheme="majorBidi"/>
      <w:color w:val="595959" w:themeColor="text1" w:themeTint="A6"/>
      <w:szCs w:val="22"/>
      <w:lang w:eastAsia="en-US"/>
    </w:rPr>
  </w:style>
  <w:style w:type="paragraph" w:styleId="Heading8">
    <w:name w:val="heading 8"/>
    <w:basedOn w:val="Normal"/>
    <w:next w:val="Normal"/>
    <w:link w:val="Heading8Char"/>
    <w:uiPriority w:val="9"/>
    <w:semiHidden/>
    <w:unhideWhenUsed/>
    <w:qFormat/>
    <w:rsid w:val="00C731D3"/>
    <w:pPr>
      <w:keepNext/>
      <w:keepLines/>
      <w:spacing w:after="0"/>
      <w:outlineLvl w:val="7"/>
    </w:pPr>
    <w:rPr>
      <w:rFonts w:asciiTheme="minorHAnsi" w:eastAsiaTheme="majorEastAsia" w:hAnsiTheme="minorHAnsi" w:cstheme="majorBidi"/>
      <w:i/>
      <w:iCs/>
      <w:color w:val="272727" w:themeColor="text1" w:themeTint="D8"/>
      <w:szCs w:val="22"/>
      <w:lang w:eastAsia="en-US"/>
    </w:rPr>
  </w:style>
  <w:style w:type="paragraph" w:styleId="Heading9">
    <w:name w:val="heading 9"/>
    <w:basedOn w:val="Normal"/>
    <w:next w:val="Normal"/>
    <w:link w:val="Heading9Char"/>
    <w:uiPriority w:val="9"/>
    <w:semiHidden/>
    <w:unhideWhenUsed/>
    <w:qFormat/>
    <w:rsid w:val="00C731D3"/>
    <w:pPr>
      <w:keepNext/>
      <w:keepLines/>
      <w:spacing w:after="0"/>
      <w:outlineLvl w:val="8"/>
    </w:pPr>
    <w:rPr>
      <w:rFonts w:asciiTheme="minorHAnsi" w:eastAsiaTheme="majorEastAsia" w:hAnsiTheme="minorHAnsi" w:cstheme="majorBidi"/>
      <w:color w:val="272727" w:themeColor="text1" w:themeTint="D8"/>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1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731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31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31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31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31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1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1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1D3"/>
    <w:rPr>
      <w:rFonts w:eastAsiaTheme="majorEastAsia" w:cstheme="majorBidi"/>
      <w:color w:val="272727" w:themeColor="text1" w:themeTint="D8"/>
    </w:rPr>
  </w:style>
  <w:style w:type="paragraph" w:styleId="Title">
    <w:name w:val="Title"/>
    <w:basedOn w:val="Normal"/>
    <w:next w:val="Normal"/>
    <w:link w:val="TitleChar"/>
    <w:uiPriority w:val="10"/>
    <w:qFormat/>
    <w:rsid w:val="00C731D3"/>
    <w:pPr>
      <w:spacing w:after="80" w:line="240" w:lineRule="auto"/>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C731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1D3"/>
    <w:pPr>
      <w:numPr>
        <w:ilvl w:val="1"/>
      </w:numPr>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C731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1D3"/>
    <w:pPr>
      <w:spacing w:before="160"/>
      <w:jc w:val="center"/>
    </w:pPr>
    <w:rPr>
      <w:rFonts w:asciiTheme="minorHAnsi" w:eastAsiaTheme="minorHAnsi" w:hAnsiTheme="minorHAnsi" w:cstheme="minorBidi"/>
      <w:i/>
      <w:iCs/>
      <w:color w:val="404040" w:themeColor="text1" w:themeTint="BF"/>
      <w:szCs w:val="22"/>
      <w:lang w:eastAsia="en-US"/>
    </w:rPr>
  </w:style>
  <w:style w:type="character" w:customStyle="1" w:styleId="QuoteChar">
    <w:name w:val="Quote Char"/>
    <w:basedOn w:val="DefaultParagraphFont"/>
    <w:link w:val="Quote"/>
    <w:uiPriority w:val="29"/>
    <w:rsid w:val="00C731D3"/>
    <w:rPr>
      <w:i/>
      <w:iCs/>
      <w:color w:val="404040" w:themeColor="text1" w:themeTint="BF"/>
    </w:rPr>
  </w:style>
  <w:style w:type="paragraph" w:styleId="ListParagraph">
    <w:name w:val="List Paragraph"/>
    <w:basedOn w:val="Normal"/>
    <w:uiPriority w:val="34"/>
    <w:qFormat/>
    <w:rsid w:val="00C731D3"/>
    <w:pPr>
      <w:ind w:left="720"/>
      <w:contextualSpacing/>
    </w:pPr>
    <w:rPr>
      <w:rFonts w:asciiTheme="minorHAnsi" w:eastAsiaTheme="minorHAnsi" w:hAnsiTheme="minorHAnsi" w:cstheme="minorBidi"/>
      <w:color w:val="auto"/>
      <w:szCs w:val="22"/>
      <w:lang w:eastAsia="en-US"/>
    </w:rPr>
  </w:style>
  <w:style w:type="character" w:styleId="IntenseEmphasis">
    <w:name w:val="Intense Emphasis"/>
    <w:basedOn w:val="DefaultParagraphFont"/>
    <w:uiPriority w:val="21"/>
    <w:qFormat/>
    <w:rsid w:val="00C731D3"/>
    <w:rPr>
      <w:i/>
      <w:iCs/>
      <w:color w:val="2F5496" w:themeColor="accent1" w:themeShade="BF"/>
    </w:rPr>
  </w:style>
  <w:style w:type="paragraph" w:styleId="IntenseQuote">
    <w:name w:val="Intense Quote"/>
    <w:basedOn w:val="Normal"/>
    <w:next w:val="Normal"/>
    <w:link w:val="IntenseQuoteChar"/>
    <w:uiPriority w:val="30"/>
    <w:qFormat/>
    <w:rsid w:val="00C731D3"/>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szCs w:val="22"/>
      <w:lang w:eastAsia="en-US"/>
    </w:rPr>
  </w:style>
  <w:style w:type="character" w:customStyle="1" w:styleId="IntenseQuoteChar">
    <w:name w:val="Intense Quote Char"/>
    <w:basedOn w:val="DefaultParagraphFont"/>
    <w:link w:val="IntenseQuote"/>
    <w:uiPriority w:val="30"/>
    <w:rsid w:val="00C731D3"/>
    <w:rPr>
      <w:i/>
      <w:iCs/>
      <w:color w:val="2F5496" w:themeColor="accent1" w:themeShade="BF"/>
    </w:rPr>
  </w:style>
  <w:style w:type="character" w:styleId="IntenseReference">
    <w:name w:val="Intense Reference"/>
    <w:basedOn w:val="DefaultParagraphFont"/>
    <w:uiPriority w:val="32"/>
    <w:qFormat/>
    <w:rsid w:val="00C731D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1571</Words>
  <Characters>8959</Characters>
  <Application>Microsoft Office Word</Application>
  <DocSecurity>0</DocSecurity>
  <Lines>74</Lines>
  <Paragraphs>21</Paragraphs>
  <ScaleCrop>false</ScaleCrop>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Abhishek Jadaun</dc:creator>
  <cp:keywords/>
  <dc:description/>
  <cp:lastModifiedBy>Abhishek Jadaun</cp:lastModifiedBy>
  <cp:revision>1</cp:revision>
  <dcterms:created xsi:type="dcterms:W3CDTF">2025-04-17T04:40:00Z</dcterms:created>
  <dcterms:modified xsi:type="dcterms:W3CDTF">2025-04-17T04:41:00Z</dcterms:modified>
</cp:coreProperties>
</file>