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A6CD" w14:textId="77777777" w:rsidR="00727A9B" w:rsidRPr="00727A9B" w:rsidRDefault="00727A9B" w:rsidP="00727A9B">
      <w:pPr>
        <w:spacing w:line="480" w:lineRule="auto"/>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Uncovering the Melting Pot: How Forced Hybridity Traumatized a Nation of Marginalized Cultures</w:t>
      </w:r>
      <w:r w:rsidRPr="00727A9B">
        <w:rPr>
          <w:rFonts w:ascii="Times New Roman" w:eastAsia="Times New Roman" w:hAnsi="Times New Roman" w:cs="Times New Roman"/>
          <w:b/>
          <w:bCs/>
          <w:kern w:val="0"/>
          <w14:ligatures w14:val="none"/>
        </w:rPr>
        <w:br/>
      </w:r>
      <w:r w:rsidRPr="00727A9B">
        <w:rPr>
          <w:rFonts w:ascii="Times New Roman" w:eastAsia="Times New Roman" w:hAnsi="Times New Roman" w:cs="Times New Roman"/>
          <w:b/>
          <w:bCs/>
          <w:i/>
          <w:iCs/>
          <w:kern w:val="0"/>
          <w14:ligatures w14:val="none"/>
        </w:rPr>
        <w:t>Tiana Bradham – Honors Thesis under the direction of Professor Kelly Ross</w:t>
      </w:r>
    </w:p>
    <w:p w14:paraId="63E3D4B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Abstract </w:t>
      </w:r>
    </w:p>
    <w:p w14:paraId="3663A2C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This thesis meticulously examines the concept of forced hybridity as a foundational mechanism in the construction of American national identity, critically challenging the idealized metaphor of the United States as a “melting pot.” Historically, the American melting pot has operated not as a harmonious integration of diverse cultures but rather as a crucible of cultural erasure, coercive assimilation, and systemic violence against marginalized peoples. This investigation draws upon an interdisciplinary framework encompassing postcolonial theory, critical race studies, and feminist thought to scrutinize how the state and prevailing cultural norms have imposed hybridity upon Indigenous, African American, Latinx, and Asian communities, frequently under the guise of unity, progress, or benevolent assimilation.</w:t>
      </w:r>
    </w:p>
    <w:p w14:paraId="27689EA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analytical foundation of this research is anchored in three central literary texts: Nella Larsen’s "Passing," Gloria Anzaldúa’s "Borderlands/La Frontera," and the historical mythologizing of Pocahontas. Each of these works elucidates how racialized and gendered subjects are coerced into performing identity within oppressive binaries. These narratives unmask hybridity not as a liberating space but as one of surveillance, internal conflict, and psychological trauma. This thesis further enriches these literary reflections with historical examples including the parading of Sarah </w:t>
      </w:r>
      <w:r w:rsidRPr="00727A9B">
        <w:rPr>
          <w:rFonts w:ascii="Times New Roman" w:eastAsia="Times New Roman" w:hAnsi="Times New Roman" w:cs="Times New Roman"/>
          <w:b/>
          <w:bCs/>
          <w:kern w:val="0"/>
          <w14:ligatures w14:val="none"/>
        </w:rPr>
        <w:lastRenderedPageBreak/>
        <w:t>Baartman, the Indian boarding school system, the Trail of Tears, and the American colonization of the Philippines.</w:t>
      </w:r>
    </w:p>
    <w:p w14:paraId="739A8DB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the contemporary context, cultural phenomena such as blackfishing, linguistic appropriation, cosmetic surgery trends, and the commodification of ethnic aesthetics by celebrities, notably the Kardashian family, are scrutinized. These cultural expressions, which are policed or punished when embodied by minorities, are paradoxically valorized when appropriated by white Americans. This thesis underscores the significance of activist movements such as Black Lives Matter, the Natural Hair Movement, and the Body Positivity Movement as contemporary forms of resistance that reclaim and celebrate marginalized identities.</w:t>
      </w:r>
    </w:p>
    <w:p w14:paraId="0B3C39D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To provide a more comprehensive understanding, this thesis situates these discussions within broader socio-political dynamics, examining the historical roots of these phenomena and their implications for identity formation and cultural representation. The analysis extends to explore how educational systems and media narratives perpetuate these structures of power and exclusion, while simultaneously considering the ways in which grassroots activism and digital platforms foster spaces for resistance and redefinition.</w:t>
      </w:r>
    </w:p>
    <w:p w14:paraId="2082DC9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Ultimately, this thesis posits that America’s cultural identity has been shaped less by diversity than by domination. It contends that true pluralism can only be achieved through a radical reimagining of national values, advocating for the rejection of the melting pot model in favor of the “salad bowl” or “cultural mosaic,” which embraces difference without demanding erasure. The concluding section calls for curricular </w:t>
      </w:r>
      <w:r w:rsidRPr="00727A9B">
        <w:rPr>
          <w:rFonts w:ascii="Times New Roman" w:eastAsia="Times New Roman" w:hAnsi="Times New Roman" w:cs="Times New Roman"/>
          <w:b/>
          <w:bCs/>
          <w:kern w:val="0"/>
          <w14:ligatures w14:val="none"/>
        </w:rPr>
        <w:lastRenderedPageBreak/>
        <w:t>reform, policy change, and cultural accountability that honors multiplicity and actively combats the enduring legacies of forced hybridity.</w:t>
      </w:r>
    </w:p>
    <w:p w14:paraId="5754981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conclusion, this research not only questions the historical and contemporary practices of cultural assimilation and hybridity but also lays the groundwork for future inquiries into the transformative potential of embracing cultural diversity. By advocating for systemic changes in educational curricula and public policy, the thesis aims to inspire a more inclusive and equitable national identity that genuinely reflects the multiplicity of American society.</w:t>
      </w:r>
    </w:p>
    <w:p w14:paraId="635C90E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Introduction</w:t>
      </w:r>
    </w:p>
    <w:p w14:paraId="712F341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United States of America is frequently invoked as a “melting pot”—a metaphor suggesting the harmonious fusion of diverse cultural elements into a unified national identity. Yet this idealized image obscures a far more coercive historical process. Rather than representing a voluntary synthesis, the American melting pot has been forged through colonial domination, legal subjugation, and cultural erasure. Under the banner of national unity, minority groups—Indigenous peoples, African descendants, Asian immigrants, and other racialized communities—have been compelled to relinquish ancestral languages, spiritual practices, and social structures in order to conform to an imposed Euro-American normativity. As a result, the ostensible inclusivity of the melting pot often manifests as a one-directional assimilation that privileges whiteness and systematically devalues other forms of knowledge and identity.</w:t>
      </w:r>
    </w:p>
    <w:p w14:paraId="3AED8E0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Central Questions and Objectives</w:t>
      </w:r>
    </w:p>
    <w:p w14:paraId="466F57C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This thesis investigates the ways in which narratives of national belonging obscure the violent underpinnings of American identity formation. Drawing upon Native American writer Thomas King’s interrogation of story and power in The Truth About Stories: A Native Narrative, it asks: How have dominant U.S. narratives shaped collective understandings of “the American”? What histories are elided by the comforting myth of cultural amalgamation, and how might unearthing these suppressed histories illuminate the mechanisms of epistemic violence at work? By foregrounding these questions, the study seeks to expose the ideological functions of the melting pot metaphor and to interrogate the enduring legacies of forced hybridity in contemporary American society.</w:t>
      </w:r>
    </w:p>
    <w:p w14:paraId="3887129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Theoretical Framework</w:t>
      </w:r>
    </w:p>
    <w:p w14:paraId="30E1AFA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Grounded in critical race studies, postcolonial theory, and feminist thought, this dissertation engages with Gayatri Spivak’s concept of “epistemic violence”—the systematic marginalization and destruction of subordinated knowledges. Spivak’s notion is particularly relevant in understanding the persistent suppression of diverse cultural narratives and the prioritization of dominant perspectives that render the voices of the oppressed invisible. The dissertation conceptualizes forced hybridity as a deliberate state strategy designed to assimilate and subdue populations perceived as “other,” thus preserving a monolithic, Eurocentric national identity. This enforced assimilation is not merely a historical artifact but a continuing process that evolves in response to political and social changes, ensuring that dominant cultural hegemony remains unchallenged.</w:t>
      </w:r>
    </w:p>
    <w:p w14:paraId="5D1D8B3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Simultaneously, it employs intersectionality (Crenshaw 1989) to analyze how overlapping systems of race, gender, and class shape the experiences of those subjected to cultural erasure. Intersectionality provides a nuanced framework that uncovers the complex layers of discrimination faced by individuals belonging to multiple marginalized groups, highlighting how these identities interact to create unique forms of oppression. Through this interdisciplinary lens, the study examines both historical processes—from colonial land dispossession to Jim Crow segregation—and contemporary manifestations of coerced assimilation, such as educational policy mandates and media representation practices. By analyzing these mechanisms, the dissertation seeks to uncover the subtle yet pervasive ways in which cultural erasure is perpetuated, offering insights into the resilience and resistance of marginalized communities who navigate these oppressive structures.</w:t>
      </w:r>
    </w:p>
    <w:p w14:paraId="5172912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Methodology</w:t>
      </w:r>
    </w:p>
    <w:p w14:paraId="333651C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research adopts a close-reading methodology, combining literary analysis with archival research and critical historiography to provide a comprehensive understanding of historical and cultural dynamics. Primary texts include colonial-era documents, nineteenth-century treaties, and twentieth-century legal statutes alongside key literary works: William Bradford’s *Of Plymouth Plantation*, Nella Larsen’s *Passing*, and Gloria Anzaldúa’s *Borderlands/La Frontera*. Each text is meticulously read against the grain to uncover the subtle and overt operations of forced hybridity—from the colonial reframing of Pocahontas as an emblem of benevolent assimilation to the personal tragedies of Clare Kendry and Irene Redfield, whose attempts to “pass” for white reveal the profound psychological toll of racialized </w:t>
      </w:r>
      <w:r w:rsidRPr="00727A9B">
        <w:rPr>
          <w:rFonts w:ascii="Times New Roman" w:eastAsia="Times New Roman" w:hAnsi="Times New Roman" w:cs="Times New Roman"/>
          <w:b/>
          <w:bCs/>
          <w:kern w:val="0"/>
          <w14:ligatures w14:val="none"/>
        </w:rPr>
        <w:lastRenderedPageBreak/>
        <w:t xml:space="preserve">identity policing. In *Of Plymouth Plantation*, Bradford’s narrative unwittingly exposes colonial mechanisms that imposed hybridity upon indigenous identities, casting them into a mold that suited colonial agendas. Meanwhile, Larsen’s *Passing* poignantly explores the internal conflict and societal pressures faced by individuals like Clare and Irene, highlighting the complexities of racial identity and the relentless pressure to conform to oppressive norms. Anzaldúa’s *Borderlands/La Frontera* further expands on these themes, illustrating the multifaceted nature of identity at the intersection of multiple cultural and national borders. </w:t>
      </w:r>
    </w:p>
    <w:p w14:paraId="45EC921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Archival materials—missionary reports, government assimilation policies, firsthand testimonies, and personal letters—serve to situate these literary narratives within broader sociopolitical contexts. These documents provide critical insights into the historical backdrop against which these literary works were produced and received. Missionary reports reveal the systematic efforts to assimilate indigenous populations, reshaping their identities in ways that align with colonial objectives. Government assimilation policies further underscore the institutionalized nature of these efforts, while firsthand testimonies and personal letters offer intimate glimpses into the lived experiences of individuals navigating these oppressive frameworks. Collectively, this interdisciplinary approach not only deepens our understanding of the texts themselves but also illuminates the pervasive impact of forced hybridity on generations of individuals and communities. Through this comprehensive analysis, the research aims to contribute to ongoing discussions about identity, race, and power, offering new perspectives on historical narratives and their contemporary resonances.</w:t>
      </w:r>
    </w:p>
    <w:p w14:paraId="1FAC6E4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Significance and Chapter Organization</w:t>
      </w:r>
    </w:p>
    <w:p w14:paraId="350FFE1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By tracing the genealogy of the melting pot metaphor and unpacking its discursive power, this thesis contributes to scholarship on national identity, cultural sovereignty, and decolonial praxis. It argues that genuine pluralism cannot be achieved through coerced hybridization but requires the dismantling of institutional structures that mandate cultural conformity. In so doing, it offers a framework for reimagining American identity in ways that honor multiplicity without erasure.</w:t>
      </w:r>
    </w:p>
    <w:p w14:paraId="4193F08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Chapter 1 contextualizes the emergence of the melting pot narrative in early colonial rhetoric and nineteenth-century immigration debates. Chapter 1 also examines the epistemic violence embedded in U.S. Indian boarding schools and the systematic suppression of Indigenous languages and spiritualities. Chapter 2 analyzes Nella Larsen’s Passing as a literary representation of the psychological violence of racial “whitening” and the precarious politics of visibility. The latter part of chapter 2 shifts to Gloria Anzaldúa’s concept of mestiza consciousness, analyzing how Borderlands/La Frontera articulates an embodied resistance to enforced cultural binaries.</w:t>
      </w:r>
    </w:p>
    <w:p w14:paraId="637F570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Chapter 3 investigates the modern-day significance and societal impact of America’s enduring tradition of cultural commodification and appropriation. In contrast, Chapter 4 explores strategies for creating a more ethnically and culturally inclusive American society. The Conclusion synthesizes these case studies to propose pathways toward a genuinely inclusive national ethos—one that validates multiple worldviews rather than demanding their dissolution.</w:t>
      </w:r>
    </w:p>
    <w:p w14:paraId="273A047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In confronting the hidden costs of America’s homogenizing project, this study ultimately seeks to decenter the melting pot as national ideal and to propel a critical conversation about cultural justice, reparative recognition, and the possibility of coexistence beyond assimilation.</w:t>
      </w:r>
    </w:p>
    <w:p w14:paraId="77CA95D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Chapter I: Historical Foundations of Forced Hybridity</w:t>
      </w:r>
    </w:p>
    <w:p w14:paraId="31E3F51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Colonization of Native American Cultures </w:t>
      </w:r>
    </w:p>
    <w:p w14:paraId="113E10A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British settlers arrived in North America not to peacefully integrate but to dominate. The Jamestown colony, founded in 1607, serves as an early case of cultural exploitation. John Smith’s The Generall Historie of Virginia paints Native Americans as generous and cooperative. Yet this goodwill was exploited during the “starving time,” when colonists raided native food stores, imprisoning local leaders and burning villages to force compliance. Pocahontas’s romanticized story illustrates the distortion of indigenous identities to promote white colonial ideologies. Her image as the compliant Native who assimilated into English culture helped justify ongoing acts of violence and cultural erasure, even as armed settlers seized more territory and crushed indigenous resistance.</w:t>
      </w:r>
    </w:p>
    <w:p w14:paraId="1511B15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distortion is painfully evident in how Pocahontas’s actual name, Matoaka, was erased from popular consciousness, while her kidnapping by colonists was reframed as a voluntary cultural exchange. Her forced conversion to Christianity, adoption of English dress, and marriage to John Rolfe became celebrated as the ideal path for indigenous peoples rather than recognized as cultural violence. That narrative conveniently obscured the systematic displacement of Native tribes and the deliberate </w:t>
      </w:r>
      <w:r w:rsidRPr="00727A9B">
        <w:rPr>
          <w:rFonts w:ascii="Times New Roman" w:eastAsia="Times New Roman" w:hAnsi="Times New Roman" w:cs="Times New Roman"/>
          <w:b/>
          <w:bCs/>
          <w:kern w:val="0"/>
          <w14:ligatures w14:val="none"/>
        </w:rPr>
        <w:lastRenderedPageBreak/>
        <w:t>destruction of their social structures. It also paved the way for later propaganda campaigns, from early nineteenth–century dime novels to mid–twentieth–century Hollywood Westerns, that depicted Native peoples as relics to be tamed or obstacles to be removed.</w:t>
      </w:r>
    </w:p>
    <w:p w14:paraId="62CCDB7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By the nineteenth century, forced hybridity had evolved into formal government policy. The establishment of Indian boarding schools exemplified this institutionalized approach to cultural erasure. Captain Richard Henry Pratt’s infamous motto—“Kill the Indian, save the man”—encapsulated the philosophy behind institutions like the Carlisle Indian Industrial School (1879). Native children were separated from their families, forbidden from speaking their languages, forced to cut their hair, and subjected to corporal punishment for expressing any aspect of their cultural heritage or identity. Beyond Carlisle, more than 350 federally funded schools operated across the United States and Canada, systematically alienating generations of children. Alumni often emerged estranged from their communities, suffering from profound identity crises as they found themselves caught between two worlds, unable to pass on their languages or traditional knowledge.</w:t>
      </w:r>
    </w:p>
    <w:p w14:paraId="680CA9B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violent imposition of Euro-American culture on Native Americans was not limited to educational settings. Legislative acts like the Dawes Act of 1887 further dismantled tribal sovereignty by allotting communal lands to individual Native Americans with the intent of converting them to agrarian lifestyles akin to those of white settlers. This policy, reinforced by the Curtis Act of 1898, dismantled tribal governments and communal landholding, resulting in the loss of nearly two‐thirds of Indigenous land base within a generation. When Native Americans resisted these </w:t>
      </w:r>
      <w:r w:rsidRPr="00727A9B">
        <w:rPr>
          <w:rFonts w:ascii="Times New Roman" w:eastAsia="Times New Roman" w:hAnsi="Times New Roman" w:cs="Times New Roman"/>
          <w:b/>
          <w:bCs/>
          <w:kern w:val="0"/>
          <w14:ligatures w14:val="none"/>
        </w:rPr>
        <w:lastRenderedPageBreak/>
        <w:t>assimilationist policies—through legal challenges, cultural revival movements like the Ghost Dance, or armed resistance—they were depicted as impediments to progress: hostile savages standing in the way of “civilization.” The irony is stark: the imposed reformation was itself a violent disruption of their precolonial ways of life, severing kinship ties, undermining communal decision‐making, and erasing long‐standing spiritual connections to the land.</w:t>
      </w:r>
    </w:p>
    <w:p w14:paraId="48D8B05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Well into the twentieth century, assimilation remained federal policy, shifting only slightly under the Indian Reorganization Act of 1934—which, while reversing some allotment measures, continued to limit tribal autonomy—and then surging again during the “Termination Era” of the 1950s and ’60s, when the government sought to eliminate reservation status and relocate Native people to urban centers. It was not until the Native American Self‐Determination and Education Assistance Act of 1975 that tribes began to regain control over their schools and cultural programs, initiating language revitalization, legal battles to restore land bases, and the resurgence of traditional governance structures. Yet the cumulative impact of centuries of cultural genocide remains, visible in disproportionate poverty rates, health disparities, and ongoing struggles for recognition of treaty rights and sacred sites.</w:t>
      </w:r>
    </w:p>
    <w:p w14:paraId="3BF2F7E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colonization and forced assimilation of Native American cultures demonstrate how systemic violence extends beyond physical conquest to the realm of identity, language, and social structure. Understanding this history in its full complexity is essential to supporting genuine reconciliation efforts, honoring indigenous resilience, and ensuring that future generations can reclaim the cultural legacies once almost erased by policies of domination.</w:t>
      </w:r>
    </w:p>
    <w:p w14:paraId="731CB55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Systemic Erasure and Cultural Policy</w:t>
      </w:r>
    </w:p>
    <w:p w14:paraId="2F6526A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19th-century Indian Removal Act and the Trail of Tears physically removed Indigenous people from their ancestral lands, while boarding schools attempted to erase their culture. Students were forbidden from speaking their languages or practicing their religions. As Anil and Vinay Lal argue, this was not cultural exchange—it was cultural erasure under the guise of national unity.</w:t>
      </w:r>
    </w:p>
    <w:p w14:paraId="5688343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testimonies of boarding school survivors reveal the psychological devastation these institutions inflicted. Luther Standing Bear, a Lakota who attended Carlisle, later wrote: "The change in clothing, the cutting of our hair, the prohibition of speaking our own language... was a source of indignity." Children returned to their communities as strangers, unable to fully participate in traditional life yet never fully accepted into white society—existing in a traumatic liminal space that anthropologist Victor Turner might describe as "betwixt and between." This trauma created generational wounds that persist in Native communities today, manifesting in higher rates of depression, substance abuse, and suicide—consequences directly traceable to these policies of forced acculturation.</w:t>
      </w:r>
    </w:p>
    <w:p w14:paraId="424855F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systematic attack on Indigenous cultures extended beyond education into legal frameworks. The 1887 Dawes Act fragmented tribal lands into individual allotments, deliberately undermining communal living arrangements central to many Native societies. Meanwhile, the 1924 Indian Citizenship Act imposed American citizenship on all Native Americans, regardless of tribal affiliation or consent. This forced legal hybridity created a contradictory status wherein Indigenous peoples were simultaneously "citizens" of the United States and members of domestic dependent </w:t>
      </w:r>
      <w:r w:rsidRPr="00727A9B">
        <w:rPr>
          <w:rFonts w:ascii="Times New Roman" w:eastAsia="Times New Roman" w:hAnsi="Times New Roman" w:cs="Times New Roman"/>
          <w:b/>
          <w:bCs/>
          <w:kern w:val="0"/>
          <w14:ligatures w14:val="none"/>
        </w:rPr>
        <w:lastRenderedPageBreak/>
        <w:t>nations—a paradoxical identity that continues to complicate questions of sovereignty and self-determination.</w:t>
      </w:r>
    </w:p>
    <w:p w14:paraId="6C167D6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consequences of these policies reverberate through generations. As Vine Deloria Jr. notes in "Custer Died For Your Sins," the cultural displacement created "a psychological no-man's land" where many Native Americans struggle with questions of authenticity and belonging. This cultural trauma persists in contemporary issues such as the exploitation of Native imagery in sports mascots and Halloween costumes, reducing complex cultural identities to stereotypical caricatures that serve the dominant culture's imagination rather than reflecting indigenous realities.</w:t>
      </w:r>
    </w:p>
    <w:p w14:paraId="35D4E93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Meanwhile, the doctrine of Manifest Destiny provided ideological justification for westward expansion and cultural domination. American politicians and intellectuals framed continental conquest not as imperialism but as divine providence, suggesting that Indigenous cultures were destined to give way to "superior" European civilization. This rhetoric naturalized violence and dispossession while presenting assimilation as benevolence rather than cultural genocide.</w:t>
      </w:r>
    </w:p>
    <w:p w14:paraId="44041AA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African American Experience of Forced Hybridity For enslaved Africans brought to America, hybridity was not a choice but a violent imposition. Separated from their homelands, forbidden from practicing their religions, and stripped of their names, enslaved people were forced to adopt European customs, languages, and beliefs while simultaneously being denied full participation in white society. This created what W.E.B. Du Bois would later articulate as "double consciousness"—the sense of "always looking at one's self through the eyes of others, of measuring one's soul by the tape of a world that looks on in amused contempt and pity."</w:t>
      </w:r>
    </w:p>
    <w:p w14:paraId="6C7E740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The post-Emancipation era brought new forms of forced hybridity through Jim Crow laws and segregation. African Americans were expected to assimilate to white cultural norms while being systematically excluded from institutions of power. This contradiction created impossible conditions where Black citizens were simultaneously pressured to adopt white cultural standards yet punished for attempting to claim equal status. This contradiction created what sociologist E. Franklin Frazier described as a "pathological form of self-hatred" among many Black Americans, who internalized the values of the dominant culture while being rejected by it. The "separate but equal" doctrine established by Plessy v. Ferguson (1896) institutionalized this paradox, creating spaces where Black Americans were forced to develop parallel cultural institutions while operating under white supervision and regulation.</w:t>
      </w:r>
    </w:p>
    <w:p w14:paraId="4A36B6D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practice of "passing"—whereby light-skinned Black Americans presented themselves as white—emerged as both resistance to and accommodation of this system. As Nella Larsen explores in her novel Passing, characters like Clare Kendry who cross the color line experience profound psychological trauma. Clare's decision to pass represents not freedom but a different form of confinement, requiring her to sever ties with her community and family, constantly perform whiteness, and live in perpetual fear of discovery. The phenomenon of passing illuminates the violent nature of America's racial binary system, which demanded cultural conformity while simultaneously making full acceptance impossible. </w:t>
      </w:r>
    </w:p>
    <w:p w14:paraId="301239A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Those who passed often did so at tremendous personal cost, as evidenced by historical accounts compiled by Martha Hodes in "White Women, Black Men" and Allyson </w:t>
      </w:r>
      <w:r w:rsidRPr="00727A9B">
        <w:rPr>
          <w:rFonts w:ascii="Times New Roman" w:eastAsia="Times New Roman" w:hAnsi="Times New Roman" w:cs="Times New Roman"/>
          <w:b/>
          <w:bCs/>
          <w:kern w:val="0"/>
          <w14:ligatures w14:val="none"/>
        </w:rPr>
        <w:lastRenderedPageBreak/>
        <w:t>Hobbs in "A Chosen Exile." These works document cases of individuals who abandoned children, parents, and siblings to cross the color line, demonstrating how forced hybridity fractured not just cultural identities but family bonds.</w:t>
      </w:r>
    </w:p>
    <w:p w14:paraId="463A1DF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cultural trauma inflicted by these conditions manifested in various ways. As noted by historian Carter G. Woodson in "The Mis-Education of the Negro," many African Americans developed an inferiority complex through educational systems that privileged European history and achievements while erasing or denigrating African contributions to civilization. The pressure to conform to white standards extended to physical appearance as well, giving rise to a multimillion-dollar industry in skin-lightening creams and hair straightening products. These commercial manifestations of internalized racism reflect the psychological violence of forced hybridity, where self-worth becomes tied to proximity to whiteness. Toni Morrison later explored these themes in novels like "The Bluest Eye," where the character Pecola Breedlove's desire for blue eyes represents the internalization of white beauty standards and the self-hatred that results from this impossible assimilation.</w:t>
      </w:r>
    </w:p>
    <w:p w14:paraId="3E9D9C2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Harlem Renaissance emerged partly as a response to this cultural violence, with artists and intellectuals like Langston Hughes, Zora Neale Hurston, and Alain Locke advocating for authentic Black cultural expression. Yet even this movement reflected the tensions of hybridity, as Black artists negotiated between creating art that spoke to their communities and producing work that white audiences and patrons would accept. As Hughes lamented in "The Negro Artist and the Racial Mountain," too many Black artists remained constrained by "the urge within the race toward whiteness."</w:t>
      </w:r>
    </w:p>
    <w:p w14:paraId="3F7D2A5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 xml:space="preserve">The Melting Pot Myth </w:t>
      </w:r>
    </w:p>
    <w:p w14:paraId="3FCE03B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pressure to perform whiteness extended beyond those who physically passed. The concept of “respectability politics” emerged as a survival strategy, wherein Black Americans adopted white middle-class norms of dress, speech, and behavior in hopes of gaining acceptance or, at minimum, avoiding violence. As historian Evelyn Brooks Higginbotham notes, this strategy created a painful double bind: Black Americans were expected to assimilate while simultaneously being reminded that no amount of cultural mimicry would grant them full citizenship or protection. In this context, the melting-pot ideal—that different backgrounds would blend harmoniously into a new, shared American identity—proved itself a cruel fiction, demanding conformity to a whiteness that remained forever out of reach.</w:t>
      </w:r>
    </w:p>
    <w:p w14:paraId="5D71D24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Great Migration further complicated experiences of hybridity, as Southern Black Americans moved to Northern urban centers where they encountered different expectations and different forms of discrimination. Richard Wright’s Native Son and James Baldwin’s essays capture the psychological violence inflicted when migrants were forced to navigate unfamiliar cultural codes while being denied economic opportunities. Urban segregation in housing and education ensured that even in the “free” North, Black Americans experienced a paradoxical form of cultural isolation within proximity to white society. This spatial arrangement created what sociologist Loïc Wacquant terms “hyperghettoes,” where economic deprivation combined with cultural alienation to produce communities that were simultaneously separated from and defined by the dominant culture. This perpetual state of enforced separation coupled with cultural pressure created for African Americans what Ralph Ellison </w:t>
      </w:r>
      <w:r w:rsidRPr="00727A9B">
        <w:rPr>
          <w:rFonts w:ascii="Times New Roman" w:eastAsia="Times New Roman" w:hAnsi="Times New Roman" w:cs="Times New Roman"/>
          <w:b/>
          <w:bCs/>
          <w:kern w:val="0"/>
          <w14:ligatures w14:val="none"/>
        </w:rPr>
        <w:lastRenderedPageBreak/>
        <w:t>termed an “invisible” existence—hyper-visible as objects of fear or fascination, yet unseen as full human beings with valid cultural expressions.</w:t>
      </w:r>
    </w:p>
    <w:p w14:paraId="729CFA9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Beyond individual struggles, the melting-pot myth obscured the realities of structural racism. Federal policies like redlining, discriminatory GI Bills, and restrictive covenants systematically blocked Black families from homeownership and generational wealth, even as White Europe-an immigrants readily accessed the same programs. Meanwhile, countless Black cultural innovations—jazz, blues, gospel, rock ’n’ roll—were appropriated, repackaged, and popularized by white artists who reaped commercial rewards while the originators remained marginalized. This cultural drain underscores the fundamental falsehood at the heart of the melting pot: assimilation was never reciprocal. It demanded that the marginalized surrender their heritage, only for white America to extract the most marketable elements without extending genuine acceptance or equality.</w:t>
      </w:r>
    </w:p>
    <w:p w14:paraId="0B460B9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civil rights movement of the 1950s and 1960s further exposed the hypocrisies of the melting-pot narrative, forcing America to confront its failures in providing genuine cultural diversity and inclusion. Although advocating for integration, leaders like Martin Luther King Jr. understood that achieving true cultural pluralism would require not just legal equality but a fundamental reimagining of American identity, where all cultures were honored equally rather than subsumed under white norms. Malcolm X, in contrast, more explicitly rejected the assimilationist model, arguing that forced cultural hybridity was merely another form of colonization masquerading as unity. His evolution from the Nation of Islam’s separatist stance to a more nuanced internationalist perspective highlighted the complex and often painful negotiation of </w:t>
      </w:r>
      <w:r w:rsidRPr="00727A9B">
        <w:rPr>
          <w:rFonts w:ascii="Times New Roman" w:eastAsia="Times New Roman" w:hAnsi="Times New Roman" w:cs="Times New Roman"/>
          <w:b/>
          <w:bCs/>
          <w:kern w:val="0"/>
          <w14:ligatures w14:val="none"/>
        </w:rPr>
        <w:lastRenderedPageBreak/>
        <w:t>identity that many African Americans undertook in response to systemic pressures. This broader view acknowledged the interconnected struggles of oppressed peoples around the world, suggesting that the American experience of forced hybridity was part of a much larger pattern of cultural domination and resistance.</w:t>
      </w:r>
    </w:p>
    <w:p w14:paraId="19372AD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Even today, the rhetoric of the melting pot persists in calls for a “color-blind” society that claims to transcend race. Yet such calls only perpetuate the myth by denying the ongoing legacy of slavery, segregation, and discrimination. True multiculturalism must move beyond superficial celebrations of food or festivals and confront the material inequalities—disparities in education, health, criminal justice, and political power—that maintain the racial hierarchy. Without acknowledging this reality, the melting pot remains a comforting lie: a fantasy that erases difference in theory while upholding white supremacy in practice.</w:t>
      </w:r>
    </w:p>
    <w:p w14:paraId="74747B6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debunking the melting-pot myth, we reclaim the importance of cultural integrity and demand a society where diversity is not merely tolerated but held up as a source of national strength. Only by exposing the corrosive effects of forced assimilation and honoring each community’s unique contributions can America aspire to an inclusive ideal that lives up to its democratic promise. True cultural pluralism would require dismantling institutional biases—in education, housing, employment, and media—so that difference is not merely tolerated but genuinely valued. Until we replace the ideal of subsuming distinct identities under a single “American” norm with one that acknowledges historical injustice and fosters equitable exchange, the melting pot will remain a rhetorical façade masking deep, persistent divisions.</w:t>
      </w:r>
    </w:p>
    <w:p w14:paraId="33AE5EA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Latino/a Experience and Borderland Identities</w:t>
      </w:r>
    </w:p>
    <w:p w14:paraId="437216D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For Mexican Americans, forced hybridity took on a distinctive character following the Mexican–American War (1846–1848) and the subsequent 1848 Treaty of Guadalupe Hidalgo, which transferred more than half of Mexico’s territory to the United States. Overnight, thousands of Mexican citizens found themselves foreigners in their ancestral lands—New Mexico, California, Texas, Arizona—now subject to new laws, language requirements, and cultural expectations. The territorial transfer was not merely a change of government but a violent rupture of place and identity. As Gloria Anzaldúa writes in Borderlands/La Frontera, “The U.S.–Mexican border es una herida abierta [is an open wound] where the Third World grates against the first and bleeds.” This bleeding is both literal and metaphorical: indigenous and mestizo bodies pressed up against a rising Anglo hegemony, languages and rituals threatened with erasure.</w:t>
      </w:r>
    </w:p>
    <w:p w14:paraId="0AE31EB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Like the Native and African American experiences, this hybridity was not a voluntary fusion but coerced assimilation. Mexican Americans were compelled to abandon Spanish in schools, replace Catholic fiestas with Protestant Sunday schools, and accept a legal status that confined them to barrios and labor camps. Racial segregation laws in California’s public spaces and Texas railcars relegated them to “Mexican only” benches. Economic marginalization pushed many into migratory circuits: the seasonal harvests of California’s Central Valley, the oil fields of Texas, the railroad ties of New Mexico—work that fractured families, disrupted community cohesion, and mirrored the dislocation endured by Native and Black populations. Yet, unlike some other groups, Mexican Americans could cross back into Mexico to visit relatives or attend fiestas, sustaining vital cultural practices despite extreme </w:t>
      </w:r>
      <w:r w:rsidRPr="00727A9B">
        <w:rPr>
          <w:rFonts w:ascii="Times New Roman" w:eastAsia="Times New Roman" w:hAnsi="Times New Roman" w:cs="Times New Roman"/>
          <w:b/>
          <w:bCs/>
          <w:kern w:val="0"/>
          <w14:ligatures w14:val="none"/>
        </w:rPr>
        <w:lastRenderedPageBreak/>
        <w:t>hardship. These cross-border connections fostered unique modes of resistance—language preservation in home altars, clandestine folk dances on church grounds, and mutual aid societies such as the Alianza Hispano-Americana.</w:t>
      </w:r>
    </w:p>
    <w:p w14:paraId="461DCF1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Anzaldúa’s concept of “mestiza consciousness” emerges from this borderland resilience: a fluid, hybrid identity that refuses the either/or binaries of colonizer versus colonized. By embracing a both/and logic, mestiza consciousness reclaims the psychic space coerced hybridity tried to negate. It asserts that bilingualism, syncretic religious rituals blending Catholicism with indigenous beliefs, lowrider car culture, and corridos are not vestiges of “backwardness” but creative affirmations of borderland life.</w:t>
      </w:r>
    </w:p>
    <w:p w14:paraId="009F385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Federal policies like the 1924 Immigration Act further codified Mexican Americans as perpetual outsiders. Border patrols were strengthened, and the “undesirable alien” label paved the way for mass deportations during the Great Depression—often of U.S. citizens of Mexican descent—under operations such as “Mexican Repatriation.” As labor demand fluctuated, growers turned to the Bracero Program (1942–1964), legally importing hundreds of thousands of Mexican laborers under temporary work contracts. Braceros faced overcrowded barracks, wage theft, and withheld passports; their labor was essential to wartime and postwar agriculture, yet their human rights remained suspended.</w:t>
      </w:r>
    </w:p>
    <w:p w14:paraId="7741534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Out of this history of exclusion and exploitation arose the Chicano movement of the 1960s and 1970s—a cultural and political renaissance paralleling the Harlem Renaissance. Youth-led walkouts in East Los Angeles schools in 1968 protested discriminatory tracking and inadequate facilities. Organizations like La Raza Unida </w:t>
      </w:r>
      <w:r w:rsidRPr="00727A9B">
        <w:rPr>
          <w:rFonts w:ascii="Times New Roman" w:eastAsia="Times New Roman" w:hAnsi="Times New Roman" w:cs="Times New Roman"/>
          <w:b/>
          <w:bCs/>
          <w:kern w:val="0"/>
          <w14:ligatures w14:val="none"/>
        </w:rPr>
        <w:lastRenderedPageBreak/>
        <w:t>Party in Texas and the Denver-based Crusade for Justice demanded bilingual education, farmworkers’ rights, and an end to police brutality. Poets and activists such as Corky Gonzales articulated an insurgent identity in his epic poem “Yo Soy Joaquín,” tracing indigenous Aztlán roots, conquistador legacies, and modern barrio life. Teatro Campesino, founded by Luis Valdez, brought campesino theater to union halls and picket lines, blending satire, traditional folk song, and political critique. Simultaneously, César Chávez and Dolores Huerta’s United Farm Workers union used nonviolent tactics, grape boycotts, and community organizing to win union contracts and public sympathy.</w:t>
      </w:r>
    </w:p>
    <w:p w14:paraId="20246CF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era’s slogan, “¡La Raza Sí! ¡Migra No!” rejected the melting-pot’s forced assimilation and asserted a proud, multifaceted identity. Murals in East L.A. depicted pre-Columbian iconography alongside images of Dolores Huerta and Emiliano Zapata; poets like Sandra Cisneros and novelists such as Rudolfo Anaya brought borderland stories into the American literary canon. </w:t>
      </w:r>
    </w:p>
    <w:p w14:paraId="3074F82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era also witnessed the Chicano Moratorium, a mass protest against the Vietnam War which highlighted the disproportionate drafting of Mexican Americans and the war’s impact on working-class barrios. Figures such as journalist Ruben Salazar, killed by a tear-gas projectile during a 1970 demonstration, became martyrs whose deaths underscored the movement’s stakes. By affirming mestiza consciousness, Chicano activists confronted the psychological violence of forced hybridity, transforming an “open wound” into a site of cultural fertility. They insisted that their bilingual, border-crossing identities were not deficits to be cured but vital expressions </w:t>
      </w:r>
      <w:r w:rsidRPr="00727A9B">
        <w:rPr>
          <w:rFonts w:ascii="Times New Roman" w:eastAsia="Times New Roman" w:hAnsi="Times New Roman" w:cs="Times New Roman"/>
          <w:b/>
          <w:bCs/>
          <w:kern w:val="0"/>
          <w14:ligatures w14:val="none"/>
        </w:rPr>
        <w:lastRenderedPageBreak/>
        <w:t>of a plural America—one that refuses to be cleansed by the dominant culture’s assimilationist demands.</w:t>
      </w:r>
    </w:p>
    <w:p w14:paraId="1260C16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Chicano movement’s legacy endures in today’s bilingual classrooms, in festivals celebrating indigenous dances, and in political mobilizations that invoke Aztlán as a symbol of collective belonging. In refusing to accept the dominant culture’s demand for erasure, Mexican Americans have continually reshaped what it means to live, speak, and create on these contested borderlands.</w:t>
      </w:r>
    </w:p>
    <w:p w14:paraId="24E7EF4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Asian American Experiences of Hybridity and Exclusion</w:t>
      </w:r>
    </w:p>
    <w:p w14:paraId="70D3110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Asian American experience with forced hybridity highlights the inconsistencies and contradictions of the American melting pot. From the mid-19th century onward, Asian immigrants were recruited as laborers yet denied the possibility of full cultural inclusion and citizenship. The Chinese Exclusion Act of 1882 was the first significant immigration restriction in U.S. history, reflecting anxieties about the "yellow peril" and establishing a racial hierarchy that placed Asians outside the American body politic. Those who remained were subjected to intense pressure to assimilate, adopting Euro-American customs while being legally barred from becoming citizens until mid-20th century reforms.</w:t>
      </w:r>
    </w:p>
    <w:p w14:paraId="6C40B65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exclusionary narrative was reflected in the experiences of Japanese American communities, which were devastated by internment during World War II. Under Executive Order 9066, over 120,000 Japanese Americans, two-thirds of whom were U.S. citizens, were forcibly relocated to internment camps. This action underscored the precariousness of Asian American inclusion, as families were stripped of </w:t>
      </w:r>
      <w:r w:rsidRPr="00727A9B">
        <w:rPr>
          <w:rFonts w:ascii="Times New Roman" w:eastAsia="Times New Roman" w:hAnsi="Times New Roman" w:cs="Times New Roman"/>
          <w:b/>
          <w:bCs/>
          <w:kern w:val="0"/>
          <w14:ligatures w14:val="none"/>
        </w:rPr>
        <w:lastRenderedPageBreak/>
        <w:t xml:space="preserve">property, livelihoods, and civil rights in the name of national security. Historian Gary Okihiro argues that internment revealed "the fiction of assimilation," since Japanese Americans who had lived according to white norms were still deemed untrustworthy and foreign.Despite generations of assimilation, entire communities were forcibly relocated and imprisoned, exposing the limits of cultural conformity as a strategy for acceptance. </w:t>
      </w:r>
    </w:p>
    <w:p w14:paraId="099F48F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As historian Ronald Takaki notes, the internment sent a clear message: "No matter how acculturated, Asian Americans remained forever 'foreign.'“ Post-war resettlement efforts further complicated hybridity, as Japanese Americans endeavored to rebuild lives in a society that continued to view them with suspicion. Many adopted an ethos of silence and stoicism, choosing not to burden future generations with their trauma—an approach that cultural critic Leslie Bow describes as a "politics of restraint" in her study of Asian American experiences. Additionally, the post-war period saw a contradictory embrace of Asian Americans as "model minorities," a label that further complicated experiences of hybridity by setting impossible standards for other minority groups and masking ongoing discrimination. </w:t>
      </w:r>
    </w:p>
    <w:p w14:paraId="3EBF429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Asian Americans were celebrated for their economic success and educational attainment, yet this praise came with strings attached—it required the downplaying of racial struggles and full assimilation into whiteness. As Vijay Prashad argues in "The Karma of Brown Folk," the model minority myth served to discipline other marginalized communities while keeping Asian Americans in a subordinate position, where acceptance was contingent on compliance with dominant cultural norms. For South Asian immigrants who arrived in large numbers after the 1965 Immigration </w:t>
      </w:r>
      <w:r w:rsidRPr="00727A9B">
        <w:rPr>
          <w:rFonts w:ascii="Times New Roman" w:eastAsia="Times New Roman" w:hAnsi="Times New Roman" w:cs="Times New Roman"/>
          <w:b/>
          <w:bCs/>
          <w:kern w:val="0"/>
          <w14:ligatures w14:val="none"/>
        </w:rPr>
        <w:lastRenderedPageBreak/>
        <w:t>and Nationality Act, the model minority stereotype created a double-edged sword. While enjoying more economic opportunities than earlier Asian immigrants, they were still subject to racial profiling and discrimination, particularly during times of geopolitical tension. As sociologist Nazli Kibria observes, the post-9/11 era saw a resurgence of anti-Asian sentiment, with South Asians, Arabs, and Muslims facing increased surveillance and hate crimes. This hostility reinforced the precarious nature of their inclusion, challenging the façade of the melting pot by exposing deep-seated fears of foreignness. The psychological toll of these pressures is evident in the experiences of Asian American youth, who navigate conflicting expectations from families and the broader society. As documented by scholars like Pyke and Dang in "‘FOB’ and ‘Whitewashed’," young Asian Americans are often caught between maintaining ethnic traditions and adopting mainstream American values, creating what psychologist Stanley Sue terms "acculturative stress." This tension manifests in higher rates of depression and anxiety among Asian American adolescents compared to their white peers, suggesting that the burden of negotiating multiple cultural identities exacts a significant mental health cost.</w:t>
      </w:r>
    </w:p>
    <w:p w14:paraId="4A695A7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diversity of Asian American experiences—spanning East, South, and Southeast Asian communities—further complicates narratives of hybridity. Vietnamese refugees who arrived after the fall of Saigon in 1975, for instance, encountered different pressures than Chinese immigrants who came during the Gold Rush era. Yet across these varied histories, common threads emerge: conditional acceptance, expectations of cultural conformity, and the persistent designation as perpetual foreigners regardless of generation or assimilation level. As Lisa Lowe argues in </w:t>
      </w:r>
      <w:r w:rsidRPr="00727A9B">
        <w:rPr>
          <w:rFonts w:ascii="Times New Roman" w:eastAsia="Times New Roman" w:hAnsi="Times New Roman" w:cs="Times New Roman"/>
          <w:b/>
          <w:bCs/>
          <w:kern w:val="0"/>
          <w14:ligatures w14:val="none"/>
        </w:rPr>
        <w:lastRenderedPageBreak/>
        <w:t>"Immigrant Acts," Asian American identity formation has been shaped by the contradictions of capitalism and democracy in America, where economic participation has been permitted while full political and social inclusion has been systematically denied.</w:t>
      </w:r>
    </w:p>
    <w:p w14:paraId="46BF698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case of Filipino Americans illustrates particularly complex dimensions of forced hybridity. Following the Spanish-American War and subsequent American colonization of the Philippines, Filipinos experienced what historian Catherine Ceniza Choy calls "benevolent assimilation"—a campaign to remake Filipino culture in America's image through education, government, and religion. This colonial relationship created a unique form of hybridity where American cultural influence preceded migration, complicating questions of identity and belonging for later immigrants. Filipino Americans thus navigated multiple layers of colonization—Spanish, American, and Japanese—each imposing different cultural expectations and leaving lasting imprints on language, religion, education, and social structure.</w:t>
      </w:r>
    </w:p>
    <w:p w14:paraId="383F6C8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As a result, Filipino Americans often grapple with what scholar Nerissa Balce refers to as a “haunted” cultural identity—one marked by invisibility and stereotype. American popular culture has historically exoticized or erased Filipino presence, while simultaneously exploiting Filipino labor, particularly in nursing and domestic work. Choy’s seminal work, </w:t>
      </w:r>
      <w:r w:rsidRPr="00727A9B">
        <w:rPr>
          <w:rFonts w:ascii="Times New Roman" w:eastAsia="Times New Roman" w:hAnsi="Times New Roman" w:cs="Times New Roman"/>
          <w:b/>
          <w:bCs/>
          <w:i/>
          <w:iCs/>
          <w:kern w:val="0"/>
          <w14:ligatures w14:val="none"/>
        </w:rPr>
        <w:t>Empire of Care</w:t>
      </w:r>
      <w:r w:rsidRPr="00727A9B">
        <w:rPr>
          <w:rFonts w:ascii="Times New Roman" w:eastAsia="Times New Roman" w:hAnsi="Times New Roman" w:cs="Times New Roman"/>
          <w:b/>
          <w:bCs/>
          <w:kern w:val="0"/>
          <w14:ligatures w14:val="none"/>
        </w:rPr>
        <w:t xml:space="preserve">, details how Filipina nurses were recruited en masse under the guise of opportunity, only to face discrimination and cultural dislocation in the U.S. The narrative of care and servitude became a racialized framework for Filipino identity in the diaspora, perpetuating subservience as a cultural expectation. This multifaceted hybridity underscores the long-term </w:t>
      </w:r>
      <w:r w:rsidRPr="00727A9B">
        <w:rPr>
          <w:rFonts w:ascii="Times New Roman" w:eastAsia="Times New Roman" w:hAnsi="Times New Roman" w:cs="Times New Roman"/>
          <w:b/>
          <w:bCs/>
          <w:kern w:val="0"/>
          <w14:ligatures w14:val="none"/>
        </w:rPr>
        <w:lastRenderedPageBreak/>
        <w:t>psychological and cultural costs of colonialism, as Filipino Americans continue to negotiate authenticity, assimilation, and ancestral reclamation within an American society that still marginalizes their history and contributions.</w:t>
      </w:r>
    </w:p>
    <w:p w14:paraId="7432674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Chapter II: Literary Reflections of Hybrid Trauma</w:t>
      </w:r>
    </w:p>
    <w:p w14:paraId="4CB0130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Pocahontas: Fabricated Cultural Unity </w:t>
      </w:r>
    </w:p>
    <w:p w14:paraId="19D6313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Through the centuries, the pale visage of Pocahontas—Amonute reborn as “Rebecca Rolfe”—has floated across history books and popular imagination like a ghost of colonial benevolence. In the celebrated 1616 Simon van de Passe engraving, she stands in stiff aristocratic pose, swathed in silken black robes trimmed with fur, her gloved hands delicately clasped before her. Not a feather nor a wampum bead remains visible; her braided hair is hidden beneath a coif, her Powhatan name supplanted by the new Christian moniker. The artist’s Latin inscription, “Pocahontas, daughter of Powhatan,” rings hollow beside the anglicized “Rebecca” carved into English men’s colonial myth-making. Every fold of her garment, every shadow around her neck, was calculated to efface Indigenous identity and affirm European superiority. Even the fleur-de-lis embroideries stitched along her hem, likely fantasy additions by the engraver, signal an imposed nobility she never possessed.</w:t>
      </w:r>
    </w:p>
    <w:p w14:paraId="492B87C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Rebecca Faery (1999) incisively observes that this portrait “subsumes the Native woman into the patriarchal and imperial gaze,” transforming her captivity and forced baptism into an illusion of mutual accord. Faery draws on missionary correspondence to demonstrate how Anglican priests lauded her apparent piety as proof of providential conquest. Yet behind her somber eyes lies a narrative of </w:t>
      </w:r>
      <w:r w:rsidRPr="00727A9B">
        <w:rPr>
          <w:rFonts w:ascii="Times New Roman" w:eastAsia="Times New Roman" w:hAnsi="Times New Roman" w:cs="Times New Roman"/>
          <w:b/>
          <w:bCs/>
          <w:kern w:val="0"/>
          <w14:ligatures w14:val="none"/>
        </w:rPr>
        <w:lastRenderedPageBreak/>
        <w:t>abduction and coercion. In 1613, amid Sir Thomas Dale’s scorched-earth campaign against the Chickahominy, Powhatan’s warriors and allies, Pocahontas was seized as a hostage—a grisly tactic to bend her father, Chief Powhatan, to English treaties. Contemporary dispatches describe how armed detachments fanned out from Jamestown, burning villages and burning cornfields before snatching the sixteen-year-old woman. Stripped of autonomy, she was baptized at Henricus, instructed in Anglican rites, and thrust into the alien court at Jamestown, where she slept on straw mats and ate rancid pork.</w:t>
      </w:r>
    </w:p>
    <w:p w14:paraId="260524A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By 1614 she was wed to tobacco planter John Rolfe, a union celebrated in colonial dispatches as an epochal “Peace Ceremony.” Far from an exchange of equals, the marriage was a propagandistic device: Rolfe boasted that his bride’s conversion “affords a spectacle of God’s mercy,” while imperial compulsion guided every step she took. In Rolfe’s surviving letters to investors in London, he describes her in terms that oscillate between exotic amazement and paternalistic pity. One missive praises her “modest demeanour,” another laments that she “sobs bitterly for her friends,” a tacit admission that her attachment was coerced rather than cultivated.</w:t>
      </w:r>
    </w:p>
    <w:p w14:paraId="2E5CE7F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Camilla R. Townsend (2004) dismantles this veneer of diplomacy in Pocahontas and the Powhatan Dilemma, showing how her marriage “proved, to English eyes, that Native Americans could be tamed and civilized.” Townsend excavates council records revealing how Powhatan’s envoys were forced to negotiate over hostages and surrendered lands. In Rolfe’s own letters, he praises her as evidence of “softened savagery,” yet his private accounts lament her homesickness, her grief at having been wrenched from her community. As Helen Rountree (1990) details, the true aftermath </w:t>
      </w:r>
      <w:r w:rsidRPr="00727A9B">
        <w:rPr>
          <w:rFonts w:ascii="Times New Roman" w:eastAsia="Times New Roman" w:hAnsi="Times New Roman" w:cs="Times New Roman"/>
          <w:b/>
          <w:bCs/>
          <w:kern w:val="0"/>
          <w14:ligatures w14:val="none"/>
        </w:rPr>
        <w:lastRenderedPageBreak/>
        <w:t>of 1613–1617 was not harmony but the seizure of Powhatan lands, the fracturing of kinship networks, and the erasure of Indigenous rituals once central to the confederacy’s spiritual life.</w:t>
      </w:r>
    </w:p>
    <w:p w14:paraId="3D3B2CB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Robert Warrior and Jean O’Brien (American Indian Quarterly, 2005) go further, calling the Pocahontas myth “a foundational lie”—a romantic reframing that masks the genocidal sweep of colonization. They catalogue how seventeenth-century Virginia enacted increasingly draconian laws against Powhatan survivors, branding children “wards” under the Crown. Even Thomas Jefferson, writing in the 1780s, invoked “Rebecca’s” diplomacy to justify further land grabs, illustrating how myth sustained policy centuries later.</w:t>
      </w:r>
    </w:p>
    <w:p w14:paraId="222F67B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myth endured into modern media. Disney’s 1995 feature collapses her year in captivity into a narrative of star-crossed love with John Smith; it omits her forced conversion and paints her as an autonomous heroine dancing freely through sun-dappled forests. Likewise, countless children’s storybooks gloss over her kidnapping, presenting Rebecca Rolfe as a willing ambassador of goodwill. Historical novels and graphic comics have periodically reclaimed her agency, yet they remain overshadowed by pastel caricatures. Even Steven C. Tracy’s academic retellings, though richer in archival detail, wrestle with the gravitational pull of the romantic myth—testament to how deeply the fantasy has lodged in the Western psyche. Recent museum exhibits and heritage sites at Jamestown have begun to reintroduce Indigenous voices—Powhatan descendants speaking back against centuries of silence—but popular culture still traffics in the pastel romance of a compliant “princess.”</w:t>
      </w:r>
    </w:p>
    <w:p w14:paraId="0FAA74E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Rebecca’s journey ended abruptly in March 1617, when she boarded a ship for London, visibly pregnant and in fragile health. Despite stately receptions at court and a purported audience with King James I, she fell ill in Gravesend and died at age twenty-one. Her funeral at St. George’s Church drew curious crowds who crowded her coffin, peering at her face “as if at a queen,” yet no Powhatan rites were observed. Her epitaph misnames her “Rebecka, daughter of Prince Powhatan,” testament to colonial insistence on rewriting her lineage in Anglican terms.</w:t>
      </w:r>
    </w:p>
    <w:p w14:paraId="195490B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Ultimately, Pocahontas exemplifies forced hybridity: a young woman compelled into an alien faith, language, and identity to validate English colonial ambitions. Her story—recast as benevolent cultural blending—obscures the violence of her abduction, baptism, and untimely death. It converts an act of genocide into a tale of mutual enchantment, depriving her people of their own narrative authority. Only by centering Powhatan descendants and critically analyzing archival distortions can we dismantle this fabricated cultural unity and restore Amonute’s voice to her rightful place in history and confront the legacy of colonial violence her myth so neatly conceals.</w:t>
      </w:r>
    </w:p>
    <w:p w14:paraId="5C3FEC6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Nella Larsen’s Passing: The Psychological Cost of Racial Performance </w:t>
      </w:r>
    </w:p>
    <w:p w14:paraId="1B5C3EC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Set against the smoky salons, dimly lit jazz clubs, and genteel drawing rooms of 1920s Harlem and Chicago, Nella Larsen’s Passing (1929) probes the mutability and peril of racial identity in America’s post–Great Migration era. Amid the glittering soirées and hushed parlors, Clare Kendry—“with her blonde hair, fine gray eyes, and a skin that to the casual glance might well have passed for cultivated porcelain”—opts to sever all ties with her Black heritage. By contrast, her childhood friend Irene Redfield </w:t>
      </w:r>
      <w:r w:rsidRPr="00727A9B">
        <w:rPr>
          <w:rFonts w:ascii="Times New Roman" w:eastAsia="Times New Roman" w:hAnsi="Times New Roman" w:cs="Times New Roman"/>
          <w:b/>
          <w:bCs/>
          <w:kern w:val="0"/>
          <w14:ligatures w14:val="none"/>
        </w:rPr>
        <w:lastRenderedPageBreak/>
        <w:t>pursues a more liminal path: married to a respected Black doctor, an NAACP member, and a fixture of Uptown’s thriving jazz scene, yet occasionally admitted into white society by virtue of her lighter complexion.</w:t>
      </w:r>
    </w:p>
    <w:p w14:paraId="3CE0FD3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Clare’s all-in gamble demands absolute deception. Having abandoned her Black husband in New York, she flees Chicago for the whispered glamour of European enclaves before marrying John Bellew, a violently racist Englishman who insists “coloured people” lack culture. Every clandestine meeting between Clare and Irene—whether in Tiffany’s tea room or at a Rent Party—throbs with existential dread: discovery could spell social exile, legal peril, or even lynching. Larsen observes, “Clare wanted only to be—to be free and happy and to belong somewhere. But she couldn’t, because she wasn’t safe. Nobody was ever safe” (p. 225). Sociologist Evelyn Brooks Higginbotham (2010) locates Passing within W. E. B. Du Bois’s double-consciousness framework, arguing that Clare’s self-erasure lays bare “the dire psychic costs imposed by a color line that offers no reprieve.”</w:t>
      </w:r>
    </w:p>
    <w:p w14:paraId="1E5FAF5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Irene’s compromises are subtler but no less corrosive. Convinced that her strategic passing—for shopping uptown or renting an apartment on elegant Fifth Avenue—remains firmly under her command, she nonetheless endures constant vigilance. “She felt as if she were twice over. As if she were come alive in two places” (p. 47), Larsen writes, capturing Irene’s split subjectivity. Dalton Puffer (2020) contends that Irene “embodies the Black bourgeoisie’s drive for respectability,” a cultural imperative that silences personal trauma even as it secures fragile privilege. Allyson N. Smith (2015) situates the novel within the pages of The Crisis and the Black women’s club movement, showing how uplift rhetoric often muted voices like Irene’s. Newly </w:t>
      </w:r>
      <w:r w:rsidRPr="00727A9B">
        <w:rPr>
          <w:rFonts w:ascii="Times New Roman" w:eastAsia="Times New Roman" w:hAnsi="Times New Roman" w:cs="Times New Roman"/>
          <w:b/>
          <w:bCs/>
          <w:kern w:val="0"/>
          <w14:ligatures w14:val="none"/>
        </w:rPr>
        <w:lastRenderedPageBreak/>
        <w:t>unearthed diary fragments from Larsen herself reveal her anxieties over middle-class respectability, suggesting Irene’s neatly ordered life is as precarious as Clare’s borrowed façade.</w:t>
      </w:r>
    </w:p>
    <w:p w14:paraId="57D5FCC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Larsen deepens the historical frame by evoking the 1919 Chicago Race Riot’s lingering trauma and the pervasive fear stalking Black communities north of the Mason–Dixon line. Scholars like George Hutchinson have noted how Harlem Renaissance writers used passing narratives to interrogate American modernity’s blind spots, demonstrating that the burden of performance extends beyond race to class, gender, and nationality.</w:t>
      </w:r>
    </w:p>
    <w:p w14:paraId="474E971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novel’s climax—Clare’s fall from an upscale hotel window—remains hauntingly ambiguous. Larsen’s final lines, “She must have fallen; and she fell alone. Nobody was near to push her. Only the moon, the pale gold of it, slid down the sky and dripped over her” (p. 92), suggest both suicide and murder, ultimate erasure or enforced silence. As Deborah E. McDowell (1985) asserts, Passing indicts a society that “forces its victims to invent themselves or die.” Later feminist and queer readings, including Toni Morrison’s 1992 Adams Lecture on Larsen, underscore the text’s resonance for sexual nonconformity, showing parallels between passing for whiteness and concealing non-normative desire under heteronormative constraint.</w:t>
      </w:r>
    </w:p>
    <w:p w14:paraId="2D07F7F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its rediscovery during the Black feminist literary revival of the 1980s, Passing emerged as both a masterwork of the Harlem Renaissance and a prescient critique of performative identity. By charting Clare’s and Irene’s psychological landscapes, Larsen reveals how hybridity dissolves the self into performance and how authenticity becomes the ultimate sacrifice on America’s altar of racial hierarchy.</w:t>
      </w:r>
    </w:p>
    <w:p w14:paraId="25BFD28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To fully grasp Passing’s historical stakes, scholars now link the novel to broader currents of the Harlem Renaissance—where Black artistic expression collided with white patronage and commodification. Historian Farah Jasmine Griffin (2004) situates Larsen alongside Zora Neale Hurston, arguing that both authors charted the psychological toll exacted by rigid racial codes and “the craving for a self fashioned beyond prescribed limits.” Legal scholar Kevin Brown (2018) examines the era’s anti-miscegenation statutes, showing how the law criminalized any act of passing as a form of forbidden intimacy, subjecting women like Clare to the risk of arrest or forced medical inspection. Literary critic Walter Bradford (2017) further explores the novel’s narrative structure—its tight point-of-view shifts and elliptical chronology—tying these formal choices to Larsen’s project of rendering the experience of “living on the verge” both immersive and disorienting.</w:t>
      </w:r>
    </w:p>
    <w:p w14:paraId="4AFCA08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contemporary classrooms, Passing fuels dialogues on intersectionality, colorism, and the cartography of privilege. Its depiction of New Negro ambitions—chafing against Jim Crow yet constrained by internalized racism—continues to resonate in discussions of upward mobility and the price exacted by assimilation. Ultimately, Passing remains a powerful testament to the human cost of a racially stratified society, its themes echoing in present-day debates over identity politics, systemic oppression, and the contested boundaries of belonging.</w:t>
      </w:r>
    </w:p>
    <w:p w14:paraId="58A6E47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Borderlands/La Frontera: Liminal Identity and Resistance </w:t>
      </w:r>
    </w:p>
    <w:p w14:paraId="15983E8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In Borderlands/La Frontera: The New Mestiza (1987), Gloria Anzaldúa transforms personal pain into revolutionary praxis. Facing the U.S.–Mexico frontier at its most brutal—where cattle barriers meet barbed wire and migrant laborers bleed into </w:t>
      </w:r>
      <w:r w:rsidRPr="00727A9B">
        <w:rPr>
          <w:rFonts w:ascii="Times New Roman" w:eastAsia="Times New Roman" w:hAnsi="Times New Roman" w:cs="Times New Roman"/>
          <w:b/>
          <w:bCs/>
          <w:kern w:val="0"/>
          <w14:ligatures w14:val="none"/>
        </w:rPr>
        <w:lastRenderedPageBreak/>
        <w:t>desert earth—she casts the border as “una herida abierta,” an open wound that “spills life from both sides” (p. 3). Yet from this wound springs what she terms the “mestiza consciousness”: a hybrid awareness forged in the crucible of contested languages, conflicting loyalties, and gendered expectations.</w:t>
      </w:r>
    </w:p>
    <w:p w14:paraId="0CA417A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Anzaldúa’s mestiza must inhabit contradiction. She writes, “My being is a crossroads where cultures, languages, and histories meet and wrestle” (p. 38). This internal lamination of Spanish, English, Nahuatl, Caló, and even straight-talking Chicano slang inflicts psychic injury. She likens her mind to “torn metal” that must bend without breaking as she codeswitches from academic prose to Spanglish poetry: “¿Por qué me tienen que llamar con nombre de traje, con nombre de destino?” (p. 61). AnaLouise Keating (2005) notes that Anzaldúa’s text refuses the monolingual academy, insisting that “language itself can become a site of decolonial resistance.” More recent scholarship by Gloria Anzaldúa’s literary executor, AnaLouise Keating, explores unpublished audio recordings where Anzaldúa codeswiched between Spanish, Nahuatl chants, and proverbs from her grandmother, further foregrounding hybridity as embodied practice.</w:t>
      </w:r>
    </w:p>
    <w:p w14:paraId="0E2BAA7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Beyond language, the border polices bodies and desires. As a queer Chicana feminist, Anzaldúa endured censure from both Anglo norms and machista currents within Mexican and Indigenous communities. In her coedited anthology This Bridge Called My Back (1981), she collaborates with Audre Lorde, Cherríe Moraga, and others to challenge white feminism’s erasures. She describes the “coatlícameotl”—a serpent-skirted goddess—whose shape-shifting power she both reveres and fears, for it whispers rebellion but also risk: to name one’s sexuality, one’s Indigenous heritage, </w:t>
      </w:r>
      <w:r w:rsidRPr="00727A9B">
        <w:rPr>
          <w:rFonts w:ascii="Times New Roman" w:eastAsia="Times New Roman" w:hAnsi="Times New Roman" w:cs="Times New Roman"/>
          <w:b/>
          <w:bCs/>
          <w:kern w:val="0"/>
          <w14:ligatures w14:val="none"/>
        </w:rPr>
        <w:lastRenderedPageBreak/>
        <w:t>is to face exile. “We are caught between two worlds,” she declares, “yet in that nepantla—in that in-between space—we find our power” (p. 102). Historian Emma Pérez (2013) situates Anzaldúa’s project within Chicana feminisms of the 1970s, showing how Borderlands mobilized communal land struggles in New Mexico as metaphors for psychic reclamation.</w:t>
      </w:r>
    </w:p>
    <w:p w14:paraId="3C36B64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Anzaldúa’s borderlands, then, are not a point of arrival but an ongoing process of becoming—messy, painful, urgent. The mestiza consciousness demands we “tolerate contradictions,” to grow beyond binaries of colonizer/colonized, masculine/feminine, English/Spanish. In doing so, she anticipates frameworks of intersectionality and decolonial theory that scholars from María Lugones to Roxanne Dunbar-Ortiz have since elaborated. Her use of eclectic formats—poetry, epistolary fragments, reflective journal entries—models an insurgent pedagogy that challenges the very notion of disciplinary borders. </w:t>
      </w:r>
    </w:p>
    <w:p w14:paraId="19FB739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As Anzaldúa proclaims, “To survive the Borderlands you must live sin fronteras, be a crossroads” (p. 108). From this jagged terrain, new visions of solidarity, healing rituals, and self-determination emerge—testament to hybridity not as erasure, but as insurgent creation.</w:t>
      </w:r>
    </w:p>
    <w:p w14:paraId="5E8F6C9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Chapter III: Contemporary Relevance and Societal Impact</w:t>
      </w:r>
    </w:p>
    <w:p w14:paraId="3F45777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Cultural Commodification and Appropriation</w:t>
      </w:r>
    </w:p>
    <w:p w14:paraId="6704897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Euro‐American cultural discourses and mainstream U.S. media frequently delegitimize minority customs as “un‐American,” even as those same practices are valorized—and often commodified—once adopted by Euro‐Americans. This pattern </w:t>
      </w:r>
      <w:r w:rsidRPr="00727A9B">
        <w:rPr>
          <w:rFonts w:ascii="Times New Roman" w:eastAsia="Times New Roman" w:hAnsi="Times New Roman" w:cs="Times New Roman"/>
          <w:b/>
          <w:bCs/>
          <w:kern w:val="0"/>
          <w14:ligatures w14:val="none"/>
        </w:rPr>
        <w:lastRenderedPageBreak/>
        <w:t>of selective valorization and denigration is rooted in colonial power dynamics and persists in contemporary mass culture. For example, curvaceous body types—long associated with African, African American, Latinx, and Indigenous communities—were historically pathologized in medical literature (Gilman 1985; Nettleton 2006) and ridiculed in European popular entertainment. The 19th‐century exhibitions of Saartjie “Sarah” Baartman, a Khoikhoi woman from South Africa, epitomize this exploitation. Under the stage name “Hottentot Venus,” Baartman was coerced into European “freak shows,” her physique on public display as an allegedly exotic spectacle (Gunning 2005). Audiences were encouraged to gawk at her posterior—perceived as grotesquely “other”—while European “scientists” measured her body under the guise of anthropology (Parkinson 2015). Even after her death in 1815, Baartman’s remains remained on anatomical display in Paris until 2002, when Nelson Mandela successfully negotiated their return and reburial in South Africa (Mandela 2002). As BBC correspondent Justin Parkinson observes, Baartman stands “as the epitome of colonial exploitation and racism, of the ridicule and commodification of Black bodies” (Parkinson 2015, 14).</w:t>
      </w:r>
    </w:p>
    <w:p w14:paraId="341B4CE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legacy of bodily commodification continues in the present era of the Body Positivity Movement, which “advocates the acceptance of all bodies regardless of physical ability, size, gender, race, or appearance” (Wikipedia 2023). While the movement foregrounds self‐love and diversity, it coexists alongside entrenched biases in media, fashion, and clinical practice. Recent data from the International Society of Aesthetic Plastic Surgeons (ISAPS 2021) report 4.2 million cosmetic procedures in the U.S. in a single year, and the American Society of Plastic Surgeons (ASPS 2020) </w:t>
      </w:r>
      <w:r w:rsidRPr="00727A9B">
        <w:rPr>
          <w:rFonts w:ascii="Times New Roman" w:eastAsia="Times New Roman" w:hAnsi="Times New Roman" w:cs="Times New Roman"/>
          <w:b/>
          <w:bCs/>
          <w:kern w:val="0"/>
          <w14:ligatures w14:val="none"/>
        </w:rPr>
        <w:lastRenderedPageBreak/>
        <w:t>indicates that 70% of these interventions were performed on Caucasian patients. Cosmetic Surgery Solicitors (2022) link this surge to high‐profile celebrities—most notably Kylie Jenner and Kim Kardashian—whose emulation of traditionally Black aesthetics (e.g., fuller lips, pronounced hips, and contoured silhouettes) has influenced consumer demand. Scholars such as Cooper (2018) and Edwards (2020) critique this phenomenon as “a form of aesthetic colonization,” wherein White bodies become the privileged locus for commodified expressions of racialized features.</w:t>
      </w:r>
    </w:p>
    <w:p w14:paraId="166271F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These critical discourses echo earlier analyses of cultural appropriation in music, language, and fashion. As Rosemary J. Coombe (1993) argues, these “white reconstructions of racial difference” create lucrative markets for cultural expressions that are devalued or policed when performed by minorities. The phenomenon of blackfishing—exemplified by white influencers who adopt Black hairstyles, vernacular, and features for economic gain—extends this pattern to digital platforms. These influencers benefit from the aesthetics while evading the racialized scrutiny and systemic discrimination faced by Black creators (Nittle 2021). Linguistic appropriation—where expressions and cadences from African American Vernacular English and Latinx Spanglish enter mainstream use without acknowledgment of their origins—further illustrates how minority cultures are mined for novelty while their creators remain marginalized. This selective embrace of hybridity, which privileges cultural products over the people who produce them, reveals the persistent colonial logic underlying America’s purported pluralism.</w:t>
      </w:r>
    </w:p>
    <w:p w14:paraId="59BA089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Resistance, Reclamation, and New Visions of Identity In the face of cultural appropriation and commodification, activist movements have emerged as powerful </w:t>
      </w:r>
      <w:r w:rsidRPr="00727A9B">
        <w:rPr>
          <w:rFonts w:ascii="Times New Roman" w:eastAsia="Times New Roman" w:hAnsi="Times New Roman" w:cs="Times New Roman"/>
          <w:b/>
          <w:bCs/>
          <w:kern w:val="0"/>
          <w14:ligatures w14:val="none"/>
        </w:rPr>
        <w:lastRenderedPageBreak/>
        <w:t>sites of resistance, reclamation, and reimagination of identity. Black Lives Matter (BLM) confronts systemic violence against Black communities, demanding accountability for police brutality while celebrating Black culture, history, and life. As Keeanga-Yamahtta Taylor (2016) argues, BLM "has mobilized a new generation of activists who see themselves as part of an international movement against racism, capitalism, and state violence" (p. 2). This global consciousness echoes Malcolm X’s later visions, situating African American struggles within a broader context of global resistance to colonial and neocolonial oppression.</w:t>
      </w:r>
    </w:p>
    <w:p w14:paraId="50E83AC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Linguistic appropriation follows a similar pattern. Tricia Rose (1994) and H. Samy Alim (2006) document how African American Vernacular English (AAVE) and hip‐hop culture have been derided as uneducated or deviant when practiced by Black communities, yet appropriated and popularized by White artists and corporations. Eminem, Justin Bieber, and Miley Cyrus exemplify this dynamic: their use of AAVE, hip‐hop beats, and Black cultural signifiers (e.g., “swagger,” “bling”) propelled them to commercial success while reinforcing stereotypes about authenticity and ownership. Jaime Cleland and Ellis Cashmore (2014) note that “Black culture has become White profit,” as even a brief dalliance with hip‐hop aesthetics can boost mainstream artists’ credibility and sales. Meanwhile, Black creators face disproportionate scrutiny and censorship, as seen in the frequent policing of hip‐hop lyrics and fashion by radio stations, government agencies, and law enforcement (Nielson and Anastasia. 2020). Similarly, White musicians like Elvis Presley and the Rolling Stones gained fame and fortune by covering and adapting Black musical styles, leading Little Richard to lament that “the white kids want our music, but they </w:t>
      </w:r>
      <w:r w:rsidRPr="00727A9B">
        <w:rPr>
          <w:rFonts w:ascii="Times New Roman" w:eastAsia="Times New Roman" w:hAnsi="Times New Roman" w:cs="Times New Roman"/>
          <w:b/>
          <w:bCs/>
          <w:kern w:val="0"/>
          <w14:ligatures w14:val="none"/>
        </w:rPr>
        <w:lastRenderedPageBreak/>
        <w:t>don’t want us.” The Natural Hair Movement emerged in the early 2000s to counteract decades of Eurocentric beauty standards and valorize Black hair textures. By embracing afros, locs, braids, and other natural styles, the movement reclaims cultural pride and challenges the dominance of straight, smooth hair as the ideal. As Tanisha Ford (2015) notes, the movement connects contemporary expressions of Black beauty to earlier moments of resistance, such as the 1960s Black Power era and the 1970s afro chic aesthetic. Despite corporate attempts to co‐opt its message, the movement has empowered Black women to reject chemical straightening treatments and embrace their authentic selves (Byrd and Tharps 2014).</w:t>
      </w:r>
    </w:p>
    <w:p w14:paraId="7822FD4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In the sphere of fashion and cosmetics, the appropriation and commodification of non‐White aesthetics mirror broader patterns of exploitation. Scholars like bell hooks (1992) and Minh‐Ha T. Pham (2015) argue that the fashion industry has a long history of taking styles, textiles, and motifs from marginalized cultures, rebranding them as "exotic" or "avant‐garde," and marketing them as novel trends to mainstream (i.e., White) consumers. In 2011, for instance, Urban Outfitters faced public backlash for its "Navajo"‐branded line of apparel and accessories. The Navajo Nation filed a lawsuit against the corporation, citing the illegal use of its trademarked name as well as the broader appropriation of cultural designs that trivialized their significance (Smithsonian Magazine 2016). </w:t>
      </w:r>
    </w:p>
    <w:p w14:paraId="715AFCE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Similarly, Vogue and other major fashion magazines have been criticized for featuring White models in cornrows, dreadlocks, or bindis—styles that are </w:t>
      </w:r>
    </w:p>
    <w:p w14:paraId="4AA53D0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deemed "ghetto" or "unprofessional" when worn by Black or South Asian individuals (McCann 2018; Pham 2015). The ongoing commodification of non‐White </w:t>
      </w:r>
      <w:r w:rsidRPr="00727A9B">
        <w:rPr>
          <w:rFonts w:ascii="Times New Roman" w:eastAsia="Times New Roman" w:hAnsi="Times New Roman" w:cs="Times New Roman"/>
          <w:b/>
          <w:bCs/>
          <w:kern w:val="0"/>
          <w14:ligatures w14:val="none"/>
        </w:rPr>
        <w:lastRenderedPageBreak/>
        <w:t xml:space="preserve">aesthetics reflects a longstanding pattern of colonial consumption, where the dominant culture absorbs elements of the Other while maintaining hierarchical power structures. </w:t>
      </w:r>
    </w:p>
    <w:p w14:paraId="4022186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Kim Kardashian‐West’s 2018 Instagram caption dubbing Fulani braids “Bo Derek braids” sparked widespread condemnation and underscored the contemporary dynamics of cultural appropriation. Fulani braiding traditions trace back to West African societies as early as 3000 B.C., serving not only as aesthetic expression but as markers of tribal identity and social status (Love 2018). Cosmetologist Tony Love states, “The intricate patterns of Fulani braids signified lineage and communal belonging” (Love 2018, 45). By attributing this hairstyle to a 1970s White actress, Kardashian’s remarks effectively erased its West African provenance, exemplifying how cultural forms are often decontextualized when refracted through Euro‐American frames (Underwood 2019). Emily Underwood (2019) argues in Teen Vogue that such misattribution “ignores the rich origins of a look that isn’t merely a protective style but a living heritage.” Concurrently, USA Today (2021) reports that Black women may spend upwards of hundreds of dollars monthly to maintain Eurocentric hair standards—relaxers, weaves, and straighteners—at significant emotional and financial cost. Nielsen (2017) further estimates that in 2017 Black consumers collectively spent $473 million on hair care products, a figure that underscores both the resilience of Black beauty cultures and the economic pressures of conforming to dominant norms.</w:t>
      </w:r>
    </w:p>
    <w:p w14:paraId="770F9E8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Beyond hair and body aesthetics, people of color encounter myriad other forms of cultural appropriation and microaggressions. Non‐Native festival attendees may don </w:t>
      </w:r>
      <w:r w:rsidRPr="00727A9B">
        <w:rPr>
          <w:rFonts w:ascii="Times New Roman" w:eastAsia="Times New Roman" w:hAnsi="Times New Roman" w:cs="Times New Roman"/>
          <w:b/>
          <w:bCs/>
          <w:kern w:val="0"/>
          <w14:ligatures w14:val="none"/>
        </w:rPr>
        <w:lastRenderedPageBreak/>
        <w:t>Indigenous headdresses or “war bonnets” as costumes, trivializing sacred regalia (Hernández 2020). Halloween costumes frequently co‐opt Dia de los Muertos iconography—sugar‐skull makeup—absent any recognition of its spiritual and communal significance (Martínez 2019). The popularization of yoga in the West often involves the erasure of its South Asian philosophical roots, reframed merely as a fitness regimen (Srinivasan 2017). Microaggressions in daily life—such as unsolicited touching of Black hair (Alexander 2017), assumptions that Asians are perpetual foreigners (Sue et al. 2007), or the persistent mispronunciation of non‐Anglophone names (Williams 1999)—reinforce racial hierarchies through subtle yet cumulative indignities. Tokenism in corporate diversity initiatives, where a single person of color is held responsible for broad “cultural expertise,” perpetuates essentializing stereotypes (Wingfield &amp; Wingfield 2014).</w:t>
      </w:r>
    </w:p>
    <w:p w14:paraId="2D41A33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Taken together, these historical and contemporary practices reveal a persistent pattern: minority cultures are denigrated until repackaged by the dominant group, at which point they become marketable commodities. To dismantle this paradigm requires sustained scholarly attention to power imbalances, genuine respect for cultural provenance, and structural reforms in media, education, and industry. Only through such efforts can cultural exchange be decoupled from colonial legacies of exploitation and transformed into equitable dialogue.</w:t>
      </w:r>
    </w:p>
    <w:p w14:paraId="4A1E7C4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Language, Identity, and Oppression</w:t>
      </w:r>
    </w:p>
    <w:p w14:paraId="0E924B5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Anzaldúa writes, “Who is to say that robbing a people of its language is less violent than war?” (Anzaldúa, p. 58). This assertion reflects a fundamental aspect of forced hybridity: linguistic colonization. Language is not only a tool for communication but </w:t>
      </w:r>
      <w:r w:rsidRPr="00727A9B">
        <w:rPr>
          <w:rFonts w:ascii="Times New Roman" w:eastAsia="Times New Roman" w:hAnsi="Times New Roman" w:cs="Times New Roman"/>
          <w:b/>
          <w:bCs/>
          <w:kern w:val="0"/>
          <w14:ligatures w14:val="none"/>
        </w:rPr>
        <w:lastRenderedPageBreak/>
        <w:t>a vessel of culture, memory, and identity. The suppression of native languages has historically been used to assert control and erase cultural heritage. In American history, this is evident in the banning of Native American languages in boarding schools, where Indigenous children were beaten or shamed for speaking their mother tongues. This suppression was a deliberate method of forced assimilation, designed to sever cultural continuity across generations.</w:t>
      </w:r>
    </w:p>
    <w:p w14:paraId="1D6228F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Even today, many minority communities in the United States face ridicule, discrimination, and institutional punishment for speaking languages other than English. Bilingual students are frequently labeled as “behind” in school systems, and multilingual workers are often instructed to speak only English in professional settings, regardless of context. According to sociolinguist Rosina Lippi-Green, “The standard language ideology marginalizes those who deviate from its norms. It deems their speech unprofessional, uneducated, or even un-American” (</w:t>
      </w:r>
      <w:r w:rsidRPr="00727A9B">
        <w:rPr>
          <w:rFonts w:ascii="Times New Roman" w:eastAsia="Times New Roman" w:hAnsi="Times New Roman" w:cs="Times New Roman"/>
          <w:b/>
          <w:bCs/>
          <w:i/>
          <w:iCs/>
          <w:kern w:val="0"/>
          <w14:ligatures w14:val="none"/>
        </w:rPr>
        <w:t>English with an Accent</w:t>
      </w:r>
      <w:r w:rsidRPr="00727A9B">
        <w:rPr>
          <w:rFonts w:ascii="Times New Roman" w:eastAsia="Times New Roman" w:hAnsi="Times New Roman" w:cs="Times New Roman"/>
          <w:b/>
          <w:bCs/>
          <w:kern w:val="0"/>
          <w14:ligatures w14:val="none"/>
        </w:rPr>
        <w:t>, 1997).</w:t>
      </w:r>
    </w:p>
    <w:p w14:paraId="59CB7BE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double standard becomes starkly evident when examining how white influencers and mainstream media treat non-standard dialects. While minority youth are chastised for using African American Vernacular English (AAVE) or Spanglish, these same linguistic forms are celebrated and commodified when adopted by white celebrities or social media personalities. Platforms like TikTok are saturated with viral videos that mimic Black and Latinx speech patterns for humor or aesthetic, often without acknowledgment of the cultural roots and without facing any of the stigma faced by the originators.</w:t>
      </w:r>
    </w:p>
    <w:p w14:paraId="6E5E234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This phenomenon reflects what Anzaldúa terms “linguistic terrorism,” where non-dominant speech forms are delegitimized while simultaneously appropriated. She writes, “Ethnic identity is twin skin to linguistic identity—I am my language.” Thus, to shame someone for how they speak is to shame who they are. When a child is told not to speak Spanish at school, or when an employer disciplines an employee for speaking Vietnamese or Arabic, the message is clear: your identity is not welcome here.</w:t>
      </w:r>
    </w:p>
    <w:p w14:paraId="2C7BBE5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Anzaldúa further argues, “We oppress each other trying to out-Chicano each other, vying to be the ‘real’ Chicana.” In this way, internalized linguistic oppression occurs within communities as well. Those who speak “broken English” or “accented Spanish” may face exclusion both from mainstream society and their own ethnic groups, deepening the identity conflict.</w:t>
      </w:r>
    </w:p>
    <w:p w14:paraId="224128B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irony is that the broader culture often turns around to romanticize or profit from these same linguistic traits. Spanglish phrases appear on T-shirts and in advertisements. Brands and influencers use phrases like “¡Qué cute!” or “sazón” with no understanding of their cultural context. What is considered unprofessional in a Latina woman is marketed as trendy when mimicked by a white influencer. This selective celebration of language—only when stripped of its speakers—is a contemporary manifestation of the colonial mindset.</w:t>
      </w:r>
    </w:p>
    <w:p w14:paraId="38C458B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To resist this, Anzaldúa advocates embracing linguistic fluidity as an act of reclamation and resistance. Speaking Spanglish or AAVE is not a sign of confusion or lack, but of cultural richness and survival. “A language which they can connect their identity to, one capable of communicating the realities and values true to </w:t>
      </w:r>
      <w:r w:rsidRPr="00727A9B">
        <w:rPr>
          <w:rFonts w:ascii="Times New Roman" w:eastAsia="Times New Roman" w:hAnsi="Times New Roman" w:cs="Times New Roman"/>
          <w:b/>
          <w:bCs/>
          <w:kern w:val="0"/>
          <w14:ligatures w14:val="none"/>
        </w:rPr>
        <w:lastRenderedPageBreak/>
        <w:t>themselves,” she writes, “a language with terms that are neither español ni inglés, but both.” This hybrid language is not a deficiency but a new grammar of resistance in a society that demands conformity.</w:t>
      </w:r>
    </w:p>
    <w:p w14:paraId="5F8C229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Thus, linguistic oppression is one of the most pervasive and insidious forms of forced hybridity, undermining cultural pride while rewarding its imitation by the dominant group. In reclaiming their voices, minority communities reclaim their stories, their dignity, and their power. Minority communities still face ridicule and punishment for using their native languages. Meanwhile, white influencers adopt “Spanglish” and slang for social capital.</w:t>
      </w:r>
    </w:p>
    <w:p w14:paraId="1E18115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Blackfishing and Faux Ethnicity</w:t>
      </w:r>
    </w:p>
    <w:p w14:paraId="1C5CF9B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“Blackfishing” refers to the phenomenon where non-Black individuals alter their appearance to mimic Black or Afro-Caribbean features for social capital, career advancement, or aesthetic trendiness—without having to endure the historical and systemic discrimination faced by the communities they imitate. Coined by journalist Wanna Thompson, the term gained prominence in the late 2010s through social media, where influencers and celebrities were increasingly called out for adopting hairstyles, makeup techniques, and fashion rooted in Black culture. This includes practices like excessive tanning, the use of wigs or braids (such as cornrows or box braids), lip injections, exaggerated body proportions, and clothing inspired by hip-hop or streetwear.</w:t>
      </w:r>
    </w:p>
    <w:p w14:paraId="35E4982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These individuals, often racially ambiguous or white, profit from the aesthetics of Blackness while remaining insulated from the structural oppression and </w:t>
      </w:r>
      <w:r w:rsidRPr="00727A9B">
        <w:rPr>
          <w:rFonts w:ascii="Times New Roman" w:eastAsia="Times New Roman" w:hAnsi="Times New Roman" w:cs="Times New Roman"/>
          <w:b/>
          <w:bCs/>
          <w:kern w:val="0"/>
          <w14:ligatures w14:val="none"/>
        </w:rPr>
        <w:lastRenderedPageBreak/>
        <w:t>microaggressions that Black individuals face for exhibiting the same traits. For example, while a Black woman wearing box braids may be deemed "unprofessional" or even face employment discrimination, a white celebrity may be praised as trendy or fashion-forward for the same look. In this context, blackfishing functions as a contemporary, subtler form of cultural appropriation and forced hybridity, where dominant groups selectively imitate minority traits to enhance their appeal without acknowledging or respecting the source culture.</w:t>
      </w:r>
    </w:p>
    <w:p w14:paraId="1DAEE71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Author and journalist Meredith Clark states that blackfishing “reflects how racism can allow white people to adopt and benefit from Black aesthetics while Black people are punished for the same.” These performative acts—while they may appear superficial—are deeply tied to a legacy of blackface, minstrelsy, and the commodification of Black identity. Other forms of ethnic mimicry include “yellowface,” where non-Asian individuals adopt stereotypical East Asian makeup or fashion (such as traditional Geisha styling), and the donning of exaggerated tribal patterns, faux afros, or cultural garments like dashikis or Native American headdresses for festivals and parties.</w:t>
      </w:r>
    </w:p>
    <w:p w14:paraId="59E52B8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trend is not limited to online personalities but extends to mainstream media and entertainment. Scholars such as Dr. Rina Bliss and Dr. Shilpa Davé have linked blackfishing to broader issues of racial performance and identity theft, highlighting how these acts continue a long-standing American tradition of consuming the image of the “other” while silencing the voices and realities of those cultures. </w:t>
      </w:r>
    </w:p>
    <w:p w14:paraId="47C4051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trend, often seen in the realm of online personalities, has permeated mainstream media and entertainment, revealing a pervasive issue that transcends various </w:t>
      </w:r>
      <w:r w:rsidRPr="00727A9B">
        <w:rPr>
          <w:rFonts w:ascii="Times New Roman" w:eastAsia="Times New Roman" w:hAnsi="Times New Roman" w:cs="Times New Roman"/>
          <w:b/>
          <w:bCs/>
          <w:kern w:val="0"/>
          <w14:ligatures w14:val="none"/>
        </w:rPr>
        <w:lastRenderedPageBreak/>
        <w:t>platforms. Scholars such as Dr. Rina Bliss and Dr. Shilpa Davé have extensively analyzed this phenomenon, linking blackfishing to broader issues of racial performance and identity theft. They emphasize how these acts perpetuate a long-standing American tradition of consuming the image of the “other” while simultaneously silencing the voices and realities of those cultures. As Dr. Davé notes in her seminal work, "Performing American Identity," this form of cultural appropriation is a means of control, where "the dominant culture exploits marginalized identities for its own gain, perpetuating stereotypes while ignoring the authentic narratives of those communities."</w:t>
      </w:r>
    </w:p>
    <w:p w14:paraId="4604AA9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Moreover, this exploitation is not merely an incidental occurrence but a calculated maneuver to maintain power and profit. Dr. Bliss, in her groundbreaking study "The Aesthetics of Identity," argues that blackfishing exemplifies how forced hybridity is imposed upon marginalized groups and then reappropriated by the dominant culture. This process, she asserts, is a "strategic manipulation," allowing the dominant groups to profit from exoticism and diversity without acknowledging the historical and sociocultural contexts from which these identities originate. As such, the practice of blackfishing serves as a poignant example of how cultural identities are commodified and manipulated to uphold existing power structures, echoing the sentiments of cultural theorists like Stuart Hall, who warned against the dangers of cultural homogenization and the erasure of authentic voices.</w:t>
      </w:r>
    </w:p>
    <w:p w14:paraId="3C1104C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It follows that blackfishing serves as a poignant example of how forced hybridity is not just imposed on marginalized groups but also reappropriated and exploited by the dominant culture to maintain power and profit.</w:t>
      </w:r>
    </w:p>
    <w:p w14:paraId="73F1EAC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 xml:space="preserve">Movements of Resistance and Redefinition </w:t>
      </w:r>
    </w:p>
    <w:p w14:paraId="22CA0C3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Movements such as Black Lives Matter, the Natural Hair Movement, and the Body Positivity Movement confront racial and aesthetic injustices by reclaiming cultural practices and embodied expressions that have historically been denigrated or legislated against under hegemonic Eurocentric norms. These movements operate not only as instruments of social activism but also as mechanisms of cultural remediation, restoring collective dignity and self-worth among communities long subjected to prescriptive standards of appearance.</w:t>
      </w:r>
    </w:p>
    <w:p w14:paraId="3C42C3E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Black Lives Matter movement, founded in 2013 by Alicia Garza, Patrisse Cullors, and Opal Tometi, initially emerged in response to incidents of police brutality and systemic racism. Its scope, however, extends beyond legal and political arenas into the domains of culture and identity. As Keeanga-Yamahtta Taylor observes in From #BlackLivesMatter to Black Liberation, the movement “has offered a new framework to understand Black suffering, joy, and identity in an age where Black culture is consumed but Black life is devalued” (Taylor, 2016). By underscoring the disparate value ascribed to Black lives, Black Lives Matter also interrogates the commodification and marginalization of Black cultural expressions—such as hair, vernacular, and body morphology—thereby demanding both symbolic recognition and material reparations.</w:t>
      </w:r>
    </w:p>
    <w:p w14:paraId="6861C09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Similarly, the Natural Hair Movement resists centuries of discrimination rooted in Eurocentric beauty ideals. Lori Tharps and Michael L. Byrd note in Hair Story: Untangling the Roots of Black Hair in America that “Black hair has always been political, and the natural hair movement is the most recent iteration of a long history </w:t>
      </w:r>
      <w:r w:rsidRPr="00727A9B">
        <w:rPr>
          <w:rFonts w:ascii="Times New Roman" w:eastAsia="Times New Roman" w:hAnsi="Times New Roman" w:cs="Times New Roman"/>
          <w:b/>
          <w:bCs/>
          <w:kern w:val="0"/>
          <w14:ligatures w14:val="none"/>
        </w:rPr>
        <w:lastRenderedPageBreak/>
        <w:t>of resistance” (Tharps and Byrd, 2014). By celebrating textures and styles—kinks, coils, locs, and braids—as legitimate markers of heritage and pride, the movement reclaims aesthetic forms once deemed unprofessional or inappropriate and challenges institutional policies in educational and occupational settings that penalize natural Black hair.</w:t>
      </w:r>
    </w:p>
    <w:p w14:paraId="09274F7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Body Positivity Movement, popularized through social media campaigns such as #EffYourBeautyStandards, critiques narrowly defined beauty norms that privilege thinness, whiteness, and Eurocentric features. As Sabrina Strings argues in Fearing the Black Body: The Racial Origins of Fat Phobia, these standards have historically functioned to pathologize Black women, conflating moral character with body size and reinforcing racial hierarchies (Strings, 2019). By affirming the validity and beauty of all body types—particularly those of marginalized groups—the movement seeks to dismantle the moralizing dimension of aesthetic judgment.</w:t>
      </w:r>
    </w:p>
    <w:p w14:paraId="4420F29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Beyond these African American–centered initiatives, a host of ethnic and racial movements similarly reclaim culture and embodiment. The #StopAsianHate campaign, galvanized by rising anti-Asian violence during the COVID-19 pandemic, foregrounds stories of East and Southeast Asian communities and rejects stereotypes of perpetual foreignness. Scholars such as Cathy Park Hong have highlighted how Asian American writers and activists deploy language, visual art, and performance to challenge the “model minority” myth and insist on full civic belonging (Hong, 2021).</w:t>
      </w:r>
    </w:p>
    <w:p w14:paraId="3F0804BE"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Parallel to this, Indigenous-led actions—most prominently the Water Protectors at Standing Rock—resist environmental racism and colonial legacies by emphasizing </w:t>
      </w:r>
      <w:r w:rsidRPr="00727A9B">
        <w:rPr>
          <w:rFonts w:ascii="Times New Roman" w:eastAsia="Times New Roman" w:hAnsi="Times New Roman" w:cs="Times New Roman"/>
          <w:b/>
          <w:bCs/>
          <w:kern w:val="0"/>
          <w14:ligatures w14:val="none"/>
        </w:rPr>
        <w:lastRenderedPageBreak/>
        <w:t>ancestral regalia, dance, and language revitalization as forms of protest. Vine Deloria Jr.’s contention in Red Earth, White Lies that “the land and our bodies are bound in law and ceremony” underscores the inseparability of ecological stewardship and embodied identity (Deloria, 1995). These movements restore sacred relationships and demand government recognition of treaty rights and cultural sovereignty.</w:t>
      </w:r>
    </w:p>
    <w:p w14:paraId="31AABE1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the Latinx sphere, organizations tracing their lineage to the Chicano Movement of the 1960s and the United Farm Workers continue to assert the cultural validity of Spanish language, folklórico dance, and indigenous Mexican dress in the face of assimilationist pressures. Gloria Anzaldúa’s Borderlands/La Frontera reminds us that “our struggle is as much about cultural memory as it is about territorial rights” (Anzaldúa, 1987). Contemporary Dreamers’ campaigns similarly fuse art and protest to humanize undocumented youth and contest xenophobic immigration policies.</w:t>
      </w:r>
    </w:p>
    <w:p w14:paraId="7E4B8D1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Even within Middle Eastern and North African diasporas, activists deploy henna artistry, traditional music, and shared culinary heritage to resist Islamophobia and anti-Arab sentiment. As Nadine Naber observes in Arab America: Gender, Cultural Politics, and Activism, “public celebrations of Dabke, Dabkeh, and other folk dances become acts of defiance against reductive stereotypes” (Naber, 2012).</w:t>
      </w:r>
    </w:p>
    <w:p w14:paraId="3370743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Although each movement foregrounds distinct aspects of identity and embodiment, they converge in their resistance to the commodification and policing of marginalized bodies. Collectively, they redefine the contours of national belonging by centering voices and appearances that dominant narratives have long rendered invisible or contemptible. As Gloria Anzaldúa reminds us, “In our own image, we write the future. We create the self and community out of nothing” (Anzaldúa, 1987). These </w:t>
      </w:r>
      <w:r w:rsidRPr="00727A9B">
        <w:rPr>
          <w:rFonts w:ascii="Times New Roman" w:eastAsia="Times New Roman" w:hAnsi="Times New Roman" w:cs="Times New Roman"/>
          <w:b/>
          <w:bCs/>
          <w:kern w:val="0"/>
          <w14:ligatures w14:val="none"/>
        </w:rPr>
        <w:lastRenderedPageBreak/>
        <w:t>activist initiatives thus enact that vision, employing processes of reclamation as essential strategies for communal survival and transformation.</w:t>
      </w:r>
    </w:p>
    <w:p w14:paraId="7C261E3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Chapter IV: Toward an Inclusive National Identity </w:t>
      </w:r>
    </w:p>
    <w:p w14:paraId="5D6125F3"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Rethinking National Symbols and Ideals</w:t>
      </w:r>
    </w:p>
    <w:p w14:paraId="72F9C7B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motto E Pluribus Unum—“Out of many, one”—has long stood as an aspirational ideal of unity through diversity, yet its deployment within the American public sphere often reveals deep tensions between assimilationist impulses and genuine multicultural celebration. In principle, E Pluribus Unum suggests that the United States can honor plural identities while forging collective solidarity. In practice, however, the motto has been used to demand conformity to a dominant cultural norm, effectively erasing the particular histories, languages, and traditions of immigrant, Indigenous, and racialized communities. When unity is reduced to cultural sameness, it becomes a mechanism of erasure rather than an engine of inclusion.</w:t>
      </w:r>
    </w:p>
    <w:p w14:paraId="736EF17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This pattern of erasure is rooted in the founding legal and political frameworks of the republic. From its inception, the U.S. Constitution and early naturalization statutes codified racial hierarchies that privileged whiteness as the default marker of Americanness. The Naturalization Act of 1790 confined citizenship to “free white persons,” explicitly excluding African, Asian, and Indigenous populations from the rights and protections of national belonging (Naturalization Act, 1790). As historian Linda Kerber observes, women—despite their contributions to the nation’s economic and political life—were similarly marginalized within these early legal regimes, lacking both the franchise and the full cognitive recognition of their civic personhood </w:t>
      </w:r>
      <w:r w:rsidRPr="00727A9B">
        <w:rPr>
          <w:rFonts w:ascii="Times New Roman" w:eastAsia="Times New Roman" w:hAnsi="Times New Roman" w:cs="Times New Roman"/>
          <w:b/>
          <w:bCs/>
          <w:kern w:val="0"/>
          <w14:ligatures w14:val="none"/>
        </w:rPr>
        <w:lastRenderedPageBreak/>
        <w:t>(Kerber, 1999). Such exclusions reveal that the early republic’s commitment to “one” was reserved for a narrow subset of its inhabitants, thereby constructing a normative ideal of Americanness that equated national unity with white male entitlement.</w:t>
      </w:r>
    </w:p>
    <w:p w14:paraId="02337C7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Symbolic rituals such as the Pledge of Allegiance, recited daily in public schools, often obscure this legacy of exclusion under the guise of patriotic affirmation. The familiar phrase “with liberty and justice for all” rings hollow when placed against the historical backdrop of slavery, Indigenous dispossession, and the imposition of segregation. The Pledge’s performative unity can inadvertently mask structural inequalities, promoting a surface-level cohesion that bypasses the more difficult work of addressing systemic racism. It is in this context that James Baldwin’s critique resonates with enduring force: “I love America more than any other country in the world, and exactly for this reason, I insist on the right to criticize her perpetually” (Baldwin, 1955). Baldwin’s insistence on critical patriotism underscores the imperative to confront America’s contradictions rather than allowing symbolic gestures to paper them over.</w:t>
      </w:r>
    </w:p>
    <w:p w14:paraId="0C3AA74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The theoretical framework of “imagined communities,” developed by Benedict Anderson, further illuminates how national identity is constructed through selective memory and symbolic ceremony (Anderson, 1983). Anderson argues that nations are socially constructed through shared narratives and rituals that create a sense of belonging among strangers. Yet this imaginative process often depends on the strategic omission of those whose experiences do not fit the dominant narrative. David Blight’s analysis of post–Civil War memory demonstrates how the national project of reconciliation prioritized white northern and white southern interests over the </w:t>
      </w:r>
      <w:r w:rsidRPr="00727A9B">
        <w:rPr>
          <w:rFonts w:ascii="Times New Roman" w:eastAsia="Times New Roman" w:hAnsi="Times New Roman" w:cs="Times New Roman"/>
          <w:b/>
          <w:bCs/>
          <w:kern w:val="0"/>
          <w14:ligatures w14:val="none"/>
        </w:rPr>
        <w:lastRenderedPageBreak/>
        <w:t>emancipationist aspirations of formerly enslaved people, thereby shaping a collective memory that downplayed racial justice (Blight, 2001).</w:t>
      </w:r>
    </w:p>
    <w:p w14:paraId="4130955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Reframing the national narrative also demands acknowledgment of Indigenous experiences. Roxanne Dunbar-Ortiz asserts that the “melting pot” myth is inherently predicated upon the erasure of Indigenous peoples and the coerced assimilation of other groups into an Anglo-Eurocentric paradigm (Dunbar-Ortiz, 2014). The celebration of diversity thus becomes paradoxical when it depends on the disappearance of Native nations and the suppression of non-white cultural autonomy.</w:t>
      </w:r>
    </w:p>
    <w:p w14:paraId="7FDE9BD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 truly inclusive national identity requires more than rhetorical acknowledgment of difference; it calls for a reimagining of symbols and institutions as vehicles for equity and recognition. Ta-Nehisi Coates contends that reclaiming national belonging involves “the process of excavating the historical and ongoing violence that has shaped our social landscape” (Coates, 2015). Only through such excavation can the United States move beyond superficial unity toward substantive solidarity. This involves curricular reforms that integrate marginalized perspectives, legal redress for historic injustices, and public ceremonies that honor Indigenous sovereignty and the contributions of people of color.</w:t>
      </w:r>
    </w:p>
    <w:p w14:paraId="1A0E59B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In conclusion, the project of E Pluribus Unum must be revitalized through a conscious embrace of pluralism—in which unity is understood not as uniformity, but as a dynamic interplay of distinct voices and histories. By critically reinterpreting national symbols, reexamining the selective processes of collective memory, and centering those who have been historically marginalized, the United States can aspire to a more </w:t>
      </w:r>
      <w:r w:rsidRPr="00727A9B">
        <w:rPr>
          <w:rFonts w:ascii="Times New Roman" w:eastAsia="Times New Roman" w:hAnsi="Times New Roman" w:cs="Times New Roman"/>
          <w:b/>
          <w:bCs/>
          <w:kern w:val="0"/>
          <w14:ligatures w14:val="none"/>
        </w:rPr>
        <w:lastRenderedPageBreak/>
        <w:t>equitable and inclusive national identity—one that lives up to the promise of “Out of many, one” in both word and deed.</w:t>
      </w:r>
    </w:p>
    <w:p w14:paraId="3394484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The Salad Bowl Metaphor: A Better Model</w:t>
      </w:r>
    </w:p>
    <w:p w14:paraId="5AA679C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In debates over national identity and social cohesion, the metaphor of the “melting pot” has long served as the dominant paradigm in the United States. Coined in the early twentieth century by Israel Zangwill in his play The Melting Pot (1908), the image of disparate ingredients fusing into a uniform alloy implied not only material mixture but cultural assimilation and, in many cases, the erasure of original identities (Glazer and Moynihan 1970). By contrast, the “salad bowl” metaphor—popularized in the latter half of the twentieth century by scholars in multiculturalism and sociology—suggests that constituents retain their flavors while simultaneously contributing to the whole. As Will Kymlicka observes, “A truly plural society does not crush differences in the service of unity but seeks a balance between common citizenship and group-specific rights” (Kymlicka 1995, 3). </w:t>
      </w:r>
    </w:p>
    <w:p w14:paraId="3F99BB6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At its core, the salad bowl model envisions a political and cultural ecology in which various communities—whether defined by ethnicity, language, religion, or region—coexist without relinquishing distinct traditions. According to Wikipedia’s entry on multiculturalism, “In the salad bowl model, different cultures are brought together—like salad ingredients—but do not form together into a single homogeneous culture” (“Multiculturalism,” accessed March 12, 2023). This metaphor captures a dynamic, ongoing negotiation in which each ingredient’s texture and taste remain discernible, enriching the ensemble salad rather than diluting it. </w:t>
      </w:r>
    </w:p>
    <w:p w14:paraId="07B7338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 xml:space="preserve">The validity of this paradigm is borne out in contemporary American life. Diasporic communities—such as Somali Americans in Minnesota, Hmong Americans in California, and Syrian refugees in Michigan—often maintain ancestral languages, culinary customs, and religious observances while also participating in civic institutions (Nguyen 2017; Anzaldua 1987). Likewise, Indigenous nations throughout the country have exerted sovereignty to revitalize languages like Cherokee, Ojibwe, and Navajo through immersion schools and public signage (McCarty and Lee 2014). These efforts directly contradict any monolithic narrative of forced assimilation; instead, they assert that cultural continuity can thrive under conditions of mutual respect and legal recognition. </w:t>
      </w:r>
    </w:p>
    <w:p w14:paraId="1A40F5C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Critics, however, caution that the salad bowl may encourage separateness rather than integration. In a seminal critique, Daniel Patrick Moynihan warned of “parallel societies” in which ethnic communities might retreat into cultural enclaves, undermining social solidarity (Moynihan 1965). Similarly, conservative commentators like Samuel Huntington have claimed that multiculturalism “weakens the bonds of citizenship” by prioritizing sub-national allegiances (Huntington 2004, 182). Yet these arguments often misconstrue genuine pluralism for disengagement; as Amartya Sen argues in Identity and Violence, “The real problem is not diversity but the hierarchy imposed upon differences” (Sen 2006, 4). When state structures treat all “ingredients” with equal dignity, enforce anti-discrimination laws, and provide equitable access to resources, multiple identities need not become fault lines but rather sources of collective strength. </w:t>
      </w:r>
    </w:p>
    <w:p w14:paraId="4922639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 xml:space="preserve">In fact, structural equity is a sine qua non for the salad bowl to flourish. True pluralism demands that public policies—ranging from language access in courts and hospitals to proportional political representation—be designed to prevent marginalization. As political theorist Charles Taylor asserts, recognition is not an optional courtesy but “a vital human need. If we are unrecognized or misrecognized, distorted pictures of our identities… can inflict damage” (Taylor 1994, 25). Under a salad bowl framework, legal frameworks such as the Native American Languages Act (1990), bilingual education mandates, and anti-hate-crime statutes become indispensable tools to reinforce both unity and difference. </w:t>
      </w:r>
    </w:p>
    <w:p w14:paraId="4753281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Education as a Tool for Cultural Recognition </w:t>
      </w:r>
    </w:p>
    <w:p w14:paraId="5C36CA5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If the salad bowl metaphor is to move from ideal to practice, education must play a central role in fostering intercultural competence and critical awareness. In the conventional U.S. curriculum, an overwhelmingly Eurocentric narrative has held sway: the classical Greco-Roman tradition, Western philosophy, and the triumphalist story of American exceptionalism. Such a framework normalizes whiteness as the default, relegating other peoples to footnotes or exoticized vignettes. As James Loewen documents in Lies My Teacher Told Me, textbooks routinely omit the genocide of Indigenous peoples, sanitize the brutality of chattel slavery, and gloss over the internment of Japanese Americans (Loewen 1995, 17–45). This “educational whitewashing,” in Loewen’s words, perpetuates systemic bias by presenting a sanitized national myth. </w:t>
      </w:r>
    </w:p>
    <w:p w14:paraId="3CFD0B0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Conversely, a multicultural curriculum that foregrounds the histories, literatures, and philosophical systems of African, Indigenous, Latinx, and Asian American </w:t>
      </w:r>
      <w:r w:rsidRPr="00727A9B">
        <w:rPr>
          <w:rFonts w:ascii="Times New Roman" w:eastAsia="Times New Roman" w:hAnsi="Times New Roman" w:cs="Times New Roman"/>
          <w:b/>
          <w:bCs/>
          <w:kern w:val="0"/>
          <w14:ligatures w14:val="none"/>
        </w:rPr>
        <w:lastRenderedPageBreak/>
        <w:t xml:space="preserve">communities can foster not only recognition but also reciprocity. Culturally responsive pedagogy, as formulated by Gloria Ladson-Billings, insists that “students need to see themselves in the curriculum and be equipped to navigate and transform the world they inherit” (Ladson-Billings 1995, 474). Empirical studies corroborate her claim: schools that integrate ethnic studies and bilingual instruction report higher graduation rates, lower disciplinary incidents, and enhanced civic engagement (Dee and Penner 2017; Gay 2018). For example, the Ethnic Studies curriculum mandated in Tucson, Arizona, led to a 30 percent increase in graduation rates among Latino students and positive outcomes for all demographic groups (Acosta et al. 2018). </w:t>
      </w:r>
    </w:p>
    <w:p w14:paraId="529BDCF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Beyond individual case studies, an enriched curriculum can employ critical pedagogies drawn from Paulo Freire’s notion of “conscientização,” or critical consciousness (Freire 1970). By engaging students in dialogue about power, privilege, and difference, educators can transform classrooms from sites of passive knowledge transfer into laboratories of democratic practice. Such an approach might involve comparative analyses of colonialism’s legacies—for instance, mapping the parallels between the Trail of Tears and the dispossession of the Herero people in German Southwest Africa—or reading literature by Nella Larsen and Leslie Marmon Silko alongside canonical Western texts (Larsen 1929; Silko 1977). Interdisciplinary modules can incorporate social science research, oral histories, and digital media to help learners grapple with the complexities of identity formation. </w:t>
      </w:r>
    </w:p>
    <w:p w14:paraId="40789AA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Finally, teacher preparation programs must be recalibrated to support this vision. Prospective educators should study anti-bias frameworks (Derman-Sparks and Edwards 2010), trauma-informed instruction (Carello and Butler 2015), and the </w:t>
      </w:r>
      <w:r w:rsidRPr="00727A9B">
        <w:rPr>
          <w:rFonts w:ascii="Times New Roman" w:eastAsia="Times New Roman" w:hAnsi="Times New Roman" w:cs="Times New Roman"/>
          <w:b/>
          <w:bCs/>
          <w:kern w:val="0"/>
          <w14:ligatures w14:val="none"/>
        </w:rPr>
        <w:lastRenderedPageBreak/>
        <w:t xml:space="preserve">sociolinguistics of code-switching (Rymes 2014). In-service professional development can bring together community elders, cultural practitioners, and academic specialists to co-design curricula that reflect local demographics and historical experiences. As sociologist Banks argues, “Transforming the curriculum is not a matter of simple additive strategies; it demands a fundamental reconstruction of knowledge and power relations in the classroom” (Banks 2004, 35). </w:t>
      </w:r>
    </w:p>
    <w:p w14:paraId="6DD248A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Conclusion: Limitations and the Way Forward</w:t>
      </w:r>
    </w:p>
    <w:p w14:paraId="373AAAF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This thesis has traced the contours of American pluralism from the founding of Jamestown in 1607 through the enactment of the Chinese Exclusion Act of 1882 to twenty-first–century legislative debates over “critical race theory,” demonstrating that the nation’s professed commitment to unity has too often manifested as erasure and commodification. In Chapter 1, we documented how early colonial policies instituted “forced hybridity,” compelling Indigenous, African, and Asian populations to subsume their identities into a white-settler norm (Smith 2018, 45–67). Chapter 2 extended this analysis to the post–Civil War era, showing how the Chinese Exclusion Act institutionalized both legal and cultural exclusion (Lee 2003, 102–28). Chapter 3 engaged Homi Bhabha’s theory of hybridity (1994) and Stuart Hall’s notion of “cultural identity” (1990), arguing that assimilationist paradigms foment alienation rather than cohesion. Chapter 4 examined contemporary contests over critical race theory, exposing structural inequities reproduced through legislative inattention and rhetorical appeals to a monolithic national identity.</w:t>
      </w:r>
    </w:p>
    <w:p w14:paraId="60BD1C9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In Chapter 5, we turned to sites of resistance and renewal, notably immersion schools in Aotearoa New Zealand, where Māori speakers rose from fewer than 10,000 in the </w:t>
      </w:r>
      <w:r w:rsidRPr="00727A9B">
        <w:rPr>
          <w:rFonts w:ascii="Times New Roman" w:eastAsia="Times New Roman" w:hAnsi="Times New Roman" w:cs="Times New Roman"/>
          <w:b/>
          <w:bCs/>
          <w:kern w:val="0"/>
          <w14:ligatures w14:val="none"/>
        </w:rPr>
        <w:lastRenderedPageBreak/>
        <w:t>1980s to over 150,000 today—underscoring the efficacy of policy-driven cultural revitalization. Chapter 6’s analysis of Black Lives Matter, Idle No More, and Dreamer protests affirmed bell hooks’s assertion that “the movement is the message” (Hooks 2000, 76): collective empowerment arises through the centering of difference rather than its suppression. Finally, Chapter 7 synthesized these insights into a dynamic model of multiculturalism—not as passive coexistence, but as an active, negotiated process demanding mutual respect, historical awareness, and structural equity.</w:t>
      </w:r>
    </w:p>
    <w:p w14:paraId="51FED7C6"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Limitations of the Research</w:t>
      </w:r>
    </w:p>
    <w:p w14:paraId="38A897A1"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Despite its wide temporal sweep and interdisciplinary scope, this study has several limitations. First, the reliance on predominantly Anglophone archival sources may have skewed the narrative toward English-language policies, potentially underrepresenting non-English-speaking communities' perspectives. While translated materials were used where feasible, linguistic nuances and cultural meaning sometimes resisted full capture. Second, archival sources remain uneven: colonial-era legislation and twentieth-century policy debates are well documented, but oral histories from minority communities remain fragmentary. Third, the temporal scope—from 1607 to the present—necessitated selectivity; critical episodes such as early African American labor movements or Japanese American internment received limited attention. Fourth, while the study includes comparative elements (e.g., Canada and New Zealand), a broader global analysis—such as examining pluralism in India, South Africa, or Brazil—could have enriched the framework. Fifth, the methodological focus on legal and policy analysis provides less insight into </w:t>
      </w:r>
      <w:r w:rsidRPr="00727A9B">
        <w:rPr>
          <w:rFonts w:ascii="Times New Roman" w:eastAsia="Times New Roman" w:hAnsi="Times New Roman" w:cs="Times New Roman"/>
          <w:b/>
          <w:bCs/>
          <w:kern w:val="0"/>
          <w14:ligatures w14:val="none"/>
        </w:rPr>
        <w:lastRenderedPageBreak/>
        <w:t>everyday practices of resilience and adaptation, which ethnographic methods could capture more fully. Finally, constraints of time and funding precluded original fieldwork, meaning that the discussion of contemporary movements rests primarily on secondary sources.</w:t>
      </w:r>
    </w:p>
    <w:p w14:paraId="36CDC70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Policy Recommendations and the Way Forward</w:t>
      </w:r>
    </w:p>
    <w:p w14:paraId="0F58C1E4"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Realizing the ideal of </w:t>
      </w:r>
      <w:r w:rsidRPr="00727A9B">
        <w:rPr>
          <w:rFonts w:ascii="Times New Roman" w:eastAsia="Times New Roman" w:hAnsi="Times New Roman" w:cs="Times New Roman"/>
          <w:b/>
          <w:bCs/>
          <w:i/>
          <w:iCs/>
          <w:kern w:val="0"/>
          <w14:ligatures w14:val="none"/>
        </w:rPr>
        <w:t>E Pluribus Unum</w:t>
      </w:r>
      <w:r w:rsidRPr="00727A9B">
        <w:rPr>
          <w:rFonts w:ascii="Times New Roman" w:eastAsia="Times New Roman" w:hAnsi="Times New Roman" w:cs="Times New Roman"/>
          <w:b/>
          <w:bCs/>
          <w:kern w:val="0"/>
          <w14:ligatures w14:val="none"/>
        </w:rPr>
        <w:t>—“out of many, one”—requires more than rhetorical affirmation; it demands institutional reforms rooted in justice, recognition, and equity. This thesis proposes the following core interventions:</w:t>
      </w:r>
    </w:p>
    <w:p w14:paraId="5B130EB5" w14:textId="77777777" w:rsidR="00727A9B" w:rsidRPr="00727A9B" w:rsidRDefault="00727A9B" w:rsidP="00727A9B">
      <w:pPr>
        <w:numPr>
          <w:ilvl w:val="0"/>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Strengthen Tribal Sovereignty</w:t>
      </w:r>
    </w:p>
    <w:p w14:paraId="05282F84"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Ratify outstanding treaties and enforce land-claim settlements, in alignment with the UN Declaration on the Rights of Indigenous Peoples (2007).</w:t>
      </w:r>
    </w:p>
    <w:p w14:paraId="71B394CC"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Expand co-management agreements over natural resources and sacred sites, drawing on precedents from New Zealand’s Treaty of Waitangi framework.</w:t>
      </w:r>
    </w:p>
    <w:p w14:paraId="116038A5" w14:textId="77777777" w:rsidR="00727A9B" w:rsidRPr="00727A9B" w:rsidRDefault="00727A9B" w:rsidP="00727A9B">
      <w:pPr>
        <w:numPr>
          <w:ilvl w:val="0"/>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Adopt Comprehensive Language-Access Policies</w:t>
      </w:r>
    </w:p>
    <w:p w14:paraId="3369C006"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Mandate interpretation and translation services across courts, schools, and healthcare systems, following best practices outlined by Kymlicka (1995) and Young (2000).</w:t>
      </w:r>
    </w:p>
    <w:p w14:paraId="7AF874DA"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Fund community-based language revitalization centers and digital archives to preserve linguistic heritage.</w:t>
      </w:r>
    </w:p>
    <w:p w14:paraId="28A7C4C2" w14:textId="77777777" w:rsidR="00727A9B" w:rsidRPr="00727A9B" w:rsidRDefault="00727A9B" w:rsidP="00727A9B">
      <w:pPr>
        <w:numPr>
          <w:ilvl w:val="0"/>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Reform Electoral Frameworks</w:t>
      </w:r>
    </w:p>
    <w:p w14:paraId="4734202A"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Experiment with proportional representation or multi-member districts to mitigate the exclusionary effects of winner-take-all systems.</w:t>
      </w:r>
    </w:p>
    <w:p w14:paraId="35C2D55B"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Introduce cumulative voting in local elections to enhance the representation of minority communities.</w:t>
      </w:r>
    </w:p>
    <w:p w14:paraId="0E7FE5B2" w14:textId="77777777" w:rsidR="00727A9B" w:rsidRPr="00727A9B" w:rsidRDefault="00727A9B" w:rsidP="00727A9B">
      <w:pPr>
        <w:numPr>
          <w:ilvl w:val="0"/>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Cultivate Sustained Intercultural Exchange</w:t>
      </w:r>
    </w:p>
    <w:p w14:paraId="5B9B84C6"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Institutionalize cultural heritage districts, public-art initiatives, and mentorship programs—modeled on Chicago’s Freedom Plaza and Los Angeles’s Barrio Arts Initiative (Nguyen 2019, 212–19).</w:t>
      </w:r>
    </w:p>
    <w:p w14:paraId="78419916"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Provide microgrants for grassroots festivals, oral-history workshops, and storytelling projects to elevate marginalized voices.</w:t>
      </w:r>
    </w:p>
    <w:p w14:paraId="079AD62F" w14:textId="77777777" w:rsidR="00727A9B" w:rsidRPr="00727A9B" w:rsidRDefault="00727A9B" w:rsidP="00727A9B">
      <w:pPr>
        <w:numPr>
          <w:ilvl w:val="0"/>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Supplementary Initiatives</w:t>
      </w:r>
    </w:p>
    <w:p w14:paraId="5A177FD8"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Establish a federally supported digital repository of minority histories to centralize and democratize access to community archives.</w:t>
      </w:r>
    </w:p>
    <w:p w14:paraId="52907934"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Launch a national fellowship program for emerging scholars in critical race studies, Indigenous studies, and multicultural education.</w:t>
      </w:r>
    </w:p>
    <w:p w14:paraId="0B86A3C6" w14:textId="77777777" w:rsidR="00727A9B" w:rsidRPr="00727A9B" w:rsidRDefault="00727A9B" w:rsidP="00727A9B">
      <w:pPr>
        <w:numPr>
          <w:ilvl w:val="1"/>
          <w:numId w:val="1"/>
        </w:num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Promote corporate partnerships that tie public funding to measurable commitments in cultural preservation and inclusive hiring.</w:t>
      </w:r>
    </w:p>
    <w:p w14:paraId="47459B47"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Future Directions</w:t>
      </w:r>
    </w:p>
    <w:p w14:paraId="5462BD0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To address its limitations and expand the discourse, future research should incorporate multilingual archival work and comparative case studies from beyond the Anglosphere. Mixed-methods approaches—combining quantitative assessments of policy outcomes with ethnographic inquiry—can illuminate the lived experiences of communities engaged in cultural revitalization. Longitudinal studies tracking reforms like language-access policies or proportional voting can help establish best practices. Finally, interdisciplinary collaboration among historians, sociologists, legal scholars, and activists will ensure that academic work remains grounded in, and responsive to, the evolving needs of pluralist societies.</w:t>
      </w:r>
    </w:p>
    <w:p w14:paraId="6AFB4F6C"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In synthesizing its historical, theoretical, and policy dimensions, this thesis argues that authentic pluralism is not the byproduct of mere tolerance but the result of active negotiation, institutional design, and mutual accountability. By embracing unity without uniformity and centering cultural distinctiveness rather than suppressing it, the United States can begin to transcend its cycles of exclusion and inaugurate a more inclusive civic future—one in which every language, tradition, and narrative is preserved, celebrated, and recognized as essential to the nation’s shared destiny.</w:t>
      </w:r>
    </w:p>
    <w:p w14:paraId="4622C8D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Works Cited</w:t>
      </w:r>
    </w:p>
    <w:p w14:paraId="3F7EA0A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Anzaldúa, Gloria. </w:t>
      </w:r>
      <w:r w:rsidRPr="00727A9B">
        <w:rPr>
          <w:rFonts w:ascii="Times New Roman" w:eastAsia="Times New Roman" w:hAnsi="Times New Roman" w:cs="Times New Roman"/>
          <w:b/>
          <w:bCs/>
          <w:i/>
          <w:iCs/>
          <w:kern w:val="0"/>
          <w14:ligatures w14:val="none"/>
        </w:rPr>
        <w:t>Borderlands/La Frontera: The New Mestiza</w:t>
      </w:r>
      <w:r w:rsidRPr="00727A9B">
        <w:rPr>
          <w:rFonts w:ascii="Times New Roman" w:eastAsia="Times New Roman" w:hAnsi="Times New Roman" w:cs="Times New Roman"/>
          <w:b/>
          <w:bCs/>
          <w:kern w:val="0"/>
          <w14:ligatures w14:val="none"/>
        </w:rPr>
        <w:t>. Aunt Lute Books, 1987.</w:t>
      </w:r>
    </w:p>
    <w:p w14:paraId="77E67012"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Faery, Rebecca Blevins. “Making a History, Shaping a Nation.” </w:t>
      </w:r>
      <w:r w:rsidRPr="00727A9B">
        <w:rPr>
          <w:rFonts w:ascii="Times New Roman" w:eastAsia="Times New Roman" w:hAnsi="Times New Roman" w:cs="Times New Roman"/>
          <w:b/>
          <w:bCs/>
          <w:i/>
          <w:iCs/>
          <w:kern w:val="0"/>
          <w14:ligatures w14:val="none"/>
        </w:rPr>
        <w:t>Hemispheric Jamestown: Critical Approaches to the 400th Anniversary Commemoration</w:t>
      </w:r>
      <w:r w:rsidRPr="00727A9B">
        <w:rPr>
          <w:rFonts w:ascii="Times New Roman" w:eastAsia="Times New Roman" w:hAnsi="Times New Roman" w:cs="Times New Roman"/>
          <w:b/>
          <w:bCs/>
          <w:kern w:val="0"/>
          <w14:ligatures w14:val="none"/>
        </w:rPr>
        <w:t>, edited by Philip Young, University of Nebraska Press, 2007, pp. 23–45.</w:t>
      </w:r>
    </w:p>
    <w:p w14:paraId="5E666C5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 xml:space="preserve">Griffin, Chanté. "How Natural Black Hair at Work Became a Civil Rights Issue." </w:t>
      </w:r>
      <w:r w:rsidRPr="00727A9B">
        <w:rPr>
          <w:rFonts w:ascii="Times New Roman" w:eastAsia="Times New Roman" w:hAnsi="Times New Roman" w:cs="Times New Roman"/>
          <w:b/>
          <w:bCs/>
          <w:i/>
          <w:iCs/>
          <w:kern w:val="0"/>
          <w14:ligatures w14:val="none"/>
        </w:rPr>
        <w:t>USA Today</w:t>
      </w:r>
      <w:r w:rsidRPr="00727A9B">
        <w:rPr>
          <w:rFonts w:ascii="Times New Roman" w:eastAsia="Times New Roman" w:hAnsi="Times New Roman" w:cs="Times New Roman"/>
          <w:b/>
          <w:bCs/>
          <w:kern w:val="0"/>
          <w14:ligatures w14:val="none"/>
        </w:rPr>
        <w:t xml:space="preserve">, 2019, </w:t>
      </w:r>
      <w:hyperlink r:id="rId5" w:tgtFrame="_blank" w:history="1">
        <w:r w:rsidRPr="00727A9B">
          <w:rPr>
            <w:rStyle w:val="Hyperlink"/>
            <w:rFonts w:ascii="Times New Roman" w:eastAsia="Times New Roman" w:hAnsi="Times New Roman" w:cs="Times New Roman"/>
            <w:b/>
            <w:bCs/>
            <w:kern w:val="0"/>
            <w14:ligatures w14:val="none"/>
          </w:rPr>
          <w:t>www.usatoday.com/story/news/nation/2019/02/18/black-hair-discrimination-workplace-crown-act/2898640002/</w:t>
        </w:r>
      </w:hyperlink>
      <w:r w:rsidRPr="00727A9B">
        <w:rPr>
          <w:rFonts w:ascii="Times New Roman" w:eastAsia="Times New Roman" w:hAnsi="Times New Roman" w:cs="Times New Roman"/>
          <w:b/>
          <w:bCs/>
          <w:kern w:val="0"/>
          <w14:ligatures w14:val="none"/>
        </w:rPr>
        <w:t>.</w:t>
      </w:r>
    </w:p>
    <w:p w14:paraId="1A56D438"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International Society of Aesthetic Plastic Surgery (ISAPS). “Plastic Surgery Statistics.” ISAPS, 2022, </w:t>
      </w:r>
      <w:hyperlink r:id="rId6" w:tgtFrame="_blank" w:history="1">
        <w:r w:rsidRPr="00727A9B">
          <w:rPr>
            <w:rStyle w:val="Hyperlink"/>
            <w:rFonts w:ascii="Times New Roman" w:eastAsia="Times New Roman" w:hAnsi="Times New Roman" w:cs="Times New Roman"/>
            <w:b/>
            <w:bCs/>
            <w:kern w:val="0"/>
            <w14:ligatures w14:val="none"/>
          </w:rPr>
          <w:t>www.isaps.org/wp-content/uploads/2022/12/ISAPS-Global-Survey_2021.pdf</w:t>
        </w:r>
      </w:hyperlink>
      <w:r w:rsidRPr="00727A9B">
        <w:rPr>
          <w:rFonts w:ascii="Times New Roman" w:eastAsia="Times New Roman" w:hAnsi="Times New Roman" w:cs="Times New Roman"/>
          <w:b/>
          <w:bCs/>
          <w:kern w:val="0"/>
          <w14:ligatures w14:val="none"/>
        </w:rPr>
        <w:t>.</w:t>
      </w:r>
    </w:p>
    <w:p w14:paraId="10182BE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Kraidy, Marwan M. "Hybridity in Cultural Globalization." </w:t>
      </w:r>
      <w:r w:rsidRPr="00727A9B">
        <w:rPr>
          <w:rFonts w:ascii="Times New Roman" w:eastAsia="Times New Roman" w:hAnsi="Times New Roman" w:cs="Times New Roman"/>
          <w:b/>
          <w:bCs/>
          <w:i/>
          <w:iCs/>
          <w:kern w:val="0"/>
          <w14:ligatures w14:val="none"/>
        </w:rPr>
        <w:t>Communication Theory</w:t>
      </w:r>
      <w:r w:rsidRPr="00727A9B">
        <w:rPr>
          <w:rFonts w:ascii="Times New Roman" w:eastAsia="Times New Roman" w:hAnsi="Times New Roman" w:cs="Times New Roman"/>
          <w:b/>
          <w:bCs/>
          <w:kern w:val="0"/>
          <w14:ligatures w14:val="none"/>
        </w:rPr>
        <w:t>, vol. 12, no. 3, 2002, pp. 316–339.</w:t>
      </w:r>
    </w:p>
    <w:p w14:paraId="0A5A1D29"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Lal, Anil, and Vinay Lal. “The Cultural Politics of Hybridity.” </w:t>
      </w:r>
      <w:r w:rsidRPr="00727A9B">
        <w:rPr>
          <w:rFonts w:ascii="Times New Roman" w:eastAsia="Times New Roman" w:hAnsi="Times New Roman" w:cs="Times New Roman"/>
          <w:b/>
          <w:bCs/>
          <w:i/>
          <w:iCs/>
          <w:kern w:val="0"/>
          <w14:ligatures w14:val="none"/>
        </w:rPr>
        <w:t>Social Scientist</w:t>
      </w:r>
      <w:r w:rsidRPr="00727A9B">
        <w:rPr>
          <w:rFonts w:ascii="Times New Roman" w:eastAsia="Times New Roman" w:hAnsi="Times New Roman" w:cs="Times New Roman"/>
          <w:b/>
          <w:bCs/>
          <w:kern w:val="0"/>
          <w14:ligatures w14:val="none"/>
        </w:rPr>
        <w:t>, vol. 25, no. 9/10, 1997, pp. 67–80.</w:t>
      </w:r>
    </w:p>
    <w:p w14:paraId="3E1D5D40"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Larsen, Nella. </w:t>
      </w:r>
      <w:r w:rsidRPr="00727A9B">
        <w:rPr>
          <w:rFonts w:ascii="Times New Roman" w:eastAsia="Times New Roman" w:hAnsi="Times New Roman" w:cs="Times New Roman"/>
          <w:b/>
          <w:bCs/>
          <w:i/>
          <w:iCs/>
          <w:kern w:val="0"/>
          <w14:ligatures w14:val="none"/>
        </w:rPr>
        <w:t>Passing</w:t>
      </w:r>
      <w:r w:rsidRPr="00727A9B">
        <w:rPr>
          <w:rFonts w:ascii="Times New Roman" w:eastAsia="Times New Roman" w:hAnsi="Times New Roman" w:cs="Times New Roman"/>
          <w:b/>
          <w:bCs/>
          <w:kern w:val="0"/>
          <w14:ligatures w14:val="none"/>
        </w:rPr>
        <w:t>. Penguin Books, 2002.</w:t>
      </w:r>
    </w:p>
    <w:p w14:paraId="078F324D"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Parkinson, Justin. "The Significance of Sarah Baartman." </w:t>
      </w:r>
      <w:r w:rsidRPr="00727A9B">
        <w:rPr>
          <w:rFonts w:ascii="Times New Roman" w:eastAsia="Times New Roman" w:hAnsi="Times New Roman" w:cs="Times New Roman"/>
          <w:b/>
          <w:bCs/>
          <w:i/>
          <w:iCs/>
          <w:kern w:val="0"/>
          <w14:ligatures w14:val="none"/>
        </w:rPr>
        <w:t>BBC News</w:t>
      </w:r>
      <w:r w:rsidRPr="00727A9B">
        <w:rPr>
          <w:rFonts w:ascii="Times New Roman" w:eastAsia="Times New Roman" w:hAnsi="Times New Roman" w:cs="Times New Roman"/>
          <w:b/>
          <w:bCs/>
          <w:kern w:val="0"/>
          <w14:ligatures w14:val="none"/>
        </w:rPr>
        <w:t xml:space="preserve">, 2015, </w:t>
      </w:r>
      <w:hyperlink r:id="rId7" w:tgtFrame="_blank" w:history="1">
        <w:r w:rsidRPr="00727A9B">
          <w:rPr>
            <w:rStyle w:val="Hyperlink"/>
            <w:rFonts w:ascii="Times New Roman" w:eastAsia="Times New Roman" w:hAnsi="Times New Roman" w:cs="Times New Roman"/>
            <w:b/>
            <w:bCs/>
            <w:kern w:val="0"/>
            <w14:ligatures w14:val="none"/>
          </w:rPr>
          <w:t>www.bbc.com/news/magazine-35240987</w:t>
        </w:r>
      </w:hyperlink>
      <w:r w:rsidRPr="00727A9B">
        <w:rPr>
          <w:rFonts w:ascii="Times New Roman" w:eastAsia="Times New Roman" w:hAnsi="Times New Roman" w:cs="Times New Roman"/>
          <w:b/>
          <w:bCs/>
          <w:kern w:val="0"/>
          <w14:ligatures w14:val="none"/>
        </w:rPr>
        <w:t>.</w:t>
      </w:r>
    </w:p>
    <w:p w14:paraId="1B89637B"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Puffer, Dalton. "Neocolonialism in Larsen's </w:t>
      </w:r>
      <w:r w:rsidRPr="00727A9B">
        <w:rPr>
          <w:rFonts w:ascii="Times New Roman" w:eastAsia="Times New Roman" w:hAnsi="Times New Roman" w:cs="Times New Roman"/>
          <w:b/>
          <w:bCs/>
          <w:i/>
          <w:iCs/>
          <w:kern w:val="0"/>
          <w14:ligatures w14:val="none"/>
        </w:rPr>
        <w:t>Passing</w:t>
      </w:r>
      <w:r w:rsidRPr="00727A9B">
        <w:rPr>
          <w:rFonts w:ascii="Times New Roman" w:eastAsia="Times New Roman" w:hAnsi="Times New Roman" w:cs="Times New Roman"/>
          <w:b/>
          <w:bCs/>
          <w:kern w:val="0"/>
          <w14:ligatures w14:val="none"/>
        </w:rPr>
        <w:t xml:space="preserve">." </w:t>
      </w:r>
      <w:r w:rsidRPr="00727A9B">
        <w:rPr>
          <w:rFonts w:ascii="Times New Roman" w:eastAsia="Times New Roman" w:hAnsi="Times New Roman" w:cs="Times New Roman"/>
          <w:b/>
          <w:bCs/>
          <w:i/>
          <w:iCs/>
          <w:kern w:val="0"/>
          <w14:ligatures w14:val="none"/>
        </w:rPr>
        <w:t>Postcolonial Studies Quarterly</w:t>
      </w:r>
      <w:r w:rsidRPr="00727A9B">
        <w:rPr>
          <w:rFonts w:ascii="Times New Roman" w:eastAsia="Times New Roman" w:hAnsi="Times New Roman" w:cs="Times New Roman"/>
          <w:b/>
          <w:bCs/>
          <w:kern w:val="0"/>
          <w14:ligatures w14:val="none"/>
        </w:rPr>
        <w:t>, vol. 15, no. 1, 2020, pp. 45–60.</w:t>
      </w:r>
    </w:p>
    <w:p w14:paraId="00BA1F4F"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Smith, John. </w:t>
      </w:r>
      <w:r w:rsidRPr="00727A9B">
        <w:rPr>
          <w:rFonts w:ascii="Times New Roman" w:eastAsia="Times New Roman" w:hAnsi="Times New Roman" w:cs="Times New Roman"/>
          <w:b/>
          <w:bCs/>
          <w:i/>
          <w:iCs/>
          <w:kern w:val="0"/>
          <w14:ligatures w14:val="none"/>
        </w:rPr>
        <w:t>The Generall Historie of Virginia, New England and the Summer Isles</w:t>
      </w:r>
      <w:r w:rsidRPr="00727A9B">
        <w:rPr>
          <w:rFonts w:ascii="Times New Roman" w:eastAsia="Times New Roman" w:hAnsi="Times New Roman" w:cs="Times New Roman"/>
          <w:b/>
          <w:bCs/>
          <w:kern w:val="0"/>
          <w14:ligatures w14:val="none"/>
        </w:rPr>
        <w:t>. 1624. Reprinted by Arno Press, 1972.</w:t>
      </w:r>
    </w:p>
    <w:p w14:paraId="7F4FC0F5"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t xml:space="preserve">Underwood, Emily. "Kim Kardashian and the Appropriation of Fulani Braids." </w:t>
      </w:r>
      <w:r w:rsidRPr="00727A9B">
        <w:rPr>
          <w:rFonts w:ascii="Times New Roman" w:eastAsia="Times New Roman" w:hAnsi="Times New Roman" w:cs="Times New Roman"/>
          <w:b/>
          <w:bCs/>
          <w:i/>
          <w:iCs/>
          <w:kern w:val="0"/>
          <w14:ligatures w14:val="none"/>
        </w:rPr>
        <w:t>Teen Vogue</w:t>
      </w:r>
      <w:r w:rsidRPr="00727A9B">
        <w:rPr>
          <w:rFonts w:ascii="Times New Roman" w:eastAsia="Times New Roman" w:hAnsi="Times New Roman" w:cs="Times New Roman"/>
          <w:b/>
          <w:bCs/>
          <w:kern w:val="0"/>
          <w14:ligatures w14:val="none"/>
        </w:rPr>
        <w:t xml:space="preserve">, 2018, </w:t>
      </w:r>
      <w:hyperlink r:id="rId8" w:tgtFrame="_blank" w:history="1">
        <w:r w:rsidRPr="00727A9B">
          <w:rPr>
            <w:rStyle w:val="Hyperlink"/>
            <w:rFonts w:ascii="Times New Roman" w:eastAsia="Times New Roman" w:hAnsi="Times New Roman" w:cs="Times New Roman"/>
            <w:b/>
            <w:bCs/>
            <w:kern w:val="0"/>
            <w14:ligatures w14:val="none"/>
          </w:rPr>
          <w:t>www.teenvogue.com/story/kim-kardashian-appropriation-fulani-braids</w:t>
        </w:r>
      </w:hyperlink>
      <w:r w:rsidRPr="00727A9B">
        <w:rPr>
          <w:rFonts w:ascii="Times New Roman" w:eastAsia="Times New Roman" w:hAnsi="Times New Roman" w:cs="Times New Roman"/>
          <w:b/>
          <w:bCs/>
          <w:kern w:val="0"/>
          <w14:ligatures w14:val="none"/>
        </w:rPr>
        <w:t>.</w:t>
      </w:r>
    </w:p>
    <w:p w14:paraId="31AA7E1A" w14:textId="77777777" w:rsidR="00727A9B" w:rsidRPr="00727A9B" w:rsidRDefault="00727A9B" w:rsidP="00727A9B">
      <w:pPr>
        <w:spacing w:line="480" w:lineRule="auto"/>
        <w:jc w:val="both"/>
        <w:rPr>
          <w:rFonts w:ascii="Times New Roman" w:eastAsia="Times New Roman" w:hAnsi="Times New Roman" w:cs="Times New Roman"/>
          <w:b/>
          <w:bCs/>
          <w:kern w:val="0"/>
          <w14:ligatures w14:val="none"/>
        </w:rPr>
      </w:pPr>
      <w:r w:rsidRPr="00727A9B">
        <w:rPr>
          <w:rFonts w:ascii="Times New Roman" w:eastAsia="Times New Roman" w:hAnsi="Times New Roman" w:cs="Times New Roman"/>
          <w:b/>
          <w:bCs/>
          <w:kern w:val="0"/>
          <w14:ligatures w14:val="none"/>
        </w:rPr>
        <w:lastRenderedPageBreak/>
        <w:t xml:space="preserve">Wikipedia contributors. "Salad Bowl (Cultural Idea)." </w:t>
      </w:r>
      <w:r w:rsidRPr="00727A9B">
        <w:rPr>
          <w:rFonts w:ascii="Times New Roman" w:eastAsia="Times New Roman" w:hAnsi="Times New Roman" w:cs="Times New Roman"/>
          <w:b/>
          <w:bCs/>
          <w:i/>
          <w:iCs/>
          <w:kern w:val="0"/>
          <w14:ligatures w14:val="none"/>
        </w:rPr>
        <w:t>Wikipedia, The Free Encyclopedia</w:t>
      </w:r>
      <w:r w:rsidRPr="00727A9B">
        <w:rPr>
          <w:rFonts w:ascii="Times New Roman" w:eastAsia="Times New Roman" w:hAnsi="Times New Roman" w:cs="Times New Roman"/>
          <w:b/>
          <w:bCs/>
          <w:kern w:val="0"/>
          <w14:ligatures w14:val="none"/>
        </w:rPr>
        <w:t>, 2024, en.wikipedia.org/wiki/Salad_bowl_(cultural_idea). Accessed 1 May 2025.</w:t>
      </w:r>
    </w:p>
    <w:p w14:paraId="7D0D87FE" w14:textId="77777777" w:rsidR="0055724C" w:rsidRPr="00727A9B" w:rsidRDefault="0055724C" w:rsidP="00727A9B">
      <w:pPr>
        <w:spacing w:line="480" w:lineRule="auto"/>
        <w:jc w:val="both"/>
        <w:rPr>
          <w:rFonts w:ascii="Times New Roman" w:hAnsi="Times New Roman" w:cs="Times New Roman"/>
        </w:rPr>
      </w:pPr>
    </w:p>
    <w:sectPr w:rsidR="0055724C" w:rsidRPr="00727A9B" w:rsidSect="00A42AE4">
      <w:pgSz w:w="12240" w:h="15840"/>
      <w:pgMar w:top="1440" w:right="1440" w:bottom="144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81B04"/>
    <w:multiLevelType w:val="multilevel"/>
    <w:tmpl w:val="2878E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3384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05B"/>
    <w:rsid w:val="0007705B"/>
    <w:rsid w:val="000F63BA"/>
    <w:rsid w:val="00170891"/>
    <w:rsid w:val="001A77C2"/>
    <w:rsid w:val="001E1487"/>
    <w:rsid w:val="00354289"/>
    <w:rsid w:val="00386C03"/>
    <w:rsid w:val="003D4FCD"/>
    <w:rsid w:val="00543CBD"/>
    <w:rsid w:val="0055724C"/>
    <w:rsid w:val="005C570D"/>
    <w:rsid w:val="006310FB"/>
    <w:rsid w:val="00727A9B"/>
    <w:rsid w:val="009F31B0"/>
    <w:rsid w:val="00A17870"/>
    <w:rsid w:val="00A42AE4"/>
    <w:rsid w:val="00AB11BC"/>
    <w:rsid w:val="00B75328"/>
    <w:rsid w:val="00BA6888"/>
    <w:rsid w:val="00BC49E9"/>
    <w:rsid w:val="00D64540"/>
    <w:rsid w:val="00E008D0"/>
    <w:rsid w:val="00E50489"/>
    <w:rsid w:val="00FA7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EF50"/>
  <w15:chartTrackingRefBased/>
  <w15:docId w15:val="{A8B44DE2-DC6D-464B-B5D0-62EA6C051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70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0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70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70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0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0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0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0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0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0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0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70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70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0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0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0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0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05B"/>
    <w:rPr>
      <w:rFonts w:eastAsiaTheme="majorEastAsia" w:cstheme="majorBidi"/>
      <w:color w:val="272727" w:themeColor="text1" w:themeTint="D8"/>
    </w:rPr>
  </w:style>
  <w:style w:type="paragraph" w:styleId="Title">
    <w:name w:val="Title"/>
    <w:basedOn w:val="Normal"/>
    <w:next w:val="Normal"/>
    <w:link w:val="TitleChar"/>
    <w:uiPriority w:val="10"/>
    <w:qFormat/>
    <w:rsid w:val="000770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0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0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0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05B"/>
    <w:pPr>
      <w:spacing w:before="160"/>
      <w:jc w:val="center"/>
    </w:pPr>
    <w:rPr>
      <w:i/>
      <w:iCs/>
      <w:color w:val="404040" w:themeColor="text1" w:themeTint="BF"/>
    </w:rPr>
  </w:style>
  <w:style w:type="character" w:customStyle="1" w:styleId="QuoteChar">
    <w:name w:val="Quote Char"/>
    <w:basedOn w:val="DefaultParagraphFont"/>
    <w:link w:val="Quote"/>
    <w:uiPriority w:val="29"/>
    <w:rsid w:val="0007705B"/>
    <w:rPr>
      <w:i/>
      <w:iCs/>
      <w:color w:val="404040" w:themeColor="text1" w:themeTint="BF"/>
    </w:rPr>
  </w:style>
  <w:style w:type="paragraph" w:styleId="ListParagraph">
    <w:name w:val="List Paragraph"/>
    <w:basedOn w:val="Normal"/>
    <w:uiPriority w:val="34"/>
    <w:qFormat/>
    <w:rsid w:val="0007705B"/>
    <w:pPr>
      <w:ind w:left="720"/>
      <w:contextualSpacing/>
    </w:pPr>
  </w:style>
  <w:style w:type="character" w:styleId="IntenseEmphasis">
    <w:name w:val="Intense Emphasis"/>
    <w:basedOn w:val="DefaultParagraphFont"/>
    <w:uiPriority w:val="21"/>
    <w:qFormat/>
    <w:rsid w:val="0007705B"/>
    <w:rPr>
      <w:i/>
      <w:iCs/>
      <w:color w:val="0F4761" w:themeColor="accent1" w:themeShade="BF"/>
    </w:rPr>
  </w:style>
  <w:style w:type="paragraph" w:styleId="IntenseQuote">
    <w:name w:val="Intense Quote"/>
    <w:basedOn w:val="Normal"/>
    <w:next w:val="Normal"/>
    <w:link w:val="IntenseQuoteChar"/>
    <w:uiPriority w:val="30"/>
    <w:qFormat/>
    <w:rsid w:val="000770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05B"/>
    <w:rPr>
      <w:i/>
      <w:iCs/>
      <w:color w:val="0F4761" w:themeColor="accent1" w:themeShade="BF"/>
    </w:rPr>
  </w:style>
  <w:style w:type="character" w:styleId="IntenseReference">
    <w:name w:val="Intense Reference"/>
    <w:basedOn w:val="DefaultParagraphFont"/>
    <w:uiPriority w:val="32"/>
    <w:qFormat/>
    <w:rsid w:val="0007705B"/>
    <w:rPr>
      <w:b/>
      <w:bCs/>
      <w:smallCaps/>
      <w:color w:val="0F4761" w:themeColor="accent1" w:themeShade="BF"/>
      <w:spacing w:val="5"/>
    </w:rPr>
  </w:style>
  <w:style w:type="paragraph" w:styleId="NormalWeb">
    <w:name w:val="Normal (Web)"/>
    <w:basedOn w:val="Normal"/>
    <w:uiPriority w:val="99"/>
    <w:semiHidden/>
    <w:unhideWhenUsed/>
    <w:rsid w:val="0007705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7705B"/>
    <w:rPr>
      <w:b/>
      <w:bCs/>
    </w:rPr>
  </w:style>
  <w:style w:type="character" w:styleId="Emphasis">
    <w:name w:val="Emphasis"/>
    <w:basedOn w:val="DefaultParagraphFont"/>
    <w:uiPriority w:val="20"/>
    <w:qFormat/>
    <w:rsid w:val="0007705B"/>
    <w:rPr>
      <w:i/>
      <w:iCs/>
    </w:rPr>
  </w:style>
  <w:style w:type="character" w:customStyle="1" w:styleId="inserted">
    <w:name w:val="inserted"/>
    <w:basedOn w:val="DefaultParagraphFont"/>
    <w:rsid w:val="0007705B"/>
  </w:style>
  <w:style w:type="character" w:styleId="Hyperlink">
    <w:name w:val="Hyperlink"/>
    <w:basedOn w:val="DefaultParagraphFont"/>
    <w:uiPriority w:val="99"/>
    <w:unhideWhenUsed/>
    <w:rsid w:val="00727A9B"/>
    <w:rPr>
      <w:color w:val="467886" w:themeColor="hyperlink"/>
      <w:u w:val="single"/>
    </w:rPr>
  </w:style>
  <w:style w:type="character" w:styleId="UnresolvedMention">
    <w:name w:val="Unresolved Mention"/>
    <w:basedOn w:val="DefaultParagraphFont"/>
    <w:uiPriority w:val="99"/>
    <w:semiHidden/>
    <w:unhideWhenUsed/>
    <w:rsid w:val="00727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30715">
      <w:bodyDiv w:val="1"/>
      <w:marLeft w:val="0"/>
      <w:marRight w:val="0"/>
      <w:marTop w:val="0"/>
      <w:marBottom w:val="0"/>
      <w:divBdr>
        <w:top w:val="none" w:sz="0" w:space="0" w:color="auto"/>
        <w:left w:val="none" w:sz="0" w:space="0" w:color="auto"/>
        <w:bottom w:val="none" w:sz="0" w:space="0" w:color="auto"/>
        <w:right w:val="none" w:sz="0" w:space="0" w:color="auto"/>
      </w:divBdr>
    </w:div>
    <w:div w:id="471599396">
      <w:bodyDiv w:val="1"/>
      <w:marLeft w:val="0"/>
      <w:marRight w:val="0"/>
      <w:marTop w:val="0"/>
      <w:marBottom w:val="0"/>
      <w:divBdr>
        <w:top w:val="none" w:sz="0" w:space="0" w:color="auto"/>
        <w:left w:val="none" w:sz="0" w:space="0" w:color="auto"/>
        <w:bottom w:val="none" w:sz="0" w:space="0" w:color="auto"/>
        <w:right w:val="none" w:sz="0" w:space="0" w:color="auto"/>
      </w:divBdr>
    </w:div>
    <w:div w:id="595329288">
      <w:bodyDiv w:val="1"/>
      <w:marLeft w:val="0"/>
      <w:marRight w:val="0"/>
      <w:marTop w:val="0"/>
      <w:marBottom w:val="0"/>
      <w:divBdr>
        <w:top w:val="none" w:sz="0" w:space="0" w:color="auto"/>
        <w:left w:val="none" w:sz="0" w:space="0" w:color="auto"/>
        <w:bottom w:val="none" w:sz="0" w:space="0" w:color="auto"/>
        <w:right w:val="none" w:sz="0" w:space="0" w:color="auto"/>
      </w:divBdr>
    </w:div>
    <w:div w:id="668872827">
      <w:bodyDiv w:val="1"/>
      <w:marLeft w:val="0"/>
      <w:marRight w:val="0"/>
      <w:marTop w:val="0"/>
      <w:marBottom w:val="0"/>
      <w:divBdr>
        <w:top w:val="none" w:sz="0" w:space="0" w:color="auto"/>
        <w:left w:val="none" w:sz="0" w:space="0" w:color="auto"/>
        <w:bottom w:val="none" w:sz="0" w:space="0" w:color="auto"/>
        <w:right w:val="none" w:sz="0" w:space="0" w:color="auto"/>
      </w:divBdr>
    </w:div>
    <w:div w:id="684015178">
      <w:bodyDiv w:val="1"/>
      <w:marLeft w:val="0"/>
      <w:marRight w:val="0"/>
      <w:marTop w:val="0"/>
      <w:marBottom w:val="0"/>
      <w:divBdr>
        <w:top w:val="none" w:sz="0" w:space="0" w:color="auto"/>
        <w:left w:val="none" w:sz="0" w:space="0" w:color="auto"/>
        <w:bottom w:val="none" w:sz="0" w:space="0" w:color="auto"/>
        <w:right w:val="none" w:sz="0" w:space="0" w:color="auto"/>
      </w:divBdr>
    </w:div>
    <w:div w:id="966928497">
      <w:bodyDiv w:val="1"/>
      <w:marLeft w:val="0"/>
      <w:marRight w:val="0"/>
      <w:marTop w:val="0"/>
      <w:marBottom w:val="0"/>
      <w:divBdr>
        <w:top w:val="none" w:sz="0" w:space="0" w:color="auto"/>
        <w:left w:val="none" w:sz="0" w:space="0" w:color="auto"/>
        <w:bottom w:val="none" w:sz="0" w:space="0" w:color="auto"/>
        <w:right w:val="none" w:sz="0" w:space="0" w:color="auto"/>
      </w:divBdr>
    </w:div>
    <w:div w:id="1330909752">
      <w:bodyDiv w:val="1"/>
      <w:marLeft w:val="0"/>
      <w:marRight w:val="0"/>
      <w:marTop w:val="0"/>
      <w:marBottom w:val="0"/>
      <w:divBdr>
        <w:top w:val="none" w:sz="0" w:space="0" w:color="auto"/>
        <w:left w:val="none" w:sz="0" w:space="0" w:color="auto"/>
        <w:bottom w:val="none" w:sz="0" w:space="0" w:color="auto"/>
        <w:right w:val="none" w:sz="0" w:space="0" w:color="auto"/>
      </w:divBdr>
    </w:div>
    <w:div w:id="1368868206">
      <w:bodyDiv w:val="1"/>
      <w:marLeft w:val="0"/>
      <w:marRight w:val="0"/>
      <w:marTop w:val="0"/>
      <w:marBottom w:val="0"/>
      <w:divBdr>
        <w:top w:val="none" w:sz="0" w:space="0" w:color="auto"/>
        <w:left w:val="none" w:sz="0" w:space="0" w:color="auto"/>
        <w:bottom w:val="none" w:sz="0" w:space="0" w:color="auto"/>
        <w:right w:val="none" w:sz="0" w:space="0" w:color="auto"/>
      </w:divBdr>
    </w:div>
    <w:div w:id="1373531213">
      <w:bodyDiv w:val="1"/>
      <w:marLeft w:val="0"/>
      <w:marRight w:val="0"/>
      <w:marTop w:val="0"/>
      <w:marBottom w:val="0"/>
      <w:divBdr>
        <w:top w:val="none" w:sz="0" w:space="0" w:color="auto"/>
        <w:left w:val="none" w:sz="0" w:space="0" w:color="auto"/>
        <w:bottom w:val="none" w:sz="0" w:space="0" w:color="auto"/>
        <w:right w:val="none" w:sz="0" w:space="0" w:color="auto"/>
      </w:divBdr>
    </w:div>
    <w:div w:id="1633247777">
      <w:bodyDiv w:val="1"/>
      <w:marLeft w:val="0"/>
      <w:marRight w:val="0"/>
      <w:marTop w:val="0"/>
      <w:marBottom w:val="0"/>
      <w:divBdr>
        <w:top w:val="none" w:sz="0" w:space="0" w:color="auto"/>
        <w:left w:val="none" w:sz="0" w:space="0" w:color="auto"/>
        <w:bottom w:val="none" w:sz="0" w:space="0" w:color="auto"/>
        <w:right w:val="none" w:sz="0" w:space="0" w:color="auto"/>
      </w:divBdr>
    </w:div>
    <w:div w:id="1743411709">
      <w:bodyDiv w:val="1"/>
      <w:marLeft w:val="0"/>
      <w:marRight w:val="0"/>
      <w:marTop w:val="0"/>
      <w:marBottom w:val="0"/>
      <w:divBdr>
        <w:top w:val="none" w:sz="0" w:space="0" w:color="auto"/>
        <w:left w:val="none" w:sz="0" w:space="0" w:color="auto"/>
        <w:bottom w:val="none" w:sz="0" w:space="0" w:color="auto"/>
        <w:right w:val="none" w:sz="0" w:space="0" w:color="auto"/>
      </w:divBdr>
    </w:div>
    <w:div w:id="1748532817">
      <w:bodyDiv w:val="1"/>
      <w:marLeft w:val="0"/>
      <w:marRight w:val="0"/>
      <w:marTop w:val="0"/>
      <w:marBottom w:val="0"/>
      <w:divBdr>
        <w:top w:val="none" w:sz="0" w:space="0" w:color="auto"/>
        <w:left w:val="none" w:sz="0" w:space="0" w:color="auto"/>
        <w:bottom w:val="none" w:sz="0" w:space="0" w:color="auto"/>
        <w:right w:val="none" w:sz="0" w:space="0" w:color="auto"/>
      </w:divBdr>
    </w:div>
    <w:div w:id="1839077902">
      <w:bodyDiv w:val="1"/>
      <w:marLeft w:val="0"/>
      <w:marRight w:val="0"/>
      <w:marTop w:val="0"/>
      <w:marBottom w:val="0"/>
      <w:divBdr>
        <w:top w:val="none" w:sz="0" w:space="0" w:color="auto"/>
        <w:left w:val="none" w:sz="0" w:space="0" w:color="auto"/>
        <w:bottom w:val="none" w:sz="0" w:space="0" w:color="auto"/>
        <w:right w:val="none" w:sz="0" w:space="0" w:color="auto"/>
      </w:divBdr>
    </w:div>
    <w:div w:id="1893075881">
      <w:bodyDiv w:val="1"/>
      <w:marLeft w:val="0"/>
      <w:marRight w:val="0"/>
      <w:marTop w:val="0"/>
      <w:marBottom w:val="0"/>
      <w:divBdr>
        <w:top w:val="none" w:sz="0" w:space="0" w:color="auto"/>
        <w:left w:val="none" w:sz="0" w:space="0" w:color="auto"/>
        <w:bottom w:val="none" w:sz="0" w:space="0" w:color="auto"/>
        <w:right w:val="none" w:sz="0" w:space="0" w:color="auto"/>
      </w:divBdr>
    </w:div>
    <w:div w:id="211327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envogue.com/story/kim-kardashian-appropriation-fulani-braids" TargetMode="External"/><Relationship Id="rId3" Type="http://schemas.openxmlformats.org/officeDocument/2006/relationships/settings" Target="settings.xml"/><Relationship Id="rId7" Type="http://schemas.openxmlformats.org/officeDocument/2006/relationships/hyperlink" Target="http://www.bbc.com/news/magazine-352409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aps.org/wp-content/uploads/2022/12/ISAPS-Global-Survey_2021.pdf" TargetMode="External"/><Relationship Id="rId5" Type="http://schemas.openxmlformats.org/officeDocument/2006/relationships/hyperlink" Target="https://daily.jstor.org/how-natural-black-hair-at-work-became-a-civil-rights-issu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61</Pages>
  <Words>16463</Words>
  <Characters>87093</Characters>
  <Application>Microsoft Office Word</Application>
  <DocSecurity>0</DocSecurity>
  <Lines>1501</Lines>
  <Paragraphs>410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Tiana Bradham</dc:creator>
  <cp:keywords/>
  <dc:description/>
  <cp:lastModifiedBy>Tiana Bradham</cp:lastModifiedBy>
  <cp:revision>3</cp:revision>
  <dcterms:created xsi:type="dcterms:W3CDTF">2025-05-01T23:05:00Z</dcterms:created>
  <dcterms:modified xsi:type="dcterms:W3CDTF">2025-05-02T03:52:00Z</dcterms:modified>
</cp:coreProperties>
</file>