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CEFD26">
      <w:pPr>
        <w:pStyle w:val="9"/>
        <w:bidi w:val="0"/>
        <w:spacing w:line="360" w:lineRule="auto"/>
        <w:jc w:val="center"/>
        <w:rPr>
          <w:rFonts w:hint="default" w:ascii="Times New Roman Bold" w:hAnsi="Times New Roman Bold" w:cs="Times New Roman Bold"/>
          <w:b/>
          <w:bCs/>
        </w:rPr>
      </w:pPr>
      <w:r>
        <w:rPr>
          <w:rFonts w:hint="default" w:ascii="Times New Roman Bold" w:hAnsi="Times New Roman Bold" w:cs="Times New Roman Bold"/>
          <w:b/>
          <w:bCs/>
          <w:lang w:val="en-US"/>
        </w:rPr>
        <w:t xml:space="preserve">Chapter 2: </w:t>
      </w:r>
      <w:r>
        <w:rPr>
          <w:rFonts w:hint="default" w:ascii="Times New Roman Bold" w:hAnsi="Times New Roman Bold" w:cs="Times New Roman Bold"/>
          <w:b/>
          <w:bCs/>
        </w:rPr>
        <w:t>Understanding Contemporary International Relations Discourse: Cybersecurity and Non-Traditional Theories</w:t>
      </w:r>
    </w:p>
    <w:p w14:paraId="39E81BA4">
      <w:pPr>
        <w:pStyle w:val="9"/>
        <w:bidi w:val="0"/>
        <w:spacing w:line="360" w:lineRule="auto"/>
        <w:jc w:val="both"/>
        <w:rPr>
          <w:rFonts w:hint="default" w:ascii="Times New Roman Regular" w:hAnsi="Times New Roman Regular" w:cs="Times New Roman Regular"/>
        </w:rPr>
      </w:pPr>
    </w:p>
    <w:p w14:paraId="60AEEA69">
      <w:pPr>
        <w:pStyle w:val="9"/>
        <w:bidi w:val="0"/>
        <w:spacing w:line="360" w:lineRule="auto"/>
        <w:jc w:val="both"/>
        <w:rPr>
          <w:rFonts w:hint="default" w:ascii="Times New Roman Bold" w:hAnsi="Times New Roman Bold" w:cs="Times New Roman Bold"/>
          <w:b/>
          <w:bCs/>
        </w:rPr>
      </w:pPr>
      <w:r>
        <w:rPr>
          <w:rFonts w:hint="default" w:ascii="Times New Roman Bold" w:hAnsi="Times New Roman Bold" w:cs="Times New Roman Bold"/>
          <w:b/>
          <w:bCs/>
        </w:rPr>
        <w:t>Introduction</w:t>
      </w:r>
    </w:p>
    <w:p w14:paraId="3C0189CA">
      <w:pPr>
        <w:pStyle w:val="9"/>
        <w:bidi w:val="0"/>
        <w:spacing w:line="360" w:lineRule="auto"/>
        <w:jc w:val="both"/>
        <w:rPr>
          <w:rFonts w:hint="default" w:ascii="Times New Roman Regular" w:hAnsi="Times New Roman Regular" w:cs="Times New Roman Regular"/>
        </w:rPr>
      </w:pPr>
    </w:p>
    <w:p w14:paraId="6A94141C">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The accelerating digitization of global life has profoundly transformed the landscape of international security. As cyberspace emerges as both a critical infrastructure and a contested political terrain, the foundational assumptions of International Relations (IR)—especially those rooted in realist and liberal traditions—face increasing scrutiny. Traditional state-centric security frameworks, preoccupied with territorial sovereignty, military threats, and geopolitical rivalries, struggle to account for the fluid, decentralized, and transnational nature of cyber threats (Aradau et al., 2014; Nwabueze, 2024). These threats are not confined to national borders or interstate conflict; instead, they involve complex interactions among states, corporations, non-state actors, and marginalized communities. More importantly, they expose the inadequacy of conventional paradigms to grapple with the epistemic and ethical dimensions of digital governance.</w:t>
      </w:r>
    </w:p>
    <w:p w14:paraId="0C554B81">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This chapter undertakes a critical interrogation of cybersecurity through the lenses of securitization theory, postcolonial theory, and decolonial thought. It argues that cybersecurity must be reconceptualized not merely as a matter of technical defense or strategic deterrence, but as an epistemological and political project deeply embedded in global power relations. As Buzan and Waever (2003) and Baldwin (1997) note, security itself is an "essentially contested concept," and nowhere is this more evident than in the digital realm. The proliferation of algorithmic systems, surveillance infrastructures, and data regimes reveals that cybersecurity is as much about the control of knowledge and subjectivity as it is about protecting information systems.</w:t>
      </w:r>
    </w:p>
    <w:p w14:paraId="719F224F">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The chapter first examines how non-traditional security studies challenge the militarized, statist, and Eurocentric foundations of traditional IR security paradigms by shifting the referent object from the state to individuals, communities, and transnational assemblages (Peoples &amp; Vaughan-Williams, 2023). It explores how securitization theory, developed by the Copenhagen School, conceptualizes cybersecurity threats as discursive constructions, often used to legitimize exceptional measures such as surveillance, censorship, or militarization (Shahid, 2023; E-International Relations, 2018). However, this theory’s Eurocentric and methodological limitations invite deeper critiques from postcolonial and decolonial scholars who foreground historical injustices, colonial residues, and epistemic hierarchies in global security practices (Barkawi &amp; Laffey, 2006; Bertrand, 2021).</w:t>
      </w:r>
    </w:p>
    <w:p w14:paraId="5BAA8E42">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Building on this critique, the chapter introduces the concept of algorithmic colonialism to describe how artificial intelligence (AI), data infrastructures, and surveillance systems perpetuate colonial power dynamics through digital means (Hung, 2024; Nair, 2025). Concentrated technological control, opaque algorithms, and exploitative labor practices in the Global South reflect a neo-colonial restructuring of global knowledge economies (Birhane, 2020; Mohamed et al., 2020). It argues that these dynamics must be understood not only as political-economic asymmetries but also as epistemological threats that delegitimize non-Western and Indigenous knowledge systems</w:t>
      </w:r>
      <w:r>
        <w:rPr>
          <w:rFonts w:hint="default" w:ascii="Times New Roman Regular" w:hAnsi="Times New Roman Regular" w:cs="Times New Roman Regular"/>
          <w:lang w:val="en-US"/>
        </w:rPr>
        <w:t xml:space="preserve"> hindering security in cyberpsace</w:t>
      </w:r>
      <w:r>
        <w:rPr>
          <w:rFonts w:hint="default" w:ascii="Times New Roman Regular" w:hAnsi="Times New Roman Regular" w:cs="Times New Roman Regular"/>
        </w:rPr>
        <w:t>.</w:t>
      </w:r>
    </w:p>
    <w:p w14:paraId="1EBF14AA">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To counter this, the chapter reconceptualizes sovereignty using Robert Cox’s (1987) theory of relational sovereignty, showing how digital sovereignty is no longer confined to territorial borders but is negotiated through multiscalar interactions among states, corporations, and civil society actors (Pohle &amp; Thiel, 2020). Particular attention is paid to digital indigeneity, a critical framework that foregrounds Indigenous communities’ efforts to reclaim data governance, technological autonomy, and epistemic sovereignty through culturally rooted and community-driven practices (First Nations Data Governance Strategy, 2020; Institute for Local Self-Reliance, 2024).</w:t>
      </w:r>
    </w:p>
    <w:p w14:paraId="113DF054">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Moreover, drawing on Michel Foucault’s (2008) notion of biopolitics and Achille Mbembe’s (2003) theory of necropolitics, the chapter reframes cybersecurity as a mechanism of life and death governance. Data governance, algorithmic control, and digital exclusion are shown to be biopolitical operations that sort populations, manage visibility, and determine whose lives are rendered valuable or disposable (Amoore &amp; Piotukh, 2015; Zuboff, 2019). These actions are not impartial; they are rooted in the frameworks of securitization and control, perpetuating racial, geopolitical, and epistemic hierarchies.</w:t>
      </w:r>
    </w:p>
    <w:p w14:paraId="76BB2E2F">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 xml:space="preserve">Ultimately, the chapter advocates for a hybrid theoretical model that synthesizes critical, postcolonial, and decolonial approaches to cybersecurity, offering a comprehensive framework that addresses power asymmetries, cultural autonomy, and justice-oriented digital security solutions. This model resists binary frameworks—such as state vs. non-state, technical vs. political, or reform vs. rupture—and instead embraces a pluralistic, justice-oriented vision of digital security. By centering concepts such as epistemic violence (Spivak, 1988), coloniality of power (Quijano, 2000), digital sovereignty, and epistemic security, the chapter highlights the need to shift from </w:t>
      </w:r>
      <w:r>
        <w:rPr>
          <w:rFonts w:hint="default" w:ascii="Times New Roman Regular" w:hAnsi="Times New Roman Regular" w:cs="Times New Roman Regular"/>
          <w:lang w:val="en-US"/>
        </w:rPr>
        <w:t xml:space="preserve">absolute </w:t>
      </w:r>
      <w:r>
        <w:rPr>
          <w:rFonts w:hint="default" w:ascii="Times New Roman Regular" w:hAnsi="Times New Roman Regular" w:cs="Times New Roman Regular"/>
        </w:rPr>
        <w:t>militarized cyber defense toward the protection of diverse knowledge systems, cultural autonomy, and equitable digital futures.</w:t>
      </w:r>
    </w:p>
    <w:p w14:paraId="7C92ADEB">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In doing so, this chapter contributes to a growing body of scholarship that seeks to decolonize cybersecurity discourse, democratize digital governance, and reimagine security as a condition for epistemic liberation, not just</w:t>
      </w:r>
      <w:r>
        <w:rPr>
          <w:rFonts w:hint="default" w:ascii="Times New Roman Regular" w:hAnsi="Times New Roman Regular" w:cs="Times New Roman Regular"/>
          <w:lang w:val="en-US"/>
        </w:rPr>
        <w:t xml:space="preserve"> only military and </w:t>
      </w:r>
      <w:r>
        <w:rPr>
          <w:rFonts w:hint="default" w:ascii="Times New Roman Regular" w:hAnsi="Times New Roman Regular" w:cs="Times New Roman Regular"/>
        </w:rPr>
        <w:t xml:space="preserve"> strategic survival. It argues that in the digital age, cybersecurity is not simply about protecting infrastructures—it is about safeguarding the plural lifeworlds, ontologies, and epistemologies that cyberspace can either enable or erase.</w:t>
      </w:r>
    </w:p>
    <w:p w14:paraId="0BC4C5C8">
      <w:pPr>
        <w:pStyle w:val="9"/>
        <w:bidi w:val="0"/>
        <w:spacing w:line="360" w:lineRule="auto"/>
        <w:jc w:val="both"/>
        <w:rPr>
          <w:rFonts w:hint="default" w:ascii="Times New Roman Bold" w:hAnsi="Times New Roman Bold" w:cs="Times New Roman Bold"/>
          <w:b/>
          <w:bCs/>
        </w:rPr>
      </w:pPr>
      <w:r>
        <w:rPr>
          <w:rFonts w:hint="default" w:ascii="Times New Roman Regular" w:hAnsi="Times New Roman Regular" w:cs="Times New Roman Regular"/>
        </w:rPr>
        <w:t> </w:t>
      </w:r>
    </w:p>
    <w:p w14:paraId="60D1C5C9">
      <w:pPr>
        <w:pStyle w:val="9"/>
        <w:bidi w:val="0"/>
        <w:spacing w:line="360" w:lineRule="auto"/>
        <w:jc w:val="both"/>
        <w:rPr>
          <w:rFonts w:hint="default" w:ascii="Times New Roman Bold" w:hAnsi="Times New Roman Bold" w:cs="Times New Roman Bold"/>
          <w:b/>
          <w:bCs/>
        </w:rPr>
      </w:pPr>
      <w:r>
        <w:rPr>
          <w:rFonts w:hint="default" w:ascii="Times New Roman Bold" w:hAnsi="Times New Roman Bold" w:cs="Times New Roman Bold"/>
          <w:b/>
          <w:bCs/>
        </w:rPr>
        <w:t>Rethinking Security: From State-Centrism to Non-traditional Security Studies</w:t>
      </w:r>
    </w:p>
    <w:p w14:paraId="32A9A6A2">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 </w:t>
      </w:r>
    </w:p>
    <w:p w14:paraId="392E0A13">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Traditionally, security has been closely linked to the state's logic. Rooted in realist theory, this traditional paradigm views the state as the primary guarantor of security, with sovereignty, territorial integrity, and military might forming the core of its protective apparatus. Within this framework, threats are understood in primarily military terms—warfare, invasions, and external aggression—reaffirming the Westphalian notion of states as autonomous actors operating in an anarchic international system (Aradau et al., 2014; Nwabueze, 2024). Such a perspective leaves little room for the consideration of societal vulnerabilities or the growing influence of non-state actors.</w:t>
      </w:r>
    </w:p>
    <w:p w14:paraId="29F874CE">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However, the changing landscape of global insecurity has questioned these core beliefs. The acceleration of globalization and the rise of transnational threats—such as organized crime, terrorism, climate change, and cyber</w:t>
      </w:r>
      <w:r>
        <w:rPr>
          <w:rFonts w:hint="default" w:ascii="Times New Roman Regular" w:hAnsi="Times New Roman Regular" w:cs="Times New Roman Regular"/>
          <w:lang w:val="en-US"/>
        </w:rPr>
        <w:t>warfare</w:t>
      </w:r>
      <w:r>
        <w:rPr>
          <w:rFonts w:hint="default" w:ascii="Times New Roman Regular" w:hAnsi="Times New Roman Regular" w:cs="Times New Roman Regular"/>
        </w:rPr>
        <w:t>—highlight the inadequacy of viewing security through a purely state-centric, militarized lens. Phenomena like transnational organized crime do not respect borders and cannot be effectively addressed through unilateral state actions, thus demanding a broader, more nuanced understanding of what constitutes a security threat (Aradau et al., 2014).</w:t>
      </w:r>
    </w:p>
    <w:p w14:paraId="498EA0CF">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This recognition of complexity gave rise to Non- traditional security studies (NTS), a field shaped by critical theory that seeks to expand the boundaries of security thinking. Rather than privileging the state, NTS shifts the referent object of security to include individuals, communities, and even global systems (Peoples &amp; Vaughan-Williams, 2023). It interrogates the underlying assumptions of realism, particularly its emphasis on militarism and sovereignty, and insists on the importance of structural inequalities, social justice, and human security (Nwabueze, 2024; Peoples &amp; Vaughan-Williams, 2023).</w:t>
      </w:r>
    </w:p>
    <w:p w14:paraId="2FBB4BF6">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A major intellectual intervention from NTS is securitization theory, developed by the Copenhagen School, which focuses on how political discourse frames issues as existential threats. This performative aspect of security—treating it as a "speech act"—reveals how topics like migration, pandemics, or climate change can become securitized depending on how they are constructed in public and political spaces (Nwabueze, 2024; Peoples &amp; Vaughan-Williams, 2023). Crucially, NTS emphasizes the ethical dimensions of these practices, calling for more inclusive approaches that center the voices of those historically excluded from security discourse—refugees, indigenous groups, and others subjected to structural violence (Peoples &amp; Vaughan-Williams, 2023).</w:t>
      </w:r>
    </w:p>
    <w:p w14:paraId="39980947">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 xml:space="preserve">The move from traditional to </w:t>
      </w:r>
      <w:r>
        <w:rPr>
          <w:rFonts w:hint="default" w:ascii="Times New Roman Regular" w:hAnsi="Times New Roman Regular" w:cs="Times New Roman Regular"/>
          <w:lang w:val="en-US"/>
        </w:rPr>
        <w:t>non-traditional</w:t>
      </w:r>
      <w:r>
        <w:rPr>
          <w:rFonts w:hint="default" w:ascii="Times New Roman Regular" w:hAnsi="Times New Roman Regular" w:cs="Times New Roman Regular"/>
        </w:rPr>
        <w:t xml:space="preserve"> paradigms also involves recognizing the increasing agency of non-state actors (NSAs) in global security processes, such as how NGOs advocate for human rights, tech companies shape cybersecurity policies, and insurgent groups challenge traditional governance structures. These actors—ranging from NGOs and tech companies to insurgent groups and transnational advocacy networks—are not merely supporting cast but central players in reshaping security governance (Luitel, 2024; Bruderlein, 2000). NSAs push for a more people-centered security agenda, bringing visibility to issues like gender-based violence, environmental degradation, and digital threats, often framing these as urgent security concerns (Eranna, 2022).</w:t>
      </w:r>
    </w:p>
    <w:p w14:paraId="652D80DE">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Their role is not limited to agenda-setting. NSAs frequently engage in hybrid governance structures, working alongside states in responding to pandemics, cyberattacks, and humanitarian crises. Public-private partnerships, for instance, have become indispensable in cybersecurity, where tech companies provide tools and expertise that states alone lack, fostering innovation, information sharing, and rapid response to emerging cyber threats. (Lak, 2009). Meanwhile, transnational advocacy groups like Human Rights Watch leverage global platforms to hold states accountable for rights violations (Bruderlein, 2000).</w:t>
      </w:r>
    </w:p>
    <w:p w14:paraId="65C82003">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Nonetheless, this diversification of security actors complicates the traditional landscape. In weak or failed states, armed groups often take on governance functions, and the rise of private military contractors raises questions about accountability and legitimacy (Lak, 2009). Many NSAs also operate under the shadow of state dependency, reliant on government support for legal recognition and resources (Bruderlein, 2000). Others, such as terrorist organizations or hacktivist networks, directly contest state authority, exploiting governance vacuums and digital spaces to pursue their agendas (Luitel, 2024).</w:t>
      </w:r>
    </w:p>
    <w:p w14:paraId="1B29DF8E">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Cyberspace, especially, has become a space where the foundations of traditional security paradigms are challenged. Critical theorists reject the framing of cybersecurity as a neutral technical issue and instead view it as deeply political—entangled with global inequalities, corporate power, and surveillance regimes (Verma, 2024). Dominant narratives around cybersecurity often reflect the priorities of powerful states and corporations, sidelining civil society and Global South perspectives. This has led to calls for democratic, participatory forms of digital governance that uphold justice and human rights (Shahid, 2023).</w:t>
      </w:r>
    </w:p>
    <w:p w14:paraId="5E914A32">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Securitization theory provides a valuable tool for analyzing how cybersecurity is constructed as a threat. By conceptualizing security as a discursive process, it reveals how political actors shape perceptions of cyber threats to legitimize extraordinary measures (Shahid, 2023). However, there is a growing recognition of the theory's limitations. Scholars have critiqued its Eurocentrism, methodological vagueness, and overreliance on state-centric frameworks (Baele &amp; Jalea, 2023; Barkawi &amp; Laffey, 2006). These critiques have paved the way for postcolonial theory to offer a more grounded, inclusive, and historically attuned approach to cybersecurity.</w:t>
      </w:r>
    </w:p>
    <w:p w14:paraId="4CB715DA">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Postcolonial theory foregrounds the legacies of empire, colonialism, and racial capitalism in shaping contemporary security practices. It challenges the presumed universality of concepts like "digital sovereignty," exposing how cybersecurity agendas in the Global South often replicate colonial patterns of control and exclusion (Barkawi &amp; Laffey, 2006). Drawing on thinkers like Spivak (1988), postcolonial scholars ask whether subaltern voices—those most affected by digital surveillance and infrastructural neglect—are truly heard in global security dialogues.</w:t>
      </w:r>
    </w:p>
    <w:p w14:paraId="482DFD6C">
      <w:pPr>
        <w:pStyle w:val="9"/>
        <w:bidi w:val="0"/>
        <w:spacing w:line="360" w:lineRule="auto"/>
        <w:jc w:val="both"/>
        <w:rPr>
          <w:rFonts w:hint="default" w:ascii="Times New Roman Bold" w:hAnsi="Times New Roman Bold" w:cs="Times New Roman Bold"/>
          <w:b/>
          <w:bCs/>
        </w:rPr>
      </w:pPr>
      <w:r>
        <w:rPr>
          <w:rFonts w:hint="default" w:ascii="Times New Roman Bold" w:hAnsi="Times New Roman Bold" w:cs="Times New Roman Bold"/>
          <w:b/>
          <w:bCs/>
        </w:rPr>
        <w:t> </w:t>
      </w:r>
    </w:p>
    <w:p w14:paraId="086337C3">
      <w:pPr>
        <w:pStyle w:val="9"/>
        <w:bidi w:val="0"/>
        <w:spacing w:line="360" w:lineRule="auto"/>
        <w:jc w:val="both"/>
        <w:rPr>
          <w:rFonts w:hint="default" w:ascii="Times New Roman Bold" w:hAnsi="Times New Roman Bold" w:cs="Times New Roman Bold"/>
          <w:b/>
          <w:bCs/>
        </w:rPr>
      </w:pPr>
      <w:r>
        <w:rPr>
          <w:rFonts w:hint="default" w:ascii="Times New Roman Bold" w:hAnsi="Times New Roman Bold" w:cs="Times New Roman Bold"/>
          <w:b/>
          <w:bCs/>
        </w:rPr>
        <w:t>Comparative table from the lens of cybersecurity governance</w:t>
      </w:r>
    </w:p>
    <w:tbl>
      <w:tblPr>
        <w:tblStyle w:val="6"/>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62"/>
        <w:gridCol w:w="1750"/>
        <w:gridCol w:w="1920"/>
        <w:gridCol w:w="1362"/>
        <w:gridCol w:w="2102"/>
      </w:tblGrid>
      <w:tr w14:paraId="102834B6">
        <w:tblPrEx>
          <w:shd w:val="clear" w:color="auto" w:fill="auto"/>
        </w:tblPrEx>
        <w:trPr>
          <w:tblCellSpacing w:w="15" w:type="dxa"/>
        </w:trPr>
        <w:tc>
          <w:tcPr>
            <w:tcW w:w="0" w:type="auto"/>
            <w:shd w:val="clear" w:color="auto" w:fill="auto"/>
            <w:vAlign w:val="center"/>
          </w:tcPr>
          <w:p w14:paraId="1E89712E">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Perspective</w:t>
            </w:r>
          </w:p>
        </w:tc>
        <w:tc>
          <w:tcPr>
            <w:tcW w:w="0" w:type="auto"/>
            <w:shd w:val="clear" w:color="auto" w:fill="auto"/>
            <w:vAlign w:val="center"/>
          </w:tcPr>
          <w:p w14:paraId="0522B196">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Key Referent</w:t>
            </w:r>
          </w:p>
        </w:tc>
        <w:tc>
          <w:tcPr>
            <w:tcW w:w="0" w:type="auto"/>
            <w:shd w:val="clear" w:color="auto" w:fill="auto"/>
            <w:vAlign w:val="center"/>
          </w:tcPr>
          <w:p w14:paraId="03EA899C">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View of Threat</w:t>
            </w:r>
          </w:p>
        </w:tc>
        <w:tc>
          <w:tcPr>
            <w:tcW w:w="0" w:type="auto"/>
            <w:shd w:val="clear" w:color="auto" w:fill="auto"/>
            <w:vAlign w:val="center"/>
          </w:tcPr>
          <w:p w14:paraId="01C6231A">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Key Actor</w:t>
            </w:r>
          </w:p>
        </w:tc>
        <w:tc>
          <w:tcPr>
            <w:tcW w:w="0" w:type="auto"/>
            <w:shd w:val="clear" w:color="auto" w:fill="auto"/>
            <w:vAlign w:val="center"/>
          </w:tcPr>
          <w:p w14:paraId="24D435AB">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Example</w:t>
            </w:r>
          </w:p>
        </w:tc>
      </w:tr>
      <w:tr w14:paraId="05FA5506">
        <w:tblPrEx>
          <w:shd w:val="clear" w:color="auto" w:fill="auto"/>
        </w:tblPrEx>
        <w:trPr>
          <w:tblCellSpacing w:w="15" w:type="dxa"/>
        </w:trPr>
        <w:tc>
          <w:tcPr>
            <w:tcW w:w="0" w:type="auto"/>
            <w:shd w:val="clear" w:color="auto" w:fill="auto"/>
            <w:vAlign w:val="center"/>
          </w:tcPr>
          <w:p w14:paraId="61799BA0">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Realism</w:t>
            </w:r>
          </w:p>
        </w:tc>
        <w:tc>
          <w:tcPr>
            <w:tcW w:w="0" w:type="auto"/>
            <w:shd w:val="clear" w:color="auto" w:fill="auto"/>
            <w:vAlign w:val="center"/>
          </w:tcPr>
          <w:p w14:paraId="74DFD0E6">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State</w:t>
            </w:r>
          </w:p>
        </w:tc>
        <w:tc>
          <w:tcPr>
            <w:tcW w:w="0" w:type="auto"/>
            <w:shd w:val="clear" w:color="auto" w:fill="auto"/>
            <w:vAlign w:val="center"/>
          </w:tcPr>
          <w:p w14:paraId="38AAC8F0">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External/Military</w:t>
            </w:r>
          </w:p>
        </w:tc>
        <w:tc>
          <w:tcPr>
            <w:tcW w:w="0" w:type="auto"/>
            <w:shd w:val="clear" w:color="auto" w:fill="auto"/>
            <w:vAlign w:val="center"/>
          </w:tcPr>
          <w:p w14:paraId="6AB02D4A">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State</w:t>
            </w:r>
          </w:p>
        </w:tc>
        <w:tc>
          <w:tcPr>
            <w:tcW w:w="0" w:type="auto"/>
            <w:shd w:val="clear" w:color="auto" w:fill="auto"/>
            <w:vAlign w:val="center"/>
          </w:tcPr>
          <w:p w14:paraId="3623B28A">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NATO</w:t>
            </w:r>
          </w:p>
        </w:tc>
      </w:tr>
      <w:tr w14:paraId="766E5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blCellSpacing w:w="15" w:type="dxa"/>
        </w:trPr>
        <w:tc>
          <w:tcPr>
            <w:tcW w:w="0" w:type="auto"/>
            <w:shd w:val="clear" w:color="auto" w:fill="auto"/>
            <w:vAlign w:val="center"/>
          </w:tcPr>
          <w:p w14:paraId="0E425FB9">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NTS</w:t>
            </w:r>
          </w:p>
        </w:tc>
        <w:tc>
          <w:tcPr>
            <w:tcW w:w="0" w:type="auto"/>
            <w:shd w:val="clear" w:color="auto" w:fill="auto"/>
            <w:vAlign w:val="center"/>
          </w:tcPr>
          <w:p w14:paraId="24D5ED4E">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Individual, Community</w:t>
            </w:r>
          </w:p>
        </w:tc>
        <w:tc>
          <w:tcPr>
            <w:tcW w:w="0" w:type="auto"/>
            <w:shd w:val="clear" w:color="auto" w:fill="auto"/>
            <w:vAlign w:val="center"/>
          </w:tcPr>
          <w:p w14:paraId="1F795BB8">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Structural</w:t>
            </w:r>
          </w:p>
        </w:tc>
        <w:tc>
          <w:tcPr>
            <w:tcW w:w="0" w:type="auto"/>
            <w:shd w:val="clear" w:color="auto" w:fill="auto"/>
            <w:vAlign w:val="center"/>
          </w:tcPr>
          <w:p w14:paraId="6D48336D">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NSA, NGOs</w:t>
            </w:r>
          </w:p>
        </w:tc>
        <w:tc>
          <w:tcPr>
            <w:tcW w:w="0" w:type="auto"/>
            <w:shd w:val="clear" w:color="auto" w:fill="auto"/>
            <w:vAlign w:val="center"/>
          </w:tcPr>
          <w:p w14:paraId="64029AAF">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HRW</w:t>
            </w:r>
          </w:p>
        </w:tc>
      </w:tr>
      <w:tr w14:paraId="69456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blCellSpacing w:w="15" w:type="dxa"/>
        </w:trPr>
        <w:tc>
          <w:tcPr>
            <w:tcW w:w="0" w:type="auto"/>
            <w:shd w:val="clear" w:color="auto" w:fill="auto"/>
            <w:vAlign w:val="center"/>
          </w:tcPr>
          <w:p w14:paraId="72E6454D">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Postcolonial</w:t>
            </w:r>
          </w:p>
        </w:tc>
        <w:tc>
          <w:tcPr>
            <w:tcW w:w="0" w:type="auto"/>
            <w:shd w:val="clear" w:color="auto" w:fill="auto"/>
            <w:vAlign w:val="center"/>
          </w:tcPr>
          <w:p w14:paraId="77F7B848">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Subaltern</w:t>
            </w:r>
          </w:p>
        </w:tc>
        <w:tc>
          <w:tcPr>
            <w:tcW w:w="0" w:type="auto"/>
            <w:shd w:val="clear" w:color="auto" w:fill="auto"/>
            <w:vAlign w:val="center"/>
          </w:tcPr>
          <w:p w14:paraId="51DE14F4">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Colonial Continuities</w:t>
            </w:r>
          </w:p>
        </w:tc>
        <w:tc>
          <w:tcPr>
            <w:tcW w:w="0" w:type="auto"/>
            <w:shd w:val="clear" w:color="auto" w:fill="auto"/>
            <w:vAlign w:val="center"/>
          </w:tcPr>
          <w:p w14:paraId="1DD74C3F">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Global South Actors</w:t>
            </w:r>
          </w:p>
        </w:tc>
        <w:tc>
          <w:tcPr>
            <w:tcW w:w="0" w:type="auto"/>
            <w:shd w:val="clear" w:color="auto" w:fill="auto"/>
            <w:vAlign w:val="center"/>
          </w:tcPr>
          <w:p w14:paraId="70B18343">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India’s data localization policy</w:t>
            </w:r>
          </w:p>
        </w:tc>
      </w:tr>
    </w:tbl>
    <w:p w14:paraId="07F87427">
      <w:pPr>
        <w:pStyle w:val="9"/>
        <w:bidi w:val="0"/>
        <w:spacing w:line="360" w:lineRule="auto"/>
        <w:jc w:val="both"/>
        <w:rPr>
          <w:rFonts w:hint="default" w:ascii="Times New Roman Regular" w:hAnsi="Times New Roman Regular" w:cs="Times New Roman Regular"/>
        </w:rPr>
      </w:pPr>
    </w:p>
    <w:p w14:paraId="5939D8F8">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Moreover, postcolonial perspectives highlight the mutual constitution of Global North and South security environments. Cyber threats like ransomware do not recognize borders; they reveal the interconnectedness of digital systems and the need for equitable responses rooted in cooperation and justice (Peoples &amp; Vaughan-Williams, 2020). Markiewicz (2023) demonstrates how digital infrastructures in Africa mirror persistent patterns of external control, highlighting the crucial need for context-sensitive and historically informed cybersecurity policies.</w:t>
      </w:r>
    </w:p>
    <w:p w14:paraId="04250BBA">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From the concept of just securitization theory, postcolonial cybersecurity frameworks call for subsidiarity—placing decision-making power in the hands of those most affected by security threats. In sum, the evolution from traditional security thinking to critical and postcolonial approaches marks a vital shift in how we conceptualize, analyze, and address security challenges. While state-centric theories remain relevant, especially in matters of military defense, they fall short in confronting the multifaceted, deeply embedded, and often invisible threats of the 21st century.</w:t>
      </w:r>
    </w:p>
    <w:p w14:paraId="1094D0DE">
      <w:pPr>
        <w:pStyle w:val="9"/>
        <w:bidi w:val="0"/>
        <w:spacing w:line="360" w:lineRule="auto"/>
        <w:jc w:val="both"/>
        <w:rPr>
          <w:rFonts w:hint="default" w:ascii="Times New Roman Bold" w:hAnsi="Times New Roman Bold" w:cs="Times New Roman Bold"/>
          <w:b/>
          <w:bCs/>
        </w:rPr>
      </w:pPr>
    </w:p>
    <w:p w14:paraId="3AFFA37C">
      <w:pPr>
        <w:pStyle w:val="9"/>
        <w:bidi w:val="0"/>
        <w:spacing w:line="360" w:lineRule="auto"/>
        <w:jc w:val="both"/>
        <w:rPr>
          <w:rFonts w:hint="default" w:ascii="Times New Roman Bold" w:hAnsi="Times New Roman Bold" w:cs="Times New Roman Bold"/>
          <w:b/>
          <w:bCs/>
        </w:rPr>
      </w:pPr>
      <w:r>
        <w:rPr>
          <w:rFonts w:hint="default" w:ascii="Times New Roman Bold" w:hAnsi="Times New Roman Bold" w:cs="Times New Roman Bold"/>
          <w:b/>
          <w:bCs/>
        </w:rPr>
        <w:t>Reconceptualizing Cybersecurity through Security Perception, Securitization, and Non-Traditional Security Frameworks</w:t>
      </w:r>
    </w:p>
    <w:p w14:paraId="61771F97">
      <w:pPr>
        <w:pStyle w:val="9"/>
        <w:bidi w:val="0"/>
        <w:spacing w:line="360" w:lineRule="auto"/>
        <w:jc w:val="both"/>
        <w:rPr>
          <w:rFonts w:hint="default" w:ascii="Times New Roman Regular" w:hAnsi="Times New Roman Regular" w:cs="Times New Roman Regular"/>
        </w:rPr>
      </w:pPr>
    </w:p>
    <w:p w14:paraId="5E958E7B">
      <w:pPr>
        <w:pStyle w:val="9"/>
        <w:bidi w:val="0"/>
        <w:spacing w:line="360" w:lineRule="auto"/>
        <w:jc w:val="both"/>
      </w:pPr>
      <w:r>
        <w:t>Cybersecurity today transcends its traditional technical and operational boundaries, emerging as a deeply contested socio-political and epistemological domain. Recent scholarship emphasizes that cyber threats involve more than issues of data integrity or infrastructural resilience; they are also embedded in struggles over knowledge production and the power dynamics that govern digital infrastructures (Wiscomp, 2010; Observer Research Foundation, 2023). This expanded understanding necessitates an interdisciplinary analytical lens, incorporating security perception theory, securitization theory, and non-traditional security (NTS) frameworks to interrogate how threats are constructed, framed, and responded to.</w:t>
      </w:r>
    </w:p>
    <w:p w14:paraId="256F790A">
      <w:pPr>
        <w:pStyle w:val="9"/>
        <w:bidi w:val="0"/>
        <w:spacing w:line="360" w:lineRule="auto"/>
        <w:jc w:val="both"/>
      </w:pPr>
      <w:r>
        <w:t>Security perception theory, for instance, highlights how responses to cyber threats are often shaped by cognitive biases and institutional narratives rather than empirical assessments. Van Schaik et al. (2017) show that optimism bias and the perceived inconvenience of protective measures often lead to avoidance behaviors at both the individual and institutional levels. As a result, cybersecurity strategies frequently reflect subjective threat perceptions shaped by prevailing political and media narratives, which tend to prioritize national security and privacy over broader societal concerns. This misalignment between actual vulnerabilities and perceived threats contributes to gaps in both public awareness and institutional resilience.</w:t>
      </w:r>
    </w:p>
    <w:p w14:paraId="17E9C4FA">
      <w:pPr>
        <w:pStyle w:val="9"/>
        <w:bidi w:val="0"/>
        <w:spacing w:line="360" w:lineRule="auto"/>
        <w:jc w:val="both"/>
      </w:pPr>
      <w:r>
        <w:t>From a postcolonial standpoint, cyberspace is not a neutral terrain but a site of epistemic subjugation, where dominant Western security paradigms marginalize indigenous, subaltern, and non-Western epistemologies. The erasure or sidelining of alternative ways of knowing reflects deeper colonial continuities in digital governance and technological design. In parallel, decolonial theory positions cyberspace as a locus of epistemic rupture—where contestations over knowledge and ontological frameworks give rise to new, pluralistic digital imaginaries. Together, these perspectives challenge the conventional framing of cybersecurity as a purely technical issue and instead conceptualize it as a fluid socio-political construct shaped by histories of power, knowledge hierarchies, and resistance.</w:t>
      </w:r>
    </w:p>
    <w:p w14:paraId="48694A23">
      <w:pPr>
        <w:pStyle w:val="9"/>
        <w:bidi w:val="0"/>
        <w:spacing w:line="360" w:lineRule="auto"/>
        <w:jc w:val="both"/>
      </w:pPr>
      <w:r>
        <w:t>Traditional cybersecurity approaches remain largely state-centric, privileging the protection of military assets and critical infrastructure within a realist paradigm that foregrounds national over human or societal security (ICT4Peace, n.d.; U.S. Department of Defense, n.d.). This privileging of state-centric logics has epistemological implications: it elevates certain forms of knowledge—namely those aligned with state and corporate interests—while rendering others invisible. For example, the U.S. International Strategy for Cyberspace emphasizes national resilience but neglects the vulnerabilities of civil society actors, thus reinforcing a hierarchy that determines whose digital safety is valued.</w:t>
      </w:r>
    </w:p>
    <w:p w14:paraId="14292450">
      <w:pPr>
        <w:pStyle w:val="9"/>
        <w:bidi w:val="0"/>
        <w:spacing w:line="360" w:lineRule="auto"/>
        <w:jc w:val="both"/>
      </w:pPr>
      <w:r>
        <w:t>This state-focused model is increasingly inadequate when faced with biopolitical and existential cyber threats. The rise of surveillance capitalism, transnational crime on the Darknet, and behavioral manipulation reflect new forms of harm that destabilize social cohesion rather than directly attacking state functions (Depeppe, 2018). These decentralized, asymmetric threats expose deep structural flaws in existing cybersecurity architectures, particularly their inability to counter the economic and informational logics sustaining cybercrime and disinformation networks.</w:t>
      </w:r>
    </w:p>
    <w:p w14:paraId="5D8C50B4">
      <w:pPr>
        <w:pStyle w:val="9"/>
        <w:bidi w:val="0"/>
        <w:spacing w:line="360" w:lineRule="auto"/>
        <w:jc w:val="both"/>
      </w:pPr>
      <w:r>
        <w:t>Moreover, cyber threats today extend into the epistemic realm, targeting the very conditions under which knowledge is produced, validated, and shared. Disinformation campaigns, deepfakes, and algorithmic manipulations compromise institutional credibility, scientific discourse, and democratic deliberation (Seger, 2023). The COVID-19 pandemic vividly illustrated these dynamics, as misinformation undermined public health initiatives and fractured collective trust in expert systems. As digital life increasingly relies on data and information flows, safeguarding knowledge systems becomes paramount—giving rise to the concept of epistemic security.</w:t>
      </w:r>
    </w:p>
    <w:p w14:paraId="7340A71D">
      <w:pPr>
        <w:pStyle w:val="9"/>
        <w:bidi w:val="0"/>
        <w:spacing w:line="360" w:lineRule="auto"/>
        <w:jc w:val="both"/>
      </w:pPr>
      <w:r>
        <w:t>Epistemic security focuses on preserving the social and technical infrastructures necessary for the reliable creation and distribution of knowledge. It identifies manipulated content, AI-generated disinformation, and algorithmic bias as critical threats—not merely to individual users, but to the epistemological integrity of societies (Seger, 2023). These developments indicate a fundamental shift in the nature of cybersecurity: it is no longer just about preventing unauthorized access but about defending against the distortion of truth and reality. Digital colonialism, too, exemplifies how certain epistemologies dominate the global information order, exacerbating inequalities in representation and autonomy.</w:t>
      </w:r>
    </w:p>
    <w:p w14:paraId="0D0D8228">
      <w:pPr>
        <w:pStyle w:val="9"/>
        <w:bidi w:val="0"/>
        <w:spacing w:line="360" w:lineRule="auto"/>
        <w:jc w:val="both"/>
      </w:pPr>
      <w:r>
        <w:t>This shift also has implications for the securitization of cyberspace, a process articulated by the Copenhagen School, which describes how political actors frame specific cyber incidents as existential threats through performative speech acts (Buzan &amp; Waever, 2003). Such securitization justifies extraordinary state interventions—mass surveillance, internet shutdowns, or the militarization of digital policy—under the guise of national security. While these measures may provide short-term solutions, they often entrench epistemic asymmetries by excluding alternative voices, particularly those from marginalized or indigenous communities (Wiscomp, 2010). In fragile democracies, securitization risks consolidating power within technocratic or authoritarian institutions, thereby undermining pluralistic and community-driven cybersecurity approaches.</w:t>
      </w:r>
      <w:r>
        <w:rPr>
          <w:rFonts w:hint="default"/>
          <w:lang w:val="en-US"/>
        </w:rPr>
        <w:t xml:space="preserve"> C</w:t>
      </w:r>
      <w:r>
        <w:t>ybersecurity requires moving beyond narrow technical definitions to account for its broader epistemological and political dimensions. Postcolonial and decolonial frameworks reveal how knowledge asymmetries are embedded in current cybersecurity paradigms, while concepts like epistemic security and securitization theory expose the contested nature of digital power. Only by foregrounding these dimensions can cybersecurity be reconceptualized as a truly inclusive and just domain.</w:t>
      </w:r>
    </w:p>
    <w:p w14:paraId="67FDFFAA">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 xml:space="preserve">The NTS framework contributes further by expanding the concept of security beyond state-centric and military concerns to include human, environmental, and transnational dimensions. Cybersecurity aligns with this paradigm in several ways. Its transboundary nature is evident in how ransomware and cyberattacks disrupt global supply chains, healthcare, and financial systems. Its multi-actor engagement involves states, </w:t>
      </w:r>
      <w:r>
        <w:rPr>
          <w:rFonts w:hint="default" w:ascii="Times New Roman Regular" w:hAnsi="Times New Roman Regular" w:cs="Times New Roman Regular"/>
          <w:lang w:val="en-US"/>
        </w:rPr>
        <w:t xml:space="preserve">non-stae actors, </w:t>
      </w:r>
      <w:r>
        <w:rPr>
          <w:rFonts w:hint="default" w:ascii="Times New Roman Regular" w:hAnsi="Times New Roman Regular" w:cs="Times New Roman Regular"/>
        </w:rPr>
        <w:t>private tech firms, civil society organizations, and international institutions. Most importantly, its human security implications underscore that digital rights, online safety, and data privacy are as vital as protecting infrastructure (Observer Research Foundation, 2023; Wiscomp, 2010). Through the NTS lens, cyberspace is not merely a domain of conflict but an interconnected sphere of human interaction where issues of sovereignty, jurisdiction, and accountability are contested and negotiated.</w:t>
      </w:r>
    </w:p>
    <w:p w14:paraId="523A9640">
      <w:pPr>
        <w:pStyle w:val="9"/>
        <w:bidi w:val="0"/>
        <w:spacing w:line="360" w:lineRule="auto"/>
        <w:jc w:val="both"/>
        <w:rPr>
          <w:rFonts w:hint="default" w:ascii="Times New Roman Regular" w:hAnsi="Times New Roman Regular" w:cs="Times New Roman Regular"/>
          <w:lang w:val="en-US"/>
        </w:rPr>
      </w:pPr>
      <w:r>
        <w:rPr>
          <w:rFonts w:hint="default" w:ascii="Times New Roman Regular" w:hAnsi="Times New Roman Regular" w:cs="Times New Roman Regular"/>
        </w:rPr>
        <w:t>Bringing together these frameworks highlights the epistemological underpinnings of cybersecurity. As cyber threats increasingly target the foundations of knowledge itself, the notion of epistemic security—defined as the integrity, accessibility, and trustworthiness of knowledge—emerges as central (Wiscomp, 2010). Surveillance capitalism, as analyzed by Zuboff</w:t>
      </w:r>
      <w:r>
        <w:rPr>
          <w:rFonts w:hint="default" w:ascii="Times New Roman Regular" w:hAnsi="Times New Roman Regular" w:cs="Times New Roman Regular"/>
          <w:lang w:val="en-US"/>
        </w:rPr>
        <w:t xml:space="preserve"> (2019)</w:t>
      </w:r>
      <w:r>
        <w:rPr>
          <w:rFonts w:hint="default" w:ascii="Times New Roman Regular" w:hAnsi="Times New Roman Regular" w:cs="Times New Roman Regular"/>
        </w:rPr>
        <w:t>, epitomizes epistemic insecurity by engineering what she calls an "epistemic coup," wherein corporations and states monopolize the means of knowledge production and extraction. This creates asymmetrical power dynamics in which entities gain unprecedented insight into individual behavior while keeping users epistemically disempowered.</w:t>
      </w:r>
      <w:r>
        <w:rPr>
          <w:rFonts w:hint="default" w:ascii="Times New Roman Regular" w:hAnsi="Times New Roman Regular" w:cs="Times New Roman Regular"/>
          <w:lang w:val="en-US"/>
        </w:rPr>
        <w:t xml:space="preserve"> </w:t>
      </w:r>
    </w:p>
    <w:p w14:paraId="045166CB">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Manifestations of these epistemological threats include algorithmically driven disinformation, the proliferation of black-box systems that limit transparency, and the manipulation of cognitive biases to amplify propaganda and misinformation (Blackbird.AI, 2025; Angwin, 2021). Traditional securitization frameworks, while effective in explaining state responses to acute incidents, are ill-equipped to address these slow-moving and systemic epistemic erosions. Their emphasis on visible, tangible threats and justification of exceptional control mechanisms can deepen the very epistemic inequalities they aim to manage (Seger, 2024; Toni, 2021).</w:t>
      </w:r>
    </w:p>
    <w:p w14:paraId="2DDE09C9">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A reimagined cybersecurity paradigm must, therefore, place epistemic security at its core. This entails safeguarding knowledge ecosystems by protecting institutions that generate and disseminate reliable information. It requires systemic reforms in education, algorithmic accountability, and media literacy to create resilient epistemic environments. Furthermore, it demands democratic safeguards to ensure that citizens retain access to diverse information sources and can participate meaningfully in public discourse (PRISM Sustainability Directory, 2025). As PRISM aptly defines, epistemological security threats are "systemic conditions and deliberate actions that undermine the integrity, reliability, and accessibility of knowledge, thereby eroding the capacity of individuals, organizations, and societies to form justified beliefs, make informed decisions, and pursue rational courses of action" (PRISM Sustainability Directory, 2025).</w:t>
      </w:r>
    </w:p>
    <w:p w14:paraId="0B14536D">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In the digital age, the most profound cybersecurity challenges are epistemological in nature. They concern not just the protection of data but the construction, distribution, and legitimacy of knowledge itself. While security perception and securitization theories offer critical insights, they fall short in confronting these deeper ontological crises. A critical, epistemically attuned approach—one that recognizes cyberspace as a transcendental site of epistemic subversion and rupture—is urgently needed. This approach must move beyond technical fixes and state-centric paradigms, embracing inclusive, pluralistic, and participatory models of security. Ultimately, reconceptualizing cybersecurity through these integrated frameworks affirms that protecting digital infrastructure is inseparable from protecting the diversity, accessibility, and integrity of human knowledge.</w:t>
      </w:r>
    </w:p>
    <w:p w14:paraId="04A31486">
      <w:pPr>
        <w:pStyle w:val="3"/>
        <w:keepNext w:val="0"/>
        <w:keepLines w:val="0"/>
        <w:widowControl/>
        <w:suppressLineNumbers w:val="0"/>
        <w:spacing w:line="360" w:lineRule="auto"/>
        <w:jc w:val="both"/>
        <w:rPr>
          <w:rFonts w:hint="default" w:ascii="Times New Roman Regular" w:hAnsi="Times New Roman Regular" w:cs="Times New Roman Regular"/>
          <w:sz w:val="24"/>
          <w:szCs w:val="24"/>
        </w:rPr>
      </w:pPr>
      <w:r>
        <w:rPr>
          <w:rStyle w:val="10"/>
          <w:rFonts w:hint="default" w:ascii="Times New Roman Regular" w:hAnsi="Times New Roman Regular" w:cs="Times New Roman Regular"/>
          <w:b/>
          <w:bCs/>
          <w:sz w:val="24"/>
          <w:szCs w:val="24"/>
        </w:rPr>
        <w:t>Repressive Connectivity and Digital Resistance</w:t>
      </w:r>
    </w:p>
    <w:p w14:paraId="653C8B62">
      <w:pPr>
        <w:pStyle w:val="9"/>
        <w:keepNext w:val="0"/>
        <w:keepLines w:val="0"/>
        <w:widowControl/>
        <w:suppressLineNumbers w:val="0"/>
        <w:spacing w:before="0" w:beforeAutospacing="1" w:after="0" w:afterAutospacing="1" w:line="360" w:lineRule="auto"/>
        <w:ind w:left="0"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Building on the critique of digital sovereignty and the marginalization of alternative epistemologies, it is crucial to examine how digital infrastructures themselves become sites of both domination and resistance. The notion of </w:t>
      </w:r>
      <w:r>
        <w:rPr>
          <w:rStyle w:val="7"/>
          <w:rFonts w:hint="default" w:ascii="Times New Roman Regular" w:hAnsi="Times New Roman Regular" w:cs="Times New Roman Regular"/>
          <w:sz w:val="24"/>
          <w:szCs w:val="24"/>
        </w:rPr>
        <w:t>repressive connectivity</w:t>
      </w:r>
      <w:r>
        <w:rPr>
          <w:rFonts w:hint="default" w:ascii="Times New Roman Regular" w:hAnsi="Times New Roman Regular" w:cs="Times New Roman Regular"/>
          <w:sz w:val="24"/>
          <w:szCs w:val="24"/>
        </w:rPr>
        <w:t xml:space="preserve"> encapsulates this paradox—where technologies designed to foster openness, participation, and democratization are simultaneously deployed to surveil, discipline, and erase.</w:t>
      </w:r>
    </w:p>
    <w:p w14:paraId="7FBBD79D">
      <w:pPr>
        <w:pStyle w:val="9"/>
        <w:keepNext w:val="0"/>
        <w:keepLines w:val="0"/>
        <w:widowControl/>
        <w:suppressLineNumbers w:val="0"/>
        <w:spacing w:before="0" w:beforeAutospacing="1" w:after="0" w:afterAutospacing="1" w:line="360" w:lineRule="auto"/>
        <w:ind w:left="0"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Repressive connectivity articulates a central paradox of the digital age: infrastructures meant to foster freedom, participation, and democratization are simultaneously deployed as tools of surveillance, control, and epistemic domination (Deibert, 2022; Zuboff, 2019). This paradox is structural, not incidental, as digital architectures—while appearing neutral—are embedded with political and economic agendas that normalize discipline, suppress dissent, and reconfigure social relations to align with hegemonic logics (Deleuze, 1992; Foucault, 1977).</w:t>
      </w:r>
    </w:p>
    <w:p w14:paraId="6D8C8ACE">
      <w:pPr>
        <w:pStyle w:val="9"/>
        <w:keepNext w:val="0"/>
        <w:keepLines w:val="0"/>
        <w:widowControl/>
        <w:suppressLineNumbers w:val="0"/>
        <w:spacing w:before="0" w:beforeAutospacing="1" w:after="0" w:afterAutospacing="1" w:line="360" w:lineRule="auto"/>
        <w:ind w:left="0"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Zuboff’s (2019) concept of surveillance capitalism underscores how behavioral data extraction commodifies human experience for predictive purposes, intertwining economic rationality with epistemic governance. Through algorithmic sorting, digital subjectivities are produced and managed in ways that reinforce existing inequalities. The Foucauldian notion of the panopticon remains pertinent, particularly in the internalization of surveillance and self-censorship by users. However, Deleuze's (1992) notion of the “society of control” advances this critique by focusing on fluid, decentralized power through data-driven modulation.</w:t>
      </w:r>
    </w:p>
    <w:p w14:paraId="52F11D5B">
      <w:pPr>
        <w:pStyle w:val="9"/>
        <w:keepNext w:val="0"/>
        <w:keepLines w:val="0"/>
        <w:widowControl/>
        <w:suppressLineNumbers w:val="0"/>
        <w:spacing w:before="0" w:beforeAutospacing="1" w:after="0" w:afterAutospacing="1" w:line="360" w:lineRule="auto"/>
        <w:ind w:left="0"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Epistemically, algorithms enact a logocentric logic (Derrida, 1976), hierarchizing dominant narratives and rendering subaltern knowledge systems invisible. Debord’s (1994) theory of the spectacle highlights how digital media simulate participation, transforming the digital public sphere into a commodified realm of affective manipulation and depoliticized engagement. Bergson’s notion of durée illuminates the manipulation of temporal experience in digital culture, leading to fragmented political consciousness and weakened collective action.</w:t>
      </w:r>
    </w:p>
    <w:p w14:paraId="2DDBC284">
      <w:pPr>
        <w:pStyle w:val="9"/>
        <w:keepNext w:val="0"/>
        <w:keepLines w:val="0"/>
        <w:widowControl/>
        <w:suppressLineNumbers w:val="0"/>
        <w:spacing w:before="0" w:beforeAutospacing="1" w:after="0" w:afterAutospacing="1" w:line="360" w:lineRule="auto"/>
        <w:ind w:left="0"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effects are amplified in the Global South, where digital infrastructures reflect colonial logics and perpetuate epistemic violence (Spivak, 1988; Kwet, 2019; Winter et al., 2022). These systems exclude localized ontologies while promising inclusion, revealing the hollow rhetoric of digital development and sovereignty (Ajana, 2022). Even sites of potential hybridity, such as Bhabha’s (1994) third space, are constrained by infrastructural and epistemic inequalities (Paudel, 2022; Rawal, 2022).</w:t>
      </w:r>
    </w:p>
    <w:p w14:paraId="24589BA0">
      <w:pPr>
        <w:pStyle w:val="9"/>
        <w:keepNext w:val="0"/>
        <w:keepLines w:val="0"/>
        <w:widowControl/>
        <w:suppressLineNumbers w:val="0"/>
        <w:spacing w:before="0" w:beforeAutospacing="1" w:after="0" w:afterAutospacing="1" w:line="360" w:lineRule="auto"/>
        <w:ind w:left="0"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Fanon’s (1963) insights on symbolic violence offer a psychosocial lens on hyper-visibility without epistemic recognition, while Mbembe’s (2019) necropolitics exposes the racialized and class-based governance through biometric surveillance and algorithmic policing. In such contexts, digital connectivity becomes a site of alienation rather than empowerment.</w:t>
      </w:r>
    </w:p>
    <w:p w14:paraId="6CF73DBE">
      <w:pPr>
        <w:pStyle w:val="9"/>
        <w:keepNext w:val="0"/>
        <w:keepLines w:val="0"/>
        <w:widowControl/>
        <w:suppressLineNumbers w:val="0"/>
        <w:spacing w:before="0" w:beforeAutospacing="1" w:after="0" w:afterAutospacing="1" w:line="360" w:lineRule="auto"/>
        <w:ind w:left="0"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Digital resistance, in response, emerges not merely as technical opposition but as epistemic and political intervention. It reclaims autonomy and plural epistemologies, drawing from tactics like hacking and digital sit-ins to broader forms of counter-narration and infrastructure-building (IGI Global, 2020; Libcom.org, n.d.; FEPS Europe, n.d.). Theoretical resources from Foucault, Zuboff, Derrida, and Deleuze help expose the layered operations of power/knowledge in digital architectures.</w:t>
      </w:r>
    </w:p>
    <w:p w14:paraId="67D13D40">
      <w:pPr>
        <w:pStyle w:val="9"/>
        <w:keepNext w:val="0"/>
        <w:keepLines w:val="0"/>
        <w:widowControl/>
        <w:suppressLineNumbers w:val="0"/>
        <w:spacing w:before="0" w:beforeAutospacing="1" w:after="0" w:afterAutospacing="1" w:line="360" w:lineRule="auto"/>
        <w:ind w:left="0"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From a decolonial lens, digital resistance affirms digital indigeneity, refusing colonial epistemologies and asserting localized cosmologies (Canvas Journal, n.d.; Libcom.org, n.d.). This aligns with anticolonial intellectual traditions (Spivak, Fanon, Mbembe, Said), envisioning the digital not just as a space of critique but as one of radical reconstruction.</w:t>
      </w:r>
    </w:p>
    <w:p w14:paraId="2CDAE3C1">
      <w:pPr>
        <w:pStyle w:val="9"/>
        <w:keepNext w:val="0"/>
        <w:keepLines w:val="0"/>
        <w:widowControl/>
        <w:suppressLineNumbers w:val="0"/>
        <w:spacing w:before="0" w:beforeAutospacing="1" w:after="0" w:afterAutospacing="1" w:line="360" w:lineRule="auto"/>
        <w:ind w:left="0"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Historical instances such as the Arab Spring and the Zapatista movement provide precedents for electronic civil disobedience, revealing how digital tools can be repurposed for world-making and collective emancipation (TUM Mediatum, 2021; Canvas Journal, n.d.). Ultimately, digital resistance constitutes a project of epistemic justice, aiming to remake the digital sphere as a site of pluralistic knowledge, self-determination, and liberatory connection (Libcom.org, n.d.; Paudel, 2022).</w:t>
      </w:r>
    </w:p>
    <w:p w14:paraId="06BBD428">
      <w:pPr>
        <w:pStyle w:val="9"/>
        <w:bidi w:val="0"/>
        <w:spacing w:line="360" w:lineRule="auto"/>
        <w:jc w:val="both"/>
        <w:rPr>
          <w:rFonts w:hint="default" w:ascii="Times New Roman Regular" w:hAnsi="Times New Roman Regular" w:cs="Times New Roman Regular"/>
          <w:b/>
          <w:bCs/>
          <w:sz w:val="24"/>
          <w:szCs w:val="24"/>
        </w:rPr>
      </w:pPr>
    </w:p>
    <w:p w14:paraId="0C053651">
      <w:pPr>
        <w:pStyle w:val="9"/>
        <w:bidi w:val="0"/>
        <w:spacing w:line="360" w:lineRule="auto"/>
        <w:jc w:val="both"/>
        <w:rPr>
          <w:rFonts w:hint="default" w:ascii="Times New Roman Bold" w:hAnsi="Times New Roman Bold" w:cs="Times New Roman Bold"/>
          <w:b/>
          <w:bCs/>
        </w:rPr>
      </w:pPr>
      <w:bookmarkStart w:id="0" w:name="_GoBack"/>
      <w:bookmarkEnd w:id="0"/>
    </w:p>
    <w:p w14:paraId="331EC1A5">
      <w:pPr>
        <w:pStyle w:val="9"/>
        <w:bidi w:val="0"/>
        <w:spacing w:line="360" w:lineRule="auto"/>
        <w:jc w:val="both"/>
        <w:rPr>
          <w:rFonts w:hint="default" w:ascii="Times New Roman Bold" w:hAnsi="Times New Roman Bold" w:cs="Times New Roman Bold"/>
          <w:b/>
          <w:bCs/>
        </w:rPr>
      </w:pPr>
      <w:r>
        <w:rPr>
          <w:rFonts w:hint="default" w:ascii="Times New Roman Bold" w:hAnsi="Times New Roman Bold" w:cs="Times New Roman Bold"/>
          <w:b/>
          <w:bCs/>
        </w:rPr>
        <w:t>Understanding Cybersecurity from Postcolonial and Decolonial Perspectives</w:t>
      </w:r>
    </w:p>
    <w:p w14:paraId="09AC1624">
      <w:pPr>
        <w:pStyle w:val="9"/>
        <w:bidi w:val="0"/>
        <w:spacing w:line="360" w:lineRule="auto"/>
        <w:jc w:val="both"/>
        <w:rPr>
          <w:rFonts w:hint="default" w:ascii="Times New Roman Regular" w:hAnsi="Times New Roman Regular" w:cs="Times New Roman Regular"/>
        </w:rPr>
      </w:pPr>
    </w:p>
    <w:p w14:paraId="4E2538A5">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The decentralized, deterritorialized nature of cyberspace challenges the foundational premises of traditional International Relations (IR) theories, particularly those grounded in realism and neorealism. These paradigms conceptualize the international system as anarchic and dependent on sovereign states acting in self-help (Waltz, 1979). However, cyberspace defies such spatial and structural constraints, disrupting long-held notions of sovereignty, balance of power, and even anarchy itself. This disruption is not solely structural—it is deeply epistemological. The classification of threats in cyberspace, such as disinformation, surveillance, or data extraction, is filtered through dominant security paradigms historically shaped by Global North priorities.</w:t>
      </w:r>
    </w:p>
    <w:p w14:paraId="739363A4">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Within this context, digital sovereignty emerges as a crucial analytical framework. As traditional understandings of sovereignty falter in digitally interconnected environments, Robert Cox’s (1987) concept of relational sovereignty becomes particularly useful. Cox views sovereignty not as a static, state-bound attribute but as an evolving outcome of dynamic interactions between domestic and international forces. In digital contexts, where corporate platforms, transnational data flows, and global networks transcend borders, security perceptions are formed through normative struggles over what constitutes harm or safety. These constructions vary across actors, revealing epistemological divides in cybersecurity discourse.</w:t>
      </w:r>
    </w:p>
    <w:p w14:paraId="538009E0">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Cox’s relational sovereignty aligns with three major digital sovereignty challenges. First, the rise of global technology corporations like Meta and Google illustrates sovereignty as a negotiation rather than a unilateral imposition. These firms, by controlling digital infrastructure, act as "quasi-sovereign" entities, shaping governance norms and affirming Cox’s view of sovereignty as interdependent and relational (Cox, 1987; Pohle &amp; Thiel, 2020). Second, state reliance on transborder data flows—both economically and for security—complicates territorial jurisdiction. The European Union’s General Data Protection Regulation (GDPR), though an attempt to reclaim jurisdictional control, still depends on collaboration with global platforms and third-party states, underlining sovereignty’s international dimensions (Pohle &amp; Thiel, 2020). Third, China’s cyber sovereignty model illustrates a hybrid strategy combining domestic tools like the Great Firewall with initiatives such as the Digital Silk Road. This reinforces the argument that sovereignty is shaped by socio-technical interactions rather than territorial fixity (Cox, 1987).</w:t>
      </w:r>
    </w:p>
    <w:p w14:paraId="2ECD881F">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This relational lens rejects binary framings of digital sovereignty as either state-centric (e.g., national firewalls) or market-driven (e.g., corporate self-regulation). Instead, sovereignty is revealed as a multi-level, contested process involving states, tech corporations, and civil society. It reflects reconfigured spatialities where territorial jurisdictions intersect with cloud governance, and legitimacy is negotiated amid competing claims like data localization and internet freedom. This resonates with Sassen’s (1999) work on globalization, which emphasizes how digitization fragments state authority and fosters new governance assemblages.</w:t>
      </w:r>
    </w:p>
    <w:p w14:paraId="14A5CFE0">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In cyberspace, diverse political actors—including states, non-state actors, and individuals—coexist asymmetrically. State-centric models that prioritize regulation often fail to explain how authority is asserted, bypassed, or resisted in digital domains. Constructivist theories become vital here. Wendt’s (1992) assertion that "anarchy is what states make of it" reframes international structures as socially constructed, directing attention to norms, identities, and intersubjective meanings. Cybersecurity, then, is not an objective condition but a socially and epistemologically constructed field—its priorities and boundaries shaped by dominant ideologies. A cyber "threat" for one actor may signify autonomy or resistance for another, particularly within the Global South.</w:t>
      </w:r>
    </w:p>
    <w:p w14:paraId="2C46C792">
      <w:pPr>
        <w:pStyle w:val="9"/>
        <w:keepNext w:val="0"/>
        <w:keepLines w:val="0"/>
        <w:widowControl/>
        <w:suppressLineNumbers w:val="0"/>
        <w:spacing w:before="0" w:beforeAutospacing="1" w:after="0" w:afterAutospacing="1" w:line="360" w:lineRule="auto"/>
        <w:ind w:left="0" w:right="0"/>
        <w:jc w:val="both"/>
      </w:pPr>
      <w:r>
        <w:t>This reconceptualization of cybersecurity is enriched by Ashley’s (1988) seminal critique of the spatial logic underpinning the modern sovereign state system. Ashley deconstructs the foundational binary between internal order and external anarchy, arguing that this dichotomy not only oversimplifies the complexities of international politics but also marginalizes pluralistic perspectives and reinforces hierarchical global arrangements. His critique reveals how dominant narratives of security are sustained through the exclusion of alternative ontologies and epistemologies, particularly those that challenge the state-centric paradigm.</w:t>
      </w:r>
    </w:p>
    <w:p w14:paraId="34A4BBC1">
      <w:pPr>
        <w:pStyle w:val="9"/>
        <w:keepNext w:val="0"/>
        <w:keepLines w:val="0"/>
        <w:widowControl/>
        <w:suppressLineNumbers w:val="0"/>
        <w:spacing w:before="0" w:beforeAutospacing="1" w:after="0" w:afterAutospacing="1" w:line="360" w:lineRule="auto"/>
        <w:ind w:left="0" w:right="0"/>
        <w:jc w:val="both"/>
      </w:pPr>
      <w:r>
        <w:t>When combined with Wendt’s (1992) constructivist insights—specifically, the argument that anarchy is not a given condition of international relations but rather a social construct shaped by shared understandings—this critique provides fertile ground for reimagining cyberspace. Rather than viewing cyberspace as a lawless or anarchic domain, it can be reconceptualized as a space constituted by intersubjective norms and relational power dynamics. In this view, authority in cyberspace emerges through what may be termed "network sovereignty," wherein multiple actors—state and non-state—participate in co-constructing normative frameworks and wielding dispersed forms of authority. This reframing resonates with the English School’s conception of an international "society of states" (Bull, 1977), where order is not imposed through hierarchy but cultivated through shared norms, mutual recognition, and institutional cooperation. The analogy becomes particularly salient in the context of multi-stakeholder governance models, such as the Internet Governance Forum, where non-state actors actively shape the rules and norms of digital interaction.</w:t>
      </w:r>
    </w:p>
    <w:p w14:paraId="026CFDE1">
      <w:pPr>
        <w:pStyle w:val="9"/>
        <w:keepNext w:val="0"/>
        <w:keepLines w:val="0"/>
        <w:widowControl/>
        <w:suppressLineNumbers w:val="0"/>
        <w:spacing w:before="0" w:beforeAutospacing="1" w:after="0" w:afterAutospacing="1" w:line="360" w:lineRule="auto"/>
        <w:ind w:left="0" w:right="0"/>
        <w:jc w:val="both"/>
      </w:pPr>
      <w:r>
        <w:t>These theorists—Ashley, Wendt, and Bull—can indeed be interpreted through the lens of digital sovereignty, particularly in their efforts to reconceive authority, order, and the constitution of international space. However, their frameworks remain constrained by their grounding in Eurocentric epistemologies. They stop short of offering a fully pluralistic account that engages with the epistemic struggles of the Global South. The foundational assumptions of their theories are shaped by Western historical experiences and philosophical traditions, which limit their capacity to address the systemic marginalization of non-Western knowledge systems. As such, their contributions, while critical, lack engagement with the epistemological threats faced by historically oppressed and digitally disenfranchised communities.</w:t>
      </w:r>
    </w:p>
    <w:p w14:paraId="6FCD5C4E">
      <w:pPr>
        <w:pStyle w:val="9"/>
        <w:keepNext w:val="0"/>
        <w:keepLines w:val="0"/>
        <w:widowControl/>
        <w:suppressLineNumbers w:val="0"/>
        <w:spacing w:before="0" w:beforeAutospacing="1" w:after="0" w:afterAutospacing="1" w:line="360" w:lineRule="auto"/>
        <w:ind w:left="0" w:right="0"/>
        <w:jc w:val="both"/>
      </w:pPr>
      <w:r>
        <w:t>This epistemic limitation becomes particularly acute in the domain of cybersecurity. Dominant security imaginaries, shaped by Euro-American strategic imperatives, tend to conceptualize cyberspace through the lens of state survival, technological dominance, and deterrence. Such framings often position states from the Global South as threats or unstable entities, reinforcing a securitized "Othering" that masks deeper epistemological challenges. These challenges include the monopolization of digital infrastructures, the global imposition of algorithmic standards, and the systematic erasure of indigenous or non-Western models of data governance. In this context, cybersecurity becomes less about safeguarding a shared digital commons and more about preserving an entrenched hegemonic order, thereby obscuring the epistemic vulnerabilities experienced by marginalized communities.</w:t>
      </w:r>
    </w:p>
    <w:p w14:paraId="0FA30B4F">
      <w:pPr>
        <w:pStyle w:val="9"/>
        <w:keepNext w:val="0"/>
        <w:keepLines w:val="0"/>
        <w:widowControl/>
        <w:suppressLineNumbers w:val="0"/>
        <w:spacing w:before="0" w:beforeAutospacing="1" w:after="0" w:afterAutospacing="1" w:line="360" w:lineRule="auto"/>
        <w:ind w:left="0" w:right="0"/>
        <w:jc w:val="both"/>
      </w:pPr>
      <w:r>
        <w:t>Ultimately, the inability of mainstream theoretical paradigms to decenter Western epistemologies not only constrains their analytical utility but also perpetuates epistemic injustices within cyberspace. A genuinely decolonial approach to cybersecurity must move beyond the dominant frameworks by incorporating diverse epistemologies, affirming digital sovereignty for historically oppressed populations, and dismantling algorithmic structures that reinforce global asymmetries. Only through such a transformation can we begin to envision a more just and secure digital future.</w:t>
      </w:r>
    </w:p>
    <w:p w14:paraId="78557A07">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Postcolonial and decolonial critiques intervene by revealing the colonial residues embedded in cybersecurity discourses and the power structures that shape them. They interrogate who defines security, whose perspectives are foregrounded, and how historical hierarchies continue to structure digital governance. As Bertrand (2021) argues, securitization theory frequently silences subaltern actors, rendering them passive recipients rather than agents. This "silence problem" reinforces epistemic hierarchies, delegitimizing alternative knowledge systems and</w:t>
      </w:r>
      <w:r>
        <w:rPr>
          <w:rFonts w:hint="default" w:ascii="Times New Roman Regular" w:hAnsi="Times New Roman Regular" w:cs="Times New Roman Regular"/>
          <w:lang w:val="en-US"/>
        </w:rPr>
        <w:t xml:space="preserve"> consequently </w:t>
      </w:r>
      <w:r>
        <w:rPr>
          <w:rFonts w:hint="default" w:ascii="Times New Roman Regular" w:hAnsi="Times New Roman Regular" w:cs="Times New Roman Regular"/>
        </w:rPr>
        <w:t>narrowing cybersecurity discourse to a colonial-modernist frame.</w:t>
      </w:r>
    </w:p>
    <w:p w14:paraId="7804EEF0">
      <w:pPr>
        <w:pStyle w:val="9"/>
        <w:bidi w:val="0"/>
        <w:spacing w:line="360" w:lineRule="auto"/>
        <w:jc w:val="both"/>
      </w:pPr>
      <w:r>
        <w:t>Algorithmic colonialism refers to the extension of colonial-era power dynamics into the digital age, where data extraction, control, and labor exploitation by tech giants from the Global North mirror historical patterns of domination over the Global South (Hung, 2024; Nair, 2025). This phenomenon not only encompasses economic and social injustices but also poses profound epistemological threats, undermining local knowledge systems and reinforcing global hierarchies of power and knowledge. Tech companies in the Global North dominate the digital economy through the extraction of vast amounts of data from populations in the Global South, often without meaningful consent or local benefit (Hung, 2024; Nair, 2025). This mirrors historical modes of resource extraction, wherein data—now considered a critical resource—flows out of the Global South to fuel artificial intelligence (AI) systems and generate profit in the North, while communities in the South remain excluded from decision-making and reaping the benefits (Atuire, 2025).</w:t>
      </w:r>
    </w:p>
    <w:p w14:paraId="46524A0E">
      <w:pPr>
        <w:pStyle w:val="9"/>
        <w:bidi w:val="0"/>
        <w:spacing w:line="360" w:lineRule="auto"/>
        <w:jc w:val="both"/>
      </w:pPr>
      <w:r>
        <w:t>The exploitation extends to digital labor as well. The development and maintenance of AI systems rely heavily on precarious, low-paid labor from countries such as Kenya, India, and the Philippines. These workers perform essential but undervalued tasks such as content moderation and data labeling under challenging and sometimes harmful conditions, echoing the colonial labor arrangements where the Global South provided cheap, disposable labor to enrich the North (E-International Relations, 2025; Bot Populi, 2024). The economic disparity in how labor is valued and the invisibility of these contributions in the broader discourse of technological advancement perpetuate systemic inequality and hinder the empowerment of workers in these regions.</w:t>
      </w:r>
    </w:p>
    <w:p w14:paraId="1C28D9E3">
      <w:pPr>
        <w:pStyle w:val="9"/>
        <w:bidi w:val="0"/>
        <w:spacing w:line="360" w:lineRule="auto"/>
        <w:jc w:val="both"/>
      </w:pPr>
      <w:r>
        <w:t>Simultaneously, AI systems often replicate and amplify existing societal biases, including racism and systemic exclusion. Technologies such as facial recognition have demonstrated disproportionately high error rates in identifying Black individuals, leading to discriminatory policing and social consequences (Birhane, 2020; Mohamed, Png, &amp; Isaac, 2020). These biases stem from training datasets that are predominantly composed of images and data from white populations, thereby embedding and perpetuating Western-centric norms and perspectives into algorithmic decision-making systems. As these systems are adopted globally, they risk marginalizing non-Western identities, reinforcing a digital monoculture that excludes alternative epistemologies.</w:t>
      </w:r>
    </w:p>
    <w:p w14:paraId="6F56D541">
      <w:pPr>
        <w:pStyle w:val="9"/>
        <w:bidi w:val="0"/>
        <w:spacing w:line="360" w:lineRule="auto"/>
        <w:jc w:val="both"/>
      </w:pPr>
      <w:r>
        <w:t>Beyond material exploitation, algorithmic colonialism poses an epistemological threat by undermining local systems of knowledge production and validation. AI systems are largely built upon data, ontologies, and epistemic assumptions rooted in the Global North, leading to a universalizing effect that sidelines diverse worldviews and ways of knowing (Atuire, 2025). This process, referred to by some scholars as "epistemicide," entails the systematic erasure of indigenous and localized knowledge systems, reminiscent of colonial projects that sought to overwrite native knowledge with that of the colonizer. As algorithms increasingly shape access to information and structure public discourse, they become powerful arbiters of legitimacy in knowledge production (Sage Journals, 2023). This algorithmic mediation often results in the misrepresentation or outright omission of perspectives from marginalized communities, further entrenching global knowledge hierarchies.</w:t>
      </w:r>
    </w:p>
    <w:p w14:paraId="112AB452">
      <w:pPr>
        <w:pStyle w:val="9"/>
        <w:bidi w:val="0"/>
        <w:spacing w:line="360" w:lineRule="auto"/>
        <w:jc w:val="both"/>
      </w:pPr>
      <w:r>
        <w:t>The suppression of local knowledge by Western-centric models in AI development exemplifies how algorithmic systems act as gatekeepers of epistemic legitimacy, determining what is visible, relevant, or credible. Such dynamics necessitate a fundamental rethinking of AI systems—not merely the diversification of datasets but a transformation in how knowledge is conceptualized and operationalized in technological governance. Scholars and activists have thus called for the recognition of pluriversality, a philosophical stance that affirms the coexistence of multiple, equally valid ways of knowing. This concept, rooted in Latin American decolonial thought, challenges the hegemony of Western epistemology and advocates for epistemic justice in digital spaces (Atuire, 2025).</w:t>
      </w:r>
    </w:p>
    <w:p w14:paraId="3AE20738">
      <w:pPr>
        <w:pStyle w:val="9"/>
        <w:bidi w:val="0"/>
        <w:spacing w:line="360" w:lineRule="auto"/>
        <w:jc w:val="both"/>
      </w:pPr>
      <w:r>
        <w:t>Confronting algorithmic colonialism therefore requires more than technical fixes; it demands political and epistemological intervention. It entails addressing both the material exploitation of digital labor and data, and the deeper epistemic violence that sustains global hierarchies. The struggle against algorithmic colonialism is ultimately a struggle for epistemic justice—one that calls for the affirmation and inclusion of diverse knowledge systems in the shaping of our digital futures.</w:t>
      </w:r>
    </w:p>
    <w:p w14:paraId="67835727">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This digital dependency restricts local innovation, reinforces Western epistemologies, and marginalizes Indigenous and local knowledge systems (Hung, 2024). Algorithmic colonialism is not metaphorical—it is a material and structural reality. Addressing these asymmetries requires more than technical solutions; it demands systemic ethical and regulatory reforms to promote digital equity and sovereignty. As Birhane (2020) and Kwet (2018) note, Western corporations dominate African digital ecosystems under the guise of development, perpetuating asymmetrical power through infrastructural control. These firms harvest data with little oversight, further entrenching extractive practices (Zuboff, 2019). AI technologies trained on Western datasets underperform in non-Western contexts, amplifying structural inequalities (Buolamwini &amp; Gebru, 2018; Sap et al., 2019).</w:t>
      </w:r>
    </w:p>
    <w:p w14:paraId="042A6EAB">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Decolonial scholars call for participatory approaches in AI governance that include local ethics and knowledge systems (Mohamed, Png, &amp; Isaac, 2020). The marginalization of Global South perspectives is not incidental—it is embedded in the architecture of IR itself. During the Cold War, security in the Third World was seen through the lens of superpower rivalry, neglecting internal or socio-economic insecurities unless they aligned with geopolitical concerns. This logic continues in cybersecurity, where threats like surveillance and digital inequality remain under-acknowledged.</w:t>
      </w:r>
    </w:p>
    <w:p w14:paraId="0DB101E9">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lang w:val="en-US"/>
        </w:rPr>
        <w:t xml:space="preserve">From the theoretical perspcetive of </w:t>
      </w:r>
      <w:r>
        <w:rPr>
          <w:rFonts w:hint="default" w:ascii="Times New Roman Regular" w:hAnsi="Times New Roman Regular" w:cs="Times New Roman Regular"/>
        </w:rPr>
        <w:t>Mohammed Ayoob’s (1997) subaltern realism addresses this gap by centering the lived insecurities of postcolonial states. In his view, security must be rooted in local contexts marked by institutional fragility, economic dependence, and political instability. Accordingly, cyber threats in the Global South often relate more to informational marginalization and surveillance than to state-centric conflict. Barkawi and Laffey (2006) further advocate for a "postcolonial moment" in security studies—one that rejects universalist assumptions and centers co-constituted realities. This reconceptualization is essential not only for recognizing new threats but also for interrogating how the very act of recognizing a threat functions as epistemic power.</w:t>
      </w:r>
    </w:p>
    <w:p w14:paraId="57F3B206">
      <w:pPr>
        <w:pStyle w:val="9"/>
        <w:bidi w:val="0"/>
        <w:spacing w:line="360" w:lineRule="auto"/>
        <w:jc w:val="both"/>
      </w:pPr>
      <w:r>
        <w:t>Transnationality must be understood not merely as a structural condition but as a space where local agency actively shapes global processes. Nicholas Onuf’s (2015) constructivism highlights the co-production of norms and institutions through dynamic interactions between agents and structures. In cyberspace, this co-constitutive process is evident in how grassroots movements, civil society organizations, and hacker communities contest and redefine governance traditionally dominated by state actors.</w:t>
      </w:r>
    </w:p>
    <w:p w14:paraId="685AF069">
      <w:pPr>
        <w:pStyle w:val="9"/>
        <w:bidi w:val="0"/>
        <w:spacing w:line="360" w:lineRule="auto"/>
        <w:jc w:val="both"/>
      </w:pPr>
      <w:r>
        <w:t>These transnational digital spaces reveal a dialectical relationship between local agency and global structures, fundamentally challenging state-centric governance models. Onuf’s constructivist framework underscores that norms and institutions are not static; they evolve through iterative engagement between agents—such as hacker collectives and grassroots movements—and structural forces like legal regimes and geopolitical hierarchies (Onuf, as cited in SlideShare, n.d.). This dynamic is increasingly visible in cybersecurity, where non-state actors shape governance through open-source encryption, decentralized infrastructure development, and alternative normative frameworks (Dunn Cavelty &amp; Wenger, 2020).</w:t>
      </w:r>
    </w:p>
    <w:p w14:paraId="0C9CDFE4">
      <w:pPr>
        <w:pStyle w:val="9"/>
        <w:bidi w:val="0"/>
        <w:spacing w:line="360" w:lineRule="auto"/>
        <w:jc w:val="both"/>
      </w:pPr>
      <w:r>
        <w:t>However, this evolving landscape also intensifies three interrelated epistemological risks. First, data colonialism appropriates human experience as raw material for surveillance capitalism, replicating the colonial logic of terra nullius by enabling unilateral corporate claims to epistemic authority (Zuboff, 2021). Second, algorithmic fragmentation arises through AI-driven disinformation ecologies that generate toxic knowledge hybrids—interweaving factual content, conspiracy theories, and systemic obfuscation—which erode shared epistemic ground (Emerging Epistemologies, n.d.). Third, strategic myopia characterizes many state-centric cybersecurity policies that prioritize militarized responses while neglecting the socio-technical complexities affecting marginalized communities and their rights to digital self-representation (Carlson et al., n.d.).</w:t>
      </w:r>
    </w:p>
    <w:p w14:paraId="09DA8406">
      <w:pPr>
        <w:pStyle w:val="9"/>
        <w:bidi w:val="0"/>
        <w:spacing w:line="360" w:lineRule="auto"/>
        <w:jc w:val="both"/>
      </w:pPr>
      <w:r>
        <w:t>Digital indigeneity refers to the capacity of Indigenous and marginalized communities to assert epistemological sovereignty and cultural autonomy in digital spaces. It involves resisting algorithmic assimilation, sustaining distinct knowledge systems, and reimagining digital governance through community-driven principles rooted in relationality, collective accountability, and ancestral ontologies. As both a concept and a practice, digital indigeneity challenges dominant data regimes and affirms alternative epistemologies in the digital realm.</w:t>
      </w:r>
    </w:p>
    <w:p w14:paraId="1651668E">
      <w:pPr>
        <w:pStyle w:val="9"/>
        <w:bidi w:val="0"/>
        <w:spacing w:line="360" w:lineRule="auto"/>
        <w:jc w:val="both"/>
      </w:pPr>
      <w:r>
        <w:t>Within this contested epistemic terrain, digital indigeneity emerges as a counter-hegemonic practice. It represents the ability of marginalized and Indigenous communities to sustain autonomous epistemologies in digital representation, resist algorithmic assimilation, and assert their status as epistemic agents in governance processes. This orientation disrupts the binary governance trap—a false dichotomy between state sovereignty and corporate control. For instance, Māori data sovereignty movements in Aotearoa/New Zealand reimagine governance through principles like whakapapa, which emphasize relational accountability and collective custodianship (Carlson et al., n.d.). These initiatives present alternative ontologies that resist universalist, reductionist data regimes.</w:t>
      </w:r>
    </w:p>
    <w:p w14:paraId="1ED7A799">
      <w:pPr>
        <w:pStyle w:val="9"/>
        <w:bidi w:val="0"/>
        <w:spacing w:line="360" w:lineRule="auto"/>
        <w:jc w:val="both"/>
      </w:pPr>
      <w:r>
        <w:t>A constructivist approach to cybersecurity policy thus provides a critical intervention. Unlike traditional frameworks that prioritize state-military dominance and closed policy-making, constructivism enables polycentric governance, participatory design, and the co-evolution of technological and social systems (Dunn Cavelty &amp; Wenger, 2020). Grassroots collectives like the Tor Project exemplify this shift, embedding privacy and transparency norms through everyday technological practices rather than through top-down regulation. Such models reflect the transformative potential of bottom-up cybersecurity grounded in pluralistic epistemologies. Ultimately, this perspective recenters epistemic justice as a core imperative, calling for policies that recognize and empower digital indigeneity in the stewardship of knowledge systems.</w:t>
      </w:r>
    </w:p>
    <w:p w14:paraId="2839A61E">
      <w:pPr>
        <w:pStyle w:val="9"/>
        <w:bidi w:val="0"/>
        <w:spacing w:line="360" w:lineRule="auto"/>
        <w:jc w:val="both"/>
      </w:pPr>
      <w:r>
        <w:t>Postcolonial critiques expose the Western bias inherent in prevailing governance frameworks and advocate reforms for equitable representation. Decolonial approaches go further by challenging the epistemological foundations of global cybersecurity, seeking structural transformation and epistemic pluralism through the centering of Indigenous knowledge and governance practices (Mignolo, 2007; Quijano, 2000; Svimonishvili, 2021).</w:t>
      </w:r>
    </w:p>
    <w:p w14:paraId="3118EC3B">
      <w:pPr>
        <w:pStyle w:val="9"/>
        <w:bidi w:val="0"/>
        <w:spacing w:line="360" w:lineRule="auto"/>
        <w:jc w:val="both"/>
      </w:pPr>
      <w:r>
        <w:t>Digital indigeneity exemplifies these transformative possibilities. Indigenous communities use digital technologies not merely to access services, but to assert cultural autonomy and epistemological sovereignty. Persistent broadband disparities—such as the 60% connectivity rate on Tribal lands in 2018—underscore systemic marginalization rooted in colonial dispossession (Institute for Local Self-Reliance, 2024). In response, community-owned networks and Indigenous data governance frameworks like OCAP® and the CARE principles challenge extractive data practices and affirm relational stewardship (First Nations Data Governance Strategy, 2020).</w:t>
      </w:r>
    </w:p>
    <w:p w14:paraId="05314207">
      <w:pPr>
        <w:pStyle w:val="9"/>
        <w:bidi w:val="0"/>
        <w:spacing w:line="360" w:lineRule="auto"/>
        <w:jc w:val="both"/>
      </w:pPr>
      <w:r>
        <w:t>These efforts reveal that data is never neutral; it is embedded in power structures (Data &amp; Society, 2024). Indigenous cybersecurity frameworks reimagine security in terms of relational accountability and cultural survival. From this vantage point, mainstream cybersecurity remains bound to militarized state logics, often privileging national interests over Indigenous rights. Concepts like data colonialism (Couldry &amp; Mejias, 2019; Zuboff, 2019) highlight how digital capitalism appropriates human life—particularly from Indigenous and marginalized communities—as raw data.</w:t>
      </w:r>
    </w:p>
    <w:p w14:paraId="3D7839C9">
      <w:pPr>
        <w:pStyle w:val="9"/>
        <w:bidi w:val="0"/>
        <w:spacing w:line="360" w:lineRule="auto"/>
        <w:jc w:val="both"/>
      </w:pPr>
      <w:r>
        <w:t>By asserting epistemological sovereignty and reconfiguring digital governance, Indigenous communities challenge narratives of passive reception and actively shape digital futures. Their actions confront colonial legacies and affirm pluriversal digital imaginaries. In response, hybrid theoretical approaches—integrating postcolonial critique, securitization theory, and critical international relations—are emerging to reconceptualize cybersecurity not as a neutral technical domain, but as a deeply political terrain shaped by inequality, resistance, and historical power relations (Verma, 2024).</w:t>
      </w:r>
    </w:p>
    <w:p w14:paraId="3C32A0E9">
      <w:pPr>
        <w:pStyle w:val="9"/>
        <w:bidi w:val="0"/>
        <w:spacing w:line="360" w:lineRule="auto"/>
        <w:jc w:val="both"/>
        <w:rPr>
          <w:rFonts w:hint="default" w:ascii="Times New Roman Bold" w:hAnsi="Times New Roman Bold" w:cs="Times New Roman Bold"/>
          <w:b/>
          <w:bCs/>
        </w:rPr>
      </w:pPr>
    </w:p>
    <w:p w14:paraId="17C91097">
      <w:pPr>
        <w:pStyle w:val="3"/>
        <w:keepNext w:val="0"/>
        <w:keepLines w:val="0"/>
        <w:widowControl/>
        <w:suppressLineNumbers w:val="0"/>
        <w:spacing w:line="360" w:lineRule="auto"/>
        <w:jc w:val="both"/>
        <w:rPr>
          <w:rStyle w:val="10"/>
          <w:rFonts w:hint="default" w:ascii="Times New Roman Regular" w:hAnsi="Times New Roman Regular" w:cs="Times New Roman Regular"/>
          <w:b/>
          <w:bCs/>
          <w:sz w:val="24"/>
          <w:szCs w:val="24"/>
        </w:rPr>
      </w:pPr>
    </w:p>
    <w:p w14:paraId="46F34157">
      <w:pPr>
        <w:pStyle w:val="3"/>
        <w:keepNext w:val="0"/>
        <w:keepLines w:val="0"/>
        <w:widowControl/>
        <w:suppressLineNumbers w:val="0"/>
        <w:spacing w:line="360" w:lineRule="auto"/>
        <w:jc w:val="both"/>
        <w:rPr>
          <w:rStyle w:val="10"/>
          <w:rFonts w:hint="default" w:ascii="Times New Roman Regular" w:hAnsi="Times New Roman Regular" w:cs="Times New Roman Regular"/>
          <w:b/>
          <w:bCs/>
          <w:sz w:val="24"/>
          <w:szCs w:val="24"/>
        </w:rPr>
      </w:pPr>
    </w:p>
    <w:p w14:paraId="3488159F">
      <w:pPr>
        <w:pStyle w:val="9"/>
        <w:bidi w:val="0"/>
        <w:spacing w:line="360" w:lineRule="auto"/>
        <w:jc w:val="both"/>
        <w:rPr>
          <w:rFonts w:hint="default" w:ascii="Times New Roman Bold" w:hAnsi="Times New Roman Bold" w:cs="Times New Roman Bold"/>
          <w:b/>
          <w:bCs/>
        </w:rPr>
      </w:pPr>
    </w:p>
    <w:p w14:paraId="49045CD1">
      <w:pPr>
        <w:pStyle w:val="9"/>
        <w:bidi w:val="0"/>
        <w:spacing w:line="360" w:lineRule="auto"/>
        <w:jc w:val="both"/>
        <w:rPr>
          <w:rFonts w:hint="default" w:ascii="Times New Roman Bold" w:hAnsi="Times New Roman Bold" w:cs="Times New Roman Bold"/>
          <w:b/>
          <w:bCs/>
        </w:rPr>
      </w:pPr>
      <w:r>
        <w:rPr>
          <w:rFonts w:hint="default" w:ascii="Times New Roman Bold" w:hAnsi="Times New Roman Bold" w:cs="Times New Roman Bold"/>
          <w:b/>
          <w:bCs/>
        </w:rPr>
        <w:t>Cybersecurity and the Epistemopolitics of Digital Security: From Protection to Pluriversal Justice</w:t>
      </w:r>
    </w:p>
    <w:p w14:paraId="0B2295E6">
      <w:pPr>
        <w:pStyle w:val="9"/>
        <w:bidi w:val="0"/>
        <w:spacing w:line="360" w:lineRule="auto"/>
        <w:jc w:val="both"/>
        <w:rPr>
          <w:rFonts w:hint="default" w:ascii="Times New Roman Regular" w:hAnsi="Times New Roman Regular" w:cs="Times New Roman Regular"/>
        </w:rPr>
      </w:pPr>
    </w:p>
    <w:p w14:paraId="10800F44">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 xml:space="preserve">Cybersecurity constitutes a paradigmatic shift in the conceptual architecture of security, demanding a rethinking that extends beyond traditional realist frameworks centered on state sovereignty and territorial integrity. While nation-state priorities remain deeply entrenched in cyberspace—evident in national strategies, military cyber operations, and international protocols such as the Budapest Convention (Sofaer &amp; Goodman, 2020)—the nature of cyberspace itself resists containment within such logics. The borderless, transnational character of digital infrastructure destabilizes classical assumptions of security as spatially bounded and state-administered. </w:t>
      </w:r>
      <w:r>
        <w:rPr>
          <w:rFonts w:hint="default" w:ascii="Times New Roman Regular" w:hAnsi="Times New Roman Regular" w:cs="Times New Roman Regular"/>
          <w:lang w:val="en-US"/>
        </w:rPr>
        <w:t>However,</w:t>
      </w:r>
      <w:r>
        <w:rPr>
          <w:rFonts w:hint="default" w:ascii="Times New Roman Regular" w:hAnsi="Times New Roman Regular" w:cs="Times New Roman Regular"/>
        </w:rPr>
        <w:t xml:space="preserve"> the core of cybersecurity must be reimagined through a critical, decolonial lens to address power differentials, epistemic injustices, and the need for pluralistic security frameworks. It should prioritize epistemic security, digital indigeneity, and the pluriversal as essential components for analysis and normative guidance.</w:t>
      </w:r>
    </w:p>
    <w:p w14:paraId="73F127E2">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 xml:space="preserve">Traditional models, even when updated to account for individual-level concerns under the banner of "human security," often reproduce liberal-statist assumptions that frame the digital subject as either a vulnerable individual or a passive recipient of protection (Calderaro &amp; Craig, 2020). This binary—state vs. individual—fails to account for the complex and contested terrain of digital life, where multiple actors, infrastructures, and epistemologies intersect. Instead of correcting a binary view,  cybersecurity </w:t>
      </w:r>
      <w:r>
        <w:rPr>
          <w:rFonts w:hint="default" w:ascii="Times New Roman Regular" w:hAnsi="Times New Roman Regular" w:cs="Times New Roman Regular"/>
          <w:lang w:val="en-US"/>
        </w:rPr>
        <w:t xml:space="preserve">needs to reframe </w:t>
      </w:r>
      <w:r>
        <w:rPr>
          <w:rFonts w:hint="default" w:ascii="Times New Roman Regular" w:hAnsi="Times New Roman Regular" w:cs="Times New Roman Regular"/>
        </w:rPr>
        <w:t>as the governance of life through digital means, moving beyond territorial defense or individual protection.</w:t>
      </w:r>
    </w:p>
    <w:p w14:paraId="6AE740D2">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This advances the argument that cybersecurity functions as a biopolitical apparatus, extending Michel Foucault’s (1978/2008) conception of biopolitics into the digital domain. Data, in this context, is not merely representational but becomes the operative substance through which life is regulated. Surveillance regimes, algorithmic scoring systems, and predictive analytics are not neutral tools; they are technologies of classification that enact power by sorting populations according to risk, value, and governability. These regimes render subjects legible through datafication, making possible new forms of inclusion and exclusion, protection and abandonment.</w:t>
      </w:r>
    </w:p>
    <w:p w14:paraId="6E0CAAC8">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Yet biopolitics alone does not exhaust the dynamics of digital governance. As Achille Mbembe (2003) asserts through the concept of necropolitics, modern sovereignty is often exercised not by optimizing life but through exposing populations to death, abandonment, or invisibility. In the context of cybersecurity, necropolitical operations are evident in the racialized surveillance of the Global North and the digital marginalization of communities in the Global South. Practices such as biometric border control, predictive policing, and the denial of digital infrastructure reproduce global hierarchies of disposability. These mechanisms are not accidents of design—they are structured through epistemologies that have historically privileged Euro-American ontologies while rendering subaltern perspectives invisible.</w:t>
      </w:r>
    </w:p>
    <w:p w14:paraId="7B693B28">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 xml:space="preserve">Building on these critiques,  the concept of epistemic security </w:t>
      </w:r>
      <w:r>
        <w:rPr>
          <w:rFonts w:hint="default" w:ascii="Times New Roman Regular" w:hAnsi="Times New Roman Regular" w:cs="Times New Roman Regular"/>
          <w:lang w:val="en-US"/>
        </w:rPr>
        <w:t xml:space="preserve">needs to introduced </w:t>
      </w:r>
      <w:r>
        <w:rPr>
          <w:rFonts w:hint="default" w:ascii="Times New Roman Regular" w:hAnsi="Times New Roman Regular" w:cs="Times New Roman Regular"/>
        </w:rPr>
        <w:t>as a critical intervention. Drawing from Gayatri Spivak’s (1988) notion of epistemic violence—the silencing of subaltern knowledge through colonial structures</w:t>
      </w:r>
      <w:r>
        <w:rPr>
          <w:rFonts w:hint="default" w:ascii="Times New Roman Regular" w:hAnsi="Times New Roman Regular" w:cs="Times New Roman Regular"/>
          <w:lang w:val="en-US"/>
        </w:rPr>
        <w:t>-</w:t>
      </w:r>
      <w:r>
        <w:rPr>
          <w:rFonts w:hint="default" w:ascii="Times New Roman Regular" w:hAnsi="Times New Roman Regular" w:cs="Times New Roman Regular"/>
        </w:rPr>
        <w:t xml:space="preserve"> </w:t>
      </w:r>
      <w:r>
        <w:rPr>
          <w:rFonts w:hint="default" w:ascii="Times New Roman Regular" w:hAnsi="Times New Roman Regular" w:cs="Times New Roman Regular"/>
          <w:lang w:val="en-US"/>
        </w:rPr>
        <w:t xml:space="preserve">espistemic securit </w:t>
      </w:r>
      <w:r>
        <w:rPr>
          <w:rFonts w:hint="default" w:ascii="Times New Roman Regular" w:hAnsi="Times New Roman Regular" w:cs="Times New Roman Regular"/>
        </w:rPr>
        <w:t>argue</w:t>
      </w:r>
      <w:r>
        <w:rPr>
          <w:rFonts w:hint="default" w:ascii="Times New Roman Regular" w:hAnsi="Times New Roman Regular" w:cs="Times New Roman Regular"/>
          <w:lang w:val="en-US"/>
        </w:rPr>
        <w:t>s</w:t>
      </w:r>
      <w:r>
        <w:rPr>
          <w:rFonts w:hint="default" w:ascii="Times New Roman Regular" w:hAnsi="Times New Roman Regular" w:cs="Times New Roman Regular"/>
        </w:rPr>
        <w:t xml:space="preserve"> that current cybersecurity regimes enact a form of epistemic dispossession.</w:t>
      </w:r>
      <w:r>
        <w:rPr>
          <w:rFonts w:hint="default" w:ascii="Times New Roman Regular" w:hAnsi="Times New Roman Regular" w:cs="Times New Roman Regular"/>
          <w:color w:val="0000FF"/>
        </w:rPr>
        <w:t xml:space="preserve"> </w:t>
      </w:r>
      <w:r>
        <w:rPr>
          <w:rFonts w:hint="default" w:ascii="Times New Roman Regular" w:hAnsi="Times New Roman Regular" w:cs="Times New Roman Regular"/>
          <w:color w:val="0000FF"/>
          <w:lang w:val="en-US"/>
        </w:rPr>
        <w:t xml:space="preserve"> </w:t>
      </w:r>
      <w:r>
        <w:rPr>
          <w:rFonts w:hint="default" w:ascii="Times New Roman Regular" w:hAnsi="Times New Roman Regular" w:cs="Times New Roman Regular"/>
        </w:rPr>
        <w:t>Epistemic security thus emerges as a counter-hegemonic imperative: the right of communities, particularly those historically subjected to colonial and imperial violence, to determine their own digital ontologies, epistemologies, and futures.</w:t>
      </w:r>
    </w:p>
    <w:p w14:paraId="0A00E3E1">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This epistemic lens necessitates a fundamental rethinking of what counts as a secure digital life. Rather than merely resisting data breaches or cyberattacks, epistemic security demands an interrogation of who is allowed to produce, circulate, and legitimize knowledge in the digital realm, emphasizing the power dynamics, inclusivity, and ethical considerations in shaping cybersecurity frameworks. It foregrounds the stakes of epistemopolitics—the struggle over whose knowledge systems are protected and whose are devalued or erased.</w:t>
      </w:r>
    </w:p>
    <w:p w14:paraId="2A374086">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 xml:space="preserve">Building on Aníbal Quijano’s (2000) coloniality of power concept, </w:t>
      </w:r>
      <w:r>
        <w:rPr>
          <w:rFonts w:hint="default" w:ascii="Times New Roman Regular" w:hAnsi="Times New Roman Regular" w:cs="Times New Roman Regular"/>
          <w:lang w:val="en-US"/>
        </w:rPr>
        <w:t xml:space="preserve">a critical lens is needed to study </w:t>
      </w:r>
      <w:r>
        <w:rPr>
          <w:rFonts w:hint="default" w:ascii="Times New Roman Regular" w:hAnsi="Times New Roman Regular" w:cs="Times New Roman Regular"/>
        </w:rPr>
        <w:t>digital sovereignty as involving epistemopolitical autonomy, which challenges conventional notions of state control by emphasizing community agency, knowledge autonomy, and resistance to hegemonic digital narratives. Current invocations of digital sovereignty, particularly by powerful states, often mask neo-imperial ambitions to dominate digital infrastructures and knowledge flows. Against this, a decolonial</w:t>
      </w:r>
      <w:r>
        <w:rPr>
          <w:rFonts w:hint="default" w:ascii="Times New Roman Regular" w:hAnsi="Times New Roman Regular" w:cs="Times New Roman Regular"/>
          <w:lang w:val="en-US"/>
        </w:rPr>
        <w:t>, epistemic rupture flolowing digital indegeneity</w:t>
      </w:r>
      <w:r>
        <w:rPr>
          <w:rFonts w:hint="default" w:ascii="Times New Roman Regular" w:hAnsi="Times New Roman Regular" w:cs="Times New Roman Regular"/>
        </w:rPr>
        <w:t xml:space="preserve"> </w:t>
      </w:r>
      <w:r>
        <w:rPr>
          <w:rFonts w:hint="default" w:ascii="Times New Roman Regular" w:hAnsi="Times New Roman Regular" w:cs="Times New Roman Regular"/>
          <w:lang w:val="en-US"/>
        </w:rPr>
        <w:t xml:space="preserve">is needed </w:t>
      </w:r>
      <w:r>
        <w:rPr>
          <w:rFonts w:hint="default" w:ascii="Times New Roman Regular" w:hAnsi="Times New Roman Regular" w:cs="Times New Roman Regular"/>
        </w:rPr>
        <w:t>as the capacity of historically oppressed communities to assert control over their digital lives in terms aligned with their cultural, ontological, and epistemic frameworks.</w:t>
      </w:r>
    </w:p>
    <w:p w14:paraId="6E84F478">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lang w:val="en-US"/>
        </w:rPr>
        <w:t>T</w:t>
      </w:r>
      <w:r>
        <w:rPr>
          <w:rFonts w:hint="default" w:ascii="Times New Roman Regular" w:hAnsi="Times New Roman Regular" w:cs="Times New Roman Regular"/>
        </w:rPr>
        <w:t>he concept of digital indigeneit</w:t>
      </w:r>
      <w:r>
        <w:rPr>
          <w:rFonts w:hint="default" w:ascii="Times New Roman Regular" w:hAnsi="Times New Roman Regular" w:cs="Times New Roman Regular"/>
          <w:lang w:val="en-US"/>
        </w:rPr>
        <w:t>y</w:t>
      </w:r>
      <w:r>
        <w:rPr>
          <w:rFonts w:hint="default" w:ascii="Times New Roman Regular" w:hAnsi="Times New Roman Regular" w:cs="Times New Roman Regular"/>
        </w:rPr>
        <w:t xml:space="preserve"> resists the epistemological flattening imposed by algorithmic universalism. Digital indigeneity asserts the specificity of relational ontologies, community-centered knowledge practices, and the legitimacy of alternative epistemic systems in shaping digital life. It goes beyond the representation of indigenous peoples in cyberspace to fundamentally reshape cybersecurity around diverse and context-specific epistemologies.</w:t>
      </w:r>
    </w:p>
    <w:p w14:paraId="30A9BF27">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This epistemopolitical framing also allows for a critical reworking of securitization theory (Buzan et al., 1998), which explores how political actors frame issues as existential threats to legitimize extraordinary measures. From a decolonial perspective, the securitization of cyberspace often functions as an instrument of elite and statist control, marginalizing counter-epistemic communities and foreclosing alternative ways of being secure. Reconceptualizing cybersecurity as epistemic security shifts the analytical gaze from top-down declarations of threat to bottom-up practices of digital justice and collective autonomy.</w:t>
      </w:r>
    </w:p>
    <w:p w14:paraId="229D8404">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Moreover, the dissertation critiques the persistent ambiguity of attribution in cyberspace, which—due to encryption, anonymity, and proxy actors—renders conventional legal and political responses increasingly ineffective (CIGI Online, 2024; Sofaer &amp; Goodman, 2020). These challenges stem from both technical and political</w:t>
      </w:r>
      <w:r>
        <w:rPr>
          <w:rFonts w:hint="default" w:ascii="Times New Roman Regular" w:hAnsi="Times New Roman Regular" w:cs="Times New Roman Regular"/>
          <w:lang w:val="en-US"/>
        </w:rPr>
        <w:t xml:space="preserve">- hegemonic </w:t>
      </w:r>
      <w:r>
        <w:rPr>
          <w:rFonts w:hint="default" w:ascii="Times New Roman Regular" w:hAnsi="Times New Roman Regular" w:cs="Times New Roman Regular"/>
        </w:rPr>
        <w:t>issues, illustrating the uneven distribution of cyber capabilities</w:t>
      </w:r>
      <w:r>
        <w:rPr>
          <w:rFonts w:hint="default" w:ascii="Times New Roman Regular" w:hAnsi="Times New Roman Regular" w:cs="Times New Roman Regular"/>
          <w:lang w:val="en-US"/>
        </w:rPr>
        <w:t xml:space="preserve">, </w:t>
      </w:r>
      <w:r>
        <w:rPr>
          <w:rFonts w:hint="default" w:ascii="Times New Roman Regular" w:hAnsi="Times New Roman Regular" w:cs="Times New Roman Regular"/>
        </w:rPr>
        <w:t>geopolitical</w:t>
      </w:r>
      <w:r>
        <w:rPr>
          <w:rFonts w:hint="default" w:ascii="Times New Roman Regular" w:hAnsi="Times New Roman Regular" w:cs="Times New Roman Regular"/>
          <w:lang w:val="en-US"/>
        </w:rPr>
        <w:t xml:space="preserve"> and surveillance capitalism</w:t>
      </w:r>
      <w:r>
        <w:rPr>
          <w:rFonts w:hint="default" w:ascii="Times New Roman Regular" w:hAnsi="Times New Roman Regular" w:cs="Times New Roman Regular"/>
        </w:rPr>
        <w:t xml:space="preserve"> influence</w:t>
      </w:r>
      <w:r>
        <w:rPr>
          <w:rFonts w:hint="default" w:ascii="Times New Roman Regular" w:hAnsi="Times New Roman Regular" w:cs="Times New Roman Regular"/>
          <w:lang w:val="en-US"/>
        </w:rPr>
        <w:t>s</w:t>
      </w:r>
      <w:r>
        <w:rPr>
          <w:rFonts w:hint="default" w:ascii="Times New Roman Regular" w:hAnsi="Times New Roman Regular" w:cs="Times New Roman Regular"/>
        </w:rPr>
        <w:t>. States in the Global South often lack both the technological infrastructure and normative authority to assert their digital sovereignty, further reinforcing epistemic asymmetries (Calderaro &amp; Craig, 2020).</w:t>
      </w:r>
    </w:p>
    <w:p w14:paraId="400DC16C">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Rather than choosing between traditional state-centered security models and liberal rights-based frameworks, this dissertation proposes a hybrid approach that integrates technical capability with critical epistemological reflection. Cybersecurity should be viewed not merely as a matter of control and protection but as a contested field of ethical, political, and ontological struggle, highlighting the multifaceted challenges and considerations involved. In this framing, cybersecurity is not solely about defending infrastructures or systems but about securing life itself—not in the biopolitical sense of population management, but in the pluriversal sense of sustaining diverse ways of knowing, being, and relating in the digital age.</w:t>
      </w:r>
    </w:p>
    <w:p w14:paraId="40337D43">
      <w:pPr>
        <w:pStyle w:val="9"/>
        <w:bidi w:val="0"/>
        <w:spacing w:line="360" w:lineRule="auto"/>
        <w:jc w:val="both"/>
        <w:rPr>
          <w:rFonts w:hint="default" w:ascii="Times New Roman Bold" w:hAnsi="Times New Roman Bold" w:cs="Times New Roman Bold"/>
          <w:b/>
          <w:bCs/>
        </w:rPr>
      </w:pPr>
    </w:p>
    <w:p w14:paraId="171DFAFA">
      <w:pPr>
        <w:pStyle w:val="9"/>
        <w:bidi w:val="0"/>
        <w:spacing w:line="360" w:lineRule="auto"/>
        <w:jc w:val="both"/>
        <w:rPr>
          <w:rFonts w:hint="default" w:ascii="Times New Roman Bold" w:hAnsi="Times New Roman Bold" w:cs="Times New Roman Bold"/>
          <w:b/>
          <w:bCs/>
        </w:rPr>
      </w:pPr>
    </w:p>
    <w:p w14:paraId="566029C2">
      <w:pPr>
        <w:pStyle w:val="9"/>
        <w:bidi w:val="0"/>
        <w:spacing w:line="360" w:lineRule="auto"/>
        <w:jc w:val="both"/>
        <w:rPr>
          <w:rFonts w:hint="default" w:ascii="Times New Roman Bold" w:hAnsi="Times New Roman Bold" w:cs="Times New Roman Bold"/>
          <w:b/>
          <w:bCs/>
        </w:rPr>
      </w:pPr>
    </w:p>
    <w:p w14:paraId="44D481EE">
      <w:pPr>
        <w:pStyle w:val="9"/>
        <w:bidi w:val="0"/>
        <w:spacing w:line="360" w:lineRule="auto"/>
        <w:jc w:val="both"/>
        <w:rPr>
          <w:rFonts w:hint="default" w:ascii="Times New Roman Bold" w:hAnsi="Times New Roman Bold" w:cs="Times New Roman Bold"/>
          <w:b/>
          <w:bCs/>
        </w:rPr>
      </w:pPr>
      <w:r>
        <w:rPr>
          <w:rFonts w:hint="default" w:ascii="Times New Roman Bold" w:hAnsi="Times New Roman Bold" w:cs="Times New Roman Bold"/>
          <w:b/>
          <w:bCs/>
        </w:rPr>
        <w:t>Conclusion: Toward Hybrid Cybersecurity Governance</w:t>
      </w:r>
    </w:p>
    <w:p w14:paraId="2B2FC4AA">
      <w:pPr>
        <w:pStyle w:val="9"/>
        <w:bidi w:val="0"/>
        <w:spacing w:line="360" w:lineRule="auto"/>
        <w:jc w:val="both"/>
        <w:rPr>
          <w:rFonts w:hint="default" w:ascii="Times New Roman Regular" w:hAnsi="Times New Roman Regular" w:cs="Times New Roman Regular"/>
        </w:rPr>
      </w:pPr>
    </w:p>
    <w:p w14:paraId="71D9C828">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A central concern has been the enduring colonial residues embedded within cybersecurity architectures. The chapter elaborated on algorithmic colonialism as a critical framework, shedding light on its material, racialized, and epistemic dimensions in the landscape of digital domination. Through this lens, sovereignty is redefined beyond territorial boundaries to be relational and multilevel, co-produced by states, global tech corporations, and grassroots actors.</w:t>
      </w:r>
    </w:p>
    <w:p w14:paraId="1FDDE17E">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The chapter also highlighted digital indigeneity, emphasizing Indigenous data governance as a crucial foundational pillar of decolonial cybersecurity praxis. This reorientation emphasizes the epistemological sovereignty of Indigenous and subaltern communities, challenging dominant, extractive logics in digital governance.</w:t>
      </w:r>
    </w:p>
    <w:p w14:paraId="0740CB0E">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Expanding on this idea, cybersecurity was reconceptualized through the biopolitical and necropolitical logics of data governance, underscoring the critical importance of this reframing in understanding cybersecurity dynamics. Drawing on Foucault and Mbembe, the analysis demonstrated how their theories elucidate the control of life, visibility, and exclusion by digital infrastructures, prompting crucial ethical and political inquiries into the safeguarding and marginalization of lives and knowledge. In doing so, the chapter shed light on the intricate power dynamics that mold global cybersecurity practices, advocating for the adoption of more inclusive, participatory, and ethical forms of governance.</w:t>
      </w:r>
    </w:p>
    <w:p w14:paraId="3D264E65">
      <w:pPr>
        <w:pStyle w:val="9"/>
        <w:bidi w:val="0"/>
        <w:spacing w:line="360" w:lineRule="auto"/>
        <w:jc w:val="both"/>
        <w:rPr>
          <w:rFonts w:hint="default" w:ascii="Times New Roman Regular" w:hAnsi="Times New Roman Regular" w:cs="Times New Roman Regular"/>
        </w:rPr>
      </w:pPr>
      <w:r>
        <w:rPr>
          <w:rFonts w:hint="default" w:ascii="Times New Roman Regular" w:hAnsi="Times New Roman Regular" w:cs="Times New Roman Regular"/>
        </w:rPr>
        <w:t>Ultimately, while much of the existing scholarship focuses on technical defenses and strategic doctrines, this chapter reveals a deeper, often overlooked terrain: the epistemopolitics of cybersecurity. As algorithmic systems and surveillance infrastructures reorganize global power, they also transform the very conditions under which knowledge is produced, validated, or erased.</w:t>
      </w:r>
      <w:r>
        <w:rPr>
          <w:rFonts w:hint="default" w:ascii="Times New Roman Regular" w:hAnsi="Times New Roman Regular" w:cs="Times New Roman Regular"/>
          <w:lang w:val="en-US"/>
        </w:rPr>
        <w:t xml:space="preserve"> </w:t>
      </w:r>
      <w:r>
        <w:rPr>
          <w:rFonts w:hint="default" w:ascii="Times New Roman Regular" w:hAnsi="Times New Roman Regular" w:cs="Times New Roman Regular"/>
        </w:rPr>
        <w:t>To understand cybersecurity as a political and ethical project, we must therefore engage not only with structural power, but with the epistemologies those structures uphold or suppress. The chapter concludes by setting the stage for the following examination of epistemic security and digital indigeneity as pivotal frameworks for reimagining cybersecurity management. This forward-looking strategy highlights a transition in focus from geopolitical to epistemological sovereignty, emphasizing that cybersecurity's core is not just about safeguarding systems but about preserving the diverse lifeworlds, belief systems, and sovereignties that cyberspace can enhance or eliminate.</w:t>
      </w:r>
    </w:p>
    <w:p w14:paraId="1CC9A952">
      <w:pPr>
        <w:pStyle w:val="9"/>
        <w:bidi w:val="0"/>
        <w:spacing w:line="360" w:lineRule="auto"/>
        <w:jc w:val="both"/>
        <w:rPr>
          <w:rFonts w:hint="default" w:ascii="Times New Roman Regular" w:hAnsi="Times New Roman Regular" w:cs="Times New Roman Regular"/>
        </w:rPr>
      </w:pPr>
    </w:p>
    <w:p w14:paraId="39422DA0">
      <w:pPr>
        <w:pStyle w:val="9"/>
        <w:bidi w:val="0"/>
        <w:spacing w:line="360" w:lineRule="auto"/>
        <w:jc w:val="both"/>
        <w:rPr>
          <w:rFonts w:hint="default" w:ascii="Times New Roman Bold" w:hAnsi="Times New Roman Bold" w:cs="Times New Roman Bold"/>
          <w:b/>
          <w:bCs/>
          <w:lang w:val="en-US"/>
        </w:rPr>
      </w:pPr>
    </w:p>
    <w:p w14:paraId="6EF3D5A8">
      <w:pPr>
        <w:pStyle w:val="9"/>
        <w:bidi w:val="0"/>
        <w:spacing w:line="360" w:lineRule="auto"/>
        <w:jc w:val="both"/>
        <w:rPr>
          <w:rFonts w:hint="default" w:ascii="Times New Roman Bold" w:hAnsi="Times New Roman Bold" w:cs="Times New Roman Bold"/>
          <w:b/>
          <w:bCs/>
          <w:lang w:val="en-US"/>
        </w:rPr>
      </w:pPr>
    </w:p>
    <w:p w14:paraId="1740D353">
      <w:pPr>
        <w:pStyle w:val="9"/>
        <w:bidi w:val="0"/>
        <w:spacing w:line="360" w:lineRule="auto"/>
        <w:jc w:val="both"/>
        <w:rPr>
          <w:rFonts w:hint="default" w:ascii="Times New Roman Bold" w:hAnsi="Times New Roman Bold" w:cs="Times New Roman Bold"/>
          <w:b/>
          <w:bCs/>
          <w:lang w:val="en-US"/>
        </w:rPr>
      </w:pPr>
    </w:p>
    <w:p w14:paraId="0EDFFFD4">
      <w:pPr>
        <w:pStyle w:val="9"/>
        <w:bidi w:val="0"/>
        <w:spacing w:line="360" w:lineRule="auto"/>
        <w:jc w:val="both"/>
        <w:rPr>
          <w:rFonts w:hint="default" w:ascii="Times New Roman Bold" w:hAnsi="Times New Roman Bold" w:cs="Times New Roman Bold"/>
          <w:b/>
          <w:bCs/>
          <w:lang w:val="en-US"/>
        </w:rPr>
      </w:pPr>
    </w:p>
    <w:p w14:paraId="79F61366">
      <w:pPr>
        <w:pStyle w:val="9"/>
        <w:bidi w:val="0"/>
        <w:spacing w:line="360" w:lineRule="auto"/>
        <w:jc w:val="both"/>
        <w:rPr>
          <w:rFonts w:hint="default" w:ascii="Times New Roman Bold" w:hAnsi="Times New Roman Bold" w:cs="Times New Roman Bold"/>
          <w:b/>
          <w:bCs/>
          <w:lang w:val="en-US"/>
        </w:rPr>
      </w:pPr>
    </w:p>
    <w:p w14:paraId="49AED633">
      <w:pPr>
        <w:pStyle w:val="9"/>
        <w:bidi w:val="0"/>
        <w:spacing w:line="360" w:lineRule="auto"/>
        <w:jc w:val="both"/>
        <w:rPr>
          <w:rFonts w:hint="default" w:ascii="Times New Roman Bold" w:hAnsi="Times New Roman Bold" w:cs="Times New Roman Bold"/>
          <w:b/>
          <w:bCs/>
          <w:lang w:val="en-US"/>
        </w:rPr>
      </w:pPr>
    </w:p>
    <w:p w14:paraId="74343DE9">
      <w:pPr>
        <w:pStyle w:val="9"/>
        <w:bidi w:val="0"/>
        <w:spacing w:line="360" w:lineRule="auto"/>
        <w:jc w:val="both"/>
        <w:rPr>
          <w:rFonts w:hint="default" w:ascii="Times New Roman Bold" w:hAnsi="Times New Roman Bold" w:cs="Times New Roman Bold"/>
          <w:b/>
          <w:bCs/>
          <w:lang w:val="en-US"/>
        </w:rPr>
      </w:pPr>
    </w:p>
    <w:p w14:paraId="6FFF9568">
      <w:pPr>
        <w:pStyle w:val="9"/>
        <w:bidi w:val="0"/>
        <w:spacing w:line="360" w:lineRule="auto"/>
        <w:jc w:val="both"/>
        <w:rPr>
          <w:rFonts w:hint="default" w:ascii="Times New Roman Bold" w:hAnsi="Times New Roman Bold" w:cs="Times New Roman Bold"/>
          <w:b/>
          <w:bCs/>
          <w:lang w:val="en-US"/>
        </w:rPr>
      </w:pPr>
    </w:p>
    <w:p w14:paraId="431058A1">
      <w:pPr>
        <w:pStyle w:val="9"/>
        <w:bidi w:val="0"/>
        <w:spacing w:line="360" w:lineRule="auto"/>
        <w:jc w:val="both"/>
        <w:rPr>
          <w:rFonts w:hint="default" w:ascii="Times New Roman Bold" w:hAnsi="Times New Roman Bold" w:cs="Times New Roman Bold"/>
          <w:b/>
          <w:bCs/>
          <w:lang w:val="en-US"/>
        </w:rPr>
      </w:pPr>
    </w:p>
    <w:p w14:paraId="3F63F645">
      <w:pPr>
        <w:pStyle w:val="9"/>
        <w:bidi w:val="0"/>
        <w:spacing w:line="360" w:lineRule="auto"/>
        <w:jc w:val="both"/>
        <w:rPr>
          <w:rFonts w:hint="default" w:ascii="Times New Roman Bold" w:hAnsi="Times New Roman Bold" w:cs="Times New Roman Bold"/>
          <w:b/>
          <w:bCs/>
          <w:lang w:val="en-US"/>
        </w:rPr>
      </w:pPr>
    </w:p>
    <w:p w14:paraId="3985C577">
      <w:pPr>
        <w:pStyle w:val="9"/>
        <w:bidi w:val="0"/>
        <w:spacing w:line="360" w:lineRule="auto"/>
        <w:jc w:val="both"/>
        <w:rPr>
          <w:rFonts w:hint="default" w:ascii="Times New Roman Bold" w:hAnsi="Times New Roman Bold" w:cs="Times New Roman Bold"/>
          <w:b/>
          <w:bCs/>
          <w:lang w:val="en-US"/>
        </w:rPr>
      </w:pPr>
    </w:p>
    <w:p w14:paraId="6998E4A6">
      <w:pPr>
        <w:pStyle w:val="9"/>
        <w:bidi w:val="0"/>
        <w:spacing w:line="360" w:lineRule="auto"/>
        <w:jc w:val="both"/>
        <w:rPr>
          <w:rFonts w:hint="default" w:ascii="Times New Roman Regular" w:hAnsi="Times New Roman Regular" w:cs="Times New Roman Regular"/>
          <w:lang w:val="en-US"/>
        </w:rPr>
      </w:pPr>
      <w:r>
        <w:rPr>
          <w:rFonts w:hint="default" w:ascii="Times New Roman Bold" w:hAnsi="Times New Roman Bold" w:cs="Times New Roman Bold"/>
          <w:b/>
          <w:bCs/>
          <w:lang w:val="en-US"/>
        </w:rPr>
        <w:t>References</w:t>
      </w:r>
    </w:p>
    <w:p w14:paraId="61B065AD">
      <w:pPr>
        <w:pStyle w:val="9"/>
        <w:bidi w:val="0"/>
        <w:spacing w:line="360" w:lineRule="auto"/>
        <w:jc w:val="both"/>
        <w:rPr>
          <w:rFonts w:hint="default" w:ascii="Times New Roman Regular" w:hAnsi="Times New Roman Regular" w:cs="Times New Roman Regular"/>
          <w:lang w:val="en-US"/>
        </w:rPr>
      </w:pPr>
    </w:p>
    <w:p w14:paraId="3218DB85">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Andreotti, V. (2019, May 10). Comparing postcolonial, decolonial and critical race theories. UBC Blogs.https://blogs.ubc.ca/edstgaa/2019/05/10/comparing-postcolonial-decolonial-and-critical-race-theories-facilitated-by-dr-vanessa-andreotti/</w:t>
      </w:r>
    </w:p>
    <w:p w14:paraId="103AF942">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Angwin, J. (2021, February 9). The greatest security threat of the post-truth age. BBC.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"https://www.bbc.com/future/article/20210209-the-greatest-security-threat-of-the-post-truth-age"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https://www.bbc.com/future/article/20210209-the-greatest-security-threat-of-the-post-truth-age</w:t>
      </w:r>
      <w:r>
        <w:rPr>
          <w:rFonts w:hint="default" w:ascii="Times New Roman Regular" w:hAnsi="Times New Roman Regular" w:cs="Times New Roman Regular"/>
        </w:rPr>
        <w:fldChar w:fldCharType="end"/>
      </w:r>
    </w:p>
    <w:p w14:paraId="332D6DC4">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Aradau, C., Huysmans, J., Neal, A., &amp; Voelkner, N. (2014). Introducing critical security methods. In C. Aradau, J. Huysmans, A. Neal, &amp; N. Voelkner (Eds.), Critical security methods: New frameworks for analysis (pp. 1–24). Routledge.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"https://pure.rug.nl/ws/portalfiles/portal/247700599/10.4324_9781315881549_6_chapterpdf.pdf"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https://pure.rug.nl/ws/portalfiles/portal/247700599/10.4324_9781315881549_6_chapterpdf.pdf</w:t>
      </w:r>
      <w:r>
        <w:rPr>
          <w:rFonts w:hint="default" w:ascii="Times New Roman Regular" w:hAnsi="Times New Roman Regular" w:cs="Times New Roman Regular"/>
        </w:rPr>
        <w:fldChar w:fldCharType="end"/>
      </w:r>
    </w:p>
    <w:p w14:paraId="5A5A034B">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Atuire, C. (2025, January 9). </w:t>
      </w:r>
      <w:r>
        <w:rPr>
          <w:rStyle w:val="7"/>
        </w:rPr>
        <w:t>How AI impacts societies and reflects colonial continuities</w:t>
      </w:r>
      <w:r>
        <w:t xml:space="preserve">. DW Akademie. </w:t>
      </w:r>
      <w:r>
        <w:fldChar w:fldCharType="begin"/>
      </w:r>
      <w:r>
        <w:instrText xml:space="preserve"> HYPERLINK "https://akademie.dw.com/en/how-ai-impacts-societal-and-knowledge-systems-and-reflects-colonial-continuities/a-71255573" \t "/Users/satishirungbam/Documents/x/_new" </w:instrText>
      </w:r>
      <w:r>
        <w:fldChar w:fldCharType="separate"/>
      </w:r>
      <w:r>
        <w:rPr>
          <w:rStyle w:val="8"/>
        </w:rPr>
        <w:t>https://akademie.dw.com/en/how-ai-impacts-societal-and-knowledge-systems-and-reflects-colonial-continuities/a-71255573</w:t>
      </w:r>
      <w:r>
        <w:fldChar w:fldCharType="end"/>
      </w:r>
    </w:p>
    <w:p w14:paraId="61A7469D">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Baele, S. J., &amp; Jalea, D. (2023). Twenty-five years of securitization theory: A corpus-based review. Journal Name, Volume(Issue), Page range.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"https://doi.org/10.1177/14789299211069499"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https://doi.org/10.1177/14789299211069499</w:t>
      </w:r>
      <w:r>
        <w:rPr>
          <w:rFonts w:hint="default" w:ascii="Times New Roman Regular" w:hAnsi="Times New Roman Regular" w:cs="Times New Roman Regular"/>
        </w:rPr>
        <w:fldChar w:fldCharType="end"/>
      </w:r>
    </w:p>
    <w:p w14:paraId="50E52993">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Barkawi, T., &amp; Laffey, M. (2006). The postcolonial moment in security studies. Review of International Studies, 32(2), 329–352.</w:t>
      </w:r>
    </w:p>
    <w:p w14:paraId="089112B4">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Baums, A. (2024). Sorting it Out: IT, Geopolitics and Technological Sovereignty. Retrieved from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"https://www.linkedin.com/pulse/sorting-out-geopolitics-technological-sovereignty-ansgar-baums-bam0e"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https://www.linkedin.com/pulse/sorting-out-geopolitics-technological-sovereignty-ansgar-baums-bam0e</w:t>
      </w:r>
      <w:r>
        <w:rPr>
          <w:rFonts w:hint="default" w:ascii="Times New Roman Regular" w:hAnsi="Times New Roman Regular" w:cs="Times New Roman Regular"/>
        </w:rPr>
        <w:fldChar w:fldCharType="end"/>
      </w:r>
    </w:p>
    <w:p w14:paraId="5BC83C95">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BetterEvaluation. (n.d.). Data sovereignty.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"https://www.betterevaluation.org/frameworks-guides/evaluation-practice-aboriginal-torres-strait-islander-settings/data-sovereignty"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https://www.betterevaluation.org/frameworks-guides/evaluation-practice-aboriginal-torres-strait-islander-settings/data-sovereignty</w:t>
      </w:r>
      <w:r>
        <w:rPr>
          <w:rFonts w:hint="default" w:ascii="Times New Roman Regular" w:hAnsi="Times New Roman Regular" w:cs="Times New Roman Regular"/>
        </w:rPr>
        <w:fldChar w:fldCharType="end"/>
      </w:r>
    </w:p>
    <w:p w14:paraId="6E2F06AA">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Big Data Biopolitics. (2019). Digital Culture &amp; Society, 5(1), 51–70</w:t>
      </w:r>
    </w:p>
    <w:p w14:paraId="305FB275">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Birhane, A. (2020). [As cited in] </w:t>
      </w:r>
      <w:r>
        <w:rPr>
          <w:rStyle w:val="7"/>
        </w:rPr>
        <w:t>How Abeba Birhane is cleaning up AI's dirty data</w:t>
      </w:r>
      <w:r>
        <w:t xml:space="preserve">. Fast Company. </w:t>
      </w:r>
      <w:r>
        <w:fldChar w:fldCharType="begin"/>
      </w:r>
      <w:r>
        <w:instrText xml:space="preserve"> HYPERLINK "https://www.fastcompany.com/91238006/how-abeba-birhane-is-cleaning-up-ais-dirty-data" \t "/Users/satishirungbam/Documents/x/_new" </w:instrText>
      </w:r>
      <w:r>
        <w:fldChar w:fldCharType="separate"/>
      </w:r>
      <w:r>
        <w:rPr>
          <w:rStyle w:val="8"/>
        </w:rPr>
        <w:t>https://www.fastcompany.com/91238006/how-abeba-birhane-is-cleaning-up-ais-dirty-data</w:t>
      </w:r>
      <w:r>
        <w:fldChar w:fldCharType="end"/>
      </w:r>
    </w:p>
    <w:p w14:paraId="279241C5">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Birhane, A. (2020). Artificial intelligence, digital colonialism, and the implications for Africa’s future development. Data &amp; Policy. Cambridge Core.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"https://www.cambridge.org/core/journals/data-and-policy/article/artificial-intelligence-digital-colonialism-and-the-implications-for-africas-future-development/4BD73E9129A9CD9E9301C61CB2401450"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https://www.cambridge.org/core/journals/data-and-policy/article/artificial-intelligence-digital-colonialism-and-the-implications-for-africas-future-development/4BD73E9129A9CD9E9301C61CB2401450</w:t>
      </w:r>
      <w:r>
        <w:rPr>
          <w:rFonts w:hint="default" w:ascii="Times New Roman Regular" w:hAnsi="Times New Roman Regular" w:cs="Times New Roman Regular"/>
        </w:rPr>
        <w:fldChar w:fldCharType="end"/>
      </w:r>
    </w:p>
    <w:p w14:paraId="4625EA7C">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Blackbird.AI. (2025, March 21). The Global Narrative Attack Cycle: Surveillance Capitalism and Reality.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"https://blackbird.ai/blog/the-global-disinformation-cycle-surveillance-capitalism-and-reality/"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https://blackbird.ai/blog/the-global-disinformation-cycle-surveillance-capitalism-and-reality/</w:t>
      </w:r>
      <w:r>
        <w:rPr>
          <w:rFonts w:hint="default" w:ascii="Times New Roman Regular" w:hAnsi="Times New Roman Regular" w:cs="Times New Roman Regular"/>
        </w:rPr>
        <w:fldChar w:fldCharType="end"/>
      </w:r>
    </w:p>
    <w:p w14:paraId="4C337BA5">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Bot Populi. (2024, September 24). </w:t>
      </w:r>
      <w:r>
        <w:rPr>
          <w:rStyle w:val="7"/>
        </w:rPr>
        <w:t>Algorithmic shackles: Eroding worker autonomy in the majority world</w:t>
      </w:r>
      <w:r>
        <w:t xml:space="preserve">. </w:t>
      </w:r>
      <w:r>
        <w:fldChar w:fldCharType="begin"/>
      </w:r>
      <w:r>
        <w:instrText xml:space="preserve"> HYPERLINK "https://botpopuli.net/algorithmic-shackles-eroding-worker-autonomy-in-the-majority-world/" \t "/Users/satishirungbam/Documents/x/_new" </w:instrText>
      </w:r>
      <w:r>
        <w:fldChar w:fldCharType="separate"/>
      </w:r>
      <w:r>
        <w:rPr>
          <w:rStyle w:val="8"/>
        </w:rPr>
        <w:t>https://botpopuli.net/algorithmic-shackles-eroding-worker-autonomy-in-the-majority-world/</w:t>
      </w:r>
      <w:r>
        <w:fldChar w:fldCharType="end"/>
      </w:r>
    </w:p>
    <w:p w14:paraId="34B94CFF">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Bruderlein, C. (2000). The role of non-state actors in building human security. Centre for Humanitarian Dialogue.</w:t>
      </w:r>
    </w:p>
    <w:p w14:paraId="143681BF">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Buzan, B., &amp; Waever, O. (2003). Security: A new framework for analysis. Lynne Rienner.</w:t>
      </w:r>
    </w:p>
    <w:p w14:paraId="74E20972">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Carlson, B., et al. (n.d.). </w:t>
      </w:r>
      <w:r>
        <w:rPr>
          <w:rStyle w:val="7"/>
        </w:rPr>
        <w:t>The politics of identity: Emerging indigeneity</w:t>
      </w:r>
      <w:r>
        <w:t xml:space="preserve">. OAPEN Library. </w:t>
      </w:r>
      <w:r>
        <w:fldChar w:fldCharType="begin"/>
      </w:r>
      <w:r>
        <w:instrText xml:space="preserve"> HYPERLINK "https://library.oapen.org/bitstream/id/8fe76bfe-3a0c-45dc-ae4c-8229a8cc1016/the-politics-of-identity.pdf" \t "/Users/satishirungbam/Documents/x/_new" </w:instrText>
      </w:r>
      <w:r>
        <w:fldChar w:fldCharType="separate"/>
      </w:r>
      <w:r>
        <w:rPr>
          <w:rStyle w:val="8"/>
        </w:rPr>
        <w:t>https://library.oapen.org/bitstream/id/8fe76bfe-3a0c-45dc-ae4c-8229a8cc1016/the-politics-of-identity.pdf</w:t>
      </w:r>
      <w:r>
        <w:fldChar w:fldCharType="end"/>
      </w:r>
    </w:p>
    <w:p w14:paraId="49271AA9">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Chase, L., Mohasseb, A., &amp; Aziz, B. (2023). Epistemology for cyber security: A controlled natural language approach. </w:t>
      </w:r>
      <w:r>
        <w:rPr>
          <w:rStyle w:val="7"/>
        </w:rPr>
        <w:t>ResearchPortal</w:t>
      </w:r>
      <w:r>
        <w:t xml:space="preserve">. </w:t>
      </w:r>
      <w:r>
        <w:fldChar w:fldCharType="begin"/>
      </w:r>
      <w:r>
        <w:instrText xml:space="preserve"> HYPERLINK "https://researchportal.port.ac.uk/files/73371192/ICIKS_2023_paper_964.pdf" \t "/Users/satishirungbam/Documents/x/_new" </w:instrText>
      </w:r>
      <w:r>
        <w:fldChar w:fldCharType="separate"/>
      </w:r>
      <w:r>
        <w:rPr>
          <w:rStyle w:val="8"/>
        </w:rPr>
        <w:t>https://researchportal.port.ac.uk/files/73371192/ICIKS_2023_paper_964.pdf</w:t>
      </w:r>
      <w:r>
        <w:fldChar w:fldCharType="end"/>
      </w:r>
    </w:p>
    <w:p w14:paraId="72354000">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Couldry, N., &amp; Mejias, U. A. (2019). The Costs of Connection: How Data Is Colonizing Human Life and Appropriating It for Capitalism. Stanford University Press.</w:t>
      </w:r>
    </w:p>
    <w:p w14:paraId="5998F7AA">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Cox, R. W. (1987). Production, power, and world order: Social forces in the making of history. Columbia University Press.</w:t>
      </w:r>
    </w:p>
    <w:p w14:paraId="298842A3">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Data &amp; Society. (2024). Keywords of the Datafied State.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"https://datasociety.net/wp-content/uploads/2024/09/DS_Keywords-of-the-Datafied-State_04242024.pdf"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https://datasociety.net/wp-content/uploads/2024/09/DS_Keywords-of-the-Datafied-State_04242024.pdf</w:t>
      </w:r>
      <w:r>
        <w:rPr>
          <w:rFonts w:hint="default" w:ascii="Times New Roman Regular" w:hAnsi="Times New Roman Regular" w:cs="Times New Roman Regular"/>
        </w:rPr>
        <w:fldChar w:fldCharType="end"/>
      </w:r>
    </w:p>
    <w:p w14:paraId="10ACF68E">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Depeppe, D. (2018, March 9). </w:t>
      </w:r>
      <w:r>
        <w:rPr>
          <w:rStyle w:val="7"/>
        </w:rPr>
        <w:t>PART 1: Existential cyber threats and risk of a destabilized global environment</w:t>
      </w:r>
      <w:r>
        <w:t xml:space="preserve">. LinkedIn. </w:t>
      </w:r>
      <w:r>
        <w:fldChar w:fldCharType="begin"/>
      </w:r>
      <w:r>
        <w:instrText xml:space="preserve"> HYPERLINK "https://www.linkedin.com/pulse/part-1-existential-cyber-threats-risk-destabilized-doug-depeppe-esq-" \t "/Users/satishirungbam/Documents/x/_new" </w:instrText>
      </w:r>
      <w:r>
        <w:fldChar w:fldCharType="separate"/>
      </w:r>
      <w:r>
        <w:rPr>
          <w:rStyle w:val="8"/>
        </w:rPr>
        <w:t>https://www.linkedin.com/pulse/part-1-existential-cyber-threats-risk-destabilized-doug-depeppe-esq-</w:t>
      </w:r>
      <w:r>
        <w:fldChar w:fldCharType="end"/>
      </w:r>
    </w:p>
    <w:p w14:paraId="33AA030E">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Dunn Cavelty, M., &amp; Wenger, A. (2020). Cyber security between socio-technological uncertainty and political fragmentation. In </w:t>
      </w:r>
      <w:r>
        <w:rPr>
          <w:rStyle w:val="7"/>
        </w:rPr>
        <w:t>Cyber security politics</w:t>
      </w:r>
      <w:r>
        <w:t xml:space="preserve"> (pp. 1–16). Routledge. </w:t>
      </w:r>
      <w:r>
        <w:fldChar w:fldCharType="begin"/>
      </w:r>
      <w:r>
        <w:instrText xml:space="preserve"> HYPERLINK "https://library.oapen.org/bitstream/id/20a53302-dee5-4834-9d98-8f9c07f0a602/9781000567113.pdf" \t "/Users/satishirungbam/Documents/x/_new" </w:instrText>
      </w:r>
      <w:r>
        <w:fldChar w:fldCharType="separate"/>
      </w:r>
      <w:r>
        <w:rPr>
          <w:rStyle w:val="8"/>
        </w:rPr>
        <w:t>https://library.oapen.org/bitstream/id/20a53302-dee5-4834-9d98-8f9c07f0a602/9781000567113.pdf</w:t>
      </w:r>
      <w:r>
        <w:fldChar w:fldCharType="end"/>
      </w:r>
    </w:p>
    <w:p w14:paraId="56F242EE">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E-International Relations. (2012). State Sovereignty in the Post-Cold War Era. Retrieved from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"https://www.e-ir.info/2012/07/01/state-sovereignty-in-the-post-cold-war-era/"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https://www.e-ir.info/2012/07/01/state-sovereignty-in-the-post-cold-war-era/</w:t>
      </w:r>
      <w:r>
        <w:rPr>
          <w:rFonts w:hint="default" w:ascii="Times New Roman Regular" w:hAnsi="Times New Roman Regular" w:cs="Times New Roman Regular"/>
        </w:rPr>
        <w:fldChar w:fldCharType="end"/>
      </w:r>
    </w:p>
    <w:p w14:paraId="0A1ED49A">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E-International Relations. (2018, January 14). Securitisation theory: An introduction.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"https://www.e-ir.info/2018/01/14/securitisation-theory-an-introduction/" \t "/Users/satishirungbam/Documents/x/_new"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https://www.e-ir.info/2018/01/14/securitisation-theory-an-introduction/</w:t>
      </w:r>
      <w:r>
        <w:rPr>
          <w:rFonts w:hint="default" w:ascii="Times New Roman Regular" w:hAnsi="Times New Roman Regular" w:cs="Times New Roman Regular"/>
        </w:rPr>
        <w:fldChar w:fldCharType="end"/>
      </w:r>
    </w:p>
    <w:p w14:paraId="18E94876">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E-International Relations. (2025, February 17). Tech imperialism reloaded: AI, colonial legacies, and the Global South.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"https://www.e-ir.info/2025/02/17/tech-imperialism-reloaded-ai-colonial-legacies-and-the-global-south/"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https://www.e-ir.info/2025/02/17/tech-imperialism-reloaded-ai-colonial-legacies-and-the-global-south/</w:t>
      </w:r>
      <w:r>
        <w:rPr>
          <w:rFonts w:hint="default" w:ascii="Times New Roman Regular" w:hAnsi="Times New Roman Regular" w:cs="Times New Roman Regular"/>
        </w:rPr>
        <w:fldChar w:fldCharType="end"/>
      </w:r>
    </w:p>
    <w:p w14:paraId="74D4352A">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E-International Relations. (2025, February 17). </w:t>
      </w:r>
      <w:r>
        <w:rPr>
          <w:rStyle w:val="7"/>
        </w:rPr>
        <w:t>Tech imperialism reloaded: AI, colonial legacies, and the Global South</w:t>
      </w:r>
      <w:r>
        <w:t xml:space="preserve">. </w:t>
      </w:r>
      <w:r>
        <w:fldChar w:fldCharType="begin"/>
      </w:r>
      <w:r>
        <w:instrText xml:space="preserve"> HYPERLINK "https://www.e-ir.info/2025/02/17/tech-imperialism-reloaded-ai-colonial-legacies-and-the-global-south/" \t "/Users/satishirungbam/Documents/x/_new" </w:instrText>
      </w:r>
      <w:r>
        <w:fldChar w:fldCharType="separate"/>
      </w:r>
      <w:r>
        <w:rPr>
          <w:rStyle w:val="8"/>
        </w:rPr>
        <w:t>https://www.e-ir.info/2025/02/17/tech-imperialism-reloaded-ai-colonial-legacies-and-the-global-south/</w:t>
      </w:r>
      <w:r>
        <w:fldChar w:fldCharType="end"/>
      </w:r>
    </w:p>
    <w:p w14:paraId="6277571E">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Emerging epistemologies. (n.d.). </w:t>
      </w:r>
      <w:r>
        <w:rPr>
          <w:rStyle w:val="7"/>
        </w:rPr>
        <w:t>IIIT</w:t>
      </w:r>
      <w:r>
        <w:t xml:space="preserve">. </w:t>
      </w:r>
      <w:r>
        <w:fldChar w:fldCharType="begin"/>
      </w:r>
      <w:r>
        <w:instrText xml:space="preserve"> HYPERLINK "https://iiit.org/wp-content/uploads/Emerging-Epistemologies.pdf" \t "/Users/satishirungbam/Documents/x/_new" </w:instrText>
      </w:r>
      <w:r>
        <w:fldChar w:fldCharType="separate"/>
      </w:r>
      <w:r>
        <w:rPr>
          <w:rStyle w:val="8"/>
        </w:rPr>
        <w:t>https://iiit.org/wp-content/uploads/Emerging-Epistemologies.pdf</w:t>
      </w:r>
      <w:r>
        <w:fldChar w:fldCharType="end"/>
      </w:r>
    </w:p>
    <w:p w14:paraId="25822316">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Epistemological Security Threats. (2025, April 19). PRISM Sustainability Directory.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"https://prism.sustainability-directory.com/term/epistemological-security-threats/"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https://prism.sustainability-directory.com/term/epistemological-security-threats/</w:t>
      </w:r>
      <w:r>
        <w:rPr>
          <w:rFonts w:hint="default" w:ascii="Times New Roman Regular" w:hAnsi="Times New Roman Regular" w:cs="Times New Roman Regular"/>
        </w:rPr>
        <w:fldChar w:fldCharType="end"/>
      </w:r>
    </w:p>
    <w:p w14:paraId="4466E963">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Eranna, D. (2022). The influence of non-state actors on international security. International Journal of Food and Nutritional Sciences, 11(4), 1734.</w:t>
      </w:r>
    </w:p>
    <w:p w14:paraId="2C125FF9">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Farzayee, S. (2023). From state-centric to security complexes: A review of regional security complex theory in international relations. Jurnal Sosial Politik Resolusi, 6(2), 1–15.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"https://ojs.unsiq.ac.id/index.php/resolusi/article/download/4560/2829"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https://ojs.unsiq.ac.id/index.php/resolusi/article/download/4560/2829</w:t>
      </w:r>
      <w:r>
        <w:rPr>
          <w:rFonts w:hint="default" w:ascii="Times New Roman Regular" w:hAnsi="Times New Roman Regular" w:cs="Times New Roman Regular"/>
        </w:rPr>
        <w:fldChar w:fldCharType="end"/>
      </w:r>
    </w:p>
    <w:p w14:paraId="0FE046F1">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First Nations Data Governance Strategy. (2020). Understanding Indigenous data sovereignty.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"https://it.ubc.ca/news/understanding-indigenous-data-sovereignty"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https://it.ubc.ca/news/understanding-indigenous-data-sovereignty</w:t>
      </w:r>
      <w:r>
        <w:rPr>
          <w:rFonts w:hint="default" w:ascii="Times New Roman Regular" w:hAnsi="Times New Roman Regular" w:cs="Times New Roman Regular"/>
        </w:rPr>
        <w:fldChar w:fldCharType="end"/>
      </w:r>
    </w:p>
    <w:p w14:paraId="5456B717">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Foucault, M. (2008). The Birth of Biopolitics: Lectures at the Collège de France, 1978–1979 (G. Burchell, Trans.). Palgrave Macmillan. (Original work published 1979)</w:t>
      </w:r>
    </w:p>
    <w:p w14:paraId="100BBECE">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Georgi, F. R. (2024, March 1). Postcolonial and decolonial differences. Rewriting Peace and Conflict.https://rewritingpeaceandconflict.net/2024/03/01/postcolonial-and-decolonial-differences</w:t>
      </w:r>
    </w:p>
    <w:p w14:paraId="73F1FAD0">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Howell, A., &amp; Richter-Montpetit, M. (2020). Is securitization theory racist? Civilizationism, methodological whiteness, and antiblack thought in the Copenhagen School. Security Dialogue, 51(1), 3–22.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"https://doi.org/10.1177/0967010619862921"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https://doi.org/10.1177/0967010619862921</w:t>
      </w:r>
      <w:r>
        <w:rPr>
          <w:rFonts w:hint="default" w:ascii="Times New Roman Regular" w:hAnsi="Times New Roman Regular" w:cs="Times New Roman Regular"/>
        </w:rPr>
        <w:fldChar w:fldCharType="end"/>
      </w:r>
    </w:p>
    <w:p w14:paraId="62C4DC57">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Hung, K-H. (2024, December 10). Artificial intelligence as planetary assemblages of coloniality: The new power architecture driving a tiered global data economy. Big Data &amp; Society.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"https://journals.sagepub.com/doi/full/10.1177/20539517241289443"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https://journals.sagepub.com/doi/full/10.1177/20539517241289443</w:t>
      </w:r>
      <w:r>
        <w:rPr>
          <w:rFonts w:hint="default" w:ascii="Times New Roman Regular" w:hAnsi="Times New Roman Regular" w:cs="Times New Roman Regular"/>
        </w:rPr>
        <w:fldChar w:fldCharType="end"/>
      </w:r>
    </w:p>
    <w:p w14:paraId="6FDB432A">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Hung, T. (2024). [As cited in user query].</w:t>
      </w:r>
    </w:p>
    <w:p w14:paraId="7DBC4218">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ICT4Peace. (n.d.). </w:t>
      </w:r>
      <w:r>
        <w:rPr>
          <w:rStyle w:val="7"/>
        </w:rPr>
        <w:t>The future of cybersecurity policy lies in civil society</w:t>
      </w:r>
      <w:r>
        <w:t xml:space="preserve">. </w:t>
      </w:r>
      <w:r>
        <w:fldChar w:fldCharType="begin"/>
      </w:r>
      <w:r>
        <w:instrText xml:space="preserve"> HYPERLINK "https://ict4peace.org/publications/the-future-of-cybersecurity-policy-lies-in-civil-society" \t "/Users/satishirungbam/Documents/x/_new" </w:instrText>
      </w:r>
      <w:r>
        <w:fldChar w:fldCharType="separate"/>
      </w:r>
      <w:r>
        <w:rPr>
          <w:rStyle w:val="8"/>
        </w:rPr>
        <w:t>https://ict4peace.org/publications/the-future-of-cybersecurity-policy-lies-in-civil-society</w:t>
      </w:r>
      <w:r>
        <w:fldChar w:fldCharType="end"/>
      </w:r>
    </w:p>
    <w:p w14:paraId="2E40A00B">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Institute for Local Self-Reliance. (2024, May 1). Report: Case studies detail how tribes are expanding internet access.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"https://ilsr.org/articles/report-indigenous-future-zones/"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https://ilsr.org/articles/report-indigenous-future-zones/</w:t>
      </w:r>
      <w:r>
        <w:rPr>
          <w:rFonts w:hint="default" w:ascii="Times New Roman Regular" w:hAnsi="Times New Roman Regular" w:cs="Times New Roman Regular"/>
        </w:rPr>
        <w:fldChar w:fldCharType="end"/>
      </w:r>
    </w:p>
    <w:p w14:paraId="16A93297">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Kaya, S. N. (2022, December 15). 11. Postcolonial and decolonial approaches. Typeset.https://www.oxfordpoliticstrove.com/abstract/10.1093/hepl/9780192898142.001.0001/hepl-9780192898142-chapter-11</w:t>
      </w:r>
    </w:p>
    <w:p w14:paraId="22C8BE44">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Lak, M. (2009). Governance in the international security arena: A role for non-state stakeholders as co-providers of security. Clingendael Institute.</w:t>
      </w:r>
    </w:p>
    <w:p w14:paraId="69B1489C">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Luitel, P. (2024). Role of Non-State Actors in National Security. Unity Journal, 5, 57–65.</w:t>
      </w:r>
    </w:p>
    <w:p w14:paraId="63A32163">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Markiewicz, T. (2023). The vulnerability of securitisation: The missing link of critical security studies. Contemporary Politics. Advance online publication.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"https://doi.org/10.1080/13569775.2023.2267371"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https://doi.org/10.1080/13569775.2023.2267371</w:t>
      </w:r>
      <w:r>
        <w:rPr>
          <w:rFonts w:hint="default" w:ascii="Times New Roman Regular" w:hAnsi="Times New Roman Regular" w:cs="Times New Roman Regular"/>
        </w:rPr>
        <w:fldChar w:fldCharType="end"/>
      </w:r>
    </w:p>
    <w:p w14:paraId="0B67608A">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Mbembe, A. (2003). Necropolitics. Public Culture, 15(1), 11–40.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"https://doi.org/10.1215/08992363-15-1-11"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https://doi.org/10.1215/08992363-15-1-11</w:t>
      </w:r>
      <w:r>
        <w:rPr>
          <w:rFonts w:hint="default" w:ascii="Times New Roman Regular" w:hAnsi="Times New Roman Regular" w:cs="Times New Roman Regular"/>
        </w:rPr>
        <w:fldChar w:fldCharType="end"/>
      </w:r>
    </w:p>
    <w:p w14:paraId="01874608">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Mignolo, W. D. (2007). Introduction: Coloniality of power and de-colonial thinking. Cultural Studies, 21(2-3), 155-167.https://doi.org/10.1080/09502380601162498</w:t>
      </w:r>
    </w:p>
    <w:p w14:paraId="682C9797">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Mohamed, S., Png, M.-T., &amp; Isaac, W. (2020). [As cited in] </w:t>
      </w:r>
      <w:r>
        <w:rPr>
          <w:rStyle w:val="7"/>
        </w:rPr>
        <w:t>Racial bias in facial recognition algorithms</w:t>
      </w:r>
      <w:r>
        <w:t xml:space="preserve">. Amnesty International Canada. </w:t>
      </w:r>
      <w:r>
        <w:fldChar w:fldCharType="begin"/>
      </w:r>
      <w:r>
        <w:instrText xml:space="preserve"> HYPERLINK "https://amnesty.ca/features/racial-bias-in-facial-recognition-algorithms/" \t "/Users/satishirungbam/Documents/x/_new" </w:instrText>
      </w:r>
      <w:r>
        <w:fldChar w:fldCharType="separate"/>
      </w:r>
      <w:r>
        <w:rPr>
          <w:rStyle w:val="8"/>
        </w:rPr>
        <w:t>https://amnesty.ca/features/racial-bias-in-facial-recognition-algorithms/</w:t>
      </w:r>
      <w:r>
        <w:fldChar w:fldCharType="end"/>
      </w:r>
    </w:p>
    <w:p w14:paraId="34B15AE5">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Mohamed, S., Png, M.-T., &amp; Isaac, W. (2020). Decolonial AI: Decolonial theory as sociotechnical foresight in artificial intelligence. In Artificial intelligence, digital colonialism, and the implications for Africa’s future development (as cited in Cambridge Core, 2024).</w:t>
      </w:r>
    </w:p>
    <w:p w14:paraId="5C54DCE6">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Nair, R. (2025, February 10). Digital colonialism in the age of AI - the economics. Commonwealth Secretariat.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"https://www.linkedin.com/pulse/digital-colonialism-age-ai-economics-commonwealth-secretariat-00yse"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https://www.linkedin.com/pulse/digital-colonialism-age-ai-economics-commonwealth-secretariat-00yse</w:t>
      </w:r>
      <w:r>
        <w:rPr>
          <w:rFonts w:hint="default" w:ascii="Times New Roman Regular" w:hAnsi="Times New Roman Regular" w:cs="Times New Roman Regular"/>
        </w:rPr>
        <w:fldChar w:fldCharType="end"/>
      </w:r>
    </w:p>
    <w:p w14:paraId="29D26443">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Nair, S. (2025). [As cited in user query].</w:t>
      </w:r>
    </w:p>
    <w:p w14:paraId="65E41B75">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New America. (2024). From Digital Sovereignty to Digital Agency. Retrieved from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"https://www.newamerica.org/planetary-politics/briefs/from-digital-sovereignty-to-digital-agency/"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https://www.newamerica.org/planetary-politics/briefs/from-digital-sovereignty-to-digital-agency/</w:t>
      </w:r>
      <w:r>
        <w:rPr>
          <w:rFonts w:hint="default" w:ascii="Times New Roman Regular" w:hAnsi="Times New Roman Regular" w:cs="Times New Roman Regular"/>
        </w:rPr>
        <w:fldChar w:fldCharType="end"/>
      </w:r>
    </w:p>
    <w:p w14:paraId="1A1117C6">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Nwabueze, N. M. (2024). Security theories: A critical analysis. LinkedIn.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"https://www.linkedin.com/pulse/security-theories-critical-analysis-ndudi-nwabueze"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https://www.linkedin.com/pulse/security-theories-critical-analysis-ndudi-nwabueze</w:t>
      </w:r>
      <w:r>
        <w:rPr>
          <w:rFonts w:hint="default" w:ascii="Times New Roman Regular" w:hAnsi="Times New Roman Regular" w:cs="Times New Roman Regular"/>
        </w:rPr>
        <w:fldChar w:fldCharType="end"/>
      </w:r>
    </w:p>
    <w:p w14:paraId="65FB231A">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Observer Research Foundation. (2023, December 4). Strengthening partnerships to counter non-traditional security threats in the Indo-Pacific.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"https://www.orfonline.org/research/strengthening-partnerships-to-counter-non-traditional-security-threats-in-the-indo-pacific" \t "/Users/satishirungbam/Documents/x/_new"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https://www.orfonline.org/research/strengthening-partnerships-to-counter-non-traditional-security-threats-in-the-indo-pacific</w:t>
      </w:r>
      <w:r>
        <w:rPr>
          <w:rFonts w:hint="default" w:ascii="Times New Roman Regular" w:hAnsi="Times New Roman Regular" w:cs="Times New Roman Regular"/>
        </w:rPr>
        <w:fldChar w:fldCharType="end"/>
      </w:r>
    </w:p>
    <w:p w14:paraId="7CBB7FE1">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Observer Research Foundation. (2024). Digital Sovereignty in a Time of Conflict. Retrieved from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"https://www.orfonline.org/expert-speak/digital-sovereignty-in-a-time-of-conflict"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https://www.orfonline.org/expert-speak/digital-sovereignty-in-a-time-of-conflict</w:t>
      </w:r>
      <w:r>
        <w:rPr>
          <w:rFonts w:hint="default" w:ascii="Times New Roman Regular" w:hAnsi="Times New Roman Regular" w:cs="Times New Roman Regular"/>
        </w:rPr>
        <w:fldChar w:fldCharType="end"/>
      </w:r>
    </w:p>
    <w:p w14:paraId="66C7AF02">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Onuf, N. (n.d.). Constructivism in international relations. </w:t>
      </w:r>
      <w:r>
        <w:rPr>
          <w:rStyle w:val="7"/>
        </w:rPr>
        <w:t>SlideShare</w:t>
      </w:r>
      <w:r>
        <w:t xml:space="preserve">. </w:t>
      </w:r>
      <w:r>
        <w:fldChar w:fldCharType="begin"/>
      </w:r>
      <w:r>
        <w:instrText xml:space="preserve"> HYPERLINK "https://www.slideshare.net/slideshow/constructivism-n-onuf-a-wendt/234093237" \t "/Users/satishirungbam/Documents/x/_new" </w:instrText>
      </w:r>
      <w:r>
        <w:fldChar w:fldCharType="separate"/>
      </w:r>
      <w:r>
        <w:rPr>
          <w:rStyle w:val="8"/>
        </w:rPr>
        <w:t>https://www.slideshare.net/slideshow/constructivism-n-onuf-a-wendt/234093237</w:t>
      </w:r>
      <w:r>
        <w:fldChar w:fldCharType="end"/>
      </w:r>
    </w:p>
    <w:p w14:paraId="7791DA92">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Oxford Academic. (2024). A Chinese Precursor to the Digital Sovereignty Debate. Retrieved from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"https://academic.oup.com/isagsq/article/2/4/ksac059/6779566?login=false"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https://academic.oup.com/isagsq/article/2/4/ksac059/6779566?login=false</w:t>
      </w:r>
      <w:r>
        <w:rPr>
          <w:rFonts w:hint="default" w:ascii="Times New Roman Regular" w:hAnsi="Times New Roman Regular" w:cs="Times New Roman Regular"/>
        </w:rPr>
        <w:fldChar w:fldCharType="end"/>
      </w:r>
    </w:p>
    <w:p w14:paraId="22CF51FE">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Peoples, C., &amp; Vaughan-Williams, N. (2020). Postcolonial perspectives. In Critical security studies (pp. 75–92). Routledge.</w:t>
      </w:r>
    </w:p>
    <w:p w14:paraId="5E174BA5">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Peoples, C., &amp; Vaughan-Williams, N. (2023). Critical security studies: An introduction (3rd ed.). Routledge.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"https://www.routledge.com/Critical-Security-Studies-An-Introduction/Peoples-Vaughan-Williams/p/book/9780367224257"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https://www.routledge.com/Critical-Security-Studies-An-Introduction/Peoples-Vaughan-Williams/p/book/9780367224257</w:t>
      </w:r>
      <w:r>
        <w:rPr>
          <w:rFonts w:hint="default" w:ascii="Times New Roman Regular" w:hAnsi="Times New Roman Regular" w:cs="Times New Roman Regular"/>
        </w:rPr>
        <w:fldChar w:fldCharType="end"/>
      </w:r>
    </w:p>
    <w:p w14:paraId="730222AD">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Pohle, J., &amp; Thiel, T. (2020). Digital sovereignty. Internet Policy Review, 9(4).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"https://doi.org/10.14763/2020.4.1532"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https://doi.org/10.14763/2020.4.1532</w:t>
      </w:r>
      <w:r>
        <w:rPr>
          <w:rFonts w:hint="default" w:ascii="Times New Roman Regular" w:hAnsi="Times New Roman Regular" w:cs="Times New Roman Regular"/>
        </w:rPr>
        <w:fldChar w:fldCharType="end"/>
      </w:r>
    </w:p>
    <w:p w14:paraId="622050FC">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Quijano, A. (2000). Coloniality of power, Eurocentrism, and Latin America. Nepantla: Views from South, 1(3), 533-580.</w:t>
      </w:r>
    </w:p>
    <w:p w14:paraId="767AF9A8">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Sage Journals. (2023, April 11). </w:t>
      </w:r>
      <w:r>
        <w:rPr>
          <w:rStyle w:val="7"/>
        </w:rPr>
        <w:t>Algorithmic epistemologies and methodologies: Algorithmic harm</w:t>
      </w:r>
      <w:r>
        <w:t xml:space="preserve">. </w:t>
      </w:r>
      <w:r>
        <w:fldChar w:fldCharType="begin"/>
      </w:r>
      <w:r>
        <w:instrText xml:space="preserve"> HYPERLINK "https://journals.sagepub.com/doi/full/10.1177/03091325221149439" \t "/Users/satishirungbam/Documents/x/_new" </w:instrText>
      </w:r>
      <w:r>
        <w:fldChar w:fldCharType="separate"/>
      </w:r>
      <w:r>
        <w:rPr>
          <w:rStyle w:val="8"/>
        </w:rPr>
        <w:t>https://journals.sagepub.com/doi/full/10.1177/03091325221149439</w:t>
      </w:r>
      <w:r>
        <w:fldChar w:fldCharType="end"/>
      </w:r>
    </w:p>
    <w:p w14:paraId="2DD9C13A">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Santos, B. de S., &amp; Martins, P. (Eds.). (2023). Decolonial contributions to human rights. Routledge.</w:t>
      </w:r>
    </w:p>
    <w:p w14:paraId="6B265F60">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Sassen, S. (1999). The impact of the internet on sovereignty: Real and unfounded worries. Nautilus Institute.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"https://nautilus.org/information-technology-and-tools/the-impact-of-the-internet-on-sovereignty-real-and-unfounded-worries/"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https://nautilus.org/information-technology-and-tools/the-impact-of-the-internet-on-sovereignty-real-and-unfounded-worries/</w:t>
      </w:r>
      <w:r>
        <w:rPr>
          <w:rFonts w:hint="default" w:ascii="Times New Roman Regular" w:hAnsi="Times New Roman Regular" w:cs="Times New Roman Regular"/>
        </w:rPr>
        <w:fldChar w:fldCharType="end"/>
      </w:r>
    </w:p>
    <w:p w14:paraId="2CB22E43">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Seger, E. (2023, January 3). </w:t>
      </w:r>
      <w:r>
        <w:rPr>
          <w:rStyle w:val="7"/>
        </w:rPr>
        <w:t>Exploring epistemic security</w:t>
      </w:r>
      <w:r>
        <w:t xml:space="preserve">. </w:t>
      </w:r>
      <w:r>
        <w:rPr>
          <w:rStyle w:val="7"/>
        </w:rPr>
        <w:t>International Security Journal</w:t>
      </w:r>
      <w:r>
        <w:t xml:space="preserve">. </w:t>
      </w:r>
      <w:r>
        <w:fldChar w:fldCharType="begin"/>
      </w:r>
      <w:r>
        <w:instrText xml:space="preserve"> HYPERLINK "https://internationalsecurityjournal.com/elizabeth-seger-exploring-epistemic-security" \t "/Users/satishirungbam/Documents/x/_new" </w:instrText>
      </w:r>
      <w:r>
        <w:fldChar w:fldCharType="separate"/>
      </w:r>
      <w:r>
        <w:rPr>
          <w:rStyle w:val="8"/>
        </w:rPr>
        <w:t>https://internationalsecurityjournal.com/elizabeth-seger-exploring-epistemic-security</w:t>
      </w:r>
      <w:r>
        <w:fldChar w:fldCharType="end"/>
      </w:r>
    </w:p>
    <w:p w14:paraId="404595CE">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Seger, E. (2024). Exploring epistemic security. International Security Journal.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"https://internationalsecurityjournal.com/elizabeth-seger-exploring-epistemic-security/"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https://internationalsecurityjournal.com/elizabeth-seger-exploring-epistemic-security</w:t>
      </w:r>
      <w:r>
        <w:rPr>
          <w:rStyle w:val="8"/>
          <w:rFonts w:hint="default" w:ascii="Times New Roman Regular" w:hAnsi="Times New Roman Regular" w:cs="Times New Roman Regular"/>
          <w:lang w:val="en-US"/>
        </w:rPr>
        <w:t>/</w:t>
      </w:r>
      <w:r>
        <w:rPr>
          <w:rFonts w:hint="default" w:ascii="Times New Roman Regular" w:hAnsi="Times New Roman Regular" w:cs="Times New Roman Regular"/>
        </w:rPr>
        <w:fldChar w:fldCharType="end"/>
      </w:r>
    </w:p>
    <w:p w14:paraId="7BCAD5AB">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SFU Library. (n.d.). Indigenous data sovereignty.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"https://www.lib.sfu.ca/help/publish/research-data-management/indigenous-data-sovereignty"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https://www.lib.sfu.ca/help/publish/research-data-management/indigenous-data-sovereignty</w:t>
      </w:r>
      <w:r>
        <w:rPr>
          <w:rFonts w:hint="default" w:ascii="Times New Roman Regular" w:hAnsi="Times New Roman Regular" w:cs="Times New Roman Regular"/>
        </w:rPr>
        <w:fldChar w:fldCharType="end"/>
      </w:r>
    </w:p>
    <w:p w14:paraId="6627CA33">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Shahid, H. (2023). The Future of Cybersecurity in International Relations. LinkedIn Pulse. Retrieved from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"https://www.linkedin.com/pulse/future-cybersecurity-international-relations-dr-hina-shahid-hvulf"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https://www.linkedin.com/pulse/future-cybersecurity-international-relations-dr-hina-shahid-hvulf</w:t>
      </w:r>
      <w:r>
        <w:rPr>
          <w:rFonts w:hint="default" w:ascii="Times New Roman Regular" w:hAnsi="Times New Roman Regular" w:cs="Times New Roman Regular"/>
        </w:rPr>
        <w:fldChar w:fldCharType="end"/>
      </w:r>
    </w:p>
    <w:p w14:paraId="6731EF61">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Spivak, G. C. (1988). Can the subaltern speak? In C. Nelson &amp; L. Grossberg (Eds.), Marxism and the interpretation of culture (pp. 271–313). University of Illinois Press.</w:t>
      </w:r>
    </w:p>
    <w:p w14:paraId="133672F2">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Svimonishvili, L. (2021). Cybersecurity: Acquiring a Dominant Position in Contemporary International Relations? Tallinn University Thesis Repository. Retrieved from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"https://digikogu.taltech.ee/et/Download/1d4e120e-5ee0-47af-99b2-84eedfdfcff7"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https://digikogu.taltech.ee/et/Download/1d4e120e-5ee0-47af-99b2-84eedfdfcff7</w:t>
      </w:r>
      <w:r>
        <w:rPr>
          <w:rFonts w:hint="default" w:ascii="Times New Roman Regular" w:hAnsi="Times New Roman Regular" w:cs="Times New Roman Regular"/>
        </w:rPr>
        <w:fldChar w:fldCharType="end"/>
      </w:r>
    </w:p>
    <w:p w14:paraId="39B3FC77">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The Markup. (2021). Understanding the threat of “surveillance capitalism”.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"https://themarkup.org/newsletter/hello-world/understanding-the-threat-of-surveillance-capitalism"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https://themarkup.org/newsletter/hello-world/understanding-the-threat-of-surveillance-capitalism</w:t>
      </w:r>
      <w:r>
        <w:rPr>
          <w:rFonts w:hint="default" w:ascii="Times New Roman Regular" w:hAnsi="Times New Roman Regular" w:cs="Times New Roman Regular"/>
        </w:rPr>
        <w:fldChar w:fldCharType="end"/>
      </w:r>
    </w:p>
    <w:p w14:paraId="2AF7E962">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Toni, Z. (2021). Surveillance Capitalism and Democracy: Intersections of Epistemic Injustice. Central European University.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"https://www.etd.ceu.edu/2022/toni_zachary.pdf"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https://www.etd.ceu.edu/2022/toni_zachary.pdf</w:t>
      </w:r>
      <w:r>
        <w:rPr>
          <w:rFonts w:hint="default" w:ascii="Times New Roman Regular" w:hAnsi="Times New Roman Regular" w:cs="Times New Roman Regular"/>
        </w:rPr>
        <w:fldChar w:fldCharType="end"/>
      </w:r>
    </w:p>
    <w:p w14:paraId="58032AAB">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Tshimbombo, P. (2019). Threat perceptions, avoidance motivation and security behaviors. Journal of Information Security, 10(4), 231–248.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"https://doi.org/10.4236/jis.2019.104014" \t "/Users/satishirungbam/Documents/x/_new"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https://doi.org/10.4236/jis.2019.104014</w:t>
      </w:r>
      <w:r>
        <w:rPr>
          <w:rFonts w:hint="default" w:ascii="Times New Roman Regular" w:hAnsi="Times New Roman Regular" w:cs="Times New Roman Regular"/>
        </w:rPr>
        <w:fldChar w:fldCharType="end"/>
      </w:r>
    </w:p>
    <w:p w14:paraId="7D878C38">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pPr>
      <w:r>
        <w:t xml:space="preserve">U.S. Department of Defense. (n.d.). </w:t>
      </w:r>
      <w:r>
        <w:rPr>
          <w:rStyle w:val="7"/>
        </w:rPr>
        <w:t>The military's resiliency to cyber attacks in future warfare</w:t>
      </w:r>
      <w:r>
        <w:t xml:space="preserve">. Defense Technical Information Center. </w:t>
      </w:r>
      <w:r>
        <w:fldChar w:fldCharType="begin"/>
      </w:r>
      <w:r>
        <w:instrText xml:space="preserve"> HYPERLINK "https://apps.dtic.mil/sti/tr/pdf/AD1019708.pdf" \t "/Users/satishirungbam/Documents/x/_new" </w:instrText>
      </w:r>
      <w:r>
        <w:fldChar w:fldCharType="separate"/>
      </w:r>
      <w:r>
        <w:rPr>
          <w:rStyle w:val="8"/>
        </w:rPr>
        <w:t>https://apps.dtic.mil/sti/tr/pdf/AD1019708.pdf</w:t>
      </w:r>
      <w:r>
        <w:fldChar w:fldCharType="end"/>
      </w:r>
    </w:p>
    <w:p w14:paraId="32AD9E59">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Van Schaik, P., Jansen, J., Onibokun, J., Camp, J., &amp; Kusev, P. (2017). Risk perceptions of cyber-security and precautionary behaviour. Computers in Human Behavior, 75, 547–559.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"https://doi.org/10.1016/j.chb.2017.05.038" \t "/Users/satishirungbam/Documents/x/_new"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https://doi.org/10.1016/j.chb.2017.05.038</w:t>
      </w:r>
      <w:r>
        <w:rPr>
          <w:rFonts w:hint="default" w:ascii="Times New Roman Regular" w:hAnsi="Times New Roman Regular" w:cs="Times New Roman Regular"/>
        </w:rPr>
        <w:fldChar w:fldCharType="end"/>
      </w:r>
    </w:p>
    <w:p w14:paraId="404DD701">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lang w:val="en-US"/>
        </w:rPr>
      </w:pPr>
      <w:r>
        <w:rPr>
          <w:rFonts w:hint="default" w:ascii="Times New Roman Regular" w:hAnsi="Times New Roman Regular" w:cs="Times New Roman Regular"/>
        </w:rPr>
        <w:t xml:space="preserve">Veriti. (2024). The critique of pure reason: Understanding cyber security epistemology through Kantian philosophy.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"https://veriti.ai/blog/the-critique-of-pure-reason-understanding-cyber-security-epistemology-through-kantian-philosophy/"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https://veriti.ai/blog/the-critique-of-pure-reason-understanding-cyber-security-epistemology-through-kantian-philosophy/</w:t>
      </w:r>
      <w:r>
        <w:rPr>
          <w:rFonts w:hint="default" w:ascii="Times New Roman Regular" w:hAnsi="Times New Roman Regular" w:cs="Times New Roman Regular"/>
        </w:rPr>
        <w:fldChar w:fldCharType="end"/>
      </w:r>
    </w:p>
    <w:p w14:paraId="588C3867">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Verma, A. (2024). Cyber Security And International Relations: Navigating The Digital Battlefield. JoWET. Retrieved from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"https://journals.stmjournals.com/jowet/article=2024/view=140396/"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https://journals.stmjournals.com/jowet/article=2024/view=140396/</w:t>
      </w:r>
      <w:r>
        <w:rPr>
          <w:rFonts w:hint="default" w:ascii="Times New Roman Regular" w:hAnsi="Times New Roman Regular" w:cs="Times New Roman Regular"/>
        </w:rPr>
        <w:fldChar w:fldCharType="end"/>
      </w:r>
    </w:p>
    <w:p w14:paraId="50ACCBE9">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Wiscomp. (2010). International relations theory and non-traditional approaches to security.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"https://wiscomp.org/Publications/141 - Perspectives 27 - International Relations Theory and Non-Traditional Approaches to Security.pdf" \t "/Users/satishirungbam/Documents/x/_new"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rPr>
        <w:t>https://wiscomp.org/Publications/141%20-%20Perspectives%2027%20-%20International%20Relations%20Theory%20and%20Non-Traditional%20Approaches%20to%20Security.pdf</w:t>
      </w:r>
      <w:r>
        <w:rPr>
          <w:rFonts w:hint="default" w:ascii="Times New Roman Regular" w:hAnsi="Times New Roman Regular" w:cs="Times New Roman Regular"/>
        </w:rPr>
        <w:fldChar w:fldCharType="end"/>
      </w:r>
    </w:p>
    <w:p w14:paraId="71B49669">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rPr>
      </w:pPr>
      <w:r>
        <w:rPr>
          <w:rFonts w:hint="default" w:ascii="Times New Roman Regular" w:hAnsi="Times New Roman Regular" w:cs="Times New Roman Regular"/>
        </w:rPr>
        <w:t xml:space="preserve">World Economic Forum. (2024). Opinion: How Data Restrictions Erode Internet Freedom. Retrieved from </w:t>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HYPERLINK "https://www.weforum.org/stories/2022/11/government-regulation-internet-freedom/" </w:instrText>
      </w:r>
      <w:r>
        <w:rPr>
          <w:rFonts w:hint="default" w:ascii="Times New Roman Regular" w:hAnsi="Times New Roman Regular" w:cs="Times New Roman Regular"/>
        </w:rPr>
        <w:fldChar w:fldCharType="separate"/>
      </w:r>
      <w:r>
        <w:rPr>
          <w:rStyle w:val="8"/>
          <w:rFonts w:hint="default" w:ascii="Times New Roman Regular" w:hAnsi="Times New Roman Regular" w:cs="Times New Roman Regular"/>
          <w:szCs w:val="24"/>
        </w:rPr>
        <w:t>https://www.weforum.org/stories/2022/11/government-regulation-internet-freedom/</w:t>
      </w:r>
      <w:r>
        <w:rPr>
          <w:rFonts w:hint="default" w:ascii="Times New Roman Regular" w:hAnsi="Times New Roman Regular" w:cs="Times New Roman Regular"/>
        </w:rPr>
        <w:fldChar w:fldCharType="end"/>
      </w:r>
    </w:p>
    <w:p w14:paraId="09616164">
      <w:pPr>
        <w:pStyle w:val="9"/>
        <w:numPr>
          <w:ilvl w:val="0"/>
          <w:numId w:val="1"/>
        </w:numPr>
        <w:tabs>
          <w:tab w:val="clear" w:pos="425"/>
        </w:tabs>
        <w:bidi w:val="0"/>
        <w:spacing w:line="360" w:lineRule="auto"/>
        <w:ind w:left="425" w:leftChars="0" w:right="0" w:rightChars="0" w:hanging="425" w:firstLineChars="0"/>
        <w:jc w:val="both"/>
        <w:rPr>
          <w:rFonts w:hint="default" w:ascii="Times New Roman Regular" w:hAnsi="Times New Roman Regular" w:cs="Times New Roman Regular"/>
          <w:lang w:val="en-US"/>
        </w:rPr>
      </w:pPr>
      <w:r>
        <w:rPr>
          <w:rFonts w:hint="default" w:ascii="Times New Roman Regular" w:hAnsi="Times New Roman Regular" w:cs="Times New Roman Regular"/>
          <w:sz w:val="24"/>
          <w:szCs w:val="24"/>
        </w:rPr>
        <w:t>Zuboff, S. (2019). The age of surveillance capitalism: The fight for a human future at the new frontier of power. PublicAffairs</w:t>
      </w:r>
      <w:r>
        <w:rPr>
          <w:rFonts w:hint="default" w:ascii="Times New Roman Regular" w:hAnsi="Times New Roman Regular" w:cs="Times New Roman Regular"/>
          <w:sz w:val="24"/>
          <w:szCs w:val="24"/>
          <w:lang w:val="en-US"/>
        </w:rPr>
        <w:t>.</w:t>
      </w:r>
    </w:p>
    <w:p w14:paraId="784DF714">
      <w:pPr>
        <w:pStyle w:val="9"/>
        <w:keepNext w:val="0"/>
        <w:keepLines w:val="0"/>
        <w:widowControl/>
        <w:numPr>
          <w:ilvl w:val="0"/>
          <w:numId w:val="1"/>
        </w:numPr>
        <w:suppressLineNumbers w:val="0"/>
        <w:tabs>
          <w:tab w:val="clear" w:pos="425"/>
        </w:tabs>
        <w:spacing w:before="0" w:beforeAutospacing="1" w:after="0" w:afterAutospacing="1"/>
        <w:ind w:left="425" w:leftChars="0" w:right="0" w:rightChars="0" w:hanging="425" w:firstLineChars="0"/>
        <w:rPr>
          <w:rFonts w:hint="default"/>
          <w:lang w:val="en-US"/>
        </w:rPr>
      </w:pPr>
      <w:r>
        <w:t xml:space="preserve">Zuboff, S. (2021). Surveillance capitalism and epistemic hegemony. In </w:t>
      </w:r>
      <w:r>
        <w:rPr>
          <w:rStyle w:val="7"/>
        </w:rPr>
        <w:t>Emerging epistemologies</w:t>
      </w:r>
      <w:r>
        <w:t xml:space="preserve"> (pp. 11–12). IIIT. </w:t>
      </w:r>
      <w:r>
        <w:fldChar w:fldCharType="begin"/>
      </w:r>
      <w:r>
        <w:instrText xml:space="preserve"> HYPERLINK "https://iiit.org/wp-content/uploads/Emerging-Epistemologies.pdf" \t "/Users/satishirungbam/Documents/x/_new" </w:instrText>
      </w:r>
      <w:r>
        <w:fldChar w:fldCharType="separate"/>
      </w:r>
      <w:r>
        <w:rPr>
          <w:rStyle w:val="8"/>
        </w:rPr>
        <w:t>https://iiit.org/wp-content/uploads/Emerging-Epistemologies.pdf</w:t>
      </w:r>
      <w:r>
        <w:fldChar w:fldCharType="end"/>
      </w:r>
    </w:p>
    <w:sectPr>
      <w:pgSz w:w="11906" w:h="16838"/>
      <w:pgMar w:top="1440" w:right="1800" w:bottom="1440" w:left="1800" w:header="720" w:footer="720"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0000000000000000000"/>
    <w:charset w:val="86"/>
    <w:family w:val="auto"/>
    <w:pitch w:val="default"/>
    <w:sig w:usb0="00000000" w:usb1="00000000" w:usb2="00000000" w:usb3="00000000" w:csb0="00000000" w:csb1="00000000"/>
  </w:font>
  <w:font w:name="Times New Roman Bold">
    <w:panose1 w:val="02020503050405090304"/>
    <w:charset w:val="00"/>
    <w:family w:val="auto"/>
    <w:pitch w:val="default"/>
    <w:sig w:usb0="E0000AFF" w:usb1="00007843" w:usb2="00000001" w:usb3="00000000" w:csb0="400001BF" w:csb1="DFF70000"/>
  </w:font>
  <w:font w:name="Times New Roman Regular">
    <w:panose1 w:val="02020503050405090304"/>
    <w:charset w:val="00"/>
    <w:family w:val="auto"/>
    <w:pitch w:val="default"/>
    <w:sig w:usb0="E0000AFF" w:usb1="0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等线KW">
    <w:panose1 w:val="01010104010101010101"/>
    <w:charset w:val="86"/>
    <w:family w:val="auto"/>
    <w:pitch w:val="default"/>
    <w:sig w:usb0="800002BF" w:usb1="004F7CFA" w:usb2="00000000" w:usb3="00000000" w:csb0="00040001" w:csb1="00000000"/>
  </w:font>
  <w:font w:name="SimSun">
    <w:altName w:val="汉仪书宋二KW"/>
    <w:panose1 w:val="02010600030101010101"/>
    <w:charset w:val="86"/>
    <w:family w:val="roman"/>
    <w:pitch w:val="variable"/>
    <w:sig w:usb0="00000003" w:usb1="288F0000" w:usb2="00000016" w:usb3="00000000" w:csb0="00040001" w:csb1="00000000"/>
  </w:font>
  <w:font w:name="等线">
    <w:altName w:val="汉仪中等线KW"/>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BFFB7D"/>
    <w:multiLevelType w:val="singleLevel"/>
    <w:tmpl w:val="F7BFFB7D"/>
    <w:lvl w:ilvl="0" w:tentative="0">
      <w:start w:val="1"/>
      <w:numFmt w:val="decimal"/>
      <w:lvlText w:val="%1."/>
      <w:lvlJc w:val="left"/>
      <w:pPr>
        <w:tabs>
          <w:tab w:val="left" w:pos="425"/>
        </w:tabs>
        <w:ind w:left="425" w:leftChars="0" w:hanging="425"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8"/>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C7BB799"/>
    <w:rsid w:val="1FB92569"/>
    <w:rsid w:val="2DEFBB43"/>
    <w:rsid w:val="36765AA9"/>
    <w:rsid w:val="3BAF3472"/>
    <w:rsid w:val="3EB82901"/>
    <w:rsid w:val="3EBFF5D3"/>
    <w:rsid w:val="4FF2D7A0"/>
    <w:rsid w:val="6F7D9E97"/>
    <w:rsid w:val="7D7FE55A"/>
    <w:rsid w:val="7DF5BBDF"/>
    <w:rsid w:val="7EF95B2A"/>
    <w:rsid w:val="7F7F0C6A"/>
    <w:rsid w:val="7FAF90DC"/>
    <w:rsid w:val="7FB34266"/>
    <w:rsid w:val="7FEF41BD"/>
    <w:rsid w:val="B6B964C8"/>
    <w:rsid w:val="BA7B88AB"/>
    <w:rsid w:val="BABF2EFC"/>
    <w:rsid w:val="BAFFEFD1"/>
    <w:rsid w:val="BC7BB799"/>
    <w:rsid w:val="D1ED295C"/>
    <w:rsid w:val="D56FBAEA"/>
    <w:rsid w:val="D7AC5794"/>
    <w:rsid w:val="DDB849B8"/>
    <w:rsid w:val="DF7F3089"/>
    <w:rsid w:val="DF7FC177"/>
    <w:rsid w:val="DFFB941B"/>
    <w:rsid w:val="E77F30D7"/>
    <w:rsid w:val="EBFF9A00"/>
    <w:rsid w:val="EF7D8FEC"/>
    <w:rsid w:val="FA7E2DB9"/>
    <w:rsid w:val="FBC76D54"/>
    <w:rsid w:val="FBCEA625"/>
    <w:rsid w:val="FBEF776E"/>
    <w:rsid w:val="FFD7ED5E"/>
    <w:rsid w:val="FFE71CE1"/>
    <w:rsid w:val="FFEE0E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4">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7">
    <w:name w:val="Emphasis"/>
    <w:basedOn w:val="5"/>
    <w:qFormat/>
    <w:uiPriority w:val="0"/>
    <w:rPr>
      <w:i/>
      <w:iCs/>
    </w:rPr>
  </w:style>
  <w:style w:type="character" w:styleId="8">
    <w:name w:val="Hyperlink"/>
    <w:basedOn w:val="5"/>
    <w:qFormat/>
    <w:uiPriority w:val="0"/>
    <w:rPr>
      <w:color w:val="0000FF"/>
      <w:u w:val="single"/>
    </w:rPr>
  </w:style>
  <w:style w:type="paragraph" w:styleId="9">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0">
    <w:name w:val="Strong"/>
    <w:basedOn w:val="5"/>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34</Pages>
  <Words>0</Words>
  <Characters>0</Characters>
  <Lines>0</Lines>
  <Paragraphs>0</Paragraphs>
  <TotalTime>5</TotalTime>
  <ScaleCrop>false</ScaleCrop>
  <LinksUpToDate>false</LinksUpToDate>
  <CharactersWithSpaces>0</CharactersWithSpaces>
  <Application>WPS Office_6.13.1.8710_F1E327BC-269C-435d-A152-05C5408002CA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2025-04-11T23:20:00Z</dcterms:created>
  <dc:creator>WPS_1732553318</dc:creator>
  <cp:lastModifiedBy>WPS_1732553318</cp:lastModifiedBy>
  <dcterms:modified xsi:type="dcterms:W3CDTF">2025-05-07T18:52:54Z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1033-6.13.1.8710</vt:lpwstr>
  </property>
  <property fmtid="{D5CDD505-2E9C-101B-9397-08002B2CF9AE}" pid="3" name="ICV">
    <vt:lpwstr>A49AF748E63E4CC04086F767EF53DF40_41</vt:lpwstr>
  </property>
</Properties>
</file>