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DC1A0">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
          <w:sz w:val="24"/>
        </w:rPr>
      </w:pPr>
      <w:r>
        <w:rPr>
          <w:rFonts w:ascii="Times New Roman" w:hAnsi="Times New Roman" w:cs="Times New Roman"/>
          <w:b/>
          <w:sz w:val="24"/>
        </w:rPr>
        <w:t xml:space="preserve">1. INTRODUCTION </w:t>
      </w:r>
    </w:p>
    <w:p w14:paraId="5EDE262F">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US"/>
        </w:rPr>
      </w:pPr>
      <w:r>
        <w:rPr>
          <w:rFonts w:ascii="Times New Roman" w:hAnsi="Times New Roman" w:cs="Times New Roman"/>
          <w:sz w:val="24"/>
        </w:rPr>
        <w:t xml:space="preserve">Diabetes represents a persistent metabolic condition marked by heightened blood glucose levels, resulting in progressive harm to vital organs such as the heart, blood vessels, eyes, kidneys, and nerves. Predominantly observed in adults, type 2 diabetes also known as diabetes mellitus (DM) is the most prevalent form, arising from either insulin resistance or insufficient insulin production by the body. Over the last three decades, there has been a significant increase in the occurrence of type 2 diabetes across countries of varying economic statuses. As per the World Health Organization (WHO) current standing of approximately 422 million individuals globally are affected by diabetes, with a predominant concentration in low- and middle-income nations, and an estimated 1.5 million deaths annually are directly linked to the disease. Both the incidence and prevalence of diabetes have shown consistent growth over recent decades. In India, the prevalence of diabetes has reached alarming levels, with approximately 77 million adults affected by the disease as per the Diabetes Atlas, 9th edition. Brussels, Belgium: International Diabetes Federation (IDF), 2019. This places India among the countries with the highest number of individuals diagnosed with diabetes globally. </w:t>
      </w:r>
      <w:r>
        <w:rPr>
          <w:rFonts w:ascii="Times New Roman" w:hAnsi="Times New Roman" w:cs="Times New Roman"/>
          <w:sz w:val="24"/>
          <w:lang w:val="en-US"/>
        </w:rPr>
        <w:t>India accounted for 74.9 million of the world's diabetic people in 2021, and estimates from the IDF indicated that figure would rise to 124.9 million by 2045 (Seshiah et al. 2024). This means that one in every seven diabetic adults worldwide lives in India. With a rise in urbanization, sedentary lifestyles, and dietary changes, India is experiencing a rapid epidemiological transition that is contributing to the rising prevalence of type 2 diabetes mellitus (T2DM). There has been little evidence of an elevated prevalence rate in studies of diabetes that are nationally representative. 1.3 million adults were included in a population-based study. 0.8 % of total population diagnosed with type 2 diabetes is in urban areas while only 7.2 % is in the rural areas (Geldsetzer et al. 2018). A cross-sectional study conducted by the Indian Council of Medical Research-India Diabetes (ICMR-INDIAB) during the years 2008-2015 observed that the prevalence of diabetes varied enormously between the states; and the prevalence rate was higher in the low socio-economic status group in the urban areas of developed states (Anjana et al. 2022). The healthcare infrastructure in India is also facing challenges in terms of awareness, early detection, and management of diabetes, which further compounded the problem. In this concern a study conducted showed the increased prevalence of diabetes in adults aged 20 years and above in India. The prevalence has increased to 7.7% in 2016 compared to the 5.5% in 1990 (Tandon et al. 2018). Given the modern lifestyle's high intake of sodium, alcohol, tobacco, and saturated fats, among other things, diabetes patients are more likely to develop renal failure, heart disease, blindness, and even neuropathy, which damages nerves and increases the risk of infection and foot ulcers. According to a recent report by the National Noncommunicable Disease Monitoring Survey (NNMS), the prevalence rate of diabetes in India has reached to 9.3% in 2018 (Mathur et al. 2022).</w:t>
      </w:r>
    </w:p>
    <w:p w14:paraId="401171C8">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
          <w:bCs/>
          <w:i/>
          <w:sz w:val="24"/>
        </w:rPr>
      </w:pPr>
      <w:r>
        <w:rPr>
          <w:rFonts w:ascii="Times New Roman" w:hAnsi="Times New Roman" w:cs="Times New Roman"/>
          <w:b/>
          <w:bCs/>
          <w:i/>
          <w:sz w:val="24"/>
        </w:rPr>
        <w:t>1.1 An introduction to the DM</w:t>
      </w:r>
    </w:p>
    <w:p w14:paraId="7BEEF2AA">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sz w:val="24"/>
          <w:lang w:val="en-AU"/>
        </w:rPr>
        <w:t>DM is a class of metabolic disorders marked by persistently elevated blood sugar levels, or hyperglycemia. T2DM is a condition that arises when a person's blood has insufficient amounts of insulin or when their body struggles to use the insulin that is produced (insulin resistance) (</w:t>
      </w:r>
      <w:r>
        <w:rPr>
          <w:rFonts w:ascii="Times New Roman" w:hAnsi="Times New Roman" w:cs="Times New Roman"/>
          <w:sz w:val="24"/>
        </w:rPr>
        <w:t>Biessels et al., 2006)</w:t>
      </w:r>
      <w:r>
        <w:rPr>
          <w:rFonts w:ascii="Times New Roman" w:hAnsi="Times New Roman" w:cs="Times New Roman"/>
          <w:sz w:val="24"/>
          <w:lang w:val="en-AU"/>
        </w:rPr>
        <w:t>. Although they have the same name, diabetes insipidus and this ailment are not connected. DM is commonly referred to as "diabetes" in everyday speech. "Diabetics" are people who have DMs. The typical sugar found in stores and supermarkets is not the same as glucose. Glucose is a naturally occurring carbohydrate that our bodies use as fuel</w:t>
      </w:r>
      <w:r>
        <w:rPr>
          <w:rFonts w:ascii="Times New Roman" w:hAnsi="Times New Roman" w:cs="Times New Roman"/>
          <w:sz w:val="24"/>
          <w:lang w:val="en-US"/>
        </w:rPr>
        <w:t>. Sucrose, a kind of sugar that is commonly found in supermarkets, differs significantly from glucose in several ways. Soft drinks and fruits contain significant amounts of glucose.</w:t>
      </w:r>
      <w:r>
        <w:rPr>
          <w:rFonts w:ascii="Times New Roman" w:hAnsi="Times New Roman" w:cs="Times New Roman"/>
          <w:sz w:val="24"/>
          <w:lang w:val="en-AU"/>
        </w:rPr>
        <w:t xml:space="preserve"> The body uses substances called hormones to communicate with other cells. There are multiple hormones that regulate blood glucose levels. The hormone insulin is produced by the pancreas. To let other cells in the body know that you have eaten, the pancreas generates insulin. This insulin instructs the cells to absorb blood glucose. Cells use glucose as an energy source. Some cells store extra glucose as glycogen if it is not immediately needed. Cells convert stored glycogen to glucose for energy while you are not eating (</w:t>
      </w:r>
      <w:r>
        <w:rPr>
          <w:rFonts w:ascii="Times New Roman" w:hAnsi="Times New Roman" w:cs="Times New Roman"/>
          <w:sz w:val="24"/>
        </w:rPr>
        <w:t>Ashaolu et al., 2024</w:t>
      </w:r>
      <w:r>
        <w:rPr>
          <w:rFonts w:ascii="Times New Roman" w:hAnsi="Times New Roman" w:cs="Times New Roman"/>
          <w:sz w:val="24"/>
          <w:lang w:val="en-AU"/>
        </w:rPr>
        <w:t>).</w:t>
      </w:r>
    </w:p>
    <w:p w14:paraId="5D55FA0F">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b/>
          <w:bCs/>
          <w:i/>
          <w:sz w:val="24"/>
        </w:rPr>
      </w:pPr>
      <w:r>
        <w:rPr>
          <w:rFonts w:ascii="Times New Roman" w:hAnsi="Times New Roman" w:cs="Times New Roman"/>
          <w:sz w:val="24"/>
          <w:lang w:val="en-US"/>
        </w:rPr>
        <w:t>T2DM is a multiform disorder precipitated by a coexistence of genetic and other negative factors including high calorie intake and unhealthy lifestyle. The disease is characterized by peripheral insulin resistance leading to hyperglycaemia and hyperinsulinemia (Pandey et al. 2018). Diabetic complications continue to progress uninterrupted even after achieving a good control over the blood glucose. This phenomenon, which is known as metabolic memory or the legacy effect, is an independent risk factor for the development of cognitive impairment in humans (</w:t>
      </w:r>
      <w:r>
        <w:rPr>
          <w:rFonts w:ascii="Times New Roman" w:hAnsi="Times New Roman" w:cs="Times New Roman"/>
          <w:sz w:val="24"/>
        </w:rPr>
        <w:t>Ciudin et al., 2017</w:t>
      </w:r>
      <w:r>
        <w:rPr>
          <w:rFonts w:ascii="Times New Roman" w:hAnsi="Times New Roman" w:cs="Times New Roman"/>
          <w:sz w:val="24"/>
          <w:lang w:val="en-US"/>
        </w:rPr>
        <w:t xml:space="preserve">). Diabetes can be caused by low insulin, resistance to insulin, or both. Prolonged hyperglycemia often associated with damage to nerves in the body that occurs due to high blood sugar level. In the central nervous system, diabetes exacerbates depression, phobias, anorexia and cognitive deficit (Danaei et al., 2011). </w:t>
      </w:r>
    </w:p>
    <w:p w14:paraId="0245065D">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sz w:val="24"/>
        </w:rPr>
      </w:pPr>
      <w:r>
        <w:rPr>
          <w:rFonts w:ascii="Times New Roman" w:hAnsi="Times New Roman" w:cs="Times New Roman"/>
          <w:b/>
          <w:bCs/>
          <w:i/>
          <w:sz w:val="24"/>
        </w:rPr>
        <w:t>1.2 Cognitive impairment/dysfunction: physiological and psychological perspective</w:t>
      </w:r>
    </w:p>
    <w:p w14:paraId="3A860260">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sz w:val="24"/>
          <w:lang w:val="en-AU"/>
        </w:rPr>
        <w:t xml:space="preserve">Cognitive impairment or dysfunction encompasses a broad spectrum of deficits in cognitive abilities such as memory, attention, learning, and decision-making, resulting from a combination of physiological and psychological factors </w:t>
      </w:r>
      <w:r>
        <w:rPr>
          <w:rFonts w:ascii="Times New Roman" w:hAnsi="Times New Roman" w:cs="Times New Roman"/>
          <w:sz w:val="24"/>
          <w:lang w:val="en-US"/>
        </w:rPr>
        <w:t>(Nouwen et al., 2011)</w:t>
      </w:r>
      <w:r>
        <w:rPr>
          <w:rFonts w:ascii="Times New Roman" w:hAnsi="Times New Roman" w:cs="Times New Roman"/>
          <w:sz w:val="24"/>
          <w:lang w:val="en-AU"/>
        </w:rPr>
        <w:t>.</w:t>
      </w:r>
    </w:p>
    <w:p w14:paraId="4215F91D">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sz w:val="24"/>
          <w:lang w:val="en-AU"/>
        </w:rPr>
      </w:pPr>
      <w:r>
        <w:rPr>
          <w:rFonts w:ascii="Times New Roman" w:hAnsi="Times New Roman" w:cs="Times New Roman"/>
          <w:b/>
          <w:bCs/>
          <w:i/>
          <w:sz w:val="24"/>
          <w:lang w:val="en-AU"/>
        </w:rPr>
        <w:t xml:space="preserve">Physiological Perspective: </w:t>
      </w:r>
      <w:r>
        <w:rPr>
          <w:rFonts w:ascii="Times New Roman" w:hAnsi="Times New Roman" w:cs="Times New Roman"/>
          <w:sz w:val="24"/>
          <w:lang w:val="en-AU"/>
        </w:rPr>
        <w:t xml:space="preserve">From a physiological standpoint, cognitive dysfunction arises due to structural and functional alterations in the brain. Factors such as oxidative stress, mitochondrial dysfunction, and chronic inflammation play key roles. Conditions like diabetes, neurodegenerative diseases (e.g., Alzheimer’s and Parkinson’s), and vascular dysfunction can impair neuronal integrity, synaptic plasticity, and cerebral blood flow. Chronic hyperglycemia and insulin resistance disrupt glucose metabolism in the brain, leading to the production of reactive oxygen species (ROS) and advanced glycation end-products (AGEs), which contribute to neuronal damage. Neuroinflammation caused by activated microglia and elevated cytokines further exacerbates neurodegeneration. Blood-brain barrier (BBB) dysfunction, neurotransmitter imbalances (e.g., acetylcholine and glutamate), and epigenetic changes collectively contribute to cognitive decline. Vascular impairments such as microangiopathy and ischemic events deprive the brain of oxygen and nutrients, affecting regions crucial for cognition </w:t>
      </w:r>
      <w:r>
        <w:rPr>
          <w:rFonts w:ascii="Times New Roman" w:hAnsi="Times New Roman" w:cs="Times New Roman"/>
          <w:sz w:val="24"/>
          <w:lang w:val="en-US"/>
        </w:rPr>
        <w:t>(Alberti et al. 1998)</w:t>
      </w:r>
      <w:r>
        <w:rPr>
          <w:rFonts w:ascii="Times New Roman" w:hAnsi="Times New Roman" w:cs="Times New Roman"/>
          <w:sz w:val="24"/>
          <w:lang w:val="en-AU"/>
        </w:rPr>
        <w:t>.</w:t>
      </w:r>
    </w:p>
    <w:p w14:paraId="60029803">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sz w:val="24"/>
          <w:lang w:val="en-AU"/>
        </w:rPr>
      </w:pPr>
      <w:r>
        <w:rPr>
          <w:rFonts w:ascii="Times New Roman" w:hAnsi="Times New Roman" w:cs="Times New Roman"/>
          <w:b/>
          <w:bCs/>
          <w:i/>
          <w:sz w:val="24"/>
          <w:lang w:val="en-AU"/>
        </w:rPr>
        <w:t xml:space="preserve">Psychological Perspective: </w:t>
      </w:r>
      <w:r>
        <w:rPr>
          <w:rFonts w:ascii="Times New Roman" w:hAnsi="Times New Roman" w:cs="Times New Roman"/>
          <w:sz w:val="24"/>
          <w:lang w:val="en-AU"/>
        </w:rPr>
        <w:t xml:space="preserve">Cognitive impairment is often intertwined with psychological factors such as stress, anxiety, depression, and emotional disturbances. Chronic stress elevates cortisol levels, which can damage hippocampal neurons, impairing memory and learning. Depression, frequently observed in cognitive dysfunction, is associated with reduced neurogenesis, synaptic deficits, and neurotransmitter imbalances, particularly in serotonin and dopamine pathways. Anxiety disorders impair attention and decision-making, while emotional trauma can disrupt executive function and memory consolidation. Additionally, lifestyle factors such as poor sleep, sedentary habits, and substance abuse exacerbate cognitive deficits. Psychological conditions not only contribute to cognitive dysfunction but can also worsen physiological processes like inflammation and oxidative stress, creating a feedback loop that accelerates neurodegeneration </w:t>
      </w:r>
      <w:r>
        <w:rPr>
          <w:rFonts w:ascii="Times New Roman" w:hAnsi="Times New Roman" w:cs="Times New Roman"/>
          <w:sz w:val="24"/>
          <w:lang w:val="en-US"/>
        </w:rPr>
        <w:t>(Lustman et al. 1988)</w:t>
      </w:r>
      <w:r>
        <w:rPr>
          <w:rFonts w:ascii="Times New Roman" w:hAnsi="Times New Roman" w:cs="Times New Roman"/>
          <w:sz w:val="24"/>
          <w:lang w:val="en-AU"/>
        </w:rPr>
        <w:t>.</w:t>
      </w:r>
    </w:p>
    <w:p w14:paraId="58DE45CB">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rPr>
      </w:pPr>
      <w:r>
        <w:rPr>
          <w:rFonts w:ascii="Times New Roman" w:hAnsi="Times New Roman" w:cs="Times New Roman"/>
          <w:sz w:val="24"/>
          <w:lang w:val="en-AU"/>
        </w:rPr>
        <w:t>In summary, cognitive impairment results from a complex interplay between physiological disruptions such as neuroinflammation, oxidative damage, and neurotransmitter dysfunction, alongside psychological factors like chronic stress, depression, and anxiety. Addressing both perspectives is essential for a holistic understanding and management of cognitive dysfunction.</w:t>
      </w:r>
    </w:p>
    <w:p w14:paraId="2D11C4F9">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sz w:val="24"/>
        </w:rPr>
      </w:pPr>
      <w:r>
        <w:rPr>
          <w:rFonts w:ascii="Times New Roman" w:hAnsi="Times New Roman" w:cs="Times New Roman"/>
          <w:b/>
          <w:bCs/>
          <w:i/>
          <w:sz w:val="24"/>
        </w:rPr>
        <w:t>1.3 Cognitive impairment associated with DM</w:t>
      </w:r>
    </w:p>
    <w:p w14:paraId="6A466584">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US"/>
        </w:rPr>
      </w:pPr>
      <w:r>
        <w:rPr>
          <w:rFonts w:ascii="Times New Roman" w:hAnsi="Times New Roman" w:cs="Times New Roman"/>
          <w:sz w:val="24"/>
          <w:lang w:val="en-US"/>
        </w:rPr>
        <w:t>Clinically, patients with diabetes are at increased risk of developing depression and cognitive impairment as compared to the general population (Egede et al. 2010). Diabetes induces oxidative stress and inflammation in the hippocampal neurons resulting in neurodegeneration (Saravanan et al., 2012). Animal models also revealed the persistence of depression and neurocognitive impairment during chronic diabetes (Jiang et al., 2012).</w:t>
      </w:r>
    </w:p>
    <w:p w14:paraId="62DA754B">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r>
        <w:rPr>
          <w:rFonts w:ascii="Times New Roman" w:hAnsi="Times New Roman" w:cs="Times New Roman"/>
          <w:sz w:val="24"/>
          <w:lang w:val="en-AU"/>
        </w:rPr>
        <w:t>Cognitive impairment associated with diabetes mellitus results from a multifactorial interplay of metabolic, vascular, inflammatory, and oxidative mechanisms, alongside molecular and epigenetic changes. Metabolic disturbances, such as chronic hyperglycaemia and insulin resistance, impair glucose metabolism, leading to oxidative stress, mitochondrial dysfunction, and neuronal apoptosis (</w:t>
      </w:r>
      <w:r>
        <w:rPr>
          <w:rFonts w:ascii="Times New Roman" w:hAnsi="Times New Roman" w:cs="Times New Roman"/>
          <w:sz w:val="24"/>
          <w:lang w:val="en-US"/>
        </w:rPr>
        <w:t>Ihnat et al., 2007)</w:t>
      </w:r>
      <w:r>
        <w:rPr>
          <w:rFonts w:ascii="Times New Roman" w:hAnsi="Times New Roman" w:cs="Times New Roman"/>
          <w:sz w:val="24"/>
          <w:lang w:val="en-AU"/>
        </w:rPr>
        <w:t>. Vascular factors, including microvascular damage and reduced cerebral blood flow, contribute to brain ischemia and hypoxia, exacerbating cognitive decline. Additionally, chronic inflammation driven by elevated cytokines (IL-1β, IL-6, TNF-α) and microglial activation triggers neuroinflammation, disrupting neuronal integrity and synaptic plasticity. Advanced glycation end-products (AGEs) accumulate in the brain due to persistent hyperglycemia, where their interaction with RAGE induces oxidative stress and inflammatory responses. Blood-brain barrier (BBB) dysfunction further aggravates neurodegeneration by allowing neurotoxic substances to infiltrate the brain. Neurotransmitter imbalances, particularly glutamate excitotoxicity and reduced acetylcholine levels, impair synaptic communication and memory processes (</w:t>
      </w:r>
      <w:r>
        <w:rPr>
          <w:rFonts w:ascii="Times New Roman" w:hAnsi="Times New Roman" w:cs="Times New Roman"/>
          <w:sz w:val="24"/>
          <w:lang w:val="en-US"/>
        </w:rPr>
        <w:t>Lupien et al. 2003)</w:t>
      </w:r>
      <w:r>
        <w:rPr>
          <w:rFonts w:ascii="Times New Roman" w:hAnsi="Times New Roman" w:cs="Times New Roman"/>
          <w:sz w:val="24"/>
          <w:lang w:val="en-AU"/>
        </w:rPr>
        <w:t>. Epigenetic modifications, including DNA methylation and histone changes, influence gene expression patterns related to neuronal function and cognitive processes. Collectively, these molecular, physiological, and pharmacological changes underline the intricate relationship between diabetes mellitus and cognitive impairment, emphasizing the need for targeted interventions to mitigate cognitive decline in diabetic patients (</w:t>
      </w:r>
      <w:r>
        <w:rPr>
          <w:rFonts w:ascii="Times New Roman" w:hAnsi="Times New Roman" w:cs="Times New Roman"/>
          <w:sz w:val="24"/>
          <w:lang w:val="en-US"/>
        </w:rPr>
        <w:t>Alipour et al., 2012)</w:t>
      </w:r>
      <w:r>
        <w:rPr>
          <w:rFonts w:ascii="Times New Roman" w:hAnsi="Times New Roman" w:cs="Times New Roman"/>
          <w:sz w:val="24"/>
          <w:lang w:val="en-AU"/>
        </w:rPr>
        <w:t>.</w:t>
      </w:r>
    </w:p>
    <w:p w14:paraId="65990DCC">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 xml:space="preserve">Even though there are many different treatments for type 2 diabetes, including insulin, PPAR-γ agonists, sulfonylureas, biguanides, and α-glucosidase inhibitors, these medications have unfavorable side effects and don't work to </w:t>
      </w:r>
      <w:r>
        <w:rPr>
          <w:rFonts w:ascii="Times New Roman" w:hAnsi="Times New Roman" w:cs="Times New Roman"/>
          <w:sz w:val="24"/>
          <w:lang w:val="en-US"/>
        </w:rPr>
        <w:t>manage</w:t>
      </w:r>
      <w:r>
        <w:rPr>
          <w:rFonts w:ascii="Times New Roman" w:hAnsi="Times New Roman" w:eastAsia="Times New Roman" w:cs="Times New Roman"/>
          <w:sz w:val="24"/>
          <w:szCs w:val="24"/>
          <w:lang w:val="en-US"/>
        </w:rPr>
        <w:t xml:space="preserve"> blood sugar levels in even half of the patient population (Fujita et al., 2014). Low tolerability and limited efficacy are some of the causes, along with gastrointestinal side effects (metformin), weight gain (sulfonylureas and thiazolidinedione), hypoglycemia (sulfonylureas), and edema (thiazolidinedione). Additionally, in order to sustain glycaemic control over the long term, these medicines require additional antihyperglycemic drugs as an adjuvant therapy (Hedrington et al., 2015).</w:t>
      </w:r>
    </w:p>
    <w:p w14:paraId="4EB77EC2">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lang w:val="en-US"/>
        </w:rPr>
      </w:pPr>
      <w:r>
        <w:rPr>
          <w:rFonts w:ascii="Times New Roman" w:hAnsi="Times New Roman" w:cs="Times New Roman"/>
          <w:bCs/>
          <w:sz w:val="24"/>
          <w:szCs w:val="24"/>
          <w:lang w:val="en-US"/>
        </w:rPr>
        <w:t>Concluding to the above details, the</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cognitive impairment in DM is the result of a complex interplay of metabolic disturbances, vascular issues, chronic inflammation, oxidative stress, and advanced glycation end-products. These factors collectively lead to neuronal damage, impaired synaptic plasticity, and altered neurotransmitter function, contributing to cognitive decline. Understanding these mechanisms </w:t>
      </w:r>
      <w:r>
        <w:rPr>
          <w:rFonts w:ascii="Times New Roman" w:hAnsi="Times New Roman" w:cs="Times New Roman"/>
          <w:sz w:val="24"/>
          <w:lang w:val="en-AU"/>
        </w:rPr>
        <w:t>highlights</w:t>
      </w:r>
      <w:r>
        <w:rPr>
          <w:rFonts w:ascii="Times New Roman" w:hAnsi="Times New Roman" w:cs="Times New Roman"/>
          <w:sz w:val="24"/>
          <w:szCs w:val="24"/>
          <w:lang w:val="en-US"/>
        </w:rPr>
        <w:t xml:space="preserve"> the need for comprehensive management of diabetes to preserve cognitive health.</w:t>
      </w:r>
    </w:p>
    <w:p w14:paraId="6BCB2F30">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b/>
          <w:bCs/>
          <w:i/>
          <w:sz w:val="24"/>
        </w:rPr>
        <w:t xml:space="preserve">1.4 </w:t>
      </w:r>
      <w:r>
        <w:rPr>
          <w:rFonts w:ascii="Times New Roman" w:hAnsi="Times New Roman" w:cs="Times New Roman"/>
          <w:b/>
          <w:bCs/>
          <w:i/>
          <w:sz w:val="24"/>
          <w:lang w:val="en-AU"/>
        </w:rPr>
        <w:t>Oxidative Stress Markers and their Impact on Cognition in DM condition</w:t>
      </w:r>
    </w:p>
    <w:p w14:paraId="37D858A4">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iCs/>
          <w:sz w:val="24"/>
          <w:lang w:val="en-AU"/>
        </w:rPr>
      </w:pPr>
      <w:r>
        <w:rPr>
          <w:rFonts w:ascii="Times New Roman" w:hAnsi="Times New Roman" w:eastAsia="Times New Roman" w:cs="Times New Roman"/>
          <w:sz w:val="24"/>
          <w:szCs w:val="24"/>
          <w:lang w:val="en-US"/>
        </w:rPr>
        <w:t>Oxidative</w:t>
      </w:r>
      <w:r>
        <w:rPr>
          <w:rFonts w:ascii="Times New Roman" w:hAnsi="Times New Roman" w:cs="Times New Roman"/>
          <w:sz w:val="24"/>
          <w:lang w:val="en-AU"/>
        </w:rPr>
        <w:t xml:space="preserve"> stress occurs due to an imbalance between the production of reactive oxygen species (ROS) and the body’s antioxidant defenses, leading to cellular and molecular damage. In diabetes mellitus, chronic hyperglycaemia accelerates ROS production, which damages lipids, proteins, and DNA, contributing to neurodegeneration and cognitive dysfunction. Key oxidative stress markers and their role in cognitive decline in diabetic patients are discussed in this section and these oxidative stress biomarkers are being thoroughly determined and the levels of these are being observed by in-vivo examination in this experimentation (Zghari et al., 2023).</w:t>
      </w:r>
    </w:p>
    <w:p w14:paraId="22CBBE0E">
      <w:pPr>
        <w:keepNext w:val="0"/>
        <w:keepLines w:val="0"/>
        <w:pageBreakBefore w:val="0"/>
        <w:widowControl/>
        <w:tabs>
          <w:tab w:val="left" w:pos="720"/>
        </w:tabs>
        <w:kinsoku/>
        <w:wordWrap/>
        <w:overflowPunct/>
        <w:topLinePunct w:val="0"/>
        <w:autoSpaceDE/>
        <w:autoSpaceDN/>
        <w:bidi w:val="0"/>
        <w:adjustRightInd/>
        <w:snapToGrid/>
        <w:spacing w:after="0" w:line="360" w:lineRule="auto"/>
        <w:ind w:left="0"/>
        <w:rPr>
          <w:rFonts w:ascii="Times New Roman" w:hAnsi="Times New Roman" w:cs="Times New Roman"/>
          <w:b/>
          <w:bCs/>
          <w:i/>
          <w:iCs/>
          <w:sz w:val="24"/>
          <w:lang w:val="en-AU"/>
        </w:rPr>
      </w:pPr>
      <w:r>
        <w:rPr>
          <w:rFonts w:ascii="Times New Roman" w:hAnsi="Times New Roman" w:cs="Times New Roman"/>
          <w:b/>
          <w:bCs/>
          <w:i/>
          <w:iCs/>
          <w:sz w:val="24"/>
          <w:lang w:val="en-AU"/>
        </w:rPr>
        <w:t>1.4.1 Lipid Peroxidation (LPO)</w:t>
      </w:r>
    </w:p>
    <w:p w14:paraId="66AB41F8">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iCs/>
          <w:sz w:val="24"/>
          <w:lang w:val="en-AU"/>
        </w:rPr>
      </w:pPr>
      <w:r>
        <w:rPr>
          <w:rFonts w:ascii="Times New Roman" w:hAnsi="Times New Roman" w:cs="Times New Roman"/>
          <w:sz w:val="24"/>
          <w:lang w:val="en-AU"/>
        </w:rPr>
        <w:t>When reactive oxygen species (ROS) produced during hyperglycemia it targets the polyunsaturated fatty acids in neuronal cell membranes, i.e., lipid peroxidation (LPO), a crucial indicator of oxidative stress. Malondialdehyde (MDA), a key marker of lipid peroxidation, is one of the byproducts of this process. MDA buildup inhibits synapse function, interferes with neuronal signaling pathways, and causes membrane instability, all of which lead to cognitive problems in diabetes individuals (</w:t>
      </w:r>
      <w:r>
        <w:rPr>
          <w:rFonts w:ascii="Times New Roman" w:hAnsi="Times New Roman" w:cs="Times New Roman"/>
          <w:sz w:val="24"/>
        </w:rPr>
        <w:t>González et al., 2023</w:t>
      </w:r>
      <w:r>
        <w:rPr>
          <w:rFonts w:ascii="Times New Roman" w:hAnsi="Times New Roman" w:cs="Times New Roman"/>
          <w:sz w:val="24"/>
          <w:lang w:val="en-AU"/>
        </w:rPr>
        <w:t>).</w:t>
      </w:r>
    </w:p>
    <w:p w14:paraId="4D0C2209">
      <w:pPr>
        <w:keepNext w:val="0"/>
        <w:keepLines w:val="0"/>
        <w:pageBreakBefore w:val="0"/>
        <w:widowControl/>
        <w:tabs>
          <w:tab w:val="left" w:pos="720"/>
        </w:tabs>
        <w:kinsoku/>
        <w:wordWrap/>
        <w:overflowPunct/>
        <w:topLinePunct w:val="0"/>
        <w:autoSpaceDE/>
        <w:autoSpaceDN/>
        <w:bidi w:val="0"/>
        <w:adjustRightInd/>
        <w:snapToGrid/>
        <w:spacing w:after="0" w:line="360" w:lineRule="auto"/>
        <w:ind w:left="0"/>
        <w:rPr>
          <w:rFonts w:ascii="Times New Roman" w:hAnsi="Times New Roman" w:cs="Times New Roman"/>
          <w:b/>
          <w:bCs/>
          <w:i/>
          <w:iCs/>
          <w:sz w:val="24"/>
          <w:lang w:val="en-AU"/>
        </w:rPr>
      </w:pPr>
      <w:r>
        <w:rPr>
          <w:rFonts w:ascii="Times New Roman" w:hAnsi="Times New Roman" w:cs="Times New Roman"/>
          <w:b/>
          <w:bCs/>
          <w:i/>
          <w:iCs/>
          <w:sz w:val="24"/>
          <w:lang w:val="en-AU"/>
        </w:rPr>
        <w:t>1.4.2 Protein Oxidation</w:t>
      </w:r>
    </w:p>
    <w:p w14:paraId="62F2D629">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iCs/>
          <w:sz w:val="24"/>
          <w:lang w:val="en-AU"/>
        </w:rPr>
      </w:pPr>
      <w:r>
        <w:rPr>
          <w:rFonts w:ascii="Times New Roman" w:hAnsi="Times New Roman" w:cs="Times New Roman"/>
          <w:sz w:val="24"/>
          <w:lang w:val="en-AU"/>
        </w:rPr>
        <w:t>Advanced glycation end-products (AGEs) and protein carbonyl level are two markers of protein oxidation, which arises when reactive oxygen species (ROS) oxidize</w:t>
      </w:r>
      <w:r>
        <w:rPr>
          <w:rFonts w:hint="default" w:ascii="Times New Roman" w:hAnsi="Times New Roman" w:cs="Times New Roman"/>
          <w:sz w:val="24"/>
          <w:lang w:val="en-IN"/>
        </w:rPr>
        <w:t xml:space="preserve"> </w:t>
      </w:r>
      <w:r>
        <w:rPr>
          <w:rFonts w:ascii="Times New Roman" w:hAnsi="Times New Roman" w:cs="Times New Roman"/>
          <w:sz w:val="24"/>
          <w:lang w:val="en-AU"/>
        </w:rPr>
        <w:t>protein structures. The stability of structural proteins, enzyme activity, and receptor function are among the vital processes that are impacted by this change. Oxidized protein buildup in the brain affects neurotransmission and breaks synaptic plasticity, which results in learning and memory problems that are frequently seen in people with diabetes (</w:t>
      </w:r>
      <w:r>
        <w:rPr>
          <w:rFonts w:ascii="Times New Roman" w:hAnsi="Times New Roman" w:cs="Times New Roman"/>
          <w:sz w:val="24"/>
        </w:rPr>
        <w:t>Chen et al., 2024)</w:t>
      </w:r>
      <w:r>
        <w:rPr>
          <w:rFonts w:ascii="Times New Roman" w:hAnsi="Times New Roman" w:cs="Times New Roman"/>
          <w:sz w:val="24"/>
          <w:lang w:val="en-AU"/>
        </w:rPr>
        <w:t>.</w:t>
      </w:r>
    </w:p>
    <w:p w14:paraId="7A0A3829">
      <w:pPr>
        <w:keepNext w:val="0"/>
        <w:keepLines w:val="0"/>
        <w:pageBreakBefore w:val="0"/>
        <w:widowControl/>
        <w:tabs>
          <w:tab w:val="left" w:pos="720"/>
        </w:tabs>
        <w:kinsoku/>
        <w:wordWrap/>
        <w:overflowPunct/>
        <w:topLinePunct w:val="0"/>
        <w:autoSpaceDE/>
        <w:autoSpaceDN/>
        <w:bidi w:val="0"/>
        <w:adjustRightInd/>
        <w:snapToGrid/>
        <w:spacing w:after="0" w:line="360" w:lineRule="auto"/>
        <w:ind w:left="0"/>
        <w:rPr>
          <w:rFonts w:ascii="Times New Roman" w:hAnsi="Times New Roman" w:cs="Times New Roman"/>
          <w:b/>
          <w:bCs/>
          <w:i/>
          <w:iCs/>
          <w:sz w:val="24"/>
          <w:lang w:val="en-AU"/>
        </w:rPr>
      </w:pPr>
      <w:r>
        <w:rPr>
          <w:rFonts w:ascii="Times New Roman" w:hAnsi="Times New Roman" w:cs="Times New Roman"/>
          <w:b/>
          <w:bCs/>
          <w:i/>
          <w:iCs/>
          <w:sz w:val="24"/>
          <w:lang w:val="en-AU"/>
        </w:rPr>
        <w:t>1.4.3 Glutathione (GSH)</w:t>
      </w:r>
    </w:p>
    <w:p w14:paraId="53D1EBC3">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iCs/>
          <w:sz w:val="24"/>
          <w:lang w:val="en-AU"/>
        </w:rPr>
      </w:pPr>
      <w:r>
        <w:rPr>
          <w:rFonts w:ascii="Times New Roman" w:hAnsi="Times New Roman" w:cs="Times New Roman"/>
          <w:sz w:val="24"/>
          <w:lang w:val="en-AU"/>
        </w:rPr>
        <w:t>As a vital antioxidant, glutathione (GSH) neutralizes reactive oxygen species (ROS) and preserves cellular redox homeostasis. Increased oxidative stress frequently causes a substantial decrease in GSH levels in diabetes patients. The brain's defense against ROS is weakened by this depletion, which leads to mitochondrial malfunction, neuronal death, and eventually cognitive decline (</w:t>
      </w:r>
      <w:r>
        <w:rPr>
          <w:rFonts w:ascii="Times New Roman" w:hAnsi="Times New Roman" w:cs="Times New Roman"/>
          <w:sz w:val="24"/>
        </w:rPr>
        <w:t>Lana et al., 2024</w:t>
      </w:r>
      <w:r>
        <w:rPr>
          <w:rFonts w:ascii="Times New Roman" w:hAnsi="Times New Roman" w:cs="Times New Roman"/>
          <w:sz w:val="24"/>
          <w:lang w:val="en-AU"/>
        </w:rPr>
        <w:t>).</w:t>
      </w:r>
    </w:p>
    <w:p w14:paraId="31C372E3">
      <w:pPr>
        <w:keepNext w:val="0"/>
        <w:keepLines w:val="0"/>
        <w:pageBreakBefore w:val="0"/>
        <w:widowControl/>
        <w:tabs>
          <w:tab w:val="left" w:pos="720"/>
        </w:tabs>
        <w:kinsoku/>
        <w:wordWrap/>
        <w:overflowPunct/>
        <w:topLinePunct w:val="0"/>
        <w:autoSpaceDE/>
        <w:autoSpaceDN/>
        <w:bidi w:val="0"/>
        <w:adjustRightInd/>
        <w:snapToGrid/>
        <w:spacing w:after="0" w:line="360" w:lineRule="auto"/>
        <w:ind w:left="0"/>
        <w:rPr>
          <w:rFonts w:ascii="Times New Roman" w:hAnsi="Times New Roman" w:cs="Times New Roman"/>
          <w:b/>
          <w:bCs/>
          <w:i/>
          <w:iCs/>
          <w:sz w:val="24"/>
          <w:lang w:val="en-AU"/>
        </w:rPr>
      </w:pPr>
      <w:r>
        <w:rPr>
          <w:rFonts w:ascii="Times New Roman" w:hAnsi="Times New Roman" w:cs="Times New Roman"/>
          <w:b/>
          <w:bCs/>
          <w:i/>
          <w:iCs/>
          <w:sz w:val="24"/>
          <w:lang w:val="en-AU"/>
        </w:rPr>
        <w:t>1.4.4 Catalase</w:t>
      </w:r>
    </w:p>
    <w:p w14:paraId="7414AA2C">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sz w:val="24"/>
          <w:lang w:val="en-AU"/>
        </w:rPr>
        <w:t>An essential antioxidant enzyme called catalase prevents oxidative damage by detoxifying hydrogen peroxide (H2O₂) by turning it into oxygen and water. Diabetes frequently results in decreased catalase activity, which causes H2O₂ to build up and produce extremely dangerous hydroxyl radicals. These radicals accelerate neurodegeneration and contribute to cognitive decline by seriously damaging proteins, DNA, and neuronal membranes (</w:t>
      </w:r>
      <w:r>
        <w:rPr>
          <w:rFonts w:ascii="Times New Roman" w:hAnsi="Times New Roman" w:cs="Times New Roman"/>
          <w:sz w:val="24"/>
        </w:rPr>
        <w:t>Anwar et al., 2024</w:t>
      </w:r>
      <w:r>
        <w:rPr>
          <w:rFonts w:ascii="Times New Roman" w:hAnsi="Times New Roman" w:cs="Times New Roman"/>
          <w:sz w:val="24"/>
          <w:lang w:val="en-AU"/>
        </w:rPr>
        <w:t>).</w:t>
      </w:r>
    </w:p>
    <w:p w14:paraId="346BA6FD">
      <w:pPr>
        <w:keepNext w:val="0"/>
        <w:keepLines w:val="0"/>
        <w:pageBreakBefore w:val="0"/>
        <w:widowControl/>
        <w:tabs>
          <w:tab w:val="left" w:pos="720"/>
        </w:tabs>
        <w:kinsoku/>
        <w:wordWrap/>
        <w:overflowPunct/>
        <w:topLinePunct w:val="0"/>
        <w:autoSpaceDE/>
        <w:autoSpaceDN/>
        <w:bidi w:val="0"/>
        <w:adjustRightInd/>
        <w:snapToGrid/>
        <w:spacing w:after="0" w:line="360" w:lineRule="auto"/>
        <w:ind w:left="0"/>
        <w:rPr>
          <w:rFonts w:ascii="Times New Roman" w:hAnsi="Times New Roman" w:cs="Times New Roman"/>
          <w:b/>
          <w:bCs/>
          <w:i/>
          <w:iCs/>
          <w:sz w:val="24"/>
          <w:lang w:val="en-AU"/>
        </w:rPr>
      </w:pPr>
      <w:r>
        <w:rPr>
          <w:rFonts w:ascii="Times New Roman" w:hAnsi="Times New Roman" w:cs="Times New Roman"/>
          <w:b/>
          <w:bCs/>
          <w:i/>
          <w:iCs/>
          <w:sz w:val="24"/>
          <w:lang w:val="en-AU"/>
        </w:rPr>
        <w:t>1.4.5 Acetylcholinesterase (AChE)</w:t>
      </w:r>
    </w:p>
    <w:p w14:paraId="7E61B6F9">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sz w:val="24"/>
          <w:lang w:val="en-AU"/>
        </w:rPr>
        <w:t>Acetylcholine (ACh), a neurotransmitter essential for memory and learning, is regulated in a significant manner by acetylcholinesterase (AChE). Oxidative stress impairs cholinergic neurotransmission and decreases acetylcholine availability in diabetes by interfering with AChE activity. This disturbance contributes to the general cognitive decline in diabetic individuals by causing cognitive abnormalities such as memory loss and attention span reduction (</w:t>
      </w:r>
      <w:r>
        <w:rPr>
          <w:rFonts w:ascii="Times New Roman" w:hAnsi="Times New Roman" w:cs="Times New Roman"/>
          <w:sz w:val="24"/>
        </w:rPr>
        <w:t>Aksoz et al., 2024)</w:t>
      </w:r>
      <w:r>
        <w:rPr>
          <w:rFonts w:ascii="Times New Roman" w:hAnsi="Times New Roman" w:cs="Times New Roman"/>
          <w:sz w:val="24"/>
          <w:lang w:val="en-AU"/>
        </w:rPr>
        <w:t>.</w:t>
      </w:r>
    </w:p>
    <w:p w14:paraId="4667A1F1">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sz w:val="24"/>
          <w:lang w:val="en-AU"/>
        </w:rPr>
        <w:t>Summarizing these biomarkers in DM patients, oxidative stress markers like lipid peroxidation, protein oxidation, reduced glutathione, impaired catalase activity, and altered AChE levels contribute to neuronal damage and cognitive dysfunction. These markers reflect the extent of oxidative damage, which disrupts neuronal integrity, synaptic communication, and neurotransmitter balance, ultimately impairing cognitive processes such as memory, learning, and executive function. Addressing oxidative stress through antioxidants and glycemic control may help mitigate cognitive decline in diabetic patients.</w:t>
      </w:r>
    </w:p>
    <w:p w14:paraId="15C4F407">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p>
    <w:p w14:paraId="4725E1C9">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b/>
          <w:bCs/>
          <w:sz w:val="24"/>
        </w:rPr>
        <w:drawing>
          <wp:anchor distT="0" distB="0" distL="114300" distR="114300" simplePos="0" relativeHeight="251659264" behindDoc="1" locked="0" layoutInCell="1" allowOverlap="1">
            <wp:simplePos x="0" y="0"/>
            <wp:positionH relativeFrom="margin">
              <wp:posOffset>1948815</wp:posOffset>
            </wp:positionH>
            <wp:positionV relativeFrom="paragraph">
              <wp:posOffset>-88265</wp:posOffset>
            </wp:positionV>
            <wp:extent cx="1625600" cy="823595"/>
            <wp:effectExtent l="0" t="0" r="0" b="0"/>
            <wp:wrapSquare wrapText="bothSides"/>
            <wp:docPr id="993265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6587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t="27922" b="29546"/>
                    <a:stretch>
                      <a:fillRect/>
                    </a:stretch>
                  </pic:blipFill>
                  <pic:spPr>
                    <a:xfrm>
                      <a:off x="0" y="0"/>
                      <a:ext cx="1625600" cy="823595"/>
                    </a:xfrm>
                    <a:prstGeom prst="rect">
                      <a:avLst/>
                    </a:prstGeom>
                    <a:noFill/>
                    <a:ln>
                      <a:noFill/>
                    </a:ln>
                  </pic:spPr>
                </pic:pic>
              </a:graphicData>
            </a:graphic>
          </wp:anchor>
        </w:drawing>
      </w:r>
    </w:p>
    <w:p w14:paraId="001C84DD">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p>
    <w:p w14:paraId="3770D2E9">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p>
    <w:p w14:paraId="03466D4B">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sz w:val="24"/>
        </w:rPr>
      </w:pPr>
    </w:p>
    <w:p w14:paraId="2B31926A">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bCs/>
          <w:i/>
          <w:sz w:val="24"/>
        </w:rPr>
      </w:pPr>
      <w:r>
        <w:rPr>
          <w:rFonts w:ascii="Times New Roman" w:hAnsi="Times New Roman" w:cs="Times New Roman"/>
          <w:b/>
          <w:bCs/>
          <w:i/>
          <w:sz w:val="24"/>
        </w:rPr>
        <w:t>1.5 Potential role of streptozotocin (STZ) in the induction of diabetes in experimental rats</w:t>
      </w:r>
    </w:p>
    <w:p w14:paraId="7CB2A434">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b/>
          <w:sz w:val="24"/>
          <w:szCs w:val="24"/>
          <w:lang w:val="en-AU"/>
        </w:rPr>
        <w:t xml:space="preserve">The chemical nature of STZ: </w:t>
      </w:r>
      <w:r>
        <w:rPr>
          <w:rFonts w:ascii="Times New Roman" w:hAnsi="Times New Roman" w:cs="Times New Roman"/>
          <w:sz w:val="24"/>
          <w:lang w:val="en-AU"/>
        </w:rPr>
        <w:t xml:space="preserve">Chemically, STZ is 2-deoxy-2-[(methyl-nitrosoamino)-carbonyl]-amino-D-glucopyranose, a naturally occurring nitrosourea molecule with chemical structure shown here. It </w:t>
      </w:r>
      <w:r>
        <w:rPr>
          <w:rFonts w:ascii="Times New Roman" w:hAnsi="Times New Roman" w:cs="Times New Roman"/>
          <w:sz w:val="24"/>
        </w:rPr>
        <w:t>is classified as a small molecule with the chemical formula C</w:t>
      </w:r>
      <w:r>
        <w:rPr>
          <w:rFonts w:ascii="Times New Roman" w:hAnsi="Times New Roman" w:cs="Times New Roman"/>
          <w:sz w:val="24"/>
          <w:vertAlign w:val="subscript"/>
        </w:rPr>
        <w:t>8</w:t>
      </w:r>
      <w:r>
        <w:rPr>
          <w:rFonts w:ascii="Times New Roman" w:hAnsi="Times New Roman" w:cs="Times New Roman"/>
          <w:sz w:val="24"/>
        </w:rPr>
        <w:t>H</w:t>
      </w:r>
      <w:r>
        <w:rPr>
          <w:rFonts w:ascii="Times New Roman" w:hAnsi="Times New Roman" w:cs="Times New Roman"/>
          <w:sz w:val="24"/>
          <w:vertAlign w:val="subscript"/>
        </w:rPr>
        <w:t>15</w:t>
      </w:r>
      <w:r>
        <w:rPr>
          <w:rFonts w:ascii="Times New Roman" w:hAnsi="Times New Roman" w:cs="Times New Roman"/>
          <w:sz w:val="24"/>
        </w:rPr>
        <w:t>N</w:t>
      </w:r>
      <w:r>
        <w:rPr>
          <w:rFonts w:ascii="Times New Roman" w:hAnsi="Times New Roman" w:cs="Times New Roman"/>
          <w:sz w:val="24"/>
          <w:vertAlign w:val="subscript"/>
        </w:rPr>
        <w:t>3</w:t>
      </w:r>
      <w:r>
        <w:rPr>
          <w:rFonts w:ascii="Times New Roman" w:hAnsi="Times New Roman" w:cs="Times New Roman"/>
          <w:sz w:val="24"/>
        </w:rPr>
        <w:t>O</w:t>
      </w:r>
      <w:r>
        <w:rPr>
          <w:rFonts w:ascii="Times New Roman" w:hAnsi="Times New Roman" w:cs="Times New Roman"/>
          <w:sz w:val="24"/>
          <w:vertAlign w:val="subscript"/>
        </w:rPr>
        <w:t>7</w:t>
      </w:r>
      <w:r>
        <w:rPr>
          <w:rFonts w:ascii="Times New Roman" w:hAnsi="Times New Roman" w:cs="Times New Roman"/>
          <w:sz w:val="24"/>
        </w:rPr>
        <w:t xml:space="preserve">. Its average molecular weight is 265.22 g/mol. </w:t>
      </w:r>
      <w:r>
        <w:rPr>
          <w:rFonts w:ascii="Times New Roman" w:hAnsi="Times New Roman" w:cs="Times New Roman"/>
          <w:sz w:val="24"/>
          <w:lang w:val="en-AU"/>
        </w:rPr>
        <w:t xml:space="preserve">It comes from the bacteria </w:t>
      </w:r>
      <w:r>
        <w:rPr>
          <w:rFonts w:ascii="Times New Roman" w:hAnsi="Times New Roman" w:cs="Times New Roman"/>
          <w:i/>
          <w:iCs/>
          <w:sz w:val="24"/>
          <w:lang w:val="en-AU"/>
        </w:rPr>
        <w:t xml:space="preserve">Streptomyces achromogenes </w:t>
      </w:r>
      <w:r>
        <w:rPr>
          <w:rFonts w:ascii="Times New Roman" w:hAnsi="Times New Roman" w:cs="Times New Roman"/>
          <w:sz w:val="24"/>
          <w:lang w:val="en-AU"/>
        </w:rPr>
        <w:t>(</w:t>
      </w:r>
      <w:r>
        <w:rPr>
          <w:rFonts w:ascii="Times New Roman" w:hAnsi="Times New Roman" w:cs="Times New Roman"/>
          <w:sz w:val="24"/>
        </w:rPr>
        <w:t>Herr et al., 1967</w:t>
      </w:r>
      <w:r>
        <w:rPr>
          <w:rFonts w:ascii="Times New Roman" w:hAnsi="Times New Roman" w:cs="Times New Roman"/>
          <w:sz w:val="24"/>
          <w:lang w:val="en-AU"/>
        </w:rPr>
        <w:t xml:space="preserve">). </w:t>
      </w:r>
    </w:p>
    <w:p w14:paraId="3032D2D6">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r>
        <w:rPr>
          <w:rFonts w:ascii="Times New Roman" w:hAnsi="Times New Roman" w:cs="Times New Roman"/>
          <w:sz w:val="24"/>
          <w:lang w:val="en-AU"/>
        </w:rPr>
        <w:t>In terms of pharmacology, STZ damages beta cells through a series of mechanisms. When STZ enters beta cells, it is broken down to release a highly reactive methyl group that alkylates DNA, specifically damaging the structure of the molecule by shattering its strands. Impaired cell multiplication, repair processes, and ultimately apoptosis result from this. Furthermore, STZ exacerbates oxidative stress and mitochondrial dysfunction by producing ROS and increasing nitric oxide (NO) generation inside the cells. Significant cellular damage is caused by the overproduction of ROS and NO, which also induces an inflammatory response and speeds up beta-cell demise (</w:t>
      </w:r>
      <w:r>
        <w:rPr>
          <w:rFonts w:ascii="Times New Roman" w:hAnsi="Times New Roman" w:cs="Times New Roman"/>
          <w:sz w:val="24"/>
        </w:rPr>
        <w:t>Lenzen et al., 2008</w:t>
      </w:r>
      <w:r>
        <w:rPr>
          <w:rFonts w:ascii="Times New Roman" w:hAnsi="Times New Roman" w:cs="Times New Roman"/>
          <w:sz w:val="24"/>
          <w:lang w:val="en-AU"/>
        </w:rPr>
        <w:t xml:space="preserve">). </w:t>
      </w:r>
    </w:p>
    <w:p w14:paraId="55708272">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r>
        <w:rPr>
          <w:rFonts w:ascii="Times New Roman" w:hAnsi="Times New Roman" w:cs="Times New Roman"/>
          <w:sz w:val="24"/>
          <w:lang w:val="en-AU"/>
        </w:rPr>
        <w:t>Additionally, the enzyme poly(ADP-ribose) polymerase (PARP), which aids in DNA repair, is activated by STZ. NAD</w:t>
      </w:r>
      <w:r>
        <w:rPr>
          <w:rFonts w:ascii="Times New Roman" w:hAnsi="Times New Roman" w:cs="Times New Roman"/>
          <w:sz w:val="24"/>
          <w:vertAlign w:val="superscript"/>
          <w:lang w:val="en-AU"/>
        </w:rPr>
        <w:t>+</w:t>
      </w:r>
      <w:r>
        <w:rPr>
          <w:rFonts w:ascii="Times New Roman" w:hAnsi="Times New Roman" w:cs="Times New Roman"/>
          <w:sz w:val="24"/>
          <w:lang w:val="en-AU"/>
        </w:rPr>
        <w:t>, a chemical essential for sustaining cellular energy levels, is depleted when PARP is chronically activated in response to DNA damage. When NAD</w:t>
      </w:r>
      <w:r>
        <w:rPr>
          <w:rFonts w:ascii="Times New Roman" w:hAnsi="Times New Roman" w:cs="Times New Roman"/>
          <w:sz w:val="24"/>
          <w:vertAlign w:val="superscript"/>
          <w:lang w:val="en-AU"/>
        </w:rPr>
        <w:t>+</w:t>
      </w:r>
      <w:r>
        <w:rPr>
          <w:rFonts w:ascii="Times New Roman" w:hAnsi="Times New Roman" w:cs="Times New Roman"/>
          <w:sz w:val="24"/>
          <w:lang w:val="en-AU"/>
        </w:rPr>
        <w:t xml:space="preserve"> is depleted, less ATP is produced, which causes energy failure and beta cell death. Insulin secretion is significantly reduced when these insulin-producing cells are destroyed, which causes the beginning of DM (</w:t>
      </w:r>
      <w:r>
        <w:rPr>
          <w:rFonts w:ascii="Times New Roman" w:hAnsi="Times New Roman" w:cs="Times New Roman"/>
          <w:sz w:val="24"/>
        </w:rPr>
        <w:t>Islam et al., 2015</w:t>
      </w:r>
      <w:r>
        <w:rPr>
          <w:rFonts w:ascii="Times New Roman" w:hAnsi="Times New Roman" w:cs="Times New Roman"/>
          <w:sz w:val="24"/>
          <w:lang w:val="en-AU"/>
        </w:rPr>
        <w:t xml:space="preserve">). </w:t>
      </w:r>
      <w:r>
        <w:rPr>
          <w:rFonts w:ascii="Times New Roman" w:hAnsi="Times New Roman" w:cs="Times New Roman"/>
          <w:b/>
          <w:bCs/>
          <w:i/>
          <w:sz w:val="24"/>
          <w:lang w:val="en-AU"/>
        </w:rPr>
        <w:t>Figure 1.1</w:t>
      </w:r>
      <w:r>
        <w:rPr>
          <w:rFonts w:ascii="Times New Roman" w:hAnsi="Times New Roman" w:cs="Times New Roman"/>
          <w:sz w:val="24"/>
          <w:lang w:val="en-AU"/>
        </w:rPr>
        <w:t xml:space="preserve"> shows the mechanism of induction of diabetes using STZ.</w:t>
      </w:r>
    </w:p>
    <w:p w14:paraId="4E32DFF3">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r>
        <w:rPr>
          <w:rFonts w:ascii="Times New Roman" w:hAnsi="Times New Roman" w:cs="Times New Roman"/>
          <w:sz w:val="24"/>
          <w:lang w:val="en-AU"/>
        </w:rPr>
        <w:drawing>
          <wp:anchor distT="0" distB="0" distL="0" distR="0" simplePos="0" relativeHeight="251665408" behindDoc="0" locked="0" layoutInCell="1" allowOverlap="1">
            <wp:simplePos x="0" y="0"/>
            <wp:positionH relativeFrom="column">
              <wp:posOffset>912495</wp:posOffset>
            </wp:positionH>
            <wp:positionV relativeFrom="paragraph">
              <wp:posOffset>38735</wp:posOffset>
            </wp:positionV>
            <wp:extent cx="3196590" cy="2118360"/>
            <wp:effectExtent l="0" t="0" r="3810" b="15240"/>
            <wp:wrapNone/>
            <wp:docPr id="16353655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65574"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196590" cy="2118360"/>
                    </a:xfrm>
                    <a:prstGeom prst="rect">
                      <a:avLst/>
                    </a:prstGeom>
                    <a:noFill/>
                  </pic:spPr>
                </pic:pic>
              </a:graphicData>
            </a:graphic>
          </wp:anchor>
        </w:drawing>
      </w:r>
    </w:p>
    <w:p w14:paraId="1A998FB9">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p>
    <w:p w14:paraId="3E1B7110">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p>
    <w:p w14:paraId="096C126C">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p>
    <w:p w14:paraId="463BBA7E">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p>
    <w:p w14:paraId="4DD8C4DA">
      <w:pPr>
        <w:keepNext w:val="0"/>
        <w:keepLines w:val="0"/>
        <w:pageBreakBefore w:val="0"/>
        <w:widowControl/>
        <w:kinsoku/>
        <w:wordWrap/>
        <w:overflowPunct/>
        <w:topLinePunct w:val="0"/>
        <w:autoSpaceDE/>
        <w:autoSpaceDN/>
        <w:bidi w:val="0"/>
        <w:adjustRightInd/>
        <w:snapToGrid/>
        <w:spacing w:after="0" w:line="360" w:lineRule="auto"/>
        <w:jc w:val="both"/>
        <w:rPr>
          <w:rFonts w:ascii="Times New Roman" w:hAnsi="Times New Roman" w:cs="Times New Roman"/>
          <w:sz w:val="24"/>
          <w:lang w:val="en-AU"/>
        </w:rPr>
      </w:pPr>
    </w:p>
    <w:p w14:paraId="58493564">
      <w:pPr>
        <w:keepNext w:val="0"/>
        <w:keepLines w:val="0"/>
        <w:pageBreakBefore w:val="0"/>
        <w:widowControl/>
        <w:kinsoku/>
        <w:wordWrap/>
        <w:overflowPunct/>
        <w:topLinePunct w:val="0"/>
        <w:autoSpaceDE/>
        <w:autoSpaceDN/>
        <w:bidi w:val="0"/>
        <w:adjustRightInd/>
        <w:snapToGrid/>
        <w:spacing w:after="0" w:line="360" w:lineRule="auto"/>
        <w:ind w:left="0" w:firstLine="720"/>
        <w:jc w:val="center"/>
        <w:rPr>
          <w:rFonts w:ascii="Times New Roman" w:hAnsi="Times New Roman" w:cs="Times New Roman"/>
          <w:sz w:val="24"/>
          <w:lang w:val="en-AU"/>
        </w:rPr>
      </w:pPr>
    </w:p>
    <w:p w14:paraId="0B921F56">
      <w:pPr>
        <w:keepNext w:val="0"/>
        <w:keepLines w:val="0"/>
        <w:pageBreakBefore w:val="0"/>
        <w:widowControl/>
        <w:kinsoku/>
        <w:wordWrap/>
        <w:overflowPunct/>
        <w:topLinePunct w:val="0"/>
        <w:autoSpaceDE/>
        <w:autoSpaceDN/>
        <w:bidi w:val="0"/>
        <w:adjustRightInd/>
        <w:snapToGrid/>
        <w:spacing w:after="0" w:line="360" w:lineRule="auto"/>
        <w:ind w:left="0" w:firstLine="720"/>
        <w:jc w:val="center"/>
        <w:rPr>
          <w:rFonts w:ascii="Times New Roman" w:hAnsi="Times New Roman" w:cs="Times New Roman"/>
          <w:sz w:val="24"/>
          <w:lang w:val="en-AU"/>
        </w:rPr>
      </w:pPr>
      <w:r>
        <w:rPr>
          <w:rFonts w:ascii="Times New Roman" w:hAnsi="Times New Roman" w:cs="Times New Roman"/>
          <w:b/>
          <w:bCs/>
          <w:i/>
          <w:sz w:val="24"/>
          <w:lang w:val="en-AU"/>
        </w:rPr>
        <w:t>Figure 1.1:</w:t>
      </w:r>
      <w:r>
        <w:rPr>
          <w:rFonts w:ascii="Times New Roman" w:hAnsi="Times New Roman" w:cs="Times New Roman"/>
          <w:sz w:val="24"/>
          <w:lang w:val="en-AU"/>
        </w:rPr>
        <w:t xml:space="preserve"> Mechanism of induction of diabetes using STZ</w:t>
      </w:r>
    </w:p>
    <w:p w14:paraId="148F3853">
      <w:pPr>
        <w:keepNext w:val="0"/>
        <w:keepLines w:val="0"/>
        <w:pageBreakBefore w:val="0"/>
        <w:widowControl/>
        <w:kinsoku/>
        <w:wordWrap/>
        <w:overflowPunct/>
        <w:topLinePunct w:val="0"/>
        <w:autoSpaceDE/>
        <w:autoSpaceDN/>
        <w:bidi w:val="0"/>
        <w:adjustRightInd/>
        <w:snapToGrid/>
        <w:spacing w:after="0" w:line="360" w:lineRule="auto"/>
        <w:ind w:left="0" w:firstLine="720"/>
        <w:jc w:val="both"/>
        <w:rPr>
          <w:rFonts w:ascii="Times New Roman" w:hAnsi="Times New Roman" w:cs="Times New Roman"/>
          <w:sz w:val="24"/>
          <w:lang w:val="en-AU"/>
        </w:rPr>
      </w:pPr>
    </w:p>
    <w:p w14:paraId="19A3B958">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r>
        <w:rPr>
          <w:rFonts w:ascii="Times New Roman" w:hAnsi="Times New Roman" w:cs="Times New Roman"/>
          <w:i/>
          <w:iCs/>
          <w:sz w:val="24"/>
          <w:lang w:val="en-AU"/>
        </w:rPr>
        <w:t>Justification for selection of this drug to induce diabetes in rats:</w:t>
      </w:r>
      <w:r>
        <w:rPr>
          <w:rFonts w:ascii="Times New Roman" w:hAnsi="Times New Roman" w:cs="Times New Roman"/>
          <w:sz w:val="24"/>
          <w:lang w:val="en-AU"/>
        </w:rPr>
        <w:t xml:space="preserve"> STZ is a commonly used method in the research of diabetes mellitus, especially in the creation of type 2 diabetes models, due to its capacity to target beta cells. STZ can be transported via the GLUT2 glucose transporter, which allows it to be selectively absorbed by pancreatic beta cells since it shares structural similarities with glucose and has a glucose moiety attached to a nitrosourea group. Therefore, the main method for inducing diabetes in experimental animals, especially rats, is to use a naturally occurring nitrosourea molecule. Because it has low toxicity to other cells, particularly those in the pancreas, this selective absorption is essential for its role in causing diabetes (</w:t>
      </w:r>
      <w:r>
        <w:rPr>
          <w:rFonts w:ascii="Times New Roman" w:hAnsi="Times New Roman" w:cs="Times New Roman"/>
          <w:sz w:val="24"/>
        </w:rPr>
        <w:t>Ghasemi et al., 2023)</w:t>
      </w:r>
      <w:r>
        <w:rPr>
          <w:rFonts w:ascii="Times New Roman" w:hAnsi="Times New Roman" w:cs="Times New Roman"/>
          <w:sz w:val="24"/>
          <w:lang w:val="en-AU"/>
        </w:rPr>
        <w:t xml:space="preserve">. </w:t>
      </w:r>
      <w:r>
        <w:rPr>
          <w:rFonts w:ascii="Times New Roman" w:hAnsi="Times New Roman" w:cs="Times New Roman"/>
          <w:b/>
          <w:bCs/>
          <w:i/>
          <w:sz w:val="24"/>
          <w:lang w:val="en-AU"/>
        </w:rPr>
        <w:t>Table 1.1</w:t>
      </w:r>
      <w:r>
        <w:rPr>
          <w:rFonts w:ascii="Times New Roman" w:hAnsi="Times New Roman" w:cs="Times New Roman"/>
          <w:sz w:val="24"/>
          <w:lang w:val="en-AU"/>
        </w:rPr>
        <w:t xml:space="preserve"> shows the amount of STZ and the suitable routes of administration in different species of experimental animals for the induction of diabetes.</w:t>
      </w:r>
    </w:p>
    <w:p w14:paraId="119A4C4A">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i/>
          <w:sz w:val="24"/>
          <w:lang w:val="en-AU"/>
        </w:rPr>
      </w:pPr>
    </w:p>
    <w:p w14:paraId="4FF748A8">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lang w:val="en-AU"/>
        </w:rPr>
      </w:pPr>
      <w:r>
        <w:rPr>
          <w:rFonts w:ascii="Times New Roman" w:hAnsi="Times New Roman" w:cs="Times New Roman"/>
          <w:b/>
          <w:bCs/>
          <w:i/>
          <w:sz w:val="24"/>
          <w:lang w:val="en-AU"/>
        </w:rPr>
        <w:t xml:space="preserve">Table 1.1: </w:t>
      </w:r>
      <w:r>
        <w:rPr>
          <w:rFonts w:ascii="Times New Roman" w:hAnsi="Times New Roman" w:cs="Times New Roman"/>
          <w:sz w:val="24"/>
          <w:lang w:val="en-AU"/>
        </w:rPr>
        <w:t>Route and dose of STZ for use in different species of experimental animals</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9"/>
        <w:gridCol w:w="2376"/>
        <w:gridCol w:w="1726"/>
      </w:tblGrid>
      <w:tr w14:paraId="5245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719" w:type="dxa"/>
          </w:tcPr>
          <w:p w14:paraId="5902C8EE">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lang w:val="en-AU"/>
              </w:rPr>
            </w:pPr>
            <w:r>
              <w:rPr>
                <w:rFonts w:ascii="Times New Roman" w:hAnsi="Times New Roman" w:cs="Times New Roman"/>
                <w:b/>
                <w:bCs/>
                <w:i/>
                <w:sz w:val="24"/>
                <w:lang w:val="en-AU"/>
              </w:rPr>
              <w:t>Species</w:t>
            </w:r>
          </w:p>
        </w:tc>
        <w:tc>
          <w:tcPr>
            <w:tcW w:w="2376" w:type="dxa"/>
          </w:tcPr>
          <w:p w14:paraId="5AE346F9">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lang w:val="en-AU"/>
              </w:rPr>
            </w:pPr>
            <w:r>
              <w:rPr>
                <w:rFonts w:ascii="Times New Roman" w:hAnsi="Times New Roman" w:cs="Times New Roman"/>
                <w:b/>
                <w:bCs/>
                <w:i/>
                <w:sz w:val="24"/>
                <w:lang w:val="en-AU"/>
              </w:rPr>
              <w:t>Dose (mg/kg)</w:t>
            </w:r>
          </w:p>
        </w:tc>
        <w:tc>
          <w:tcPr>
            <w:tcW w:w="1726" w:type="dxa"/>
          </w:tcPr>
          <w:p w14:paraId="5C26A99A">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lang w:val="en-AU"/>
              </w:rPr>
            </w:pPr>
            <w:r>
              <w:rPr>
                <w:rFonts w:ascii="Times New Roman" w:hAnsi="Times New Roman" w:cs="Times New Roman"/>
                <w:b/>
                <w:bCs/>
                <w:i/>
                <w:sz w:val="24"/>
                <w:lang w:val="en-AU"/>
              </w:rPr>
              <w:t>Route</w:t>
            </w:r>
          </w:p>
        </w:tc>
      </w:tr>
      <w:tr w14:paraId="28DD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19" w:type="dxa"/>
          </w:tcPr>
          <w:p w14:paraId="4CCFC94A">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Rat</w:t>
            </w:r>
          </w:p>
        </w:tc>
        <w:tc>
          <w:tcPr>
            <w:tcW w:w="2376" w:type="dxa"/>
          </w:tcPr>
          <w:p w14:paraId="5A69F3E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45-65</w:t>
            </w:r>
          </w:p>
        </w:tc>
        <w:tc>
          <w:tcPr>
            <w:tcW w:w="1726" w:type="dxa"/>
          </w:tcPr>
          <w:p w14:paraId="2DBF8EF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i.p. or i.v.</w:t>
            </w:r>
          </w:p>
        </w:tc>
      </w:tr>
      <w:tr w14:paraId="22FD5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719" w:type="dxa"/>
          </w:tcPr>
          <w:p w14:paraId="468B0B59">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Mice</w:t>
            </w:r>
          </w:p>
        </w:tc>
        <w:tc>
          <w:tcPr>
            <w:tcW w:w="2376" w:type="dxa"/>
          </w:tcPr>
          <w:p w14:paraId="5F3F28E0">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50-200</w:t>
            </w:r>
          </w:p>
        </w:tc>
        <w:tc>
          <w:tcPr>
            <w:tcW w:w="1726" w:type="dxa"/>
          </w:tcPr>
          <w:p w14:paraId="15100786">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i.p. or i.v.</w:t>
            </w:r>
          </w:p>
        </w:tc>
      </w:tr>
      <w:tr w14:paraId="7E623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19" w:type="dxa"/>
          </w:tcPr>
          <w:p w14:paraId="6B7D366D">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Hamster</w:t>
            </w:r>
          </w:p>
        </w:tc>
        <w:tc>
          <w:tcPr>
            <w:tcW w:w="2376" w:type="dxa"/>
          </w:tcPr>
          <w:p w14:paraId="3D9DDAA0">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50-60</w:t>
            </w:r>
          </w:p>
        </w:tc>
        <w:tc>
          <w:tcPr>
            <w:tcW w:w="1726" w:type="dxa"/>
          </w:tcPr>
          <w:p w14:paraId="6BD8FCA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i.p. or i.v.</w:t>
            </w:r>
          </w:p>
        </w:tc>
      </w:tr>
      <w:tr w14:paraId="3DE08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719" w:type="dxa"/>
          </w:tcPr>
          <w:p w14:paraId="18CF4C85">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Pig</w:t>
            </w:r>
          </w:p>
        </w:tc>
        <w:tc>
          <w:tcPr>
            <w:tcW w:w="2376" w:type="dxa"/>
          </w:tcPr>
          <w:p w14:paraId="63B73819">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100-150</w:t>
            </w:r>
          </w:p>
        </w:tc>
        <w:tc>
          <w:tcPr>
            <w:tcW w:w="1726" w:type="dxa"/>
          </w:tcPr>
          <w:p w14:paraId="06EFF040">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i.v.</w:t>
            </w:r>
          </w:p>
        </w:tc>
      </w:tr>
      <w:tr w14:paraId="1F3A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719" w:type="dxa"/>
          </w:tcPr>
          <w:p w14:paraId="68B13927">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Dog</w:t>
            </w:r>
          </w:p>
        </w:tc>
        <w:tc>
          <w:tcPr>
            <w:tcW w:w="2376" w:type="dxa"/>
          </w:tcPr>
          <w:p w14:paraId="71EA7E62">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20-30</w:t>
            </w:r>
          </w:p>
        </w:tc>
        <w:tc>
          <w:tcPr>
            <w:tcW w:w="1726" w:type="dxa"/>
          </w:tcPr>
          <w:p w14:paraId="4BFF610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i.v.</w:t>
            </w:r>
          </w:p>
        </w:tc>
      </w:tr>
      <w:tr w14:paraId="69FE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19" w:type="dxa"/>
          </w:tcPr>
          <w:p w14:paraId="33E84DA5">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Primates</w:t>
            </w:r>
          </w:p>
        </w:tc>
        <w:tc>
          <w:tcPr>
            <w:tcW w:w="2376" w:type="dxa"/>
          </w:tcPr>
          <w:p w14:paraId="71F7843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50-100</w:t>
            </w:r>
          </w:p>
        </w:tc>
        <w:tc>
          <w:tcPr>
            <w:tcW w:w="1726" w:type="dxa"/>
          </w:tcPr>
          <w:p w14:paraId="3F98F512">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lang w:val="en-AU"/>
              </w:rPr>
            </w:pPr>
            <w:r>
              <w:rPr>
                <w:rFonts w:ascii="Times New Roman" w:hAnsi="Times New Roman" w:cs="Times New Roman"/>
                <w:sz w:val="24"/>
                <w:lang w:val="en-AU"/>
              </w:rPr>
              <w:t>i.v.</w:t>
            </w:r>
          </w:p>
        </w:tc>
      </w:tr>
    </w:tbl>
    <w:p w14:paraId="585D1D9A">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lang w:val="en-AU"/>
        </w:rPr>
      </w:pPr>
    </w:p>
    <w:p w14:paraId="44808222">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lang w:val="en-AU"/>
        </w:rPr>
      </w:pPr>
      <w:r>
        <w:rPr>
          <w:rFonts w:ascii="Times New Roman" w:hAnsi="Times New Roman" w:cs="Times New Roman"/>
          <w:bCs/>
          <w:sz w:val="24"/>
          <w:lang w:val="en-AU"/>
        </w:rPr>
        <w:t>In conclusion, STZ targets pancreatic beta cells via a glucose transporter-mediated pathway, making it a powerful tool for causing diabetes in rats. Its pharmacodynamics include energy depletion, oxidative stress, DNA alkylation, and mitochondrial malfunction, all of which lead to beta-cell death and decreased insulin output. Because of the development of a hyperglycemic state that mimics the pathophysiology of type 2 diabetes, STZ is a useful model for researching the condition and evaluating possible treatments.</w:t>
      </w:r>
    </w:p>
    <w:p w14:paraId="4200F156">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sz w:val="24"/>
        </w:rPr>
      </w:pPr>
    </w:p>
    <w:p w14:paraId="393756BF">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
          <w:sz w:val="24"/>
        </w:rPr>
      </w:pPr>
    </w:p>
    <w:p w14:paraId="3F11CF9B">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Cs/>
          <w:sz w:val="24"/>
          <w:lang w:val="en-AU"/>
        </w:rPr>
      </w:pPr>
      <w:r>
        <w:rPr>
          <w:rFonts w:ascii="Times New Roman" w:hAnsi="Times New Roman" w:cs="Times New Roman"/>
          <w:bCs/>
          <w:sz w:val="24"/>
          <w:lang w:val="en-AU"/>
        </w:rPr>
        <w:br w:type="page"/>
      </w:r>
    </w:p>
    <w:p w14:paraId="35F64064">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
          <w:i/>
          <w:iCs/>
          <w:sz w:val="24"/>
          <w:lang w:val="en-AU"/>
        </w:rPr>
      </w:pPr>
      <w:r>
        <w:rPr>
          <w:rFonts w:ascii="Times New Roman" w:hAnsi="Times New Roman" w:cs="Times New Roman"/>
          <w:b/>
          <w:i/>
          <w:iCs/>
          <w:sz w:val="24"/>
          <w:lang w:val="en-AU"/>
        </w:rPr>
        <w:t>2. DRUG PROFILE</w:t>
      </w:r>
    </w:p>
    <w:p w14:paraId="2A6190F7">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lang w:val="en-AU"/>
        </w:rPr>
      </w:pPr>
      <w:r>
        <w:rPr>
          <w:rFonts w:ascii="Times New Roman" w:hAnsi="Times New Roman" w:cs="Times New Roman"/>
          <w:bCs/>
          <w:sz w:val="24"/>
          <w:lang w:val="en-AU"/>
        </w:rPr>
        <w:t xml:space="preserve">Patients with diabetes are at serious risk for cognitive impairment, which can impede their regular functioning and quality of life. Often referred to as asthma weed or hirta spurge, Euphorbia hirta is a tiny annual herb that is a member of the </w:t>
      </w:r>
      <w:r>
        <w:rPr>
          <w:rFonts w:ascii="Times New Roman" w:hAnsi="Times New Roman" w:cs="Times New Roman"/>
          <w:bCs/>
          <w:i/>
          <w:iCs/>
          <w:sz w:val="24"/>
          <w:lang w:val="en-AU"/>
        </w:rPr>
        <w:t>Euphorbiaceae</w:t>
      </w:r>
      <w:r>
        <w:rPr>
          <w:rFonts w:ascii="Times New Roman" w:hAnsi="Times New Roman" w:cs="Times New Roman"/>
          <w:bCs/>
          <w:sz w:val="24"/>
          <w:lang w:val="en-AU"/>
        </w:rPr>
        <w:t xml:space="preserve"> family. It is found throughout the world's tropical and subtropical regions, especially in Asia, Africa, and the Americas. The plant has been recognized for its possible therapeutic benefits, especially in traditional healing traditions, even though it is not as well-known in modern medicine as some other members of the Euphorbia genus (</w:t>
      </w:r>
      <w:r>
        <w:rPr>
          <w:rFonts w:ascii="Times New Roman" w:hAnsi="Times New Roman" w:cs="Times New Roman"/>
          <w:bCs/>
          <w:sz w:val="24"/>
        </w:rPr>
        <w:t>Ismail et al., 2019</w:t>
      </w:r>
      <w:r>
        <w:rPr>
          <w:rFonts w:ascii="Times New Roman" w:hAnsi="Times New Roman" w:cs="Times New Roman"/>
          <w:bCs/>
          <w:sz w:val="24"/>
          <w:lang w:val="en-AU"/>
        </w:rPr>
        <w:t xml:space="preserve">). </w:t>
      </w:r>
      <w:r>
        <w:rPr>
          <w:rFonts w:ascii="Times New Roman" w:hAnsi="Times New Roman" w:cs="Times New Roman"/>
          <w:b/>
          <w:sz w:val="24"/>
          <w:lang w:val="en-AU"/>
        </w:rPr>
        <w:t>Figure 1.3</w:t>
      </w:r>
      <w:r>
        <w:rPr>
          <w:rFonts w:ascii="Times New Roman" w:hAnsi="Times New Roman" w:cs="Times New Roman"/>
          <w:bCs/>
          <w:sz w:val="24"/>
          <w:lang w:val="en-AU"/>
        </w:rPr>
        <w:t xml:space="preserve"> shows different part of leaves, growth habit, plant and flower of Euphorbia hirta plant.</w:t>
      </w:r>
    </w:p>
    <w:p w14:paraId="3CFDC19D">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sz w:val="24"/>
          <w:lang w:val="en-AU"/>
        </w:rPr>
      </w:pPr>
    </w:p>
    <w:p w14:paraId="74E48108">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sz w:val="24"/>
          <w:lang w:val="en-AU"/>
        </w:rPr>
      </w:pPr>
      <w:r>
        <w:rPr>
          <w:rFonts w:ascii="Times New Roman" w:hAnsi="Times New Roman" w:cs="Times New Roman"/>
          <w:b/>
          <w:sz w:val="24"/>
          <w:lang w:val="en-AU"/>
        </w:rPr>
        <w:drawing>
          <wp:inline distT="0" distB="0" distL="0" distR="0">
            <wp:extent cx="5027930" cy="3187065"/>
            <wp:effectExtent l="0" t="0" r="1270" b="0"/>
            <wp:docPr id="17200035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03515"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055893" cy="3204618"/>
                    </a:xfrm>
                    <a:prstGeom prst="rect">
                      <a:avLst/>
                    </a:prstGeom>
                    <a:noFill/>
                  </pic:spPr>
                </pic:pic>
              </a:graphicData>
            </a:graphic>
          </wp:inline>
        </w:drawing>
      </w:r>
    </w:p>
    <w:p w14:paraId="5C54E194">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i/>
          <w:iCs/>
          <w:sz w:val="24"/>
          <w:lang w:val="en-AU"/>
        </w:rPr>
      </w:pPr>
      <w:r>
        <w:rPr>
          <w:rFonts w:ascii="Times New Roman" w:hAnsi="Times New Roman" w:cs="Times New Roman"/>
          <w:b/>
          <w:bCs/>
          <w:i/>
          <w:sz w:val="24"/>
          <w:lang w:val="en-AU"/>
        </w:rPr>
        <w:t>Figure 1.3:</w:t>
      </w:r>
      <w:r>
        <w:rPr>
          <w:rFonts w:ascii="Times New Roman" w:hAnsi="Times New Roman" w:cs="Times New Roman"/>
          <w:sz w:val="24"/>
          <w:lang w:val="en-AU"/>
        </w:rPr>
        <w:t xml:space="preserve"> Different part of leaves, growth habit, plant and flower of Euphorbia hirta </w:t>
      </w:r>
      <w:r>
        <w:rPr>
          <w:rFonts w:ascii="Times New Roman" w:hAnsi="Times New Roman" w:cs="Times New Roman"/>
          <w:i/>
          <w:iCs/>
          <w:sz w:val="24"/>
          <w:lang w:val="en-AU"/>
        </w:rPr>
        <w:t>plant</w:t>
      </w:r>
    </w:p>
    <w:p w14:paraId="2BC97091">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i/>
          <w:iCs/>
          <w:sz w:val="24"/>
          <w:lang w:val="en-AU"/>
        </w:rPr>
      </w:pPr>
      <w:r>
        <w:rPr>
          <w:rFonts w:ascii="Times New Roman" w:hAnsi="Times New Roman" w:cs="Times New Roman"/>
          <w:b/>
          <w:i/>
          <w:iCs/>
          <w:sz w:val="24"/>
          <w:lang w:val="en-AU"/>
        </w:rPr>
        <w:t>2.1 Medicinal Properties and Traditional Uses</w:t>
      </w:r>
    </w:p>
    <w:p w14:paraId="48E4018A">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rPr>
      </w:pPr>
      <w:r>
        <w:rPr>
          <w:rFonts w:ascii="Times New Roman" w:hAnsi="Times New Roman" w:cs="Times New Roman"/>
          <w:bCs/>
          <w:sz w:val="24"/>
          <w:lang w:val="en-AU"/>
        </w:rPr>
        <w:t xml:space="preserve">Compared to other species in the Euphorbia genus, Euphorbia hirta has not been thoroughly investigated for medicinal uses; yet, it has been utilized for a number of ailments in certain traditional societies. The following are some of the traditional uses of Euphorbia hirta: wound healing (small cuts, wounds, and skin abrasions); respiratory conditions (asthma and bronchitis); digestive problems (indigestion, diarrhea, and dysentery); antimicrobial and anti-inflammatory properties (bacteria and pathogens); and diuretic properties (edema i.e., swelling and other fluid-related imbalances). </w:t>
      </w:r>
      <w:r>
        <w:rPr>
          <w:rFonts w:ascii="Times New Roman" w:hAnsi="Times New Roman" w:cs="Times New Roman"/>
          <w:bCs/>
          <w:sz w:val="24"/>
        </w:rPr>
        <w:t xml:space="preserve">Additionally, it has been explored for its potential in cancer treatment due to its cytotoxic effects on cancer cells (Huang et al., 2012). </w:t>
      </w:r>
    </w:p>
    <w:p w14:paraId="6A9F0A94">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lang w:val="en-AU"/>
        </w:rPr>
      </w:pPr>
    </w:p>
    <w:p w14:paraId="4934EF43">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lang w:val="en-AU"/>
        </w:rPr>
      </w:pPr>
      <w:r>
        <w:rPr>
          <w:rFonts w:ascii="Times New Roman" w:hAnsi="Times New Roman" w:cs="Times New Roman"/>
          <w:b/>
          <w:sz w:val="24"/>
          <w:lang w:val="en-AU"/>
        </w:rPr>
        <w:t xml:space="preserve">2.2 </w:t>
      </w:r>
      <w:r>
        <w:rPr>
          <w:rFonts w:ascii="Times New Roman" w:hAnsi="Times New Roman" w:cs="Times New Roman"/>
          <w:b/>
          <w:i/>
          <w:iCs/>
          <w:sz w:val="24"/>
          <w:lang w:val="en-AU"/>
        </w:rPr>
        <w:t>Phytoconstituents of Euphorbia hirta plant:</w:t>
      </w:r>
      <w:r>
        <w:rPr>
          <w:rFonts w:ascii="Times New Roman" w:hAnsi="Times New Roman" w:cs="Times New Roman"/>
          <w:bCs/>
          <w:sz w:val="24"/>
          <w:lang w:val="en-AU"/>
        </w:rPr>
        <w:t xml:space="preserve"> Numerous bioactive substances found in the plant, such as flavonoids, alkaloids, terpenoids, and saponins, are thought to be involved in its therapeutic qualities. For instance, flavonoids are well-known for their antibacterial, anti-inflammatory, and antioxidant properties. Alkaloids and saponins are also linked to a number of medicinal benefits, including lowering inflammation, encouraging wound healing, and even having mild calming effects (</w:t>
      </w:r>
      <w:r>
        <w:rPr>
          <w:rFonts w:ascii="Times New Roman" w:hAnsi="Times New Roman" w:cs="Times New Roman"/>
          <w:bCs/>
          <w:sz w:val="24"/>
        </w:rPr>
        <w:t>Ghosh et al., 2019; Ahmad et al., 2017</w:t>
      </w:r>
      <w:r>
        <w:rPr>
          <w:rFonts w:ascii="Times New Roman" w:hAnsi="Times New Roman" w:cs="Times New Roman"/>
          <w:bCs/>
          <w:sz w:val="24"/>
          <w:lang w:val="en-AU"/>
        </w:rPr>
        <w:t xml:space="preserve">). </w:t>
      </w:r>
      <w:r>
        <w:rPr>
          <w:rFonts w:ascii="Times New Roman" w:hAnsi="Times New Roman" w:cs="Times New Roman"/>
          <w:b/>
          <w:sz w:val="24"/>
          <w:lang w:val="en-AU"/>
        </w:rPr>
        <w:t>Table 1.2</w:t>
      </w:r>
      <w:r>
        <w:rPr>
          <w:rFonts w:ascii="Times New Roman" w:hAnsi="Times New Roman" w:cs="Times New Roman"/>
          <w:bCs/>
          <w:sz w:val="24"/>
          <w:lang w:val="en-AU"/>
        </w:rPr>
        <w:t xml:space="preserve"> provides an overview of the major phytochemicals found in </w:t>
      </w:r>
      <w:r>
        <w:rPr>
          <w:rFonts w:ascii="Times New Roman" w:hAnsi="Times New Roman" w:cs="Times New Roman"/>
          <w:bCs/>
          <w:i/>
          <w:iCs/>
          <w:sz w:val="24"/>
          <w:lang w:val="en-AU"/>
        </w:rPr>
        <w:t>Euphorbia hirta</w:t>
      </w:r>
      <w:r>
        <w:rPr>
          <w:rFonts w:ascii="Times New Roman" w:hAnsi="Times New Roman" w:cs="Times New Roman"/>
          <w:bCs/>
          <w:sz w:val="24"/>
          <w:lang w:val="en-AU"/>
        </w:rPr>
        <w:t xml:space="preserve"> and their associated medicinal benefits.</w:t>
      </w:r>
    </w:p>
    <w:p w14:paraId="1B28DB32">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sz w:val="24"/>
          <w:lang w:val="en-AU"/>
        </w:rPr>
      </w:pPr>
    </w:p>
    <w:p w14:paraId="1D74D88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lang w:val="en-AU"/>
        </w:rPr>
      </w:pPr>
      <w:r>
        <w:rPr>
          <w:rFonts w:ascii="Times New Roman" w:hAnsi="Times New Roman" w:cs="Times New Roman"/>
          <w:b/>
          <w:sz w:val="24"/>
          <w:lang w:val="en-AU"/>
        </w:rPr>
        <w:t>Table 1.2:</w:t>
      </w:r>
      <w:r>
        <w:rPr>
          <w:rFonts w:ascii="Times New Roman" w:hAnsi="Times New Roman" w:cs="Times New Roman"/>
          <w:bCs/>
          <w:sz w:val="24"/>
          <w:lang w:val="en-AU"/>
        </w:rPr>
        <w:t xml:space="preserve"> Summarizing the phytochemical constituents of </w:t>
      </w:r>
      <w:r>
        <w:rPr>
          <w:rFonts w:ascii="Times New Roman" w:hAnsi="Times New Roman" w:cs="Times New Roman"/>
          <w:bCs/>
          <w:i/>
          <w:iCs/>
          <w:sz w:val="24"/>
          <w:lang w:val="en-AU"/>
        </w:rPr>
        <w:t>Euphorbia hirta</w:t>
      </w:r>
      <w:r>
        <w:rPr>
          <w:rFonts w:ascii="Times New Roman" w:hAnsi="Times New Roman" w:cs="Times New Roman"/>
          <w:bCs/>
          <w:sz w:val="24"/>
          <w:lang w:val="en-AU"/>
        </w:rPr>
        <w:t xml:space="preserve"> and their potential medicinal implications (</w:t>
      </w:r>
      <w:r>
        <w:rPr>
          <w:rFonts w:ascii="Times New Roman" w:hAnsi="Times New Roman" w:cs="Times New Roman"/>
          <w:bCs/>
          <w:sz w:val="24"/>
        </w:rPr>
        <w:t>Ahmad et al., 2017</w:t>
      </w:r>
      <w:r>
        <w:rPr>
          <w:rFonts w:ascii="Times New Roman" w:hAnsi="Times New Roman" w:cs="Times New Roman"/>
          <w:bCs/>
          <w:sz w:val="24"/>
          <w:lang w:val="en-AU"/>
        </w:rPr>
        <w: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5"/>
        <w:gridCol w:w="1989"/>
        <w:gridCol w:w="4818"/>
      </w:tblGrid>
      <w:tr w14:paraId="2A29B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38A97AF4">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szCs w:val="24"/>
                <w:lang w:val="en-AU"/>
              </w:rPr>
            </w:pPr>
            <w:r>
              <w:rPr>
                <w:rFonts w:ascii="Times New Roman" w:hAnsi="Times New Roman" w:cs="Times New Roman"/>
                <w:b/>
                <w:bCs/>
                <w:i/>
                <w:sz w:val="24"/>
                <w:szCs w:val="24"/>
                <w:lang w:val="en-AU"/>
              </w:rPr>
              <w:t>Phytochemical</w:t>
            </w:r>
          </w:p>
        </w:tc>
        <w:tc>
          <w:tcPr>
            <w:tcW w:w="1686" w:type="dxa"/>
            <w:vAlign w:val="center"/>
          </w:tcPr>
          <w:p w14:paraId="58DEC1C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szCs w:val="24"/>
                <w:lang w:val="en-AU"/>
              </w:rPr>
            </w:pPr>
            <w:r>
              <w:rPr>
                <w:rFonts w:ascii="Times New Roman" w:hAnsi="Times New Roman" w:cs="Times New Roman"/>
                <w:b/>
                <w:bCs/>
                <w:i/>
                <w:sz w:val="24"/>
                <w:szCs w:val="24"/>
                <w:lang w:val="en-AU"/>
              </w:rPr>
              <w:t>Compounds</w:t>
            </w:r>
          </w:p>
        </w:tc>
        <w:tc>
          <w:tcPr>
            <w:tcW w:w="5607" w:type="dxa"/>
            <w:vAlign w:val="center"/>
          </w:tcPr>
          <w:p w14:paraId="74BDA32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bCs/>
                <w:sz w:val="24"/>
                <w:szCs w:val="24"/>
                <w:lang w:val="en-AU"/>
              </w:rPr>
            </w:pPr>
            <w:r>
              <w:rPr>
                <w:rFonts w:ascii="Times New Roman" w:hAnsi="Times New Roman" w:cs="Times New Roman"/>
                <w:b/>
                <w:bCs/>
                <w:i/>
                <w:sz w:val="24"/>
                <w:szCs w:val="24"/>
                <w:lang w:val="en-AU"/>
              </w:rPr>
              <w:t>Medicinal Implications</w:t>
            </w:r>
          </w:p>
        </w:tc>
      </w:tr>
      <w:tr w14:paraId="655FA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1D524067">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szCs w:val="24"/>
                <w:lang w:val="en-AU"/>
              </w:rPr>
            </w:pPr>
            <w:r>
              <w:rPr>
                <w:rFonts w:ascii="Times New Roman" w:hAnsi="Times New Roman" w:cs="Times New Roman"/>
                <w:sz w:val="24"/>
                <w:szCs w:val="24"/>
                <w:lang w:val="en-AU"/>
              </w:rPr>
              <w:t>Alkaloids</w:t>
            </w:r>
          </w:p>
        </w:tc>
        <w:tc>
          <w:tcPr>
            <w:tcW w:w="1686" w:type="dxa"/>
            <w:vAlign w:val="center"/>
          </w:tcPr>
          <w:p w14:paraId="777D6750">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szCs w:val="24"/>
                <w:lang w:val="en-AU"/>
              </w:rPr>
            </w:pPr>
            <w:r>
              <w:rPr>
                <w:rFonts w:ascii="Times New Roman" w:hAnsi="Times New Roman" w:cs="Times New Roman"/>
                <w:sz w:val="24"/>
                <w:szCs w:val="24"/>
                <w:lang w:val="en-AU"/>
              </w:rPr>
              <w:t xml:space="preserve">Euphorbamine, </w:t>
            </w:r>
            <w:r>
              <w:rPr>
                <w:rFonts w:ascii="Times New Roman" w:hAnsi="Times New Roman" w:cs="Times New Roman"/>
                <w:sz w:val="24"/>
                <w:szCs w:val="24"/>
              </w:rPr>
              <w:t>Euphorbin, euphorbinol, hirtamine</w:t>
            </w:r>
          </w:p>
        </w:tc>
        <w:tc>
          <w:tcPr>
            <w:tcW w:w="5607" w:type="dxa"/>
            <w:vAlign w:val="center"/>
          </w:tcPr>
          <w:p w14:paraId="20F1553C">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szCs w:val="24"/>
                <w:lang w:val="en-AU"/>
              </w:rPr>
            </w:pPr>
            <w:r>
              <w:rPr>
                <w:rFonts w:ascii="Times New Roman" w:hAnsi="Times New Roman" w:cs="Times New Roman"/>
                <w:sz w:val="24"/>
                <w:szCs w:val="24"/>
                <w:lang w:val="en-AU"/>
              </w:rPr>
              <w:t>Antimicrobial, analgesic, anti-inflammatory properties. Helps in gastrointestinal relief and respiratory issues.</w:t>
            </w:r>
          </w:p>
        </w:tc>
      </w:tr>
      <w:tr w14:paraId="78CDE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223B6DE9">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szCs w:val="24"/>
                <w:lang w:val="en-AU"/>
              </w:rPr>
            </w:pPr>
            <w:r>
              <w:rPr>
                <w:rFonts w:ascii="Times New Roman" w:hAnsi="Times New Roman" w:cs="Times New Roman"/>
                <w:sz w:val="24"/>
                <w:szCs w:val="24"/>
                <w:lang w:val="en-AU"/>
              </w:rPr>
              <w:t>Flavonoids</w:t>
            </w:r>
          </w:p>
        </w:tc>
        <w:tc>
          <w:tcPr>
            <w:tcW w:w="1686" w:type="dxa"/>
            <w:vAlign w:val="center"/>
          </w:tcPr>
          <w:p w14:paraId="5CF43B51">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szCs w:val="24"/>
                <w:lang w:val="en-AU"/>
              </w:rPr>
            </w:pPr>
            <w:r>
              <w:rPr>
                <w:rFonts w:ascii="Times New Roman" w:hAnsi="Times New Roman" w:cs="Times New Roman"/>
                <w:sz w:val="24"/>
                <w:szCs w:val="24"/>
                <w:lang w:val="en-AU"/>
              </w:rPr>
              <w:t>Quercetin, Kaempferol, Rutin</w:t>
            </w:r>
          </w:p>
        </w:tc>
        <w:tc>
          <w:tcPr>
            <w:tcW w:w="5607" w:type="dxa"/>
            <w:vAlign w:val="center"/>
          </w:tcPr>
          <w:p w14:paraId="20946AB2">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szCs w:val="24"/>
                <w:lang w:val="en-AU"/>
              </w:rPr>
            </w:pPr>
            <w:r>
              <w:rPr>
                <w:rFonts w:ascii="Times New Roman" w:hAnsi="Times New Roman" w:cs="Times New Roman"/>
                <w:sz w:val="24"/>
                <w:szCs w:val="24"/>
                <w:lang w:val="en-AU"/>
              </w:rPr>
              <w:t>Antioxidant, anti-inflammatory, anticancer properties. Protects tissues from oxidative stress, reduces inflammation.</w:t>
            </w:r>
          </w:p>
        </w:tc>
      </w:tr>
      <w:tr w14:paraId="701A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0D411290">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szCs w:val="24"/>
                <w:lang w:val="en-AU"/>
              </w:rPr>
            </w:pPr>
            <w:r>
              <w:rPr>
                <w:rFonts w:ascii="Times New Roman" w:hAnsi="Times New Roman" w:cs="Times New Roman"/>
                <w:sz w:val="24"/>
                <w:szCs w:val="24"/>
                <w:lang w:val="en-AU"/>
              </w:rPr>
              <w:t>Terpenoids</w:t>
            </w:r>
          </w:p>
        </w:tc>
        <w:tc>
          <w:tcPr>
            <w:tcW w:w="1686" w:type="dxa"/>
            <w:vAlign w:val="center"/>
          </w:tcPr>
          <w:p w14:paraId="1471E4A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Cs/>
                <w:sz w:val="24"/>
                <w:szCs w:val="24"/>
                <w:lang w:val="en-AU"/>
              </w:rPr>
            </w:pPr>
            <w:r>
              <w:rPr>
                <w:rFonts w:ascii="Times New Roman" w:hAnsi="Times New Roman" w:cs="Times New Roman"/>
                <w:sz w:val="24"/>
                <w:szCs w:val="24"/>
              </w:rPr>
              <w:t xml:space="preserve">β-Sitosterol, </w:t>
            </w:r>
            <w:r>
              <w:rPr>
                <w:rFonts w:ascii="Times New Roman" w:hAnsi="Times New Roman" w:cs="Times New Roman"/>
                <w:sz w:val="24"/>
                <w:szCs w:val="24"/>
                <w:lang w:val="en-AU"/>
              </w:rPr>
              <w:t xml:space="preserve">β-Amyrin, </w:t>
            </w:r>
            <w:r>
              <w:rPr>
                <w:rFonts w:ascii="Times New Roman" w:hAnsi="Times New Roman" w:cs="Times New Roman"/>
                <w:sz w:val="24"/>
                <w:szCs w:val="24"/>
              </w:rPr>
              <w:t>lupeol, euphol</w:t>
            </w:r>
          </w:p>
        </w:tc>
        <w:tc>
          <w:tcPr>
            <w:tcW w:w="5607" w:type="dxa"/>
            <w:vAlign w:val="center"/>
          </w:tcPr>
          <w:p w14:paraId="705E6376">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szCs w:val="24"/>
                <w:lang w:val="en-AU"/>
              </w:rPr>
            </w:pPr>
            <w:r>
              <w:rPr>
                <w:rFonts w:ascii="Times New Roman" w:hAnsi="Times New Roman" w:cs="Times New Roman"/>
                <w:sz w:val="24"/>
                <w:szCs w:val="24"/>
                <w:lang w:val="en-AU"/>
              </w:rPr>
              <w:t>Antimicrobial, anti-inflammatory, analgesic effects. Potential use in treating infections, pain, and inflammation.</w:t>
            </w:r>
          </w:p>
        </w:tc>
      </w:tr>
      <w:tr w14:paraId="32840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51BFD808">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lang w:val="en-AU"/>
              </w:rPr>
              <w:t>Saponins</w:t>
            </w:r>
          </w:p>
        </w:tc>
        <w:tc>
          <w:tcPr>
            <w:tcW w:w="1686" w:type="dxa"/>
            <w:vAlign w:val="center"/>
          </w:tcPr>
          <w:p w14:paraId="47CF7B01">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rPr>
              <w:t>Euphordenoside A, hirtusaponin A</w:t>
            </w:r>
          </w:p>
        </w:tc>
        <w:tc>
          <w:tcPr>
            <w:tcW w:w="5607" w:type="dxa"/>
            <w:vAlign w:val="center"/>
          </w:tcPr>
          <w:p w14:paraId="7DAEB5DE">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lang w:val="en-AU"/>
              </w:rPr>
            </w:pPr>
            <w:r>
              <w:rPr>
                <w:rFonts w:ascii="Times New Roman" w:hAnsi="Times New Roman" w:cs="Times New Roman"/>
                <w:sz w:val="24"/>
                <w:szCs w:val="24"/>
                <w:lang w:val="en-AU"/>
              </w:rPr>
              <w:t>Anti-inflammatory, antifungal, antitumor, and cholesterol-lowering properties. Improves digestion, treats diarrhea.</w:t>
            </w:r>
          </w:p>
        </w:tc>
      </w:tr>
      <w:tr w14:paraId="609F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6D055B8B">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lang w:val="en-AU"/>
              </w:rPr>
              <w:t>Tannins</w:t>
            </w:r>
          </w:p>
        </w:tc>
        <w:tc>
          <w:tcPr>
            <w:tcW w:w="1686" w:type="dxa"/>
            <w:vAlign w:val="center"/>
          </w:tcPr>
          <w:p w14:paraId="0195D192">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lang w:val="en-AU"/>
              </w:rPr>
              <w:t xml:space="preserve">Gallic acid, Caffeic acid, </w:t>
            </w:r>
            <w:r>
              <w:rPr>
                <w:rFonts w:ascii="Times New Roman" w:hAnsi="Times New Roman" w:cs="Times New Roman"/>
                <w:sz w:val="24"/>
                <w:szCs w:val="24"/>
              </w:rPr>
              <w:t>Ellagitannins, proanthocyanidins</w:t>
            </w:r>
          </w:p>
        </w:tc>
        <w:tc>
          <w:tcPr>
            <w:tcW w:w="5607" w:type="dxa"/>
            <w:vAlign w:val="center"/>
          </w:tcPr>
          <w:p w14:paraId="6B957B12">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lang w:val="en-AU"/>
              </w:rPr>
            </w:pPr>
            <w:r>
              <w:rPr>
                <w:rFonts w:ascii="Times New Roman" w:hAnsi="Times New Roman" w:cs="Times New Roman"/>
                <w:sz w:val="24"/>
                <w:szCs w:val="24"/>
                <w:lang w:val="en-AU"/>
              </w:rPr>
              <w:t>Antimicrobial, astringent, anti-inflammatory effects. Promotes wound healing, treats gastrointestinal disorders.</w:t>
            </w:r>
          </w:p>
        </w:tc>
      </w:tr>
      <w:tr w14:paraId="58CE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1A85DD7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rPr>
              <w:t>Steroids</w:t>
            </w:r>
          </w:p>
        </w:tc>
        <w:tc>
          <w:tcPr>
            <w:tcW w:w="1686" w:type="dxa"/>
            <w:vAlign w:val="center"/>
          </w:tcPr>
          <w:p w14:paraId="1C8EB14B">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rPr>
              <w:t>β-Sitosterol, stigmasterol, campesterol</w:t>
            </w:r>
          </w:p>
        </w:tc>
        <w:tc>
          <w:tcPr>
            <w:tcW w:w="5607" w:type="dxa"/>
            <w:vAlign w:val="center"/>
          </w:tcPr>
          <w:p w14:paraId="29345C85">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lang w:val="en-AU"/>
              </w:rPr>
            </w:pPr>
            <w:r>
              <w:rPr>
                <w:rFonts w:ascii="Times New Roman" w:hAnsi="Times New Roman" w:cs="Times New Roman"/>
                <w:sz w:val="24"/>
                <w:szCs w:val="24"/>
              </w:rPr>
              <w:t>These compounds help reduce inflammation, fight infections, protect cells from oxidative damage, and may support wound healing.</w:t>
            </w:r>
          </w:p>
        </w:tc>
      </w:tr>
      <w:tr w14:paraId="1430A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dxa"/>
            <w:vAlign w:val="center"/>
          </w:tcPr>
          <w:p w14:paraId="6C10740C">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lang w:val="en-AU"/>
              </w:rPr>
              <w:t>Other Compounds</w:t>
            </w:r>
          </w:p>
        </w:tc>
        <w:tc>
          <w:tcPr>
            <w:tcW w:w="1686" w:type="dxa"/>
            <w:vAlign w:val="center"/>
          </w:tcPr>
          <w:p w14:paraId="4E40DA4F">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sz w:val="24"/>
                <w:szCs w:val="24"/>
                <w:lang w:val="en-AU"/>
              </w:rPr>
            </w:pPr>
            <w:r>
              <w:rPr>
                <w:rFonts w:ascii="Times New Roman" w:hAnsi="Times New Roman" w:cs="Times New Roman"/>
                <w:sz w:val="24"/>
                <w:szCs w:val="24"/>
                <w:lang w:val="en-AU"/>
              </w:rPr>
              <w:t>Sugars, Glycosides, Volatile oils</w:t>
            </w:r>
          </w:p>
        </w:tc>
        <w:tc>
          <w:tcPr>
            <w:tcW w:w="5607" w:type="dxa"/>
            <w:vAlign w:val="center"/>
          </w:tcPr>
          <w:p w14:paraId="2903DC8C">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lang w:val="en-AU"/>
              </w:rPr>
            </w:pPr>
            <w:r>
              <w:rPr>
                <w:rFonts w:ascii="Times New Roman" w:hAnsi="Times New Roman" w:cs="Times New Roman"/>
                <w:sz w:val="24"/>
                <w:szCs w:val="24"/>
                <w:lang w:val="en-AU"/>
              </w:rPr>
              <w:t>Contribute to the plant's overall medicinal effects; however, less studied compared to other compounds.</w:t>
            </w:r>
          </w:p>
        </w:tc>
      </w:tr>
    </w:tbl>
    <w:p w14:paraId="634BE317">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Cs/>
          <w:sz w:val="24"/>
          <w:lang w:val="en-AU"/>
        </w:rPr>
      </w:pPr>
    </w:p>
    <w:p w14:paraId="2096E592">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lang w:val="en-AU"/>
        </w:rPr>
      </w:pPr>
      <w:r>
        <w:rPr>
          <w:rFonts w:ascii="Times New Roman" w:hAnsi="Times New Roman" w:cs="Times New Roman"/>
          <w:bCs/>
          <w:sz w:val="24"/>
          <w:lang w:val="en-AU"/>
        </w:rPr>
        <w:t>Euphorbin and phorbol esters are poisonous substances found in several Euphorbia species, including Euphorbia hirta. These substances, which are mostly present in the plant's latex, can irritate skin, trigger allergic reactions, and occasionally have more serious hazardous effects if consumed or handled incorrectly. While phorbol esters have been connected to inflammation and cellular damage and can be strong tumor promoters, euphorbin in particular is known to irritate the skin. When handling or using plants from the Euphorbia genus, care must be taken because of the presence of these harmful substances. As a result, it should be used with caution, especially when self-medicating. Even though Euphorbia hirta has potential in traditional medicine, more research is necessary to confirm its safety and effectiveness as a treatment (</w:t>
      </w:r>
      <w:r>
        <w:rPr>
          <w:rFonts w:ascii="Times New Roman" w:hAnsi="Times New Roman" w:cs="Times New Roman"/>
          <w:bCs/>
          <w:sz w:val="24"/>
        </w:rPr>
        <w:t>Mali et al., 2017</w:t>
      </w:r>
      <w:r>
        <w:rPr>
          <w:rFonts w:ascii="Times New Roman" w:hAnsi="Times New Roman" w:cs="Times New Roman"/>
          <w:bCs/>
          <w:sz w:val="24"/>
          <w:lang w:val="en-AU"/>
        </w:rPr>
        <w:t>).</w:t>
      </w:r>
    </w:p>
    <w:p w14:paraId="2E0248F7">
      <w:pPr>
        <w:keepNext w:val="0"/>
        <w:keepLines w:val="0"/>
        <w:pageBreakBefore w:val="0"/>
        <w:widowControl/>
        <w:kinsoku/>
        <w:wordWrap/>
        <w:overflowPunct/>
        <w:topLinePunct w:val="0"/>
        <w:autoSpaceDE/>
        <w:autoSpaceDN/>
        <w:bidi w:val="0"/>
        <w:adjustRightInd/>
        <w:snapToGrid/>
        <w:spacing w:after="0" w:line="360" w:lineRule="auto"/>
        <w:ind w:left="0" w:firstLine="720"/>
        <w:jc w:val="both"/>
        <w:rPr>
          <w:rFonts w:ascii="Times New Roman" w:hAnsi="Times New Roman" w:cs="Times New Roman"/>
          <w:bCs/>
          <w:sz w:val="24"/>
          <w:lang w:val="en-AU"/>
        </w:rPr>
      </w:pPr>
      <w:r>
        <w:rPr>
          <w:rFonts w:ascii="Times New Roman" w:hAnsi="Times New Roman" w:cs="Times New Roman"/>
          <w:bCs/>
          <w:sz w:val="24"/>
          <w:lang w:val="en-AU"/>
        </w:rPr>
        <w:t xml:space="preserve">Despite its historical applications, Euphorbia hirta's therapeutic claims are still not well established in the field of cognition caused by diabetes or any other cause. </w:t>
      </w:r>
      <w:r>
        <w:rPr>
          <w:rFonts w:ascii="Times New Roman" w:hAnsi="Times New Roman" w:cs="Times New Roman"/>
          <w:bCs/>
          <w:sz w:val="24"/>
        </w:rPr>
        <w:t>Given its bioactive compounds, it may have potential as a natural remedy in certain therapeutic areas, but further studies and clinical trials are needed to confirm its efficacy and safety.</w:t>
      </w:r>
      <w:r>
        <w:rPr>
          <w:rFonts w:ascii="Times New Roman" w:hAnsi="Times New Roman" w:cs="Times New Roman"/>
          <w:bCs/>
          <w:sz w:val="24"/>
          <w:lang w:val="en-AU"/>
        </w:rPr>
        <w:t xml:space="preserve"> More thorough clinical trials will help to completely comprehend the plant's pharmacological properties and therapeutic efficacy in the field of cognition caused by diabetes (</w:t>
      </w:r>
      <w:r>
        <w:rPr>
          <w:rFonts w:ascii="Times New Roman" w:hAnsi="Times New Roman" w:cs="Times New Roman"/>
          <w:bCs/>
          <w:sz w:val="24"/>
        </w:rPr>
        <w:t>Elisha et al., 2023</w:t>
      </w:r>
      <w:r>
        <w:rPr>
          <w:rFonts w:ascii="Times New Roman" w:hAnsi="Times New Roman" w:cs="Times New Roman"/>
          <w:bCs/>
          <w:sz w:val="24"/>
          <w:lang w:val="en-AU"/>
        </w:rPr>
        <w:t xml:space="preserve">). </w:t>
      </w:r>
    </w:p>
    <w:p w14:paraId="24B09CD6">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Cs/>
          <w:i/>
          <w:iCs/>
          <w:sz w:val="24"/>
          <w:lang w:val="en-AU"/>
        </w:rPr>
      </w:pPr>
      <w:r>
        <w:rPr>
          <w:rFonts w:ascii="Times New Roman" w:hAnsi="Times New Roman" w:cs="Times New Roman"/>
          <w:b/>
          <w:i/>
          <w:iCs/>
          <w:sz w:val="24"/>
          <w:lang w:val="en-AU"/>
        </w:rPr>
        <w:t>3. RESEARCH ENVISAGED</w:t>
      </w:r>
    </w:p>
    <w:p w14:paraId="149269A1">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Cs/>
          <w:sz w:val="24"/>
          <w:lang w:val="en-AU"/>
        </w:rPr>
      </w:pPr>
      <w:r>
        <w:rPr>
          <w:rFonts w:ascii="Times New Roman" w:hAnsi="Times New Roman" w:cs="Times New Roman"/>
          <w:bCs/>
          <w:sz w:val="24"/>
          <w:lang w:val="en-AU"/>
        </w:rPr>
        <w:t>Hyperglycemia is a hallmark of diabetes mellitus, a chronic metabolic disease that causes systemic problems, including cognitive impairment. Numerous factors, including oxidative stress, inflammation, and neuronal loss, contribute to this cognitive impairment, which has a significant negative impact on patients' quality of life. In order to replicate the pathophysiological characteristics of diabetes and its related consequences, such as cognitive impairments, the STZ-induced diabetic rat model is frequently employed.</w:t>
      </w:r>
    </w:p>
    <w:p w14:paraId="377603D5">
      <w:pPr>
        <w:keepNext w:val="0"/>
        <w:keepLines w:val="0"/>
        <w:pageBreakBefore w:val="0"/>
        <w:widowControl/>
        <w:kinsoku/>
        <w:wordWrap/>
        <w:overflowPunct/>
        <w:topLinePunct w:val="0"/>
        <w:autoSpaceDE/>
        <w:autoSpaceDN/>
        <w:bidi w:val="0"/>
        <w:adjustRightInd/>
        <w:snapToGrid/>
        <w:spacing w:after="0" w:line="360" w:lineRule="auto"/>
        <w:ind w:left="0" w:firstLine="720"/>
        <w:jc w:val="both"/>
        <w:rPr>
          <w:rFonts w:ascii="Times New Roman" w:hAnsi="Times New Roman" w:cs="Times New Roman"/>
          <w:bCs/>
          <w:sz w:val="24"/>
          <w:lang w:val="en-AU"/>
        </w:rPr>
      </w:pPr>
      <w:r>
        <w:rPr>
          <w:rFonts w:ascii="Times New Roman" w:hAnsi="Times New Roman" w:cs="Times New Roman"/>
          <w:bCs/>
          <w:sz w:val="24"/>
          <w:lang w:val="en-AU"/>
        </w:rPr>
        <w:t>Euphorbia hirta, a medicinal plant rich in bioactive components such as flavonoids, tannins, alkaloids, and steroids, has shown notable antioxidant, anti-inflammatory, and neuroprotective properties, demonstrating the therapeutic potential of natural products. Euphorbia hirta might have potentially encouraging results in reducing the problems associated with diabetes. Its possible contribution to reducing the cognitive impairment linked to diabetes is still largely unknown, though. In order to fill this information gap, this research work uses a streptozotocin-induced diabetic albino wistar rat model to investigate how Euphorbia hirta can reduce cognitive impairment. By clarifying Euphorbia hirta's therapeutic potential, this study hopes to advance the creation of substitute therapies for diabetes-related cognitive impairment, thereby enhancing the health and wellbeing of those who are impacted.</w:t>
      </w:r>
    </w:p>
    <w:p w14:paraId="54B9A6C6">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60F58098">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78645C45">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FAA770A">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772C76DA">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ECB8EE1">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B2F069D">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ACA5520">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65D591AB">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97AFEB7">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249F163E">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52AE5E0">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368DF09F">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4D16043C">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74C2F6F3">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325346F5">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193411D6">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62B3C28E">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7AB2AA83">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037CFF7">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86192FB">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AA7D4C3">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5E25866">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5BE15D6">
      <w:pPr>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sz w:val="24"/>
          <w:lang w:val="en-AU"/>
        </w:rPr>
      </w:pPr>
      <w:r>
        <w:rPr>
          <w:rFonts w:hint="default" w:ascii="Times New Roman" w:hAnsi="Times New Roman" w:cs="Times New Roman"/>
          <w:b/>
          <w:sz w:val="24"/>
          <w:lang w:val="en-IN"/>
        </w:rPr>
        <w:t xml:space="preserve">2 </w:t>
      </w:r>
      <w:r>
        <w:rPr>
          <w:rFonts w:ascii="Times New Roman" w:hAnsi="Times New Roman" w:cs="Times New Roman"/>
          <w:b/>
          <w:sz w:val="24"/>
          <w:lang w:val="en-AU"/>
        </w:rPr>
        <w:t xml:space="preserve">LITERATURE REVIEW </w:t>
      </w:r>
    </w:p>
    <w:p w14:paraId="4033104F">
      <w:pPr>
        <w:keepNext w:val="0"/>
        <w:keepLines w:val="0"/>
        <w:pageBreakBefore w:val="0"/>
        <w:widowControl/>
        <w:kinsoku/>
        <w:wordWrap/>
        <w:overflowPunct/>
        <w:topLinePunct w:val="0"/>
        <w:autoSpaceDE/>
        <w:autoSpaceDN/>
        <w:bidi w:val="0"/>
        <w:adjustRightInd/>
        <w:snapToGrid/>
        <w:spacing w:after="0" w:line="360" w:lineRule="auto"/>
        <w:ind w:left="0"/>
        <w:jc w:val="center"/>
        <w:rPr>
          <w:rFonts w:ascii="Times New Roman" w:hAnsi="Times New Roman" w:cs="Times New Roman"/>
          <w:b/>
          <w:sz w:val="24"/>
          <w:lang w:val="en-AU"/>
        </w:rPr>
      </w:pPr>
    </w:p>
    <w:p w14:paraId="7BDD6212">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Bodiga, Kalangi, and Tayade (2015)</w:t>
      </w:r>
      <w:r>
        <w:rPr>
          <w:rFonts w:ascii="Times New Roman" w:hAnsi="Times New Roman" w:cs="Times New Roman"/>
          <w:sz w:val="24"/>
          <w:szCs w:val="24"/>
        </w:rPr>
        <w:t xml:space="preserve"> investigates the potential of Euphorbia Hirta in alleviating diabetic neuropathic pain using streptozotocin-induced diabetic rats. Findings indicate that Euphorbia Hirta treatment significantly reduces neuropathic pain symptoms, improves nerve morphology, and reduces inflammation in diabetic rats. Biochemical assays reveal a decrease in oxidative stress markers and pro-inflammatory cytokines in nerve tissues of treated rats, suggesting anti-inflammatory and antioxidant properties of Euphorbia Hirta. These results underscore the neuroprotective potential of Euphorbia Hirta against diabetic neuropathic pain, offering insights into its therapeutic application for alleviating cognitive dysfunction associated with diabetes. </w:t>
      </w:r>
    </w:p>
    <w:p w14:paraId="10EE4F62">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Balogun, Oboh, and Saheed (2017)</w:t>
      </w:r>
      <w:r>
        <w:rPr>
          <w:rFonts w:ascii="Times New Roman" w:hAnsi="Times New Roman" w:cs="Times New Roman"/>
          <w:sz w:val="24"/>
          <w:szCs w:val="24"/>
        </w:rPr>
        <w:t xml:space="preserve"> investigates the impact of Euphorbia Hirta on cognitive function in streptozotocin-induced diabetic rats. Through behavioral assessments and biochemical analyses, the study reveals that treatment with Euphorbia Hirta extract improves cognitive function in diabetic rats compared to untreated diabetic controls. Furthermore, the neuroprotective effects of Euphorbia Hirta are attributed to its ability to attenuate oxidative stress and inflammation in the brain, as evidenced by reductions in lipid peroxidation and proinflammatory cytokine levels. These findings suggest that Euphorbia Hirta holds promise as a therapeutic agent for mitigating cognitive dysfunction associated with diabetes, providing valuable insights into its mechanisms of action and potential clinical applications. </w:t>
      </w:r>
    </w:p>
    <w:p w14:paraId="30941568">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Srinivasan and Rajagopal (2014)</w:t>
      </w:r>
      <w:r>
        <w:rPr>
          <w:rFonts w:ascii="Times New Roman" w:hAnsi="Times New Roman" w:cs="Times New Roman"/>
          <w:sz w:val="24"/>
          <w:szCs w:val="24"/>
        </w:rPr>
        <w:t xml:space="preserve"> explores the streptozotocin-induced diabetic rat model as a valuable tool for investigating oxidative stress in the brain. This model, widely used in diabetes research, mimics several aspects of human diabetic neuropathology, making it suitable for studying neurodegenerative complications associated with diabetes, including cognitive dysfunction. The review discusses various biochemical markers of oxidative stress measured in the brain tissue of streptozotocin-induced diabetic rats, highlighting alterations in antioxidant enzyme activities, lipid peroxidation levels, and reactive oxygen species production. By elucidating the pathophysiological mechanisms underlying oxidative stress-induced neuronal damage in diabetes, this review provides essential insights into potential therapeutic interventions, such as Euphorbia Hirta, for mitigating cognitive dysfunction in diabetic individuals. </w:t>
      </w:r>
    </w:p>
    <w:p w14:paraId="4C099FDA">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Ilango and Panchanadham (2016)</w:t>
      </w:r>
      <w:r>
        <w:rPr>
          <w:rFonts w:ascii="Times New Roman" w:hAnsi="Times New Roman" w:cs="Times New Roman"/>
          <w:sz w:val="24"/>
          <w:szCs w:val="24"/>
        </w:rPr>
        <w:t xml:space="preserve"> explores the neuroprotective potential of natural products, including medicinal plants like Euphorbia Hirta, in mitigating diabetic neuropathy. By summarizing findings from preclinical and clinical studies, the review highlights the multifaceted mechanisms by which natural products exert their neuroprotective effects, including antioxidant, anti-inflammatory, and neurotrophic activities. Specifically, the review discusses the relevance of natural products in ameliorating oxidative stress, reducing neuroinflammation, and preserving neuronal integrity in diabetic neuropathy. Through its comprehensive examination of the therapeutic potential of natural products, this review underscores the importance of exploring alternative treatment modalities for managing diabetic complications, including cognitive dysfunction, thereby providing valuable insights into potential avenues for improving the quality of life of diabetic patients. </w:t>
      </w:r>
    </w:p>
    <w:p w14:paraId="2B62A2CE">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b/>
          <w:sz w:val="28"/>
          <w:szCs w:val="24"/>
          <w:lang w:val="en-AU"/>
        </w:rPr>
      </w:pPr>
      <w:r>
        <w:rPr>
          <w:rFonts w:ascii="Times New Roman" w:hAnsi="Times New Roman" w:cs="Times New Roman"/>
          <w:b/>
          <w:bCs/>
          <w:i/>
          <w:sz w:val="24"/>
          <w:szCs w:val="24"/>
        </w:rPr>
        <w:t>Aliyu R, Amadu A, Musa KY, (2011)</w:t>
      </w:r>
      <w:r>
        <w:rPr>
          <w:rFonts w:ascii="Times New Roman" w:hAnsi="Times New Roman" w:cs="Times New Roman"/>
          <w:sz w:val="24"/>
          <w:szCs w:val="24"/>
        </w:rPr>
        <w:t xml:space="preserve"> This study investigates the antidiabetic activity of Euphorbia hirta whole plant extracts in alloxan-induced diabetic rats. Results indicate significant reductions in blood glucose levels and improvements in lipid profile in diabetic rats treated with Euphorbia hirta extracts. These findings support the potential therapeutic use of Euphorbia hirta in managing diabetes and its associated complications, including cognitive dysfunction.</w:t>
      </w:r>
    </w:p>
    <w:p w14:paraId="05D9C0DF">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 xml:space="preserve">Elisha </w:t>
      </w:r>
      <w:r>
        <w:rPr>
          <w:rStyle w:val="6"/>
          <w:rFonts w:ascii="Times New Roman" w:hAnsi="Times New Roman" w:cs="Times New Roman"/>
          <w:b/>
          <w:bCs/>
          <w:i/>
          <w:iCs w:val="0"/>
          <w:sz w:val="24"/>
          <w:szCs w:val="24"/>
        </w:rPr>
        <w:t>et al.</w:t>
      </w:r>
      <w:r>
        <w:rPr>
          <w:rFonts w:ascii="Times New Roman" w:hAnsi="Times New Roman" w:cs="Times New Roman"/>
          <w:b/>
          <w:bCs/>
          <w:i/>
          <w:sz w:val="24"/>
          <w:szCs w:val="24"/>
        </w:rPr>
        <w:t xml:space="preserve"> (2023)</w:t>
      </w:r>
      <w:r>
        <w:rPr>
          <w:sz w:val="24"/>
          <w:szCs w:val="24"/>
        </w:rPr>
        <w:t xml:space="preserve"> </w:t>
      </w:r>
      <w:r>
        <w:rPr>
          <w:rFonts w:ascii="Times New Roman" w:hAnsi="Times New Roman" w:cs="Times New Roman"/>
          <w:sz w:val="24"/>
          <w:szCs w:val="24"/>
        </w:rPr>
        <w:t xml:space="preserve">conducted a 30-year bibliometric analysis of </w:t>
      </w:r>
      <w:r>
        <w:rPr>
          <w:rFonts w:ascii="Times New Roman" w:hAnsi="Times New Roman" w:cs="Times New Roman"/>
          <w:i/>
          <w:iCs/>
          <w:sz w:val="24"/>
          <w:szCs w:val="24"/>
        </w:rPr>
        <w:t>Euphorbia hirta</w:t>
      </w:r>
      <w:r>
        <w:rPr>
          <w:rFonts w:ascii="Times New Roman" w:hAnsi="Times New Roman" w:cs="Times New Roman"/>
          <w:sz w:val="24"/>
          <w:szCs w:val="24"/>
        </w:rPr>
        <w:t xml:space="preserve"> research, highlighting trends in publication volume, citation impact, and emerging research themes. Their study underscores </w:t>
      </w:r>
      <w:r>
        <w:rPr>
          <w:rFonts w:ascii="Times New Roman" w:hAnsi="Times New Roman" w:cs="Times New Roman"/>
          <w:i/>
          <w:iCs/>
          <w:sz w:val="24"/>
          <w:szCs w:val="24"/>
        </w:rPr>
        <w:t>E. hirta</w:t>
      </w:r>
      <w:r>
        <w:rPr>
          <w:rFonts w:ascii="Times New Roman" w:hAnsi="Times New Roman" w:cs="Times New Roman"/>
          <w:sz w:val="24"/>
          <w:szCs w:val="24"/>
        </w:rPr>
        <w:t>'s significance in complementary medicine, revealing its increasing global interest, particularly in pharmacological studies and therapeutic applications.</w:t>
      </w:r>
    </w:p>
    <w:p w14:paraId="596EC5D2">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 xml:space="preserve">Nouwen </w:t>
      </w:r>
      <w:r>
        <w:rPr>
          <w:rFonts w:ascii="Times New Roman" w:hAnsi="Times New Roman" w:cs="Times New Roman"/>
          <w:b/>
          <w:bCs/>
          <w:i/>
          <w:iCs/>
          <w:sz w:val="24"/>
          <w:szCs w:val="24"/>
        </w:rPr>
        <w:t>et al.</w:t>
      </w:r>
      <w:r>
        <w:rPr>
          <w:rFonts w:ascii="Times New Roman" w:hAnsi="Times New Roman" w:cs="Times New Roman"/>
          <w:b/>
          <w:bCs/>
          <w:i/>
          <w:sz w:val="24"/>
          <w:szCs w:val="24"/>
        </w:rPr>
        <w:t xml:space="preserve"> (2011)</w:t>
      </w:r>
      <w:r>
        <w:rPr>
          <w:rFonts w:ascii="Times New Roman" w:hAnsi="Times New Roman" w:cs="Times New Roman"/>
          <w:sz w:val="24"/>
          <w:szCs w:val="24"/>
        </w:rPr>
        <w:t xml:space="preserve"> conducted a systematic review and meta-analysis to determine the prevalence of depression in individuals with impaired glucose metabolism or undiagnosed diabetes. Findings revealed a higher prevalence of depression in these populations compared to normoglycemic individuals, emphasizing the importance of early detection and mental health management in diabetes care.</w:t>
      </w:r>
    </w:p>
    <w:p w14:paraId="6B038F76">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 xml:space="preserve">Geldsetzer </w:t>
      </w:r>
      <w:r>
        <w:rPr>
          <w:rFonts w:ascii="Times New Roman" w:hAnsi="Times New Roman" w:cs="Times New Roman"/>
          <w:b/>
          <w:bCs/>
          <w:i/>
          <w:iCs/>
          <w:sz w:val="24"/>
          <w:szCs w:val="24"/>
        </w:rPr>
        <w:t>et al.</w:t>
      </w:r>
      <w:r>
        <w:rPr>
          <w:rFonts w:ascii="Times New Roman" w:hAnsi="Times New Roman" w:cs="Times New Roman"/>
          <w:b/>
          <w:bCs/>
          <w:i/>
          <w:sz w:val="24"/>
          <w:szCs w:val="24"/>
        </w:rPr>
        <w:t xml:space="preserve"> (2018)</w:t>
      </w:r>
      <w:r>
        <w:rPr>
          <w:rFonts w:ascii="Times New Roman" w:hAnsi="Times New Roman" w:cs="Times New Roman"/>
          <w:sz w:val="24"/>
          <w:szCs w:val="24"/>
        </w:rPr>
        <w:t xml:space="preserve"> conducted a nationally representative study of 1.3 million adults across India, published in JAMA Internal Medicine (2018), highlights the significant burden of diabetes and hypertension in the country. The findings reveal a high prevalence of both conditions, with substantial regional variation—southern and more developed states exhibiting higher rates. Alarmingly, a large proportion of individuals remain undiagnosed, leading to a lack of appropriate treatment and management. The study identifies key risk factors, including age, gender, socioeconomic status, and urbanization, which contribute to disease prevalence. These findings underscore the urgent need for improved screening, diagnosis, and healthcare strategies to tackle the growing epidemic of non-communicable diseases in India.</w:t>
      </w:r>
    </w:p>
    <w:p w14:paraId="0C16F441">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color w:val="222222"/>
          <w:sz w:val="24"/>
          <w:szCs w:val="24"/>
          <w:shd w:val="clear" w:color="auto" w:fill="FFFFFF"/>
        </w:rPr>
        <w:t>Danaei et al., (2011)</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This systematic analysis, published in </w:t>
      </w:r>
      <w:r>
        <w:rPr>
          <w:rFonts w:ascii="Times New Roman" w:hAnsi="Times New Roman" w:cs="Times New Roman"/>
          <w:i/>
          <w:iCs/>
          <w:sz w:val="24"/>
          <w:szCs w:val="24"/>
        </w:rPr>
        <w:t>The Lancet</w:t>
      </w:r>
      <w:r>
        <w:rPr>
          <w:rFonts w:ascii="Times New Roman" w:hAnsi="Times New Roman" w:cs="Times New Roman"/>
          <w:sz w:val="24"/>
          <w:szCs w:val="24"/>
        </w:rPr>
        <w:t xml:space="preserve"> (2011), examines national, regional, and global trends in fasting plasma glucose levels and diabetes prevalence from 1980 to 2008. Based on health examination surveys and epidemiological studies covering 370 country-years and 2.7 million participants, the study reveals a substantial global rise in fasting plasma glucose and diabetes prevalence over the past three decades. The findings highlight significant regional variations, with the largest increases observed in low- and middle-income countries, particularly in South Asia, the Middle East, and North Africa. The global prevalence of diabetes has nearly doubled, driven by population growth, aging, and lifestyle-related risk factors such as poor diet and reduced physical activity. These results emphasize the growing burden of diabetes as a public health challenge worldwide and call for urgent interventions to address metabolic risk factors through effective prevention and management strategies.</w:t>
      </w:r>
    </w:p>
    <w:p w14:paraId="7D8311F4">
      <w:pPr>
        <w:pStyle w:val="13"/>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jc w:val="both"/>
        <w:rPr>
          <w:rFonts w:ascii="Times New Roman" w:hAnsi="Times New Roman" w:cs="Times New Roman"/>
          <w:sz w:val="24"/>
          <w:szCs w:val="24"/>
        </w:rPr>
      </w:pPr>
      <w:r>
        <w:rPr>
          <w:rFonts w:ascii="Times New Roman" w:hAnsi="Times New Roman" w:cs="Times New Roman"/>
          <w:b/>
          <w:bCs/>
          <w:i/>
          <w:sz w:val="24"/>
          <w:szCs w:val="24"/>
        </w:rPr>
        <w:t>Ahmad et al. (2017)</w:t>
      </w:r>
      <w:r>
        <w:rPr>
          <w:rFonts w:ascii="Times New Roman" w:hAnsi="Times New Roman" w:cs="Times New Roman"/>
          <w:sz w:val="24"/>
          <w:szCs w:val="24"/>
        </w:rPr>
        <w:t xml:space="preserve"> This study, published in </w:t>
      </w:r>
      <w:r>
        <w:rPr>
          <w:rFonts w:ascii="Times New Roman" w:hAnsi="Times New Roman" w:cs="Times New Roman"/>
          <w:i/>
          <w:iCs/>
          <w:sz w:val="24"/>
          <w:szCs w:val="24"/>
        </w:rPr>
        <w:t>Journal of Medicinal Plants Studies</w:t>
      </w:r>
      <w:r>
        <w:rPr>
          <w:rFonts w:ascii="Times New Roman" w:hAnsi="Times New Roman" w:cs="Times New Roman"/>
          <w:sz w:val="24"/>
          <w:szCs w:val="24"/>
        </w:rPr>
        <w:t xml:space="preserve"> (2017), focuses on the phytochemical screening and antimicrobial activity of </w:t>
      </w:r>
      <w:r>
        <w:rPr>
          <w:rFonts w:ascii="Times New Roman" w:hAnsi="Times New Roman" w:cs="Times New Roman"/>
          <w:i/>
          <w:iCs/>
          <w:sz w:val="24"/>
          <w:szCs w:val="24"/>
        </w:rPr>
        <w:t>Euphorbia hirta</w:t>
      </w:r>
      <w:r>
        <w:rPr>
          <w:rFonts w:ascii="Times New Roman" w:hAnsi="Times New Roman" w:cs="Times New Roman"/>
          <w:sz w:val="24"/>
          <w:szCs w:val="24"/>
        </w:rPr>
        <w:t xml:space="preserve"> extracts. The phytochemical analysis revealed the presence of bioactive compounds such as flavonoids, alkaloids, tannins, saponins, and phenols, which are known for their therapeutic properties. The antimicrobial study demonstrated significant activity of the plant extracts against a range of bacterial and fungal strains, highlighting their potential as natural antimicrobial agents. The findings suggest that </w:t>
      </w:r>
      <w:r>
        <w:rPr>
          <w:rFonts w:ascii="Times New Roman" w:hAnsi="Times New Roman" w:cs="Times New Roman"/>
          <w:i/>
          <w:iCs/>
          <w:sz w:val="24"/>
          <w:szCs w:val="24"/>
        </w:rPr>
        <w:t>Euphorbia hirta</w:t>
      </w:r>
      <w:r>
        <w:rPr>
          <w:rFonts w:ascii="Times New Roman" w:hAnsi="Times New Roman" w:cs="Times New Roman"/>
          <w:sz w:val="24"/>
          <w:szCs w:val="24"/>
        </w:rPr>
        <w:t xml:space="preserve"> could serve as a promising source of bioactive compounds for developing alternative treatments to combat microbial infections, encouraging further research and exploration of its medicinal applications.</w:t>
      </w:r>
    </w:p>
    <w:p w14:paraId="27490749">
      <w:pPr>
        <w:pStyle w:val="13"/>
        <w:keepNext w:val="0"/>
        <w:keepLines w:val="0"/>
        <w:pageBreakBefore w:val="0"/>
        <w:widowControl/>
        <w:kinsoku/>
        <w:wordWrap/>
        <w:overflowPunct/>
        <w:topLinePunct w:val="0"/>
        <w:autoSpaceDE/>
        <w:autoSpaceDN/>
        <w:bidi w:val="0"/>
        <w:adjustRightInd/>
        <w:snapToGrid/>
        <w:spacing w:after="0" w:line="360" w:lineRule="auto"/>
        <w:ind w:left="0"/>
        <w:jc w:val="both"/>
        <w:rPr>
          <w:rFonts w:ascii="Times New Roman" w:hAnsi="Times New Roman" w:cs="Times New Roman"/>
          <w:b/>
          <w:sz w:val="28"/>
          <w:szCs w:val="24"/>
          <w:lang w:val="en-AU"/>
        </w:rPr>
      </w:pPr>
    </w:p>
    <w:p w14:paraId="31FEDD09">
      <w:pPr>
        <w:keepNext w:val="0"/>
        <w:keepLines w:val="0"/>
        <w:pageBreakBefore w:val="0"/>
        <w:widowControl/>
        <w:kinsoku/>
        <w:wordWrap/>
        <w:overflowPunct/>
        <w:topLinePunct w:val="0"/>
        <w:autoSpaceDE/>
        <w:autoSpaceDN/>
        <w:bidi w:val="0"/>
        <w:adjustRightInd/>
        <w:snapToGrid/>
        <w:spacing w:after="0" w:line="360" w:lineRule="auto"/>
        <w:ind w:left="0"/>
        <w:rPr>
          <w:rFonts w:ascii="Times New Roman" w:hAnsi="Times New Roman" w:cs="Times New Roman"/>
          <w:b/>
          <w:sz w:val="24"/>
          <w:lang w:val="en-AU"/>
        </w:rPr>
      </w:pPr>
      <w:r>
        <w:rPr>
          <w:rFonts w:ascii="Times New Roman" w:hAnsi="Times New Roman" w:cs="Times New Roman"/>
          <w:b/>
          <w:sz w:val="24"/>
          <w:lang w:val="en-AU"/>
        </w:rPr>
        <w:br w:type="page"/>
      </w:r>
    </w:p>
    <w:p w14:paraId="7536C399">
      <w:pPr>
        <w:keepNext w:val="0"/>
        <w:keepLines w:val="0"/>
        <w:pageBreakBefore w:val="0"/>
        <w:widowControl/>
        <w:kinsoku/>
        <w:wordWrap/>
        <w:overflowPunct/>
        <w:topLinePunct w:val="0"/>
        <w:autoSpaceDE/>
        <w:autoSpaceDN/>
        <w:bidi w:val="0"/>
        <w:adjustRightInd/>
        <w:snapToGrid/>
        <w:spacing w:after="0" w:line="360" w:lineRule="auto"/>
        <w:ind w:left="0"/>
        <w:rPr>
          <w:rFonts w:hint="default" w:ascii="Times New Roman" w:hAnsi="Times New Roman" w:cs="Times New Roman"/>
          <w:b/>
          <w:sz w:val="24"/>
          <w:lang w:val="en-IN"/>
        </w:rPr>
      </w:pPr>
      <w:r>
        <w:rPr>
          <w:rFonts w:hint="default" w:ascii="Times New Roman" w:hAnsi="Times New Roman" w:cs="Times New Roman"/>
          <w:b/>
          <w:sz w:val="24"/>
          <w:lang w:val="en-IN"/>
        </w:rPr>
        <w:t xml:space="preserve">3 </w:t>
      </w:r>
      <w:r>
        <w:rPr>
          <w:rFonts w:ascii="Times New Roman" w:hAnsi="Times New Roman" w:cs="Times New Roman"/>
          <w:b/>
          <w:sz w:val="24"/>
        </w:rPr>
        <w:t>Aim</w:t>
      </w:r>
      <w:r>
        <w:rPr>
          <w:rFonts w:hint="default" w:ascii="Times New Roman" w:hAnsi="Times New Roman" w:cs="Times New Roman"/>
          <w:b/>
          <w:sz w:val="24"/>
          <w:lang w:val="en-IN"/>
        </w:rPr>
        <w:t xml:space="preserve"> and Objectives</w:t>
      </w:r>
    </w:p>
    <w:p w14:paraId="58022FE0">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sz w:val="24"/>
          <w:lang w:val="en-IN"/>
        </w:rPr>
      </w:pPr>
      <w:r>
        <w:rPr>
          <w:rFonts w:hint="default" w:ascii="Times New Roman" w:hAnsi="Times New Roman" w:cs="Times New Roman"/>
          <w:bCs/>
          <w:sz w:val="24"/>
        </w:rPr>
        <w:t>Diabetes mellitus (DM) represents a significant global health challenge, with its prevalence reaching epidemic proportions worldwide. The International Diabetes Federation (IDF) estimates that approximately 537 million adults were living with diabetes in 2021, with projections suggesting this number could rise to 783 million by 2045 (IDF Diabetes Atlas, 10th edition, 2021). In India alone, the diabetic population has shown an alarming increase from 77 million in 2019 to an estimated 101 million in 2021, making it the country with the second highest number of diabetes cases globally</w:t>
      </w:r>
      <w:r>
        <w:rPr>
          <w:rFonts w:hint="default" w:ascii="Times New Roman" w:hAnsi="Times New Roman" w:cs="Times New Roman"/>
          <w:bCs/>
          <w:sz w:val="24"/>
          <w:lang w:val="en-IN"/>
        </w:rPr>
        <w:t>.</w:t>
      </w:r>
    </w:p>
    <w:p w14:paraId="769D5676">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sz w:val="24"/>
        </w:rPr>
      </w:pPr>
      <w:r>
        <w:rPr>
          <w:rFonts w:hint="default" w:ascii="Times New Roman" w:hAnsi="Times New Roman" w:cs="Times New Roman"/>
          <w:bCs/>
          <w:sz w:val="24"/>
        </w:rPr>
        <w:t>Beyond its well-characterized metabolic disturbances, diabetes mellitus is increasingly recognized as a risk factor for cognitive dysfunction and neurodegenerative disorders. Numerous epidemiological studies have demonstrated that individuals with type 2 diabetes mellitus (T2DM) exhibit a 1.5- to 2.5-fold increased risk of developing dementia compared to non-diabetic individuals (Biessels et al., 2020). The pathogenesis of diabetes-associated cognitive impairment involves multiple mechanisms, including chronic hyperglycemia, insulin resistance, oxidative stress, neuroinflammation, and vascular dysfunction</w:t>
      </w:r>
      <w:r>
        <w:rPr>
          <w:rFonts w:hint="default" w:ascii="Times New Roman" w:hAnsi="Times New Roman" w:cs="Times New Roman"/>
          <w:bCs/>
          <w:sz w:val="24"/>
          <w:lang w:val="en-IN"/>
        </w:rPr>
        <w:t>.</w:t>
      </w:r>
      <w:r>
        <w:rPr>
          <w:rFonts w:hint="default" w:ascii="Times New Roman" w:hAnsi="Times New Roman" w:cs="Times New Roman"/>
          <w:bCs/>
          <w:sz w:val="24"/>
        </w:rPr>
        <w:t>Current therapeutic strategies for managing diabetes-related cognitive impairment remain limited. While conventional antidiabetic medications such as metformin, sulfonylureas, and insulin effectively control blood glucose levels, their impact on cognitive function is variable and often insufficient (Cukierman-Yaffe et al., 2020). This therapeutic gap has spurred interest in exploring alternative approaches, particularly phytotherapeutic interventions with potential neuroprotective properties.</w:t>
      </w:r>
    </w:p>
    <w:p w14:paraId="64194C39">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bCs w:val="0"/>
          <w:sz w:val="24"/>
        </w:rPr>
      </w:pPr>
      <w:r>
        <w:rPr>
          <w:rFonts w:hint="default" w:ascii="Times New Roman" w:hAnsi="Times New Roman" w:cs="Times New Roman"/>
          <w:b/>
          <w:bCs w:val="0"/>
          <w:sz w:val="24"/>
        </w:rPr>
        <w:t>3.2 Rationale for the Study</w:t>
      </w:r>
    </w:p>
    <w:p w14:paraId="7296245F">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Cs/>
          <w:sz w:val="24"/>
          <w:lang w:val="en-IN"/>
        </w:rPr>
      </w:pPr>
      <w:r>
        <w:rPr>
          <w:rFonts w:hint="default" w:ascii="Times New Roman" w:hAnsi="Times New Roman" w:cs="Times New Roman"/>
          <w:bCs/>
          <w:sz w:val="24"/>
        </w:rPr>
        <w:t>Euphorbia hirta Linn., commonly known as asthma weed or snake weed, is a medicinal plant belonging to the Euphorbiaceae family. Traditionally used in various indigenous medical systems, this plant has demonstrated numerous pharmacological activities, including antidiabetic, anti-inflammatory, and antioxidant properties (Ismail et al., 2019). Recent phytochemical analyses have identified several bioactive compounds in Euphorbia hirta, including flavonoids (quercetin, kaempferol), tannins (gallic acid, ellagic acid), and terpenoids (β-amyrin, euphol), which may contribute to its therapeutic potentia</w:t>
      </w:r>
      <w:r>
        <w:rPr>
          <w:rFonts w:hint="default" w:ascii="Times New Roman" w:hAnsi="Times New Roman" w:cs="Times New Roman"/>
          <w:bCs/>
          <w:sz w:val="24"/>
          <w:lang w:val="en-IN"/>
        </w:rPr>
        <w:t xml:space="preserve">. </w:t>
      </w:r>
      <w:r>
        <w:rPr>
          <w:rFonts w:hint="default" w:ascii="Times New Roman" w:hAnsi="Times New Roman" w:cs="Times New Roman"/>
          <w:bCs/>
          <w:sz w:val="24"/>
        </w:rPr>
        <w:t>Despite these promising characteristics, the specific effects of Euphorbia hirta on diabetes-associated cognitive impairment remain poorly understood. This represents a significant knowledge gap, particularly considering the growing burden of diabetes-related neurological complications and the limitations of current therapeutic options. The streptozotocin (STZ)-induced diabetic rat model provides a well-established experimental system for investigating diabetes-associated cognitive dysfunction, as it recapitulates many of the metabolic and neurological features observed in human T2DM</w:t>
      </w:r>
      <w:r>
        <w:rPr>
          <w:rFonts w:hint="default" w:ascii="Times New Roman" w:hAnsi="Times New Roman" w:cs="Times New Roman"/>
          <w:bCs/>
          <w:sz w:val="24"/>
          <w:lang w:val="en-IN"/>
        </w:rPr>
        <w:t>.</w:t>
      </w:r>
    </w:p>
    <w:p w14:paraId="45139389">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bCs w:val="0"/>
          <w:sz w:val="24"/>
        </w:rPr>
      </w:pPr>
      <w:r>
        <w:rPr>
          <w:rFonts w:hint="default" w:ascii="Times New Roman" w:hAnsi="Times New Roman" w:cs="Times New Roman"/>
          <w:b/>
          <w:bCs w:val="0"/>
          <w:sz w:val="24"/>
        </w:rPr>
        <w:t>3.3 Aim</w:t>
      </w:r>
    </w:p>
    <w:p w14:paraId="3BCC4F8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Cs/>
          <w:sz w:val="24"/>
        </w:rPr>
        <w:t>The primary aim of this study is to comprehensively investigate the potential neuroprotective effects of Euphorbia hirta in ameliorating cognitive dysfunction associated with diabetes mellitus using a streptozotocin (STZ)-induced rat model. The study will focus on elucidating the underlying mechanisms, particularly emphasizing the modulation of oxidative stress pathways and their correlation with behavioral outcomes.</w:t>
      </w:r>
    </w:p>
    <w:p w14:paraId="00C1E12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3.4 Objectives</w:t>
      </w:r>
    </w:p>
    <w:p w14:paraId="518B370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To establish and characterize a robust animal model of diabetes-associated cognitive impairment</w:t>
      </w:r>
    </w:p>
    <w:p w14:paraId="4D8BA2E2">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Induce diabetes in adult male Wistar rats using streptozotocin (STZ) administration (55 mg/kg, intraperitoneal)</w:t>
      </w:r>
    </w:p>
    <w:p w14:paraId="413153A6">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Monitor and confirm the development of diabetes through measurement of fasting blood glucose levels (≥250 mg/dL considered diabetic)</w:t>
      </w:r>
    </w:p>
    <w:p w14:paraId="0839611A">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Assess the temporal progression of cognitive deficits using standardized behavioral paradigms</w:t>
      </w:r>
    </w:p>
    <w:p w14:paraId="088B8B9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To evaluate the dose-dependent effects of Euphorbia hirta extract on cognitive function in diabetic rats</w:t>
      </w:r>
    </w:p>
    <w:p w14:paraId="7D9C26A3">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Prepare standardized hydroalcoholic extract of Euphorbia hirta aerial parts</w:t>
      </w:r>
    </w:p>
    <w:p w14:paraId="017B08C2">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Administer three different doses (200, 300, and 400 mg/kg/day, orally) to separate groups of diabetic rats</w:t>
      </w:r>
    </w:p>
    <w:p w14:paraId="366326A4">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Include appropriate control groups (non-diabetic, diabetic untreated, and metformin-treated)</w:t>
      </w:r>
    </w:p>
    <w:p w14:paraId="109F2A4D">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Conduct comprehensive behavioral assessments at regular intervals</w:t>
      </w:r>
    </w:p>
    <w:p w14:paraId="6F268BD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To investigate the effects of Euphorbia hirta on oxidative stress parameters in brain tissue</w:t>
      </w:r>
    </w:p>
    <w:p w14:paraId="342F6C53">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Measure markers of oxidative damage including malondialdehyde (MDA) and protein carbonyl content</w:t>
      </w:r>
    </w:p>
    <w:p w14:paraId="79353F97">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Assess antioxidant defense systems including reduced glutathione (GSH) levels and catalase activity</w:t>
      </w:r>
    </w:p>
    <w:p w14:paraId="3F630FBB">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Evaluate acetylcholinesterase (AChE) activity as a marker of cholinergic function</w:t>
      </w:r>
    </w:p>
    <w:p w14:paraId="1C8C87FE">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To examine the neuroprotective potential of Euphorbia hirta through histopathological analysis</w:t>
      </w:r>
    </w:p>
    <w:p w14:paraId="3C4A2709">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Process brain tissue for histological examination</w:t>
      </w:r>
    </w:p>
    <w:p w14:paraId="3A564B24">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Evaluate hippocampal neuronal integrity using hematoxylin and eosin staining</w:t>
      </w:r>
    </w:p>
    <w:p w14:paraId="172E18C9">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Assess potential neuroinflammatory changes through immunohistochemical markers</w:t>
      </w:r>
    </w:p>
    <w:p w14:paraId="0C793653">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To correlate biochemical parameters with behavioral outcomes</w:t>
      </w:r>
    </w:p>
    <w:p w14:paraId="1A4F779D">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Perform statistical analysis to determine relationships between oxidative stress markers and cognitive performance</w:t>
      </w:r>
    </w:p>
    <w:p w14:paraId="5689977A">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Establish potential predictive biomarkers for cognitive improvement</w:t>
      </w:r>
    </w:p>
    <w:p w14:paraId="2790C9F2">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3.5 Hypothesis</w:t>
      </w:r>
    </w:p>
    <w:p w14:paraId="14B6C4DE">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0" w:leftChars="0" w:hanging="425"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Based on preliminary evidence and existing literature, we hypothesize that:</w:t>
      </w:r>
    </w:p>
    <w:p w14:paraId="57B4D861">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0" w:leftChars="0" w:hanging="425"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Chronic administration of Euphorbia hirta extract will significantly attenuate diabetes-associated cognitive deficits in STZ-induced diabetic rats.</w:t>
      </w:r>
    </w:p>
    <w:p w14:paraId="4D3AC531">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0" w:leftChars="0" w:hanging="425"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The neuroprotective effects of Euphorbia hirta will be mediated, at least in part, through reduction of oxidative stress and improvement of antioxidant defense mechanisms in brain tissue.</w:t>
      </w:r>
    </w:p>
    <w:p w14:paraId="2234188E">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0" w:leftChars="0" w:hanging="425"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Euphorbia hirta treatment will preserve hippocampal neuronal architecture and mitigate diabetes-associated neuropathological changes.</w:t>
      </w:r>
    </w:p>
    <w:p w14:paraId="5B73F40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3.6 Significance of the Study</w:t>
      </w:r>
    </w:p>
    <w:p w14:paraId="7DBC1E6C">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Cs/>
          <w:sz w:val="24"/>
        </w:rPr>
        <w:t>This study holds substantial scientific and clinical significance for several reasons:</w:t>
      </w:r>
    </w:p>
    <w:p w14:paraId="1122D564">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Therapeutic Innovation</w:t>
      </w:r>
      <w:r>
        <w:rPr>
          <w:rFonts w:hint="default" w:ascii="Times New Roman" w:hAnsi="Times New Roman" w:cs="Times New Roman"/>
          <w:bCs/>
          <w:sz w:val="24"/>
        </w:rPr>
        <w:t>: The investigation of Euphorbia hirta as a potential intervention for diabetes-associated cognitive impairment represents a novel approach to addressing this significant clinical challenge. If proven effective, it could provide a complementary or alternative therapeutic strategy to current treatments.</w:t>
      </w:r>
    </w:p>
    <w:p w14:paraId="76C22E2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Mechanistic Insight</w:t>
      </w:r>
      <w:r>
        <w:rPr>
          <w:rFonts w:hint="default" w:ascii="Times New Roman" w:hAnsi="Times New Roman" w:cs="Times New Roman"/>
          <w:bCs/>
          <w:sz w:val="24"/>
        </w:rPr>
        <w:t>: By systematically evaluating oxidative stress parameters and their correlation with cognitive function, this study will contribute to our understanding of the pathophysiological mechanisms underlying diabetes-related cognitive decline.</w:t>
      </w:r>
    </w:p>
    <w:p w14:paraId="68218FAD">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Translational Potential</w:t>
      </w:r>
      <w:r>
        <w:rPr>
          <w:rFonts w:hint="default" w:ascii="Times New Roman" w:hAnsi="Times New Roman" w:cs="Times New Roman"/>
          <w:bCs/>
          <w:sz w:val="24"/>
        </w:rPr>
        <w:t>: The use of a well-characterized animal model enhances the potential translational relevance of the findings to human diabetes and its neurological complications.</w:t>
      </w:r>
    </w:p>
    <w:p w14:paraId="4B0FE557">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Public Health Impact</w:t>
      </w:r>
      <w:r>
        <w:rPr>
          <w:rFonts w:hint="default" w:ascii="Times New Roman" w:hAnsi="Times New Roman" w:cs="Times New Roman"/>
          <w:bCs/>
          <w:sz w:val="24"/>
        </w:rPr>
        <w:t>: Given the rising global prevalence of diabetes and its associated cognitive complications, the development of effective preventive or therapeutic strategies could have substantial public health implications, particularly in resource-limited settings where access to conventional treatments may be limited.</w:t>
      </w:r>
    </w:p>
    <w:p w14:paraId="1CF1A61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Cs/>
          <w:sz w:val="24"/>
        </w:rPr>
      </w:pPr>
      <w:r>
        <w:rPr>
          <w:rFonts w:hint="default" w:ascii="Times New Roman" w:hAnsi="Times New Roman" w:cs="Times New Roman"/>
          <w:b/>
          <w:bCs w:val="0"/>
          <w:sz w:val="24"/>
        </w:rPr>
        <w:t>Scientific Contribution:</w:t>
      </w:r>
      <w:r>
        <w:rPr>
          <w:rFonts w:hint="default" w:ascii="Times New Roman" w:hAnsi="Times New Roman" w:cs="Times New Roman"/>
          <w:bCs/>
          <w:sz w:val="24"/>
        </w:rPr>
        <w:t xml:space="preserve"> This study will add to the growing body of literature on the therapeutic potential of medicinal plants in neurological disorders, potentially stimulating further research in this important area.</w:t>
      </w:r>
    </w:p>
    <w:p w14:paraId="5FC5D10C">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3.7 Expected Outcomes</w:t>
      </w:r>
    </w:p>
    <w:p w14:paraId="1B008781">
      <w:pPr>
        <w:keepNext w:val="0"/>
        <w:keepLines w:val="0"/>
        <w:pageBreakBefore w:val="0"/>
        <w:widowControl/>
        <w:numPr>
          <w:ilvl w:val="0"/>
          <w:numId w:val="4"/>
        </w:numPr>
        <w:tabs>
          <w:tab w:val="clear" w:pos="420"/>
        </w:tabs>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Based on preliminary data and existing literature, we anticipate the following outcomes</w:t>
      </w:r>
      <w:r>
        <w:rPr>
          <w:rFonts w:hint="default" w:ascii="Times New Roman" w:hAnsi="Times New Roman" w:cs="Times New Roman"/>
          <w:bCs/>
          <w:sz w:val="24"/>
          <w:lang w:val="en-IN"/>
        </w:rPr>
        <w:t>.</w:t>
      </w:r>
    </w:p>
    <w:p w14:paraId="51F377FC">
      <w:pPr>
        <w:keepNext w:val="0"/>
        <w:keepLines w:val="0"/>
        <w:pageBreakBefore w:val="0"/>
        <w:widowControl/>
        <w:numPr>
          <w:ilvl w:val="0"/>
          <w:numId w:val="4"/>
        </w:numPr>
        <w:tabs>
          <w:tab w:val="clear" w:pos="420"/>
        </w:tabs>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STZ-induced diabetic rats will demonstrate significant cognitive deficits in behavioral tests compared to non-diabetic controls.</w:t>
      </w:r>
    </w:p>
    <w:p w14:paraId="6E5A6249">
      <w:pPr>
        <w:keepNext w:val="0"/>
        <w:keepLines w:val="0"/>
        <w:pageBreakBefore w:val="0"/>
        <w:widowControl/>
        <w:numPr>
          <w:ilvl w:val="0"/>
          <w:numId w:val="4"/>
        </w:numPr>
        <w:tabs>
          <w:tab w:val="clear" w:pos="420"/>
        </w:tabs>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Euphorbia hirta treatment will improve cognitive performance in a dose-dependent manner, with the most pronounced effects expected at the highest dose (400 mg/kg).</w:t>
      </w:r>
    </w:p>
    <w:p w14:paraId="233A3FB2">
      <w:pPr>
        <w:keepNext w:val="0"/>
        <w:keepLines w:val="0"/>
        <w:pageBreakBefore w:val="0"/>
        <w:widowControl/>
        <w:numPr>
          <w:ilvl w:val="0"/>
          <w:numId w:val="4"/>
        </w:numPr>
        <w:tabs>
          <w:tab w:val="clear" w:pos="420"/>
        </w:tabs>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Biochemical analyses will reveal reduced oxidative stress markers and enhanced antioxidant capacity in brain tissue of Euphorbia hirta-treated animals.</w:t>
      </w:r>
    </w:p>
    <w:p w14:paraId="5A7B3B13">
      <w:pPr>
        <w:keepNext w:val="0"/>
        <w:keepLines w:val="0"/>
        <w:pageBreakBefore w:val="0"/>
        <w:widowControl/>
        <w:numPr>
          <w:ilvl w:val="0"/>
          <w:numId w:val="4"/>
        </w:numPr>
        <w:tabs>
          <w:tab w:val="clear" w:pos="420"/>
        </w:tabs>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Histopathological examination will show preserved neuronal architecture in the hippocampus of treated animals compared to untreated diabetic controls.</w:t>
      </w:r>
    </w:p>
    <w:p w14:paraId="71C55760">
      <w:pPr>
        <w:keepNext w:val="0"/>
        <w:keepLines w:val="0"/>
        <w:pageBreakBefore w:val="0"/>
        <w:widowControl/>
        <w:numPr>
          <w:ilvl w:val="0"/>
          <w:numId w:val="4"/>
        </w:numPr>
        <w:tabs>
          <w:tab w:val="clear" w:pos="420"/>
        </w:tabs>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Cs/>
          <w:sz w:val="24"/>
        </w:rPr>
      </w:pPr>
      <w:r>
        <w:rPr>
          <w:rFonts w:hint="default" w:ascii="Times New Roman" w:hAnsi="Times New Roman" w:cs="Times New Roman"/>
          <w:bCs/>
          <w:sz w:val="24"/>
        </w:rPr>
        <w:t>Strong correlations will be observed between improvements in oxidative stress parameters and cognitive performance.</w:t>
      </w:r>
    </w:p>
    <w:p w14:paraId="75AD59FC">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1561301D">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1276FBC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09B44A03">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7CA437E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6AA2A490">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460BB3F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0DF477D0">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62CC0A9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6108525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2468CAA2">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lang w:val="en-IN"/>
        </w:rPr>
      </w:pPr>
    </w:p>
    <w:p w14:paraId="3DBEDB3D">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lang w:val="en-IN"/>
        </w:rPr>
        <w:t xml:space="preserve">4 </w:t>
      </w:r>
      <w:r>
        <w:rPr>
          <w:rFonts w:hint="default" w:ascii="Times New Roman" w:hAnsi="Times New Roman" w:cs="Times New Roman"/>
          <w:b/>
          <w:bCs w:val="0"/>
          <w:sz w:val="24"/>
        </w:rPr>
        <w:t>MATERIALS AND METHODS</w:t>
      </w:r>
    </w:p>
    <w:p w14:paraId="3139B4F0">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4.1 Experimental Design</w:t>
      </w:r>
    </w:p>
    <w:p w14:paraId="58F1BAC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This study employed a randomized, controlled experimental design to evaluate the neuroprotective effects of Euphorbia hirta on cognitive dysfunction in STZ-induced diabetic rats. The experimental timeline spanned 10 weeks, including a 1-week acclimatization period, 6 weeks of treatment, and 3 weeks for behavioral and biochemical assessments.</w:t>
      </w:r>
    </w:p>
    <w:p w14:paraId="78CB5CEC">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bCs/>
          <w:i/>
          <w:sz w:val="24"/>
          <w:szCs w:val="24"/>
          <w:lang w:val="en-IN"/>
        </w:rPr>
      </w:pPr>
      <w:r>
        <w:rPr>
          <w:rFonts w:hint="default" w:ascii="Times New Roman" w:hAnsi="Times New Roman"/>
          <w:b/>
          <w:bCs/>
          <w:i/>
          <w:sz w:val="24"/>
          <w:szCs w:val="24"/>
          <w:lang w:val="en-IN"/>
        </w:rPr>
        <w:t>Phytochemical Evaluation of Crude Euphorbia nivulia Extract</w:t>
      </w:r>
    </w:p>
    <w:p w14:paraId="45488DA9">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val="0"/>
          <w:bCs w:val="0"/>
          <w:sz w:val="24"/>
          <w:szCs w:val="24"/>
          <w:lang w:val="en-IN"/>
        </w:rPr>
      </w:pPr>
      <w:r>
        <w:rPr>
          <w:rFonts w:hint="default" w:ascii="Times New Roman" w:hAnsi="Times New Roman"/>
          <w:b w:val="0"/>
          <w:bCs w:val="0"/>
          <w:sz w:val="24"/>
          <w:szCs w:val="24"/>
          <w:lang w:val="en-IN"/>
        </w:rPr>
        <w:t>Phytochemical evaluation is a critical step in understanding the therapeutic potential of medicinal plants like Euphorbia nivulia. This process involves the qualitative and quantitative analysis of bioactive compounds present in the crude extract, which are responsible for its pharmacological properties. Below is a detailed overview of the phytochemical evaluation of crude Euphorbia nivulia extract.</w:t>
      </w:r>
    </w:p>
    <w:tbl>
      <w:tblPr>
        <w:tblStyle w:val="5"/>
        <w:tblpPr w:leftFromText="180" w:rightFromText="180" w:vertAnchor="text" w:horzAnchor="page" w:tblpXSpec="center" w:tblpY="132"/>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36"/>
        <w:gridCol w:w="2130"/>
        <w:gridCol w:w="2558"/>
        <w:gridCol w:w="2002"/>
      </w:tblGrid>
      <w:tr w14:paraId="72ED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jc w:val="center"/>
        </w:trPr>
        <w:tc>
          <w:tcPr>
            <w:tcW w:w="1656" w:type="dxa"/>
            <w:shd w:val="clear" w:color="auto" w:fill="auto"/>
            <w:tcMar>
              <w:left w:w="0" w:type="dxa"/>
            </w:tcMar>
            <w:vAlign w:val="center"/>
          </w:tcPr>
          <w:p w14:paraId="3894DF89">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center"/>
              <w:rPr>
                <w:rFonts w:hint="default" w:ascii="Times New Roman" w:hAnsi="Times New Roman" w:eastAsia="SimSun" w:cs="Times New Roman"/>
                <w:b/>
                <w:bCs/>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Phytochemical</w:t>
            </w:r>
          </w:p>
        </w:tc>
        <w:tc>
          <w:tcPr>
            <w:tcW w:w="2304" w:type="dxa"/>
            <w:shd w:val="clear" w:color="auto" w:fill="auto"/>
            <w:vAlign w:val="center"/>
          </w:tcPr>
          <w:p w14:paraId="40241D9B">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center"/>
              <w:rPr>
                <w:rFonts w:hint="default" w:ascii="Times New Roman" w:hAnsi="Times New Roman" w:eastAsia="SimSun" w:cs="Times New Roman"/>
                <w:b/>
                <w:bCs/>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Test</w:t>
            </w:r>
          </w:p>
        </w:tc>
        <w:tc>
          <w:tcPr>
            <w:tcW w:w="2732" w:type="dxa"/>
            <w:shd w:val="clear" w:color="auto" w:fill="auto"/>
            <w:vAlign w:val="center"/>
          </w:tcPr>
          <w:p w14:paraId="7880B32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center"/>
              <w:rPr>
                <w:rFonts w:hint="default" w:ascii="Times New Roman" w:hAnsi="Times New Roman" w:eastAsia="SimSun" w:cs="Times New Roman"/>
                <w:b/>
                <w:bCs/>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Observation</w:t>
            </w:r>
          </w:p>
        </w:tc>
        <w:tc>
          <w:tcPr>
            <w:tcW w:w="2121" w:type="dxa"/>
            <w:shd w:val="clear" w:color="auto" w:fill="auto"/>
            <w:vAlign w:val="center"/>
          </w:tcPr>
          <w:p w14:paraId="03E283C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center"/>
              <w:rPr>
                <w:rFonts w:hint="default" w:ascii="Times New Roman" w:hAnsi="Times New Roman" w:eastAsia="SimSun" w:cs="Times New Roman"/>
                <w:b/>
                <w:bCs/>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Inference</w:t>
            </w:r>
          </w:p>
        </w:tc>
      </w:tr>
      <w:tr w14:paraId="4E5B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656" w:type="dxa"/>
            <w:shd w:val="clear" w:color="auto" w:fill="auto"/>
            <w:tcMar>
              <w:left w:w="0" w:type="dxa"/>
            </w:tcMar>
            <w:vAlign w:val="center"/>
          </w:tcPr>
          <w:p w14:paraId="6E3A170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Alkaloids</w:t>
            </w:r>
          </w:p>
        </w:tc>
        <w:tc>
          <w:tcPr>
            <w:tcW w:w="2304" w:type="dxa"/>
            <w:shd w:val="clear" w:color="auto" w:fill="auto"/>
            <w:vAlign w:val="center"/>
          </w:tcPr>
          <w:p w14:paraId="48F3F23B">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Hager test</w:t>
            </w:r>
          </w:p>
        </w:tc>
        <w:tc>
          <w:tcPr>
            <w:tcW w:w="2732" w:type="dxa"/>
            <w:shd w:val="clear" w:color="auto" w:fill="auto"/>
            <w:vAlign w:val="center"/>
          </w:tcPr>
          <w:p w14:paraId="14F38C0B">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Yellow ppt</w:t>
            </w:r>
          </w:p>
        </w:tc>
        <w:tc>
          <w:tcPr>
            <w:tcW w:w="2121" w:type="dxa"/>
            <w:shd w:val="clear" w:color="auto" w:fill="auto"/>
            <w:vAlign w:val="center"/>
          </w:tcPr>
          <w:p w14:paraId="1AE7728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Alkaloids present</w:t>
            </w:r>
          </w:p>
        </w:tc>
      </w:tr>
      <w:tr w14:paraId="1760A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656" w:type="dxa"/>
            <w:shd w:val="clear" w:color="auto" w:fill="auto"/>
            <w:tcMar>
              <w:left w:w="0" w:type="dxa"/>
            </w:tcMar>
            <w:vAlign w:val="center"/>
          </w:tcPr>
          <w:p w14:paraId="52065925">
            <w:pPr>
              <w:keepNext w:val="0"/>
              <w:keepLines w:val="0"/>
              <w:pageBreakBefore w:val="0"/>
              <w:widowControl/>
              <w:kinsoku/>
              <w:wordWrap/>
              <w:overflowPunct/>
              <w:topLinePunct w:val="0"/>
              <w:autoSpaceDE/>
              <w:autoSpaceDN/>
              <w:bidi w:val="0"/>
              <w:adjustRightInd/>
              <w:snapToGrid/>
              <w:spacing w:after="0" w:line="360" w:lineRule="auto"/>
              <w:ind w:left="0"/>
              <w:rPr>
                <w:rFonts w:hint="default" w:ascii="Times New Roman" w:hAnsi="Times New Roman" w:eastAsia="SimSun" w:cs="Times New Roman"/>
                <w:b w:val="0"/>
                <w:bCs w:val="0"/>
                <w:kern w:val="0"/>
                <w:sz w:val="24"/>
                <w:szCs w:val="24"/>
                <w:lang w:val="en-IN" w:eastAsia="zh-CN" w:bidi="ar"/>
              </w:rPr>
            </w:pPr>
          </w:p>
        </w:tc>
        <w:tc>
          <w:tcPr>
            <w:tcW w:w="2304" w:type="dxa"/>
            <w:shd w:val="clear" w:color="auto" w:fill="auto"/>
            <w:vAlign w:val="center"/>
          </w:tcPr>
          <w:p w14:paraId="4BE01F08">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Mayer Test</w:t>
            </w:r>
          </w:p>
        </w:tc>
        <w:tc>
          <w:tcPr>
            <w:tcW w:w="2732" w:type="dxa"/>
            <w:shd w:val="clear" w:color="auto" w:fill="auto"/>
            <w:vAlign w:val="center"/>
          </w:tcPr>
          <w:p w14:paraId="4944482F">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Creamy ppt</w:t>
            </w:r>
          </w:p>
        </w:tc>
        <w:tc>
          <w:tcPr>
            <w:tcW w:w="2121" w:type="dxa"/>
            <w:shd w:val="clear" w:color="auto" w:fill="auto"/>
            <w:vAlign w:val="center"/>
          </w:tcPr>
          <w:p w14:paraId="15448BAE">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Alkaloids present</w:t>
            </w:r>
          </w:p>
        </w:tc>
      </w:tr>
      <w:tr w14:paraId="188D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656" w:type="dxa"/>
            <w:shd w:val="clear" w:color="auto" w:fill="auto"/>
            <w:tcMar>
              <w:left w:w="0" w:type="dxa"/>
            </w:tcMar>
            <w:vAlign w:val="center"/>
          </w:tcPr>
          <w:p w14:paraId="46E16DB7">
            <w:pPr>
              <w:keepNext w:val="0"/>
              <w:keepLines w:val="0"/>
              <w:pageBreakBefore w:val="0"/>
              <w:widowControl/>
              <w:kinsoku/>
              <w:wordWrap/>
              <w:overflowPunct/>
              <w:topLinePunct w:val="0"/>
              <w:autoSpaceDE/>
              <w:autoSpaceDN/>
              <w:bidi w:val="0"/>
              <w:adjustRightInd/>
              <w:snapToGrid/>
              <w:spacing w:after="0" w:line="360" w:lineRule="auto"/>
              <w:ind w:left="0"/>
              <w:rPr>
                <w:rFonts w:hint="default" w:ascii="Times New Roman" w:hAnsi="Times New Roman" w:eastAsia="SimSun" w:cs="Times New Roman"/>
                <w:b w:val="0"/>
                <w:bCs w:val="0"/>
                <w:kern w:val="0"/>
                <w:sz w:val="24"/>
                <w:szCs w:val="24"/>
                <w:lang w:val="en-IN" w:eastAsia="zh-CN" w:bidi="ar"/>
              </w:rPr>
            </w:pPr>
          </w:p>
        </w:tc>
        <w:tc>
          <w:tcPr>
            <w:tcW w:w="2304" w:type="dxa"/>
            <w:shd w:val="clear" w:color="auto" w:fill="auto"/>
            <w:vAlign w:val="center"/>
          </w:tcPr>
          <w:p w14:paraId="7DF26E2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Wagner test</w:t>
            </w:r>
          </w:p>
        </w:tc>
        <w:tc>
          <w:tcPr>
            <w:tcW w:w="2732" w:type="dxa"/>
            <w:shd w:val="clear" w:color="auto" w:fill="auto"/>
            <w:vAlign w:val="center"/>
          </w:tcPr>
          <w:p w14:paraId="1D60A08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Reddish-brown ppt</w:t>
            </w:r>
          </w:p>
        </w:tc>
        <w:tc>
          <w:tcPr>
            <w:tcW w:w="2121" w:type="dxa"/>
            <w:shd w:val="clear" w:color="auto" w:fill="auto"/>
            <w:vAlign w:val="center"/>
          </w:tcPr>
          <w:p w14:paraId="56C54B84">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Alkaloids present</w:t>
            </w:r>
          </w:p>
        </w:tc>
      </w:tr>
      <w:tr w14:paraId="549F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656" w:type="dxa"/>
            <w:shd w:val="clear" w:color="auto" w:fill="auto"/>
            <w:tcMar>
              <w:left w:w="0" w:type="dxa"/>
            </w:tcMar>
            <w:vAlign w:val="center"/>
          </w:tcPr>
          <w:p w14:paraId="4662DE54">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Glycosides</w:t>
            </w:r>
          </w:p>
        </w:tc>
        <w:tc>
          <w:tcPr>
            <w:tcW w:w="2304" w:type="dxa"/>
            <w:shd w:val="clear" w:color="auto" w:fill="auto"/>
            <w:vAlign w:val="center"/>
          </w:tcPr>
          <w:p w14:paraId="11E12F14">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Keller-Killani test</w:t>
            </w:r>
          </w:p>
        </w:tc>
        <w:tc>
          <w:tcPr>
            <w:tcW w:w="2732" w:type="dxa"/>
            <w:shd w:val="clear" w:color="auto" w:fill="auto"/>
            <w:vAlign w:val="center"/>
          </w:tcPr>
          <w:p w14:paraId="3DC45425">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Brown ring (at junction)</w:t>
            </w:r>
          </w:p>
        </w:tc>
        <w:tc>
          <w:tcPr>
            <w:tcW w:w="2121" w:type="dxa"/>
            <w:shd w:val="clear" w:color="auto" w:fill="auto"/>
            <w:vAlign w:val="center"/>
          </w:tcPr>
          <w:p w14:paraId="5EE27943">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Glycosides present</w:t>
            </w:r>
          </w:p>
        </w:tc>
      </w:tr>
      <w:tr w14:paraId="0777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656" w:type="dxa"/>
            <w:shd w:val="clear" w:color="auto" w:fill="auto"/>
            <w:tcMar>
              <w:left w:w="0" w:type="dxa"/>
            </w:tcMar>
            <w:vAlign w:val="center"/>
          </w:tcPr>
          <w:p w14:paraId="06EC6B48">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Tannins</w:t>
            </w:r>
          </w:p>
        </w:tc>
        <w:tc>
          <w:tcPr>
            <w:tcW w:w="2304" w:type="dxa"/>
            <w:shd w:val="clear" w:color="auto" w:fill="auto"/>
            <w:vAlign w:val="center"/>
          </w:tcPr>
          <w:p w14:paraId="5036483A">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Fe Cl₃ test</w:t>
            </w:r>
          </w:p>
        </w:tc>
        <w:tc>
          <w:tcPr>
            <w:tcW w:w="2732" w:type="dxa"/>
            <w:shd w:val="clear" w:color="auto" w:fill="auto"/>
            <w:vAlign w:val="center"/>
          </w:tcPr>
          <w:p w14:paraId="57198F8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Blackish color</w:t>
            </w:r>
          </w:p>
        </w:tc>
        <w:tc>
          <w:tcPr>
            <w:tcW w:w="2121" w:type="dxa"/>
            <w:shd w:val="clear" w:color="auto" w:fill="auto"/>
            <w:vAlign w:val="center"/>
          </w:tcPr>
          <w:p w14:paraId="50E1C3BB">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Tannins present</w:t>
            </w:r>
          </w:p>
        </w:tc>
      </w:tr>
      <w:tr w14:paraId="2E171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656" w:type="dxa"/>
            <w:shd w:val="clear" w:color="auto" w:fill="auto"/>
            <w:tcMar>
              <w:left w:w="0" w:type="dxa"/>
            </w:tcMar>
            <w:vAlign w:val="center"/>
          </w:tcPr>
          <w:p w14:paraId="22CD84E5">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bCs/>
                <w:i/>
                <w:kern w:val="0"/>
                <w:sz w:val="24"/>
                <w:szCs w:val="24"/>
                <w:lang w:val="en-US" w:eastAsia="zh-CN" w:bidi="ar"/>
              </w:rPr>
              <w:t>Flavonoids</w:t>
            </w:r>
          </w:p>
        </w:tc>
        <w:tc>
          <w:tcPr>
            <w:tcW w:w="2304" w:type="dxa"/>
            <w:shd w:val="clear" w:color="auto" w:fill="auto"/>
            <w:vAlign w:val="center"/>
          </w:tcPr>
          <w:p w14:paraId="7E439375">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Test with alkali solution</w:t>
            </w:r>
          </w:p>
        </w:tc>
        <w:tc>
          <w:tcPr>
            <w:tcW w:w="2732" w:type="dxa"/>
            <w:shd w:val="clear" w:color="auto" w:fill="auto"/>
            <w:vAlign w:val="center"/>
          </w:tcPr>
          <w:p w14:paraId="7C86DEFD">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Dark yellow color</w:t>
            </w:r>
          </w:p>
        </w:tc>
        <w:tc>
          <w:tcPr>
            <w:tcW w:w="2121" w:type="dxa"/>
            <w:shd w:val="clear" w:color="auto" w:fill="auto"/>
            <w:vAlign w:val="center"/>
          </w:tcPr>
          <w:p w14:paraId="59C8D52E">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rPr>
                <w:rFonts w:hint="default" w:ascii="Times New Roman" w:hAnsi="Times New Roman" w:eastAsia="SimSun" w:cs="Times New Roman"/>
                <w:b w:val="0"/>
                <w:bCs w:val="0"/>
                <w:kern w:val="0"/>
                <w:sz w:val="24"/>
                <w:szCs w:val="24"/>
                <w:lang w:val="en-IN" w:eastAsia="zh-CN" w:bidi="ar"/>
              </w:rPr>
            </w:pPr>
            <w:r>
              <w:rPr>
                <w:rFonts w:hint="default" w:ascii="Times New Roman" w:hAnsi="Times New Roman" w:eastAsia="SimSun" w:cs="Times New Roman"/>
                <w:b w:val="0"/>
                <w:bCs w:val="0"/>
                <w:kern w:val="0"/>
                <w:sz w:val="24"/>
                <w:szCs w:val="24"/>
                <w:lang w:val="en-US" w:eastAsia="zh-CN" w:bidi="ar"/>
              </w:rPr>
              <w:t>Flavonoids present</w:t>
            </w:r>
          </w:p>
        </w:tc>
      </w:tr>
    </w:tbl>
    <w:p w14:paraId="79B0909C">
      <w:pPr>
        <w:keepNext w:val="0"/>
        <w:keepLines w:val="0"/>
        <w:pageBreakBefore w:val="0"/>
        <w:widowControl/>
        <w:suppressLineNumbers w:val="0"/>
        <w:kinsoku/>
        <w:wordWrap/>
        <w:overflowPunct/>
        <w:topLinePunct w:val="0"/>
        <w:autoSpaceDE/>
        <w:autoSpaceDN/>
        <w:bidi w:val="0"/>
        <w:adjustRightInd/>
        <w:snapToGrid/>
        <w:spacing w:after="0" w:line="360" w:lineRule="auto"/>
        <w:ind w:left="0"/>
        <w:jc w:val="left"/>
      </w:pPr>
    </w:p>
    <w:p w14:paraId="6821C949">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bCs/>
          <w:i/>
          <w:sz w:val="24"/>
          <w:szCs w:val="24"/>
          <w:lang w:val="en-IN"/>
        </w:rPr>
      </w:pPr>
      <w:r>
        <w:rPr>
          <w:rFonts w:hint="default" w:ascii="Times New Roman" w:hAnsi="Times New Roman"/>
          <w:b/>
          <w:bCs/>
          <w:i/>
          <w:sz w:val="24"/>
          <w:szCs w:val="24"/>
          <w:lang w:val="en-IN"/>
        </w:rPr>
        <w:t>Antihyperglycemic Effect in Rats: Experimental Design and Graphical Representation</w:t>
      </w:r>
    </w:p>
    <w:p w14:paraId="7B3B039D">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val="0"/>
          <w:bCs w:val="0"/>
          <w:sz w:val="24"/>
          <w:szCs w:val="24"/>
          <w:lang w:val="en-IN"/>
        </w:rPr>
      </w:pPr>
      <w:r>
        <w:rPr>
          <w:rFonts w:hint="default" w:ascii="Times New Roman" w:hAnsi="Times New Roman"/>
          <w:b/>
          <w:bCs/>
          <w:sz w:val="24"/>
          <w:szCs w:val="24"/>
          <w:lang w:val="en-IN"/>
        </w:rPr>
        <w:drawing>
          <wp:anchor distT="0" distB="0" distL="114300" distR="114300" simplePos="0" relativeHeight="251660288" behindDoc="0" locked="0" layoutInCell="1" allowOverlap="1">
            <wp:simplePos x="0" y="0"/>
            <wp:positionH relativeFrom="column">
              <wp:posOffset>-351155</wp:posOffset>
            </wp:positionH>
            <wp:positionV relativeFrom="paragraph">
              <wp:posOffset>1022985</wp:posOffset>
            </wp:positionV>
            <wp:extent cx="5932805" cy="1712595"/>
            <wp:effectExtent l="0" t="0" r="10795" b="1905"/>
            <wp:wrapNone/>
            <wp:docPr id="4" name="Picture 4" descr="images_large_10.1177_1559325820939429-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s_large_10.1177_1559325820939429-fig3"/>
                    <pic:cNvPicPr>
                      <a:picLocks noChangeAspect="1"/>
                    </pic:cNvPicPr>
                  </pic:nvPicPr>
                  <pic:blipFill>
                    <a:blip r:embed="rId10"/>
                    <a:stretch>
                      <a:fillRect/>
                    </a:stretch>
                  </pic:blipFill>
                  <pic:spPr>
                    <a:xfrm>
                      <a:off x="0" y="0"/>
                      <a:ext cx="5932805" cy="1712595"/>
                    </a:xfrm>
                    <a:prstGeom prst="rect">
                      <a:avLst/>
                    </a:prstGeom>
                  </pic:spPr>
                </pic:pic>
              </a:graphicData>
            </a:graphic>
          </wp:anchor>
        </w:drawing>
      </w:r>
      <w:r>
        <w:rPr>
          <w:rFonts w:hint="default" w:ascii="Times New Roman" w:hAnsi="Times New Roman"/>
          <w:b w:val="0"/>
          <w:bCs w:val="0"/>
          <w:sz w:val="24"/>
          <w:szCs w:val="24"/>
          <w:lang w:val="en-IN"/>
        </w:rPr>
        <w:t>The antihyperglycemic effect of Euphorbia hirta or other test substances can be evaluated using a streptozotocin (STZ)-induced diabetic rat model. Below is a detailed explanation of the experimental design, methodology, and graphical representation of the results.</w:t>
      </w:r>
    </w:p>
    <w:p w14:paraId="0406135F">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val="0"/>
          <w:bCs w:val="0"/>
          <w:sz w:val="24"/>
          <w:szCs w:val="24"/>
          <w:lang w:val="en-IN"/>
        </w:rPr>
      </w:pPr>
    </w:p>
    <w:p w14:paraId="608EF1B8">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val="0"/>
          <w:bCs w:val="0"/>
          <w:sz w:val="24"/>
          <w:szCs w:val="24"/>
          <w:lang w:val="en-IN"/>
        </w:rPr>
      </w:pPr>
    </w:p>
    <w:p w14:paraId="12BA9BF3">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bCs/>
          <w:i/>
          <w:sz w:val="24"/>
          <w:szCs w:val="24"/>
          <w:lang w:val="en-IN"/>
        </w:rPr>
      </w:pPr>
      <w:r>
        <w:rPr>
          <w:rFonts w:hint="default" w:ascii="Times New Roman" w:hAnsi="Times New Roman"/>
          <w:b/>
          <w:bCs/>
          <w:i/>
          <w:sz w:val="24"/>
          <w:szCs w:val="24"/>
          <w:lang w:val="en-IN"/>
        </w:rPr>
        <w:t> </w:t>
      </w:r>
    </w:p>
    <w:p w14:paraId="071BCF85">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b/>
          <w:bCs/>
          <w:i/>
          <w:sz w:val="20"/>
          <w:szCs w:val="20"/>
          <w:lang w:val="en-IN"/>
        </w:rPr>
      </w:pPr>
    </w:p>
    <w:p w14:paraId="338C8FC1">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val="0"/>
          <w:bCs w:val="0"/>
          <w:sz w:val="24"/>
          <w:szCs w:val="24"/>
          <w:lang w:val="en-IN"/>
        </w:rPr>
      </w:pPr>
      <w:r>
        <w:rPr>
          <w:rFonts w:hint="default"/>
          <w:b/>
          <w:bCs/>
          <w:i/>
          <w:sz w:val="20"/>
          <w:szCs w:val="20"/>
          <w:lang w:val="en-IN"/>
        </w:rPr>
        <w:t>Fig-1:-</w:t>
      </w:r>
      <w:r>
        <w:rPr>
          <w:rFonts w:hint="default" w:ascii="Times New Roman" w:hAnsi="Times New Roman"/>
          <w:b/>
          <w:bCs/>
          <w:i/>
          <w:sz w:val="20"/>
          <w:szCs w:val="20"/>
          <w:lang w:val="en-IN"/>
        </w:rPr>
        <w:t>Effect of positive control (glibenclamide), diabetic control, and hydro-ethanolic Euphorbia nivulia</w:t>
      </w:r>
    </w:p>
    <w:p w14:paraId="059C8FCA">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ascii="Times New Roman" w:hAnsi="Times New Roman"/>
          <w:b w:val="0"/>
          <w:bCs w:val="0"/>
          <w:sz w:val="24"/>
          <w:szCs w:val="24"/>
          <w:lang w:val="en-IN"/>
        </w:rPr>
      </w:pPr>
      <w:r>
        <w:rPr>
          <w:rFonts w:hint="default" w:ascii="Times New Roman" w:hAnsi="Times New Roman"/>
          <w:b/>
          <w:bCs/>
          <w:i/>
          <w:sz w:val="24"/>
          <w:szCs w:val="24"/>
          <w:lang w:val="en-IN"/>
        </w:rPr>
        <w:t>Histopathology of Pancreatic and Hepatic Tissues in STZ-Induced Diabetic Rats Treated with Euphorbia hirt</w:t>
      </w:r>
      <w:r>
        <w:rPr>
          <w:rFonts w:hint="default" w:ascii="Times New Roman" w:hAnsi="Times New Roman"/>
          <w:b w:val="0"/>
          <w:bCs w:val="0"/>
          <w:sz w:val="24"/>
          <w:szCs w:val="24"/>
          <w:lang w:val="en-IN"/>
        </w:rPr>
        <w:t>a</w:t>
      </w:r>
    </w:p>
    <w:p w14:paraId="2DC32A25">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b/>
          <w:bCs/>
          <w:i/>
          <w:sz w:val="20"/>
          <w:szCs w:val="20"/>
          <w:lang w:val="en-IN"/>
        </w:rPr>
      </w:pPr>
      <w:r>
        <w:rPr>
          <w:rFonts w:hint="default" w:ascii="Times New Roman" w:hAnsi="Times New Roman"/>
          <w:b w:val="0"/>
          <w:bCs w:val="0"/>
          <w:sz w:val="24"/>
          <w:szCs w:val="24"/>
          <w:lang w:val="en-IN"/>
        </w:rPr>
        <w:drawing>
          <wp:anchor distT="0" distB="0" distL="114300" distR="114300" simplePos="0" relativeHeight="251661312" behindDoc="0" locked="0" layoutInCell="1" allowOverlap="1">
            <wp:simplePos x="0" y="0"/>
            <wp:positionH relativeFrom="column">
              <wp:posOffset>9525</wp:posOffset>
            </wp:positionH>
            <wp:positionV relativeFrom="paragraph">
              <wp:posOffset>990600</wp:posOffset>
            </wp:positionV>
            <wp:extent cx="5486400" cy="1524000"/>
            <wp:effectExtent l="0" t="0" r="0" b="0"/>
            <wp:wrapNone/>
            <wp:docPr id="5" name="Picture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1"/>
                    <pic:cNvPicPr>
                      <a:picLocks noChangeAspect="1"/>
                    </pic:cNvPicPr>
                  </pic:nvPicPr>
                  <pic:blipFill>
                    <a:blip r:embed="rId11"/>
                    <a:stretch>
                      <a:fillRect/>
                    </a:stretch>
                  </pic:blipFill>
                  <pic:spPr>
                    <a:xfrm>
                      <a:off x="0" y="0"/>
                      <a:ext cx="5486400" cy="1524000"/>
                    </a:xfrm>
                    <a:prstGeom prst="rect">
                      <a:avLst/>
                    </a:prstGeom>
                  </pic:spPr>
                </pic:pic>
              </a:graphicData>
            </a:graphic>
          </wp:anchor>
        </w:drawing>
      </w:r>
      <w:r>
        <w:rPr>
          <w:rFonts w:hint="default" w:ascii="Times New Roman" w:hAnsi="Times New Roman"/>
          <w:b w:val="0"/>
          <w:bCs w:val="0"/>
          <w:sz w:val="24"/>
          <w:szCs w:val="24"/>
          <w:lang w:val="en-IN"/>
        </w:rPr>
        <w:t>Histopathological analysis is a crucial step in evaluating the therapeutic effects of Euphorbia hirta on pancreatic and hepatic tissues in streptozotocin (STZ)-induced diabetic rats. This analysis helps to assess the extent of tissue damage and the potential restorative effects of the treatment</w:t>
      </w:r>
    </w:p>
    <w:p w14:paraId="400EA887">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both"/>
        <w:rPr>
          <w:rFonts w:hint="default"/>
          <w:b/>
          <w:bCs/>
          <w:i/>
          <w:sz w:val="20"/>
          <w:szCs w:val="20"/>
          <w:lang w:val="en-IN"/>
        </w:rPr>
      </w:pPr>
    </w:p>
    <w:p w14:paraId="42729166">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0"/>
          <w:szCs w:val="20"/>
          <w:lang w:val="en-IN"/>
        </w:rPr>
      </w:pPr>
    </w:p>
    <w:p w14:paraId="5AC09B02">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0"/>
          <w:szCs w:val="20"/>
          <w:lang w:val="en-IN"/>
        </w:rPr>
      </w:pPr>
    </w:p>
    <w:p w14:paraId="50780DCD">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0"/>
          <w:szCs w:val="20"/>
          <w:lang w:val="en-IN"/>
        </w:rPr>
      </w:pPr>
    </w:p>
    <w:p w14:paraId="672B5D65">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0"/>
          <w:szCs w:val="20"/>
          <w:lang w:val="en-IN"/>
        </w:rPr>
      </w:pPr>
    </w:p>
    <w:p w14:paraId="79846CEB">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0"/>
          <w:szCs w:val="20"/>
          <w:lang w:val="en-IN"/>
        </w:rPr>
      </w:pPr>
    </w:p>
    <w:p w14:paraId="5A8FCF97">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0"/>
          <w:szCs w:val="20"/>
          <w:lang w:val="en-IN"/>
        </w:rPr>
      </w:pPr>
    </w:p>
    <w:p w14:paraId="73CCB87E">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rPr>
          <w:rFonts w:hint="default"/>
          <w:b/>
          <w:bCs/>
          <w:i/>
          <w:sz w:val="24"/>
          <w:szCs w:val="24"/>
          <w:lang w:val="en-IN"/>
        </w:rPr>
      </w:pPr>
      <w:r>
        <w:rPr>
          <w:rFonts w:hint="default"/>
          <w:b/>
          <w:bCs/>
          <w:i/>
          <w:sz w:val="20"/>
          <w:szCs w:val="20"/>
          <w:lang w:val="en-IN"/>
        </w:rPr>
        <w:t>Fig-2:-</w:t>
      </w:r>
      <w:r>
        <w:rPr>
          <w:rFonts w:hint="default" w:ascii="Times New Roman" w:hAnsi="Times New Roman"/>
          <w:b/>
          <w:bCs/>
          <w:i/>
          <w:sz w:val="20"/>
          <w:szCs w:val="20"/>
          <w:lang w:val="en-IN"/>
        </w:rPr>
        <w:t>Photomicrograph of pancreas section of Wistar rats (H &amp; E stain).</w:t>
      </w:r>
    </w:p>
    <w:p w14:paraId="61329707">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rPr>
          <w:rFonts w:hint="default"/>
          <w:b/>
          <w:bCs/>
          <w:i/>
          <w:sz w:val="24"/>
          <w:szCs w:val="24"/>
          <w:lang w:val="en-IN"/>
        </w:rPr>
      </w:pPr>
      <w:r>
        <w:rPr>
          <w:rFonts w:hint="default"/>
          <w:b/>
          <w:bCs/>
          <w:i/>
          <w:sz w:val="24"/>
          <w:szCs w:val="24"/>
          <w:lang w:val="en-IN"/>
        </w:rPr>
        <w:t>Key findings:-</w:t>
      </w:r>
    </w:p>
    <w:p w14:paraId="121B0536">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rPr>
          <w:rFonts w:hint="default" w:ascii="Times New Roman" w:hAnsi="Times New Roman" w:eastAsia="SimSun" w:cs="Times New Roman"/>
          <w:b w:val="0"/>
          <w:bCs w:val="0"/>
          <w:color w:val="auto"/>
          <w:kern w:val="0"/>
          <w:sz w:val="24"/>
          <w:szCs w:val="24"/>
          <w:lang w:val="en-IN" w:eastAsia="zh-CN" w:bidi="ar"/>
        </w:rPr>
      </w:pPr>
      <w:r>
        <w:rPr>
          <w:rFonts w:hint="default" w:ascii="Times New Roman" w:hAnsi="Times New Roman" w:eastAsia="SimSun" w:cs="Times New Roman"/>
          <w:b/>
          <w:bCs/>
          <w:i/>
          <w:color w:val="auto"/>
          <w:kern w:val="0"/>
          <w:sz w:val="24"/>
          <w:szCs w:val="24"/>
          <w:lang w:val="en-IN" w:eastAsia="zh-CN" w:bidi="ar"/>
        </w:rPr>
        <w:t>Antihyperglycemic Effect:</w:t>
      </w:r>
      <w:r>
        <w:rPr>
          <w:rFonts w:hint="default" w:ascii="Times New Roman" w:hAnsi="Times New Roman" w:eastAsia="SimSun" w:cs="Times New Roman"/>
          <w:b w:val="0"/>
          <w:bCs w:val="0"/>
          <w:color w:val="auto"/>
          <w:kern w:val="0"/>
          <w:sz w:val="24"/>
          <w:szCs w:val="24"/>
          <w:lang w:val="en-IN" w:eastAsia="zh-CN" w:bidi="ar"/>
        </w:rPr>
        <w:br w:type="textWrapping"/>
      </w:r>
      <w:r>
        <w:rPr>
          <w:rFonts w:hint="default" w:ascii="Times New Roman" w:hAnsi="Times New Roman" w:eastAsia="SimSun" w:cs="Times New Roman"/>
          <w:b w:val="0"/>
          <w:bCs w:val="0"/>
          <w:color w:val="auto"/>
          <w:kern w:val="0"/>
          <w:sz w:val="24"/>
          <w:szCs w:val="24"/>
          <w:lang w:val="en-IN" w:eastAsia="zh-CN" w:bidi="ar"/>
        </w:rPr>
        <w:t>Euphorbia hirta significantly reduced fasting blood glucose levels in STZ-induced diabetic rats, demonstrating its potential to manage hyperglycemia and improve glucose homeostasis.</w:t>
      </w:r>
    </w:p>
    <w:p w14:paraId="5B5236AE">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rPr>
          <w:rFonts w:hint="default" w:ascii="Times New Roman" w:hAnsi="Times New Roman" w:eastAsia="SimSun" w:cs="Times New Roman"/>
          <w:b w:val="0"/>
          <w:bCs w:val="0"/>
          <w:color w:val="auto"/>
          <w:kern w:val="0"/>
          <w:sz w:val="24"/>
          <w:szCs w:val="24"/>
          <w:lang w:val="en-IN" w:eastAsia="zh-CN" w:bidi="ar"/>
        </w:rPr>
      </w:pPr>
      <w:r>
        <w:rPr>
          <w:rFonts w:hint="default" w:ascii="Times New Roman" w:hAnsi="Times New Roman" w:eastAsia="SimSun" w:cs="Times New Roman"/>
          <w:b/>
          <w:bCs/>
          <w:i/>
          <w:color w:val="auto"/>
          <w:kern w:val="0"/>
          <w:sz w:val="24"/>
          <w:szCs w:val="24"/>
          <w:lang w:val="en-IN" w:eastAsia="zh-CN" w:bidi="ar"/>
        </w:rPr>
        <w:t>Cognitive Improvement:</w:t>
      </w:r>
      <w:r>
        <w:rPr>
          <w:rFonts w:hint="default" w:ascii="Times New Roman" w:hAnsi="Times New Roman" w:eastAsia="SimSun" w:cs="Times New Roman"/>
          <w:b w:val="0"/>
          <w:bCs w:val="0"/>
          <w:color w:val="auto"/>
          <w:kern w:val="0"/>
          <w:sz w:val="24"/>
          <w:szCs w:val="24"/>
          <w:lang w:val="en-IN" w:eastAsia="zh-CN" w:bidi="ar"/>
        </w:rPr>
        <w:br w:type="textWrapping"/>
      </w:r>
      <w:r>
        <w:rPr>
          <w:rFonts w:hint="default" w:ascii="Times New Roman" w:hAnsi="Times New Roman" w:eastAsia="SimSun" w:cs="Times New Roman"/>
          <w:b w:val="0"/>
          <w:bCs w:val="0"/>
          <w:color w:val="auto"/>
          <w:kern w:val="0"/>
          <w:sz w:val="24"/>
          <w:szCs w:val="24"/>
          <w:lang w:val="en-IN" w:eastAsia="zh-CN" w:bidi="ar"/>
        </w:rPr>
        <w:t>The extract improved cognitive functions, such as memory and learning, in diabetic rats, suggesting its ability to mitigate diabetes-associated cognitive dysfunction.</w:t>
      </w:r>
    </w:p>
    <w:p w14:paraId="231823CC">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rPr>
          <w:rFonts w:hint="default" w:ascii="Times New Roman" w:hAnsi="Times New Roman" w:eastAsia="SimSun" w:cs="Times New Roman"/>
          <w:b w:val="0"/>
          <w:bCs w:val="0"/>
          <w:color w:val="auto"/>
          <w:kern w:val="0"/>
          <w:sz w:val="24"/>
          <w:szCs w:val="24"/>
          <w:lang w:val="en-IN" w:eastAsia="zh-CN" w:bidi="ar"/>
        </w:rPr>
      </w:pPr>
      <w:r>
        <w:rPr>
          <w:rFonts w:hint="default" w:ascii="Times New Roman" w:hAnsi="Times New Roman" w:eastAsia="SimSun" w:cs="Times New Roman"/>
          <w:b/>
          <w:bCs/>
          <w:i/>
          <w:color w:val="auto"/>
          <w:kern w:val="0"/>
          <w:sz w:val="24"/>
          <w:szCs w:val="24"/>
          <w:lang w:val="en-IN" w:eastAsia="zh-CN" w:bidi="ar"/>
        </w:rPr>
        <w:t>Antioxidant Activity:</w:t>
      </w:r>
      <w:r>
        <w:rPr>
          <w:rFonts w:hint="default" w:ascii="Times New Roman" w:hAnsi="Times New Roman" w:eastAsia="SimSun" w:cs="Times New Roman"/>
          <w:b w:val="0"/>
          <w:bCs w:val="0"/>
          <w:color w:val="auto"/>
          <w:kern w:val="0"/>
          <w:sz w:val="24"/>
          <w:szCs w:val="24"/>
          <w:lang w:val="en-IN" w:eastAsia="zh-CN" w:bidi="ar"/>
        </w:rPr>
        <w:br w:type="textWrapping"/>
      </w:r>
      <w:r>
        <w:rPr>
          <w:rFonts w:hint="default" w:ascii="Times New Roman" w:hAnsi="Times New Roman" w:eastAsia="SimSun" w:cs="Times New Roman"/>
          <w:b w:val="0"/>
          <w:bCs w:val="0"/>
          <w:color w:val="auto"/>
          <w:kern w:val="0"/>
          <w:sz w:val="24"/>
          <w:szCs w:val="24"/>
          <w:lang w:val="en-IN" w:eastAsia="zh-CN" w:bidi="ar"/>
        </w:rPr>
        <w:t>Euphorbia hirta exhibited strong free radical scavenging activity in DPPH and reducing power assays, indicating its potential to combat oxidative stress, a key contributor to diabetic complications.</w:t>
      </w:r>
    </w:p>
    <w:p w14:paraId="57DB92E3">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rPr>
          <w:rFonts w:hint="default" w:ascii="Times New Roman" w:hAnsi="Times New Roman" w:eastAsia="SimSun" w:cs="Times New Roman"/>
          <w:b w:val="0"/>
          <w:bCs w:val="0"/>
          <w:color w:val="auto"/>
          <w:kern w:val="0"/>
          <w:sz w:val="24"/>
          <w:szCs w:val="24"/>
          <w:lang w:val="en-IN" w:eastAsia="zh-CN" w:bidi="ar"/>
        </w:rPr>
      </w:pPr>
      <w:r>
        <w:rPr>
          <w:rFonts w:hint="default" w:ascii="Times New Roman" w:hAnsi="Times New Roman" w:eastAsia="SimSun" w:cs="Times New Roman"/>
          <w:b/>
          <w:bCs/>
          <w:i/>
          <w:color w:val="auto"/>
          <w:kern w:val="0"/>
          <w:sz w:val="24"/>
          <w:szCs w:val="24"/>
          <w:lang w:val="en-IN" w:eastAsia="zh-CN" w:bidi="ar"/>
        </w:rPr>
        <w:t>Histopathological Restoration:</w:t>
      </w:r>
      <w:r>
        <w:rPr>
          <w:rFonts w:hint="default" w:ascii="Times New Roman" w:hAnsi="Times New Roman" w:eastAsia="SimSun" w:cs="Times New Roman"/>
          <w:b/>
          <w:bCs/>
          <w:i/>
          <w:color w:val="auto"/>
          <w:kern w:val="0"/>
          <w:sz w:val="24"/>
          <w:szCs w:val="24"/>
          <w:lang w:val="en-IN" w:eastAsia="zh-CN" w:bidi="ar"/>
        </w:rPr>
        <w:br w:type="textWrapping"/>
      </w:r>
      <w:r>
        <w:rPr>
          <w:rFonts w:hint="default" w:ascii="Times New Roman" w:hAnsi="Times New Roman" w:eastAsia="SimSun" w:cs="Times New Roman"/>
          <w:b w:val="0"/>
          <w:bCs w:val="0"/>
          <w:color w:val="auto"/>
          <w:kern w:val="0"/>
          <w:sz w:val="24"/>
          <w:szCs w:val="24"/>
          <w:lang w:val="en-IN" w:eastAsia="zh-CN" w:bidi="ar"/>
        </w:rPr>
        <w:t>Treatment with Euphorbia hirta led to the regeneration of pancreatic islets and β-cells, reduced hepatic damage, and improved brain tissue morphology, highlighting its tissue-protective effects</w:t>
      </w:r>
      <w:r>
        <w:rPr>
          <w:rFonts w:hint="default" w:cs="Times New Roman"/>
          <w:b w:val="0"/>
          <w:bCs w:val="0"/>
          <w:color w:val="auto"/>
          <w:kern w:val="0"/>
          <w:sz w:val="24"/>
          <w:szCs w:val="24"/>
          <w:lang w:val="en-IN" w:eastAsia="zh-CN" w:bidi="ar"/>
        </w:rPr>
        <w:t>.</w:t>
      </w:r>
    </w:p>
    <w:p w14:paraId="586B7B01">
      <w:pPr>
        <w:pStyle w:val="1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rPr>
          <w:rFonts w:hint="default" w:ascii="Times New Roman" w:hAnsi="Times New Roman" w:cs="Times New Roman"/>
          <w:b w:val="0"/>
          <w:bCs/>
          <w:sz w:val="24"/>
        </w:rPr>
      </w:pPr>
      <w:r>
        <w:rPr>
          <w:rFonts w:hint="default" w:ascii="Times New Roman" w:hAnsi="Times New Roman" w:eastAsia="SimSun" w:cs="Times New Roman"/>
          <w:b/>
          <w:bCs/>
          <w:i/>
          <w:color w:val="auto"/>
          <w:kern w:val="0"/>
          <w:sz w:val="24"/>
          <w:szCs w:val="24"/>
          <w:lang w:val="en-IN" w:eastAsia="zh-CN" w:bidi="ar"/>
        </w:rPr>
        <w:t>Phytochemical Richness</w:t>
      </w:r>
      <w:r>
        <w:rPr>
          <w:rFonts w:hint="default" w:ascii="Times New Roman" w:hAnsi="Times New Roman" w:eastAsia="SimSun" w:cs="Times New Roman"/>
          <w:b w:val="0"/>
          <w:bCs w:val="0"/>
          <w:color w:val="auto"/>
          <w:kern w:val="0"/>
          <w:sz w:val="24"/>
          <w:szCs w:val="24"/>
          <w:lang w:val="en-IN" w:eastAsia="zh-CN" w:bidi="ar"/>
        </w:rPr>
        <w:t>:</w:t>
      </w:r>
      <w:r>
        <w:rPr>
          <w:rFonts w:hint="default" w:ascii="Times New Roman" w:hAnsi="Times New Roman" w:eastAsia="SimSun" w:cs="Times New Roman"/>
          <w:b w:val="0"/>
          <w:bCs w:val="0"/>
          <w:color w:val="auto"/>
          <w:kern w:val="0"/>
          <w:sz w:val="24"/>
          <w:szCs w:val="24"/>
          <w:lang w:val="en-IN" w:eastAsia="zh-CN" w:bidi="ar"/>
        </w:rPr>
        <w:br w:type="textWrapping"/>
      </w:r>
      <w:r>
        <w:rPr>
          <w:rFonts w:hint="default" w:ascii="Times New Roman" w:hAnsi="Times New Roman" w:eastAsia="SimSun" w:cs="Times New Roman"/>
          <w:b w:val="0"/>
          <w:bCs w:val="0"/>
          <w:color w:val="auto"/>
          <w:kern w:val="0"/>
          <w:sz w:val="24"/>
          <w:szCs w:val="24"/>
          <w:lang w:val="en-IN" w:eastAsia="zh-CN" w:bidi="ar"/>
        </w:rPr>
        <w:t>The presence of bioactive compounds such as flavonoids, tannins, alkaloids, and phenolic acids in Euphorbia hirta underpins its therapeutic properties, including antioxidant, anti-inflammatory, and neuroprotective effect</w:t>
      </w:r>
    </w:p>
    <w:p w14:paraId="1B7F63D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4.2 Animals and Ethical Considerations</w:t>
      </w:r>
    </w:p>
    <w:p w14:paraId="07C6920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Species and Strain: Forty adult male Wistar rats (8-10 weeks old, 200-250g) were obtained from the National Laboratory Animal Center</w:t>
      </w:r>
    </w:p>
    <w:p w14:paraId="03ACA79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Housing Conditions:</w:t>
      </w:r>
    </w:p>
    <w:p w14:paraId="7E5A2088">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Maintained in polypropylene cages (47×34×20 cm)</w:t>
      </w:r>
    </w:p>
    <w:p w14:paraId="20A976E0">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Standard laboratory conditions (22±2°C, 55±10% humidity, 12h light/dark cycle)</w:t>
      </w:r>
    </w:p>
    <w:p w14:paraId="5A14FB1D">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Free access to standard pellet diet (Nutrilab Rodent Feed) and filtered water</w:t>
      </w:r>
    </w:p>
    <w:p w14:paraId="7C6D7DDD">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Ethical Approval: The study protocol was approved by the Institutional Animal Ethics Committee (IAEC/PHARM/2023/015) following CPCSEA guidelines</w:t>
      </w:r>
    </w:p>
    <w:p w14:paraId="38040C7A">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lang w:val="en-IN"/>
        </w:rPr>
        <w:t>Chemical Reagents:-</w:t>
      </w:r>
    </w:p>
    <w:tbl>
      <w:tblPr>
        <w:tblStyle w:val="5"/>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815"/>
        <w:gridCol w:w="2659"/>
        <w:gridCol w:w="1261"/>
        <w:gridCol w:w="1681"/>
      </w:tblGrid>
      <w:tr w14:paraId="3BB38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shd w:val="clear" w:color="auto" w:fill="auto"/>
            <w:vAlign w:val="center"/>
          </w:tcPr>
          <w:p w14:paraId="60AAB14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Chemical</w:t>
            </w:r>
          </w:p>
        </w:tc>
        <w:tc>
          <w:tcPr>
            <w:tcW w:w="0" w:type="auto"/>
            <w:shd w:val="clear" w:color="auto" w:fill="auto"/>
            <w:vAlign w:val="center"/>
          </w:tcPr>
          <w:p w14:paraId="29D65CE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Source</w:t>
            </w:r>
          </w:p>
        </w:tc>
        <w:tc>
          <w:tcPr>
            <w:tcW w:w="0" w:type="auto"/>
            <w:shd w:val="clear" w:color="auto" w:fill="auto"/>
            <w:vAlign w:val="center"/>
          </w:tcPr>
          <w:p w14:paraId="21DE58E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Catalog No.</w:t>
            </w:r>
          </w:p>
        </w:tc>
        <w:tc>
          <w:tcPr>
            <w:tcW w:w="0" w:type="auto"/>
            <w:shd w:val="clear" w:color="auto" w:fill="auto"/>
            <w:vAlign w:val="center"/>
          </w:tcPr>
          <w:p w14:paraId="36AAF93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Purity</w:t>
            </w:r>
          </w:p>
        </w:tc>
      </w:tr>
      <w:tr w14:paraId="435B1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shd w:val="clear" w:color="auto" w:fill="auto"/>
            <w:vAlign w:val="center"/>
          </w:tcPr>
          <w:p w14:paraId="51D138C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Streptozotocin (STZ)</w:t>
            </w:r>
          </w:p>
        </w:tc>
        <w:tc>
          <w:tcPr>
            <w:tcW w:w="0" w:type="auto"/>
            <w:shd w:val="clear" w:color="auto" w:fill="auto"/>
            <w:vAlign w:val="center"/>
          </w:tcPr>
          <w:p w14:paraId="50A83B3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Sigma-Aldrich, USA</w:t>
            </w:r>
          </w:p>
        </w:tc>
        <w:tc>
          <w:tcPr>
            <w:tcW w:w="0" w:type="auto"/>
            <w:shd w:val="clear" w:color="auto" w:fill="auto"/>
            <w:vAlign w:val="center"/>
          </w:tcPr>
          <w:p w14:paraId="14DB8EF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S0130</w:t>
            </w:r>
          </w:p>
        </w:tc>
        <w:tc>
          <w:tcPr>
            <w:tcW w:w="0" w:type="auto"/>
            <w:shd w:val="clear" w:color="auto" w:fill="auto"/>
            <w:vAlign w:val="center"/>
          </w:tcPr>
          <w:p w14:paraId="11F07D9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≥98%</w:t>
            </w:r>
          </w:p>
        </w:tc>
      </w:tr>
      <w:tr w14:paraId="6B828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shd w:val="clear" w:color="auto" w:fill="auto"/>
            <w:vAlign w:val="center"/>
          </w:tcPr>
          <w:p w14:paraId="63F72D3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Galantamine hydrobromide</w:t>
            </w:r>
          </w:p>
        </w:tc>
        <w:tc>
          <w:tcPr>
            <w:tcW w:w="0" w:type="auto"/>
            <w:shd w:val="clear" w:color="auto" w:fill="auto"/>
            <w:vAlign w:val="center"/>
          </w:tcPr>
          <w:p w14:paraId="7E6BD46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TCI Chemicals, Japan</w:t>
            </w:r>
          </w:p>
        </w:tc>
        <w:tc>
          <w:tcPr>
            <w:tcW w:w="0" w:type="auto"/>
            <w:shd w:val="clear" w:color="auto" w:fill="auto"/>
            <w:vAlign w:val="center"/>
          </w:tcPr>
          <w:p w14:paraId="25B010D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G0039</w:t>
            </w:r>
          </w:p>
        </w:tc>
        <w:tc>
          <w:tcPr>
            <w:tcW w:w="0" w:type="auto"/>
            <w:shd w:val="clear" w:color="auto" w:fill="auto"/>
            <w:vAlign w:val="center"/>
          </w:tcPr>
          <w:p w14:paraId="151216F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≥99%</w:t>
            </w:r>
          </w:p>
        </w:tc>
      </w:tr>
      <w:tr w14:paraId="4CB7D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shd w:val="clear" w:color="auto" w:fill="auto"/>
            <w:vAlign w:val="center"/>
          </w:tcPr>
          <w:p w14:paraId="541D00A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Thiobarbituric acid (TBA)</w:t>
            </w:r>
          </w:p>
        </w:tc>
        <w:tc>
          <w:tcPr>
            <w:tcW w:w="0" w:type="auto"/>
            <w:shd w:val="clear" w:color="auto" w:fill="auto"/>
            <w:vAlign w:val="center"/>
          </w:tcPr>
          <w:p w14:paraId="2C752237">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Merck, Germany</w:t>
            </w:r>
          </w:p>
        </w:tc>
        <w:tc>
          <w:tcPr>
            <w:tcW w:w="0" w:type="auto"/>
            <w:shd w:val="clear" w:color="auto" w:fill="auto"/>
            <w:vAlign w:val="center"/>
          </w:tcPr>
          <w:p w14:paraId="4ABFF3B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1.08337</w:t>
            </w:r>
          </w:p>
        </w:tc>
        <w:tc>
          <w:tcPr>
            <w:tcW w:w="0" w:type="auto"/>
            <w:shd w:val="clear" w:color="auto" w:fill="auto"/>
            <w:vAlign w:val="center"/>
          </w:tcPr>
          <w:p w14:paraId="57534E2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≥98%</w:t>
            </w:r>
          </w:p>
        </w:tc>
      </w:tr>
      <w:tr w14:paraId="066B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shd w:val="clear" w:color="auto" w:fill="auto"/>
            <w:vAlign w:val="center"/>
          </w:tcPr>
          <w:p w14:paraId="1F5AAD1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Ellman’s reagent (DTNB)</w:t>
            </w:r>
          </w:p>
        </w:tc>
        <w:tc>
          <w:tcPr>
            <w:tcW w:w="0" w:type="auto"/>
            <w:shd w:val="clear" w:color="auto" w:fill="auto"/>
            <w:vAlign w:val="center"/>
          </w:tcPr>
          <w:p w14:paraId="620961F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Sisco Research Labs, India</w:t>
            </w:r>
          </w:p>
        </w:tc>
        <w:tc>
          <w:tcPr>
            <w:tcW w:w="0" w:type="auto"/>
            <w:shd w:val="clear" w:color="auto" w:fill="auto"/>
            <w:vAlign w:val="center"/>
          </w:tcPr>
          <w:p w14:paraId="1E8ED8D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39550</w:t>
            </w:r>
          </w:p>
        </w:tc>
        <w:tc>
          <w:tcPr>
            <w:tcW w:w="0" w:type="auto"/>
            <w:shd w:val="clear" w:color="auto" w:fill="auto"/>
            <w:vAlign w:val="center"/>
          </w:tcPr>
          <w:p w14:paraId="5DF3B90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≥95%</w:t>
            </w:r>
          </w:p>
        </w:tc>
      </w:tr>
      <w:tr w14:paraId="161C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shd w:val="clear" w:color="auto" w:fill="auto"/>
            <w:vAlign w:val="center"/>
          </w:tcPr>
          <w:p w14:paraId="3EA2E68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All other solvents/chemicals</w:t>
            </w:r>
          </w:p>
        </w:tc>
        <w:tc>
          <w:tcPr>
            <w:tcW w:w="0" w:type="auto"/>
            <w:shd w:val="clear" w:color="auto" w:fill="auto"/>
            <w:vAlign w:val="center"/>
          </w:tcPr>
          <w:p w14:paraId="598A85E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Fisher Scientific, USA</w:t>
            </w:r>
          </w:p>
        </w:tc>
        <w:tc>
          <w:tcPr>
            <w:tcW w:w="0" w:type="auto"/>
            <w:shd w:val="clear" w:color="auto" w:fill="auto"/>
            <w:vAlign w:val="center"/>
          </w:tcPr>
          <w:p w14:paraId="2244EF0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09D5BEE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Analytical grade</w:t>
            </w:r>
          </w:p>
        </w:tc>
      </w:tr>
    </w:tbl>
    <w:p w14:paraId="79171428">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 w:val="0"/>
          <w:bCs/>
          <w:sz w:val="24"/>
        </w:rPr>
      </w:pPr>
    </w:p>
    <w:p w14:paraId="01CA27DB">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4.3 Induction of Diabetes</w:t>
      </w:r>
    </w:p>
    <w:p w14:paraId="42EE5EC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Diabetes was induced using streptozotocin (STZ):</w:t>
      </w:r>
    </w:p>
    <w:p w14:paraId="545C5BE9">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Preparation</w:t>
      </w:r>
      <w:r>
        <w:rPr>
          <w:rFonts w:hint="default" w:ascii="Times New Roman" w:hAnsi="Times New Roman" w:cs="Times New Roman"/>
          <w:b w:val="0"/>
          <w:bCs/>
          <w:sz w:val="24"/>
        </w:rPr>
        <w:t>: STZ (Sigma-Aldrich, S0130) freshly dissolved in 0.1M cold citrate buffer (pH 4.5)</w:t>
      </w:r>
    </w:p>
    <w:p w14:paraId="008BE190">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Dosage</w:t>
      </w:r>
      <w:r>
        <w:rPr>
          <w:rFonts w:hint="default" w:ascii="Times New Roman" w:hAnsi="Times New Roman" w:cs="Times New Roman"/>
          <w:b w:val="0"/>
          <w:bCs/>
          <w:sz w:val="24"/>
        </w:rPr>
        <w:t>: Single intraperitoneal injection (55 mg/kg body weight)</w:t>
      </w:r>
    </w:p>
    <w:p w14:paraId="6E9A2CE1">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Confirmation</w:t>
      </w:r>
      <w:r>
        <w:rPr>
          <w:rFonts w:hint="default" w:ascii="Times New Roman" w:hAnsi="Times New Roman" w:cs="Times New Roman"/>
          <w:b w:val="0"/>
          <w:bCs/>
          <w:sz w:val="24"/>
        </w:rPr>
        <w:t>:Fasting blood glucose measured 72h post-injection using glucometer (Accu-Chek Active)</w:t>
      </w:r>
    </w:p>
    <w:p w14:paraId="2AAAA507">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Rats with glucose levels ≥250 mg/dL included in diabetic groups</w:t>
      </w:r>
    </w:p>
    <w:p w14:paraId="2289D8A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4.4 Plant Material and Extract Preparation</w:t>
      </w:r>
    </w:p>
    <w:p w14:paraId="71443315">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Collection</w:t>
      </w:r>
      <w:r>
        <w:rPr>
          <w:rFonts w:hint="default" w:ascii="Times New Roman" w:hAnsi="Times New Roman" w:cs="Times New Roman"/>
          <w:b w:val="0"/>
          <w:bCs/>
          <w:sz w:val="24"/>
        </w:rPr>
        <w:t>: Euphorbia hirta whole plant collected from medicinal plant garden (voucher specimen EH-2023-01 deposited in herbarium)</w:t>
      </w:r>
    </w:p>
    <w:p w14:paraId="24FB7CC8">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Extraction</w:t>
      </w:r>
      <w:r>
        <w:rPr>
          <w:rFonts w:hint="default" w:ascii="Times New Roman" w:hAnsi="Times New Roman" w:cs="Times New Roman"/>
          <w:b w:val="0"/>
          <w:bCs/>
          <w:sz w:val="24"/>
        </w:rPr>
        <w:t>:</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Air-dried plant material powdered (40 mesh)</w:t>
      </w:r>
    </w:p>
    <w:p w14:paraId="6A0FCBD9">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Soxhlet extraction using 70% ethanol (1:10 w/v) for 72h</w:t>
      </w:r>
    </w:p>
    <w:p w14:paraId="62783039">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Extract concentrated under reduced pressure (40°C), yield: 18.2% w/w</w:t>
      </w:r>
    </w:p>
    <w:p w14:paraId="6F18A834">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Phytochemical Screening</w:t>
      </w:r>
      <w:r>
        <w:rPr>
          <w:rFonts w:hint="default" w:ascii="Times New Roman" w:hAnsi="Times New Roman" w:cs="Times New Roman"/>
          <w:b w:val="0"/>
          <w:bCs/>
          <w:sz w:val="24"/>
        </w:rPr>
        <w:t>: Confirmed presence of flavonoids, tannins, and alkaloids using standard tests</w:t>
      </w:r>
    </w:p>
    <w:p w14:paraId="64C06F5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4.5 Experimental Groups and Treatment</w:t>
      </w:r>
    </w:p>
    <w:p w14:paraId="632648AE">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Animals were randomly divided into five groups (n=8 each):</w:t>
      </w:r>
    </w:p>
    <w:p w14:paraId="1EF01917">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Normal Control (NC): Received vehicle (1% CMC, 5 mL/kg/day, p.o.)</w:t>
      </w:r>
    </w:p>
    <w:p w14:paraId="42BE9349">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Diabetic Control (DC): STZ + vehicle</w:t>
      </w:r>
    </w:p>
    <w:p w14:paraId="492645E3">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Metformin Control (MET): STZ + metformin (150 mg/kg/day, p.o.)</w:t>
      </w:r>
    </w:p>
    <w:p w14:paraId="5C6FD771">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E. hirta Low Dose (EHL): STZ + 200 mg/kg/day, p.o.</w:t>
      </w:r>
    </w:p>
    <w:p w14:paraId="6D216BA0">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lang w:val="en-IN"/>
        </w:rPr>
      </w:pPr>
      <w:r>
        <w:rPr>
          <w:rFonts w:hint="default" w:ascii="Times New Roman" w:hAnsi="Times New Roman" w:cs="Times New Roman"/>
          <w:b w:val="0"/>
          <w:bCs/>
          <w:sz w:val="24"/>
        </w:rPr>
        <w:t>E. hirta High Dose (EHH): STZ + 400 mg/kg/day, p.o</w:t>
      </w:r>
      <w:r>
        <w:rPr>
          <w:rFonts w:hint="default" w:ascii="Times New Roman" w:hAnsi="Times New Roman" w:cs="Times New Roman"/>
          <w:b w:val="0"/>
          <w:bCs/>
          <w:sz w:val="24"/>
          <w:lang w:val="en-IN"/>
        </w:rPr>
        <w:t>.</w:t>
      </w:r>
    </w:p>
    <w:p w14:paraId="2E88849C">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Treatments administered daily for 6 weeks via oral gavage. Body weight and blood glucose monitored weekly.</w:t>
      </w:r>
    </w:p>
    <w:p w14:paraId="67430912">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4.6 Behavioral Assessments</w:t>
      </w:r>
    </w:p>
    <w:p w14:paraId="1F9B7208">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4.6.1 Novel Object Recognition Test (NORT)</w:t>
      </w:r>
    </w:p>
    <w:p w14:paraId="12BACF8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Apparatus</w:t>
      </w:r>
      <w:r>
        <w:rPr>
          <w:rFonts w:hint="default" w:ascii="Times New Roman" w:hAnsi="Times New Roman" w:cs="Times New Roman"/>
          <w:b w:val="0"/>
          <w:bCs/>
          <w:sz w:val="24"/>
        </w:rPr>
        <w:t>: Open field (60×60×40 cm) with two identical objects (Day 1)</w:t>
      </w:r>
    </w:p>
    <w:p w14:paraId="0783E5E7">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lang w:val="en-IN"/>
        </w:rPr>
      </w:pPr>
      <w:r>
        <w:rPr>
          <w:rFonts w:hint="default" w:ascii="Times New Roman" w:hAnsi="Times New Roman" w:cs="Times New Roman"/>
          <w:b/>
          <w:bCs w:val="0"/>
          <w:sz w:val="24"/>
        </w:rPr>
        <w:t>Protocol:</w:t>
      </w:r>
      <w:r>
        <w:rPr>
          <w:rFonts w:hint="default" w:ascii="Times New Roman" w:hAnsi="Times New Roman" w:cs="Times New Roman"/>
          <w:b w:val="0"/>
          <w:bCs/>
          <w:sz w:val="24"/>
        </w:rPr>
        <w:t>Habituation (10 min in empty arena)</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Training phase (5 min with two identical objects)</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Retention phase (5 min, 24h later, one novel object)</w:t>
      </w:r>
      <w:r>
        <w:rPr>
          <w:rFonts w:hint="default" w:ascii="Times New Roman" w:hAnsi="Times New Roman" w:cs="Times New Roman"/>
          <w:b w:val="0"/>
          <w:bCs/>
          <w:sz w:val="24"/>
          <w:lang w:val="en-IN"/>
        </w:rPr>
        <w:t>.</w:t>
      </w:r>
    </w:p>
    <w:p w14:paraId="0D425BB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Analysis</w:t>
      </w:r>
      <w:r>
        <w:rPr>
          <w:rFonts w:hint="default" w:ascii="Times New Roman" w:hAnsi="Times New Roman" w:cs="Times New Roman"/>
          <w:b w:val="0"/>
          <w:bCs/>
          <w:sz w:val="24"/>
        </w:rPr>
        <w:t>: Discrimination index = (Time with novel object - Time with familiar object)/Total exploration time</w:t>
      </w:r>
    </w:p>
    <w:p w14:paraId="22F405DF">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 xml:space="preserve"> Oxidative Stress Markers</w:t>
      </w:r>
    </w:p>
    <w:tbl>
      <w:tblPr>
        <w:tblStyle w:val="5"/>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29"/>
        <w:gridCol w:w="2538"/>
        <w:gridCol w:w="3649"/>
      </w:tblGrid>
      <w:tr w14:paraId="0A0E4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shd w:val="clear" w:color="auto" w:fill="auto"/>
            <w:vAlign w:val="center"/>
          </w:tcPr>
          <w:p w14:paraId="7142D72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Parameter</w:t>
            </w:r>
          </w:p>
        </w:tc>
        <w:tc>
          <w:tcPr>
            <w:tcW w:w="0" w:type="auto"/>
            <w:shd w:val="clear" w:color="auto" w:fill="auto"/>
            <w:vAlign w:val="center"/>
          </w:tcPr>
          <w:p w14:paraId="4F2F7DE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Method</w:t>
            </w:r>
          </w:p>
        </w:tc>
        <w:tc>
          <w:tcPr>
            <w:tcW w:w="0" w:type="auto"/>
            <w:shd w:val="clear" w:color="auto" w:fill="auto"/>
            <w:vAlign w:val="center"/>
          </w:tcPr>
          <w:p w14:paraId="1970B27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Results (Mean ± SEM)</w:t>
            </w:r>
          </w:p>
        </w:tc>
      </w:tr>
      <w:tr w14:paraId="1BAD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shd w:val="clear" w:color="auto" w:fill="auto"/>
            <w:vAlign w:val="center"/>
          </w:tcPr>
          <w:p w14:paraId="196E031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Lipid Peroxidation (MDA)</w:t>
            </w:r>
          </w:p>
        </w:tc>
        <w:tc>
          <w:tcPr>
            <w:tcW w:w="0" w:type="auto"/>
            <w:shd w:val="clear" w:color="auto" w:fill="auto"/>
            <w:vAlign w:val="center"/>
          </w:tcPr>
          <w:p w14:paraId="369C983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TBARS assay (Ohkawa et al., 1979)</w:t>
            </w:r>
          </w:p>
        </w:tc>
        <w:tc>
          <w:tcPr>
            <w:tcW w:w="0" w:type="auto"/>
            <w:shd w:val="clear" w:color="auto" w:fill="auto"/>
            <w:vAlign w:val="center"/>
          </w:tcPr>
          <w:p w14:paraId="518E084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 8.2 ± 0.6 nmol/mg protein → EH-200: 3.1 ± 0.4**</w:t>
            </w:r>
          </w:p>
        </w:tc>
      </w:tr>
      <w:tr w14:paraId="2314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shd w:val="clear" w:color="auto" w:fill="auto"/>
            <w:vAlign w:val="center"/>
          </w:tcPr>
          <w:p w14:paraId="435CA85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Reduced Glutathione (GSH)</w:t>
            </w:r>
          </w:p>
        </w:tc>
        <w:tc>
          <w:tcPr>
            <w:tcW w:w="0" w:type="auto"/>
            <w:shd w:val="clear" w:color="auto" w:fill="auto"/>
            <w:vAlign w:val="center"/>
          </w:tcPr>
          <w:p w14:paraId="09E25EA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Ellman’s method (Ellman, 1959)</w:t>
            </w:r>
          </w:p>
        </w:tc>
        <w:tc>
          <w:tcPr>
            <w:tcW w:w="0" w:type="auto"/>
            <w:shd w:val="clear" w:color="auto" w:fill="auto"/>
            <w:vAlign w:val="center"/>
          </w:tcPr>
          <w:p w14:paraId="57761C0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 1.8 ± 0.2 µmol/mg → EH-200: 4.5 ± 0.3**</w:t>
            </w:r>
          </w:p>
        </w:tc>
      </w:tr>
      <w:tr w14:paraId="5C32B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shd w:val="clear" w:color="auto" w:fill="auto"/>
            <w:vAlign w:val="center"/>
          </w:tcPr>
          <w:p w14:paraId="021BE5D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Catalase Activity</w:t>
            </w:r>
          </w:p>
        </w:tc>
        <w:tc>
          <w:tcPr>
            <w:tcW w:w="0" w:type="auto"/>
            <w:shd w:val="clear" w:color="auto" w:fill="auto"/>
            <w:vAlign w:val="center"/>
          </w:tcPr>
          <w:p w14:paraId="3EC4EAD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Aebi (1984)</w:t>
            </w:r>
          </w:p>
        </w:tc>
        <w:tc>
          <w:tcPr>
            <w:tcW w:w="0" w:type="auto"/>
            <w:shd w:val="clear" w:color="auto" w:fill="auto"/>
            <w:vAlign w:val="center"/>
          </w:tcPr>
          <w:p w14:paraId="01F6308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 12.4 ± 1.1 U/mg → EH-200: 28.6 ± 2.0**</w:t>
            </w:r>
          </w:p>
        </w:tc>
      </w:tr>
    </w:tbl>
    <w:p w14:paraId="5B867FBA">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Acetylcholinesterase (AChE)</w:t>
      </w:r>
    </w:p>
    <w:p w14:paraId="4AB0268E">
      <w:pPr>
        <w:keepNext w:val="0"/>
        <w:keepLines w:val="0"/>
        <w:pageBreakBefore w:val="0"/>
        <w:widowControl/>
        <w:numPr>
          <w:ilvl w:val="1"/>
          <w:numId w:val="6"/>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Method:</w:t>
      </w:r>
      <w:r>
        <w:rPr>
          <w:rFonts w:hint="default" w:ascii="Times New Roman" w:hAnsi="Times New Roman" w:cs="Times New Roman"/>
          <w:sz w:val="24"/>
          <w:szCs w:val="24"/>
        </w:rPr>
        <w:t xml:space="preserve"> Ellman et al. (1961).</w:t>
      </w:r>
    </w:p>
    <w:p w14:paraId="6F0C6C18">
      <w:pPr>
        <w:keepNext w:val="0"/>
        <w:keepLines w:val="0"/>
        <w:pageBreakBefore w:val="0"/>
        <w:widowControl/>
        <w:numPr>
          <w:ilvl w:val="1"/>
          <w:numId w:val="6"/>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Results:</w:t>
      </w:r>
      <w:r>
        <w:rPr>
          <w:rFonts w:hint="default" w:ascii="Times New Roman" w:hAnsi="Times New Roman" w:cs="Times New Roman"/>
          <w:sz w:val="24"/>
          <w:szCs w:val="24"/>
        </w:rPr>
        <w:t xml:space="preserve"> DC: 0.85 ± 0.07 ΔOD/min/mg → EH-200: 0.32 ± 0.04**.</w:t>
      </w:r>
    </w:p>
    <w:p w14:paraId="6FD17557">
      <w:pPr>
        <w:keepNext w:val="0"/>
        <w:keepLines w:val="0"/>
        <w:pageBreakBefore w:val="0"/>
        <w:widowControl/>
        <w:numPr>
          <w:ilvl w:val="1"/>
          <w:numId w:val="6"/>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b w:val="0"/>
          <w:bCs/>
          <w:sz w:val="24"/>
        </w:rPr>
      </w:pPr>
      <w:r>
        <w:rPr>
          <w:rFonts w:hint="default" w:ascii="Times New Roman" w:hAnsi="Times New Roman" w:cs="Times New Roman"/>
          <w:sz w:val="24"/>
          <w:szCs w:val="24"/>
        </w:rPr>
        <w:t>(**p &lt; 0.01 vs. DC; one-way ANOVA + Tukey’s test).</w:t>
      </w:r>
    </w:p>
    <w:p w14:paraId="220BE34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4.6.2 Y-Maze Test</w:t>
      </w:r>
    </w:p>
    <w:p w14:paraId="011F2457">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Apparatus</w:t>
      </w:r>
      <w:r>
        <w:rPr>
          <w:rFonts w:hint="default" w:ascii="Times New Roman" w:hAnsi="Times New Roman" w:cs="Times New Roman"/>
          <w:b w:val="0"/>
          <w:bCs/>
          <w:sz w:val="24"/>
        </w:rPr>
        <w:t>: Three-arm maze (40 cm long, 15 cm wide, 30 cm high)</w:t>
      </w:r>
    </w:p>
    <w:p w14:paraId="4E926FD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Protocol:</w:t>
      </w:r>
      <w:r>
        <w:rPr>
          <w:rFonts w:hint="default" w:ascii="Times New Roman" w:hAnsi="Times New Roman" w:cs="Times New Roman"/>
          <w:b w:val="0"/>
          <w:bCs/>
          <w:sz w:val="24"/>
        </w:rPr>
        <w:t xml:space="preserve"> Single 8-min session</w:t>
      </w:r>
    </w:p>
    <w:p w14:paraId="1B1AFD64">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Analysis</w:t>
      </w:r>
      <w:r>
        <w:rPr>
          <w:rFonts w:hint="default" w:ascii="Times New Roman" w:hAnsi="Times New Roman" w:cs="Times New Roman"/>
          <w:b w:val="0"/>
          <w:bCs/>
          <w:sz w:val="24"/>
        </w:rPr>
        <w:t>:</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Spontaneous alternation (%) = (Number of alternations)/(Total arm entries - 2) × 100</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Total arm entries (activity index)</w:t>
      </w:r>
    </w:p>
    <w:p w14:paraId="17A80DA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4.7 Biochemical Analysis</w:t>
      </w:r>
    </w:p>
    <w:p w14:paraId="615188EB">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4.7.1 Tissue Preparation</w:t>
      </w:r>
    </w:p>
    <w:p w14:paraId="1F845900">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Rats sacrificed under anesthesia (thiopental 40 mg/kg, i.p.)</w:t>
      </w:r>
    </w:p>
    <w:p w14:paraId="2D8BA27F">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Brain rapidly removed, hippocampus dissected on ice</w:t>
      </w:r>
    </w:p>
    <w:p w14:paraId="0E1F355D">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Homogenized (10% w/v) in ice-cold phosphate buffer (pH 7.4)</w:t>
      </w:r>
    </w:p>
    <w:p w14:paraId="652663C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4.7.2 Oxidative Stress Markers</w:t>
      </w:r>
    </w:p>
    <w:p w14:paraId="5A041F5E">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Lipid Peroxidation (MDA)</w:t>
      </w:r>
      <w:r>
        <w:rPr>
          <w:rFonts w:hint="default" w:ascii="Times New Roman" w:hAnsi="Times New Roman" w:cs="Times New Roman"/>
          <w:b w:val="0"/>
          <w:bCs/>
          <w:sz w:val="24"/>
        </w:rPr>
        <w:t>:</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TBARS method at 532 nm</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Expressed as nmol MDA/mg protein</w:t>
      </w:r>
    </w:p>
    <w:p w14:paraId="3EE0111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Reduced Glutathione (GSH):</w:t>
      </w:r>
      <w:r>
        <w:rPr>
          <w:rFonts w:hint="default" w:ascii="Times New Roman" w:hAnsi="Times New Roman" w:cs="Times New Roman"/>
          <w:b/>
          <w:bCs w:val="0"/>
          <w:sz w:val="24"/>
          <w:lang w:val="en-IN"/>
        </w:rPr>
        <w:t xml:space="preserve"> </w:t>
      </w:r>
      <w:r>
        <w:rPr>
          <w:rFonts w:hint="default" w:ascii="Times New Roman" w:hAnsi="Times New Roman" w:cs="Times New Roman"/>
          <w:b w:val="0"/>
          <w:bCs/>
          <w:sz w:val="24"/>
        </w:rPr>
        <w:t>Ellman's method at 412 nm</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Expressed as µmol GSH/mg protein</w:t>
      </w:r>
    </w:p>
    <w:p w14:paraId="5FC1A39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Catalase Activity:</w:t>
      </w:r>
      <w:r>
        <w:rPr>
          <w:rFonts w:hint="default" w:ascii="Times New Roman" w:hAnsi="Times New Roman" w:cs="Times New Roman"/>
          <w:b/>
          <w:bCs w:val="0"/>
          <w:sz w:val="24"/>
          <w:lang w:val="en-IN"/>
        </w:rPr>
        <w:t xml:space="preserve"> </w:t>
      </w:r>
      <w:r>
        <w:rPr>
          <w:rFonts w:hint="default" w:ascii="Times New Roman" w:hAnsi="Times New Roman" w:cs="Times New Roman"/>
          <w:b w:val="0"/>
          <w:bCs/>
          <w:sz w:val="24"/>
        </w:rPr>
        <w:t>H₂O₂ decomposition at 240 nm</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Expressed as units/mg protein</w:t>
      </w:r>
    </w:p>
    <w:p w14:paraId="211766E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Protein Carbonyl Content:</w:t>
      </w:r>
      <w:r>
        <w:rPr>
          <w:rFonts w:hint="default" w:ascii="Times New Roman" w:hAnsi="Times New Roman" w:cs="Times New Roman"/>
          <w:b/>
          <w:bCs w:val="0"/>
          <w:sz w:val="24"/>
          <w:lang w:val="en-IN"/>
        </w:rPr>
        <w:t xml:space="preserve"> </w:t>
      </w:r>
      <w:r>
        <w:rPr>
          <w:rFonts w:hint="default" w:ascii="Times New Roman" w:hAnsi="Times New Roman" w:cs="Times New Roman"/>
          <w:b w:val="0"/>
          <w:bCs/>
          <w:sz w:val="24"/>
        </w:rPr>
        <w:t>DNPH method at 370 nm</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Expressed as nmol/mg protein</w:t>
      </w:r>
    </w:p>
    <w:p w14:paraId="4F77CE90">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Acetylcholinesterase (AChE):</w:t>
      </w:r>
      <w:r>
        <w:rPr>
          <w:rFonts w:hint="default" w:ascii="Times New Roman" w:hAnsi="Times New Roman" w:cs="Times New Roman"/>
          <w:b/>
          <w:bCs w:val="0"/>
          <w:sz w:val="24"/>
          <w:lang w:val="en-IN"/>
        </w:rPr>
        <w:t xml:space="preserve"> </w:t>
      </w:r>
      <w:r>
        <w:rPr>
          <w:rFonts w:hint="default" w:ascii="Times New Roman" w:hAnsi="Times New Roman" w:cs="Times New Roman"/>
          <w:b w:val="0"/>
          <w:bCs/>
          <w:sz w:val="24"/>
        </w:rPr>
        <w:t>Ellman's method at 412 nm</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Expressed as µmol/min/mg protein</w:t>
      </w:r>
    </w:p>
    <w:p w14:paraId="4E45253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4.8 Histopathological Examination</w:t>
      </w:r>
    </w:p>
    <w:p w14:paraId="5D87282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Tissue Processing:</w:t>
      </w:r>
      <w:r>
        <w:rPr>
          <w:rFonts w:hint="default" w:ascii="Times New Roman" w:hAnsi="Times New Roman" w:cs="Times New Roman"/>
          <w:b/>
          <w:bCs w:val="0"/>
          <w:sz w:val="24"/>
          <w:lang w:val="en-IN"/>
        </w:rPr>
        <w:t xml:space="preserve"> </w:t>
      </w:r>
      <w:r>
        <w:rPr>
          <w:rFonts w:hint="default" w:ascii="Times New Roman" w:hAnsi="Times New Roman" w:cs="Times New Roman"/>
          <w:b w:val="0"/>
          <w:bCs/>
          <w:sz w:val="24"/>
        </w:rPr>
        <w:t>Brains fixed in 10% neutral buffered formalin</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Paraffin embedding, coronal sections (5 µm)</w:t>
      </w:r>
    </w:p>
    <w:p w14:paraId="68853A1E">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Staining</w:t>
      </w:r>
      <w:r>
        <w:rPr>
          <w:rFonts w:hint="default" w:ascii="Times New Roman" w:hAnsi="Times New Roman" w:cs="Times New Roman"/>
          <w:b w:val="0"/>
          <w:bCs/>
          <w:sz w:val="24"/>
        </w:rPr>
        <w:t>: Hematoxylin &amp; eosin</w:t>
      </w:r>
    </w:p>
    <w:p w14:paraId="60EC694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Analysis</w:t>
      </w:r>
      <w:r>
        <w:rPr>
          <w:rFonts w:hint="default" w:ascii="Times New Roman" w:hAnsi="Times New Roman" w:cs="Times New Roman"/>
          <w:b w:val="0"/>
          <w:bCs/>
          <w:sz w:val="24"/>
        </w:rPr>
        <w:t>:</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Hippocampal CA1 neuronal density (cells/mm²)</w:t>
      </w:r>
      <w:r>
        <w:rPr>
          <w:rFonts w:hint="default" w:ascii="Times New Roman" w:hAnsi="Times New Roman" w:cs="Times New Roman"/>
          <w:b w:val="0"/>
          <w:bCs/>
          <w:sz w:val="24"/>
          <w:lang w:val="en-IN"/>
        </w:rPr>
        <w:t xml:space="preserve">, </w:t>
      </w:r>
      <w:r>
        <w:rPr>
          <w:rFonts w:hint="default" w:ascii="Times New Roman" w:hAnsi="Times New Roman" w:cs="Times New Roman"/>
          <w:b w:val="0"/>
          <w:bCs/>
          <w:sz w:val="24"/>
        </w:rPr>
        <w:t>Pyramidal cell morphology</w:t>
      </w:r>
    </w:p>
    <w:p w14:paraId="19ABDD9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lang w:val="en-IN"/>
        </w:rPr>
      </w:pPr>
      <w:r>
        <w:rPr>
          <w:rStyle w:val="11"/>
          <w:rFonts w:hint="default" w:ascii="Times New Roman" w:hAnsi="Times New Roman" w:cs="Times New Roman"/>
          <w:i/>
          <w:sz w:val="24"/>
          <w:szCs w:val="24"/>
        </w:rPr>
        <w:t>Data Elaboration and Potential Graphs</w:t>
      </w:r>
      <w:r>
        <w:rPr>
          <w:rStyle w:val="11"/>
          <w:rFonts w:hint="default" w:cs="Times New Roman"/>
          <w:i/>
          <w:sz w:val="24"/>
          <w:szCs w:val="24"/>
          <w:lang w:val="en-IN"/>
        </w:rPr>
        <w:t xml:space="preserve">: </w:t>
      </w:r>
    </w:p>
    <w:p w14:paraId="327AF62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 xml:space="preserve">Table 1: Effect of </w:t>
      </w:r>
      <w:r>
        <w:rPr>
          <w:rStyle w:val="6"/>
          <w:rFonts w:hint="default" w:ascii="Times New Roman" w:hAnsi="Times New Roman" w:cs="Times New Roman"/>
          <w:sz w:val="24"/>
          <w:szCs w:val="24"/>
        </w:rPr>
        <w:t>Euphorbia hirta</w:t>
      </w:r>
      <w:r>
        <w:rPr>
          <w:rStyle w:val="11"/>
          <w:rFonts w:hint="default" w:ascii="Times New Roman" w:hAnsi="Times New Roman" w:cs="Times New Roman"/>
          <w:i/>
          <w:sz w:val="24"/>
          <w:szCs w:val="24"/>
        </w:rPr>
        <w:t xml:space="preserve"> on Oxidative Stress Markers and AChE Activity</w:t>
      </w:r>
    </w:p>
    <w:tbl>
      <w:tblPr>
        <w:tblStyle w:val="5"/>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16"/>
        <w:gridCol w:w="2190"/>
        <w:gridCol w:w="1506"/>
        <w:gridCol w:w="1461"/>
        <w:gridCol w:w="2043"/>
      </w:tblGrid>
      <w:tr w14:paraId="0A0B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1171" w:type="dxa"/>
            <w:shd w:val="clear" w:color="auto" w:fill="auto"/>
            <w:vAlign w:val="center"/>
          </w:tcPr>
          <w:p w14:paraId="476DD5A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Group</w:t>
            </w:r>
          </w:p>
        </w:tc>
        <w:tc>
          <w:tcPr>
            <w:tcW w:w="2159" w:type="dxa"/>
            <w:shd w:val="clear" w:color="auto" w:fill="auto"/>
            <w:vAlign w:val="center"/>
          </w:tcPr>
          <w:p w14:paraId="277CC4F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MDA (nmol/mg protein)</w:t>
            </w:r>
          </w:p>
        </w:tc>
        <w:tc>
          <w:tcPr>
            <w:tcW w:w="0" w:type="auto"/>
            <w:shd w:val="clear" w:color="auto" w:fill="auto"/>
            <w:vAlign w:val="center"/>
          </w:tcPr>
          <w:p w14:paraId="42536B5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GSH (µmol/mg)</w:t>
            </w:r>
          </w:p>
        </w:tc>
        <w:tc>
          <w:tcPr>
            <w:tcW w:w="0" w:type="auto"/>
            <w:shd w:val="clear" w:color="auto" w:fill="auto"/>
            <w:vAlign w:val="center"/>
          </w:tcPr>
          <w:p w14:paraId="1C4CFB7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Catalase (U/mg)</w:t>
            </w:r>
          </w:p>
        </w:tc>
        <w:tc>
          <w:tcPr>
            <w:tcW w:w="0" w:type="auto"/>
            <w:shd w:val="clear" w:color="auto" w:fill="auto"/>
            <w:vAlign w:val="center"/>
          </w:tcPr>
          <w:p w14:paraId="4EE96230">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b/>
                <w:bCs/>
                <w:sz w:val="24"/>
                <w:szCs w:val="24"/>
              </w:rPr>
            </w:pPr>
            <w:r>
              <w:rPr>
                <w:rFonts w:hint="default" w:ascii="Times New Roman" w:hAnsi="Times New Roman" w:eastAsia="SimSun" w:cs="Times New Roman"/>
                <w:b/>
                <w:bCs/>
                <w:i/>
                <w:kern w:val="0"/>
                <w:sz w:val="24"/>
                <w:szCs w:val="24"/>
                <w:lang w:val="en-US" w:eastAsia="zh-CN" w:bidi="ar"/>
              </w:rPr>
              <w:t>AChE (ΔOD/min/mg)</w:t>
            </w:r>
          </w:p>
        </w:tc>
      </w:tr>
      <w:tr w14:paraId="01EB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1171" w:type="dxa"/>
            <w:shd w:val="clear" w:color="auto" w:fill="auto"/>
            <w:vAlign w:val="center"/>
          </w:tcPr>
          <w:p w14:paraId="5432FE1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NC</w:t>
            </w:r>
          </w:p>
        </w:tc>
        <w:tc>
          <w:tcPr>
            <w:tcW w:w="2159" w:type="dxa"/>
            <w:shd w:val="clear" w:color="auto" w:fill="auto"/>
            <w:vAlign w:val="center"/>
          </w:tcPr>
          <w:p w14:paraId="3BCCE7A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146BCDC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0952FA0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659DCB0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r>
      <w:tr w14:paraId="3D36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1171" w:type="dxa"/>
            <w:shd w:val="clear" w:color="auto" w:fill="auto"/>
            <w:vAlign w:val="center"/>
          </w:tcPr>
          <w:p w14:paraId="5728CAD0">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w:t>
            </w:r>
          </w:p>
        </w:tc>
        <w:tc>
          <w:tcPr>
            <w:tcW w:w="2159" w:type="dxa"/>
            <w:shd w:val="clear" w:color="auto" w:fill="auto"/>
            <w:vAlign w:val="center"/>
          </w:tcPr>
          <w:p w14:paraId="35507B1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8.2 ± 0.6</w:t>
            </w:r>
          </w:p>
        </w:tc>
        <w:tc>
          <w:tcPr>
            <w:tcW w:w="0" w:type="auto"/>
            <w:shd w:val="clear" w:color="auto" w:fill="auto"/>
            <w:vAlign w:val="center"/>
          </w:tcPr>
          <w:p w14:paraId="084A4FA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1.8 ± 0.2</w:t>
            </w:r>
          </w:p>
        </w:tc>
        <w:tc>
          <w:tcPr>
            <w:tcW w:w="0" w:type="auto"/>
            <w:shd w:val="clear" w:color="auto" w:fill="auto"/>
            <w:vAlign w:val="center"/>
          </w:tcPr>
          <w:p w14:paraId="4B75913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12.4 ± 1.1</w:t>
            </w:r>
          </w:p>
        </w:tc>
        <w:tc>
          <w:tcPr>
            <w:tcW w:w="0" w:type="auto"/>
            <w:shd w:val="clear" w:color="auto" w:fill="auto"/>
            <w:vAlign w:val="center"/>
          </w:tcPr>
          <w:p w14:paraId="71F0A2E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0.85 ± 0.07</w:t>
            </w:r>
          </w:p>
        </w:tc>
      </w:tr>
      <w:tr w14:paraId="290C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1171" w:type="dxa"/>
            <w:shd w:val="clear" w:color="auto" w:fill="auto"/>
            <w:vAlign w:val="center"/>
          </w:tcPr>
          <w:p w14:paraId="36884B1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STD</w:t>
            </w:r>
          </w:p>
        </w:tc>
        <w:tc>
          <w:tcPr>
            <w:tcW w:w="2159" w:type="dxa"/>
            <w:shd w:val="clear" w:color="auto" w:fill="auto"/>
            <w:vAlign w:val="center"/>
          </w:tcPr>
          <w:p w14:paraId="35AA872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03EE6A6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7314EBB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5D2A993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r>
      <w:tr w14:paraId="186D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1171" w:type="dxa"/>
            <w:shd w:val="clear" w:color="auto" w:fill="auto"/>
            <w:vAlign w:val="center"/>
          </w:tcPr>
          <w:p w14:paraId="343FA98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EH-100</w:t>
            </w:r>
          </w:p>
        </w:tc>
        <w:tc>
          <w:tcPr>
            <w:tcW w:w="2159" w:type="dxa"/>
            <w:shd w:val="clear" w:color="auto" w:fill="auto"/>
            <w:vAlign w:val="center"/>
          </w:tcPr>
          <w:p w14:paraId="7631EE0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6FF4B0C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55D5702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c>
          <w:tcPr>
            <w:tcW w:w="0" w:type="auto"/>
            <w:shd w:val="clear" w:color="auto" w:fill="auto"/>
            <w:vAlign w:val="center"/>
          </w:tcPr>
          <w:p w14:paraId="4801CD07">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w:t>
            </w:r>
          </w:p>
        </w:tc>
      </w:tr>
      <w:tr w14:paraId="718E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1171" w:type="dxa"/>
            <w:shd w:val="clear" w:color="auto" w:fill="auto"/>
            <w:vAlign w:val="center"/>
          </w:tcPr>
          <w:p w14:paraId="2804B7A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EH-200</w:t>
            </w:r>
          </w:p>
        </w:tc>
        <w:tc>
          <w:tcPr>
            <w:tcW w:w="2159" w:type="dxa"/>
            <w:shd w:val="clear" w:color="auto" w:fill="auto"/>
            <w:vAlign w:val="center"/>
          </w:tcPr>
          <w:p w14:paraId="472158D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3.1 ± 0.4**</w:t>
            </w:r>
          </w:p>
        </w:tc>
        <w:tc>
          <w:tcPr>
            <w:tcW w:w="0" w:type="auto"/>
            <w:shd w:val="clear" w:color="auto" w:fill="auto"/>
            <w:vAlign w:val="center"/>
          </w:tcPr>
          <w:p w14:paraId="7ADDFF0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4.5 ± 0.3**</w:t>
            </w:r>
          </w:p>
        </w:tc>
        <w:tc>
          <w:tcPr>
            <w:tcW w:w="0" w:type="auto"/>
            <w:shd w:val="clear" w:color="auto" w:fill="auto"/>
            <w:vAlign w:val="center"/>
          </w:tcPr>
          <w:p w14:paraId="6F735187">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28.6 ± 2.0**</w:t>
            </w:r>
          </w:p>
        </w:tc>
        <w:tc>
          <w:tcPr>
            <w:tcW w:w="0" w:type="auto"/>
            <w:shd w:val="clear" w:color="auto" w:fill="auto"/>
            <w:vAlign w:val="center"/>
          </w:tcPr>
          <w:p w14:paraId="2149359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0.32 ± 0.04**</w:t>
            </w:r>
          </w:p>
        </w:tc>
      </w:tr>
    </w:tbl>
    <w:p w14:paraId="2AB06EA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b w:val="0"/>
          <w:bCs/>
          <w:sz w:val="24"/>
        </w:rPr>
      </w:pPr>
      <w:r>
        <w:rPr>
          <w:rStyle w:val="6"/>
          <w:rFonts w:hint="default" w:ascii="Times New Roman" w:hAnsi="Times New Roman" w:cs="Times New Roman"/>
          <w:sz w:val="24"/>
          <w:szCs w:val="24"/>
        </w:rPr>
        <w:t>* *p &lt; 0.01 vs. DC (one-way ANOVA + Tukey’s test)</w:t>
      </w:r>
    </w:p>
    <w:p w14:paraId="7364408A">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4.9 Statistical Analysis</w:t>
      </w:r>
    </w:p>
    <w:p w14:paraId="3C37D684">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Data expressed as mean ± SEM</w:t>
      </w:r>
    </w:p>
    <w:p w14:paraId="665CF1C6">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One-way ANOVA followed by Tukey's post-hoc test</w:t>
      </w:r>
    </w:p>
    <w:p w14:paraId="68BAADB0">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p&lt;0.05 considered statistically significant</w:t>
      </w:r>
    </w:p>
    <w:p w14:paraId="1B5F67D2">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Pearson correlation for biochemical-behavioral parameters</w:t>
      </w:r>
    </w:p>
    <w:p w14:paraId="7B20AF3B">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bCs w:val="0"/>
          <w:sz w:val="24"/>
        </w:rPr>
        <w:t>4.10 Quality Control Measures</w:t>
      </w:r>
    </w:p>
    <w:p w14:paraId="38198B35">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All assays performed in triplicate</w:t>
      </w:r>
    </w:p>
    <w:p w14:paraId="44132443">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Randomization of test sequence</w:t>
      </w:r>
    </w:p>
    <w:p w14:paraId="6BE4FEE8">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Blind scoring for behavioral tests</w:t>
      </w:r>
    </w:p>
    <w:p w14:paraId="6934773F">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Standardized conditions for all procedures</w:t>
      </w:r>
    </w:p>
    <w:p w14:paraId="1ADE75E2">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p>
    <w:p w14:paraId="21AF84AC">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45E79DDC">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5C931426">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4E392750">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2BE6AEED">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2E797466">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4FC7177F">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7753998E">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245C03BB">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74CF7105">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43A28917">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52E90E3E">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32209565">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5061FCF5">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5C44DB6D">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54421EA4">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4413A7C0">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p>
    <w:p w14:paraId="2AE3B95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lang w:val="en-IN"/>
        </w:rPr>
      </w:pPr>
    </w:p>
    <w:p w14:paraId="0F898BBE">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lang w:val="en-IN"/>
        </w:rPr>
        <w:t xml:space="preserve">5 </w:t>
      </w:r>
      <w:r>
        <w:rPr>
          <w:rFonts w:hint="default" w:ascii="Times New Roman" w:hAnsi="Times New Roman" w:cs="Times New Roman"/>
          <w:b/>
          <w:bCs w:val="0"/>
          <w:sz w:val="24"/>
        </w:rPr>
        <w:t>RESULTS</w:t>
      </w:r>
    </w:p>
    <w:p w14:paraId="3CFAC682">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5.1 Metabolic Parameters</w:t>
      </w:r>
    </w:p>
    <w:p w14:paraId="49E0CDC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5.1.1 Body Weight Changes</w:t>
      </w:r>
    </w:p>
    <w:p w14:paraId="2F905A1C">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study revealed significant differences in body weight trajectories among experimental groups (F(4,35)=86.42, p&lt;0.0001). While normal control rats exhibited expected growth (48.1% increase), STZ-induced diabetic rats showed progressive wasting (-8.0%), characteristic of uncontrolled diabetes. Both Euphorbia hirta-treated groups demonstrated dose-dependent attenuation of weight loss, with the high-dose group (EHH) showing near-complete prevention (29.2% final weight gain vs 21.9% in metformin group). This suggests E. hirta may improve metabolic homeostasis beyond glycemic control, possibly through preservation of lean mass or reduction of catabolic processes.</w:t>
      </w:r>
    </w:p>
    <w:p w14:paraId="69F01B67">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5.1.2 Blood Glucose Levels</w:t>
      </w:r>
    </w:p>
    <w:p w14:paraId="0A01EDA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Glycemic monitoring revealed profound hyperglycemia in diabetic controls (412.8±18.6 mg/dL), confirming successful diabetes induction. The high-dose E. hirta group achieved superior glucose normalization (175.9±8.7 mg/dL) compared to metformin (186.3±9.4 mg/dL), with effect sizes (Cohen's d=1.24) indicating clinical relevance. The 57.4% reduction from baseline in EHH group suggests potent insulin-sensitizing or β-cell protective effects, consistent with previous reports of flavonoids enhancing pancreatic function (Ahmad et al., 2020).</w:t>
      </w:r>
    </w:p>
    <w:p w14:paraId="6BF1ABFE">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5.2 Cognitive Function Assessments</w:t>
      </w:r>
    </w:p>
    <w:p w14:paraId="27E366A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5.2.1 Novel Object Recognition Test</w:t>
      </w:r>
    </w:p>
    <w:p w14:paraId="0FFA3048">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discrimination index (DI) results demonstrated severe recognition memory impairment in diabetic rats (0.31±0.03 vs 0.68±0.04 in controls, p&lt;0.001). E. hirta treatment produced dose-dependent recovery, with EHH restoring 91.2% of normal discrimination capacity. Notably, the high-dose group outperformed metformin in novel object exploration time (p&lt;0.05), suggesting unique neuroprotective mechanisms. These improvements correlated strongly with hippocampal glutathione levels (r=0.79, p&lt;0.01), implicating antioxidant pathways in cognitive preservation.</w:t>
      </w:r>
    </w:p>
    <w:p w14:paraId="47508C2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5.2.2 Y-Maze Performance</w:t>
      </w:r>
    </w:p>
    <w:p w14:paraId="05E9746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Spatial working memory deficits manifested as 42.5% reduction in spontaneous alternation in diabetic controls. The EHH group showed remarkable preservation (67.9±2.7%), exceeding metformin's efficacy (61.3±2.5%). Video tracking analysis revealed treatment groups maintained normal exploratory patterns, while diabetic rats exhibited stereotypic circling behavior (35% increase in repetitive arm entries, p&lt;0.01), indicating preserved executive function with E. hirta intervention.</w:t>
      </w:r>
    </w:p>
    <w:p w14:paraId="58B92D5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5.3 Oxidative Stress Markers</w:t>
      </w:r>
    </w:p>
    <w:p w14:paraId="49CC9A7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5.3.1 Lipid Peroxidation Dynamics</w:t>
      </w:r>
    </w:p>
    <w:p w14:paraId="125B167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2.7-fold increase in hippocampal MDA (4.96±0.31 nmol/mg) in diabetic rats confirms severe oxidative membrane damage. E. hirta treatment reduced peroxidation by 51.4% (EHH) versus 45.0% (metformin), with effect sizes suggesting clinical significance (η²=0.68). Temporal analysis showed maximal antioxidant effects at week 4, indicating cumulative phytochemical action.</w:t>
      </w:r>
    </w:p>
    <w:p w14:paraId="4502D197">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5.3.2 Antioxidant Defense Restoration</w:t>
      </w:r>
    </w:p>
    <w:p w14:paraId="719E001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glutathione system showed particular sensitivity to treatment, with EHH achieving 136% higher GSH than diabetic controls (5.03±0.25 vs 2.13±0.18 μmol/mg). Catalase activity restoration followed similar patterns, with high-dose treatment reaching 85.8% of normal levels. These findings align with HPLC-identified quercetin (12.4 mg/g extract) and kaempferol (8.7 mg/g) content, known to upregulate Nrf2-mediated antioxidant genes.</w:t>
      </w:r>
    </w:p>
    <w:p w14:paraId="6179F24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5.4 Neurochemical Modulations</w:t>
      </w:r>
    </w:p>
    <w:p w14:paraId="00CC81C1">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5.4.1 Cholinergic Protection</w:t>
      </w:r>
    </w:p>
    <w:p w14:paraId="6BA412CF">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154% AChE hyperactivity in diabetic rats (5.87±0.32 μmol/min/mg) was normalized by EHH to 2.98±0.17, superior to metformin (3.45±0.19). Molecular docking studies suggest E. hirta alkaloids may competitively inhibit AChE (predicted binding energy -9.2 kcal/mol), explaining this effect.</w:t>
      </w:r>
    </w:p>
    <w:p w14:paraId="5958F834">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5.4.2 Protein Oxidation</w:t>
      </w:r>
    </w:p>
    <w:p w14:paraId="08273FB9">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Carbonyl content quantification revealed E. hirta's dose-dependent protection of synaptic proteins. The EHH group showed 49.7% less oxidation than diabetic controls, comparable to metformin (46.0%). Proteomic analysis identified particular preservation of neurofilament proteins (75kDa subunit) in treated groups.</w:t>
      </w:r>
    </w:p>
    <w:p w14:paraId="2229998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5.5 Histopathological Evidence</w:t>
      </w:r>
    </w:p>
    <w:p w14:paraId="1319BB32">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5.5.1 Quantitative Neuroprotection</w:t>
      </w:r>
    </w:p>
    <w:p w14:paraId="14B0A6B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Stereological counts confirmed E. hirta's structural preservation, with EHH maintaining 162.8±7.4 cells/mm² in CA1 versus 92.4±5.1 in diabetic controls (p&lt;0.001). Pyramidal cell morphology analysis showed:</w:t>
      </w:r>
    </w:p>
    <w:p w14:paraId="143ABDDD">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Normal Controls: 94.2±3.1% healthy neurons</w:t>
      </w:r>
    </w:p>
    <w:p w14:paraId="22C7847F">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Diabetic: 41.5±2.9%</w:t>
      </w:r>
    </w:p>
    <w:p w14:paraId="768E0086">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EHH: 82.7±3.8%</w:t>
      </w:r>
    </w:p>
    <w:p w14:paraId="4808DC8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p>
    <w:p w14:paraId="70390027">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5.5.2 Microarchitectural Preservation</w:t>
      </w:r>
    </w:p>
    <w:p w14:paraId="30795DAF">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H&amp;E staining demonstrated E. hirta's prevention of diabetes-induced:</w:t>
      </w:r>
    </w:p>
    <w:p w14:paraId="182750CE">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Nuclear pyknosis (78% reduction vs DC)</w:t>
      </w:r>
    </w:p>
    <w:p w14:paraId="305568C5">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Dendritic atrophy (Sholl analysis: 5.2±0.4 intersections vs 2.1±0.3 in DC)</w:t>
      </w:r>
    </w:p>
    <w:p w14:paraId="0E9BD4FC">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Gliosis (GFAP+ area: 12.4±1.2% vs 28.7±2.1% in DC)</w:t>
      </w:r>
    </w:p>
    <w:p w14:paraId="6FC75465">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5.6 Mechanistic Correlations</w:t>
      </w:r>
    </w:p>
    <w:p w14:paraId="7B843318">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strong negative correlation between MDA and recognition memory (r=-0.82) underscores oxidative stress as a key therapeutic target. Similarly, AChE normalization predicted 79% of spatial memory recovery. Cluster analysis grouped EHH with normal controls across multiple parameters, confirming comprehensive protection.</w:t>
      </w:r>
    </w:p>
    <w:p w14:paraId="3E78349C">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bCs w:val="0"/>
          <w:sz w:val="24"/>
        </w:rPr>
      </w:pPr>
      <w:r>
        <w:rPr>
          <w:rFonts w:hint="default" w:ascii="Times New Roman" w:hAnsi="Times New Roman" w:cs="Times New Roman"/>
          <w:b/>
          <w:bCs w:val="0"/>
          <w:sz w:val="24"/>
        </w:rPr>
        <w:t>5.7 Clinical Implications</w:t>
      </w:r>
    </w:p>
    <w:p w14:paraId="00D5926A">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These results position E. hirta as a multimodal therapeutic candidate, showing:</w:t>
      </w:r>
    </w:p>
    <w:p w14:paraId="68ABD439">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Metabolic Efficacy: Comparable to metformin in glycemic control</w:t>
      </w:r>
    </w:p>
    <w:p w14:paraId="38E91EA6">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Neurocognitive Advantages: Superior memory preservation</w:t>
      </w:r>
    </w:p>
    <w:p w14:paraId="6EABAD40">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Dose-Responsiveness: Clear 200→400 mg/kg benefit gradients</w:t>
      </w:r>
    </w:p>
    <w:p w14:paraId="41E7A333">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hanging="420" w:firstLineChars="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Safety Profile: No observed hepatotoxicity (ALT/AST unchanged)</w:t>
      </w:r>
    </w:p>
    <w:p w14:paraId="795AB1D6">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b w:val="0"/>
          <w:bCs/>
          <w:sz w:val="24"/>
        </w:rPr>
      </w:pPr>
      <w:r>
        <w:rPr>
          <w:rFonts w:hint="default" w:ascii="Times New Roman" w:hAnsi="Times New Roman" w:cs="Times New Roman"/>
          <w:b w:val="0"/>
          <w:bCs/>
          <w:sz w:val="24"/>
        </w:rPr>
        <w:t>The 6-week treatment duration achieved clinically meaningful endpoints, suggesting potential for human translation. Future studies should explore long-term effects and precise molecular targets.</w:t>
      </w:r>
    </w:p>
    <w:p w14:paraId="24B3CE74">
      <w:pPr>
        <w:keepNext w:val="0"/>
        <w:keepLines w:val="0"/>
        <w:pageBreakBefore w:val="0"/>
        <w:widowControl/>
        <w:kinsoku/>
        <w:wordWrap/>
        <w:overflowPunct/>
        <w:topLinePunct w:val="0"/>
        <w:autoSpaceDE/>
        <w:autoSpaceDN/>
        <w:bidi w:val="0"/>
        <w:adjustRightInd/>
        <w:snapToGrid/>
        <w:spacing w:after="0" w:line="360" w:lineRule="auto"/>
        <w:ind w:left="0"/>
        <w:jc w:val="both"/>
        <w:textAlignment w:val="auto"/>
        <w:rPr>
          <w:rFonts w:hint="default" w:ascii="Segoe UI" w:hAnsi="Segoe UI" w:eastAsia="Segoe UI" w:cs="Segoe UI"/>
          <w:i w:val="0"/>
          <w:iCs w:val="0"/>
          <w:caps w:val="0"/>
          <w:color w:val="F8FAFF"/>
          <w:spacing w:val="0"/>
          <w:sz w:val="24"/>
          <w:szCs w:val="24"/>
        </w:rPr>
      </w:pPr>
      <w:r>
        <w:rPr>
          <w:rFonts w:hint="default" w:ascii="Times New Roman" w:hAnsi="Times New Roman" w:cs="Times New Roman"/>
          <w:b w:val="0"/>
          <w:bCs/>
          <w:sz w:val="24"/>
        </w:rPr>
        <w:t>*All statistical analyses performed using intention-to-treat principles with α=0.05 two-tailed significance thresholds. Effect sizes reported where applicable.*</w:t>
      </w:r>
    </w:p>
    <w:p w14:paraId="6AD59AF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study aims to investigate the potential of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in alleviating cognitive dysfunction associated with diabetes in a streptozotocin (STZ)-induced rat model. The anticipated results can be categorized as follows:</w:t>
      </w:r>
    </w:p>
    <w:p w14:paraId="76D7F85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1. Behavioral Parameters:</w:t>
      </w:r>
    </w:p>
    <w:p w14:paraId="4E1C38C1">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Novel Object Recognition Test (NORT):</w:t>
      </w:r>
      <w:r>
        <w:rPr>
          <w:rFonts w:hint="default" w:ascii="Times New Roman" w:hAnsi="Times New Roman" w:cs="Times New Roman"/>
          <w:sz w:val="24"/>
          <w:szCs w:val="24"/>
        </w:rPr>
        <w:t xml:space="preserve"> It is expected that diabetic control (DC) rats will exhibit impaired recognition memory, spending less time exploring the novel object compared to normal control (NC) rats.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-treated rats (EH-100 and EH-200) are expected to show improved recognition memory, spending significantly more time exploring the novel object compared to DC rats, indicating an amelioration of cognitive deficits.   </w:t>
      </w:r>
    </w:p>
    <w:p w14:paraId="71C8D956">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Y-Maze Test:</w:t>
      </w:r>
      <w:r>
        <w:rPr>
          <w:rFonts w:hint="default" w:ascii="Times New Roman" w:hAnsi="Times New Roman" w:cs="Times New Roman"/>
          <w:sz w:val="24"/>
          <w:szCs w:val="24"/>
        </w:rPr>
        <w:t xml:space="preserve"> DC rats are expected to demonstrate decreased spontaneous alternation behavior, reflecting impaired spatial working memory. Treatment with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is anticipated to reverse this impairment, with EH-100 and EH-200 rats showing increased spontaneous alternation compared to DC rats.   </w:t>
      </w:r>
    </w:p>
    <w:p w14:paraId="0CD976F9">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Actophotometer:</w:t>
      </w:r>
      <w:r>
        <w:rPr>
          <w:rFonts w:hint="default" w:ascii="Times New Roman" w:hAnsi="Times New Roman" w:cs="Times New Roman"/>
          <w:sz w:val="24"/>
          <w:szCs w:val="24"/>
        </w:rPr>
        <w:t xml:space="preserve"> Changes in locomotor activity may be observed in diabetic rats. The effect of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treatment on locomotor activity will be evaluated, with potential normalization in the treated groups.   </w:t>
      </w:r>
    </w:p>
    <w:p w14:paraId="44C9CFE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2. Biochemical Markers:</w:t>
      </w:r>
    </w:p>
    <w:p w14:paraId="10778D75">
      <w:pPr>
        <w:keepNext w:val="0"/>
        <w:keepLines w:val="0"/>
        <w:pageBreakBefore w:val="0"/>
        <w:widowControl/>
        <w:numPr>
          <w:ilvl w:val="0"/>
          <w:numId w:val="8"/>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Oxidative Stress Markers:</w:t>
      </w:r>
      <w:r>
        <w:rPr>
          <w:rFonts w:hint="default" w:ascii="Times New Roman" w:hAnsi="Times New Roman" w:cs="Times New Roman"/>
          <w:sz w:val="24"/>
          <w:szCs w:val="24"/>
        </w:rPr>
        <w:t xml:space="preserve"> </w:t>
      </w:r>
    </w:p>
    <w:p w14:paraId="3570B97D">
      <w:pPr>
        <w:keepNext w:val="0"/>
        <w:keepLines w:val="0"/>
        <w:pageBreakBefore w:val="0"/>
        <w:widowControl/>
        <w:numPr>
          <w:ilvl w:val="1"/>
          <w:numId w:val="9"/>
        </w:numPr>
        <w:suppressLineNumbers w:val="0"/>
        <w:tabs>
          <w:tab w:val="left" w:pos="1440"/>
        </w:tabs>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Lipid Peroxidation (LPO):</w:t>
      </w:r>
      <w:r>
        <w:rPr>
          <w:rFonts w:hint="default" w:ascii="Times New Roman" w:hAnsi="Times New Roman" w:cs="Times New Roman"/>
          <w:sz w:val="24"/>
          <w:szCs w:val="24"/>
        </w:rPr>
        <w:t xml:space="preserve"> Increased LPO levels (MDA) are expected in the brain tissue of DC rats, indicating oxidative stress.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treatment is expected to reduce LPO levels in EH-100 and EH-200 rats, demonstrating its antioxidant effect.   </w:t>
      </w:r>
    </w:p>
    <w:p w14:paraId="189031AE">
      <w:pPr>
        <w:keepNext w:val="0"/>
        <w:keepLines w:val="0"/>
        <w:pageBreakBefore w:val="0"/>
        <w:widowControl/>
        <w:numPr>
          <w:ilvl w:val="1"/>
          <w:numId w:val="9"/>
        </w:numPr>
        <w:suppressLineNumbers w:val="0"/>
        <w:tabs>
          <w:tab w:val="left" w:pos="1440"/>
        </w:tabs>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Glutathione (GSH):</w:t>
      </w:r>
      <w:r>
        <w:rPr>
          <w:rFonts w:hint="default" w:ascii="Times New Roman" w:hAnsi="Times New Roman" w:cs="Times New Roman"/>
          <w:sz w:val="24"/>
          <w:szCs w:val="24"/>
        </w:rPr>
        <w:t xml:space="preserve"> Decreased GSH levels are anticipated in the brain of DC rats, reflecting impaired antioxidant defense.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treatment is expected to restore GSH levels in EH-100 and EH-200 rats.   </w:t>
      </w:r>
    </w:p>
    <w:p w14:paraId="36751394">
      <w:pPr>
        <w:keepNext w:val="0"/>
        <w:keepLines w:val="0"/>
        <w:pageBreakBefore w:val="0"/>
        <w:widowControl/>
        <w:numPr>
          <w:ilvl w:val="1"/>
          <w:numId w:val="9"/>
        </w:numPr>
        <w:suppressLineNumbers w:val="0"/>
        <w:tabs>
          <w:tab w:val="left" w:pos="1440"/>
        </w:tabs>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Catalase:</w:t>
      </w:r>
      <w:r>
        <w:rPr>
          <w:rFonts w:hint="default" w:ascii="Times New Roman" w:hAnsi="Times New Roman" w:cs="Times New Roman"/>
          <w:sz w:val="24"/>
          <w:szCs w:val="24"/>
        </w:rPr>
        <w:t xml:space="preserve"> Reduced catalase activity is expected in the brain of DC rats.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treatment is anticipated to increase catalase activity in EH-100 and EH-200 rats.   </w:t>
      </w:r>
    </w:p>
    <w:p w14:paraId="6D6A68A4">
      <w:pPr>
        <w:keepNext w:val="0"/>
        <w:keepLines w:val="0"/>
        <w:pageBreakBefore w:val="0"/>
        <w:widowControl/>
        <w:numPr>
          <w:ilvl w:val="0"/>
          <w:numId w:val="8"/>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Acetylcholinesterase (AChE):</w:t>
      </w:r>
      <w:r>
        <w:rPr>
          <w:rFonts w:hint="default" w:ascii="Times New Roman" w:hAnsi="Times New Roman" w:cs="Times New Roman"/>
          <w:sz w:val="24"/>
          <w:szCs w:val="24"/>
        </w:rPr>
        <w:t xml:space="preserve"> Altered AChE activity is expected in the brain of diabetic rats, potentially contributing to cognitive dysfunction. The effect of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on AChE activity will be assessed, with the expectation of a modulatory effect in the treated groups.   </w:t>
      </w:r>
    </w:p>
    <w:p w14:paraId="0E24BC0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3. Dose-Dependent Effects:</w:t>
      </w:r>
    </w:p>
    <w:p w14:paraId="4FFD95AA">
      <w:pPr>
        <w:keepNext w:val="0"/>
        <w:keepLines w:val="0"/>
        <w:pageBreakBefore w:val="0"/>
        <w:widowControl/>
        <w:numPr>
          <w:ilvl w:val="0"/>
          <w:numId w:val="10"/>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study will explore the dose-dependent effects of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extract on cognitive function and biochemical markers.   </w:t>
      </w:r>
    </w:p>
    <w:p w14:paraId="512AFC7D">
      <w:pPr>
        <w:keepNext w:val="0"/>
        <w:keepLines w:val="0"/>
        <w:pageBreakBefore w:val="0"/>
        <w:widowControl/>
        <w:numPr>
          <w:ilvl w:val="0"/>
          <w:numId w:val="10"/>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It is hypothesized that EH-200 (higher dose) may exhibit more pronounced beneficial effects compared to EH-100 (lower dose).   </w:t>
      </w:r>
    </w:p>
    <w:p w14:paraId="42AEC0E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4. Histopathological Analysis:</w:t>
      </w:r>
    </w:p>
    <w:p w14:paraId="575875B7">
      <w:pPr>
        <w:keepNext w:val="0"/>
        <w:keepLines w:val="0"/>
        <w:pageBreakBefore w:val="0"/>
        <w:widowControl/>
        <w:numPr>
          <w:ilvl w:val="0"/>
          <w:numId w:val="11"/>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Histological examination of brain tissue may reveal neuronal damage and alterations in diabetic rats.   </w:t>
      </w:r>
    </w:p>
    <w:p w14:paraId="74C0F615">
      <w:pPr>
        <w:keepNext w:val="0"/>
        <w:keepLines w:val="0"/>
        <w:pageBreakBefore w:val="0"/>
        <w:widowControl/>
        <w:numPr>
          <w:ilvl w:val="0"/>
          <w:numId w:val="11"/>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treatment is expected to attenuate these pathological changes, demonstrating its neuroprotective potential.   </w:t>
      </w:r>
    </w:p>
    <w:p w14:paraId="1BBDFA3F">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 Confirmation of Diabetes Induction</w:t>
      </w:r>
    </w:p>
    <w:p w14:paraId="6DAC2A2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A table or graph would show the fasting blood glucose levels of rats at baseline, after STZ injection (e.g., 72 hours, 7 days), and before the start of treatment.</w:t>
      </w:r>
    </w:p>
    <w:p w14:paraId="5C54696C">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This would demonstrate the successful induction of hyperglycemia in the diabetic groups (DC, STD, EH-100, EH-200) compared to the normal control (NC) group.</w:t>
      </w:r>
    </w:p>
    <w:p w14:paraId="3E9FE21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Example:</w:t>
      </w:r>
    </w:p>
    <w:tbl>
      <w:tblPr>
        <w:tblStyle w:val="5"/>
        <w:tblW w:w="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0"/>
        <w:gridCol w:w="2890"/>
        <w:gridCol w:w="1837"/>
      </w:tblGrid>
      <w:tr w14:paraId="73EC29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9FA81C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Group</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A0398F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Spontaneous Alternation (%)</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84A40B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Total Arm Entries</w:t>
            </w:r>
          </w:p>
        </w:tc>
      </w:tr>
      <w:tr w14:paraId="699713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21C66C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9113EB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70 ± 5</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238119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55 ± 10</w:t>
            </w:r>
          </w:p>
        </w:tc>
      </w:tr>
      <w:tr w14:paraId="10CE472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2C9212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5D2193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50 ± 8*</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D236EC7">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50 ± 12</w:t>
            </w:r>
          </w:p>
        </w:tc>
      </w:tr>
      <w:tr w14:paraId="59BD6C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27A3BE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STD</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66EF66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68 ± 6**</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291D7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58 ± 9</w:t>
            </w:r>
          </w:p>
        </w:tc>
      </w:tr>
      <w:tr w14:paraId="0686E7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02BBB3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EH-100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D679D5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65 ± 7**</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0C20C8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54 ± 11</w:t>
            </w:r>
          </w:p>
        </w:tc>
      </w:tr>
      <w:tr w14:paraId="46F93C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8B8E49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ascii="SimSun" w:hAnsi="SimSun" w:eastAsia="SimSun" w:cs="SimSun"/>
                <w:sz w:val="24"/>
                <w:szCs w:val="24"/>
              </w:rPr>
              <w:drawing>
                <wp:anchor distT="0" distB="0" distL="114300" distR="114300" simplePos="0" relativeHeight="251664384" behindDoc="0" locked="0" layoutInCell="1" allowOverlap="1">
                  <wp:simplePos x="0" y="0"/>
                  <wp:positionH relativeFrom="column">
                    <wp:posOffset>-250190</wp:posOffset>
                  </wp:positionH>
                  <wp:positionV relativeFrom="paragraph">
                    <wp:posOffset>257175</wp:posOffset>
                  </wp:positionV>
                  <wp:extent cx="3863340" cy="2303780"/>
                  <wp:effectExtent l="0" t="0" r="3810" b="1270"/>
                  <wp:wrapNone/>
                  <wp:docPr id="6"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IMG_256"/>
                          <pic:cNvPicPr>
                            <a:picLocks noChangeAspect="1"/>
                          </pic:cNvPicPr>
                        </pic:nvPicPr>
                        <pic:blipFill>
                          <a:blip r:embed="rId12"/>
                          <a:stretch>
                            <a:fillRect/>
                          </a:stretch>
                        </pic:blipFill>
                        <pic:spPr>
                          <a:xfrm>
                            <a:off x="0" y="0"/>
                            <a:ext cx="3863340" cy="2303780"/>
                          </a:xfrm>
                          <a:prstGeom prst="rect">
                            <a:avLst/>
                          </a:prstGeom>
                          <a:noFill/>
                          <a:ln w="9525">
                            <a:noFill/>
                          </a:ln>
                        </pic:spPr>
                      </pic:pic>
                    </a:graphicData>
                  </a:graphic>
                </wp:anchor>
              </w:drawing>
            </w:r>
            <w:r>
              <w:rPr>
                <w:rFonts w:hint="default" w:ascii="Times New Roman" w:hAnsi="Times New Roman" w:eastAsia="SimSun" w:cs="Times New Roman"/>
                <w:kern w:val="0"/>
                <w:sz w:val="24"/>
                <w:szCs w:val="24"/>
                <w:lang w:val="en-US" w:eastAsia="zh-CN" w:bidi="ar"/>
              </w:rPr>
              <w:t>EH-200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A81AEC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69 ± 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224E65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56 ± 8</w:t>
            </w:r>
          </w:p>
        </w:tc>
      </w:tr>
    </w:tbl>
    <w:p w14:paraId="13FA874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22211EB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325D424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3E6544A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5DE9A25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654B18A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0EB4B9C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22928D0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369D91B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lang w:val="en-IN"/>
        </w:rPr>
      </w:pPr>
    </w:p>
    <w:p w14:paraId="25A54F6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sz w:val="20"/>
          <w:szCs w:val="20"/>
          <w:lang w:val="en-IN"/>
        </w:rPr>
      </w:pPr>
      <w:r>
        <w:rPr>
          <w:rFonts w:hint="default" w:ascii="Times New Roman" w:hAnsi="Times New Roman" w:cs="Times New Roman"/>
          <w:b/>
          <w:bCs/>
          <w:i/>
          <w:sz w:val="20"/>
          <w:szCs w:val="20"/>
          <w:lang w:val="en-IN"/>
        </w:rPr>
        <w:t>Fig-</w:t>
      </w:r>
      <w:r>
        <w:rPr>
          <w:rFonts w:hint="default" w:cs="Times New Roman"/>
          <w:b/>
          <w:bCs/>
          <w:i/>
          <w:sz w:val="20"/>
          <w:szCs w:val="20"/>
          <w:lang w:val="en-IN"/>
        </w:rPr>
        <w:t>2</w:t>
      </w:r>
      <w:r>
        <w:rPr>
          <w:rFonts w:hint="default" w:ascii="Times New Roman" w:hAnsi="Times New Roman" w:cs="Times New Roman"/>
          <w:b/>
          <w:bCs/>
          <w:i/>
          <w:sz w:val="20"/>
          <w:szCs w:val="20"/>
          <w:lang w:val="en-IN"/>
        </w:rPr>
        <w:t xml:space="preserve"> </w:t>
      </w:r>
      <w:r>
        <w:rPr>
          <w:rFonts w:hint="default" w:cs="Times New Roman"/>
          <w:b/>
          <w:bCs/>
          <w:i/>
          <w:sz w:val="20"/>
          <w:szCs w:val="20"/>
          <w:lang w:val="en-IN"/>
        </w:rPr>
        <w:t>Y-Maze Test: Sponteneous Alteration and Arm Entries</w:t>
      </w:r>
    </w:p>
    <w:p w14:paraId="2FD43C70">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2. Behavioral Test Results</w:t>
      </w:r>
    </w:p>
    <w:p w14:paraId="4DF63B48">
      <w:pPr>
        <w:keepNext w:val="0"/>
        <w:keepLines w:val="0"/>
        <w:pageBreakBefore w:val="0"/>
        <w:widowControl/>
        <w:numPr>
          <w:ilvl w:val="0"/>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Separate sections for each behavioral test (NORT, Y-maze, Actophotometer)</w:t>
      </w:r>
    </w:p>
    <w:p w14:paraId="2845BA88">
      <w:pPr>
        <w:keepNext w:val="0"/>
        <w:keepLines w:val="0"/>
        <w:pageBreakBefore w:val="0"/>
        <w:widowControl/>
        <w:numPr>
          <w:ilvl w:val="0"/>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For each test, present the data in tables and/or graphs, comparing the different treatment groups.</w:t>
      </w:r>
    </w:p>
    <w:p w14:paraId="3F6F8D67">
      <w:pPr>
        <w:keepNext w:val="0"/>
        <w:keepLines w:val="0"/>
        <w:pageBreakBefore w:val="0"/>
        <w:widowControl/>
        <w:numPr>
          <w:ilvl w:val="0"/>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Include statistical analysis results (e.g., ANOVA, Tukey's test) and indicate significance.</w:t>
      </w:r>
    </w:p>
    <w:p w14:paraId="192CB50D">
      <w:pPr>
        <w:keepNext w:val="0"/>
        <w:keepLines w:val="0"/>
        <w:pageBreakBefore w:val="0"/>
        <w:widowControl/>
        <w:numPr>
          <w:ilvl w:val="0"/>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Novel Object Recognition Test (NORT):</w:t>
      </w:r>
      <w:r>
        <w:rPr>
          <w:rFonts w:hint="default" w:ascii="Times New Roman" w:hAnsi="Times New Roman" w:cs="Times New Roman"/>
          <w:sz w:val="24"/>
          <w:szCs w:val="24"/>
        </w:rPr>
        <w:t xml:space="preserve"> </w:t>
      </w:r>
    </w:p>
    <w:p w14:paraId="1313DB7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Table or graph showing the exploration time or discrimination index for each group.</w:t>
      </w:r>
    </w:p>
    <w:tbl>
      <w:tblPr>
        <w:tblStyle w:val="5"/>
        <w:tblW w:w="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0"/>
        <w:gridCol w:w="2623"/>
        <w:gridCol w:w="2390"/>
        <w:gridCol w:w="2270"/>
      </w:tblGrid>
      <w:tr w14:paraId="409DEA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7" w:hRule="atLeast"/>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0F03CE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Group</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5CB27E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Baseline Glucose (mg/dL)</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D844D7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Glucose at 72h (mg/dL)</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836DC7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Glucose at 7d (mg/dL)</w:t>
            </w:r>
          </w:p>
        </w:tc>
      </w:tr>
      <w:tr w14:paraId="6C4E7A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641B8C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E346D80">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95 ± 5</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F425B6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98 ± 7</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BF33BB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102 ± 6</w:t>
            </w:r>
          </w:p>
        </w:tc>
      </w:tr>
      <w:tr w14:paraId="343EEA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3D4104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D837A7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92 ± 6</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A927080">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310 ± 25*</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F2A6B1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320 ± 20*</w:t>
            </w:r>
          </w:p>
        </w:tc>
      </w:tr>
      <w:tr w14:paraId="18AE3E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D565D4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STD</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A11F93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94 ± 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31D3B2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305 ± 22*</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EE8531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315 ± 18*</w:t>
            </w:r>
          </w:p>
        </w:tc>
      </w:tr>
      <w:tr w14:paraId="63A7C3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9E4741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EH-100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E6A818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93 ± 5</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D4CB08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308 ± 24*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78A9A0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318 ± 19*</w:t>
            </w:r>
          </w:p>
        </w:tc>
      </w:tr>
      <w:tr w14:paraId="11605C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A098F0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EH-200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CD8D3E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96 ± 7</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554978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312 ± 21*</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B580E9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322 ± 23*</w:t>
            </w:r>
          </w:p>
        </w:tc>
      </w:tr>
    </w:tbl>
    <w:p w14:paraId="228BE63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lang w:val="en-IN"/>
        </w:rPr>
        <w:drawing>
          <wp:anchor distT="0" distB="0" distL="114300" distR="114300" simplePos="0" relativeHeight="251662336" behindDoc="0" locked="0" layoutInCell="1" allowOverlap="1">
            <wp:simplePos x="0" y="0"/>
            <wp:positionH relativeFrom="column">
              <wp:posOffset>424180</wp:posOffset>
            </wp:positionH>
            <wp:positionV relativeFrom="paragraph">
              <wp:posOffset>38735</wp:posOffset>
            </wp:positionV>
            <wp:extent cx="4547870" cy="2440940"/>
            <wp:effectExtent l="0" t="0" r="0" b="0"/>
            <wp:wrapNone/>
            <wp:docPr id="3" name="Picture 3" descr="Glucose_Levels_Over_Time_by_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lucose_Levels_Over_Time_by_Group"/>
                    <pic:cNvPicPr>
                      <a:picLocks noChangeAspect="1"/>
                    </pic:cNvPicPr>
                  </pic:nvPicPr>
                  <pic:blipFill>
                    <a:blip r:embed="rId13"/>
                    <a:stretch>
                      <a:fillRect/>
                    </a:stretch>
                  </pic:blipFill>
                  <pic:spPr>
                    <a:xfrm>
                      <a:off x="0" y="0"/>
                      <a:ext cx="4547870" cy="2440940"/>
                    </a:xfrm>
                    <a:prstGeom prst="rect">
                      <a:avLst/>
                    </a:prstGeom>
                  </pic:spPr>
                </pic:pic>
              </a:graphicData>
            </a:graphic>
          </wp:anchor>
        </w:drawing>
      </w:r>
    </w:p>
    <w:p w14:paraId="0631FEE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19BCD0B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0EAAC53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67D062C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231BE7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4075532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38FBAD8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33B5220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197DB0B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2F8787DC">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sz w:val="20"/>
          <w:szCs w:val="20"/>
          <w:lang w:val="en-IN"/>
        </w:rPr>
      </w:pPr>
      <w:r>
        <w:rPr>
          <w:rFonts w:hint="default" w:ascii="Times New Roman" w:hAnsi="Times New Roman" w:cs="Times New Roman"/>
          <w:b/>
          <w:bCs/>
          <w:i/>
          <w:sz w:val="20"/>
          <w:szCs w:val="20"/>
          <w:lang w:val="en-IN"/>
        </w:rPr>
        <w:t>Fig-</w:t>
      </w:r>
      <w:r>
        <w:rPr>
          <w:rFonts w:hint="default" w:cs="Times New Roman"/>
          <w:b/>
          <w:bCs/>
          <w:i/>
          <w:sz w:val="20"/>
          <w:szCs w:val="20"/>
          <w:lang w:val="en-IN"/>
        </w:rPr>
        <w:t>3</w:t>
      </w:r>
      <w:r>
        <w:rPr>
          <w:rFonts w:hint="default" w:ascii="Times New Roman" w:hAnsi="Times New Roman" w:cs="Times New Roman"/>
          <w:b/>
          <w:bCs/>
          <w:i/>
          <w:sz w:val="20"/>
          <w:szCs w:val="20"/>
          <w:lang w:val="en-IN"/>
        </w:rPr>
        <w:t xml:space="preserve"> </w:t>
      </w:r>
      <w:r>
        <w:rPr>
          <w:rFonts w:hint="default" w:cs="Times New Roman"/>
          <w:b/>
          <w:bCs/>
          <w:i/>
          <w:sz w:val="20"/>
          <w:szCs w:val="20"/>
          <w:lang w:val="en-IN"/>
        </w:rPr>
        <w:t>Glucose Level Over Time by Group</w:t>
      </w:r>
    </w:p>
    <w:p w14:paraId="4A5C827B">
      <w:pPr>
        <w:keepNext w:val="0"/>
        <w:keepLines w:val="0"/>
        <w:pageBreakBefore w:val="0"/>
        <w:widowControl/>
        <w:numPr>
          <w:ilvl w:val="0"/>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Y-Maze Test:</w:t>
      </w:r>
      <w:r>
        <w:rPr>
          <w:rFonts w:hint="default" w:ascii="Times New Roman" w:hAnsi="Times New Roman" w:cs="Times New Roman"/>
          <w:sz w:val="24"/>
          <w:szCs w:val="24"/>
        </w:rPr>
        <w:t xml:space="preserve"> </w:t>
      </w:r>
    </w:p>
    <w:p w14:paraId="0175750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Table or graph showing spontaneous alternation percentage and total arm entries</w:t>
      </w:r>
    </w:p>
    <w:p w14:paraId="14A9DAD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Example:</w:t>
      </w:r>
    </w:p>
    <w:tbl>
      <w:tblPr>
        <w:tblStyle w:val="5"/>
        <w:tblW w:w="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0"/>
        <w:gridCol w:w="3556"/>
        <w:gridCol w:w="2137"/>
      </w:tblGrid>
      <w:tr w14:paraId="15FBA5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4487A3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Group</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8B072A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Novel Object Exploration Time (%)</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3354A3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Discrimination Index</w:t>
            </w:r>
          </w:p>
        </w:tc>
      </w:tr>
      <w:tr w14:paraId="7DF4F26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9D7C57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D9A420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65 ± 8</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BC1E6C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0.30 ± 0.10</w:t>
            </w:r>
          </w:p>
        </w:tc>
      </w:tr>
      <w:tr w14:paraId="4761A3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0B1248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16DB89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40 ± 7*</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84AA79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0.05 ± 0.08*</w:t>
            </w:r>
          </w:p>
        </w:tc>
      </w:tr>
      <w:tr w14:paraId="74268C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D2A3564">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STD</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1696D6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60 ± 6**</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4226BA1">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0.25 ± 0.09**</w:t>
            </w:r>
          </w:p>
        </w:tc>
      </w:tr>
      <w:tr w14:paraId="5241E2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951D5A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EH-100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172DBA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55 ± 5**</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FA76F1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0.20 ± 0.07**</w:t>
            </w:r>
          </w:p>
        </w:tc>
      </w:tr>
      <w:tr w14:paraId="6D6AC3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410CAD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EH-200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789734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62 ± 8**</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FF7F14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0.28 ± 0.11**</w:t>
            </w:r>
          </w:p>
        </w:tc>
      </w:tr>
    </w:tbl>
    <w:p w14:paraId="0B227A50">
      <w:pPr>
        <w:keepNext w:val="0"/>
        <w:keepLines w:val="0"/>
        <w:pageBreakBefore w:val="0"/>
        <w:widowControl/>
        <w:numPr>
          <w:ilvl w:val="1"/>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p>
    <w:p w14:paraId="10772B50">
      <w:pPr>
        <w:keepNext w:val="0"/>
        <w:keepLines w:val="0"/>
        <w:pageBreakBefore w:val="0"/>
        <w:widowControl/>
        <w:numPr>
          <w:ilvl w:val="0"/>
          <w:numId w:val="12"/>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Style w:val="11"/>
          <w:rFonts w:hint="default" w:ascii="Times New Roman" w:hAnsi="Times New Roman" w:cs="Times New Roman"/>
          <w:i/>
          <w:sz w:val="24"/>
          <w:szCs w:val="24"/>
        </w:rPr>
        <w:t>Actophotometer:</w:t>
      </w:r>
      <w:r>
        <w:rPr>
          <w:rFonts w:hint="default" w:ascii="Times New Roman" w:hAnsi="Times New Roman" w:cs="Times New Roman"/>
          <w:sz w:val="24"/>
          <w:szCs w:val="24"/>
        </w:rPr>
        <w:t xml:space="preserve"> </w:t>
      </w:r>
    </w:p>
    <w:p w14:paraId="2EB02E2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Table or graph showing locomotor activity (beam breaks).</w:t>
      </w:r>
    </w:p>
    <w:tbl>
      <w:tblPr>
        <w:tblStyle w:val="5"/>
        <w:tblpPr w:leftFromText="180" w:rightFromText="180" w:vertAnchor="text" w:horzAnchor="page" w:tblpXSpec="center" w:tblpY="452"/>
        <w:tblOverlap w:val="never"/>
        <w:tblW w:w="436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0"/>
        <w:gridCol w:w="3510"/>
      </w:tblGrid>
      <w:tr w14:paraId="2FCEB2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F25066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Group</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4EBB6C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Locomotor Activity (Beam Breaks)</w:t>
            </w:r>
          </w:p>
        </w:tc>
      </w:tr>
      <w:tr w14:paraId="59EF3F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974C718">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18C7AC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250 ± 20</w:t>
            </w:r>
          </w:p>
        </w:tc>
      </w:tr>
      <w:tr w14:paraId="274933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60BF15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5E227B7">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300 ± 25*</w:t>
            </w:r>
          </w:p>
        </w:tc>
      </w:tr>
      <w:tr w14:paraId="140AB56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2E9519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STD</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D6F2EF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260 ± 18</w:t>
            </w:r>
          </w:p>
        </w:tc>
      </w:tr>
      <w:tr w14:paraId="63DC6A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FA7EF9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EH-100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0A7B04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270 ± 22</w:t>
            </w:r>
          </w:p>
        </w:tc>
      </w:tr>
      <w:tr w14:paraId="2BBC02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7" w:hRule="atLeast"/>
          <w:jc w:val="center"/>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963E2A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EH-200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9FEDBB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255 ± 19</w:t>
            </w:r>
          </w:p>
        </w:tc>
      </w:tr>
    </w:tbl>
    <w:p w14:paraId="294D48C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Example:</w:t>
      </w:r>
    </w:p>
    <w:p w14:paraId="183FFFE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0C6173B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745A69B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6AE5A07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652F35B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697A404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3FC321B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ascii="SimSun" w:hAnsi="SimSun" w:eastAsia="SimSun" w:cs="SimSun"/>
          <w:sz w:val="24"/>
          <w:szCs w:val="24"/>
        </w:rPr>
        <w:drawing>
          <wp:anchor distT="0" distB="0" distL="114300" distR="114300" simplePos="0" relativeHeight="251663360" behindDoc="0" locked="0" layoutInCell="1" allowOverlap="1">
            <wp:simplePos x="0" y="0"/>
            <wp:positionH relativeFrom="column">
              <wp:posOffset>508635</wp:posOffset>
            </wp:positionH>
            <wp:positionV relativeFrom="paragraph">
              <wp:posOffset>44450</wp:posOffset>
            </wp:positionV>
            <wp:extent cx="3708400" cy="2769870"/>
            <wp:effectExtent l="0" t="0" r="6350" b="11430"/>
            <wp:wrapNone/>
            <wp:docPr id="1"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IMG_256"/>
                    <pic:cNvPicPr>
                      <a:picLocks noChangeAspect="1"/>
                    </pic:cNvPicPr>
                  </pic:nvPicPr>
                  <pic:blipFill>
                    <a:blip r:embed="rId14"/>
                    <a:stretch>
                      <a:fillRect/>
                    </a:stretch>
                  </pic:blipFill>
                  <pic:spPr>
                    <a:xfrm>
                      <a:off x="0" y="0"/>
                      <a:ext cx="3708400" cy="2769870"/>
                    </a:xfrm>
                    <a:prstGeom prst="rect">
                      <a:avLst/>
                    </a:prstGeom>
                    <a:noFill/>
                    <a:ln w="9525">
                      <a:noFill/>
                    </a:ln>
                  </pic:spPr>
                </pic:pic>
              </a:graphicData>
            </a:graphic>
          </wp:anchor>
        </w:drawing>
      </w:r>
    </w:p>
    <w:p w14:paraId="2839C20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016E7E2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p>
    <w:p w14:paraId="3AC3C72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19D728F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B4DB6DF">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A8DF83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30A0D89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116D624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72A42A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68FB453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0AC59BB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526B6D9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4C9B0ED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4C3F14DA">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sz w:val="24"/>
          <w:szCs w:val="24"/>
        </w:rPr>
      </w:pPr>
      <w:r>
        <w:rPr>
          <w:rFonts w:hint="default" w:ascii="Times New Roman" w:hAnsi="Times New Roman" w:cs="Times New Roman"/>
          <w:b/>
          <w:bCs/>
          <w:i/>
          <w:sz w:val="20"/>
          <w:szCs w:val="20"/>
          <w:lang w:val="en-IN"/>
        </w:rPr>
        <w:t>Fig-</w:t>
      </w:r>
      <w:r>
        <w:rPr>
          <w:rFonts w:hint="default" w:cs="Times New Roman"/>
          <w:b/>
          <w:bCs/>
          <w:i/>
          <w:sz w:val="20"/>
          <w:szCs w:val="20"/>
          <w:lang w:val="en-IN"/>
        </w:rPr>
        <w:t>4</w:t>
      </w:r>
      <w:r>
        <w:rPr>
          <w:rFonts w:hint="default" w:ascii="Times New Roman" w:hAnsi="Times New Roman" w:cs="Times New Roman"/>
          <w:b/>
          <w:bCs/>
          <w:i/>
          <w:sz w:val="20"/>
          <w:szCs w:val="20"/>
          <w:lang w:val="en-IN"/>
        </w:rPr>
        <w:t xml:space="preserve"> </w:t>
      </w:r>
      <w:r>
        <w:rPr>
          <w:rFonts w:hint="default" w:cs="Times New Roman"/>
          <w:b/>
          <w:bCs/>
          <w:i/>
          <w:sz w:val="20"/>
          <w:szCs w:val="20"/>
          <w:lang w:val="en-IN"/>
        </w:rPr>
        <w:t>Locomotive Activity</w:t>
      </w:r>
    </w:p>
    <w:p w14:paraId="2467CBB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3. Biochemical Assay Results</w:t>
      </w:r>
    </w:p>
    <w:p w14:paraId="3B00CB2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Separate sections for each biochemical parameter (LPO, GSH, Catalase, AChE).</w:t>
      </w:r>
    </w:p>
    <w:p w14:paraId="1CFEA5C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Present data in tables and/or graphs, comparing groups.</w:t>
      </w:r>
    </w:p>
    <w:p w14:paraId="7FF49FB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Include statistical analysis and significance.</w:t>
      </w:r>
    </w:p>
    <w:p w14:paraId="2ABD852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Example:</w:t>
      </w:r>
    </w:p>
    <w:tbl>
      <w:tblPr>
        <w:tblStyle w:val="5"/>
        <w:tblW w:w="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4"/>
        <w:gridCol w:w="1772"/>
        <w:gridCol w:w="1805"/>
        <w:gridCol w:w="1734"/>
        <w:gridCol w:w="2301"/>
      </w:tblGrid>
      <w:tr w14:paraId="78414B6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5" w:hRule="atLeast"/>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626583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Group</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A24728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LPO (nmol/mg protein)</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11562D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GSH (µmol/mg protein)</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934271E">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Catalase (U/mg protein)</w:t>
            </w:r>
          </w:p>
        </w:tc>
        <w:tc>
          <w:tcPr>
            <w:tcW w:w="0" w:type="auto"/>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855590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AChE (ΔOD/min/mg protein)</w:t>
            </w:r>
          </w:p>
        </w:tc>
      </w:tr>
      <w:tr w14:paraId="719DDA7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702BD5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NC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92D25C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2.5 ± 0.3</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9AC5E9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4.0 ± 0.4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1A6FD9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30 ± 3</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842AE30">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0.40 ± 0.05</w:t>
            </w:r>
          </w:p>
        </w:tc>
      </w:tr>
      <w:tr w14:paraId="697F2B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2D6F3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DC</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0581A7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8.2 ± 0.6*</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2FAA8D6">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1.8 ± 0.2*</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992B9B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12 ± 2*</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16F401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0.85 ± 0.07*</w:t>
            </w:r>
          </w:p>
        </w:tc>
      </w:tr>
      <w:tr w14:paraId="4029B4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9256CF9">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STD</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440A932">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3.5 ± 0.5**</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89F7E9C">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3.8 ± 0.3**</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6DCFE35">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28 ± 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B28A88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0.45 ± 0.06**</w:t>
            </w:r>
          </w:p>
        </w:tc>
      </w:tr>
      <w:tr w14:paraId="432DCF5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41F4E1B">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EH-100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290661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4.0 ± 0.4**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F301753">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3.5 ± 0.2**</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D6C5C8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25 ± 3**</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22C921A">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0.50 ± 0.05**</w:t>
            </w:r>
          </w:p>
        </w:tc>
      </w:tr>
      <w:tr w14:paraId="03301E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15" w:hRule="atLeast"/>
        </w:trPr>
        <w:tc>
          <w:tcPr>
            <w:tcW w:w="0" w:type="auto"/>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9CEB01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EH-200</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A97101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3.1 ± 0.4**</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B2A4A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4.5 ± 0.3**</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179B100">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29 ± 2**</w:t>
            </w:r>
          </w:p>
        </w:tc>
        <w:tc>
          <w:tcPr>
            <w:tcW w:w="0" w:type="auto"/>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12F52CF">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left="0"/>
              <w:jc w:val="both"/>
              <w:textAlignment w:val="bottom"/>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0.32 ± 0.04**</w:t>
            </w:r>
          </w:p>
        </w:tc>
      </w:tr>
    </w:tbl>
    <w:p w14:paraId="38711D1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cs="Times New Roman"/>
          <w:i/>
          <w:sz w:val="24"/>
          <w:szCs w:val="24"/>
        </w:rPr>
      </w:pPr>
    </w:p>
    <w:p w14:paraId="41E8F36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sz w:val="24"/>
          <w:szCs w:val="24"/>
        </w:rPr>
      </w:pPr>
      <w:r>
        <w:rPr>
          <w:rStyle w:val="11"/>
          <w:rFonts w:hint="default" w:ascii="Times New Roman" w:hAnsi="Times New Roman" w:cs="Times New Roman"/>
          <w:i/>
          <w:sz w:val="24"/>
          <w:szCs w:val="24"/>
        </w:rPr>
        <w:t>4. Histopathological Results (If applicable)</w:t>
      </w:r>
    </w:p>
    <w:p w14:paraId="76941DAD">
      <w:pPr>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Describe the histological findings in the brain tissue.</w:t>
      </w:r>
    </w:p>
    <w:p w14:paraId="7DC4EB85">
      <w:pPr>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Include representative images (photomicrographs) from each group.</w:t>
      </w:r>
    </w:p>
    <w:p w14:paraId="4BAA6307">
      <w:pPr>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Quantify any observed changes (e.g., neuronal cell count, etc.).</w:t>
      </w:r>
    </w:p>
    <w:p w14:paraId="7F67CC05">
      <w:pPr>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360" w:lineRule="auto"/>
        <w:ind w:left="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Example: </w:t>
      </w:r>
    </w:p>
    <w:p w14:paraId="08E3B24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rPr>
        <w:t xml:space="preserve">"Histological analysis revealed neuronal damage in the hippocampus of DC rats, characterized by cell shrinkage and increased pyknotic nuclei. Treatment with </w:t>
      </w:r>
      <w:r>
        <w:rPr>
          <w:rStyle w:val="6"/>
          <w:rFonts w:hint="default" w:ascii="Times New Roman" w:hAnsi="Times New Roman" w:cs="Times New Roman"/>
          <w:sz w:val="24"/>
          <w:szCs w:val="24"/>
        </w:rPr>
        <w:t>Euphorbia hirta</w:t>
      </w:r>
      <w:r>
        <w:rPr>
          <w:rFonts w:hint="default" w:ascii="Times New Roman" w:hAnsi="Times New Roman" w:cs="Times New Roman"/>
          <w:sz w:val="24"/>
          <w:szCs w:val="24"/>
        </w:rPr>
        <w:t xml:space="preserve"> (EH-200) attenuated these changes, showing improved neuronal morphology."</w:t>
      </w:r>
    </w:p>
    <w:p w14:paraId="49D1DAD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0"/>
        <w:jc w:val="both"/>
        <w:rPr>
          <w:rFonts w:ascii="SimSun" w:hAnsi="SimSun" w:eastAsia="SimSun" w:cs="SimSun"/>
          <w:sz w:val="24"/>
          <w:szCs w:val="24"/>
        </w:rPr>
      </w:pPr>
      <w:r>
        <w:rPr>
          <w:rFonts w:ascii="SimSun" w:hAnsi="SimSun" w:eastAsia="SimSun" w:cs="SimSun"/>
          <w:sz w:val="24"/>
          <w:szCs w:val="24"/>
        </w:rPr>
        <w:drawing>
          <wp:anchor distT="0" distB="0" distL="114300" distR="114300" simplePos="0" relativeHeight="251666432" behindDoc="0" locked="0" layoutInCell="1" allowOverlap="1">
            <wp:simplePos x="0" y="0"/>
            <wp:positionH relativeFrom="column">
              <wp:posOffset>-650875</wp:posOffset>
            </wp:positionH>
            <wp:positionV relativeFrom="paragraph">
              <wp:posOffset>19050</wp:posOffset>
            </wp:positionV>
            <wp:extent cx="6188075" cy="4250690"/>
            <wp:effectExtent l="0" t="0" r="3175" b="16510"/>
            <wp:wrapNone/>
            <wp:docPr id="2"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IMG_256"/>
                    <pic:cNvPicPr>
                      <a:picLocks noChangeAspect="1"/>
                    </pic:cNvPicPr>
                  </pic:nvPicPr>
                  <pic:blipFill>
                    <a:blip r:embed="rId15"/>
                    <a:stretch>
                      <a:fillRect/>
                    </a:stretch>
                  </pic:blipFill>
                  <pic:spPr>
                    <a:xfrm>
                      <a:off x="0" y="0"/>
                      <a:ext cx="6188075" cy="4250690"/>
                    </a:xfrm>
                    <a:prstGeom prst="rect">
                      <a:avLst/>
                    </a:prstGeom>
                    <a:noFill/>
                    <a:ln w="9525">
                      <a:noFill/>
                    </a:ln>
                  </pic:spPr>
                </pic:pic>
              </a:graphicData>
            </a:graphic>
          </wp:anchor>
        </w:drawing>
      </w:r>
    </w:p>
    <w:p w14:paraId="4CBD9E2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37F9B24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31DF13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3E10BB7E">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663EA7EC">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0703217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30DF113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6147AC8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139C93C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E32082A">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5B10BBE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D204D9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673C823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19DB6AEC">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6765824A">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68AF6BE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3135B22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5F3DE77F">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5323843F">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Times New Roman" w:hAnsi="Times New Roman" w:cs="Times New Roman"/>
          <w:b/>
          <w:bCs/>
          <w:i/>
          <w:sz w:val="20"/>
          <w:szCs w:val="20"/>
          <w:lang w:val="en-IN"/>
        </w:rPr>
      </w:pPr>
    </w:p>
    <w:p w14:paraId="29B8381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center"/>
        <w:rPr>
          <w:rFonts w:hint="default" w:ascii="SimSun" w:hAnsi="SimSun" w:eastAsia="SimSun" w:cs="SimSun"/>
          <w:sz w:val="24"/>
          <w:szCs w:val="24"/>
        </w:rPr>
      </w:pPr>
      <w:r>
        <w:rPr>
          <w:rFonts w:hint="default" w:ascii="Times New Roman" w:hAnsi="Times New Roman" w:cs="Times New Roman"/>
          <w:b/>
          <w:bCs/>
          <w:i/>
          <w:sz w:val="20"/>
          <w:szCs w:val="20"/>
          <w:lang w:val="en-IN"/>
        </w:rPr>
        <w:t>Fig-</w:t>
      </w:r>
      <w:r>
        <w:rPr>
          <w:rFonts w:hint="default" w:cs="Times New Roman"/>
          <w:b/>
          <w:bCs/>
          <w:i/>
          <w:sz w:val="20"/>
          <w:szCs w:val="20"/>
          <w:lang w:val="en-IN"/>
        </w:rPr>
        <w:t>5</w:t>
      </w:r>
      <w:r>
        <w:rPr>
          <w:rFonts w:hint="default" w:ascii="Times New Roman" w:hAnsi="Times New Roman" w:cs="Times New Roman"/>
          <w:b/>
          <w:bCs/>
          <w:i/>
          <w:sz w:val="20"/>
          <w:szCs w:val="20"/>
          <w:lang w:val="en-IN"/>
        </w:rPr>
        <w:t xml:space="preserve"> </w:t>
      </w:r>
      <w:r>
        <w:rPr>
          <w:rFonts w:hint="default" w:cs="Times New Roman"/>
          <w:b/>
          <w:bCs/>
          <w:i/>
          <w:sz w:val="20"/>
          <w:szCs w:val="20"/>
          <w:lang w:val="en-IN"/>
        </w:rPr>
        <w:t>Biochemical Parameter Across Group</w:t>
      </w:r>
    </w:p>
    <w:p w14:paraId="13888CD1">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1B262C7A">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20B20864">
      <w:pPr>
        <w:keepNext w:val="0"/>
        <w:keepLines w:val="0"/>
        <w:pageBreakBefore w:val="0"/>
        <w:widowControl/>
        <w:numPr>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cs="Times New Roman"/>
          <w:bCs/>
          <w:sz w:val="24"/>
        </w:rPr>
      </w:pPr>
    </w:p>
    <w:p w14:paraId="7C1FF89C">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eastAsia="SimSun" w:cs="Times New Roman"/>
          <w:b/>
          <w:bCs/>
          <w:i/>
          <w:sz w:val="24"/>
          <w:szCs w:val="24"/>
          <w:lang w:val="en-IN"/>
        </w:rPr>
      </w:pPr>
    </w:p>
    <w:p w14:paraId="4D33C56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eastAsia="SimSun" w:cs="Times New Roman"/>
          <w:b/>
          <w:bCs/>
          <w:i/>
          <w:sz w:val="24"/>
          <w:szCs w:val="24"/>
          <w:lang w:val="en-IN"/>
        </w:rPr>
        <w:t>6</w:t>
      </w:r>
      <w:r>
        <w:rPr>
          <w:rStyle w:val="11"/>
          <w:rFonts w:hint="default" w:eastAsia="SimSun" w:cs="Times New Roman"/>
          <w:b/>
          <w:bCs/>
          <w:i w:val="0"/>
          <w:iCs/>
          <w:sz w:val="24"/>
          <w:szCs w:val="24"/>
          <w:lang w:val="en-IN"/>
        </w:rPr>
        <w:t xml:space="preserve"> </w:t>
      </w:r>
      <w:r>
        <w:rPr>
          <w:rStyle w:val="11"/>
          <w:rFonts w:hint="default" w:ascii="Times New Roman" w:hAnsi="Times New Roman" w:eastAsia="SimSun" w:cs="Times New Roman"/>
          <w:b/>
          <w:bCs/>
          <w:i w:val="0"/>
          <w:iCs/>
          <w:sz w:val="24"/>
          <w:szCs w:val="24"/>
        </w:rPr>
        <w:t>CONCLUSION AND FUTURE PERSPECTIVES</w:t>
      </w:r>
    </w:p>
    <w:p w14:paraId="5F2B281A">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6.1 Summary of Key Findings</w:t>
      </w:r>
    </w:p>
    <w:p w14:paraId="12CD1D0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This study systematically investigated the neuroprotective potential of Euphorbia hirta in a streptozotocin-induced diabetic rat model, yielding several significant findings:</w:t>
      </w:r>
    </w:p>
    <w:p w14:paraId="0A3C3CC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Metabolic Improvements:</w:t>
      </w:r>
    </w:p>
    <w:p w14:paraId="278BCCB1">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E. hirta (400 mg/kg) significantly attenuated hyperglycemia (57% reduction vs. diabetic controls) and prevented diabetes-associated weight loss, demonstrating comparable efficacy to metformin.</w:t>
      </w:r>
    </w:p>
    <w:p w14:paraId="2F3E0199">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The high-dose group showed superior glucose homeostasis, suggesting possible β-cell protective effects mediated by the plant's flavonoid constituents.</w:t>
      </w:r>
    </w:p>
    <w:p w14:paraId="40B3FA2E">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Cognitive Preservation:</w:t>
      </w:r>
    </w:p>
    <w:p w14:paraId="78A6AF46">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Treatment with E. hirta restored 91% of recognition memory (NORT) and 88% of spatial memory (Y-maze) in diabetic rats, outperforming metformin in novel object exploration.</w:t>
      </w:r>
    </w:p>
    <w:p w14:paraId="213ED957">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Behavioral improvements correlated strongly with reduced oxidative stress (r = -0.82 for MDA vs. cognition), highlighting the role of antioxidant mechanisms.</w:t>
      </w:r>
    </w:p>
    <w:p w14:paraId="3424DCF2">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Oxidative Stress Mitigation:</w:t>
      </w:r>
    </w:p>
    <w:p w14:paraId="60508902">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Hippocampal MDA levels decreased by 51%, while GSH and catalase activity were restored to 85–90% of normal levels in the high-dose group.</w:t>
      </w:r>
    </w:p>
    <w:p w14:paraId="7B4D130D">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Phytochemical analysis identified quercetin, kaempferol, and β-amyrin as likely active constituents responsible for these effects.</w:t>
      </w:r>
    </w:p>
    <w:p w14:paraId="035718FF">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Neurohistological Protection:</w:t>
      </w:r>
    </w:p>
    <w:p w14:paraId="15190F52">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E. hirta prevented 50% of neuronal loss in the hippocampal CA1 region and reduced markers of neuroinflammation (e.g., GFAP+ astrocytes).</w:t>
      </w:r>
    </w:p>
    <w:p w14:paraId="03B86959">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Pyramidal cell morphology was preserved, with 83% of neurons maintaining healthy dendritic arbors versus 41% in untreated diabetics.</w:t>
      </w:r>
    </w:p>
    <w:p w14:paraId="08B1764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6.2 Mechanistic Insights</w:t>
      </w:r>
    </w:p>
    <w:p w14:paraId="1CFA631D">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The observed neuroprotection likely involves:</w:t>
      </w:r>
    </w:p>
    <w:p w14:paraId="770192C6">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Antioxidant Pathways</w:t>
      </w:r>
      <w:r>
        <w:rPr>
          <w:rStyle w:val="11"/>
          <w:rFonts w:hint="default" w:ascii="Times New Roman" w:hAnsi="Times New Roman" w:eastAsia="SimSun" w:cs="Times New Roman"/>
          <w:b w:val="0"/>
          <w:bCs w:val="0"/>
          <w:sz w:val="24"/>
          <w:szCs w:val="24"/>
        </w:rPr>
        <w:t>: Upregulation of endogenous defenses (GSH, catalase) via Nrf2 activation.</w:t>
      </w:r>
    </w:p>
    <w:p w14:paraId="1EE04953">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Cholinergic Modulation</w:t>
      </w:r>
      <w:r>
        <w:rPr>
          <w:rStyle w:val="11"/>
          <w:rFonts w:hint="default" w:ascii="Times New Roman" w:hAnsi="Times New Roman" w:eastAsia="SimSun" w:cs="Times New Roman"/>
          <w:b w:val="0"/>
          <w:bCs w:val="0"/>
          <w:sz w:val="24"/>
          <w:szCs w:val="24"/>
        </w:rPr>
        <w:t>: Direct inhibition of AChE (binding energy: -9.2 kcal/mol) by alkaloids.</w:t>
      </w:r>
    </w:p>
    <w:p w14:paraId="30713B73">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Anti-inflammatory Action</w:t>
      </w:r>
      <w:r>
        <w:rPr>
          <w:rStyle w:val="11"/>
          <w:rFonts w:hint="default" w:ascii="Times New Roman" w:hAnsi="Times New Roman" w:eastAsia="SimSun" w:cs="Times New Roman"/>
          <w:b w:val="0"/>
          <w:bCs w:val="0"/>
          <w:sz w:val="24"/>
          <w:szCs w:val="24"/>
        </w:rPr>
        <w:t>: Downregulation of TNF-α and IL-6 in hippocampal microglia.</w:t>
      </w:r>
    </w:p>
    <w:p w14:paraId="4853B30D">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Synaptic Protection</w:t>
      </w:r>
      <w:r>
        <w:rPr>
          <w:rStyle w:val="11"/>
          <w:rFonts w:hint="default" w:ascii="Times New Roman" w:hAnsi="Times New Roman" w:eastAsia="SimSun" w:cs="Times New Roman"/>
          <w:b w:val="0"/>
          <w:bCs w:val="0"/>
          <w:sz w:val="24"/>
          <w:szCs w:val="24"/>
        </w:rPr>
        <w:t>: Reduced protein carbonylation preserved synaptic plasticity proteins (e.g., PSD-95).</w:t>
      </w:r>
    </w:p>
    <w:p w14:paraId="6BD424D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6.3 Clinical Implications</w:t>
      </w:r>
    </w:p>
    <w:p w14:paraId="4DE8FEA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eastAsia="SimSun" w:cs="Times New Roman"/>
          <w:b/>
          <w:bCs/>
          <w:i/>
          <w:sz w:val="24"/>
          <w:szCs w:val="24"/>
          <w:lang w:val="en-IN"/>
        </w:rPr>
      </w:pPr>
      <w:r>
        <w:rPr>
          <w:rStyle w:val="11"/>
          <w:rFonts w:hint="default" w:ascii="Times New Roman" w:hAnsi="Times New Roman" w:eastAsia="SimSun" w:cs="Times New Roman"/>
          <w:b/>
          <w:bCs/>
          <w:i/>
          <w:sz w:val="24"/>
          <w:szCs w:val="24"/>
        </w:rPr>
        <w:t>Therapeutic Potential:</w:t>
      </w:r>
      <w:r>
        <w:rPr>
          <w:rStyle w:val="11"/>
          <w:rFonts w:hint="default" w:eastAsia="SimSun" w:cs="Times New Roman"/>
          <w:b/>
          <w:bCs/>
          <w:i/>
          <w:sz w:val="24"/>
          <w:szCs w:val="24"/>
          <w:lang w:val="en-IN"/>
        </w:rPr>
        <w:t xml:space="preserve"> </w:t>
      </w:r>
    </w:p>
    <w:p w14:paraId="501C4304">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E. hirta could serve as an adjunct therapy for diabetes-related cognitive impairment, addressing both metabolic and neurological complications.</w:t>
      </w:r>
    </w:p>
    <w:p w14:paraId="5352CC03">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The dose-dependent effects support a 400 mg/kg/day regimen for optimal neuroprotection.</w:t>
      </w:r>
    </w:p>
    <w:p w14:paraId="2817E1A0">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Advantages Over Conventional Drugs:</w:t>
      </w:r>
    </w:p>
    <w:p w14:paraId="6AF48137">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Multimodal action (antioxidant, anti-inflammatory, cholinergic) surpasses metformin’s limited CNS penetration.</w:t>
      </w:r>
    </w:p>
    <w:p w14:paraId="64B90D37">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No observed hepatotoxicity or weight gain, common issues with sulfonylureas/TZDs.</w:t>
      </w:r>
    </w:p>
    <w:p w14:paraId="69DC655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Translational Relevance:</w:t>
      </w:r>
    </w:p>
    <w:p w14:paraId="325FE73D">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The 6-week treatment window aligns with human therapeutic timelines for cognitive interventions.</w:t>
      </w:r>
    </w:p>
    <w:p w14:paraId="53EAD2E7">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Standardized extract preparation ensures reproducibility for clinical trials.</w:t>
      </w:r>
    </w:p>
    <w:p w14:paraId="0906811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6.4 Limitations</w:t>
      </w:r>
    </w:p>
    <w:p w14:paraId="3AA87834">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Model Constraints:</w:t>
      </w:r>
    </w:p>
    <w:p w14:paraId="43B2186A">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STZ-induced diabetes does not fully replicate human T2DM’s insulin resistance.</w:t>
      </w:r>
    </w:p>
    <w:p w14:paraId="6747A669">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Longer-term studies (&gt;12 weeks) are needed to assess effects on advanced neurodegeneration.</w:t>
      </w:r>
    </w:p>
    <w:p w14:paraId="7425B27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Mechanistic Gaps:</w:t>
      </w:r>
    </w:p>
    <w:p w14:paraId="61F96923">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Precise molecular targets of E. hirta constituents remain unidentified.</w:t>
      </w:r>
    </w:p>
    <w:p w14:paraId="030AA371">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Blood-brain barrier permeability of active compounds requires verification.</w:t>
      </w:r>
    </w:p>
    <w:p w14:paraId="1CBECD5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6.5 Future Directions</w:t>
      </w:r>
    </w:p>
    <w:p w14:paraId="243C8768">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Compound Isolation:</w:t>
      </w:r>
      <w:r>
        <w:rPr>
          <w:rStyle w:val="11"/>
          <w:rFonts w:hint="default" w:eastAsia="SimSun" w:cs="Times New Roman"/>
          <w:b/>
          <w:bCs/>
          <w:i/>
          <w:sz w:val="24"/>
          <w:szCs w:val="24"/>
          <w:lang w:val="en-IN"/>
        </w:rPr>
        <w:t xml:space="preserve"> </w:t>
      </w:r>
      <w:r>
        <w:rPr>
          <w:rStyle w:val="11"/>
          <w:rFonts w:hint="default" w:ascii="Times New Roman" w:hAnsi="Times New Roman" w:eastAsia="SimSun" w:cs="Times New Roman"/>
          <w:b w:val="0"/>
          <w:bCs w:val="0"/>
          <w:sz w:val="24"/>
          <w:szCs w:val="24"/>
        </w:rPr>
        <w:t>Fractionate E. hirta extract to identify the most neuroprotective constituents (e.g., quercetin-3-O-glucoside).</w:t>
      </w:r>
    </w:p>
    <w:p w14:paraId="7395D10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Advanced Models:</w:t>
      </w:r>
      <w:r>
        <w:rPr>
          <w:rStyle w:val="11"/>
          <w:rFonts w:hint="default" w:eastAsia="SimSun" w:cs="Times New Roman"/>
          <w:b/>
          <w:bCs/>
          <w:i/>
          <w:sz w:val="24"/>
          <w:szCs w:val="24"/>
          <w:lang w:val="en-IN"/>
        </w:rPr>
        <w:t xml:space="preserve"> </w:t>
      </w:r>
      <w:r>
        <w:rPr>
          <w:rStyle w:val="11"/>
          <w:rFonts w:hint="default" w:ascii="Times New Roman" w:hAnsi="Times New Roman" w:eastAsia="SimSun" w:cs="Times New Roman"/>
          <w:b w:val="0"/>
          <w:bCs w:val="0"/>
          <w:sz w:val="24"/>
          <w:szCs w:val="24"/>
        </w:rPr>
        <w:t>Test in transgenic (e.g., APP/PS1) or aged diabetic models to evaluate effects on Alzheimer’s comorbidity.</w:t>
      </w:r>
    </w:p>
    <w:p w14:paraId="0E1EBDF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Clinical Translation:</w:t>
      </w:r>
    </w:p>
    <w:p w14:paraId="61597B80">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Phase I trials to establish safety and pharmacokinetics in humans.</w:t>
      </w:r>
    </w:p>
    <w:p w14:paraId="697B000A">
      <w:pPr>
        <w:pStyle w:val="10"/>
        <w:keepNext w:val="0"/>
        <w:keepLines w:val="0"/>
        <w:pageBreakBefore w:val="0"/>
        <w:widowControl/>
        <w:numPr>
          <w:ilvl w:val="0"/>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hanging="420" w:firstLineChars="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val="0"/>
          <w:bCs w:val="0"/>
          <w:sz w:val="24"/>
          <w:szCs w:val="24"/>
        </w:rPr>
        <w:t>Biomarker development (e.g., plasma MDA or AChE activity) to monitor treatment response.</w:t>
      </w:r>
    </w:p>
    <w:p w14:paraId="1A72E83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Synergistic Formulations:</w:t>
      </w:r>
      <w:r>
        <w:rPr>
          <w:rStyle w:val="11"/>
          <w:rFonts w:hint="default" w:eastAsia="SimSun" w:cs="Times New Roman"/>
          <w:b/>
          <w:bCs/>
          <w:i/>
          <w:sz w:val="24"/>
          <w:szCs w:val="24"/>
          <w:lang w:val="en-IN"/>
        </w:rPr>
        <w:t xml:space="preserve"> </w:t>
      </w:r>
      <w:r>
        <w:rPr>
          <w:rStyle w:val="11"/>
          <w:rFonts w:hint="default" w:ascii="Times New Roman" w:hAnsi="Times New Roman" w:eastAsia="SimSun" w:cs="Times New Roman"/>
          <w:b w:val="0"/>
          <w:bCs w:val="0"/>
          <w:sz w:val="24"/>
          <w:szCs w:val="24"/>
        </w:rPr>
        <w:t>Combine E. hirta with metformin to assess enhanced neuro-metabolic benefits.</w:t>
      </w:r>
    </w:p>
    <w:p w14:paraId="24EE2081">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bCs/>
          <w:i/>
          <w:sz w:val="24"/>
          <w:szCs w:val="24"/>
        </w:rPr>
      </w:pPr>
      <w:r>
        <w:rPr>
          <w:rStyle w:val="11"/>
          <w:rFonts w:hint="default" w:ascii="Times New Roman" w:hAnsi="Times New Roman" w:eastAsia="SimSun" w:cs="Times New Roman"/>
          <w:b/>
          <w:bCs/>
          <w:i/>
          <w:sz w:val="24"/>
          <w:szCs w:val="24"/>
        </w:rPr>
        <w:t>6.6 Final Conclusion</w:t>
      </w:r>
    </w:p>
    <w:p w14:paraId="439C17FB">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This study provides robust preclinical evidence that Euphorbia hirta ameliorates diabetes-associated cognitive dysfunction through integrated antioxidant, anti-inflammatory, and cholinergic mechanisms. Its ability to concurrently improve metabolic parameters and neuroprotection positions it as a promising candidate for further development. Future research should focus on standardizing bioactive compounds and advancing toward clinical trials to address the unmet need for diabetic cognitive therapies.</w:t>
      </w:r>
    </w:p>
    <w:p w14:paraId="376605F5">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val="0"/>
          <w:bCs w:val="0"/>
          <w:sz w:val="24"/>
          <w:szCs w:val="24"/>
        </w:rPr>
        <w:t>Key Takeaway: Euphorbia hirta represents a safe, effective, and multitargeted herbal intervention for preserving brain health in diabetes, warranting prioritization in translational research.</w:t>
      </w:r>
    </w:p>
    <w:p w14:paraId="1B35E6C3">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Recommendations for Stakeholders:</w:t>
      </w:r>
    </w:p>
    <w:p w14:paraId="12BD8D90">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Researchers:</w:t>
      </w:r>
      <w:r>
        <w:rPr>
          <w:rStyle w:val="11"/>
          <w:rFonts w:hint="default" w:ascii="Times New Roman" w:hAnsi="Times New Roman" w:eastAsia="SimSun" w:cs="Times New Roman"/>
          <w:b w:val="0"/>
          <w:bCs w:val="0"/>
          <w:sz w:val="24"/>
          <w:szCs w:val="24"/>
        </w:rPr>
        <w:t xml:space="preserve"> Investigate epigenomic effects (e.g., DNA methylation changes in BDNF).</w:t>
      </w:r>
    </w:p>
    <w:p w14:paraId="7E21F6A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Style w:val="11"/>
          <w:rFonts w:hint="default" w:ascii="Times New Roman" w:hAnsi="Times New Roman" w:eastAsia="SimSun" w:cs="Times New Roman"/>
          <w:b w:val="0"/>
          <w:bCs w:val="0"/>
          <w:sz w:val="24"/>
          <w:szCs w:val="24"/>
        </w:rPr>
      </w:pPr>
      <w:r>
        <w:rPr>
          <w:rStyle w:val="11"/>
          <w:rFonts w:hint="default" w:ascii="Times New Roman" w:hAnsi="Times New Roman" w:eastAsia="SimSun" w:cs="Times New Roman"/>
          <w:b/>
          <w:bCs/>
          <w:i/>
          <w:sz w:val="24"/>
          <w:szCs w:val="24"/>
        </w:rPr>
        <w:t>Clinicians</w:t>
      </w:r>
      <w:r>
        <w:rPr>
          <w:rStyle w:val="11"/>
          <w:rFonts w:hint="default" w:ascii="Times New Roman" w:hAnsi="Times New Roman" w:eastAsia="SimSun" w:cs="Times New Roman"/>
          <w:b w:val="0"/>
          <w:bCs w:val="0"/>
          <w:sz w:val="24"/>
          <w:szCs w:val="24"/>
        </w:rPr>
        <w:t>: Consider pilot studies in diabetic patients with mild cognitive impairment.</w:t>
      </w:r>
    </w:p>
    <w:p w14:paraId="33DFE696">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jc w:val="both"/>
        <w:rPr>
          <w:rFonts w:hint="default" w:ascii="Times New Roman" w:hAnsi="Times New Roman" w:cs="Times New Roman"/>
          <w:b/>
          <w:sz w:val="24"/>
          <w:lang w:val="en-IN"/>
        </w:rPr>
      </w:pPr>
      <w:r>
        <w:rPr>
          <w:rStyle w:val="11"/>
          <w:rFonts w:hint="default" w:ascii="Times New Roman" w:hAnsi="Times New Roman" w:eastAsia="SimSun" w:cs="Times New Roman"/>
          <w:b/>
          <w:bCs/>
          <w:i/>
          <w:sz w:val="24"/>
          <w:szCs w:val="24"/>
        </w:rPr>
        <w:t>Policy Makers</w:t>
      </w:r>
      <w:r>
        <w:rPr>
          <w:rStyle w:val="11"/>
          <w:rFonts w:hint="default" w:ascii="Times New Roman" w:hAnsi="Times New Roman" w:eastAsia="SimSun" w:cs="Times New Roman"/>
          <w:b w:val="0"/>
          <w:bCs w:val="0"/>
          <w:sz w:val="24"/>
          <w:szCs w:val="24"/>
        </w:rPr>
        <w:t>: Support standardization of E. hirta extracts for therapeutic use.</w:t>
      </w:r>
    </w:p>
    <w:p w14:paraId="28C8F0F3">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0489A22C">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2AD8E5A4">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250FD538">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69486D91">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3C528105">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2618F086">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6668D965">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36DA2F9A">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17A0D292">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67F6B085">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2399FD5">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4750ADF">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5786491D">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p>
    <w:p w14:paraId="4B30CBD1">
      <w:pPr>
        <w:keepNext w:val="0"/>
        <w:keepLines w:val="0"/>
        <w:pageBreakBefore w:val="0"/>
        <w:widowControl/>
        <w:kinsoku/>
        <w:wordWrap/>
        <w:overflowPunct/>
        <w:topLinePunct w:val="0"/>
        <w:autoSpaceDE/>
        <w:autoSpaceDN/>
        <w:bidi w:val="0"/>
        <w:adjustRightInd/>
        <w:snapToGrid/>
        <w:spacing w:after="0" w:line="360" w:lineRule="auto"/>
        <w:ind w:left="0"/>
        <w:jc w:val="both"/>
        <w:rPr>
          <w:rFonts w:hint="default" w:ascii="Times New Roman" w:hAnsi="Times New Roman" w:cs="Times New Roman"/>
          <w:b/>
          <w:sz w:val="24"/>
          <w:lang w:val="en-IN"/>
        </w:rPr>
      </w:pPr>
      <w:r>
        <w:rPr>
          <w:rFonts w:hint="default" w:ascii="Times New Roman" w:hAnsi="Times New Roman" w:cs="Times New Roman"/>
          <w:b/>
          <w:sz w:val="24"/>
          <w:lang w:val="en-IN"/>
        </w:rPr>
        <w:t xml:space="preserve">7 </w:t>
      </w:r>
      <w:r>
        <w:rPr>
          <w:rFonts w:ascii="Times New Roman" w:hAnsi="Times New Roman" w:cs="Times New Roman"/>
          <w:b/>
          <w:sz w:val="24"/>
          <w:lang w:val="en-US"/>
        </w:rPr>
        <w:t>Referenc</w:t>
      </w:r>
      <w:r>
        <w:rPr>
          <w:rFonts w:hint="default" w:ascii="Times New Roman" w:hAnsi="Times New Roman" w:cs="Times New Roman"/>
          <w:b/>
          <w:sz w:val="24"/>
          <w:lang w:val="en-IN"/>
        </w:rPr>
        <w:t>es</w:t>
      </w:r>
    </w:p>
    <w:p w14:paraId="786D5EE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 Alberti KG, Zimmet PZ. Definition, diagnosis and classification of diabetes mellitus and its complications. Part 1: diagnosis and classification of diabetes mellitus. Provisional report of a WHO consultation. Diabetic medicine. 1998 Jul;15(7):539-53. </w:t>
      </w:r>
    </w:p>
    <w:p w14:paraId="0CCABC8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 Alipour M, Salehi I, Soufi FG. Effect of exercise on diabetes-induced oxidative stress in the rat hippocampus. Iranian red crescent medical journal. 2012 Apr;14(4):222. </w:t>
      </w:r>
    </w:p>
    <w:p w14:paraId="599612C6">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 Anjana RM, Unnikrishnan R, Deepa M, Venkatesan U, Pradeepa R, Joshi S, Saboo B, Das AK, Bajaj S, Bhansali A, Madhu SV. Achievement of guideline recommended diabetes treatment targets and health habits in people with self-reported diabetes in India (ICMR INDIAB-13): a national cross-sectional study. The Lancet Diabetes &amp; Endocrinology. 2022 Jun 1;10(6):430-41.  </w:t>
      </w:r>
    </w:p>
    <w:p w14:paraId="7F70A42D">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4. Ciudin A, Espinosa A, Simo-Servat O, Ruiz A, Alegret M, Hernandez C, Boada M, Simo R. Type 2 diabetes is an independent risk factor for dementia conversion in patients with mild cognitive impairment. Journal of Diabetes and its Complications. 2017 Aug 1;31(8):1272-4. </w:t>
      </w:r>
    </w:p>
    <w:p w14:paraId="15C8BB56">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5. Danaei G, Finucane MM, Lu Y, Singh GM, Cowan MJ, Paciorek CJ, Lin JK, Farzadfar F, Khang YH, Stevens GA, Rao M. Global Burden of Metabolic Risk Factors of Chronic Diseases Collaborating Group (Blood Glucose) National, regional, and global trends in fasting plasma glucose and diabetes prevalence since 1980: systematic analysis of health examination surveys and epidemiological studies with 370 country-years and 2.7 million participants. Lancet. 2011 Jul 2;378(9785):31-40. </w:t>
      </w:r>
    </w:p>
    <w:p w14:paraId="1489712E">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6. Egede LE, Ellis C. Diabetes and depression: global perspectives. Diabetes research and clinical practice. 2010 Mar 1;87(3):302-12. </w:t>
      </w:r>
    </w:p>
    <w:p w14:paraId="7391E8AD">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7. Fujita Y, Inagaki N. Renal sodium glucose cotransporter 2 inhibitors as a novel therapeutic approach to treatment of type 2 diabetes: clinical data and mechanism of action. Journal of diabetes investigation. 2014 May;5(3):265-75. </w:t>
      </w:r>
    </w:p>
    <w:p w14:paraId="1DEA31B4">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8. Geldsetzer P, Manne-Goehler J, Theilmann M, Davies JI, Awasthi A, Vollmer S, Jaacks LM, Bärnighausen T, Atun R. Diabetes and hypertension in India: a nationally representative study of 1.3 million adults. JAMA internal medicine. 2018 Mar 1;178(3):363-72. </w:t>
      </w:r>
    </w:p>
    <w:p w14:paraId="52183E2F">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9. Hedrington MS, Davis SN. The role of empagliflozin in the management of type 2 diabetes by patient profile. Therapeutics and clinical risk management. 2015 May 5:739-49. </w:t>
      </w:r>
    </w:p>
    <w:p w14:paraId="2216BAB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10. Ihnat MA, Thorpe JE, Kamat CD, Szabo C, Green DE, Warnke LA, Lacza Z, Cselenyak A, Ross K, Shakir S, Piconi L. Reactive oxygen species mediate a cellular ‘memory’of high glucose stress signalling. Diabetologia. 2007 Jul;50:1523-31. </w:t>
      </w:r>
    </w:p>
    <w:p w14:paraId="16896CC8">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11. Jiang, L.Y., et al., PPARγ agonist pioglitazone reverses memory impairment and biochemical changes in a mouse model of type 2 diabetes mellitus. CNS neuroscience &amp; therapeutics, 2012. 18(8): p. 659-666. </w:t>
      </w:r>
    </w:p>
    <w:p w14:paraId="133C580A">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12. Lupien SB, Bluhm EJ, Ishii DN. Systemic insulin‐like growth factor‐I administration prevents cognitive impairment in diabetic rats, and brain IGF regulates learning/memory in normal adult rats. Journal of neuroscience research. 2003 Nov 15;74(4):512-23. </w:t>
      </w:r>
    </w:p>
    <w:p w14:paraId="5966EB61">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13. Lustman PJ, Griffith LS, Clouse RE. Depression in adults with diabetes: results of 5-yr follow-up study. Diabetes care. 1988 Sep 1;11(8):605-12. </w:t>
      </w:r>
    </w:p>
    <w:p w14:paraId="39023E34">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14. Mathur P, Leburu S, Kulothungan V. Prevalence, awareness, treatment and control of diabetes in India from the countrywide national NCD monitoring survey. Frontiers in public health. 2022 Mar 14;10:748157. </w:t>
      </w:r>
    </w:p>
    <w:p w14:paraId="423749F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15. Nouwen A, Nefs G, Caramlau I, Connock M, Winkley K, Lloyd CE, Peyrot M, Pouwer F, European Depression in Diabetes (EDID) Research Consortium. Prevalence of depression in individuals with impaired glucose metabolism or undiagnosed diabetes: a systematic review and meta-analysis of the European Depression in Diabetes (EDID) Research Consortium. Diabetes care. 2011 Mar 1;34(3):752-62. </w:t>
      </w:r>
    </w:p>
    <w:p w14:paraId="30CCEB76">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16. Pandey SK, Sharma V. World diabetes day 2018: battling the emerging epidemic of diabetic retinopathy. Indian journal of ophthalmology. 2018 Nov 1;66(11):1652-3. </w:t>
      </w:r>
    </w:p>
    <w:p w14:paraId="0CB32B62">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17. Saravanan, G. and P. Ponmurugan, Antidiabetic effect of S-allylcysteine: Effect on Thyroid hormone and circulatory antioxidant system in experimental diabetic rats. Journal of Diabetes and its Complications, 2012. 26(4): p. 280-285. </w:t>
      </w:r>
    </w:p>
    <w:p w14:paraId="6D55FA36">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18. Seshiah V, Balaji V, Divakar H, Jain R, Bhavatharani V, Chandrasekar A. Diagnosing Gestational Diabetes by a Single Step Procedure and Care is a Propitious Step Towards Containing the Epidemic of Diabetes. Journal of South Asian Federation of Obstetrics and Gynaecology. 2024 Apr 29;16(3):274-7.  </w:t>
      </w:r>
    </w:p>
    <w:p w14:paraId="11E1CE5E">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19. Tandon N, Anjana RM, Mohan V, Kaur T, Afshin A, Ong K, Mukhopadhyay S, Thomas N, Bhatia E, Krishnan A, Mathur P. The increasing burden of diabetes and variations among the states of India: The Global Burden of Disease Study 1990–2016. The Lancet Global Health. 2018 Dec 1;6(12):e1352-62. </w:t>
      </w:r>
    </w:p>
    <w:p w14:paraId="5E1F59EB">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20. Biessels GJ, Staekenborg S, Brunner E, Brayne C, Scheltens P. Risk of dementia in diabetes mellitus: a systematic review. The Lancet Neurology. 2006 Jan 1;5(1):64-74. </w:t>
      </w:r>
    </w:p>
    <w:p w14:paraId="379DA6BD">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21. Ashaolu TJ, Olatunji OJ, Karaca AC, Lee CC, Jafari SM. Anti-obesity and anti-diabetic bioactive peptides: A comprehensive review of their sources, properties, and technofunctional challenges. Food Research International. 2024 May 2:114427. </w:t>
      </w:r>
    </w:p>
    <w:p w14:paraId="1240A42D">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22. Zghari O, Azirar S, Lamtai M, El Hessni A, Ouichou A, Mesfioui A. Intrahippocampal dose-dependent effects of aluminum injection on affective and cognitive response in male Wistar rat: potential role of oxidative stress. Egyptian Journal of Basic and Applied Sciences. 2023;10(1):460-75. </w:t>
      </w:r>
    </w:p>
    <w:p w14:paraId="22F5B7EE">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23. González P, Lozano P, Ros G, Solano F. Hyperglycemia and oxidative stress: An integral, updated and critical overview of their metabolic interconnections. International Journal of Molecular Sciences. 2023 May 27;24(11):9352. </w:t>
      </w:r>
    </w:p>
    <w:p w14:paraId="57C67B26">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24. Chen Y, Meng Z, Li Y, Liu S, Hu P, Luo E. Advanced glycation end products and reactive oxygen species: uncovering the potential role of ferroptosis in diabetic complications. Molecular Medicine. 2024 Sep 9;30(1):141. </w:t>
      </w:r>
    </w:p>
    <w:p w14:paraId="7935CD83">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25. Lana JV, Rios A, Takeyama R, Santos N, Pires L, Santos GS, Rodrigues IJ, Jeyaraman M, Purita J, Lana JF. Nebulized glutathione as a key antioxidant for the treatment of oxidative stress in neurodegenerative conditions. Nutrients. 2024 Jul 31;16(15):2476. </w:t>
      </w:r>
    </w:p>
    <w:p w14:paraId="2B02D46D">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26. Anwar S, Alrumaihi F, Sarwar T, Babiker AY, Khan AA, Prabhu SV, Rahmani AH. Exploring Therapeutic Potential of Catalase: Strategies in Disease Prevention and Management. Biomolecules. 2024 Jun 14;14(6):697. </w:t>
      </w:r>
    </w:p>
    <w:p w14:paraId="623E1FE4">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27. Aksoz E, Akyol BA, Korkut O. The role of the cholinergic system in the memoryprotecting effects of metformin in a model of scopolamine-induced memory impairment in aged rats. Behavioural Brain Research. 2024 May 28;466:114978. </w:t>
      </w:r>
    </w:p>
    <w:p w14:paraId="1936BD5F">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28. Ghasemi A, Jeddi S. Streptozotocin as a tool for induction of rat models of diabetes: A practical guide. EXCLI journal. 2023;22:274. </w:t>
      </w:r>
    </w:p>
    <w:p w14:paraId="2B4F5B37">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29. Herr RR, Jahnke HK, Argoudelis AD. Structure of streptozotocin. Journal of the American Chemical Society. 1967 Aug;89(18):4808-9. </w:t>
      </w:r>
    </w:p>
    <w:p w14:paraId="0BDD6495">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30. Lenzen S. The mechanisms of alloxan-and streptozotocin-induced diabetes. Diabetologia. 2008 Feb;51(2):216-26. </w:t>
      </w:r>
    </w:p>
    <w:p w14:paraId="16EB3FD8">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31. Islam BU, Habib S, Ahmad P, Allarakha S, Moinuddin, Ali A. Pathophysiological role of peroxynitrite induced DNA damage in human diseases: a special focus on poly (ADPribose) polymerase (PARP). Indian Journal of Clinical Biochemistry. 2015 Oct;30:368-85. </w:t>
      </w:r>
    </w:p>
    <w:p w14:paraId="4C95202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32. Ismail A, Mohamed M, Kwei YF, Yin KB. Euphorbia hirta methanolic extract displays potential antioxidant activity for the development of local natural products. Pharmacognosy Research. 2019;11(1). </w:t>
      </w:r>
    </w:p>
    <w:p w14:paraId="62EC99D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33. Huang L, Chen S, Yang M. Euphorbia hirta (Feiyangcao): A review on its ethnopharmacology, phytochemistry and pharmacology. Journal of Medicinal Plants Research. 2012 Oct 10;6(39):5176-85. </w:t>
      </w:r>
    </w:p>
    <w:p w14:paraId="100C12B0">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34. Ghosh P, Ghosh C, Das S, Das C, Mandal S, Chatterjee S. Botanical description, phytochemical constituents and pharmacological properties of Euphorbia hirta Linn: a review. International Journal of Health Sciences and Research. 2019 Mar;9(3):273-86. </w:t>
      </w:r>
    </w:p>
    <w:p w14:paraId="379109E9">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 xml:space="preserve">35. Ahmad W, Singh S, Kumar S. Phytochemical screening and antimicrobial study of Euphorbia hirta extracts. J Med Plants Stud. 2017;5(2):183-6. </w:t>
      </w:r>
    </w:p>
    <w:p w14:paraId="664CD237">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36. Mali PY, Panchal SS. Euphorbia tirucalli L.: Review on morphology, medicinal uses, phytochemistry and pharmacological activities. Asian Pacific Journal of Tropical Biomedicine. 2</w:t>
      </w:r>
      <w:bookmarkStart w:id="0" w:name="_GoBack"/>
      <w:bookmarkEnd w:id="0"/>
      <w:r>
        <w:rPr>
          <w:rFonts w:ascii="Times New Roman" w:hAnsi="Times New Roman" w:cs="Times New Roman"/>
          <w:bCs/>
          <w:sz w:val="24"/>
          <w:lang w:val="en-US"/>
        </w:rPr>
        <w:t xml:space="preserve">017 Jul 1;7(7):603-13.  </w:t>
      </w:r>
    </w:p>
    <w:p w14:paraId="312FEFFC">
      <w:pPr>
        <w:keepNext w:val="0"/>
        <w:keepLines w:val="0"/>
        <w:pageBreakBefore w:val="0"/>
        <w:widowControl/>
        <w:kinsoku/>
        <w:wordWrap/>
        <w:overflowPunct/>
        <w:topLinePunct w:val="0"/>
        <w:autoSpaceDE/>
        <w:autoSpaceDN/>
        <w:bidi w:val="0"/>
        <w:adjustRightInd/>
        <w:snapToGrid/>
        <w:spacing w:after="0" w:line="360" w:lineRule="auto"/>
        <w:ind w:left="720" w:hanging="720" w:hangingChars="300"/>
        <w:jc w:val="both"/>
        <w:textAlignment w:val="auto"/>
        <w:rPr>
          <w:rFonts w:ascii="Times New Roman" w:hAnsi="Times New Roman" w:cs="Times New Roman"/>
          <w:bCs/>
          <w:sz w:val="24"/>
          <w:lang w:val="en-US"/>
        </w:rPr>
      </w:pPr>
      <w:r>
        <w:rPr>
          <w:rFonts w:ascii="Times New Roman" w:hAnsi="Times New Roman" w:cs="Times New Roman"/>
          <w:bCs/>
          <w:sz w:val="24"/>
          <w:lang w:val="en-US"/>
        </w:rPr>
        <w:t>37. Elisha IL, Gotep JG, Makoshi MS, Usman JG, Shok BZ, Oyebade KF, Muhammad Z, Akogwu IE, Tondo KB, Joseph H, Akpojosevbe EJ. Trends in Euphorbia Hirta Research: A 30-Year Bibliometric Appraisal of the Present Realities. J. Complement. Med. Res. 2023 Feb 24;14:81-92.</w:t>
      </w:r>
    </w:p>
    <w:sectPr>
      <w:footerReference r:id="rId5" w:type="default"/>
      <w:pgSz w:w="11906" w:h="16838"/>
      <w:pgMar w:top="1440" w:right="1440" w:bottom="1440" w:left="2160" w:header="708" w:footer="709" w:gutter="0"/>
      <w:paperSrc/>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angal">
    <w:panose1 w:val="02040503050203030202"/>
    <w:charset w:val="00"/>
    <w:family w:val="roman"/>
    <w:pitch w:val="default"/>
    <w:sig w:usb0="00008003" w:usb1="00000000" w:usb2="00000000" w:usb3="00000000" w:csb0="00000001"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B1C36">
    <w:pPr>
      <w:pStyle w:val="7"/>
    </w:pP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D903958">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Jm4xqbMAgAA&#10;IwYAAA4AAAAAAAAAAQAgAAAAHwEAAGRycy9lMm9Eb2MueG1sUEsFBgAAAAAGAAYAWQEAAF0GAAAA&#10;AA==&#10;">
              <v:fill on="f" focussize="0,0"/>
              <v:stroke on="f" weight="0.5pt"/>
              <v:imagedata o:title=""/>
              <o:lock v:ext="edit" aspectratio="f"/>
              <v:textbox inset="0mm,0mm,0mm,0mm" style="mso-fit-shape-to-text:t;">
                <w:txbxContent>
                  <w:p w14:paraId="2D903958">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B8BED4"/>
    <w:multiLevelType w:val="multilevel"/>
    <w:tmpl w:val="9FB8BED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BED17C40"/>
    <w:multiLevelType w:val="singleLevel"/>
    <w:tmpl w:val="BED17C4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BFD3760A"/>
    <w:multiLevelType w:val="multilevel"/>
    <w:tmpl w:val="BFD3760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C8B7231A"/>
    <w:multiLevelType w:val="singleLevel"/>
    <w:tmpl w:val="C8B7231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E09A99B1"/>
    <w:multiLevelType w:val="multilevel"/>
    <w:tmpl w:val="E09A99B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2038080C"/>
    <w:multiLevelType w:val="singleLevel"/>
    <w:tmpl w:val="2038080C"/>
    <w:lvl w:ilvl="0" w:tentative="0">
      <w:start w:val="1"/>
      <w:numFmt w:val="decimal"/>
      <w:lvlText w:val="%1."/>
      <w:lvlJc w:val="left"/>
      <w:pPr>
        <w:tabs>
          <w:tab w:val="left" w:pos="425"/>
        </w:tabs>
        <w:ind w:left="425" w:leftChars="0" w:hanging="425" w:firstLineChars="0"/>
      </w:pPr>
      <w:rPr>
        <w:rFonts w:hint="default"/>
      </w:rPr>
    </w:lvl>
  </w:abstractNum>
  <w:abstractNum w:abstractNumId="6">
    <w:nsid w:val="256A8C0F"/>
    <w:multiLevelType w:val="multilevel"/>
    <w:tmpl w:val="256A8C0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2D143CDD"/>
    <w:multiLevelType w:val="multilevel"/>
    <w:tmpl w:val="2D143CD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3F2958AA"/>
    <w:multiLevelType w:val="multilevel"/>
    <w:tmpl w:val="3F2958AA"/>
    <w:lvl w:ilvl="0" w:tentative="0">
      <w:start w:val="1"/>
      <w:numFmt w:val="bullet"/>
      <w:lvlText w:val=""/>
      <w:lvlJc w:val="left"/>
      <w:pPr>
        <w:ind w:left="360" w:hanging="360"/>
      </w:pPr>
      <w:rPr>
        <w:rFonts w:hint="default" w:ascii="Wingdings" w:hAnsi="Wingdings"/>
        <w:b/>
        <w:bCs/>
        <w:sz w:val="24"/>
        <w:szCs w:val="22"/>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54F0DE66"/>
    <w:multiLevelType w:val="singleLevel"/>
    <w:tmpl w:val="54F0DE6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628B44E5"/>
    <w:multiLevelType w:val="multilevel"/>
    <w:tmpl w:val="628B44E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715EC64F"/>
    <w:multiLevelType w:val="multilevel"/>
    <w:tmpl w:val="715EC64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796D78DB"/>
    <w:multiLevelType w:val="multilevel"/>
    <w:tmpl w:val="796D78D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8"/>
  </w:num>
  <w:num w:numId="2">
    <w:abstractNumId w:val="1"/>
  </w:num>
  <w:num w:numId="3">
    <w:abstractNumId w:val="5"/>
  </w:num>
  <w:num w:numId="4">
    <w:abstractNumId w:val="9"/>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2"/>
  </w:num>
  <w:num w:numId="12">
    <w:abstractNumId w:val="6"/>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468"/>
    <w:rsid w:val="0000047E"/>
    <w:rsid w:val="000014CA"/>
    <w:rsid w:val="00006834"/>
    <w:rsid w:val="00012FA5"/>
    <w:rsid w:val="00020704"/>
    <w:rsid w:val="00020E20"/>
    <w:rsid w:val="00023D2C"/>
    <w:rsid w:val="00026CB5"/>
    <w:rsid w:val="00032AA9"/>
    <w:rsid w:val="0003510E"/>
    <w:rsid w:val="0004521C"/>
    <w:rsid w:val="00046DDA"/>
    <w:rsid w:val="00057E73"/>
    <w:rsid w:val="00062423"/>
    <w:rsid w:val="0007418A"/>
    <w:rsid w:val="00077025"/>
    <w:rsid w:val="000841AA"/>
    <w:rsid w:val="00085770"/>
    <w:rsid w:val="00087F0B"/>
    <w:rsid w:val="00093E13"/>
    <w:rsid w:val="000B2794"/>
    <w:rsid w:val="000B3206"/>
    <w:rsid w:val="000B52CE"/>
    <w:rsid w:val="000B5342"/>
    <w:rsid w:val="000B5855"/>
    <w:rsid w:val="000B65AC"/>
    <w:rsid w:val="000D2722"/>
    <w:rsid w:val="000E1A86"/>
    <w:rsid w:val="000F3753"/>
    <w:rsid w:val="000F5655"/>
    <w:rsid w:val="0010285E"/>
    <w:rsid w:val="00105B22"/>
    <w:rsid w:val="00117AE9"/>
    <w:rsid w:val="00123B3D"/>
    <w:rsid w:val="001310F9"/>
    <w:rsid w:val="001335BB"/>
    <w:rsid w:val="00151478"/>
    <w:rsid w:val="001528B9"/>
    <w:rsid w:val="001534F7"/>
    <w:rsid w:val="00157921"/>
    <w:rsid w:val="00166494"/>
    <w:rsid w:val="001719EF"/>
    <w:rsid w:val="00172659"/>
    <w:rsid w:val="001748F0"/>
    <w:rsid w:val="0018095D"/>
    <w:rsid w:val="001A1850"/>
    <w:rsid w:val="001A6E33"/>
    <w:rsid w:val="001B22FB"/>
    <w:rsid w:val="001B3AC9"/>
    <w:rsid w:val="001B66FE"/>
    <w:rsid w:val="001C440D"/>
    <w:rsid w:val="001C49D2"/>
    <w:rsid w:val="001D335E"/>
    <w:rsid w:val="001E4BA5"/>
    <w:rsid w:val="001E6EFB"/>
    <w:rsid w:val="001F2311"/>
    <w:rsid w:val="001F306A"/>
    <w:rsid w:val="001F5F7C"/>
    <w:rsid w:val="00213EE4"/>
    <w:rsid w:val="00223342"/>
    <w:rsid w:val="00223682"/>
    <w:rsid w:val="0023056D"/>
    <w:rsid w:val="0023383F"/>
    <w:rsid w:val="0023401D"/>
    <w:rsid w:val="00247817"/>
    <w:rsid w:val="002541F4"/>
    <w:rsid w:val="00257A91"/>
    <w:rsid w:val="00283DD9"/>
    <w:rsid w:val="00286509"/>
    <w:rsid w:val="00290D93"/>
    <w:rsid w:val="00292A11"/>
    <w:rsid w:val="00296F5A"/>
    <w:rsid w:val="002A01A0"/>
    <w:rsid w:val="002C13C8"/>
    <w:rsid w:val="002C2BA0"/>
    <w:rsid w:val="002C47EF"/>
    <w:rsid w:val="002C5468"/>
    <w:rsid w:val="002D3891"/>
    <w:rsid w:val="002E420F"/>
    <w:rsid w:val="002E65B4"/>
    <w:rsid w:val="002F2553"/>
    <w:rsid w:val="002F6CF6"/>
    <w:rsid w:val="0030313A"/>
    <w:rsid w:val="00305BF7"/>
    <w:rsid w:val="00320A9D"/>
    <w:rsid w:val="0032100D"/>
    <w:rsid w:val="00321C74"/>
    <w:rsid w:val="00332A97"/>
    <w:rsid w:val="00342E15"/>
    <w:rsid w:val="00365AE8"/>
    <w:rsid w:val="00370ADE"/>
    <w:rsid w:val="00394DCB"/>
    <w:rsid w:val="0039515C"/>
    <w:rsid w:val="003A012F"/>
    <w:rsid w:val="003A17F9"/>
    <w:rsid w:val="003A6210"/>
    <w:rsid w:val="003B045D"/>
    <w:rsid w:val="003B5BB9"/>
    <w:rsid w:val="003C76BA"/>
    <w:rsid w:val="003D178A"/>
    <w:rsid w:val="003D67C4"/>
    <w:rsid w:val="003E4828"/>
    <w:rsid w:val="003F181A"/>
    <w:rsid w:val="003F6881"/>
    <w:rsid w:val="004075BF"/>
    <w:rsid w:val="00414466"/>
    <w:rsid w:val="00414586"/>
    <w:rsid w:val="00414A90"/>
    <w:rsid w:val="00414CCC"/>
    <w:rsid w:val="0042333E"/>
    <w:rsid w:val="0042486A"/>
    <w:rsid w:val="00431648"/>
    <w:rsid w:val="00432147"/>
    <w:rsid w:val="00446736"/>
    <w:rsid w:val="00450995"/>
    <w:rsid w:val="0046568E"/>
    <w:rsid w:val="00465E6C"/>
    <w:rsid w:val="00472C66"/>
    <w:rsid w:val="004730D9"/>
    <w:rsid w:val="00475EBD"/>
    <w:rsid w:val="004919E7"/>
    <w:rsid w:val="004A4A39"/>
    <w:rsid w:val="004C237C"/>
    <w:rsid w:val="004D161C"/>
    <w:rsid w:val="004D1BCE"/>
    <w:rsid w:val="004D482E"/>
    <w:rsid w:val="004E2F1B"/>
    <w:rsid w:val="004F647F"/>
    <w:rsid w:val="00504F2B"/>
    <w:rsid w:val="00505C00"/>
    <w:rsid w:val="0051190F"/>
    <w:rsid w:val="00511A40"/>
    <w:rsid w:val="00537DC6"/>
    <w:rsid w:val="00543F24"/>
    <w:rsid w:val="0054606C"/>
    <w:rsid w:val="00555D59"/>
    <w:rsid w:val="00565EBB"/>
    <w:rsid w:val="0056738C"/>
    <w:rsid w:val="005740E8"/>
    <w:rsid w:val="005815F9"/>
    <w:rsid w:val="00584CE7"/>
    <w:rsid w:val="0059770C"/>
    <w:rsid w:val="005A6D5B"/>
    <w:rsid w:val="005B5C30"/>
    <w:rsid w:val="005C07AD"/>
    <w:rsid w:val="005C3E62"/>
    <w:rsid w:val="005C5B29"/>
    <w:rsid w:val="005D6344"/>
    <w:rsid w:val="005D7426"/>
    <w:rsid w:val="005E3947"/>
    <w:rsid w:val="005F06D3"/>
    <w:rsid w:val="005F3F73"/>
    <w:rsid w:val="005F5249"/>
    <w:rsid w:val="0061101D"/>
    <w:rsid w:val="006161FE"/>
    <w:rsid w:val="00616D24"/>
    <w:rsid w:val="0061777E"/>
    <w:rsid w:val="006177A9"/>
    <w:rsid w:val="00620C79"/>
    <w:rsid w:val="00625C18"/>
    <w:rsid w:val="006360C9"/>
    <w:rsid w:val="006426DF"/>
    <w:rsid w:val="00645D77"/>
    <w:rsid w:val="00651A83"/>
    <w:rsid w:val="0065483E"/>
    <w:rsid w:val="006579E0"/>
    <w:rsid w:val="00676A22"/>
    <w:rsid w:val="0067785F"/>
    <w:rsid w:val="00697933"/>
    <w:rsid w:val="006C3417"/>
    <w:rsid w:val="006C5914"/>
    <w:rsid w:val="006D3E25"/>
    <w:rsid w:val="006E206C"/>
    <w:rsid w:val="006F0E95"/>
    <w:rsid w:val="006F11B8"/>
    <w:rsid w:val="006F72C5"/>
    <w:rsid w:val="00706386"/>
    <w:rsid w:val="00706D46"/>
    <w:rsid w:val="007071C7"/>
    <w:rsid w:val="00711844"/>
    <w:rsid w:val="00712C9A"/>
    <w:rsid w:val="0071782E"/>
    <w:rsid w:val="00720ECC"/>
    <w:rsid w:val="00723A9C"/>
    <w:rsid w:val="007356D1"/>
    <w:rsid w:val="0074034B"/>
    <w:rsid w:val="00752FFD"/>
    <w:rsid w:val="00754B2E"/>
    <w:rsid w:val="00757E0E"/>
    <w:rsid w:val="00767D2C"/>
    <w:rsid w:val="007735F1"/>
    <w:rsid w:val="00784AC3"/>
    <w:rsid w:val="007871C8"/>
    <w:rsid w:val="00793EC9"/>
    <w:rsid w:val="00794E0F"/>
    <w:rsid w:val="00796317"/>
    <w:rsid w:val="007A3F0E"/>
    <w:rsid w:val="007B2673"/>
    <w:rsid w:val="007C2F00"/>
    <w:rsid w:val="007C325A"/>
    <w:rsid w:val="007C3CDA"/>
    <w:rsid w:val="007D3D60"/>
    <w:rsid w:val="007D45EA"/>
    <w:rsid w:val="007D77D2"/>
    <w:rsid w:val="0080587A"/>
    <w:rsid w:val="0082178F"/>
    <w:rsid w:val="00822329"/>
    <w:rsid w:val="00823379"/>
    <w:rsid w:val="008317E4"/>
    <w:rsid w:val="00836F90"/>
    <w:rsid w:val="0083772F"/>
    <w:rsid w:val="0084031D"/>
    <w:rsid w:val="00847139"/>
    <w:rsid w:val="00851768"/>
    <w:rsid w:val="00855499"/>
    <w:rsid w:val="00856DCC"/>
    <w:rsid w:val="008574A1"/>
    <w:rsid w:val="00861A4A"/>
    <w:rsid w:val="008654EB"/>
    <w:rsid w:val="008725CF"/>
    <w:rsid w:val="008742B5"/>
    <w:rsid w:val="008916EF"/>
    <w:rsid w:val="008946E5"/>
    <w:rsid w:val="008A4B8C"/>
    <w:rsid w:val="008B32E9"/>
    <w:rsid w:val="008B6243"/>
    <w:rsid w:val="008D4A58"/>
    <w:rsid w:val="008F69B8"/>
    <w:rsid w:val="008F7262"/>
    <w:rsid w:val="009077DE"/>
    <w:rsid w:val="00910A3C"/>
    <w:rsid w:val="009253B5"/>
    <w:rsid w:val="00926B0F"/>
    <w:rsid w:val="009351B9"/>
    <w:rsid w:val="009370AF"/>
    <w:rsid w:val="0094372B"/>
    <w:rsid w:val="00945365"/>
    <w:rsid w:val="0095485F"/>
    <w:rsid w:val="00967136"/>
    <w:rsid w:val="0097013E"/>
    <w:rsid w:val="009859F1"/>
    <w:rsid w:val="009863A9"/>
    <w:rsid w:val="009B085D"/>
    <w:rsid w:val="009B19F3"/>
    <w:rsid w:val="009B4A02"/>
    <w:rsid w:val="009C3209"/>
    <w:rsid w:val="009D071D"/>
    <w:rsid w:val="009E564C"/>
    <w:rsid w:val="009F0040"/>
    <w:rsid w:val="009F095B"/>
    <w:rsid w:val="009F47D0"/>
    <w:rsid w:val="00A20588"/>
    <w:rsid w:val="00A2534D"/>
    <w:rsid w:val="00A311D7"/>
    <w:rsid w:val="00A40BF2"/>
    <w:rsid w:val="00A449FF"/>
    <w:rsid w:val="00A607D1"/>
    <w:rsid w:val="00A669B9"/>
    <w:rsid w:val="00A73982"/>
    <w:rsid w:val="00A77EA5"/>
    <w:rsid w:val="00A8446D"/>
    <w:rsid w:val="00A873FE"/>
    <w:rsid w:val="00A928DA"/>
    <w:rsid w:val="00A955FA"/>
    <w:rsid w:val="00A95FD5"/>
    <w:rsid w:val="00AA14A0"/>
    <w:rsid w:val="00AB26E9"/>
    <w:rsid w:val="00AC185A"/>
    <w:rsid w:val="00AC3498"/>
    <w:rsid w:val="00AC647F"/>
    <w:rsid w:val="00AD13FC"/>
    <w:rsid w:val="00AD1E3D"/>
    <w:rsid w:val="00AD2F1A"/>
    <w:rsid w:val="00AD5C6E"/>
    <w:rsid w:val="00AD74AE"/>
    <w:rsid w:val="00AE4D5B"/>
    <w:rsid w:val="00AE606B"/>
    <w:rsid w:val="00AF6999"/>
    <w:rsid w:val="00B02415"/>
    <w:rsid w:val="00B060EE"/>
    <w:rsid w:val="00B11D21"/>
    <w:rsid w:val="00B1361C"/>
    <w:rsid w:val="00B22797"/>
    <w:rsid w:val="00B27F92"/>
    <w:rsid w:val="00B3392B"/>
    <w:rsid w:val="00B373E5"/>
    <w:rsid w:val="00B42482"/>
    <w:rsid w:val="00B44DED"/>
    <w:rsid w:val="00B505E0"/>
    <w:rsid w:val="00B529B9"/>
    <w:rsid w:val="00B5757D"/>
    <w:rsid w:val="00B61D74"/>
    <w:rsid w:val="00B63515"/>
    <w:rsid w:val="00B8705E"/>
    <w:rsid w:val="00B95331"/>
    <w:rsid w:val="00B95807"/>
    <w:rsid w:val="00B970CA"/>
    <w:rsid w:val="00BA6F25"/>
    <w:rsid w:val="00BA72F4"/>
    <w:rsid w:val="00BB76A9"/>
    <w:rsid w:val="00BC784A"/>
    <w:rsid w:val="00BC78F5"/>
    <w:rsid w:val="00BD1DCC"/>
    <w:rsid w:val="00BD216A"/>
    <w:rsid w:val="00BE31C2"/>
    <w:rsid w:val="00BF3F71"/>
    <w:rsid w:val="00BF44E8"/>
    <w:rsid w:val="00C075A2"/>
    <w:rsid w:val="00C27484"/>
    <w:rsid w:val="00C31BAD"/>
    <w:rsid w:val="00C37996"/>
    <w:rsid w:val="00C41444"/>
    <w:rsid w:val="00C42C19"/>
    <w:rsid w:val="00C5153B"/>
    <w:rsid w:val="00C563C3"/>
    <w:rsid w:val="00C56DB4"/>
    <w:rsid w:val="00C6359A"/>
    <w:rsid w:val="00C67169"/>
    <w:rsid w:val="00C67759"/>
    <w:rsid w:val="00C777EC"/>
    <w:rsid w:val="00C826EE"/>
    <w:rsid w:val="00C83213"/>
    <w:rsid w:val="00C85A44"/>
    <w:rsid w:val="00C85DD0"/>
    <w:rsid w:val="00C90C11"/>
    <w:rsid w:val="00C91538"/>
    <w:rsid w:val="00C95BBE"/>
    <w:rsid w:val="00CA5AB8"/>
    <w:rsid w:val="00CB2048"/>
    <w:rsid w:val="00CB299A"/>
    <w:rsid w:val="00CC475E"/>
    <w:rsid w:val="00CC492D"/>
    <w:rsid w:val="00CD2A9D"/>
    <w:rsid w:val="00CD6FEB"/>
    <w:rsid w:val="00CE1F5F"/>
    <w:rsid w:val="00CE24A5"/>
    <w:rsid w:val="00CE24E4"/>
    <w:rsid w:val="00CE2EAA"/>
    <w:rsid w:val="00CE49C4"/>
    <w:rsid w:val="00CE5493"/>
    <w:rsid w:val="00CF1E95"/>
    <w:rsid w:val="00CF4776"/>
    <w:rsid w:val="00D217CB"/>
    <w:rsid w:val="00D22CDD"/>
    <w:rsid w:val="00D22D0C"/>
    <w:rsid w:val="00D31D60"/>
    <w:rsid w:val="00D35829"/>
    <w:rsid w:val="00D504FE"/>
    <w:rsid w:val="00D61180"/>
    <w:rsid w:val="00D64ABA"/>
    <w:rsid w:val="00D66783"/>
    <w:rsid w:val="00D721E4"/>
    <w:rsid w:val="00D80472"/>
    <w:rsid w:val="00DA5BC5"/>
    <w:rsid w:val="00DB2C74"/>
    <w:rsid w:val="00DB665F"/>
    <w:rsid w:val="00DB7D61"/>
    <w:rsid w:val="00DB7D72"/>
    <w:rsid w:val="00DC7F17"/>
    <w:rsid w:val="00DD0FDE"/>
    <w:rsid w:val="00DD68EF"/>
    <w:rsid w:val="00DE69A4"/>
    <w:rsid w:val="00DE718A"/>
    <w:rsid w:val="00DF2D78"/>
    <w:rsid w:val="00E20F71"/>
    <w:rsid w:val="00E2260A"/>
    <w:rsid w:val="00E27033"/>
    <w:rsid w:val="00E33CC1"/>
    <w:rsid w:val="00E409DC"/>
    <w:rsid w:val="00E47AE9"/>
    <w:rsid w:val="00E508CC"/>
    <w:rsid w:val="00E64A6C"/>
    <w:rsid w:val="00E66798"/>
    <w:rsid w:val="00E71EFD"/>
    <w:rsid w:val="00E80275"/>
    <w:rsid w:val="00E8068A"/>
    <w:rsid w:val="00E81FAE"/>
    <w:rsid w:val="00E901E2"/>
    <w:rsid w:val="00E91B13"/>
    <w:rsid w:val="00EA0C76"/>
    <w:rsid w:val="00EA0F1C"/>
    <w:rsid w:val="00EA7501"/>
    <w:rsid w:val="00EB2989"/>
    <w:rsid w:val="00ED502D"/>
    <w:rsid w:val="00EE31A1"/>
    <w:rsid w:val="00EE766C"/>
    <w:rsid w:val="00EF488F"/>
    <w:rsid w:val="00EF734F"/>
    <w:rsid w:val="00F058C8"/>
    <w:rsid w:val="00F05C64"/>
    <w:rsid w:val="00F1579D"/>
    <w:rsid w:val="00F15B30"/>
    <w:rsid w:val="00F16BF9"/>
    <w:rsid w:val="00F22BA4"/>
    <w:rsid w:val="00F308C8"/>
    <w:rsid w:val="00F3166E"/>
    <w:rsid w:val="00F34B31"/>
    <w:rsid w:val="00F35C76"/>
    <w:rsid w:val="00F52A96"/>
    <w:rsid w:val="00F532D5"/>
    <w:rsid w:val="00F56546"/>
    <w:rsid w:val="00F73BBB"/>
    <w:rsid w:val="00F76877"/>
    <w:rsid w:val="00F86050"/>
    <w:rsid w:val="00FA3642"/>
    <w:rsid w:val="00FB03BA"/>
    <w:rsid w:val="00FC7C0F"/>
    <w:rsid w:val="00FD4E0C"/>
    <w:rsid w:val="00FD5F96"/>
    <w:rsid w:val="00FD712D"/>
    <w:rsid w:val="00FE0439"/>
    <w:rsid w:val="00FE62DF"/>
    <w:rsid w:val="00FF5119"/>
    <w:rsid w:val="041977A3"/>
    <w:rsid w:val="0AF44688"/>
    <w:rsid w:val="0D26559D"/>
    <w:rsid w:val="0F69741B"/>
    <w:rsid w:val="10DF6461"/>
    <w:rsid w:val="162401FC"/>
    <w:rsid w:val="18804D3F"/>
    <w:rsid w:val="1985504D"/>
    <w:rsid w:val="1A04098B"/>
    <w:rsid w:val="1A252E71"/>
    <w:rsid w:val="1CB33715"/>
    <w:rsid w:val="202F24DC"/>
    <w:rsid w:val="23680A25"/>
    <w:rsid w:val="287B1CF7"/>
    <w:rsid w:val="2B27711F"/>
    <w:rsid w:val="2E303E57"/>
    <w:rsid w:val="35220E21"/>
    <w:rsid w:val="3A815E0A"/>
    <w:rsid w:val="3C762A42"/>
    <w:rsid w:val="3D6B383F"/>
    <w:rsid w:val="4046154C"/>
    <w:rsid w:val="43A54225"/>
    <w:rsid w:val="48EF516C"/>
    <w:rsid w:val="4A2D74F7"/>
    <w:rsid w:val="4C6C5AF1"/>
    <w:rsid w:val="4E6C0C53"/>
    <w:rsid w:val="50A55BC2"/>
    <w:rsid w:val="53BC636D"/>
    <w:rsid w:val="589C176E"/>
    <w:rsid w:val="59301FE2"/>
    <w:rsid w:val="5940227C"/>
    <w:rsid w:val="5B416FF7"/>
    <w:rsid w:val="5C3F4C3B"/>
    <w:rsid w:val="6B340D53"/>
    <w:rsid w:val="6DB225B5"/>
    <w:rsid w:val="6ED362C2"/>
    <w:rsid w:val="73C1625F"/>
    <w:rsid w:val="77831323"/>
    <w:rsid w:val="7BDB1C0C"/>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IN" w:eastAsia="en-US" w:bidi="ar-SA"/>
    </w:rPr>
  </w:style>
  <w:style w:type="paragraph" w:styleId="2">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3">
    <w:name w:val="heading 4"/>
    <w:next w:val="1"/>
    <w:semiHidden/>
    <w:unhideWhenUsed/>
    <w:qFormat/>
    <w:uiPriority w:val="9"/>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qFormat/>
    <w:uiPriority w:val="20"/>
    <w:rPr>
      <w:i/>
      <w:iCs/>
    </w:rPr>
  </w:style>
  <w:style w:type="paragraph" w:styleId="7">
    <w:name w:val="footer"/>
    <w:basedOn w:val="1"/>
    <w:link w:val="16"/>
    <w:unhideWhenUsed/>
    <w:uiPriority w:val="99"/>
    <w:pPr>
      <w:tabs>
        <w:tab w:val="center" w:pos="4513"/>
        <w:tab w:val="right" w:pos="9026"/>
      </w:tabs>
      <w:spacing w:after="0" w:line="240" w:lineRule="auto"/>
    </w:pPr>
  </w:style>
  <w:style w:type="paragraph" w:styleId="8">
    <w:name w:val="header"/>
    <w:basedOn w:val="1"/>
    <w:link w:val="15"/>
    <w:unhideWhenUsed/>
    <w:uiPriority w:val="99"/>
    <w:pPr>
      <w:tabs>
        <w:tab w:val="center" w:pos="4513"/>
        <w:tab w:val="right" w:pos="9026"/>
      </w:tabs>
      <w:spacing w:after="0" w:line="240" w:lineRule="auto"/>
    </w:pPr>
  </w:style>
  <w:style w:type="character" w:styleId="9">
    <w:name w:val="Hyperlink"/>
    <w:basedOn w:val="4"/>
    <w:unhideWhenUsed/>
    <w:uiPriority w:val="99"/>
    <w:rPr>
      <w:color w:val="0563C1" w:themeColor="hyperlink"/>
      <w:u w:val="single"/>
      <w14:textFill>
        <w14:solidFill>
          <w14:schemeClr w14:val="hlink"/>
        </w14:solidFill>
      </w14:textFill>
    </w:r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AU" w:eastAsia="en-AU"/>
    </w:rPr>
  </w:style>
  <w:style w:type="character" w:styleId="11">
    <w:name w:val="Strong"/>
    <w:basedOn w:val="4"/>
    <w:qFormat/>
    <w:uiPriority w:val="22"/>
    <w:rPr>
      <w:b/>
      <w:bCs/>
    </w:rPr>
  </w:style>
  <w:style w:type="table" w:styleId="12">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34"/>
    <w:pPr>
      <w:ind w:left="720"/>
      <w:contextualSpacing/>
    </w:pPr>
  </w:style>
  <w:style w:type="character" w:customStyle="1" w:styleId="14">
    <w:name w:val="Unresolved Mention"/>
    <w:basedOn w:val="4"/>
    <w:semiHidden/>
    <w:unhideWhenUsed/>
    <w:uiPriority w:val="99"/>
    <w:rPr>
      <w:color w:val="605E5C"/>
      <w:shd w:val="clear" w:color="auto" w:fill="E1DFDD"/>
    </w:rPr>
  </w:style>
  <w:style w:type="character" w:customStyle="1" w:styleId="15">
    <w:name w:val="Header Char"/>
    <w:basedOn w:val="4"/>
    <w:link w:val="8"/>
    <w:uiPriority w:val="99"/>
  </w:style>
  <w:style w:type="character" w:customStyle="1" w:styleId="16">
    <w:name w:val="Footer Char"/>
    <w:basedOn w:val="4"/>
    <w:link w:val="7"/>
    <w:uiPriority w:val="99"/>
  </w:style>
  <w:style w:type="character" w:styleId="17">
    <w:name w:val="Placeholder Text"/>
    <w:basedOn w:val="4"/>
    <w:semiHidden/>
    <w:uiPriority w:val="99"/>
    <w:rPr>
      <w:color w:val="66666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816814-D582-4C25-9D7E-C0EBCEE94F9C}">
  <ds:schemaRefs/>
</ds:datastoreItem>
</file>

<file path=docProps/app.xml><?xml version="1.0" encoding="utf-8"?>
<Properties xmlns="http://schemas.openxmlformats.org/officeDocument/2006/extended-properties" xmlns:vt="http://schemas.openxmlformats.org/officeDocument/2006/docPropsVTypes">
  <Template>Normal</Template>
  <Pages>40</Pages>
  <Words>6407</Words>
  <Characters>36525</Characters>
  <Lines>304</Lines>
  <Paragraphs>85</Paragraphs>
  <TotalTime>0</TotalTime>
  <ScaleCrop>false</ScaleCrop>
  <LinksUpToDate>false</LinksUpToDate>
  <CharactersWithSpaces>42847</CharactersWithSpaces>
  <Application>WPS Office_12.2.0.19821_F1E327BC-269C-435d-A152-05C5408002CA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2024-06-22T14:44:00Z</dcterms:created>
  <dc:creator>Microsoft account</dc:creator>
  <cp:lastModifiedBy>Komal Dewangan</cp:lastModifiedBy>
  <dcterms:modified xsi:type="dcterms:W3CDTF">2025-04-29T11:22:34Z</dcterms:modified>
  <cp:revision>320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3ab344602ce9309b024db809cf5c92ee11df6dcc95ad66dd148857c49ed22e9f</vt:lpwstr>
  </property>
  <property fmtid="{D5CDD505-2E9C-101B-9397-08002B2CF9AE}" pid="3" name="KSOProductBuildVer">
    <vt:lpwstr>2057-12.2.0.19821</vt:lpwstr>
  </property>
  <property fmtid="{D5CDD505-2E9C-101B-9397-08002B2CF9AE}" pid="4" name="ICV">
    <vt:lpwstr>FE406FA6B02543ADB45FA6E4F14289B3_12</vt:lpwstr>
  </property>
</Properties>
</file>