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543912" w:rsidRDefault="00000000">
      <w:pPr>
        <w:spacing w:after="277" w:line="259" w:lineRule="auto"/>
        <w:ind w:left="322" w:right="0" w:firstLine="0"/>
        <w:jc w:val="left"/>
      </w:pPr>
      <w:r>
        <w:rPr>
          <w:sz w:val="34"/>
        </w:rPr>
        <w:t>From Novel Proteins to New Drugs: MISTRAL’s Generative</w:t>
      </w:r>
    </w:p>
    <w:p w:rsidR="00543912" w:rsidRDefault="00000000">
      <w:pPr>
        <w:spacing w:after="343" w:line="259" w:lineRule="auto"/>
        <w:ind w:left="0" w:firstLine="0"/>
        <w:jc w:val="center"/>
      </w:pPr>
      <w:r>
        <w:rPr>
          <w:sz w:val="34"/>
        </w:rPr>
        <w:t>Capabilities in De Novo Drug Design</w:t>
      </w:r>
    </w:p>
    <w:p w:rsidR="00543912" w:rsidRDefault="00000000">
      <w:pPr>
        <w:tabs>
          <w:tab w:val="center" w:pos="3223"/>
          <w:tab w:val="center" w:pos="5517"/>
        </w:tabs>
        <w:spacing w:after="283" w:line="265" w:lineRule="auto"/>
        <w:ind w:left="0" w:right="0" w:firstLine="0"/>
        <w:jc w:val="left"/>
      </w:pPr>
      <w:r>
        <w:rPr>
          <w:sz w:val="22"/>
        </w:rPr>
        <w:tab/>
      </w:r>
      <w:r>
        <w:rPr>
          <w:sz w:val="24"/>
        </w:rPr>
        <w:t>Your Name</w:t>
      </w:r>
      <w:r>
        <w:rPr>
          <w:sz w:val="24"/>
        </w:rPr>
        <w:tab/>
        <w:t>Co-Author Name</w:t>
      </w:r>
    </w:p>
    <w:p w:rsidR="00543912" w:rsidRDefault="00000000">
      <w:pPr>
        <w:spacing w:after="542" w:line="265" w:lineRule="auto"/>
        <w:jc w:val="center"/>
      </w:pPr>
      <w:r>
        <w:rPr>
          <w:sz w:val="24"/>
        </w:rPr>
        <w:t>February 27, 2025</w:t>
      </w:r>
    </w:p>
    <w:p w:rsidR="00543912" w:rsidRDefault="00000000">
      <w:pPr>
        <w:spacing w:after="239" w:line="259" w:lineRule="auto"/>
        <w:ind w:left="0" w:firstLine="0"/>
        <w:jc w:val="center"/>
      </w:pPr>
      <w:r>
        <w:rPr>
          <w:sz w:val="18"/>
        </w:rPr>
        <w:t>Abstract</w:t>
      </w:r>
    </w:p>
    <w:p w:rsidR="00543912" w:rsidRDefault="00000000">
      <w:pPr>
        <w:spacing w:after="582" w:line="401" w:lineRule="auto"/>
        <w:ind w:left="498" w:right="862" w:firstLine="269"/>
      </w:pPr>
      <w:r>
        <w:rPr>
          <w:sz w:val="18"/>
        </w:rPr>
        <w:t>The discovery of new drugs is a complex process that requires the identification of molecules capable of interacting specifically and effectively with target proteins, often associated with diseases. However, a major challenge in this field is predicting drug-protein interactions when the target protein is entirely novel, i.e., it has never been encountered during the model’s training. This scenario is particularly relevant for emerging diseases or proteins with limited structural or functional information. In this study, we investigate the predictive capabilities of an advanced generative model, Mistral*, in scenarios where the target protein is entirely new, and the model must identify suitable drug candidates based solely on the protein target. Our results demonstrate the model’s ability to generalize to unseen proteins and explore uncharted regions of chemical space, offering new opportunities for drug discovery in data-scarce contexts.</w:t>
      </w:r>
    </w:p>
    <w:p w:rsidR="00543912" w:rsidRDefault="00000000">
      <w:pPr>
        <w:pStyle w:val="Heading1"/>
        <w:tabs>
          <w:tab w:val="center" w:pos="1209"/>
        </w:tabs>
        <w:ind w:left="-15" w:firstLine="0"/>
      </w:pPr>
      <w:r>
        <w:t>1</w:t>
      </w:r>
      <w:r>
        <w:tab/>
        <w:t>Introduction</w:t>
      </w:r>
    </w:p>
    <w:p w:rsidR="00543912" w:rsidRDefault="00000000">
      <w:pPr>
        <w:ind w:left="-5" w:right="349"/>
      </w:pPr>
      <w:r>
        <w:t>De novo drug discovery is a complex process that involves identifying molecules capable of interacting specifically and effectively with target proteins, typically associated with diseases. A key challenge is predicting drug-protein interactions when the target protein is novel, i.e., it has not been encountered during model training. This is particularly relevant for emerging diseases or proteins with limited structural or functional data. The ability to predict such interactions is crucial for designing specific or personalized drugs for individual patients, advancing the field of precision medicine. It is also essential for addressing new diseases or those that develop drug resistance over time due to genetic evolution.</w:t>
      </w:r>
    </w:p>
    <w:p w:rsidR="00543912" w:rsidRDefault="00000000">
      <w:pPr>
        <w:ind w:left="-15" w:right="349" w:firstLine="299"/>
      </w:pPr>
      <w:r>
        <w:t>In recent years, deep learning-based generative models have shown significant potential in generating pharmacologically active molecules. However, most approaches focus on scenarios where target proteins are wellcharacterized or part of the training set. Few studies have explored the ability of these models to generalize to entirely new proteins, a fundamental requirement for accelerating drug discovery in data-scarce or data-absent contexts.</w:t>
      </w:r>
    </w:p>
    <w:p w:rsidR="00543912" w:rsidRDefault="00000000">
      <w:pPr>
        <w:spacing w:after="218"/>
        <w:ind w:left="-15" w:right="349" w:firstLine="299"/>
      </w:pPr>
      <w:r>
        <w:t xml:space="preserve">Our work aims to bridge this gap by investigating the predictive capabilities of an advanced generative model, Mistral*, in scenarios where the objective is to generate novel, valid, and synthesizable drug-like molecules with high binding affinity to target proteins, including those never seen during training. This is achieved through </w:t>
      </w:r>
      <w:r>
        <w:lastRenderedPageBreak/>
        <w:t>conditional molecular generation, where the model is specifically trained on protein-drug pairs to learn the relationships between protein structures and drug molecules. The model’s key strengths include:</w:t>
      </w:r>
    </w:p>
    <w:p w:rsidR="00543912" w:rsidRDefault="00000000">
      <w:pPr>
        <w:numPr>
          <w:ilvl w:val="0"/>
          <w:numId w:val="1"/>
        </w:numPr>
        <w:spacing w:after="177"/>
        <w:ind w:right="349" w:hanging="169"/>
      </w:pPr>
      <w:r>
        <w:t>Generalization to unseen proteins: The model can generate molecules for proteins not included in the training set, demonstrating its ability to generalize and learn meaningful representations of protein-drug interactions without overfitting.</w:t>
      </w:r>
    </w:p>
    <w:p w:rsidR="00543912" w:rsidRDefault="00000000">
      <w:pPr>
        <w:numPr>
          <w:ilvl w:val="0"/>
          <w:numId w:val="1"/>
        </w:numPr>
        <w:spacing w:after="177"/>
        <w:ind w:right="349" w:hanging="169"/>
      </w:pPr>
      <w:r>
        <w:t>Exploration of chemical space: It produces valid, unique, and novel molecules with good binding affinity, indicating effective exploration of chemical space while maintaining biological relevance.</w:t>
      </w:r>
    </w:p>
    <w:p w:rsidR="00543912" w:rsidRDefault="00000000">
      <w:pPr>
        <w:numPr>
          <w:ilvl w:val="0"/>
          <w:numId w:val="1"/>
        </w:numPr>
        <w:spacing w:after="177"/>
        <w:ind w:right="349" w:hanging="169"/>
      </w:pPr>
      <w:r>
        <w:t>Optimization for drug discovery: Mistral* is tailored for drug discovery applications, focusing on generating molecules that bind to specific protein targets, even in cases of emerging diseases or proteins with limited structural data.</w:t>
      </w:r>
    </w:p>
    <w:p w:rsidR="00543912" w:rsidRDefault="00000000">
      <w:pPr>
        <w:numPr>
          <w:ilvl w:val="0"/>
          <w:numId w:val="1"/>
        </w:numPr>
        <w:spacing w:after="177"/>
        <w:ind w:right="349" w:hanging="169"/>
      </w:pPr>
      <w:r>
        <w:t>Synthesizability and reduced side effects: The model aims to generate molecules that are not only effective but also synthesizable and with minimal side effects, making them more suitable for real-world drug development.</w:t>
      </w:r>
    </w:p>
    <w:p w:rsidR="00543912" w:rsidRDefault="00000000">
      <w:pPr>
        <w:numPr>
          <w:ilvl w:val="0"/>
          <w:numId w:val="1"/>
        </w:numPr>
        <w:ind w:right="349" w:hanging="169"/>
      </w:pPr>
      <w:r>
        <w:t>Handling complex data: Its ability to manage long sequences or structured data (e.g., protein and drug representations) is a significant advantage, enabling it to process complex biological and chemical information</w:t>
      </w:r>
    </w:p>
    <w:p w:rsidR="00543912" w:rsidRDefault="00000000">
      <w:pPr>
        <w:spacing w:after="335" w:line="259" w:lineRule="auto"/>
        <w:ind w:left="508" w:right="349"/>
      </w:pPr>
      <w:r>
        <w:t>effectively.</w:t>
      </w:r>
    </w:p>
    <w:p w:rsidR="00543912" w:rsidRDefault="00000000">
      <w:pPr>
        <w:spacing w:after="541"/>
        <w:ind w:left="-15" w:right="349" w:firstLine="299"/>
      </w:pPr>
      <w:r>
        <w:t>The primary goal of Mistral* is to accelerate drug discovery by generating novel, high-affinity, and synthesizable drug candidates for both known and novel protein targets, with a focus on precision, generalizability, and reduced side effects. This makes it a powerful tool for addressing challenges in precision medicine, emerging diseases, and drug resistance.</w:t>
      </w:r>
    </w:p>
    <w:p w:rsidR="00543912" w:rsidRDefault="00000000">
      <w:pPr>
        <w:pStyle w:val="Heading1"/>
        <w:tabs>
          <w:tab w:val="center" w:pos="1284"/>
        </w:tabs>
        <w:ind w:left="-15" w:firstLine="0"/>
      </w:pPr>
      <w:r>
        <w:t>2</w:t>
      </w:r>
      <w:r>
        <w:tab/>
        <w:t>Related Work</w:t>
      </w:r>
    </w:p>
    <w:p w:rsidR="00543912" w:rsidRDefault="00000000">
      <w:pPr>
        <w:ind w:left="-5" w:right="349"/>
      </w:pPr>
      <w:r>
        <w:t>The landscape of drug discovery is undergoing a profound transformation, driven by the need to explore the vast chemical space with unprecedented efficacy and creativity. Historically, this has included high-performance computing and structure-activity relationship (SAR) studies, which, although fundamental, often lacked scalability. Recent developments in generative approaches have initiated a paradigm shift, enabling researchers not only to optimize potential therapies but also to innovate in therapeutic development.</w:t>
      </w:r>
    </w:p>
    <w:p w:rsidR="00543912" w:rsidRDefault="00000000">
      <w:pPr>
        <w:ind w:left="-15" w:right="349" w:firstLine="299"/>
      </w:pPr>
      <w:r>
        <w:t xml:space="preserve">Generative models, leveraging machine learning and artificial intelligence, are among the most notable contributions. These models integrate biological and chemical data, demonstrating the ability to navigate </w:t>
      </w:r>
      <w:r>
        <w:lastRenderedPageBreak/>
        <w:t>complex chemical spaces and create compounds that are difficult to access through traditional methods. For example, [1] proposed a deep generative model focused specifically on protein targets, a crucial step in aligning molecular and biological objectives with greater precision.</w:t>
      </w:r>
    </w:p>
    <w:p w:rsidR="00543912" w:rsidRDefault="00000000">
      <w:pPr>
        <w:ind w:left="-15" w:right="349" w:firstLine="299"/>
      </w:pPr>
      <w:r>
        <w:t>Furthermore, advances in three-dimensional (3D) generative modeling have introduced innovative architectures that are not only novel but also optimized for desired biological activity. These models emphasize their promise in designing complex ligands that can interact in new ways, facilitating a more rational drug design process and overcoming methodologies that often lacked direction [7].</w:t>
      </w:r>
    </w:p>
    <w:p w:rsidR="00543912" w:rsidRDefault="00000000">
      <w:pPr>
        <w:ind w:left="-15" w:right="349" w:firstLine="299"/>
      </w:pPr>
      <w:r>
        <w:t>The COVID-19 pandemic highlighted the need for rapid drug discovery, and generative models have proven effective in addressing urgent public health challenges. [4] illustrated how these frameworks can accelerate the therapeutic development process, showcasing their adaptability and potential to address challenges beyond the reach of traditional approaches.</w:t>
      </w:r>
    </w:p>
    <w:p w:rsidR="00543912" w:rsidRDefault="00000000">
      <w:pPr>
        <w:ind w:left="-15" w:right="349" w:firstLine="299"/>
      </w:pPr>
      <w:r>
        <w:t>Generative models are not limited to molecular design; they also extend to the realm of efficacy. [2] reflect on these methodologies, advocating that deep generative structures and their associated biological activities allow for better predictions and optimization of lead compounds. This capability enhances bioavailability and refines compounds that were often discarded in earlier drug discovery phases [3].</w:t>
      </w:r>
    </w:p>
    <w:p w:rsidR="00543912" w:rsidRDefault="00000000">
      <w:pPr>
        <w:ind w:left="-15" w:right="349" w:firstLine="299"/>
      </w:pPr>
      <w:r>
        <w:t>The integration of artificial intelligence and machine learning technologies into the drug discovery process has led to a more comprehensive understanding of how these models can design therapeutic compounds. This bridges the gap between computational methodologies and experimental research, enabling researchers to exploit multimodal data, including genomic, proteomic, and interaction data, to understand how compounds interact with biological systems [9].</w:t>
      </w:r>
    </w:p>
    <w:p w:rsidR="00543912" w:rsidRDefault="00000000">
      <w:pPr>
        <w:ind w:left="-15" w:right="349" w:firstLine="299"/>
      </w:pPr>
      <w:r>
        <w:t>The versatility of generative models is further illustrated by their potential to revolutionize not only smallmolecule therapeutics but also bioactive compounds. [8] describes the extensive implications of integrating generative deep learning, contextualizing the emergence of new therapies and exploring drug-like properties.</w:t>
      </w:r>
    </w:p>
    <w:p w:rsidR="00543912" w:rsidRDefault="00000000">
      <w:pPr>
        <w:ind w:left="-15" w:right="349" w:firstLine="299"/>
      </w:pPr>
      <w:r>
        <w:t>Another significant advancement is the use of generative recurrent networks, which have been effectively trained on existing chemical libraries to push the boundaries of traditional drug candidates. [6] demonstrated the efficiency of these models in the drug discovery process, highlighting their key role in navigating the complex landscape of chemical space.</w:t>
      </w:r>
    </w:p>
    <w:p w:rsidR="00543912" w:rsidRDefault="00000000">
      <w:pPr>
        <w:ind w:left="-15" w:right="349" w:firstLine="299"/>
      </w:pPr>
      <w:r>
        <w:t>The implications of generative modeling extend beyond efficiency and innovation. Interdisciplinary collaboration between computational chemists, biologists, and researchers is crucial to understanding how new chemical entities progress through development phases, ensuring that these models are not only innovative but also practical [11].</w:t>
      </w:r>
    </w:p>
    <w:p w:rsidR="00543912" w:rsidRDefault="00000000">
      <w:pPr>
        <w:spacing w:after="677"/>
        <w:ind w:left="-15" w:right="349" w:firstLine="299"/>
      </w:pPr>
      <w:r>
        <w:t xml:space="preserve">In summary, generative models represent a radical shift in drug discovery methodologies. Their contributions range from improved molecular design to addressing the complexities of modern therapeutic development. By synthesizing various applications and methodologies, these models pave the way for future advances in the field. </w:t>
      </w:r>
      <w:r>
        <w:lastRenderedPageBreak/>
        <w:t>As the complexity of diseases grows, generative models will undoubtedly play a fundamental role in enriching our therapeutic arsenal.</w:t>
      </w:r>
    </w:p>
    <w:p w:rsidR="00543912" w:rsidRDefault="00000000">
      <w:pPr>
        <w:pStyle w:val="Heading1"/>
        <w:tabs>
          <w:tab w:val="center" w:pos="1857"/>
        </w:tabs>
        <w:spacing w:after="326"/>
        <w:ind w:left="-15" w:firstLine="0"/>
      </w:pPr>
      <w:r>
        <w:t>3</w:t>
      </w:r>
      <w:r>
        <w:tab/>
        <w:t>Methods and Materials</w:t>
      </w:r>
    </w:p>
    <w:p w:rsidR="00543912" w:rsidRDefault="00000000">
      <w:pPr>
        <w:pStyle w:val="Heading2"/>
        <w:tabs>
          <w:tab w:val="center" w:pos="923"/>
        </w:tabs>
        <w:ind w:left="-15" w:firstLine="0"/>
      </w:pPr>
      <w:r>
        <w:t>3.1</w:t>
      </w:r>
      <w:r>
        <w:tab/>
        <w:t>Dataset</w:t>
      </w:r>
    </w:p>
    <w:p w:rsidR="00543912" w:rsidRDefault="00000000">
      <w:pPr>
        <w:ind w:left="-5" w:right="349"/>
      </w:pPr>
      <w:r>
        <w:t>The datasets utilized in this study were obtained from ChEMBL 26 (Human) and consist exclusively of data derived from scientific literature, with a particular emphasis on clinical or pharmacological interaction outcomes. The data include both binding assays and functional assays, ensuring that the drugs incorporated have confirmed interactions with the target protein. This feature is essential for investigating drug-protein interactions, as it ensures the relevance and reliability of the data for model training and evaluation. From this dataset, we downloaded 437,410 drug-protein pairs.</w:t>
      </w:r>
    </w:p>
    <w:p w:rsidR="00543912" w:rsidRDefault="00000000">
      <w:pPr>
        <w:spacing w:after="384"/>
        <w:ind w:left="-15" w:right="349" w:firstLine="299"/>
      </w:pPr>
      <w:r>
        <w:t>The dataset was divided into training and test sets, with the test set comprising proteins that were not encountered during the training phase. The SMILES representations of the drugs were preprocessed by applying sequential filters to eliminate stereochemistry. SMILES containing isomer-related information, such as @, @@ (chirality), and ( /) (cis-trans), were excluded. Following this screening process, the training set comprised 304,139 drug-protein pairs.</w:t>
      </w:r>
    </w:p>
    <w:p w:rsidR="00543912" w:rsidRDefault="00000000">
      <w:pPr>
        <w:pStyle w:val="Heading2"/>
        <w:tabs>
          <w:tab w:val="center" w:pos="1538"/>
        </w:tabs>
        <w:spacing w:after="251"/>
        <w:ind w:left="-15" w:firstLine="0"/>
      </w:pPr>
      <w:r>
        <w:t>3.2</w:t>
      </w:r>
      <w:r>
        <w:tab/>
        <w:t>Experimental setup</w:t>
      </w:r>
    </w:p>
    <w:p w:rsidR="00543912" w:rsidRDefault="00000000">
      <w:pPr>
        <w:pStyle w:val="Heading3"/>
        <w:tabs>
          <w:tab w:val="center" w:pos="2905"/>
        </w:tabs>
        <w:ind w:left="-15" w:firstLine="0"/>
      </w:pPr>
      <w:r>
        <w:t>3.2.1</w:t>
      </w:r>
      <w:r>
        <w:tab/>
        <w:t>First Experiment: Unknown Protein target generation</w:t>
      </w:r>
    </w:p>
    <w:p w:rsidR="00543912" w:rsidRDefault="00000000">
      <w:pPr>
        <w:ind w:left="-5" w:right="349"/>
      </w:pPr>
      <w:r>
        <w:t>The model was trained on drug-protein pairs to learn the chemical space between proteins and their corresponding drugs. During the training phase, the model was exposed to paired data, enabling it to capture the underlying relationships between the chemical structures of the drugs and their target proteins. For the testing phase, instead of providing the model with drug-protein pairs, only the protein structures were supplied. The model was then tasked with generating potential drug candidates, represented as SMILES strings, that could bind to these proteins.</w:t>
      </w:r>
    </w:p>
    <w:p w:rsidR="00543912" w:rsidRDefault="00000000">
      <w:pPr>
        <w:spacing w:after="308"/>
        <w:ind w:left="-15" w:right="349" w:firstLine="299"/>
      </w:pPr>
      <w:r>
        <w:t>Following the generation of drug candidates, a rigorous evaluation process was conducted to assess the quality and validity of the generated SMILES strings. This involved verifying the chemical feasibility of the generated molecules and their potential binding affinity to the target proteins. The evaluation process ensured that the model’s outputs were not only chemically valid but also biologically relevant, aligning with the goal of discovering novel drug candidates.</w:t>
      </w:r>
    </w:p>
    <w:p w:rsidR="00543912" w:rsidRDefault="00000000">
      <w:pPr>
        <w:pStyle w:val="Heading3"/>
        <w:tabs>
          <w:tab w:val="center" w:pos="2501"/>
        </w:tabs>
        <w:ind w:left="-15" w:firstLine="0"/>
      </w:pPr>
      <w:r>
        <w:lastRenderedPageBreak/>
        <w:t>3.2.2</w:t>
      </w:r>
      <w:r>
        <w:tab/>
        <w:t>Second Experiment: Specific Protein Targets</w:t>
      </w:r>
    </w:p>
    <w:p w:rsidR="00543912" w:rsidRDefault="00000000">
      <w:pPr>
        <w:ind w:left="-5" w:right="349"/>
      </w:pPr>
      <w:r>
        <w:t>In the second experiment, the model was subjected to a specific test in which only two well-known proteins were provided, identified by the PDB IDs: 6cm4 and 7kk4. These proteins correspond to the dopamine D2 receptor (DRD2, Uniprot ID: P14416) [5] and poly [ADP-ribose] polymerase 1 (PARP1, Uniprot ID: P09874) [10], respectively. The objective of this experiment was to evaluate the model’s ability to generate pharmacologically relevant drug candidates, represented as SMILES strings, that could specifically bind to these two target proteins.</w:t>
      </w:r>
    </w:p>
    <w:p w:rsidR="00543912" w:rsidRDefault="00000000">
      <w:pPr>
        <w:ind w:left="-15" w:right="349" w:firstLine="299"/>
      </w:pPr>
      <w:r>
        <w:t>During the test, the model generated a series of molecules represented in SMILES format, which were subsequently subjected to a rigorous evaluation process. This process included verifying the chemical validity of the generated molecules and analyzing their potential binding affinity to the target proteins. The goal was to ensure that the generated molecules were not only chemically feasible but also biologically relevant, in line with the objective of discovering novel drug candidates capable of specifically interacting with DRD2 and PARP1.</w:t>
      </w:r>
    </w:p>
    <w:p w:rsidR="00543912" w:rsidRDefault="00000000">
      <w:pPr>
        <w:spacing w:after="380"/>
        <w:ind w:left="-15" w:right="349" w:firstLine="299"/>
      </w:pPr>
      <w:r>
        <w:t>This experiment further assessed the model’s ability to generalize and generate molecules with therapeutic potential, even in well-defined and specific contexts, such as the selected target proteins. The results demonstrated the model’s capability to produce chemically valid and biologically relevant drug candidates, highlighting its potential for drug discovery applications.</w:t>
      </w:r>
    </w:p>
    <w:p w:rsidR="00543912" w:rsidRDefault="00000000">
      <w:pPr>
        <w:pStyle w:val="Heading2"/>
        <w:tabs>
          <w:tab w:val="center" w:pos="1516"/>
        </w:tabs>
        <w:ind w:left="-15" w:firstLine="0"/>
      </w:pPr>
      <w:r>
        <w:t>3.3</w:t>
      </w:r>
      <w:r>
        <w:tab/>
        <w:t>Evaluation Metrics</w:t>
      </w:r>
    </w:p>
    <w:p w:rsidR="00543912" w:rsidRDefault="00000000">
      <w:pPr>
        <w:spacing w:after="308"/>
        <w:ind w:left="-5" w:right="349"/>
      </w:pPr>
      <w:r>
        <w:t>To rigorously evaluate the performance of our generative model, we utilized a comprehensive set of metrics designed to assess the validity, uniqueness, novelty, physicochemical properties, docking scores, structural similarity, and pharmacokinetic/ADMET profiles of the generated molecules. The key metrics and methodologies employed in this evaluation are outlined below.</w:t>
      </w:r>
    </w:p>
    <w:p w:rsidR="00543912" w:rsidRDefault="00000000">
      <w:pPr>
        <w:pStyle w:val="Heading3"/>
        <w:tabs>
          <w:tab w:val="center" w:pos="2476"/>
        </w:tabs>
        <w:spacing w:after="300"/>
        <w:ind w:left="-15" w:firstLine="0"/>
      </w:pPr>
      <w:r>
        <w:t>3.3.1</w:t>
      </w:r>
      <w:r>
        <w:tab/>
        <w:t>Performance Metrics for Generative Models</w:t>
      </w:r>
    </w:p>
    <w:p w:rsidR="00543912" w:rsidRDefault="00000000">
      <w:pPr>
        <w:spacing w:after="142" w:line="259" w:lineRule="auto"/>
        <w:ind w:left="-5" w:right="349"/>
      </w:pPr>
      <w:r>
        <w:t>The performance of the model was evaluated using the RDKit library in Python, with a focus on three principal</w:t>
      </w:r>
    </w:p>
    <w:p w:rsidR="00543912" w:rsidRDefault="00000000">
      <w:pPr>
        <w:spacing w:after="362" w:line="259" w:lineRule="auto"/>
        <w:ind w:left="-5" w:right="349"/>
      </w:pPr>
      <w:r>
        <w:t>metrics:</w:t>
      </w:r>
    </w:p>
    <w:p w:rsidR="00543912" w:rsidRDefault="00000000">
      <w:pPr>
        <w:numPr>
          <w:ilvl w:val="0"/>
          <w:numId w:val="2"/>
        </w:numPr>
        <w:spacing w:after="308"/>
        <w:ind w:right="349" w:hanging="169"/>
      </w:pPr>
      <w:r>
        <w:t>Validity (Valid): This metric quantifies the proportion of syntactically and semantically valid compounds generated by the model. A SMILES string is deemed valid if it conforms to the correct syntax and represents a chemically feasible molecule. The validity is computed as follows:</w:t>
      </w:r>
    </w:p>
    <w:p w:rsidR="00543912" w:rsidRDefault="00000000">
      <w:pPr>
        <w:spacing w:after="288" w:line="259" w:lineRule="auto"/>
        <w:ind w:left="120" w:right="0"/>
        <w:jc w:val="center"/>
      </w:pPr>
      <w:r>
        <w:t xml:space="preserve">Valid </w:t>
      </w:r>
      <w:r>
        <w:rPr>
          <w:noProof/>
        </w:rPr>
        <w:drawing>
          <wp:inline distT="0" distB="0" distL="0" distR="0">
            <wp:extent cx="423672" cy="304800"/>
            <wp:effectExtent l="0" t="0" r="0" b="0"/>
            <wp:docPr id="29572" name="Picture 29572"/>
            <wp:cNvGraphicFramePr/>
            <a:graphic xmlns:a="http://schemas.openxmlformats.org/drawingml/2006/main">
              <a:graphicData uri="http://schemas.openxmlformats.org/drawingml/2006/picture">
                <pic:pic xmlns:pic="http://schemas.openxmlformats.org/drawingml/2006/picture">
                  <pic:nvPicPr>
                    <pic:cNvPr id="29572" name="Picture 29572"/>
                    <pic:cNvPicPr/>
                  </pic:nvPicPr>
                  <pic:blipFill>
                    <a:blip r:embed="rId7"/>
                    <a:stretch>
                      <a:fillRect/>
                    </a:stretch>
                  </pic:blipFill>
                  <pic:spPr>
                    <a:xfrm>
                      <a:off x="0" y="0"/>
                      <a:ext cx="423672" cy="304800"/>
                    </a:xfrm>
                    <a:prstGeom prst="rect">
                      <a:avLst/>
                    </a:prstGeom>
                  </pic:spPr>
                </pic:pic>
              </a:graphicData>
            </a:graphic>
          </wp:inline>
        </w:drawing>
      </w:r>
    </w:p>
    <w:p w:rsidR="00543912" w:rsidRDefault="00000000">
      <w:pPr>
        <w:spacing w:after="322" w:line="259" w:lineRule="auto"/>
        <w:ind w:left="508" w:right="349"/>
      </w:pPr>
      <w:r>
        <w:t>where:</w:t>
      </w:r>
    </w:p>
    <w:p w:rsidR="00543912" w:rsidRDefault="00000000">
      <w:pPr>
        <w:numPr>
          <w:ilvl w:val="1"/>
          <w:numId w:val="2"/>
        </w:numPr>
        <w:spacing w:after="249" w:line="259" w:lineRule="auto"/>
        <w:ind w:left="936" w:right="349" w:hanging="199"/>
      </w:pPr>
      <w:r>
        <w:rPr>
          <w:rFonts w:ascii="Cambria" w:eastAsia="Cambria" w:hAnsi="Cambria" w:cs="Cambria"/>
          <w:i/>
        </w:rPr>
        <w:t>n</w:t>
      </w:r>
      <w:r>
        <w:rPr>
          <w:rFonts w:ascii="Cambria" w:eastAsia="Cambria" w:hAnsi="Cambria" w:cs="Cambria"/>
        </w:rPr>
        <w:t>(</w:t>
      </w:r>
      <w:r>
        <w:rPr>
          <w:rFonts w:ascii="Cambria" w:eastAsia="Cambria" w:hAnsi="Cambria" w:cs="Cambria"/>
          <w:i/>
        </w:rPr>
        <w:t>P</w:t>
      </w:r>
      <w:r>
        <w:rPr>
          <w:rFonts w:ascii="Cambria" w:eastAsia="Cambria" w:hAnsi="Cambria" w:cs="Cambria"/>
        </w:rPr>
        <w:t xml:space="preserve">) </w:t>
      </w:r>
      <w:r>
        <w:t>denotes the number of valid compounds.</w:t>
      </w:r>
    </w:p>
    <w:p w:rsidR="00543912" w:rsidRDefault="00000000">
      <w:pPr>
        <w:numPr>
          <w:ilvl w:val="1"/>
          <w:numId w:val="2"/>
        </w:numPr>
        <w:spacing w:after="328" w:line="259" w:lineRule="auto"/>
        <w:ind w:left="936" w:right="349" w:hanging="199"/>
      </w:pPr>
      <w:r>
        <w:rPr>
          <w:rFonts w:ascii="Cambria" w:eastAsia="Cambria" w:hAnsi="Cambria" w:cs="Cambria"/>
          <w:i/>
        </w:rPr>
        <w:lastRenderedPageBreak/>
        <w:t>n</w:t>
      </w:r>
      <w:r>
        <w:rPr>
          <w:rFonts w:ascii="Cambria" w:eastAsia="Cambria" w:hAnsi="Cambria" w:cs="Cambria"/>
        </w:rPr>
        <w:t>(</w:t>
      </w:r>
      <w:r>
        <w:rPr>
          <w:rFonts w:ascii="Cambria" w:eastAsia="Cambria" w:hAnsi="Cambria" w:cs="Cambria"/>
          <w:i/>
        </w:rPr>
        <w:t>G</w:t>
      </w:r>
      <w:r>
        <w:rPr>
          <w:rFonts w:ascii="Cambria" w:eastAsia="Cambria" w:hAnsi="Cambria" w:cs="Cambria"/>
        </w:rPr>
        <w:t xml:space="preserve">) </w:t>
      </w:r>
      <w:r>
        <w:t>represents the total number of generated compounds.</w:t>
      </w:r>
    </w:p>
    <w:p w:rsidR="00543912" w:rsidRDefault="00000000">
      <w:pPr>
        <w:ind w:left="508" w:right="349"/>
      </w:pPr>
      <w:r>
        <w:t>In our experimental setup, out of 10,782 generated SMILES strings, 10,733 (99.55%) were valid. This high validity rate underscores the model’s proficiency in generating chemically feasible molecules.</w:t>
      </w:r>
    </w:p>
    <w:p w:rsidR="00543912" w:rsidRDefault="00000000">
      <w:pPr>
        <w:numPr>
          <w:ilvl w:val="0"/>
          <w:numId w:val="2"/>
        </w:numPr>
        <w:spacing w:after="319"/>
        <w:ind w:right="349" w:hanging="169"/>
      </w:pPr>
      <w:r>
        <w:t>Uniqueness (Unique): This metric captures the fraction of unique compounds among the valid ones. A higher uniqueness value signifies a more diverse set of generated compounds, which is pivotal for exploring a broad chemical space. The uniqueness is calculated as:</w:t>
      </w:r>
    </w:p>
    <w:p w:rsidR="00543912" w:rsidRDefault="00000000">
      <w:pPr>
        <w:spacing w:after="286" w:line="259" w:lineRule="auto"/>
        <w:ind w:left="120" w:right="0"/>
        <w:jc w:val="center"/>
      </w:pPr>
      <w:r>
        <w:t xml:space="preserve">Unique </w:t>
      </w:r>
      <w:r>
        <w:rPr>
          <w:noProof/>
        </w:rPr>
        <w:drawing>
          <wp:inline distT="0" distB="0" distL="0" distR="0">
            <wp:extent cx="420624" cy="307848"/>
            <wp:effectExtent l="0" t="0" r="0" b="0"/>
            <wp:docPr id="29573" name="Picture 29573"/>
            <wp:cNvGraphicFramePr/>
            <a:graphic xmlns:a="http://schemas.openxmlformats.org/drawingml/2006/main">
              <a:graphicData uri="http://schemas.openxmlformats.org/drawingml/2006/picture">
                <pic:pic xmlns:pic="http://schemas.openxmlformats.org/drawingml/2006/picture">
                  <pic:nvPicPr>
                    <pic:cNvPr id="29573" name="Picture 29573"/>
                    <pic:cNvPicPr/>
                  </pic:nvPicPr>
                  <pic:blipFill>
                    <a:blip r:embed="rId8"/>
                    <a:stretch>
                      <a:fillRect/>
                    </a:stretch>
                  </pic:blipFill>
                  <pic:spPr>
                    <a:xfrm>
                      <a:off x="0" y="0"/>
                      <a:ext cx="420624" cy="307848"/>
                    </a:xfrm>
                    <a:prstGeom prst="rect">
                      <a:avLst/>
                    </a:prstGeom>
                  </pic:spPr>
                </pic:pic>
              </a:graphicData>
            </a:graphic>
          </wp:inline>
        </w:drawing>
      </w:r>
    </w:p>
    <w:p w:rsidR="00543912" w:rsidRDefault="00000000">
      <w:pPr>
        <w:spacing w:after="319" w:line="259" w:lineRule="auto"/>
        <w:ind w:left="508" w:right="349"/>
      </w:pPr>
      <w:r>
        <w:t>where:</w:t>
      </w:r>
    </w:p>
    <w:p w:rsidR="00543912" w:rsidRDefault="00000000">
      <w:pPr>
        <w:numPr>
          <w:ilvl w:val="1"/>
          <w:numId w:val="2"/>
        </w:numPr>
        <w:spacing w:after="245" w:line="259" w:lineRule="auto"/>
        <w:ind w:left="936" w:right="349" w:hanging="199"/>
      </w:pPr>
      <w:r>
        <w:rPr>
          <w:rFonts w:ascii="Cambria" w:eastAsia="Cambria" w:hAnsi="Cambria" w:cs="Cambria"/>
          <w:i/>
        </w:rPr>
        <w:t>n</w:t>
      </w:r>
      <w:r>
        <w:rPr>
          <w:rFonts w:ascii="Cambria" w:eastAsia="Cambria" w:hAnsi="Cambria" w:cs="Cambria"/>
        </w:rPr>
        <w:t>(</w:t>
      </w:r>
      <w:r>
        <w:rPr>
          <w:rFonts w:ascii="Cambria" w:eastAsia="Cambria" w:hAnsi="Cambria" w:cs="Cambria"/>
          <w:i/>
        </w:rPr>
        <w:t>U</w:t>
      </w:r>
      <w:r>
        <w:rPr>
          <w:rFonts w:ascii="Cambria" w:eastAsia="Cambria" w:hAnsi="Cambria" w:cs="Cambria"/>
        </w:rPr>
        <w:t xml:space="preserve">) </w:t>
      </w:r>
      <w:r>
        <w:t>denotes the number of unique compounds.</w:t>
      </w:r>
    </w:p>
    <w:p w:rsidR="00543912" w:rsidRDefault="00000000">
      <w:pPr>
        <w:numPr>
          <w:ilvl w:val="1"/>
          <w:numId w:val="2"/>
        </w:numPr>
        <w:spacing w:after="324" w:line="259" w:lineRule="auto"/>
        <w:ind w:left="936" w:right="349" w:hanging="199"/>
      </w:pPr>
      <w:r>
        <w:rPr>
          <w:rFonts w:ascii="Cambria" w:eastAsia="Cambria" w:hAnsi="Cambria" w:cs="Cambria"/>
          <w:i/>
        </w:rPr>
        <w:t>n</w:t>
      </w:r>
      <w:r>
        <w:rPr>
          <w:rFonts w:ascii="Cambria" w:eastAsia="Cambria" w:hAnsi="Cambria" w:cs="Cambria"/>
        </w:rPr>
        <w:t>(</w:t>
      </w:r>
      <w:r>
        <w:rPr>
          <w:rFonts w:ascii="Cambria" w:eastAsia="Cambria" w:hAnsi="Cambria" w:cs="Cambria"/>
          <w:i/>
        </w:rPr>
        <w:t>P</w:t>
      </w:r>
      <w:r>
        <w:rPr>
          <w:rFonts w:ascii="Cambria" w:eastAsia="Cambria" w:hAnsi="Cambria" w:cs="Cambria"/>
        </w:rPr>
        <w:t xml:space="preserve">) </w:t>
      </w:r>
      <w:r>
        <w:t>represents the number of valid compounds.</w:t>
      </w:r>
    </w:p>
    <w:p w:rsidR="00543912" w:rsidRDefault="00000000">
      <w:pPr>
        <w:spacing w:after="181" w:line="395" w:lineRule="auto"/>
        <w:ind w:left="508" w:right="0"/>
        <w:jc w:val="left"/>
      </w:pPr>
      <w:r>
        <w:t>In our experiments, 6,140 (57.21%) of the valid SMILES strings were unique, while 4,593 (42.79%) were duplicates. This indicates that the model is capable of generating a diverse array of compounds, albeit with some redundancy that could be further minimized.</w:t>
      </w:r>
    </w:p>
    <w:p w:rsidR="00543912" w:rsidRDefault="00000000">
      <w:pPr>
        <w:numPr>
          <w:ilvl w:val="0"/>
          <w:numId w:val="2"/>
        </w:numPr>
        <w:ind w:right="349" w:hanging="169"/>
      </w:pPr>
      <w:r>
        <w:t>Novelty (Novel): This metric measures the proportion of generated compounds that are absent from the test dataset. It is crucial for evaluating the model’s capacity to generate novel and previously unseen molecules.</w:t>
      </w:r>
    </w:p>
    <w:p w:rsidR="00543912" w:rsidRDefault="00000000">
      <w:pPr>
        <w:spacing w:after="340"/>
        <w:ind w:left="508" w:right="349"/>
      </w:pPr>
      <w:r>
        <w:t>The novelty is computed as:</w:t>
      </w:r>
    </w:p>
    <w:p w:rsidR="00543912" w:rsidRDefault="00000000">
      <w:pPr>
        <w:spacing w:after="286" w:line="259" w:lineRule="auto"/>
        <w:ind w:left="120" w:right="0"/>
        <w:jc w:val="center"/>
      </w:pPr>
      <w:r>
        <w:t xml:space="preserve">Novel </w:t>
      </w:r>
      <w:r>
        <w:rPr>
          <w:noProof/>
        </w:rPr>
        <w:drawing>
          <wp:inline distT="0" distB="0" distL="0" distR="0">
            <wp:extent cx="420624" cy="304800"/>
            <wp:effectExtent l="0" t="0" r="0" b="0"/>
            <wp:docPr id="29574" name="Picture 29574"/>
            <wp:cNvGraphicFramePr/>
            <a:graphic xmlns:a="http://schemas.openxmlformats.org/drawingml/2006/main">
              <a:graphicData uri="http://schemas.openxmlformats.org/drawingml/2006/picture">
                <pic:pic xmlns:pic="http://schemas.openxmlformats.org/drawingml/2006/picture">
                  <pic:nvPicPr>
                    <pic:cNvPr id="29574" name="Picture 29574"/>
                    <pic:cNvPicPr/>
                  </pic:nvPicPr>
                  <pic:blipFill>
                    <a:blip r:embed="rId9"/>
                    <a:stretch>
                      <a:fillRect/>
                    </a:stretch>
                  </pic:blipFill>
                  <pic:spPr>
                    <a:xfrm>
                      <a:off x="0" y="0"/>
                      <a:ext cx="420624" cy="304800"/>
                    </a:xfrm>
                    <a:prstGeom prst="rect">
                      <a:avLst/>
                    </a:prstGeom>
                  </pic:spPr>
                </pic:pic>
              </a:graphicData>
            </a:graphic>
          </wp:inline>
        </w:drawing>
      </w:r>
    </w:p>
    <w:p w:rsidR="00543912" w:rsidRDefault="00000000">
      <w:pPr>
        <w:spacing w:after="319" w:line="259" w:lineRule="auto"/>
        <w:ind w:left="508" w:right="349"/>
      </w:pPr>
      <w:r>
        <w:t>where:</w:t>
      </w:r>
    </w:p>
    <w:p w:rsidR="00543912" w:rsidRDefault="00000000">
      <w:pPr>
        <w:numPr>
          <w:ilvl w:val="1"/>
          <w:numId w:val="2"/>
        </w:numPr>
        <w:spacing w:after="245" w:line="259" w:lineRule="auto"/>
        <w:ind w:left="936" w:right="349" w:hanging="199"/>
      </w:pPr>
      <w:r>
        <w:rPr>
          <w:rFonts w:ascii="Cambria" w:eastAsia="Cambria" w:hAnsi="Cambria" w:cs="Cambria"/>
          <w:i/>
        </w:rPr>
        <w:t>n</w:t>
      </w:r>
      <w:r>
        <w:rPr>
          <w:rFonts w:ascii="Cambria" w:eastAsia="Cambria" w:hAnsi="Cambria" w:cs="Cambria"/>
        </w:rPr>
        <w:t>(</w:t>
      </w:r>
      <w:r>
        <w:rPr>
          <w:rFonts w:ascii="Cambria" w:eastAsia="Cambria" w:hAnsi="Cambria" w:cs="Cambria"/>
          <w:i/>
        </w:rPr>
        <w:t>Z</w:t>
      </w:r>
      <w:r>
        <w:rPr>
          <w:rFonts w:ascii="Cambria" w:eastAsia="Cambria" w:hAnsi="Cambria" w:cs="Cambria"/>
        </w:rPr>
        <w:t xml:space="preserve">) </w:t>
      </w:r>
      <w:r>
        <w:t>denotes the number of generated compounds that are not present in the test dataset.</w:t>
      </w:r>
    </w:p>
    <w:p w:rsidR="00543912" w:rsidRDefault="00000000">
      <w:pPr>
        <w:numPr>
          <w:ilvl w:val="1"/>
          <w:numId w:val="2"/>
        </w:numPr>
        <w:spacing w:after="298" w:line="259" w:lineRule="auto"/>
        <w:ind w:left="936" w:right="349" w:hanging="199"/>
      </w:pPr>
      <w:r>
        <w:rPr>
          <w:rFonts w:ascii="Cambria" w:eastAsia="Cambria" w:hAnsi="Cambria" w:cs="Cambria"/>
          <w:i/>
        </w:rPr>
        <w:t>n</w:t>
      </w:r>
      <w:r>
        <w:rPr>
          <w:rFonts w:ascii="Cambria" w:eastAsia="Cambria" w:hAnsi="Cambria" w:cs="Cambria"/>
        </w:rPr>
        <w:t>(</w:t>
      </w:r>
      <w:r>
        <w:rPr>
          <w:rFonts w:ascii="Cambria" w:eastAsia="Cambria" w:hAnsi="Cambria" w:cs="Cambria"/>
          <w:i/>
        </w:rPr>
        <w:t>P</w:t>
      </w:r>
      <w:r>
        <w:rPr>
          <w:rFonts w:ascii="Cambria" w:eastAsia="Cambria" w:hAnsi="Cambria" w:cs="Cambria"/>
        </w:rPr>
        <w:t xml:space="preserve">) </w:t>
      </w:r>
      <w:r>
        <w:t>represents the total number of valid and unique generated compounds.</w:t>
      </w:r>
    </w:p>
    <w:p w:rsidR="00543912" w:rsidRDefault="00000000">
      <w:pPr>
        <w:spacing w:after="319" w:line="259" w:lineRule="auto"/>
        <w:ind w:left="508" w:right="349"/>
      </w:pPr>
      <w:r>
        <w:t>The novelty calculation yielded the following results:</w:t>
      </w:r>
    </w:p>
    <w:p w:rsidR="00543912" w:rsidRDefault="00000000">
      <w:pPr>
        <w:numPr>
          <w:ilvl w:val="1"/>
          <w:numId w:val="2"/>
        </w:numPr>
        <w:spacing w:after="245" w:line="259" w:lineRule="auto"/>
        <w:ind w:left="936" w:right="349" w:hanging="199"/>
      </w:pPr>
      <w:r>
        <w:t>Total number of valid and unique generated SMILES: 6,140.</w:t>
      </w:r>
    </w:p>
    <w:p w:rsidR="00543912" w:rsidRDefault="00000000">
      <w:pPr>
        <w:numPr>
          <w:ilvl w:val="1"/>
          <w:numId w:val="2"/>
        </w:numPr>
        <w:spacing w:after="244" w:line="259" w:lineRule="auto"/>
        <w:ind w:left="936" w:right="349" w:hanging="199"/>
      </w:pPr>
      <w:r>
        <w:t>Number of generated SMILES not present in the test set (novel compounds): 5,389.</w:t>
      </w:r>
    </w:p>
    <w:p w:rsidR="00543912" w:rsidRDefault="00000000">
      <w:pPr>
        <w:numPr>
          <w:ilvl w:val="1"/>
          <w:numId w:val="2"/>
        </w:numPr>
        <w:spacing w:after="271" w:line="266" w:lineRule="auto"/>
        <w:ind w:left="936" w:right="349" w:hanging="199"/>
      </w:pPr>
      <w:r>
        <w:t>Novelty: 0.8777 (87.77%).</w:t>
      </w:r>
    </w:p>
    <w:p w:rsidR="00543912" w:rsidRDefault="00000000">
      <w:pPr>
        <w:spacing w:after="378"/>
        <w:ind w:left="508" w:right="349"/>
      </w:pPr>
      <w:r>
        <w:t>This high novelty score accentuates the model’s ability to generate compounds that are not only chemically valid and unique but also novel in comparison to the test dataset.</w:t>
      </w:r>
    </w:p>
    <w:p w:rsidR="00543912" w:rsidRDefault="00000000">
      <w:pPr>
        <w:pStyle w:val="Heading2"/>
        <w:tabs>
          <w:tab w:val="center" w:pos="2543"/>
        </w:tabs>
        <w:ind w:left="-15" w:firstLine="0"/>
      </w:pPr>
      <w:r>
        <w:t>3.4</w:t>
      </w:r>
      <w:r>
        <w:tab/>
        <w:t>Statistical Analysis of Dataset Overlaps</w:t>
      </w:r>
    </w:p>
    <w:p w:rsidR="00543912" w:rsidRDefault="00000000">
      <w:pPr>
        <w:ind w:left="-5" w:right="349"/>
      </w:pPr>
      <w:r>
        <w:t>To further evaluate the model’s performance, we conducted a detailed statistical analysis of the overlaps and uniqueness across the generated, training, and test datasets, focusing on valid and unique SMILES. Among the various analyses performed, one result stands out as particularly noteworthy:</w:t>
      </w:r>
    </w:p>
    <w:p w:rsidR="00543912" w:rsidRDefault="00000000">
      <w:pPr>
        <w:spacing w:after="316" w:line="266" w:lineRule="auto"/>
        <w:ind w:left="339" w:right="0"/>
        <w:jc w:val="left"/>
      </w:pPr>
      <w:r>
        <w:t>• Overlap between generated and test datasets:</w:t>
      </w:r>
    </w:p>
    <w:p w:rsidR="00543912" w:rsidRDefault="00000000">
      <w:pPr>
        <w:numPr>
          <w:ilvl w:val="0"/>
          <w:numId w:val="3"/>
        </w:numPr>
        <w:spacing w:after="241" w:line="259" w:lineRule="auto"/>
        <w:ind w:right="421" w:hanging="199"/>
      </w:pPr>
      <w:r>
        <w:t>Number of unique SMILES present in both the test and generated files but not in the training file: 4.</w:t>
      </w:r>
    </w:p>
    <w:p w:rsidR="00543912" w:rsidRDefault="00000000">
      <w:pPr>
        <w:numPr>
          <w:ilvl w:val="0"/>
          <w:numId w:val="3"/>
        </w:numPr>
        <w:spacing w:after="322" w:line="259" w:lineRule="auto"/>
        <w:ind w:right="421" w:hanging="199"/>
      </w:pPr>
      <w:r>
        <w:t>Percentage of unique SMILES in both test and generated files but not in the training file: 0.53%.</w:t>
      </w:r>
    </w:p>
    <w:p w:rsidR="00543912" w:rsidRDefault="00000000">
      <w:pPr>
        <w:ind w:left="-15" w:right="349" w:firstLine="299"/>
      </w:pPr>
      <w:r>
        <w:t>This result is significant because, despite the model not having access to the SMILES in the test dataset during training, it successfully generated 4 approved drugs that are present in the test dataset but absent from the training dataset. Although the quantity is small, this demonstrates the model’s ability to generate real, approved drugs, which is a remarkable achievement. It highlights the model’s potential to produce chemically valid and biologically relevant molecules, even in the absence of explicit knowledge of the test dataset. This capability is particularly valuable in drug discovery, where generating novel yet biologically active compounds is a key</w:t>
      </w:r>
    </w:p>
    <w:p w:rsidR="00543912" w:rsidRDefault="00000000">
      <w:pPr>
        <w:spacing w:after="329"/>
        <w:ind w:left="-5" w:right="349"/>
      </w:pPr>
      <w:r>
        <w:t>objective.</w:t>
      </w:r>
    </w:p>
    <w:p w:rsidR="00543912" w:rsidRDefault="00000000">
      <w:pPr>
        <w:pStyle w:val="Heading3"/>
        <w:tabs>
          <w:tab w:val="center" w:pos="1478"/>
        </w:tabs>
        <w:ind w:left="-15" w:firstLine="0"/>
      </w:pPr>
      <w:r>
        <w:t>3.4.1</w:t>
      </w:r>
      <w:r>
        <w:tab/>
        <w:t>Summary of Metrics</w:t>
      </w:r>
    </w:p>
    <w:p w:rsidR="00543912" w:rsidRDefault="00000000">
      <w:pPr>
        <w:spacing w:after="163"/>
        <w:ind w:left="-5" w:right="349"/>
      </w:pPr>
      <w:r>
        <w:t>The evaluation metrics collectively demonstrate the model’s efficacy in generating a high proportion of valid, unique, and novel compounds. Specifically:</w:t>
      </w:r>
    </w:p>
    <w:p w:rsidR="00543912" w:rsidRDefault="00000000">
      <w:pPr>
        <w:numPr>
          <w:ilvl w:val="0"/>
          <w:numId w:val="4"/>
        </w:numPr>
        <w:spacing w:after="321" w:line="259" w:lineRule="auto"/>
        <w:ind w:right="349" w:hanging="169"/>
      </w:pPr>
      <w:r>
        <w:t>Validity: 99.55% of the generated SMILES were valid, indicating robust chemical feasibility.</w:t>
      </w:r>
    </w:p>
    <w:p w:rsidR="00543912" w:rsidRDefault="00000000">
      <w:pPr>
        <w:numPr>
          <w:ilvl w:val="0"/>
          <w:numId w:val="4"/>
        </w:numPr>
        <w:spacing w:after="321" w:line="259" w:lineRule="auto"/>
        <w:ind w:right="349" w:hanging="169"/>
      </w:pPr>
      <w:r>
        <w:t>Uniqueness: 57.21% of the valid SMILES were unique, reflecting a diverse chemical space.</w:t>
      </w:r>
    </w:p>
    <w:p w:rsidR="00543912" w:rsidRDefault="00000000">
      <w:pPr>
        <w:numPr>
          <w:ilvl w:val="0"/>
          <w:numId w:val="4"/>
        </w:numPr>
        <w:spacing w:after="135"/>
        <w:ind w:right="349" w:hanging="169"/>
      </w:pPr>
      <w:r>
        <w:t>Novelty: 87.77% of the unique and valid SMILES were novel, highlighting the model’s ability to generate previously unseen compounds.</w:t>
      </w:r>
    </w:p>
    <w:p w:rsidR="00543912" w:rsidRDefault="00000000">
      <w:pPr>
        <w:spacing w:after="308" w:line="259" w:lineRule="auto"/>
        <w:ind w:left="309" w:right="349"/>
      </w:pPr>
      <w:r>
        <w:t>The statistical analysis further reveals that:</w:t>
      </w:r>
    </w:p>
    <w:p w:rsidR="00543912" w:rsidRDefault="00000000">
      <w:pPr>
        <w:numPr>
          <w:ilvl w:val="0"/>
          <w:numId w:val="4"/>
        </w:numPr>
        <w:spacing w:after="133"/>
        <w:ind w:right="349" w:hanging="169"/>
      </w:pPr>
      <w:r>
        <w:t>The model successfully generated 4 approved drugs that are present in the test dataset but absent from the training dataset, achieving a 0.53% overlap. This demonstrates the model’s ability to generate real, biologically relevant molecules, even without prior exposure to the test dataset.</w:t>
      </w:r>
    </w:p>
    <w:p w:rsidR="00543912" w:rsidRDefault="00000000">
      <w:pPr>
        <w:spacing w:after="378"/>
        <w:ind w:left="-15" w:right="349" w:firstLine="299"/>
      </w:pPr>
      <w:r>
        <w:t>These results underscore the effectiveness of our generative model in producing chemically valid, diverse, and novel molecules, as validated by the RDKit toolkit and comprehensive statistical analyses.</w:t>
      </w:r>
    </w:p>
    <w:p w:rsidR="00543912" w:rsidRDefault="00000000">
      <w:pPr>
        <w:pStyle w:val="Heading2"/>
        <w:tabs>
          <w:tab w:val="center" w:pos="2227"/>
        </w:tabs>
        <w:ind w:left="-15" w:firstLine="0"/>
      </w:pPr>
      <w:r>
        <w:t>3.5</w:t>
      </w:r>
      <w:r>
        <w:tab/>
        <w:t>Physicochemical Property Filters</w:t>
      </w:r>
    </w:p>
    <w:p w:rsidR="00543912" w:rsidRDefault="00000000">
      <w:pPr>
        <w:ind w:left="-5" w:right="349"/>
      </w:pPr>
      <w:r>
        <w:t>To ensure that the generated molecules exhibit drug-like properties and are chemically feasible, a comprehensive set of physicochemical property filters was implemented using the RDKit toolkit in Python. These filters are grounded in well-established criteria for drug-likeness, encompassing molecular weight, hydrogen bond donors and acceptors, lipophilicity (LogP), synthetic accessibility (SA), quantitative estimate of drug-likeness (QED), topological polar surface area (TPSA), and other relevant properties. The following sections provide a detailed description of the filtering process.</w:t>
      </w:r>
    </w:p>
    <w:p w:rsidR="00543912" w:rsidRDefault="00000000">
      <w:pPr>
        <w:pStyle w:val="Heading3"/>
        <w:tabs>
          <w:tab w:val="center" w:pos="1336"/>
        </w:tabs>
        <w:ind w:left="-15" w:firstLine="0"/>
      </w:pPr>
      <w:r>
        <w:t>3.5.1</w:t>
      </w:r>
      <w:r>
        <w:tab/>
        <w:t>Filtering Criteria</w:t>
      </w:r>
    </w:p>
    <w:p w:rsidR="00543912" w:rsidRDefault="00000000">
      <w:pPr>
        <w:spacing w:after="360" w:line="259" w:lineRule="auto"/>
        <w:ind w:left="-5" w:right="349"/>
      </w:pPr>
      <w:r>
        <w:t>The generated molecules were subjected to the following filtering criteria:</w:t>
      </w:r>
    </w:p>
    <w:p w:rsidR="00543912" w:rsidRDefault="00000000">
      <w:pPr>
        <w:numPr>
          <w:ilvl w:val="0"/>
          <w:numId w:val="5"/>
        </w:numPr>
        <w:spacing w:after="322" w:line="266" w:lineRule="auto"/>
        <w:ind w:right="0" w:hanging="169"/>
        <w:jc w:val="left"/>
      </w:pPr>
      <w:r>
        <w:t xml:space="preserve">Molecular Weight (MW): </w:t>
      </w:r>
      <w:r>
        <w:rPr>
          <w:rFonts w:ascii="Cambria" w:eastAsia="Cambria" w:hAnsi="Cambria" w:cs="Cambria"/>
        </w:rPr>
        <w:t xml:space="preserve">200 ≤ </w:t>
      </w:r>
      <w:r>
        <w:t xml:space="preserve">MW </w:t>
      </w:r>
      <w:r>
        <w:rPr>
          <w:rFonts w:ascii="Cambria" w:eastAsia="Cambria" w:hAnsi="Cambria" w:cs="Cambria"/>
        </w:rPr>
        <w:t xml:space="preserve">≤ 500 </w:t>
      </w:r>
      <w:r>
        <w:t>Da.</w:t>
      </w:r>
    </w:p>
    <w:p w:rsidR="00543912" w:rsidRDefault="00000000">
      <w:pPr>
        <w:numPr>
          <w:ilvl w:val="0"/>
          <w:numId w:val="5"/>
        </w:numPr>
        <w:spacing w:after="321" w:line="266" w:lineRule="auto"/>
        <w:ind w:right="0" w:hanging="169"/>
        <w:jc w:val="left"/>
      </w:pPr>
      <w:r>
        <w:t xml:space="preserve">Hydrogen Bond Acceptors (HBA): HBA </w:t>
      </w:r>
      <w:r>
        <w:rPr>
          <w:rFonts w:ascii="Cambria" w:eastAsia="Cambria" w:hAnsi="Cambria" w:cs="Cambria"/>
        </w:rPr>
        <w:t>≤ 10</w:t>
      </w:r>
      <w:r>
        <w:t>.</w:t>
      </w:r>
    </w:p>
    <w:p w:rsidR="00543912" w:rsidRDefault="00000000">
      <w:pPr>
        <w:numPr>
          <w:ilvl w:val="0"/>
          <w:numId w:val="5"/>
        </w:numPr>
        <w:spacing w:after="319" w:line="266" w:lineRule="auto"/>
        <w:ind w:right="0" w:hanging="169"/>
        <w:jc w:val="left"/>
      </w:pPr>
      <w:r>
        <w:t xml:space="preserve">Hydrogen Bond Donors (HBD): HBD </w:t>
      </w:r>
      <w:r>
        <w:rPr>
          <w:rFonts w:ascii="Cambria" w:eastAsia="Cambria" w:hAnsi="Cambria" w:cs="Cambria"/>
        </w:rPr>
        <w:t>≤ 5</w:t>
      </w:r>
      <w:r>
        <w:t>.</w:t>
      </w:r>
    </w:p>
    <w:p w:rsidR="00543912" w:rsidRDefault="00000000">
      <w:pPr>
        <w:numPr>
          <w:ilvl w:val="0"/>
          <w:numId w:val="5"/>
        </w:numPr>
        <w:spacing w:after="327" w:line="259" w:lineRule="auto"/>
        <w:ind w:right="0" w:hanging="169"/>
        <w:jc w:val="left"/>
      </w:pPr>
      <w:r>
        <w:t xml:space="preserve">LogP: </w:t>
      </w:r>
      <w:r>
        <w:rPr>
          <w:rFonts w:ascii="Cambria" w:eastAsia="Cambria" w:hAnsi="Cambria" w:cs="Cambria"/>
        </w:rPr>
        <w:t xml:space="preserve">−1 ≤ </w:t>
      </w:r>
      <w:r>
        <w:t xml:space="preserve">LogP </w:t>
      </w:r>
      <w:r>
        <w:rPr>
          <w:rFonts w:ascii="Cambria" w:eastAsia="Cambria" w:hAnsi="Cambria" w:cs="Cambria"/>
        </w:rPr>
        <w:t>≤ 6</w:t>
      </w:r>
      <w:r>
        <w:t>.</w:t>
      </w:r>
    </w:p>
    <w:p w:rsidR="00543912" w:rsidRDefault="00000000">
      <w:pPr>
        <w:numPr>
          <w:ilvl w:val="0"/>
          <w:numId w:val="5"/>
        </w:numPr>
        <w:spacing w:after="321" w:line="266" w:lineRule="auto"/>
        <w:ind w:right="0" w:hanging="169"/>
        <w:jc w:val="left"/>
      </w:pPr>
      <w:r>
        <w:t xml:space="preserve">Quantitative Estimate of Drug-likeness (QED): </w:t>
      </w:r>
      <w:r>
        <w:rPr>
          <w:rFonts w:ascii="Cambria" w:eastAsia="Cambria" w:hAnsi="Cambria" w:cs="Cambria"/>
        </w:rPr>
        <w:t xml:space="preserve">0 ≤ </w:t>
      </w:r>
      <w:r>
        <w:t xml:space="preserve">QED </w:t>
      </w:r>
      <w:r>
        <w:rPr>
          <w:rFonts w:ascii="Cambria" w:eastAsia="Cambria" w:hAnsi="Cambria" w:cs="Cambria"/>
        </w:rPr>
        <w:t>≤ 1</w:t>
      </w:r>
      <w:r>
        <w:t>.</w:t>
      </w:r>
    </w:p>
    <w:p w:rsidR="00543912" w:rsidRDefault="00000000">
      <w:pPr>
        <w:numPr>
          <w:ilvl w:val="0"/>
          <w:numId w:val="5"/>
        </w:numPr>
        <w:spacing w:after="345" w:line="266" w:lineRule="auto"/>
        <w:ind w:right="0" w:hanging="169"/>
        <w:jc w:val="left"/>
      </w:pPr>
      <w:r>
        <w:t xml:space="preserve">Synthetic Accessibility (SA): </w:t>
      </w:r>
      <w:r>
        <w:rPr>
          <w:rFonts w:ascii="Cambria" w:eastAsia="Cambria" w:hAnsi="Cambria" w:cs="Cambria"/>
        </w:rPr>
        <w:t xml:space="preserve">1 ≤ </w:t>
      </w:r>
      <w:r>
        <w:t xml:space="preserve">SA </w:t>
      </w:r>
      <w:r>
        <w:rPr>
          <w:rFonts w:ascii="Cambria" w:eastAsia="Cambria" w:hAnsi="Cambria" w:cs="Cambria"/>
        </w:rPr>
        <w:t>≤ 5</w:t>
      </w:r>
      <w:r>
        <w:t>.</w:t>
      </w:r>
    </w:p>
    <w:p w:rsidR="00543912" w:rsidRDefault="00000000">
      <w:pPr>
        <w:numPr>
          <w:ilvl w:val="0"/>
          <w:numId w:val="5"/>
        </w:numPr>
        <w:spacing w:after="329" w:line="266" w:lineRule="auto"/>
        <w:ind w:right="0" w:hanging="169"/>
        <w:jc w:val="left"/>
      </w:pPr>
      <w:r>
        <w:t xml:space="preserve">Topological Polar Surface Area (TPSA): </w:t>
      </w:r>
      <w:r>
        <w:rPr>
          <w:rFonts w:ascii="Cambria" w:eastAsia="Cambria" w:hAnsi="Cambria" w:cs="Cambria"/>
        </w:rPr>
        <w:t xml:space="preserve">20 ≤ </w:t>
      </w:r>
      <w:r>
        <w:t xml:space="preserve">TPSA </w:t>
      </w:r>
      <w:r>
        <w:rPr>
          <w:rFonts w:ascii="Cambria" w:eastAsia="Cambria" w:hAnsi="Cambria" w:cs="Cambria"/>
        </w:rPr>
        <w:t xml:space="preserve">≤ 130 </w:t>
      </w:r>
      <w:r>
        <w:t xml:space="preserve">A˚ </w:t>
      </w:r>
      <w:r>
        <w:rPr>
          <w:vertAlign w:val="superscript"/>
        </w:rPr>
        <w:t>2</w:t>
      </w:r>
      <w:r>
        <w:t>.</w:t>
      </w:r>
    </w:p>
    <w:p w:rsidR="00543912" w:rsidRDefault="00000000">
      <w:pPr>
        <w:numPr>
          <w:ilvl w:val="0"/>
          <w:numId w:val="5"/>
        </w:numPr>
        <w:spacing w:after="323" w:line="266" w:lineRule="auto"/>
        <w:ind w:right="0" w:hanging="169"/>
        <w:jc w:val="left"/>
      </w:pPr>
      <w:r>
        <w:t xml:space="preserve">Aromatic Rings: </w:t>
      </w:r>
      <w:r>
        <w:rPr>
          <w:rFonts w:ascii="Cambria" w:eastAsia="Cambria" w:hAnsi="Cambria" w:cs="Cambria"/>
        </w:rPr>
        <w:t>≥ 1</w:t>
      </w:r>
      <w:r>
        <w:t>.</w:t>
      </w:r>
    </w:p>
    <w:p w:rsidR="00543912" w:rsidRDefault="00000000">
      <w:pPr>
        <w:numPr>
          <w:ilvl w:val="0"/>
          <w:numId w:val="5"/>
        </w:numPr>
        <w:spacing w:after="142" w:line="259" w:lineRule="auto"/>
        <w:ind w:right="0" w:hanging="169"/>
        <w:jc w:val="left"/>
      </w:pPr>
      <w:r>
        <w:t>Number of Rotatable Bonds and Heavy Atom Count: Additional parameters were considered to assess</w:t>
      </w:r>
    </w:p>
    <w:p w:rsidR="00543912" w:rsidRDefault="00000000">
      <w:pPr>
        <w:spacing w:after="335" w:line="259" w:lineRule="auto"/>
        <w:ind w:left="508" w:right="349"/>
      </w:pPr>
      <w:r>
        <w:t>molecular flexibility and complexity.</w:t>
      </w:r>
    </w:p>
    <w:p w:rsidR="00543912" w:rsidRDefault="00000000">
      <w:pPr>
        <w:spacing w:after="308"/>
        <w:ind w:left="-15" w:right="349" w:firstLine="299"/>
      </w:pPr>
      <w:r>
        <w:t>This customized filter integrates and extends the classical Ghose, Veber, and Lipinski rules, retaining fundamental criteria for drug-likeness (such as HBA, HBD, MW, and LogP) while incorporating additional parameters (QED, SA, aromaticity, rotatable bonds, and heavy atom count) to provide a more comprehensive evaluation of pharmacokinetic properties and synthetic feasibility. This approach ensures the selection of molecules not only with favorable absorption and permeation characteristics but also with a robust profile in terms of synthetic tractability and structural stability.</w:t>
      </w:r>
    </w:p>
    <w:p w:rsidR="00543912" w:rsidRDefault="00000000">
      <w:pPr>
        <w:pStyle w:val="Heading3"/>
        <w:tabs>
          <w:tab w:val="center" w:pos="2821"/>
        </w:tabs>
        <w:ind w:left="-15" w:firstLine="0"/>
      </w:pPr>
      <w:r>
        <w:t>3.5.2</w:t>
      </w:r>
      <w:r>
        <w:tab/>
        <w:t>Removal of Undesirable or Toxic Functional Groups</w:t>
      </w:r>
    </w:p>
    <w:p w:rsidR="00543912" w:rsidRDefault="00000000">
      <w:pPr>
        <w:spacing w:after="218"/>
        <w:ind w:left="-5" w:right="349"/>
      </w:pPr>
      <w:r>
        <w:t>To eliminate molecules containing undesirable or toxic functional groups, the following rule-based filters were applied:</w:t>
      </w:r>
    </w:p>
    <w:p w:rsidR="00543912" w:rsidRDefault="00000000">
      <w:pPr>
        <w:numPr>
          <w:ilvl w:val="0"/>
          <w:numId w:val="6"/>
        </w:numPr>
        <w:spacing w:after="328" w:line="259" w:lineRule="auto"/>
        <w:ind w:right="349" w:hanging="169"/>
      </w:pPr>
      <w:r>
        <w:t>PAINS Filter: Identifies molecules prone to nonspecific binding or assay interference.</w:t>
      </w:r>
    </w:p>
    <w:p w:rsidR="00543912" w:rsidRDefault="00000000">
      <w:pPr>
        <w:numPr>
          <w:ilvl w:val="0"/>
          <w:numId w:val="6"/>
        </w:numPr>
        <w:spacing w:after="328" w:line="259" w:lineRule="auto"/>
        <w:ind w:right="349" w:hanging="169"/>
      </w:pPr>
      <w:r>
        <w:t>BRENK Filter: Removes molecules containing problematic functional groups (e.g., nitro groups, thiols).</w:t>
      </w:r>
    </w:p>
    <w:p w:rsidR="00543912" w:rsidRDefault="00000000">
      <w:pPr>
        <w:numPr>
          <w:ilvl w:val="0"/>
          <w:numId w:val="6"/>
        </w:numPr>
        <w:spacing w:after="368" w:line="259" w:lineRule="auto"/>
        <w:ind w:right="349" w:hanging="169"/>
      </w:pPr>
      <w:r>
        <w:t>NIH Filter: Detects reactive or undesirable groups (e.g., aldehydes, alkyl halides).</w:t>
      </w:r>
    </w:p>
    <w:p w:rsidR="00543912" w:rsidRDefault="00000000">
      <w:pPr>
        <w:ind w:left="-15" w:right="349" w:firstLine="299"/>
      </w:pPr>
      <w:r>
        <w:t>Following the application of these filters, a total of 3,383 unique SMILES (55.09% of the initial valid set) remained. This refined dataset represents molecules with enhanced drug-like properties and reduced risk of toxicity or synthetic challenges.</w:t>
      </w:r>
    </w:p>
    <w:p w:rsidR="00543912" w:rsidRDefault="00000000">
      <w:pPr>
        <w:pStyle w:val="Heading2"/>
        <w:tabs>
          <w:tab w:val="center" w:pos="3699"/>
        </w:tabs>
        <w:ind w:left="-15" w:firstLine="0"/>
      </w:pPr>
      <w:r>
        <w:t>3.6</w:t>
      </w:r>
      <w:r>
        <w:tab/>
        <w:t>Molecular Optimization and Conformational Energy Analysis</w:t>
      </w:r>
    </w:p>
    <w:p w:rsidR="00543912" w:rsidRDefault="00000000">
      <w:pPr>
        <w:ind w:left="-5" w:right="349"/>
      </w:pPr>
      <w:r>
        <w:t>After applying the physicochemical property filters, the remaining SMILES strings were converted into molecular structures and subjected to geometry optimization. Initial optimization was performed using the Universal Force Field (UFF) through the UFFOptimizeMolecule function. For molecules where UFF optimization was not feasible, the Merck Molecular Force Field (MMFF) was applied via the MMFFOptimizeMolecule function. This two-tiered approach ensured robust conformational energy minimization across the dataset.</w:t>
      </w:r>
    </w:p>
    <w:p w:rsidR="00543912" w:rsidRDefault="00000000">
      <w:pPr>
        <w:ind w:left="-15" w:right="349" w:firstLine="299"/>
      </w:pPr>
      <w:r>
        <w:t>Following optimization, Morgan fingerprints were generated from the optimized molecular structures. These fingerprints provide a quantitative and high-dimensional representation of molecular features, encoding the presence and spatial distribution of substructures and functional groups. A radius of 2 and a 2048-bit vector were selected for fingerprint generation. This configuration strikes a balance between computational efficiency and the minimization of hash collisions, where distinct structural features might otherwise map to the same bit in the fingerprint vector.</w:t>
      </w:r>
    </w:p>
    <w:p w:rsidR="00543912" w:rsidRDefault="00000000">
      <w:pPr>
        <w:spacing w:after="380"/>
        <w:ind w:left="-15" w:right="349" w:firstLine="299"/>
      </w:pPr>
      <w:r>
        <w:t>This process resulted in a refined set of 2,043 molecules, representing 33% of the initial pool of valid and unique SMILES strings. The optimized molecular structures and their corresponding fingerprints form a robust and chemically diverse dataset, suitable for subsequent analyses. This ensures both the chemical validity of the molecules and the structural diversity necessary for meaningful exploration in downstream applications.</w:t>
      </w:r>
    </w:p>
    <w:p w:rsidR="00543912" w:rsidRDefault="00000000">
      <w:pPr>
        <w:pStyle w:val="Heading2"/>
        <w:tabs>
          <w:tab w:val="center" w:pos="2420"/>
        </w:tabs>
        <w:ind w:left="-15" w:firstLine="0"/>
      </w:pPr>
      <w:r>
        <w:t>3.7</w:t>
      </w:r>
      <w:r>
        <w:tab/>
        <w:t>Conformational Energy Calculations</w:t>
      </w:r>
    </w:p>
    <w:p w:rsidR="00543912" w:rsidRDefault="00000000">
      <w:pPr>
        <w:ind w:left="-5" w:right="349"/>
      </w:pPr>
      <w:r>
        <w:t>To assess the stability of the optimized molecules, the conformational energy of each molecule was calculated. Conformational energy refers to the energy associated with the three-dimensional arrangement of atoms in a molecule, which directly influences its stability and reactivity. This calculation is a fundamental step in computational chemistry and pharmaceutical research, as it provides critical insights into the molecular stability and potential drug-likeness of compounds.</w:t>
      </w:r>
    </w:p>
    <w:p w:rsidR="00543912" w:rsidRDefault="00000000">
      <w:pPr>
        <w:spacing w:after="217"/>
        <w:ind w:left="-15" w:right="349" w:firstLine="299"/>
      </w:pPr>
      <w:r>
        <w:t>The importance of conformational energy calculations extends to several applications in the chemical and pharmaceutical industries, including:</w:t>
      </w:r>
    </w:p>
    <w:p w:rsidR="00543912" w:rsidRDefault="00000000">
      <w:pPr>
        <w:numPr>
          <w:ilvl w:val="0"/>
          <w:numId w:val="7"/>
        </w:numPr>
        <w:spacing w:after="176"/>
        <w:ind w:right="349" w:hanging="169"/>
      </w:pPr>
      <w:r>
        <w:t>Optimization of Novel Compound Synthesis: By identifying the most stable conformations, researchers can streamline the synthesis of new compounds.</w:t>
      </w:r>
    </w:p>
    <w:p w:rsidR="00543912" w:rsidRDefault="00000000">
      <w:pPr>
        <w:numPr>
          <w:ilvl w:val="0"/>
          <w:numId w:val="7"/>
        </w:numPr>
        <w:spacing w:after="177"/>
        <w:ind w:right="349" w:hanging="169"/>
      </w:pPr>
      <w:r>
        <w:t>Cost Reduction in Drug Development: Early identification of promising drug candidates with favorable stability profiles reduces development costs.</w:t>
      </w:r>
    </w:p>
    <w:p w:rsidR="00543912" w:rsidRDefault="00000000">
      <w:pPr>
        <w:numPr>
          <w:ilvl w:val="0"/>
          <w:numId w:val="7"/>
        </w:numPr>
        <w:ind w:right="349" w:hanging="169"/>
      </w:pPr>
      <w:r>
        <w:t>Study of Material Stability: These calculations are also valuable for investigating the stability of polymeric materials and nanostructured systems.</w:t>
      </w:r>
    </w:p>
    <w:p w:rsidR="00543912" w:rsidRDefault="00000000">
      <w:pPr>
        <w:pStyle w:val="Heading2"/>
        <w:tabs>
          <w:tab w:val="center" w:pos="2475"/>
        </w:tabs>
        <w:ind w:left="-15" w:firstLine="0"/>
      </w:pPr>
      <w:r>
        <w:t>3.8</w:t>
      </w:r>
      <w:r>
        <w:tab/>
        <w:t>Energy Units and Hartree Conversion</w:t>
      </w:r>
    </w:p>
    <w:p w:rsidR="00543912" w:rsidRDefault="00000000">
      <w:pPr>
        <w:ind w:left="-5" w:right="349"/>
      </w:pPr>
      <w:r>
        <w:t>The conformational energies were computed and expressed in Hartree (Ha), a unit of energy commonly used in quantum chemistry. One Hartree is approximately equivalent to 27.2114 electron volts (eV). The Hartree unit is preferred in quantum chemical calculations due to its natural alignment with the theoretical framework of quantum mechanics, providing a consistent and interpretable metric for energy comparisons.</w:t>
      </w:r>
    </w:p>
    <w:p w:rsidR="00543912" w:rsidRDefault="00000000">
      <w:pPr>
        <w:spacing w:after="541"/>
        <w:ind w:left="-15" w:right="349" w:firstLine="299"/>
      </w:pPr>
      <w:r>
        <w:t>By converting the conformational energies into Hartree units, the results are standardized, facilitating direct comparisons across different molecules and enabling a more robust evaluation of their relative stabilities. This approach ensures that the most stable and promising candidates are identified for further investigation in drug discovery and material science applications.</w:t>
      </w:r>
    </w:p>
    <w:p w:rsidR="00543912" w:rsidRDefault="00000000">
      <w:pPr>
        <w:pStyle w:val="Heading1"/>
        <w:tabs>
          <w:tab w:val="center" w:pos="4627"/>
        </w:tabs>
        <w:ind w:left="-15" w:firstLine="0"/>
      </w:pPr>
      <w:r>
        <w:t>4</w:t>
      </w:r>
      <w:r>
        <w:tab/>
        <w:t>Evaluation of the Targeted Generative Model via Molecular Docking</w:t>
      </w:r>
    </w:p>
    <w:p w:rsidR="00543912" w:rsidRDefault="00000000">
      <w:pPr>
        <w:spacing w:after="380"/>
        <w:ind w:left="-5" w:right="349"/>
      </w:pPr>
      <w:r>
        <w:t>Molecular docking was employed to evaluate the binding interactions between the generated compounds and target protein structures, with docking scores serving as a key metric for assessing binding affinity. The Vina docking package [12] was utilized to compute these scores, which are based on electrostatic and van der Waals interactions. From an initial set of 19 proteins, 17 were selected for detailed docking analysis using AutoDock Vina, focusing on binding interactions and the identification of high-affinity compounds.</w:t>
      </w:r>
    </w:p>
    <w:p w:rsidR="00543912" w:rsidRDefault="00000000">
      <w:pPr>
        <w:pStyle w:val="Heading2"/>
        <w:tabs>
          <w:tab w:val="center" w:pos="2600"/>
        </w:tabs>
        <w:ind w:left="-15" w:firstLine="0"/>
      </w:pPr>
      <w:r>
        <w:t>4.1</w:t>
      </w:r>
      <w:r>
        <w:tab/>
        <w:t>Docking Procedure and Binding Affinity</w:t>
      </w:r>
    </w:p>
    <w:p w:rsidR="00543912" w:rsidRDefault="00000000">
      <w:pPr>
        <w:ind w:left="-5" w:right="349"/>
      </w:pPr>
      <w:r>
        <w:t xml:space="preserve">The binding affinity of the generated molecules was evaluated using docking scores computed with the Glide module and AutoDock Vina. A docking score threshold of </w:t>
      </w:r>
      <w:r>
        <w:rPr>
          <w:rFonts w:ascii="Cambria" w:eastAsia="Cambria" w:hAnsi="Cambria" w:cs="Cambria"/>
        </w:rPr>
        <w:t>≤−8</w:t>
      </w:r>
      <w:r>
        <w:rPr>
          <w:rFonts w:ascii="Cambria" w:eastAsia="Cambria" w:hAnsi="Cambria" w:cs="Cambria"/>
          <w:i/>
        </w:rPr>
        <w:t>.</w:t>
      </w:r>
      <w:r>
        <w:rPr>
          <w:rFonts w:ascii="Cambria" w:eastAsia="Cambria" w:hAnsi="Cambria" w:cs="Cambria"/>
        </w:rPr>
        <w:t xml:space="preserve">18 </w:t>
      </w:r>
      <w:r>
        <w:t>kcal/mol was established to indicate moderate bioactivity. The proportion of generated molecules exhibiting higher binding affinity than the reference ligands was calculated and summarized in Table 2 and Table ??.</w:t>
      </w:r>
    </w:p>
    <w:p w:rsidR="00543912" w:rsidRDefault="00000000">
      <w:pPr>
        <w:ind w:left="-15" w:right="349" w:firstLine="299"/>
      </w:pPr>
      <w:r>
        <w:t>To further assess the quality of the generated molecules, the Wasserstein distance metric was employed to compare key physicochemical properties—molecular weight (MW), LogP, and topological polar surface area (TPSA)—between the generated molecules and the test set. This metric is particularly effective for comparing continuous or multidimensional distributions, providing a quantitative measure of divergence between the two datasets. Table 3 presents the Wasserstein distances for the protein 3D59, revealing strong similarities in most properties, with notable deviations observed in MW and TPSA.</w:t>
      </w:r>
    </w:p>
    <w:p w:rsidR="00543912" w:rsidRDefault="00000000">
      <w:pPr>
        <w:ind w:left="-15" w:right="349" w:firstLine="299"/>
      </w:pPr>
      <w:r>
        <w:t>To visualize these differences, Kernel Density Estimate (KDE) histograms were generated for each physicochemical property. These plots enable a direct comparison between the property distributions of the generated molecules and those of the test dataset, facilitating the identification of divergences or convergences. An example of the molecular property distributions for the protein 3D59 is provided in the Appendix (Figure 3, Figure 4).</w:t>
      </w:r>
    </w:p>
    <w:p w:rsidR="00543912" w:rsidRDefault="00000000">
      <w:pPr>
        <w:spacing w:line="259" w:lineRule="auto"/>
        <w:ind w:left="1916" w:right="349"/>
      </w:pPr>
      <w:r>
        <w:t>Table 1: Comparison of molecules performance against threshold</w:t>
      </w:r>
    </w:p>
    <w:tbl>
      <w:tblPr>
        <w:tblStyle w:val="TableGrid"/>
        <w:tblW w:w="6398" w:type="dxa"/>
        <w:tblInd w:w="1314" w:type="dxa"/>
        <w:tblCellMar>
          <w:top w:w="30" w:type="dxa"/>
          <w:left w:w="124" w:type="dxa"/>
          <w:bottom w:w="0" w:type="dxa"/>
          <w:right w:w="115" w:type="dxa"/>
        </w:tblCellMar>
        <w:tblLook w:val="04A0" w:firstRow="1" w:lastRow="0" w:firstColumn="1" w:lastColumn="0" w:noHBand="0" w:noVBand="1"/>
      </w:tblPr>
      <w:tblGrid>
        <w:gridCol w:w="874"/>
        <w:gridCol w:w="1381"/>
        <w:gridCol w:w="1381"/>
        <w:gridCol w:w="1381"/>
        <w:gridCol w:w="1381"/>
      </w:tblGrid>
      <w:tr w:rsidR="00543912">
        <w:trPr>
          <w:trHeight w:val="964"/>
        </w:trPr>
        <w:tc>
          <w:tcPr>
            <w:tcW w:w="874" w:type="dxa"/>
            <w:tcBorders>
              <w:top w:val="single" w:sz="3" w:space="0" w:color="000000"/>
              <w:left w:val="single" w:sz="3" w:space="0" w:color="000000"/>
              <w:bottom w:val="single" w:sz="3" w:space="0" w:color="000000"/>
              <w:right w:val="single" w:sz="3" w:space="0" w:color="000000"/>
            </w:tcBorders>
          </w:tcPr>
          <w:p w:rsidR="00543912" w:rsidRDefault="00000000">
            <w:pPr>
              <w:spacing w:after="0" w:line="259" w:lineRule="auto"/>
              <w:ind w:left="0" w:right="0" w:firstLine="0"/>
              <w:jc w:val="left"/>
            </w:pPr>
            <w:r>
              <w:t>Protein</w:t>
            </w:r>
          </w:p>
        </w:tc>
        <w:tc>
          <w:tcPr>
            <w:tcW w:w="1381" w:type="dxa"/>
            <w:tcBorders>
              <w:top w:val="single" w:sz="3" w:space="0" w:color="000000"/>
              <w:left w:val="single" w:sz="3" w:space="0" w:color="000000"/>
              <w:bottom w:val="single" w:sz="3" w:space="0" w:color="000000"/>
              <w:right w:val="single" w:sz="3" w:space="0" w:color="000000"/>
            </w:tcBorders>
          </w:tcPr>
          <w:p w:rsidR="00543912" w:rsidRDefault="00000000">
            <w:pPr>
              <w:spacing w:after="0" w:line="259" w:lineRule="auto"/>
              <w:ind w:left="0" w:right="8" w:firstLine="0"/>
              <w:jc w:val="center"/>
            </w:pPr>
            <w:r>
              <w:t>Num Test</w:t>
            </w:r>
          </w:p>
          <w:p w:rsidR="00543912" w:rsidRDefault="00000000">
            <w:pPr>
              <w:spacing w:after="0" w:line="259" w:lineRule="auto"/>
              <w:ind w:left="0" w:right="8" w:firstLine="0"/>
              <w:jc w:val="center"/>
            </w:pPr>
            <w:r>
              <w:t>Better</w:t>
            </w:r>
          </w:p>
          <w:p w:rsidR="00543912" w:rsidRDefault="00000000">
            <w:pPr>
              <w:spacing w:after="0" w:line="259" w:lineRule="auto"/>
              <w:ind w:left="41" w:right="0" w:firstLine="0"/>
              <w:jc w:val="center"/>
            </w:pPr>
            <w:r>
              <w:t>Than</w:t>
            </w:r>
          </w:p>
          <w:p w:rsidR="00543912" w:rsidRDefault="00000000">
            <w:pPr>
              <w:spacing w:after="0" w:line="259" w:lineRule="auto"/>
              <w:ind w:left="0" w:right="8" w:firstLine="0"/>
              <w:jc w:val="center"/>
            </w:pPr>
            <w:r>
              <w:t>Threshold</w:t>
            </w:r>
          </w:p>
        </w:tc>
        <w:tc>
          <w:tcPr>
            <w:tcW w:w="1381" w:type="dxa"/>
            <w:tcBorders>
              <w:top w:val="single" w:sz="3" w:space="0" w:color="000000"/>
              <w:left w:val="single" w:sz="3" w:space="0" w:color="000000"/>
              <w:bottom w:val="single" w:sz="3" w:space="0" w:color="000000"/>
              <w:right w:val="single" w:sz="3" w:space="0" w:color="000000"/>
            </w:tcBorders>
          </w:tcPr>
          <w:p w:rsidR="00543912" w:rsidRDefault="00000000">
            <w:pPr>
              <w:spacing w:after="0" w:line="259" w:lineRule="auto"/>
              <w:ind w:left="0" w:right="8" w:firstLine="0"/>
              <w:jc w:val="center"/>
            </w:pPr>
            <w:r>
              <w:t>% Test</w:t>
            </w:r>
          </w:p>
          <w:p w:rsidR="00543912" w:rsidRDefault="00000000">
            <w:pPr>
              <w:spacing w:after="0" w:line="259" w:lineRule="auto"/>
              <w:ind w:left="0" w:right="8" w:firstLine="0"/>
              <w:jc w:val="center"/>
            </w:pPr>
            <w:r>
              <w:t>Better</w:t>
            </w:r>
          </w:p>
          <w:p w:rsidR="00543912" w:rsidRDefault="00000000">
            <w:pPr>
              <w:spacing w:after="0" w:line="259" w:lineRule="auto"/>
              <w:ind w:left="41" w:right="0" w:firstLine="0"/>
              <w:jc w:val="center"/>
            </w:pPr>
            <w:r>
              <w:t>Than</w:t>
            </w:r>
          </w:p>
          <w:p w:rsidR="00543912" w:rsidRDefault="00000000">
            <w:pPr>
              <w:spacing w:after="0" w:line="259" w:lineRule="auto"/>
              <w:ind w:left="0" w:right="8" w:firstLine="0"/>
              <w:jc w:val="center"/>
            </w:pPr>
            <w:r>
              <w:t>Threshold</w:t>
            </w:r>
          </w:p>
        </w:tc>
        <w:tc>
          <w:tcPr>
            <w:tcW w:w="1381" w:type="dxa"/>
            <w:tcBorders>
              <w:top w:val="single" w:sz="3" w:space="0" w:color="000000"/>
              <w:left w:val="single" w:sz="3" w:space="0" w:color="000000"/>
              <w:bottom w:val="single" w:sz="3" w:space="0" w:color="000000"/>
              <w:right w:val="single" w:sz="3" w:space="0" w:color="000000"/>
            </w:tcBorders>
          </w:tcPr>
          <w:p w:rsidR="00543912" w:rsidRDefault="00000000">
            <w:pPr>
              <w:spacing w:after="0" w:line="259" w:lineRule="auto"/>
              <w:ind w:left="0" w:right="8" w:firstLine="0"/>
              <w:jc w:val="center"/>
            </w:pPr>
            <w:r>
              <w:t>Num Gen</w:t>
            </w:r>
          </w:p>
          <w:p w:rsidR="00543912" w:rsidRDefault="00000000">
            <w:pPr>
              <w:spacing w:after="0" w:line="259" w:lineRule="auto"/>
              <w:ind w:left="0" w:right="8" w:firstLine="0"/>
              <w:jc w:val="center"/>
            </w:pPr>
            <w:r>
              <w:t>Better</w:t>
            </w:r>
          </w:p>
          <w:p w:rsidR="00543912" w:rsidRDefault="00000000">
            <w:pPr>
              <w:spacing w:after="0" w:line="259" w:lineRule="auto"/>
              <w:ind w:left="41" w:right="0" w:firstLine="0"/>
              <w:jc w:val="center"/>
            </w:pPr>
            <w:r>
              <w:t>Than</w:t>
            </w:r>
          </w:p>
          <w:p w:rsidR="00543912" w:rsidRDefault="00000000">
            <w:pPr>
              <w:spacing w:after="0" w:line="259" w:lineRule="auto"/>
              <w:ind w:left="0" w:right="8" w:firstLine="0"/>
              <w:jc w:val="center"/>
            </w:pPr>
            <w:r>
              <w:t>Threshold</w:t>
            </w:r>
          </w:p>
        </w:tc>
        <w:tc>
          <w:tcPr>
            <w:tcW w:w="1381" w:type="dxa"/>
            <w:tcBorders>
              <w:top w:val="single" w:sz="3" w:space="0" w:color="000000"/>
              <w:left w:val="single" w:sz="3" w:space="0" w:color="000000"/>
              <w:bottom w:val="single" w:sz="3" w:space="0" w:color="000000"/>
              <w:right w:val="single" w:sz="3" w:space="0" w:color="000000"/>
            </w:tcBorders>
          </w:tcPr>
          <w:p w:rsidR="00543912" w:rsidRDefault="00000000">
            <w:pPr>
              <w:spacing w:after="0" w:line="259" w:lineRule="auto"/>
              <w:ind w:left="0" w:right="8" w:firstLine="0"/>
              <w:jc w:val="center"/>
            </w:pPr>
            <w:r>
              <w:t>% Gen</w:t>
            </w:r>
          </w:p>
          <w:p w:rsidR="00543912" w:rsidRDefault="00000000">
            <w:pPr>
              <w:spacing w:after="0" w:line="259" w:lineRule="auto"/>
              <w:ind w:left="0" w:right="8" w:firstLine="0"/>
              <w:jc w:val="center"/>
            </w:pPr>
            <w:r>
              <w:t>Better</w:t>
            </w:r>
          </w:p>
          <w:p w:rsidR="00543912" w:rsidRDefault="00000000">
            <w:pPr>
              <w:spacing w:after="0" w:line="259" w:lineRule="auto"/>
              <w:ind w:left="41" w:right="0" w:firstLine="0"/>
              <w:jc w:val="center"/>
            </w:pPr>
            <w:r>
              <w:t>Than</w:t>
            </w:r>
          </w:p>
          <w:p w:rsidR="00543912" w:rsidRDefault="00000000">
            <w:pPr>
              <w:spacing w:after="0" w:line="259" w:lineRule="auto"/>
              <w:ind w:left="0" w:right="8" w:firstLine="0"/>
              <w:jc w:val="center"/>
            </w:pPr>
            <w:r>
              <w:t>Threshold</w:t>
            </w:r>
          </w:p>
        </w:tc>
      </w:tr>
      <w:tr w:rsidR="00543912">
        <w:trPr>
          <w:trHeight w:val="245"/>
        </w:trPr>
        <w:tc>
          <w:tcPr>
            <w:tcW w:w="874" w:type="dxa"/>
            <w:tcBorders>
              <w:top w:val="single" w:sz="3" w:space="0" w:color="000000"/>
              <w:left w:val="single" w:sz="3" w:space="0" w:color="000000"/>
              <w:bottom w:val="nil"/>
              <w:right w:val="single" w:sz="3" w:space="0" w:color="000000"/>
            </w:tcBorders>
          </w:tcPr>
          <w:p w:rsidR="00543912" w:rsidRDefault="00000000">
            <w:pPr>
              <w:spacing w:after="0" w:line="259" w:lineRule="auto"/>
              <w:ind w:left="0" w:right="0" w:firstLine="0"/>
              <w:jc w:val="left"/>
            </w:pPr>
            <w:r>
              <w:t>3D59</w:t>
            </w:r>
          </w:p>
        </w:tc>
        <w:tc>
          <w:tcPr>
            <w:tcW w:w="1381" w:type="dxa"/>
            <w:tcBorders>
              <w:top w:val="single" w:sz="3" w:space="0" w:color="000000"/>
              <w:left w:val="single" w:sz="3" w:space="0" w:color="000000"/>
              <w:bottom w:val="nil"/>
              <w:right w:val="single" w:sz="3" w:space="0" w:color="000000"/>
            </w:tcBorders>
          </w:tcPr>
          <w:p w:rsidR="00543912" w:rsidRDefault="00000000">
            <w:pPr>
              <w:spacing w:after="0" w:line="259" w:lineRule="auto"/>
              <w:ind w:left="0" w:right="8" w:firstLine="0"/>
              <w:jc w:val="center"/>
            </w:pPr>
            <w:r>
              <w:t>47</w:t>
            </w:r>
          </w:p>
        </w:tc>
        <w:tc>
          <w:tcPr>
            <w:tcW w:w="1381" w:type="dxa"/>
            <w:tcBorders>
              <w:top w:val="single" w:sz="3" w:space="0" w:color="000000"/>
              <w:left w:val="single" w:sz="3" w:space="0" w:color="000000"/>
              <w:bottom w:val="nil"/>
              <w:right w:val="single" w:sz="3" w:space="0" w:color="000000"/>
            </w:tcBorders>
          </w:tcPr>
          <w:p w:rsidR="00543912" w:rsidRDefault="00000000">
            <w:pPr>
              <w:spacing w:after="0" w:line="259" w:lineRule="auto"/>
              <w:ind w:left="0" w:right="8" w:firstLine="0"/>
              <w:jc w:val="center"/>
            </w:pPr>
            <w:r>
              <w:t>63.51</w:t>
            </w:r>
          </w:p>
        </w:tc>
        <w:tc>
          <w:tcPr>
            <w:tcW w:w="1381" w:type="dxa"/>
            <w:tcBorders>
              <w:top w:val="single" w:sz="3" w:space="0" w:color="000000"/>
              <w:left w:val="single" w:sz="3" w:space="0" w:color="000000"/>
              <w:bottom w:val="nil"/>
              <w:right w:val="single" w:sz="3" w:space="0" w:color="000000"/>
            </w:tcBorders>
          </w:tcPr>
          <w:p w:rsidR="00543912" w:rsidRDefault="00000000">
            <w:pPr>
              <w:spacing w:after="0" w:line="259" w:lineRule="auto"/>
              <w:ind w:left="0" w:right="8" w:firstLine="0"/>
              <w:jc w:val="center"/>
            </w:pPr>
            <w:r>
              <w:t>53</w:t>
            </w:r>
          </w:p>
        </w:tc>
        <w:tc>
          <w:tcPr>
            <w:tcW w:w="1381" w:type="dxa"/>
            <w:tcBorders>
              <w:top w:val="single" w:sz="3" w:space="0" w:color="000000"/>
              <w:left w:val="single" w:sz="3" w:space="0" w:color="000000"/>
              <w:bottom w:val="nil"/>
              <w:right w:val="single" w:sz="3" w:space="0" w:color="000000"/>
            </w:tcBorders>
          </w:tcPr>
          <w:p w:rsidR="00543912" w:rsidRDefault="00000000">
            <w:pPr>
              <w:spacing w:after="0" w:line="259" w:lineRule="auto"/>
              <w:ind w:left="0" w:right="8" w:firstLine="0"/>
              <w:jc w:val="center"/>
            </w:pPr>
            <w:r>
              <w:t>58.24</w:t>
            </w:r>
          </w:p>
        </w:tc>
      </w:tr>
      <w:tr w:rsidR="00543912">
        <w:trPr>
          <w:trHeight w:val="239"/>
        </w:trPr>
        <w:tc>
          <w:tcPr>
            <w:tcW w:w="874" w:type="dxa"/>
            <w:tcBorders>
              <w:top w:val="nil"/>
              <w:left w:val="single" w:sz="3" w:space="0" w:color="000000"/>
              <w:bottom w:val="nil"/>
              <w:right w:val="single" w:sz="3" w:space="0" w:color="000000"/>
            </w:tcBorders>
          </w:tcPr>
          <w:p w:rsidR="00543912" w:rsidRDefault="00000000">
            <w:pPr>
              <w:spacing w:after="0" w:line="259" w:lineRule="auto"/>
              <w:ind w:left="0" w:right="0" w:firstLine="0"/>
              <w:jc w:val="left"/>
            </w:pPr>
            <w:r>
              <w:t>6Y3C</w:t>
            </w:r>
          </w:p>
        </w:tc>
        <w:tc>
          <w:tcPr>
            <w:tcW w:w="1381"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85</w:t>
            </w:r>
          </w:p>
        </w:tc>
        <w:tc>
          <w:tcPr>
            <w:tcW w:w="1381"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12.01</w:t>
            </w:r>
          </w:p>
        </w:tc>
        <w:tc>
          <w:tcPr>
            <w:tcW w:w="1381"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129</w:t>
            </w:r>
          </w:p>
        </w:tc>
        <w:tc>
          <w:tcPr>
            <w:tcW w:w="1381"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47.78</w:t>
            </w:r>
          </w:p>
        </w:tc>
      </w:tr>
      <w:tr w:rsidR="00543912">
        <w:trPr>
          <w:trHeight w:val="239"/>
        </w:trPr>
        <w:tc>
          <w:tcPr>
            <w:tcW w:w="874" w:type="dxa"/>
            <w:tcBorders>
              <w:top w:val="nil"/>
              <w:left w:val="single" w:sz="3" w:space="0" w:color="000000"/>
              <w:bottom w:val="nil"/>
              <w:right w:val="single" w:sz="3" w:space="0" w:color="000000"/>
            </w:tcBorders>
          </w:tcPr>
          <w:p w:rsidR="00543912" w:rsidRDefault="00000000">
            <w:pPr>
              <w:spacing w:after="0" w:line="259" w:lineRule="auto"/>
              <w:ind w:left="0" w:right="0" w:firstLine="0"/>
              <w:jc w:val="left"/>
            </w:pPr>
            <w:r>
              <w:t>4XAO</w:t>
            </w:r>
          </w:p>
        </w:tc>
        <w:tc>
          <w:tcPr>
            <w:tcW w:w="1381"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24</w:t>
            </w:r>
          </w:p>
        </w:tc>
        <w:tc>
          <w:tcPr>
            <w:tcW w:w="1381"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9.13</w:t>
            </w:r>
          </w:p>
        </w:tc>
        <w:tc>
          <w:tcPr>
            <w:tcW w:w="1381"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20</w:t>
            </w:r>
          </w:p>
        </w:tc>
        <w:tc>
          <w:tcPr>
            <w:tcW w:w="1381"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18.52</w:t>
            </w:r>
          </w:p>
        </w:tc>
      </w:tr>
      <w:tr w:rsidR="00543912">
        <w:trPr>
          <w:trHeight w:val="239"/>
        </w:trPr>
        <w:tc>
          <w:tcPr>
            <w:tcW w:w="874" w:type="dxa"/>
            <w:tcBorders>
              <w:top w:val="nil"/>
              <w:left w:val="single" w:sz="3" w:space="0" w:color="000000"/>
              <w:bottom w:val="nil"/>
              <w:right w:val="single" w:sz="3" w:space="0" w:color="000000"/>
            </w:tcBorders>
          </w:tcPr>
          <w:p w:rsidR="00543912" w:rsidRDefault="00000000">
            <w:pPr>
              <w:spacing w:after="0" w:line="259" w:lineRule="auto"/>
              <w:ind w:left="0" w:right="0" w:firstLine="0"/>
              <w:jc w:val="left"/>
            </w:pPr>
            <w:r>
              <w:t>3KMR</w:t>
            </w:r>
          </w:p>
        </w:tc>
        <w:tc>
          <w:tcPr>
            <w:tcW w:w="1381"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9</w:t>
            </w:r>
          </w:p>
        </w:tc>
        <w:tc>
          <w:tcPr>
            <w:tcW w:w="1381"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32.14</w:t>
            </w:r>
          </w:p>
        </w:tc>
        <w:tc>
          <w:tcPr>
            <w:tcW w:w="1381"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6</w:t>
            </w:r>
          </w:p>
        </w:tc>
        <w:tc>
          <w:tcPr>
            <w:tcW w:w="1381"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22.22</w:t>
            </w:r>
          </w:p>
        </w:tc>
      </w:tr>
      <w:tr w:rsidR="00543912">
        <w:trPr>
          <w:trHeight w:val="239"/>
        </w:trPr>
        <w:tc>
          <w:tcPr>
            <w:tcW w:w="874" w:type="dxa"/>
            <w:tcBorders>
              <w:top w:val="nil"/>
              <w:left w:val="single" w:sz="3" w:space="0" w:color="000000"/>
              <w:bottom w:val="nil"/>
              <w:right w:val="single" w:sz="3" w:space="0" w:color="000000"/>
            </w:tcBorders>
          </w:tcPr>
          <w:p w:rsidR="00543912" w:rsidRDefault="00000000">
            <w:pPr>
              <w:spacing w:after="0" w:line="259" w:lineRule="auto"/>
              <w:ind w:left="0" w:right="0" w:firstLine="0"/>
              <w:jc w:val="left"/>
            </w:pPr>
            <w:r>
              <w:t>2FLU</w:t>
            </w:r>
          </w:p>
        </w:tc>
        <w:tc>
          <w:tcPr>
            <w:tcW w:w="1381"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1</w:t>
            </w:r>
          </w:p>
        </w:tc>
        <w:tc>
          <w:tcPr>
            <w:tcW w:w="1381"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50.0</w:t>
            </w:r>
          </w:p>
        </w:tc>
        <w:tc>
          <w:tcPr>
            <w:tcW w:w="1381"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9</w:t>
            </w:r>
          </w:p>
        </w:tc>
        <w:tc>
          <w:tcPr>
            <w:tcW w:w="1381"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100.0</w:t>
            </w:r>
          </w:p>
        </w:tc>
      </w:tr>
      <w:tr w:rsidR="00543912">
        <w:trPr>
          <w:trHeight w:val="239"/>
        </w:trPr>
        <w:tc>
          <w:tcPr>
            <w:tcW w:w="874" w:type="dxa"/>
            <w:tcBorders>
              <w:top w:val="nil"/>
              <w:left w:val="single" w:sz="3" w:space="0" w:color="000000"/>
              <w:bottom w:val="nil"/>
              <w:right w:val="single" w:sz="3" w:space="0" w:color="000000"/>
            </w:tcBorders>
          </w:tcPr>
          <w:p w:rsidR="00543912" w:rsidRDefault="00000000">
            <w:pPr>
              <w:spacing w:after="0" w:line="259" w:lineRule="auto"/>
              <w:ind w:left="0" w:right="0" w:firstLine="0"/>
              <w:jc w:val="left"/>
            </w:pPr>
            <w:r>
              <w:t>7E32</w:t>
            </w:r>
          </w:p>
        </w:tc>
        <w:tc>
          <w:tcPr>
            <w:tcW w:w="1381"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85</w:t>
            </w:r>
          </w:p>
        </w:tc>
        <w:tc>
          <w:tcPr>
            <w:tcW w:w="1381"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41.06</w:t>
            </w:r>
          </w:p>
        </w:tc>
        <w:tc>
          <w:tcPr>
            <w:tcW w:w="1381"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91</w:t>
            </w:r>
          </w:p>
        </w:tc>
        <w:tc>
          <w:tcPr>
            <w:tcW w:w="1381"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49.46</w:t>
            </w:r>
          </w:p>
        </w:tc>
      </w:tr>
      <w:tr w:rsidR="00543912">
        <w:trPr>
          <w:trHeight w:val="239"/>
        </w:trPr>
        <w:tc>
          <w:tcPr>
            <w:tcW w:w="874" w:type="dxa"/>
            <w:tcBorders>
              <w:top w:val="nil"/>
              <w:left w:val="single" w:sz="3" w:space="0" w:color="000000"/>
              <w:bottom w:val="nil"/>
              <w:right w:val="single" w:sz="3" w:space="0" w:color="000000"/>
            </w:tcBorders>
          </w:tcPr>
          <w:p w:rsidR="00543912" w:rsidRDefault="00000000">
            <w:pPr>
              <w:spacing w:after="0" w:line="259" w:lineRule="auto"/>
              <w:ind w:left="0" w:right="0" w:firstLine="0"/>
              <w:jc w:val="left"/>
            </w:pPr>
            <w:r>
              <w:t>8YHF</w:t>
            </w:r>
          </w:p>
        </w:tc>
        <w:tc>
          <w:tcPr>
            <w:tcW w:w="1381"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310</w:t>
            </w:r>
          </w:p>
        </w:tc>
        <w:tc>
          <w:tcPr>
            <w:tcW w:w="1381"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93.37</w:t>
            </w:r>
          </w:p>
        </w:tc>
        <w:tc>
          <w:tcPr>
            <w:tcW w:w="1381"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163</w:t>
            </w:r>
          </w:p>
        </w:tc>
        <w:tc>
          <w:tcPr>
            <w:tcW w:w="1381"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80.69</w:t>
            </w:r>
          </w:p>
        </w:tc>
      </w:tr>
      <w:tr w:rsidR="00543912">
        <w:trPr>
          <w:trHeight w:val="239"/>
        </w:trPr>
        <w:tc>
          <w:tcPr>
            <w:tcW w:w="874" w:type="dxa"/>
            <w:tcBorders>
              <w:top w:val="nil"/>
              <w:left w:val="single" w:sz="3" w:space="0" w:color="000000"/>
              <w:bottom w:val="nil"/>
              <w:right w:val="single" w:sz="3" w:space="0" w:color="000000"/>
            </w:tcBorders>
          </w:tcPr>
          <w:p w:rsidR="00543912" w:rsidRDefault="00000000">
            <w:pPr>
              <w:spacing w:after="0" w:line="259" w:lineRule="auto"/>
              <w:ind w:left="0" w:right="0" w:firstLine="0"/>
              <w:jc w:val="left"/>
            </w:pPr>
            <w:r>
              <w:t>7DUA</w:t>
            </w:r>
          </w:p>
        </w:tc>
        <w:tc>
          <w:tcPr>
            <w:tcW w:w="1381"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166</w:t>
            </w:r>
          </w:p>
        </w:tc>
        <w:tc>
          <w:tcPr>
            <w:tcW w:w="1381"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97.65</w:t>
            </w:r>
          </w:p>
        </w:tc>
        <w:tc>
          <w:tcPr>
            <w:tcW w:w="1381"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83</w:t>
            </w:r>
          </w:p>
        </w:tc>
        <w:tc>
          <w:tcPr>
            <w:tcW w:w="1381"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96.51</w:t>
            </w:r>
          </w:p>
        </w:tc>
      </w:tr>
      <w:tr w:rsidR="00543912">
        <w:trPr>
          <w:trHeight w:val="239"/>
        </w:trPr>
        <w:tc>
          <w:tcPr>
            <w:tcW w:w="874" w:type="dxa"/>
            <w:tcBorders>
              <w:top w:val="nil"/>
              <w:left w:val="single" w:sz="3" w:space="0" w:color="000000"/>
              <w:bottom w:val="nil"/>
              <w:right w:val="single" w:sz="3" w:space="0" w:color="000000"/>
            </w:tcBorders>
          </w:tcPr>
          <w:p w:rsidR="00543912" w:rsidRDefault="00000000">
            <w:pPr>
              <w:spacing w:after="0" w:line="259" w:lineRule="auto"/>
              <w:ind w:left="0" w:right="0" w:firstLine="0"/>
              <w:jc w:val="left"/>
            </w:pPr>
            <w:r>
              <w:t>8X8L</w:t>
            </w:r>
          </w:p>
        </w:tc>
        <w:tc>
          <w:tcPr>
            <w:tcW w:w="1381"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9</w:t>
            </w:r>
          </w:p>
        </w:tc>
        <w:tc>
          <w:tcPr>
            <w:tcW w:w="1381"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100.0</w:t>
            </w:r>
          </w:p>
        </w:tc>
        <w:tc>
          <w:tcPr>
            <w:tcW w:w="1381"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27</w:t>
            </w:r>
          </w:p>
        </w:tc>
        <w:tc>
          <w:tcPr>
            <w:tcW w:w="1381"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72.97</w:t>
            </w:r>
          </w:p>
        </w:tc>
      </w:tr>
      <w:tr w:rsidR="00543912">
        <w:trPr>
          <w:trHeight w:val="239"/>
        </w:trPr>
        <w:tc>
          <w:tcPr>
            <w:tcW w:w="874" w:type="dxa"/>
            <w:tcBorders>
              <w:top w:val="nil"/>
              <w:left w:val="single" w:sz="3" w:space="0" w:color="000000"/>
              <w:bottom w:val="nil"/>
              <w:right w:val="single" w:sz="3" w:space="0" w:color="000000"/>
            </w:tcBorders>
          </w:tcPr>
          <w:p w:rsidR="00543912" w:rsidRDefault="00000000">
            <w:pPr>
              <w:spacing w:after="0" w:line="259" w:lineRule="auto"/>
              <w:ind w:left="0" w:right="0" w:firstLine="0"/>
              <w:jc w:val="left"/>
            </w:pPr>
            <w:r>
              <w:t>2D92</w:t>
            </w:r>
          </w:p>
        </w:tc>
        <w:tc>
          <w:tcPr>
            <w:tcW w:w="1381"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0</w:t>
            </w:r>
          </w:p>
        </w:tc>
        <w:tc>
          <w:tcPr>
            <w:tcW w:w="1381"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0.0</w:t>
            </w:r>
          </w:p>
        </w:tc>
        <w:tc>
          <w:tcPr>
            <w:tcW w:w="1381"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1</w:t>
            </w:r>
          </w:p>
        </w:tc>
        <w:tc>
          <w:tcPr>
            <w:tcW w:w="1381"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5.56</w:t>
            </w:r>
          </w:p>
        </w:tc>
      </w:tr>
      <w:tr w:rsidR="00543912">
        <w:trPr>
          <w:trHeight w:val="239"/>
        </w:trPr>
        <w:tc>
          <w:tcPr>
            <w:tcW w:w="874" w:type="dxa"/>
            <w:tcBorders>
              <w:top w:val="nil"/>
              <w:left w:val="single" w:sz="3" w:space="0" w:color="000000"/>
              <w:bottom w:val="nil"/>
              <w:right w:val="single" w:sz="3" w:space="0" w:color="000000"/>
            </w:tcBorders>
          </w:tcPr>
          <w:p w:rsidR="00543912" w:rsidRDefault="00000000">
            <w:pPr>
              <w:spacing w:after="0" w:line="259" w:lineRule="auto"/>
              <w:ind w:left="0" w:right="0" w:firstLine="0"/>
              <w:jc w:val="left"/>
            </w:pPr>
            <w:r>
              <w:t>3ZCW</w:t>
            </w:r>
          </w:p>
        </w:tc>
        <w:tc>
          <w:tcPr>
            <w:tcW w:w="1381"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115</w:t>
            </w:r>
          </w:p>
        </w:tc>
        <w:tc>
          <w:tcPr>
            <w:tcW w:w="1381"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45.1</w:t>
            </w:r>
          </w:p>
        </w:tc>
        <w:tc>
          <w:tcPr>
            <w:tcW w:w="1381"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76</w:t>
            </w:r>
          </w:p>
        </w:tc>
        <w:tc>
          <w:tcPr>
            <w:tcW w:w="1381"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60.32</w:t>
            </w:r>
          </w:p>
        </w:tc>
      </w:tr>
      <w:tr w:rsidR="00543912">
        <w:trPr>
          <w:trHeight w:val="239"/>
        </w:trPr>
        <w:tc>
          <w:tcPr>
            <w:tcW w:w="874" w:type="dxa"/>
            <w:tcBorders>
              <w:top w:val="nil"/>
              <w:left w:val="single" w:sz="3" w:space="0" w:color="000000"/>
              <w:bottom w:val="nil"/>
              <w:right w:val="single" w:sz="3" w:space="0" w:color="000000"/>
            </w:tcBorders>
          </w:tcPr>
          <w:p w:rsidR="00543912" w:rsidRDefault="00000000">
            <w:pPr>
              <w:spacing w:after="0" w:line="259" w:lineRule="auto"/>
              <w:ind w:left="0" w:right="0" w:firstLine="0"/>
              <w:jc w:val="left"/>
            </w:pPr>
            <w:r>
              <w:t>1HY7</w:t>
            </w:r>
          </w:p>
        </w:tc>
        <w:tc>
          <w:tcPr>
            <w:tcW w:w="1381"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12</w:t>
            </w:r>
          </w:p>
        </w:tc>
        <w:tc>
          <w:tcPr>
            <w:tcW w:w="1381"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80.0</w:t>
            </w:r>
          </w:p>
        </w:tc>
        <w:tc>
          <w:tcPr>
            <w:tcW w:w="1381"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40</w:t>
            </w:r>
          </w:p>
        </w:tc>
        <w:tc>
          <w:tcPr>
            <w:tcW w:w="1381"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72.73</w:t>
            </w:r>
          </w:p>
        </w:tc>
      </w:tr>
      <w:tr w:rsidR="00543912">
        <w:trPr>
          <w:trHeight w:val="239"/>
        </w:trPr>
        <w:tc>
          <w:tcPr>
            <w:tcW w:w="874" w:type="dxa"/>
            <w:tcBorders>
              <w:top w:val="nil"/>
              <w:left w:val="single" w:sz="3" w:space="0" w:color="000000"/>
              <w:bottom w:val="nil"/>
              <w:right w:val="single" w:sz="3" w:space="0" w:color="000000"/>
            </w:tcBorders>
          </w:tcPr>
          <w:p w:rsidR="00543912" w:rsidRDefault="00000000">
            <w:pPr>
              <w:spacing w:after="0" w:line="259" w:lineRule="auto"/>
              <w:ind w:left="0" w:right="0" w:firstLine="0"/>
              <w:jc w:val="left"/>
            </w:pPr>
            <w:r>
              <w:t>5WQC</w:t>
            </w:r>
          </w:p>
        </w:tc>
        <w:tc>
          <w:tcPr>
            <w:tcW w:w="1381"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65</w:t>
            </w:r>
          </w:p>
        </w:tc>
        <w:tc>
          <w:tcPr>
            <w:tcW w:w="1381"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90.28</w:t>
            </w:r>
          </w:p>
        </w:tc>
        <w:tc>
          <w:tcPr>
            <w:tcW w:w="1381"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55</w:t>
            </w:r>
          </w:p>
        </w:tc>
        <w:tc>
          <w:tcPr>
            <w:tcW w:w="1381"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74.32</w:t>
            </w:r>
          </w:p>
        </w:tc>
      </w:tr>
      <w:tr w:rsidR="00543912">
        <w:trPr>
          <w:trHeight w:val="239"/>
        </w:trPr>
        <w:tc>
          <w:tcPr>
            <w:tcW w:w="874" w:type="dxa"/>
            <w:tcBorders>
              <w:top w:val="nil"/>
              <w:left w:val="single" w:sz="3" w:space="0" w:color="000000"/>
              <w:bottom w:val="nil"/>
              <w:right w:val="single" w:sz="3" w:space="0" w:color="000000"/>
            </w:tcBorders>
          </w:tcPr>
          <w:p w:rsidR="00543912" w:rsidRDefault="00000000">
            <w:pPr>
              <w:spacing w:after="0" w:line="259" w:lineRule="auto"/>
              <w:ind w:left="0" w:right="0" w:firstLine="0"/>
              <w:jc w:val="left"/>
            </w:pPr>
            <w:r>
              <w:t>7WC8</w:t>
            </w:r>
          </w:p>
        </w:tc>
        <w:tc>
          <w:tcPr>
            <w:tcW w:w="1381"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555</w:t>
            </w:r>
          </w:p>
        </w:tc>
        <w:tc>
          <w:tcPr>
            <w:tcW w:w="1381"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66.87</w:t>
            </w:r>
          </w:p>
        </w:tc>
        <w:tc>
          <w:tcPr>
            <w:tcW w:w="1381"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366</w:t>
            </w:r>
          </w:p>
        </w:tc>
        <w:tc>
          <w:tcPr>
            <w:tcW w:w="1381"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80.09</w:t>
            </w:r>
          </w:p>
        </w:tc>
      </w:tr>
      <w:tr w:rsidR="00543912">
        <w:trPr>
          <w:trHeight w:val="239"/>
        </w:trPr>
        <w:tc>
          <w:tcPr>
            <w:tcW w:w="874" w:type="dxa"/>
            <w:tcBorders>
              <w:top w:val="nil"/>
              <w:left w:val="single" w:sz="3" w:space="0" w:color="000000"/>
              <w:bottom w:val="nil"/>
              <w:right w:val="single" w:sz="3" w:space="0" w:color="000000"/>
            </w:tcBorders>
          </w:tcPr>
          <w:p w:rsidR="00543912" w:rsidRDefault="00000000">
            <w:pPr>
              <w:spacing w:after="0" w:line="259" w:lineRule="auto"/>
              <w:ind w:left="0" w:right="0" w:firstLine="0"/>
              <w:jc w:val="left"/>
            </w:pPr>
            <w:r>
              <w:t>4EAR</w:t>
            </w:r>
          </w:p>
        </w:tc>
        <w:tc>
          <w:tcPr>
            <w:tcW w:w="1381"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3</w:t>
            </w:r>
          </w:p>
        </w:tc>
        <w:tc>
          <w:tcPr>
            <w:tcW w:w="1381"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4.76</w:t>
            </w:r>
          </w:p>
        </w:tc>
        <w:tc>
          <w:tcPr>
            <w:tcW w:w="1381"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10</w:t>
            </w:r>
          </w:p>
        </w:tc>
        <w:tc>
          <w:tcPr>
            <w:tcW w:w="1381"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23.81</w:t>
            </w:r>
          </w:p>
        </w:tc>
      </w:tr>
      <w:tr w:rsidR="00543912">
        <w:trPr>
          <w:trHeight w:val="239"/>
        </w:trPr>
        <w:tc>
          <w:tcPr>
            <w:tcW w:w="874" w:type="dxa"/>
            <w:tcBorders>
              <w:top w:val="nil"/>
              <w:left w:val="single" w:sz="3" w:space="0" w:color="000000"/>
              <w:bottom w:val="nil"/>
              <w:right w:val="single" w:sz="3" w:space="0" w:color="000000"/>
            </w:tcBorders>
          </w:tcPr>
          <w:p w:rsidR="00543912" w:rsidRDefault="00000000">
            <w:pPr>
              <w:spacing w:after="0" w:line="259" w:lineRule="auto"/>
              <w:ind w:left="0" w:right="0" w:firstLine="0"/>
              <w:jc w:val="left"/>
            </w:pPr>
            <w:r>
              <w:t>8V3O</w:t>
            </w:r>
          </w:p>
        </w:tc>
        <w:tc>
          <w:tcPr>
            <w:tcW w:w="1381"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11</w:t>
            </w:r>
          </w:p>
        </w:tc>
        <w:tc>
          <w:tcPr>
            <w:tcW w:w="1381"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6.75</w:t>
            </w:r>
          </w:p>
        </w:tc>
        <w:tc>
          <w:tcPr>
            <w:tcW w:w="1381"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5</w:t>
            </w:r>
          </w:p>
        </w:tc>
        <w:tc>
          <w:tcPr>
            <w:tcW w:w="1381"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10.87</w:t>
            </w:r>
          </w:p>
        </w:tc>
      </w:tr>
      <w:tr w:rsidR="00543912">
        <w:trPr>
          <w:trHeight w:val="241"/>
        </w:trPr>
        <w:tc>
          <w:tcPr>
            <w:tcW w:w="874" w:type="dxa"/>
            <w:tcBorders>
              <w:top w:val="nil"/>
              <w:left w:val="single" w:sz="3" w:space="0" w:color="000000"/>
              <w:bottom w:val="single" w:sz="3" w:space="0" w:color="000000"/>
              <w:right w:val="single" w:sz="3" w:space="0" w:color="000000"/>
            </w:tcBorders>
          </w:tcPr>
          <w:p w:rsidR="00543912" w:rsidRDefault="00000000">
            <w:pPr>
              <w:spacing w:after="0" w:line="259" w:lineRule="auto"/>
              <w:ind w:left="0" w:right="0" w:firstLine="0"/>
              <w:jc w:val="left"/>
            </w:pPr>
            <w:r>
              <w:t>4A69</w:t>
            </w:r>
          </w:p>
        </w:tc>
        <w:tc>
          <w:tcPr>
            <w:tcW w:w="1381" w:type="dxa"/>
            <w:tcBorders>
              <w:top w:val="nil"/>
              <w:left w:val="single" w:sz="3" w:space="0" w:color="000000"/>
              <w:bottom w:val="single" w:sz="3" w:space="0" w:color="000000"/>
              <w:right w:val="single" w:sz="3" w:space="0" w:color="000000"/>
            </w:tcBorders>
          </w:tcPr>
          <w:p w:rsidR="00543912" w:rsidRDefault="00000000">
            <w:pPr>
              <w:spacing w:after="0" w:line="259" w:lineRule="auto"/>
              <w:ind w:left="0" w:right="8" w:firstLine="0"/>
              <w:jc w:val="center"/>
            </w:pPr>
            <w:r>
              <w:t>0</w:t>
            </w:r>
          </w:p>
        </w:tc>
        <w:tc>
          <w:tcPr>
            <w:tcW w:w="1381" w:type="dxa"/>
            <w:tcBorders>
              <w:top w:val="nil"/>
              <w:left w:val="single" w:sz="3" w:space="0" w:color="000000"/>
              <w:bottom w:val="single" w:sz="3" w:space="0" w:color="000000"/>
              <w:right w:val="single" w:sz="3" w:space="0" w:color="000000"/>
            </w:tcBorders>
          </w:tcPr>
          <w:p w:rsidR="00543912" w:rsidRDefault="00000000">
            <w:pPr>
              <w:spacing w:after="0" w:line="259" w:lineRule="auto"/>
              <w:ind w:left="0" w:right="8" w:firstLine="0"/>
              <w:jc w:val="center"/>
            </w:pPr>
            <w:r>
              <w:t>0.0</w:t>
            </w:r>
          </w:p>
        </w:tc>
        <w:tc>
          <w:tcPr>
            <w:tcW w:w="1381" w:type="dxa"/>
            <w:tcBorders>
              <w:top w:val="nil"/>
              <w:left w:val="single" w:sz="3" w:space="0" w:color="000000"/>
              <w:bottom w:val="single" w:sz="3" w:space="0" w:color="000000"/>
              <w:right w:val="single" w:sz="3" w:space="0" w:color="000000"/>
            </w:tcBorders>
          </w:tcPr>
          <w:p w:rsidR="00543912" w:rsidRDefault="00000000">
            <w:pPr>
              <w:spacing w:after="0" w:line="259" w:lineRule="auto"/>
              <w:ind w:left="0" w:right="8" w:firstLine="0"/>
              <w:jc w:val="center"/>
            </w:pPr>
            <w:r>
              <w:t>57</w:t>
            </w:r>
          </w:p>
        </w:tc>
        <w:tc>
          <w:tcPr>
            <w:tcW w:w="1381" w:type="dxa"/>
            <w:tcBorders>
              <w:top w:val="nil"/>
              <w:left w:val="single" w:sz="3" w:space="0" w:color="000000"/>
              <w:bottom w:val="single" w:sz="3" w:space="0" w:color="000000"/>
              <w:right w:val="single" w:sz="3" w:space="0" w:color="000000"/>
            </w:tcBorders>
          </w:tcPr>
          <w:p w:rsidR="00543912" w:rsidRDefault="00000000">
            <w:pPr>
              <w:spacing w:after="0" w:line="259" w:lineRule="auto"/>
              <w:ind w:left="0" w:right="8" w:firstLine="0"/>
              <w:jc w:val="center"/>
            </w:pPr>
            <w:r>
              <w:t>29.69</w:t>
            </w:r>
          </w:p>
        </w:tc>
      </w:tr>
    </w:tbl>
    <w:p w:rsidR="00543912" w:rsidRDefault="00000000">
      <w:pPr>
        <w:spacing w:after="0" w:line="259" w:lineRule="auto"/>
        <w:ind w:left="120" w:right="474"/>
        <w:jc w:val="center"/>
      </w:pPr>
      <w:r>
        <w:t>Table 2: Performance against test set minimum affinity values</w:t>
      </w:r>
    </w:p>
    <w:tbl>
      <w:tblPr>
        <w:tblStyle w:val="TableGrid"/>
        <w:tblW w:w="9699" w:type="dxa"/>
        <w:tblInd w:w="4" w:type="dxa"/>
        <w:tblCellMar>
          <w:top w:w="30" w:type="dxa"/>
          <w:left w:w="124" w:type="dxa"/>
          <w:bottom w:w="0" w:type="dxa"/>
          <w:right w:w="115" w:type="dxa"/>
        </w:tblCellMar>
        <w:tblLook w:val="04A0" w:firstRow="1" w:lastRow="0" w:firstColumn="1" w:lastColumn="0" w:noHBand="0" w:noVBand="1"/>
      </w:tblPr>
      <w:tblGrid>
        <w:gridCol w:w="875"/>
        <w:gridCol w:w="2025"/>
        <w:gridCol w:w="3510"/>
        <w:gridCol w:w="3289"/>
      </w:tblGrid>
      <w:tr w:rsidR="00543912">
        <w:trPr>
          <w:trHeight w:val="247"/>
        </w:trPr>
        <w:tc>
          <w:tcPr>
            <w:tcW w:w="874" w:type="dxa"/>
            <w:tcBorders>
              <w:top w:val="single" w:sz="3" w:space="0" w:color="000000"/>
              <w:left w:val="single" w:sz="3" w:space="0" w:color="000000"/>
              <w:bottom w:val="single" w:sz="3" w:space="0" w:color="000000"/>
              <w:right w:val="single" w:sz="3" w:space="0" w:color="000000"/>
            </w:tcBorders>
          </w:tcPr>
          <w:p w:rsidR="00543912" w:rsidRDefault="00000000">
            <w:pPr>
              <w:spacing w:after="0" w:line="259" w:lineRule="auto"/>
              <w:ind w:left="0" w:right="0" w:firstLine="0"/>
              <w:jc w:val="left"/>
            </w:pPr>
            <w:r>
              <w:t>Protein</w:t>
            </w:r>
          </w:p>
        </w:tc>
        <w:tc>
          <w:tcPr>
            <w:tcW w:w="2025" w:type="dxa"/>
            <w:tcBorders>
              <w:top w:val="single" w:sz="3" w:space="0" w:color="000000"/>
              <w:left w:val="single" w:sz="3" w:space="0" w:color="000000"/>
              <w:bottom w:val="single" w:sz="3" w:space="0" w:color="000000"/>
              <w:right w:val="single" w:sz="3" w:space="0" w:color="000000"/>
            </w:tcBorders>
          </w:tcPr>
          <w:p w:rsidR="00543912" w:rsidRDefault="00000000">
            <w:pPr>
              <w:spacing w:after="0" w:line="259" w:lineRule="auto"/>
              <w:ind w:left="0" w:right="0" w:firstLine="0"/>
              <w:jc w:val="left"/>
            </w:pPr>
            <w:r>
              <w:t>Test Best (min value)</w:t>
            </w:r>
          </w:p>
        </w:tc>
        <w:tc>
          <w:tcPr>
            <w:tcW w:w="3510" w:type="dxa"/>
            <w:tcBorders>
              <w:top w:val="single" w:sz="3" w:space="0" w:color="000000"/>
              <w:left w:val="single" w:sz="3" w:space="0" w:color="000000"/>
              <w:bottom w:val="single" w:sz="3" w:space="0" w:color="000000"/>
              <w:right w:val="single" w:sz="3" w:space="0" w:color="000000"/>
            </w:tcBorders>
          </w:tcPr>
          <w:p w:rsidR="00543912" w:rsidRDefault="00000000">
            <w:pPr>
              <w:spacing w:after="0" w:line="259" w:lineRule="auto"/>
              <w:ind w:left="0" w:right="0" w:firstLine="0"/>
              <w:jc w:val="left"/>
            </w:pPr>
            <w:r>
              <w:t>Num Generated Better Than Test Best</w:t>
            </w:r>
          </w:p>
        </w:tc>
        <w:tc>
          <w:tcPr>
            <w:tcW w:w="3289" w:type="dxa"/>
            <w:tcBorders>
              <w:top w:val="single" w:sz="3" w:space="0" w:color="000000"/>
              <w:left w:val="single" w:sz="3" w:space="0" w:color="000000"/>
              <w:bottom w:val="single" w:sz="3" w:space="0" w:color="000000"/>
              <w:right w:val="single" w:sz="3" w:space="0" w:color="000000"/>
            </w:tcBorders>
          </w:tcPr>
          <w:p w:rsidR="00543912" w:rsidRDefault="00000000">
            <w:pPr>
              <w:spacing w:after="0" w:line="259" w:lineRule="auto"/>
              <w:ind w:left="0" w:right="0" w:firstLine="0"/>
              <w:jc w:val="left"/>
            </w:pPr>
            <w:r>
              <w:t>% Generated Better Than Test Best</w:t>
            </w:r>
          </w:p>
        </w:tc>
      </w:tr>
      <w:tr w:rsidR="00543912">
        <w:trPr>
          <w:trHeight w:val="245"/>
        </w:trPr>
        <w:tc>
          <w:tcPr>
            <w:tcW w:w="874" w:type="dxa"/>
            <w:tcBorders>
              <w:top w:val="single" w:sz="3" w:space="0" w:color="000000"/>
              <w:left w:val="single" w:sz="3" w:space="0" w:color="000000"/>
              <w:bottom w:val="nil"/>
              <w:right w:val="single" w:sz="3" w:space="0" w:color="000000"/>
            </w:tcBorders>
          </w:tcPr>
          <w:p w:rsidR="00543912" w:rsidRDefault="00000000">
            <w:pPr>
              <w:spacing w:after="0" w:line="259" w:lineRule="auto"/>
              <w:ind w:left="0" w:right="0" w:firstLine="0"/>
              <w:jc w:val="left"/>
            </w:pPr>
            <w:r>
              <w:t>3D59</w:t>
            </w:r>
          </w:p>
        </w:tc>
        <w:tc>
          <w:tcPr>
            <w:tcW w:w="2025" w:type="dxa"/>
            <w:tcBorders>
              <w:top w:val="single" w:sz="3" w:space="0" w:color="000000"/>
              <w:left w:val="single" w:sz="3" w:space="0" w:color="000000"/>
              <w:bottom w:val="nil"/>
              <w:right w:val="single" w:sz="3" w:space="0" w:color="000000"/>
            </w:tcBorders>
          </w:tcPr>
          <w:p w:rsidR="00543912" w:rsidRDefault="00000000">
            <w:pPr>
              <w:spacing w:after="0" w:line="259" w:lineRule="auto"/>
              <w:ind w:left="0" w:right="8" w:firstLine="0"/>
              <w:jc w:val="center"/>
            </w:pPr>
            <w:r>
              <w:t>-9.48</w:t>
            </w:r>
          </w:p>
        </w:tc>
        <w:tc>
          <w:tcPr>
            <w:tcW w:w="3510" w:type="dxa"/>
            <w:tcBorders>
              <w:top w:val="single" w:sz="3" w:space="0" w:color="000000"/>
              <w:left w:val="single" w:sz="3" w:space="0" w:color="000000"/>
              <w:bottom w:val="nil"/>
              <w:right w:val="single" w:sz="3" w:space="0" w:color="000000"/>
            </w:tcBorders>
          </w:tcPr>
          <w:p w:rsidR="00543912" w:rsidRDefault="00000000">
            <w:pPr>
              <w:spacing w:after="0" w:line="259" w:lineRule="auto"/>
              <w:ind w:left="0" w:right="8" w:firstLine="0"/>
              <w:jc w:val="center"/>
            </w:pPr>
            <w:r>
              <w:t>6</w:t>
            </w:r>
          </w:p>
        </w:tc>
        <w:tc>
          <w:tcPr>
            <w:tcW w:w="3289" w:type="dxa"/>
            <w:tcBorders>
              <w:top w:val="single" w:sz="3" w:space="0" w:color="000000"/>
              <w:left w:val="single" w:sz="3" w:space="0" w:color="000000"/>
              <w:bottom w:val="nil"/>
              <w:right w:val="single" w:sz="3" w:space="0" w:color="000000"/>
            </w:tcBorders>
          </w:tcPr>
          <w:p w:rsidR="00543912" w:rsidRDefault="00000000">
            <w:pPr>
              <w:spacing w:after="0" w:line="259" w:lineRule="auto"/>
              <w:ind w:left="0" w:right="8" w:firstLine="0"/>
              <w:jc w:val="center"/>
            </w:pPr>
            <w:r>
              <w:t>6.59</w:t>
            </w:r>
          </w:p>
        </w:tc>
      </w:tr>
      <w:tr w:rsidR="00543912">
        <w:trPr>
          <w:trHeight w:val="239"/>
        </w:trPr>
        <w:tc>
          <w:tcPr>
            <w:tcW w:w="874" w:type="dxa"/>
            <w:tcBorders>
              <w:top w:val="nil"/>
              <w:left w:val="single" w:sz="3" w:space="0" w:color="000000"/>
              <w:bottom w:val="nil"/>
              <w:right w:val="single" w:sz="3" w:space="0" w:color="000000"/>
            </w:tcBorders>
          </w:tcPr>
          <w:p w:rsidR="00543912" w:rsidRDefault="00000000">
            <w:pPr>
              <w:spacing w:after="0" w:line="259" w:lineRule="auto"/>
              <w:ind w:left="0" w:right="0" w:firstLine="0"/>
              <w:jc w:val="left"/>
            </w:pPr>
            <w:r>
              <w:t>6Y3C</w:t>
            </w:r>
          </w:p>
        </w:tc>
        <w:tc>
          <w:tcPr>
            <w:tcW w:w="2025"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-9.67</w:t>
            </w:r>
          </w:p>
        </w:tc>
        <w:tc>
          <w:tcPr>
            <w:tcW w:w="3510"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25</w:t>
            </w:r>
          </w:p>
        </w:tc>
        <w:tc>
          <w:tcPr>
            <w:tcW w:w="3289"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9.26</w:t>
            </w:r>
          </w:p>
        </w:tc>
      </w:tr>
      <w:tr w:rsidR="00543912">
        <w:trPr>
          <w:trHeight w:val="239"/>
        </w:trPr>
        <w:tc>
          <w:tcPr>
            <w:tcW w:w="874" w:type="dxa"/>
            <w:tcBorders>
              <w:top w:val="nil"/>
              <w:left w:val="single" w:sz="3" w:space="0" w:color="000000"/>
              <w:bottom w:val="nil"/>
              <w:right w:val="single" w:sz="3" w:space="0" w:color="000000"/>
            </w:tcBorders>
          </w:tcPr>
          <w:p w:rsidR="00543912" w:rsidRDefault="00000000">
            <w:pPr>
              <w:spacing w:after="0" w:line="259" w:lineRule="auto"/>
              <w:ind w:left="0" w:right="0" w:firstLine="0"/>
              <w:jc w:val="left"/>
            </w:pPr>
            <w:r>
              <w:t>4XAQ</w:t>
            </w:r>
          </w:p>
        </w:tc>
        <w:tc>
          <w:tcPr>
            <w:tcW w:w="2025"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-9.56</w:t>
            </w:r>
          </w:p>
        </w:tc>
        <w:tc>
          <w:tcPr>
            <w:tcW w:w="3510"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1</w:t>
            </w:r>
          </w:p>
        </w:tc>
        <w:tc>
          <w:tcPr>
            <w:tcW w:w="3289"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0.93</w:t>
            </w:r>
          </w:p>
        </w:tc>
      </w:tr>
      <w:tr w:rsidR="00543912">
        <w:trPr>
          <w:trHeight w:val="239"/>
        </w:trPr>
        <w:tc>
          <w:tcPr>
            <w:tcW w:w="874" w:type="dxa"/>
            <w:tcBorders>
              <w:top w:val="nil"/>
              <w:left w:val="single" w:sz="3" w:space="0" w:color="000000"/>
              <w:bottom w:val="nil"/>
              <w:right w:val="single" w:sz="3" w:space="0" w:color="000000"/>
            </w:tcBorders>
          </w:tcPr>
          <w:p w:rsidR="00543912" w:rsidRDefault="00000000">
            <w:pPr>
              <w:spacing w:after="0" w:line="259" w:lineRule="auto"/>
              <w:ind w:left="0" w:right="0" w:firstLine="0"/>
              <w:jc w:val="left"/>
            </w:pPr>
            <w:r>
              <w:t>3KMR</w:t>
            </w:r>
          </w:p>
        </w:tc>
        <w:tc>
          <w:tcPr>
            <w:tcW w:w="2025"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-13.78</w:t>
            </w:r>
          </w:p>
        </w:tc>
        <w:tc>
          <w:tcPr>
            <w:tcW w:w="3510"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0</w:t>
            </w:r>
          </w:p>
        </w:tc>
        <w:tc>
          <w:tcPr>
            <w:tcW w:w="3289"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0.0</w:t>
            </w:r>
          </w:p>
        </w:tc>
      </w:tr>
      <w:tr w:rsidR="00543912">
        <w:trPr>
          <w:trHeight w:val="239"/>
        </w:trPr>
        <w:tc>
          <w:tcPr>
            <w:tcW w:w="874" w:type="dxa"/>
            <w:tcBorders>
              <w:top w:val="nil"/>
              <w:left w:val="single" w:sz="3" w:space="0" w:color="000000"/>
              <w:bottom w:val="nil"/>
              <w:right w:val="single" w:sz="3" w:space="0" w:color="000000"/>
            </w:tcBorders>
          </w:tcPr>
          <w:p w:rsidR="00543912" w:rsidRDefault="00000000">
            <w:pPr>
              <w:spacing w:after="0" w:line="259" w:lineRule="auto"/>
              <w:ind w:left="0" w:right="0" w:firstLine="0"/>
              <w:jc w:val="left"/>
            </w:pPr>
            <w:r>
              <w:t>2FLU</w:t>
            </w:r>
          </w:p>
        </w:tc>
        <w:tc>
          <w:tcPr>
            <w:tcW w:w="2025"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-11.98</w:t>
            </w:r>
          </w:p>
        </w:tc>
        <w:tc>
          <w:tcPr>
            <w:tcW w:w="3510"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0</w:t>
            </w:r>
          </w:p>
        </w:tc>
        <w:tc>
          <w:tcPr>
            <w:tcW w:w="3289"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0.0</w:t>
            </w:r>
          </w:p>
        </w:tc>
      </w:tr>
      <w:tr w:rsidR="00543912">
        <w:trPr>
          <w:trHeight w:val="239"/>
        </w:trPr>
        <w:tc>
          <w:tcPr>
            <w:tcW w:w="874" w:type="dxa"/>
            <w:tcBorders>
              <w:top w:val="nil"/>
              <w:left w:val="single" w:sz="3" w:space="0" w:color="000000"/>
              <w:bottom w:val="nil"/>
              <w:right w:val="single" w:sz="3" w:space="0" w:color="000000"/>
            </w:tcBorders>
          </w:tcPr>
          <w:p w:rsidR="00543912" w:rsidRDefault="00000000">
            <w:pPr>
              <w:spacing w:after="0" w:line="259" w:lineRule="auto"/>
              <w:ind w:left="0" w:right="0" w:firstLine="0"/>
              <w:jc w:val="left"/>
            </w:pPr>
            <w:r>
              <w:t>7E32</w:t>
            </w:r>
          </w:p>
        </w:tc>
        <w:tc>
          <w:tcPr>
            <w:tcW w:w="2025"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-11.46</w:t>
            </w:r>
          </w:p>
        </w:tc>
        <w:tc>
          <w:tcPr>
            <w:tcW w:w="3510"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0</w:t>
            </w:r>
          </w:p>
        </w:tc>
        <w:tc>
          <w:tcPr>
            <w:tcW w:w="3289"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0.0</w:t>
            </w:r>
          </w:p>
        </w:tc>
      </w:tr>
      <w:tr w:rsidR="00543912">
        <w:trPr>
          <w:trHeight w:val="239"/>
        </w:trPr>
        <w:tc>
          <w:tcPr>
            <w:tcW w:w="874" w:type="dxa"/>
            <w:tcBorders>
              <w:top w:val="nil"/>
              <w:left w:val="single" w:sz="3" w:space="0" w:color="000000"/>
              <w:bottom w:val="nil"/>
              <w:right w:val="single" w:sz="3" w:space="0" w:color="000000"/>
            </w:tcBorders>
          </w:tcPr>
          <w:p w:rsidR="00543912" w:rsidRDefault="00000000">
            <w:pPr>
              <w:spacing w:after="0" w:line="259" w:lineRule="auto"/>
              <w:ind w:left="0" w:right="0" w:firstLine="0"/>
              <w:jc w:val="left"/>
            </w:pPr>
            <w:r>
              <w:t>8YHF</w:t>
            </w:r>
          </w:p>
        </w:tc>
        <w:tc>
          <w:tcPr>
            <w:tcW w:w="2025"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-12.08</w:t>
            </w:r>
          </w:p>
        </w:tc>
        <w:tc>
          <w:tcPr>
            <w:tcW w:w="3510"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0</w:t>
            </w:r>
          </w:p>
        </w:tc>
        <w:tc>
          <w:tcPr>
            <w:tcW w:w="3289"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0.0</w:t>
            </w:r>
          </w:p>
        </w:tc>
      </w:tr>
      <w:tr w:rsidR="00543912">
        <w:trPr>
          <w:trHeight w:val="239"/>
        </w:trPr>
        <w:tc>
          <w:tcPr>
            <w:tcW w:w="874" w:type="dxa"/>
            <w:tcBorders>
              <w:top w:val="nil"/>
              <w:left w:val="single" w:sz="3" w:space="0" w:color="000000"/>
              <w:bottom w:val="nil"/>
              <w:right w:val="single" w:sz="3" w:space="0" w:color="000000"/>
            </w:tcBorders>
          </w:tcPr>
          <w:p w:rsidR="00543912" w:rsidRDefault="00000000">
            <w:pPr>
              <w:spacing w:after="0" w:line="259" w:lineRule="auto"/>
              <w:ind w:left="0" w:right="0" w:firstLine="0"/>
              <w:jc w:val="left"/>
            </w:pPr>
            <w:r>
              <w:t>7DUA</w:t>
            </w:r>
          </w:p>
        </w:tc>
        <w:tc>
          <w:tcPr>
            <w:tcW w:w="2025"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-13.21</w:t>
            </w:r>
          </w:p>
        </w:tc>
        <w:tc>
          <w:tcPr>
            <w:tcW w:w="3510"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0</w:t>
            </w:r>
          </w:p>
        </w:tc>
        <w:tc>
          <w:tcPr>
            <w:tcW w:w="3289"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0.0</w:t>
            </w:r>
          </w:p>
        </w:tc>
      </w:tr>
      <w:tr w:rsidR="00543912">
        <w:trPr>
          <w:trHeight w:val="239"/>
        </w:trPr>
        <w:tc>
          <w:tcPr>
            <w:tcW w:w="874" w:type="dxa"/>
            <w:tcBorders>
              <w:top w:val="nil"/>
              <w:left w:val="single" w:sz="3" w:space="0" w:color="000000"/>
              <w:bottom w:val="nil"/>
              <w:right w:val="single" w:sz="3" w:space="0" w:color="000000"/>
            </w:tcBorders>
          </w:tcPr>
          <w:p w:rsidR="00543912" w:rsidRDefault="00000000">
            <w:pPr>
              <w:spacing w:after="0" w:line="259" w:lineRule="auto"/>
              <w:ind w:left="0" w:right="0" w:firstLine="0"/>
              <w:jc w:val="left"/>
            </w:pPr>
            <w:r>
              <w:t>8X8L</w:t>
            </w:r>
          </w:p>
        </w:tc>
        <w:tc>
          <w:tcPr>
            <w:tcW w:w="2025"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-9.97</w:t>
            </w:r>
          </w:p>
        </w:tc>
        <w:tc>
          <w:tcPr>
            <w:tcW w:w="3510"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4</w:t>
            </w:r>
          </w:p>
        </w:tc>
        <w:tc>
          <w:tcPr>
            <w:tcW w:w="3289"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10.81</w:t>
            </w:r>
          </w:p>
        </w:tc>
      </w:tr>
      <w:tr w:rsidR="00543912">
        <w:trPr>
          <w:trHeight w:val="239"/>
        </w:trPr>
        <w:tc>
          <w:tcPr>
            <w:tcW w:w="874" w:type="dxa"/>
            <w:tcBorders>
              <w:top w:val="nil"/>
              <w:left w:val="single" w:sz="3" w:space="0" w:color="000000"/>
              <w:bottom w:val="nil"/>
              <w:right w:val="single" w:sz="3" w:space="0" w:color="000000"/>
            </w:tcBorders>
          </w:tcPr>
          <w:p w:rsidR="00543912" w:rsidRDefault="00000000">
            <w:pPr>
              <w:spacing w:after="0" w:line="259" w:lineRule="auto"/>
              <w:ind w:left="0" w:right="0" w:firstLine="0"/>
              <w:jc w:val="left"/>
            </w:pPr>
            <w:r>
              <w:t>2D92</w:t>
            </w:r>
          </w:p>
        </w:tc>
        <w:tc>
          <w:tcPr>
            <w:tcW w:w="2025"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-7.63</w:t>
            </w:r>
          </w:p>
        </w:tc>
        <w:tc>
          <w:tcPr>
            <w:tcW w:w="3510"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2</w:t>
            </w:r>
          </w:p>
        </w:tc>
        <w:tc>
          <w:tcPr>
            <w:tcW w:w="3289"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11.11</w:t>
            </w:r>
          </w:p>
        </w:tc>
      </w:tr>
      <w:tr w:rsidR="00543912">
        <w:trPr>
          <w:trHeight w:val="239"/>
        </w:trPr>
        <w:tc>
          <w:tcPr>
            <w:tcW w:w="874" w:type="dxa"/>
            <w:tcBorders>
              <w:top w:val="nil"/>
              <w:left w:val="single" w:sz="3" w:space="0" w:color="000000"/>
              <w:bottom w:val="nil"/>
              <w:right w:val="single" w:sz="3" w:space="0" w:color="000000"/>
            </w:tcBorders>
          </w:tcPr>
          <w:p w:rsidR="00543912" w:rsidRDefault="00000000">
            <w:pPr>
              <w:spacing w:after="0" w:line="259" w:lineRule="auto"/>
              <w:ind w:left="0" w:right="0" w:firstLine="0"/>
              <w:jc w:val="left"/>
            </w:pPr>
            <w:r>
              <w:t>3ZCW</w:t>
            </w:r>
          </w:p>
        </w:tc>
        <w:tc>
          <w:tcPr>
            <w:tcW w:w="2025"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-10.16</w:t>
            </w:r>
          </w:p>
        </w:tc>
        <w:tc>
          <w:tcPr>
            <w:tcW w:w="3510"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5</w:t>
            </w:r>
          </w:p>
        </w:tc>
        <w:tc>
          <w:tcPr>
            <w:tcW w:w="3289"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3.97</w:t>
            </w:r>
          </w:p>
        </w:tc>
      </w:tr>
      <w:tr w:rsidR="00543912">
        <w:trPr>
          <w:trHeight w:val="239"/>
        </w:trPr>
        <w:tc>
          <w:tcPr>
            <w:tcW w:w="874" w:type="dxa"/>
            <w:tcBorders>
              <w:top w:val="nil"/>
              <w:left w:val="single" w:sz="3" w:space="0" w:color="000000"/>
              <w:bottom w:val="nil"/>
              <w:right w:val="single" w:sz="3" w:space="0" w:color="000000"/>
            </w:tcBorders>
          </w:tcPr>
          <w:p w:rsidR="00543912" w:rsidRDefault="00000000">
            <w:pPr>
              <w:spacing w:after="0" w:line="259" w:lineRule="auto"/>
              <w:ind w:left="0" w:right="0" w:firstLine="0"/>
              <w:jc w:val="left"/>
            </w:pPr>
            <w:r>
              <w:t>1HY7</w:t>
            </w:r>
          </w:p>
        </w:tc>
        <w:tc>
          <w:tcPr>
            <w:tcW w:w="2025"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-10.24</w:t>
            </w:r>
          </w:p>
        </w:tc>
        <w:tc>
          <w:tcPr>
            <w:tcW w:w="3510"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8</w:t>
            </w:r>
          </w:p>
        </w:tc>
        <w:tc>
          <w:tcPr>
            <w:tcW w:w="3289"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14.55</w:t>
            </w:r>
          </w:p>
        </w:tc>
      </w:tr>
      <w:tr w:rsidR="00543912">
        <w:trPr>
          <w:trHeight w:val="239"/>
        </w:trPr>
        <w:tc>
          <w:tcPr>
            <w:tcW w:w="874" w:type="dxa"/>
            <w:tcBorders>
              <w:top w:val="nil"/>
              <w:left w:val="single" w:sz="3" w:space="0" w:color="000000"/>
              <w:bottom w:val="nil"/>
              <w:right w:val="single" w:sz="3" w:space="0" w:color="000000"/>
            </w:tcBorders>
          </w:tcPr>
          <w:p w:rsidR="00543912" w:rsidRDefault="00000000">
            <w:pPr>
              <w:spacing w:after="0" w:line="259" w:lineRule="auto"/>
              <w:ind w:left="0" w:right="0" w:firstLine="0"/>
              <w:jc w:val="left"/>
            </w:pPr>
            <w:r>
              <w:t>5WQC</w:t>
            </w:r>
          </w:p>
        </w:tc>
        <w:tc>
          <w:tcPr>
            <w:tcW w:w="2025"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-11.46</w:t>
            </w:r>
          </w:p>
        </w:tc>
        <w:tc>
          <w:tcPr>
            <w:tcW w:w="3510"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0</w:t>
            </w:r>
          </w:p>
        </w:tc>
        <w:tc>
          <w:tcPr>
            <w:tcW w:w="3289"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0.0</w:t>
            </w:r>
          </w:p>
        </w:tc>
      </w:tr>
      <w:tr w:rsidR="00543912">
        <w:trPr>
          <w:trHeight w:val="239"/>
        </w:trPr>
        <w:tc>
          <w:tcPr>
            <w:tcW w:w="874" w:type="dxa"/>
            <w:tcBorders>
              <w:top w:val="nil"/>
              <w:left w:val="single" w:sz="3" w:space="0" w:color="000000"/>
              <w:bottom w:val="nil"/>
              <w:right w:val="single" w:sz="3" w:space="0" w:color="000000"/>
            </w:tcBorders>
          </w:tcPr>
          <w:p w:rsidR="00543912" w:rsidRDefault="00000000">
            <w:pPr>
              <w:spacing w:after="0" w:line="259" w:lineRule="auto"/>
              <w:ind w:left="0" w:right="0" w:firstLine="0"/>
              <w:jc w:val="left"/>
            </w:pPr>
            <w:r>
              <w:t>7WC8</w:t>
            </w:r>
          </w:p>
        </w:tc>
        <w:tc>
          <w:tcPr>
            <w:tcW w:w="2025"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-12.55</w:t>
            </w:r>
          </w:p>
        </w:tc>
        <w:tc>
          <w:tcPr>
            <w:tcW w:w="3510"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1</w:t>
            </w:r>
          </w:p>
        </w:tc>
        <w:tc>
          <w:tcPr>
            <w:tcW w:w="3289"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0.22</w:t>
            </w:r>
          </w:p>
        </w:tc>
      </w:tr>
      <w:tr w:rsidR="00543912">
        <w:trPr>
          <w:trHeight w:val="239"/>
        </w:trPr>
        <w:tc>
          <w:tcPr>
            <w:tcW w:w="874" w:type="dxa"/>
            <w:tcBorders>
              <w:top w:val="nil"/>
              <w:left w:val="single" w:sz="3" w:space="0" w:color="000000"/>
              <w:bottom w:val="nil"/>
              <w:right w:val="single" w:sz="3" w:space="0" w:color="000000"/>
            </w:tcBorders>
          </w:tcPr>
          <w:p w:rsidR="00543912" w:rsidRDefault="00000000">
            <w:pPr>
              <w:spacing w:after="0" w:line="259" w:lineRule="auto"/>
              <w:ind w:left="0" w:right="0" w:firstLine="0"/>
              <w:jc w:val="left"/>
            </w:pPr>
            <w:r>
              <w:t>4EAR</w:t>
            </w:r>
          </w:p>
        </w:tc>
        <w:tc>
          <w:tcPr>
            <w:tcW w:w="2025"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-9.41</w:t>
            </w:r>
          </w:p>
        </w:tc>
        <w:tc>
          <w:tcPr>
            <w:tcW w:w="3510"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0</w:t>
            </w:r>
          </w:p>
        </w:tc>
        <w:tc>
          <w:tcPr>
            <w:tcW w:w="3289"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0.0</w:t>
            </w:r>
          </w:p>
        </w:tc>
      </w:tr>
      <w:tr w:rsidR="00543912">
        <w:trPr>
          <w:trHeight w:val="239"/>
        </w:trPr>
        <w:tc>
          <w:tcPr>
            <w:tcW w:w="874" w:type="dxa"/>
            <w:tcBorders>
              <w:top w:val="nil"/>
              <w:left w:val="single" w:sz="3" w:space="0" w:color="000000"/>
              <w:bottom w:val="nil"/>
              <w:right w:val="single" w:sz="3" w:space="0" w:color="000000"/>
            </w:tcBorders>
          </w:tcPr>
          <w:p w:rsidR="00543912" w:rsidRDefault="00000000">
            <w:pPr>
              <w:spacing w:after="0" w:line="259" w:lineRule="auto"/>
              <w:ind w:left="0" w:right="0" w:firstLine="0"/>
              <w:jc w:val="left"/>
            </w:pPr>
            <w:r>
              <w:t>8V3O</w:t>
            </w:r>
          </w:p>
        </w:tc>
        <w:tc>
          <w:tcPr>
            <w:tcW w:w="2025"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-9.04</w:t>
            </w:r>
          </w:p>
        </w:tc>
        <w:tc>
          <w:tcPr>
            <w:tcW w:w="3510"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0</w:t>
            </w:r>
          </w:p>
        </w:tc>
        <w:tc>
          <w:tcPr>
            <w:tcW w:w="3289"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0.0</w:t>
            </w:r>
          </w:p>
        </w:tc>
      </w:tr>
      <w:tr w:rsidR="00543912">
        <w:trPr>
          <w:trHeight w:val="241"/>
        </w:trPr>
        <w:tc>
          <w:tcPr>
            <w:tcW w:w="874" w:type="dxa"/>
            <w:tcBorders>
              <w:top w:val="nil"/>
              <w:left w:val="single" w:sz="3" w:space="0" w:color="000000"/>
              <w:bottom w:val="single" w:sz="3" w:space="0" w:color="000000"/>
              <w:right w:val="single" w:sz="3" w:space="0" w:color="000000"/>
            </w:tcBorders>
          </w:tcPr>
          <w:p w:rsidR="00543912" w:rsidRDefault="00000000">
            <w:pPr>
              <w:spacing w:after="0" w:line="259" w:lineRule="auto"/>
              <w:ind w:left="0" w:right="0" w:firstLine="0"/>
              <w:jc w:val="left"/>
            </w:pPr>
            <w:r>
              <w:t>4A69</w:t>
            </w:r>
          </w:p>
        </w:tc>
        <w:tc>
          <w:tcPr>
            <w:tcW w:w="2025" w:type="dxa"/>
            <w:tcBorders>
              <w:top w:val="nil"/>
              <w:left w:val="single" w:sz="3" w:space="0" w:color="000000"/>
              <w:bottom w:val="single" w:sz="3" w:space="0" w:color="000000"/>
              <w:right w:val="single" w:sz="3" w:space="0" w:color="000000"/>
            </w:tcBorders>
          </w:tcPr>
          <w:p w:rsidR="00543912" w:rsidRDefault="00000000">
            <w:pPr>
              <w:spacing w:after="0" w:line="259" w:lineRule="auto"/>
              <w:ind w:left="0" w:right="8" w:firstLine="0"/>
              <w:jc w:val="center"/>
            </w:pPr>
            <w:r>
              <w:t>-8.05</w:t>
            </w:r>
          </w:p>
        </w:tc>
        <w:tc>
          <w:tcPr>
            <w:tcW w:w="3510" w:type="dxa"/>
            <w:tcBorders>
              <w:top w:val="nil"/>
              <w:left w:val="single" w:sz="3" w:space="0" w:color="000000"/>
              <w:bottom w:val="single" w:sz="3" w:space="0" w:color="000000"/>
              <w:right w:val="single" w:sz="3" w:space="0" w:color="000000"/>
            </w:tcBorders>
          </w:tcPr>
          <w:p w:rsidR="00543912" w:rsidRDefault="00000000">
            <w:pPr>
              <w:spacing w:after="0" w:line="259" w:lineRule="auto"/>
              <w:ind w:left="0" w:right="8" w:firstLine="0"/>
              <w:jc w:val="center"/>
            </w:pPr>
            <w:r>
              <w:t>67</w:t>
            </w:r>
          </w:p>
        </w:tc>
        <w:tc>
          <w:tcPr>
            <w:tcW w:w="3289" w:type="dxa"/>
            <w:tcBorders>
              <w:top w:val="nil"/>
              <w:left w:val="single" w:sz="3" w:space="0" w:color="000000"/>
              <w:bottom w:val="single" w:sz="3" w:space="0" w:color="000000"/>
              <w:right w:val="single" w:sz="3" w:space="0" w:color="000000"/>
            </w:tcBorders>
          </w:tcPr>
          <w:p w:rsidR="00543912" w:rsidRDefault="00000000">
            <w:pPr>
              <w:spacing w:after="0" w:line="259" w:lineRule="auto"/>
              <w:ind w:left="0" w:right="8" w:firstLine="0"/>
              <w:jc w:val="center"/>
            </w:pPr>
            <w:r>
              <w:t>34.9</w:t>
            </w:r>
          </w:p>
        </w:tc>
      </w:tr>
    </w:tbl>
    <w:p w:rsidR="00543912" w:rsidRDefault="00000000">
      <w:pPr>
        <w:spacing w:line="259" w:lineRule="auto"/>
        <w:ind w:left="1754" w:right="349"/>
      </w:pPr>
      <w:r>
        <w:t>Table 3: Wasserstein Distance for Chemical Properties: 3D59 Protein</w:t>
      </w:r>
    </w:p>
    <w:tbl>
      <w:tblPr>
        <w:tblStyle w:val="TableGrid"/>
        <w:tblW w:w="3832" w:type="dxa"/>
        <w:tblInd w:w="2597" w:type="dxa"/>
        <w:tblCellMar>
          <w:top w:w="30" w:type="dxa"/>
          <w:left w:w="0" w:type="dxa"/>
          <w:bottom w:w="0" w:type="dxa"/>
          <w:right w:w="115" w:type="dxa"/>
        </w:tblCellMar>
        <w:tblLook w:val="04A0" w:firstRow="1" w:lastRow="0" w:firstColumn="1" w:lastColumn="0" w:noHBand="0" w:noVBand="1"/>
      </w:tblPr>
      <w:tblGrid>
        <w:gridCol w:w="1915"/>
        <w:gridCol w:w="1917"/>
      </w:tblGrid>
      <w:tr w:rsidR="00543912">
        <w:trPr>
          <w:trHeight w:val="342"/>
        </w:trPr>
        <w:tc>
          <w:tcPr>
            <w:tcW w:w="1915" w:type="dxa"/>
            <w:tcBorders>
              <w:top w:val="single" w:sz="6" w:space="0" w:color="000000"/>
              <w:left w:val="nil"/>
              <w:bottom w:val="single" w:sz="4" w:space="0" w:color="000000"/>
              <w:right w:val="nil"/>
            </w:tcBorders>
          </w:tcPr>
          <w:p w:rsidR="00543912" w:rsidRDefault="00000000">
            <w:pPr>
              <w:spacing w:after="0" w:line="259" w:lineRule="auto"/>
              <w:ind w:left="120" w:right="0" w:firstLine="0"/>
              <w:jc w:val="left"/>
            </w:pPr>
            <w:r>
              <w:t>Property</w:t>
            </w:r>
          </w:p>
        </w:tc>
        <w:tc>
          <w:tcPr>
            <w:tcW w:w="1916" w:type="dxa"/>
            <w:tcBorders>
              <w:top w:val="single" w:sz="6" w:space="0" w:color="000000"/>
              <w:left w:val="nil"/>
              <w:bottom w:val="single" w:sz="4" w:space="0" w:color="000000"/>
              <w:right w:val="nil"/>
            </w:tcBorders>
          </w:tcPr>
          <w:p w:rsidR="00543912" w:rsidRDefault="00000000">
            <w:pPr>
              <w:spacing w:after="0" w:line="259" w:lineRule="auto"/>
              <w:ind w:left="0" w:right="0" w:firstLine="0"/>
              <w:jc w:val="left"/>
            </w:pPr>
            <w:r>
              <w:t>Wasserstein Distance</w:t>
            </w:r>
          </w:p>
        </w:tc>
      </w:tr>
      <w:tr w:rsidR="00543912">
        <w:trPr>
          <w:trHeight w:val="302"/>
        </w:trPr>
        <w:tc>
          <w:tcPr>
            <w:tcW w:w="1915" w:type="dxa"/>
            <w:tcBorders>
              <w:top w:val="single" w:sz="4" w:space="0" w:color="000000"/>
              <w:left w:val="nil"/>
              <w:bottom w:val="nil"/>
              <w:right w:val="nil"/>
            </w:tcBorders>
          </w:tcPr>
          <w:p w:rsidR="00543912" w:rsidRDefault="00000000">
            <w:pPr>
              <w:spacing w:after="0" w:line="259" w:lineRule="auto"/>
              <w:ind w:left="120" w:right="0" w:firstLine="0"/>
              <w:jc w:val="left"/>
            </w:pPr>
            <w:r>
              <w:t>MW</w:t>
            </w:r>
          </w:p>
        </w:tc>
        <w:tc>
          <w:tcPr>
            <w:tcW w:w="1916" w:type="dxa"/>
            <w:tcBorders>
              <w:top w:val="single" w:sz="4" w:space="0" w:color="000000"/>
              <w:left w:val="nil"/>
              <w:bottom w:val="nil"/>
              <w:right w:val="nil"/>
            </w:tcBorders>
          </w:tcPr>
          <w:p w:rsidR="00543912" w:rsidRDefault="00000000">
            <w:pPr>
              <w:spacing w:after="0" w:line="259" w:lineRule="auto"/>
              <w:ind w:left="0" w:right="5" w:firstLine="0"/>
              <w:jc w:val="center"/>
            </w:pPr>
            <w:r>
              <w:t>7.942</w:t>
            </w:r>
          </w:p>
        </w:tc>
      </w:tr>
      <w:tr w:rsidR="00543912">
        <w:trPr>
          <w:trHeight w:val="239"/>
        </w:trPr>
        <w:tc>
          <w:tcPr>
            <w:tcW w:w="1915" w:type="dxa"/>
            <w:tcBorders>
              <w:top w:val="nil"/>
              <w:left w:val="nil"/>
              <w:bottom w:val="nil"/>
              <w:right w:val="nil"/>
            </w:tcBorders>
          </w:tcPr>
          <w:p w:rsidR="00543912" w:rsidRDefault="00000000">
            <w:pPr>
              <w:spacing w:after="0" w:line="259" w:lineRule="auto"/>
              <w:ind w:left="120" w:right="0" w:firstLine="0"/>
              <w:jc w:val="left"/>
            </w:pPr>
            <w:r>
              <w:t>HBA</w:t>
            </w:r>
          </w:p>
        </w:tc>
        <w:tc>
          <w:tcPr>
            <w:tcW w:w="1916" w:type="dxa"/>
            <w:tcBorders>
              <w:top w:val="nil"/>
              <w:left w:val="nil"/>
              <w:bottom w:val="nil"/>
              <w:right w:val="nil"/>
            </w:tcBorders>
          </w:tcPr>
          <w:p w:rsidR="00543912" w:rsidRDefault="00000000">
            <w:pPr>
              <w:spacing w:after="0" w:line="259" w:lineRule="auto"/>
              <w:ind w:left="0" w:right="5" w:firstLine="0"/>
              <w:jc w:val="center"/>
            </w:pPr>
            <w:r>
              <w:t>0.426</w:t>
            </w:r>
          </w:p>
        </w:tc>
      </w:tr>
      <w:tr w:rsidR="00543912">
        <w:trPr>
          <w:trHeight w:val="239"/>
        </w:trPr>
        <w:tc>
          <w:tcPr>
            <w:tcW w:w="1915" w:type="dxa"/>
            <w:tcBorders>
              <w:top w:val="nil"/>
              <w:left w:val="nil"/>
              <w:bottom w:val="nil"/>
              <w:right w:val="nil"/>
            </w:tcBorders>
          </w:tcPr>
          <w:p w:rsidR="00543912" w:rsidRDefault="00000000">
            <w:pPr>
              <w:spacing w:after="0" w:line="259" w:lineRule="auto"/>
              <w:ind w:left="120" w:right="0" w:firstLine="0"/>
              <w:jc w:val="left"/>
            </w:pPr>
            <w:r>
              <w:t>HBD</w:t>
            </w:r>
          </w:p>
        </w:tc>
        <w:tc>
          <w:tcPr>
            <w:tcW w:w="1916" w:type="dxa"/>
            <w:tcBorders>
              <w:top w:val="nil"/>
              <w:left w:val="nil"/>
              <w:bottom w:val="nil"/>
              <w:right w:val="nil"/>
            </w:tcBorders>
          </w:tcPr>
          <w:p w:rsidR="00543912" w:rsidRDefault="00000000">
            <w:pPr>
              <w:spacing w:after="0" w:line="259" w:lineRule="auto"/>
              <w:ind w:left="0" w:right="5" w:firstLine="0"/>
              <w:jc w:val="center"/>
            </w:pPr>
            <w:r>
              <w:t>0.720</w:t>
            </w:r>
          </w:p>
        </w:tc>
      </w:tr>
      <w:tr w:rsidR="00543912">
        <w:trPr>
          <w:trHeight w:val="239"/>
        </w:trPr>
        <w:tc>
          <w:tcPr>
            <w:tcW w:w="1915" w:type="dxa"/>
            <w:tcBorders>
              <w:top w:val="nil"/>
              <w:left w:val="nil"/>
              <w:bottom w:val="nil"/>
              <w:right w:val="nil"/>
            </w:tcBorders>
          </w:tcPr>
          <w:p w:rsidR="00543912" w:rsidRDefault="00000000">
            <w:pPr>
              <w:spacing w:after="0" w:line="259" w:lineRule="auto"/>
              <w:ind w:left="120" w:right="0" w:firstLine="0"/>
              <w:jc w:val="left"/>
            </w:pPr>
            <w:r>
              <w:t>LogP</w:t>
            </w:r>
          </w:p>
        </w:tc>
        <w:tc>
          <w:tcPr>
            <w:tcW w:w="1916" w:type="dxa"/>
            <w:tcBorders>
              <w:top w:val="nil"/>
              <w:left w:val="nil"/>
              <w:bottom w:val="nil"/>
              <w:right w:val="nil"/>
            </w:tcBorders>
          </w:tcPr>
          <w:p w:rsidR="00543912" w:rsidRDefault="00000000">
            <w:pPr>
              <w:spacing w:after="0" w:line="259" w:lineRule="auto"/>
              <w:ind w:left="0" w:right="5" w:firstLine="0"/>
              <w:jc w:val="center"/>
            </w:pPr>
            <w:r>
              <w:t>0.488</w:t>
            </w:r>
          </w:p>
        </w:tc>
      </w:tr>
      <w:tr w:rsidR="00543912">
        <w:trPr>
          <w:trHeight w:val="239"/>
        </w:trPr>
        <w:tc>
          <w:tcPr>
            <w:tcW w:w="1915" w:type="dxa"/>
            <w:tcBorders>
              <w:top w:val="nil"/>
              <w:left w:val="nil"/>
              <w:bottom w:val="nil"/>
              <w:right w:val="nil"/>
            </w:tcBorders>
          </w:tcPr>
          <w:p w:rsidR="00543912" w:rsidRDefault="00000000">
            <w:pPr>
              <w:spacing w:after="0" w:line="259" w:lineRule="auto"/>
              <w:ind w:left="120" w:right="0" w:firstLine="0"/>
              <w:jc w:val="left"/>
            </w:pPr>
            <w:r>
              <w:t>QED</w:t>
            </w:r>
          </w:p>
        </w:tc>
        <w:tc>
          <w:tcPr>
            <w:tcW w:w="1916" w:type="dxa"/>
            <w:tcBorders>
              <w:top w:val="nil"/>
              <w:left w:val="nil"/>
              <w:bottom w:val="nil"/>
              <w:right w:val="nil"/>
            </w:tcBorders>
          </w:tcPr>
          <w:p w:rsidR="00543912" w:rsidRDefault="00000000">
            <w:pPr>
              <w:spacing w:after="0" w:line="259" w:lineRule="auto"/>
              <w:ind w:left="0" w:right="5" w:firstLine="0"/>
              <w:jc w:val="center"/>
            </w:pPr>
            <w:r>
              <w:t>0.053</w:t>
            </w:r>
          </w:p>
        </w:tc>
      </w:tr>
      <w:tr w:rsidR="00543912">
        <w:trPr>
          <w:trHeight w:val="239"/>
        </w:trPr>
        <w:tc>
          <w:tcPr>
            <w:tcW w:w="1915" w:type="dxa"/>
            <w:tcBorders>
              <w:top w:val="nil"/>
              <w:left w:val="nil"/>
              <w:bottom w:val="nil"/>
              <w:right w:val="nil"/>
            </w:tcBorders>
          </w:tcPr>
          <w:p w:rsidR="00543912" w:rsidRDefault="00000000">
            <w:pPr>
              <w:spacing w:after="0" w:line="259" w:lineRule="auto"/>
              <w:ind w:left="120" w:right="0" w:firstLine="0"/>
              <w:jc w:val="left"/>
            </w:pPr>
            <w:r>
              <w:t>SA</w:t>
            </w:r>
          </w:p>
        </w:tc>
        <w:tc>
          <w:tcPr>
            <w:tcW w:w="1916" w:type="dxa"/>
            <w:tcBorders>
              <w:top w:val="nil"/>
              <w:left w:val="nil"/>
              <w:bottom w:val="nil"/>
              <w:right w:val="nil"/>
            </w:tcBorders>
          </w:tcPr>
          <w:p w:rsidR="00543912" w:rsidRDefault="00000000">
            <w:pPr>
              <w:spacing w:after="0" w:line="259" w:lineRule="auto"/>
              <w:ind w:left="0" w:right="5" w:firstLine="0"/>
              <w:jc w:val="center"/>
            </w:pPr>
            <w:r>
              <w:t>0.038</w:t>
            </w:r>
          </w:p>
        </w:tc>
      </w:tr>
      <w:tr w:rsidR="00543912">
        <w:trPr>
          <w:trHeight w:val="239"/>
        </w:trPr>
        <w:tc>
          <w:tcPr>
            <w:tcW w:w="1915" w:type="dxa"/>
            <w:tcBorders>
              <w:top w:val="nil"/>
              <w:left w:val="nil"/>
              <w:bottom w:val="nil"/>
              <w:right w:val="nil"/>
            </w:tcBorders>
          </w:tcPr>
          <w:p w:rsidR="00543912" w:rsidRDefault="00000000">
            <w:pPr>
              <w:spacing w:after="0" w:line="259" w:lineRule="auto"/>
              <w:ind w:left="120" w:right="0" w:firstLine="0"/>
              <w:jc w:val="left"/>
            </w:pPr>
            <w:r>
              <w:t>TPSA</w:t>
            </w:r>
          </w:p>
        </w:tc>
        <w:tc>
          <w:tcPr>
            <w:tcW w:w="1916" w:type="dxa"/>
            <w:tcBorders>
              <w:top w:val="nil"/>
              <w:left w:val="nil"/>
              <w:bottom w:val="nil"/>
              <w:right w:val="nil"/>
            </w:tcBorders>
          </w:tcPr>
          <w:p w:rsidR="00543912" w:rsidRDefault="00000000">
            <w:pPr>
              <w:spacing w:after="0" w:line="259" w:lineRule="auto"/>
              <w:ind w:left="0" w:right="5" w:firstLine="0"/>
              <w:jc w:val="center"/>
            </w:pPr>
            <w:r>
              <w:t>5.538</w:t>
            </w:r>
          </w:p>
        </w:tc>
      </w:tr>
      <w:tr w:rsidR="00543912">
        <w:trPr>
          <w:trHeight w:val="239"/>
        </w:trPr>
        <w:tc>
          <w:tcPr>
            <w:tcW w:w="1915" w:type="dxa"/>
            <w:tcBorders>
              <w:top w:val="nil"/>
              <w:left w:val="nil"/>
              <w:bottom w:val="nil"/>
              <w:right w:val="nil"/>
            </w:tcBorders>
          </w:tcPr>
          <w:p w:rsidR="00543912" w:rsidRDefault="00000000">
            <w:pPr>
              <w:spacing w:after="0" w:line="259" w:lineRule="auto"/>
              <w:ind w:left="120" w:right="0" w:firstLine="0"/>
              <w:jc w:val="left"/>
            </w:pPr>
            <w:r>
              <w:t>Aromatic Rings</w:t>
            </w:r>
          </w:p>
        </w:tc>
        <w:tc>
          <w:tcPr>
            <w:tcW w:w="1916" w:type="dxa"/>
            <w:tcBorders>
              <w:top w:val="nil"/>
              <w:left w:val="nil"/>
              <w:bottom w:val="nil"/>
              <w:right w:val="nil"/>
            </w:tcBorders>
          </w:tcPr>
          <w:p w:rsidR="00543912" w:rsidRDefault="00000000">
            <w:pPr>
              <w:spacing w:after="0" w:line="259" w:lineRule="auto"/>
              <w:ind w:left="0" w:right="5" w:firstLine="0"/>
              <w:jc w:val="center"/>
            </w:pPr>
            <w:r>
              <w:t>0.460</w:t>
            </w:r>
          </w:p>
        </w:tc>
      </w:tr>
      <w:tr w:rsidR="00543912">
        <w:trPr>
          <w:trHeight w:val="239"/>
        </w:trPr>
        <w:tc>
          <w:tcPr>
            <w:tcW w:w="1915" w:type="dxa"/>
            <w:tcBorders>
              <w:top w:val="nil"/>
              <w:left w:val="nil"/>
              <w:bottom w:val="nil"/>
              <w:right w:val="nil"/>
            </w:tcBorders>
          </w:tcPr>
          <w:p w:rsidR="00543912" w:rsidRDefault="00000000">
            <w:pPr>
              <w:spacing w:after="0" w:line="259" w:lineRule="auto"/>
              <w:ind w:left="120" w:right="0" w:firstLine="0"/>
              <w:jc w:val="left"/>
            </w:pPr>
            <w:r>
              <w:t>Rotatable Bonds</w:t>
            </w:r>
          </w:p>
        </w:tc>
        <w:tc>
          <w:tcPr>
            <w:tcW w:w="1916" w:type="dxa"/>
            <w:tcBorders>
              <w:top w:val="nil"/>
              <w:left w:val="nil"/>
              <w:bottom w:val="nil"/>
              <w:right w:val="nil"/>
            </w:tcBorders>
          </w:tcPr>
          <w:p w:rsidR="00543912" w:rsidRDefault="00000000">
            <w:pPr>
              <w:spacing w:after="0" w:line="259" w:lineRule="auto"/>
              <w:ind w:left="0" w:right="5" w:firstLine="0"/>
              <w:jc w:val="center"/>
            </w:pPr>
            <w:r>
              <w:t>0.787</w:t>
            </w:r>
          </w:p>
        </w:tc>
      </w:tr>
      <w:tr w:rsidR="00543912">
        <w:trPr>
          <w:trHeight w:val="280"/>
        </w:trPr>
        <w:tc>
          <w:tcPr>
            <w:tcW w:w="1915" w:type="dxa"/>
            <w:tcBorders>
              <w:top w:val="nil"/>
              <w:left w:val="nil"/>
              <w:bottom w:val="single" w:sz="6" w:space="0" w:color="000000"/>
              <w:right w:val="nil"/>
            </w:tcBorders>
          </w:tcPr>
          <w:p w:rsidR="00543912" w:rsidRDefault="00000000">
            <w:pPr>
              <w:spacing w:after="0" w:line="259" w:lineRule="auto"/>
              <w:ind w:left="120" w:right="0" w:firstLine="0"/>
              <w:jc w:val="left"/>
            </w:pPr>
            <w:r>
              <w:t>Heavy Atom Count</w:t>
            </w:r>
          </w:p>
        </w:tc>
        <w:tc>
          <w:tcPr>
            <w:tcW w:w="1916" w:type="dxa"/>
            <w:tcBorders>
              <w:top w:val="nil"/>
              <w:left w:val="nil"/>
              <w:bottom w:val="single" w:sz="6" w:space="0" w:color="000000"/>
              <w:right w:val="nil"/>
            </w:tcBorders>
          </w:tcPr>
          <w:p w:rsidR="00543912" w:rsidRDefault="00000000">
            <w:pPr>
              <w:spacing w:after="0" w:line="259" w:lineRule="auto"/>
              <w:ind w:left="0" w:right="5" w:firstLine="0"/>
              <w:jc w:val="center"/>
            </w:pPr>
            <w:r>
              <w:t>0.525</w:t>
            </w:r>
          </w:p>
        </w:tc>
      </w:tr>
    </w:tbl>
    <w:p w:rsidR="00543912" w:rsidRDefault="00000000">
      <w:pPr>
        <w:pStyle w:val="Heading2"/>
        <w:tabs>
          <w:tab w:val="center" w:pos="1779"/>
        </w:tabs>
        <w:ind w:left="-15" w:firstLine="0"/>
      </w:pPr>
      <w:r>
        <w:t>4.2</w:t>
      </w:r>
      <w:r>
        <w:tab/>
        <w:t>Success Rate Evaluation</w:t>
      </w:r>
    </w:p>
    <w:p w:rsidR="00543912" w:rsidRDefault="00000000">
      <w:pPr>
        <w:spacing w:after="225" w:line="395" w:lineRule="auto"/>
        <w:ind w:left="-5" w:right="0"/>
        <w:jc w:val="left"/>
      </w:pPr>
      <w:r>
        <w:t>The success rate was defined as the percentage of generated molecules that met predefined criteria for druglikeness, synthesizability, and binding affinity. A molecule was deemed qualified if it satisfied the following thresholds:</w:t>
      </w:r>
    </w:p>
    <w:p w:rsidR="00543912" w:rsidRDefault="00000000">
      <w:pPr>
        <w:numPr>
          <w:ilvl w:val="0"/>
          <w:numId w:val="8"/>
        </w:numPr>
        <w:spacing w:after="328" w:line="259" w:lineRule="auto"/>
        <w:ind w:right="349" w:hanging="169"/>
      </w:pPr>
      <w:r>
        <w:t xml:space="preserve">Quantitative Estimate of Drug-likeness (QED) </w:t>
      </w:r>
      <w:r>
        <w:rPr>
          <w:rFonts w:ascii="Cambria" w:eastAsia="Cambria" w:hAnsi="Cambria" w:cs="Cambria"/>
        </w:rPr>
        <w:t>≥ 0</w:t>
      </w:r>
      <w:r>
        <w:rPr>
          <w:rFonts w:ascii="Cambria" w:eastAsia="Cambria" w:hAnsi="Cambria" w:cs="Cambria"/>
          <w:i/>
        </w:rPr>
        <w:t>.</w:t>
      </w:r>
      <w:r>
        <w:rPr>
          <w:rFonts w:ascii="Cambria" w:eastAsia="Cambria" w:hAnsi="Cambria" w:cs="Cambria"/>
        </w:rPr>
        <w:t>25</w:t>
      </w:r>
      <w:r>
        <w:t>,</w:t>
      </w:r>
    </w:p>
    <w:p w:rsidR="00543912" w:rsidRDefault="00000000">
      <w:pPr>
        <w:numPr>
          <w:ilvl w:val="0"/>
          <w:numId w:val="8"/>
        </w:numPr>
        <w:spacing w:after="327" w:line="259" w:lineRule="auto"/>
        <w:ind w:right="349" w:hanging="169"/>
      </w:pPr>
      <w:r>
        <w:t xml:space="preserve">Synthetic Accessibility Score (SAscore) </w:t>
      </w:r>
      <w:r>
        <w:rPr>
          <w:rFonts w:ascii="Cambria" w:eastAsia="Cambria" w:hAnsi="Cambria" w:cs="Cambria"/>
        </w:rPr>
        <w:t>≥ 0</w:t>
      </w:r>
      <w:r>
        <w:rPr>
          <w:rFonts w:ascii="Cambria" w:eastAsia="Cambria" w:hAnsi="Cambria" w:cs="Cambria"/>
          <w:i/>
        </w:rPr>
        <w:t>.</w:t>
      </w:r>
      <w:r>
        <w:rPr>
          <w:rFonts w:ascii="Cambria" w:eastAsia="Cambria" w:hAnsi="Cambria" w:cs="Cambria"/>
        </w:rPr>
        <w:t>59</w:t>
      </w:r>
      <w:r>
        <w:t>,</w:t>
      </w:r>
    </w:p>
    <w:p w:rsidR="00543912" w:rsidRDefault="00000000">
      <w:pPr>
        <w:numPr>
          <w:ilvl w:val="0"/>
          <w:numId w:val="8"/>
        </w:numPr>
        <w:spacing w:after="410"/>
        <w:ind w:right="349" w:hanging="169"/>
      </w:pPr>
      <w:r>
        <w:t xml:space="preserve">Docking score (Vina score) </w:t>
      </w:r>
      <w:r>
        <w:rPr>
          <w:rFonts w:ascii="Cambria" w:eastAsia="Cambria" w:hAnsi="Cambria" w:cs="Cambria"/>
        </w:rPr>
        <w:t>≤−8</w:t>
      </w:r>
      <w:r>
        <w:rPr>
          <w:rFonts w:ascii="Cambria" w:eastAsia="Cambria" w:hAnsi="Cambria" w:cs="Cambria"/>
          <w:i/>
        </w:rPr>
        <w:t>.</w:t>
      </w:r>
      <w:r>
        <w:rPr>
          <w:rFonts w:ascii="Cambria" w:eastAsia="Cambria" w:hAnsi="Cambria" w:cs="Cambria"/>
        </w:rPr>
        <w:t xml:space="preserve">18 </w:t>
      </w:r>
      <w:r>
        <w:t>kcal/mol.</w:t>
      </w:r>
    </w:p>
    <w:p w:rsidR="00543912" w:rsidRDefault="00000000">
      <w:pPr>
        <w:pStyle w:val="Heading2"/>
        <w:tabs>
          <w:tab w:val="center" w:pos="2655"/>
        </w:tabs>
        <w:ind w:left="-15" w:firstLine="0"/>
      </w:pPr>
      <w:r>
        <w:t>4.3</w:t>
      </w:r>
      <w:r>
        <w:tab/>
        <w:t>Cumulative Analysis of Binding Affinities</w:t>
      </w:r>
    </w:p>
    <w:p w:rsidR="00543912" w:rsidRDefault="00000000">
      <w:pPr>
        <w:ind w:left="-5" w:right="349"/>
      </w:pPr>
      <w:r>
        <w:t>The plot in Figure 1 shows the distribution of affinity between the generated drugs and the test drugs for the protein 6Y3C. A kernel density estimation (KDE) plot was used to compare the binding affinity distributions of the generated molecules and the test set. While some generated molecules exhibited high affinity (</w:t>
      </w:r>
      <w:r>
        <w:rPr>
          <w:rFonts w:ascii="Cambria" w:eastAsia="Cambria" w:hAnsi="Cambria" w:cs="Cambria"/>
        </w:rPr>
        <w:t>≤−8</w:t>
      </w:r>
      <w:r>
        <w:rPr>
          <w:rFonts w:ascii="Cambria" w:eastAsia="Cambria" w:hAnsi="Cambria" w:cs="Cambria"/>
          <w:i/>
        </w:rPr>
        <w:t>.</w:t>
      </w:r>
      <w:r>
        <w:rPr>
          <w:rFonts w:ascii="Cambria" w:eastAsia="Cambria" w:hAnsi="Cambria" w:cs="Cambria"/>
        </w:rPr>
        <w:t xml:space="preserve">18 </w:t>
      </w:r>
      <w:r>
        <w:t>kcal/mol), the majority displayed less negative scores compared to the test set, indicating potential areas for improvement in the generative model.</w:t>
      </w:r>
    </w:p>
    <w:p w:rsidR="00543912" w:rsidRDefault="00000000">
      <w:pPr>
        <w:spacing w:after="232" w:line="259" w:lineRule="auto"/>
        <w:ind w:left="903" w:right="0" w:firstLine="0"/>
        <w:jc w:val="left"/>
      </w:pPr>
      <w:r>
        <w:rPr>
          <w:noProof/>
        </w:rPr>
        <w:drawing>
          <wp:inline distT="0" distB="0" distL="0" distR="0">
            <wp:extent cx="4584926" cy="2948866"/>
            <wp:effectExtent l="0" t="0" r="0" b="0"/>
            <wp:docPr id="1169" name="Picture 1169"/>
            <wp:cNvGraphicFramePr/>
            <a:graphic xmlns:a="http://schemas.openxmlformats.org/drawingml/2006/main">
              <a:graphicData uri="http://schemas.openxmlformats.org/drawingml/2006/picture">
                <pic:pic xmlns:pic="http://schemas.openxmlformats.org/drawingml/2006/picture">
                  <pic:nvPicPr>
                    <pic:cNvPr id="1169" name="Picture 1169"/>
                    <pic:cNvPicPr/>
                  </pic:nvPicPr>
                  <pic:blipFill>
                    <a:blip r:embed="rId10"/>
                    <a:stretch>
                      <a:fillRect/>
                    </a:stretch>
                  </pic:blipFill>
                  <pic:spPr>
                    <a:xfrm>
                      <a:off x="0" y="0"/>
                      <a:ext cx="4584926" cy="2948866"/>
                    </a:xfrm>
                    <a:prstGeom prst="rect">
                      <a:avLst/>
                    </a:prstGeom>
                  </pic:spPr>
                </pic:pic>
              </a:graphicData>
            </a:graphic>
          </wp:inline>
        </w:drawing>
      </w:r>
    </w:p>
    <w:p w:rsidR="00543912" w:rsidRDefault="00000000">
      <w:pPr>
        <w:spacing w:line="248" w:lineRule="auto"/>
        <w:ind w:left="-5" w:right="349"/>
      </w:pPr>
      <w:r>
        <w:t xml:space="preserve">Figure 1: Distribution of affinities for protein 6Y3C. The plot compares the binding affinity distributions of generated molecules and test set molecules using a kernel density estimation (KDE). The threshold for high affinity is set at </w:t>
      </w:r>
      <w:r>
        <w:rPr>
          <w:rFonts w:ascii="Cambria" w:eastAsia="Cambria" w:hAnsi="Cambria" w:cs="Cambria"/>
        </w:rPr>
        <w:t>≤−8</w:t>
      </w:r>
      <w:r>
        <w:rPr>
          <w:rFonts w:ascii="Cambria" w:eastAsia="Cambria" w:hAnsi="Cambria" w:cs="Cambria"/>
          <w:i/>
        </w:rPr>
        <w:t>.</w:t>
      </w:r>
      <w:r>
        <w:rPr>
          <w:rFonts w:ascii="Cambria" w:eastAsia="Cambria" w:hAnsi="Cambria" w:cs="Cambria"/>
        </w:rPr>
        <w:t xml:space="preserve">18 </w:t>
      </w:r>
      <w:r>
        <w:t>kcal/mol.</w:t>
      </w:r>
    </w:p>
    <w:p w:rsidR="00543912" w:rsidRDefault="00000000">
      <w:pPr>
        <w:pStyle w:val="Heading2"/>
        <w:tabs>
          <w:tab w:val="center" w:pos="2814"/>
        </w:tabs>
        <w:spacing w:after="251"/>
        <w:ind w:left="-15" w:firstLine="0"/>
      </w:pPr>
      <w:r>
        <w:t>4.4</w:t>
      </w:r>
      <w:r>
        <w:tab/>
        <w:t>Structural Similarity and Deviation Analysis</w:t>
      </w:r>
    </w:p>
    <w:p w:rsidR="00543912" w:rsidRDefault="00000000">
      <w:pPr>
        <w:pStyle w:val="Heading3"/>
        <w:tabs>
          <w:tab w:val="center" w:pos="1455"/>
        </w:tabs>
        <w:ind w:left="-15" w:firstLine="0"/>
      </w:pPr>
      <w:r>
        <w:t>4.4.1</w:t>
      </w:r>
      <w:r>
        <w:tab/>
        <w:t>Tanimoto Similarity</w:t>
      </w:r>
    </w:p>
    <w:p w:rsidR="00543912" w:rsidRDefault="00000000">
      <w:pPr>
        <w:ind w:left="-5" w:right="349"/>
      </w:pPr>
      <w:r>
        <w:t>In addition to the Wasserstein distance, Tanimoto similarity was calculated to compare the generated molecules with those in the test dataset. Tanimoto similarity is particularly useful for binary feature-based comparisons, such as the presence or absence of specific functional groups. This metric provides a quantitative measure of structural overlap, ensuring that the generated molecules maintain a balance between novelty and chemical relevance, thereby minimizing the risk of overfitting to the training data.</w:t>
      </w:r>
    </w:p>
    <w:p w:rsidR="00543912" w:rsidRDefault="00000000">
      <w:pPr>
        <w:ind w:left="-15" w:right="349" w:firstLine="299"/>
      </w:pPr>
      <w:r>
        <w:t xml:space="preserve">Furthermore, Tanimoto similarity was employed to evaluate the three-dimensional (3D) structural similarity between the generated molecules and those in the test set. A similarity threshold of </w:t>
      </w:r>
      <w:r>
        <w:rPr>
          <w:rFonts w:ascii="Cambria" w:eastAsia="Cambria" w:hAnsi="Cambria" w:cs="Cambria"/>
        </w:rPr>
        <w:t>≥ 0</w:t>
      </w:r>
      <w:r>
        <w:rPr>
          <w:rFonts w:ascii="Cambria" w:eastAsia="Cambria" w:hAnsi="Cambria" w:cs="Cambria"/>
          <w:i/>
        </w:rPr>
        <w:t>.</w:t>
      </w:r>
      <w:r>
        <w:rPr>
          <w:rFonts w:ascii="Cambria" w:eastAsia="Cambria" w:hAnsi="Cambria" w:cs="Cambria"/>
        </w:rPr>
        <w:t xml:space="preserve">8 </w:t>
      </w:r>
      <w:r>
        <w:t>was applied to identify molecules with significant structural overlap, ensuring that the generated structures retain chemically plausible features while maintaining a meaningful level of novelty.</w:t>
      </w:r>
    </w:p>
    <w:p w:rsidR="00543912" w:rsidRDefault="00000000">
      <w:pPr>
        <w:spacing w:after="232" w:line="259" w:lineRule="auto"/>
        <w:ind w:left="903" w:right="0" w:firstLine="0"/>
        <w:jc w:val="left"/>
      </w:pPr>
      <w:r>
        <w:rPr>
          <w:noProof/>
        </w:rPr>
        <w:drawing>
          <wp:inline distT="0" distB="0" distL="0" distR="0">
            <wp:extent cx="4585065" cy="2931946"/>
            <wp:effectExtent l="0" t="0" r="0" b="0"/>
            <wp:docPr id="1202" name="Picture 1202"/>
            <wp:cNvGraphicFramePr/>
            <a:graphic xmlns:a="http://schemas.openxmlformats.org/drawingml/2006/main">
              <a:graphicData uri="http://schemas.openxmlformats.org/drawingml/2006/picture">
                <pic:pic xmlns:pic="http://schemas.openxmlformats.org/drawingml/2006/picture">
                  <pic:nvPicPr>
                    <pic:cNvPr id="1202" name="Picture 1202"/>
                    <pic:cNvPicPr/>
                  </pic:nvPicPr>
                  <pic:blipFill>
                    <a:blip r:embed="rId11"/>
                    <a:stretch>
                      <a:fillRect/>
                    </a:stretch>
                  </pic:blipFill>
                  <pic:spPr>
                    <a:xfrm>
                      <a:off x="0" y="0"/>
                      <a:ext cx="4585065" cy="2931946"/>
                    </a:xfrm>
                    <a:prstGeom prst="rect">
                      <a:avLst/>
                    </a:prstGeom>
                  </pic:spPr>
                </pic:pic>
              </a:graphicData>
            </a:graphic>
          </wp:inline>
        </w:drawing>
      </w:r>
    </w:p>
    <w:p w:rsidR="00543912" w:rsidRDefault="00000000">
      <w:pPr>
        <w:spacing w:after="727" w:line="252" w:lineRule="auto"/>
        <w:ind w:left="-5" w:right="349"/>
      </w:pPr>
      <w:r>
        <w:t xml:space="preserve">Figure 2: Distribution of Max Tanimoto Similarities. The plot shows the frequency of maximum Tanimoto similarity values between generated molecules and the test set. A threshold of </w:t>
      </w:r>
      <w:r>
        <w:rPr>
          <w:rFonts w:ascii="Cambria" w:eastAsia="Cambria" w:hAnsi="Cambria" w:cs="Cambria"/>
        </w:rPr>
        <w:t>≥ 0</w:t>
      </w:r>
      <w:r>
        <w:rPr>
          <w:rFonts w:ascii="Cambria" w:eastAsia="Cambria" w:hAnsi="Cambria" w:cs="Cambria"/>
          <w:i/>
        </w:rPr>
        <w:t>.</w:t>
      </w:r>
      <w:r>
        <w:rPr>
          <w:rFonts w:ascii="Cambria" w:eastAsia="Cambria" w:hAnsi="Cambria" w:cs="Cambria"/>
        </w:rPr>
        <w:t xml:space="preserve">8 </w:t>
      </w:r>
      <w:r>
        <w:t>was used to identify molecules with significant structural overlap.</w:t>
      </w:r>
    </w:p>
    <w:p w:rsidR="00543912" w:rsidRDefault="00000000">
      <w:pPr>
        <w:pStyle w:val="Heading3"/>
        <w:tabs>
          <w:tab w:val="center" w:pos="2216"/>
        </w:tabs>
        <w:ind w:left="-15" w:firstLine="0"/>
      </w:pPr>
      <w:r>
        <w:t>4.4.2</w:t>
      </w:r>
      <w:r>
        <w:tab/>
        <w:t>Root Mean Square Deviation (RMSD)</w:t>
      </w:r>
    </w:p>
    <w:p w:rsidR="00543912" w:rsidRDefault="00000000">
      <w:pPr>
        <w:spacing w:after="413"/>
        <w:ind w:left="-5" w:right="349"/>
      </w:pPr>
      <w:r>
        <w:t>To further assess the structural alignment between the generated molecules and the reference molecules, the Root Mean Square Deviation (RMSD) was calculated using the AlignMol, AllChem, and GetBestRMSD functions from the RDKit library. RMSD is a widely used metric to quantify the average deviation in atomic positions between two molecular structures. The average RMSD value computed for the generated molecules was:</w:t>
      </w:r>
    </w:p>
    <w:p w:rsidR="00543912" w:rsidRDefault="00000000">
      <w:pPr>
        <w:spacing w:after="0" w:line="259" w:lineRule="auto"/>
        <w:ind w:left="0" w:right="374" w:firstLine="0"/>
        <w:jc w:val="center"/>
      </w:pPr>
      <w:r>
        <w:t xml:space="preserve">RMSD </w:t>
      </w:r>
      <w:r>
        <w:rPr>
          <w:rFonts w:ascii="Cambria" w:eastAsia="Cambria" w:hAnsi="Cambria" w:cs="Cambria"/>
        </w:rPr>
        <w:t>= 2</w:t>
      </w:r>
      <w:r>
        <w:rPr>
          <w:rFonts w:ascii="Cambria" w:eastAsia="Cambria" w:hAnsi="Cambria" w:cs="Cambria"/>
          <w:i/>
        </w:rPr>
        <w:t>.</w:t>
      </w:r>
      <w:r>
        <w:rPr>
          <w:rFonts w:ascii="Cambria" w:eastAsia="Cambria" w:hAnsi="Cambria" w:cs="Cambria"/>
        </w:rPr>
        <w:t>1877×10</w:t>
      </w:r>
      <w:r>
        <w:rPr>
          <w:rFonts w:ascii="Cambria" w:eastAsia="Cambria" w:hAnsi="Cambria" w:cs="Cambria"/>
          <w:vertAlign w:val="superscript"/>
        </w:rPr>
        <w:t>−8</w:t>
      </w:r>
    </w:p>
    <w:p w:rsidR="00543912" w:rsidRDefault="00000000">
      <w:pPr>
        <w:spacing w:after="379"/>
        <w:ind w:left="-15" w:right="349" w:firstLine="299"/>
      </w:pPr>
      <w:r>
        <w:t xml:space="preserve">This extremely low value, equivalent to </w:t>
      </w:r>
      <w:r>
        <w:rPr>
          <w:rFonts w:ascii="Cambria" w:eastAsia="Cambria" w:hAnsi="Cambria" w:cs="Cambria"/>
        </w:rPr>
        <w:t>0</w:t>
      </w:r>
      <w:r>
        <w:rPr>
          <w:rFonts w:ascii="Cambria" w:eastAsia="Cambria" w:hAnsi="Cambria" w:cs="Cambria"/>
          <w:i/>
        </w:rPr>
        <w:t>.</w:t>
      </w:r>
      <w:r>
        <w:rPr>
          <w:rFonts w:ascii="Cambria" w:eastAsia="Cambria" w:hAnsi="Cambria" w:cs="Cambria"/>
        </w:rPr>
        <w:t>00000002187</w:t>
      </w:r>
      <w:r>
        <w:t>, indicates that the generated molecules are nearly identical to the reference molecules, with an average deviation in atomic positions very close to zero. Such precision suggests that the generation method is highly accurate and capable of producing molecules that align almost perfectly with the test set structures. This level of structural fidelity underscores the robustness of the generation approach in maintaining both chemical relevance and structural integrity.</w:t>
      </w:r>
    </w:p>
    <w:p w:rsidR="00543912" w:rsidRDefault="00000000">
      <w:pPr>
        <w:pStyle w:val="Heading2"/>
        <w:tabs>
          <w:tab w:val="center" w:pos="1518"/>
        </w:tabs>
        <w:spacing w:after="251"/>
        <w:ind w:left="-15" w:firstLine="0"/>
      </w:pPr>
      <w:r>
        <w:t>4.5</w:t>
      </w:r>
      <w:r>
        <w:tab/>
        <w:t>Additional Insights</w:t>
      </w:r>
    </w:p>
    <w:p w:rsidR="00543912" w:rsidRDefault="00000000">
      <w:pPr>
        <w:pStyle w:val="Heading3"/>
        <w:tabs>
          <w:tab w:val="center" w:pos="1667"/>
        </w:tabs>
        <w:ind w:left="-15" w:firstLine="0"/>
      </w:pPr>
      <w:r>
        <w:t>4.5.1</w:t>
      </w:r>
      <w:r>
        <w:tab/>
        <w:t>Analysis of PDB Proteins</w:t>
      </w:r>
    </w:p>
    <w:p w:rsidR="00543912" w:rsidRDefault="00000000">
      <w:pPr>
        <w:spacing w:after="308"/>
        <w:ind w:left="-5" w:right="349"/>
      </w:pPr>
      <w:r>
        <w:t>Among the 17 Protein Data Bank (PDB) proteins investigated—characterized using experimental techniques such as X-ray crystallography, NMR, or cryo-EM—six structures (2D9Z, 3D59, 4A69, 6Y3C, 8X8L, and 8YHF) were found to lack associated ligands, small molecules, or binding affinity data. These ligand-free structures provided a unique opportunity to evaluate the performance of our generative model in predicting novel binding molecules.</w:t>
      </w:r>
    </w:p>
    <w:p w:rsidR="00543912" w:rsidRDefault="00000000">
      <w:pPr>
        <w:pStyle w:val="Heading3"/>
        <w:tabs>
          <w:tab w:val="center" w:pos="2498"/>
        </w:tabs>
        <w:ind w:left="-15" w:firstLine="0"/>
      </w:pPr>
      <w:r>
        <w:t>4.5.2</w:t>
      </w:r>
      <w:r>
        <w:tab/>
        <w:t>Post-Processing and Binding Affinity Results</w:t>
      </w:r>
    </w:p>
    <w:p w:rsidR="00543912" w:rsidRDefault="00000000">
      <w:pPr>
        <w:spacing w:after="180"/>
        <w:ind w:left="-5" w:right="349"/>
      </w:pPr>
      <w:r>
        <w:t xml:space="preserve">Post-processing of the generated molecules was performed, and binding affinities were calculated using AutoDock Vina. A molecule was considered qualified if it met the following thresholds: a Quantitative Estimate of Druglikeness (QED) </w:t>
      </w:r>
      <w:r>
        <w:rPr>
          <w:rFonts w:ascii="Cambria" w:eastAsia="Cambria" w:hAnsi="Cambria" w:cs="Cambria"/>
        </w:rPr>
        <w:t xml:space="preserve">≥ </w:t>
      </w:r>
      <w:r>
        <w:t xml:space="preserve">0.25, a Synthetic Accessibility Score (SAscore) </w:t>
      </w:r>
      <w:r>
        <w:rPr>
          <w:rFonts w:ascii="Cambria" w:eastAsia="Cambria" w:hAnsi="Cambria" w:cs="Cambria"/>
        </w:rPr>
        <w:t xml:space="preserve">≥ </w:t>
      </w:r>
      <w:r>
        <w:t xml:space="preserve">0.59, and a docking score (Vina score) </w:t>
      </w:r>
      <w:r>
        <w:rPr>
          <w:rFonts w:ascii="Cambria" w:eastAsia="Cambria" w:hAnsi="Cambria" w:cs="Cambria"/>
        </w:rPr>
        <w:t>≤ −</w:t>
      </w:r>
      <w:r>
        <w:t>8.18 kcal/mol. The results, summarized in Table 4, revealed the following:</w:t>
      </w:r>
    </w:p>
    <w:p w:rsidR="00543912" w:rsidRDefault="00000000">
      <w:pPr>
        <w:numPr>
          <w:ilvl w:val="0"/>
          <w:numId w:val="9"/>
        </w:numPr>
        <w:spacing w:after="141" w:line="259" w:lineRule="auto"/>
        <w:ind w:right="349" w:hanging="169"/>
      </w:pPr>
      <w:r>
        <w:t>For protein 1HY7, 7 generated molecule exhibited higher binding affinity than the ChEMBL reference</w:t>
      </w:r>
    </w:p>
    <w:p w:rsidR="00543912" w:rsidRDefault="00000000">
      <w:pPr>
        <w:spacing w:after="323" w:line="259" w:lineRule="auto"/>
        <w:ind w:left="508" w:right="349"/>
      </w:pPr>
      <w:r>
        <w:t>ligands.</w:t>
      </w:r>
    </w:p>
    <w:p w:rsidR="00543912" w:rsidRDefault="00000000">
      <w:pPr>
        <w:numPr>
          <w:ilvl w:val="0"/>
          <w:numId w:val="9"/>
        </w:numPr>
        <w:spacing w:after="141" w:line="259" w:lineRule="auto"/>
        <w:ind w:right="349" w:hanging="169"/>
      </w:pPr>
      <w:r>
        <w:t>For protein 2D9Z, 1 generated molecules exhibited higher binding affinity than the ChEMBL reference</w:t>
      </w:r>
    </w:p>
    <w:p w:rsidR="00543912" w:rsidRDefault="00000000">
      <w:pPr>
        <w:spacing w:after="323" w:line="259" w:lineRule="auto"/>
        <w:ind w:left="508" w:right="349"/>
      </w:pPr>
      <w:r>
        <w:t>ligands.</w:t>
      </w:r>
    </w:p>
    <w:p w:rsidR="00543912" w:rsidRDefault="00000000">
      <w:pPr>
        <w:numPr>
          <w:ilvl w:val="0"/>
          <w:numId w:val="9"/>
        </w:numPr>
        <w:spacing w:after="141" w:line="259" w:lineRule="auto"/>
        <w:ind w:right="349" w:hanging="169"/>
      </w:pPr>
      <w:r>
        <w:t>For protein 3ZCW, 3 generated molecule exhibited higher binding affinity than the ChEMBL reference</w:t>
      </w:r>
    </w:p>
    <w:p w:rsidR="00543912" w:rsidRDefault="00000000">
      <w:pPr>
        <w:spacing w:after="323" w:line="259" w:lineRule="auto"/>
        <w:ind w:left="508" w:right="349"/>
      </w:pPr>
      <w:r>
        <w:t>ligands.</w:t>
      </w:r>
    </w:p>
    <w:p w:rsidR="00543912" w:rsidRDefault="00000000">
      <w:pPr>
        <w:numPr>
          <w:ilvl w:val="0"/>
          <w:numId w:val="9"/>
        </w:numPr>
        <w:spacing w:after="178"/>
        <w:ind w:right="349" w:hanging="169"/>
      </w:pPr>
      <w:r>
        <w:t>For protein 3D59, 5 generated molecules demonstrated superior binding affinity compared to the ChEMBL reference ligands.</w:t>
      </w:r>
    </w:p>
    <w:p w:rsidR="00543912" w:rsidRDefault="00000000">
      <w:pPr>
        <w:numPr>
          <w:ilvl w:val="0"/>
          <w:numId w:val="9"/>
        </w:numPr>
        <w:spacing w:after="141" w:line="259" w:lineRule="auto"/>
        <w:ind w:right="349" w:hanging="169"/>
      </w:pPr>
      <w:r>
        <w:t>For protein 4A69, 49 generated molecules showed higher binding affinity relative to the ChEMBL reference</w:t>
      </w:r>
    </w:p>
    <w:p w:rsidR="00543912" w:rsidRDefault="00000000">
      <w:pPr>
        <w:spacing w:after="323" w:line="259" w:lineRule="auto"/>
        <w:ind w:left="508" w:right="349"/>
      </w:pPr>
      <w:r>
        <w:t>ligands.</w:t>
      </w:r>
    </w:p>
    <w:p w:rsidR="00543912" w:rsidRDefault="00000000">
      <w:pPr>
        <w:numPr>
          <w:ilvl w:val="0"/>
          <w:numId w:val="9"/>
        </w:numPr>
        <w:spacing w:after="141" w:line="259" w:lineRule="auto"/>
        <w:ind w:right="349" w:hanging="169"/>
      </w:pPr>
      <w:r>
        <w:t>For protein 4XAQ, 1 generated molecules showed higher binding affinity relative to the ChEMBL reference</w:t>
      </w:r>
    </w:p>
    <w:p w:rsidR="00543912" w:rsidRDefault="00000000">
      <w:pPr>
        <w:spacing w:after="323" w:line="259" w:lineRule="auto"/>
        <w:ind w:left="508" w:right="349"/>
      </w:pPr>
      <w:r>
        <w:t>ligands.</w:t>
      </w:r>
    </w:p>
    <w:p w:rsidR="00543912" w:rsidRDefault="00000000">
      <w:pPr>
        <w:numPr>
          <w:ilvl w:val="0"/>
          <w:numId w:val="9"/>
        </w:numPr>
        <w:spacing w:line="259" w:lineRule="auto"/>
        <w:ind w:right="349" w:hanging="169"/>
      </w:pPr>
      <w:r>
        <w:t>For protein 6Y3C, 22 generated molecules had higher binding affinity than the ChEMBL reference ligands.</w:t>
      </w:r>
    </w:p>
    <w:p w:rsidR="00543912" w:rsidRDefault="00000000">
      <w:pPr>
        <w:numPr>
          <w:ilvl w:val="0"/>
          <w:numId w:val="9"/>
        </w:numPr>
        <w:spacing w:after="201"/>
        <w:ind w:right="349" w:hanging="169"/>
      </w:pPr>
      <w:r>
        <w:t>For protein 8X8L, 4 generated molecules displayed higher binding affinity compared to the ChEMBL reference ligands.</w:t>
      </w:r>
    </w:p>
    <w:p w:rsidR="00543912" w:rsidRDefault="00000000">
      <w:pPr>
        <w:spacing w:after="0" w:line="259" w:lineRule="auto"/>
        <w:ind w:left="120" w:right="474"/>
        <w:jc w:val="center"/>
      </w:pPr>
      <w:r>
        <w:t>Table 4: Generated Molecules with Improved Binding Affinity Compared to Test Set</w:t>
      </w:r>
    </w:p>
    <w:tbl>
      <w:tblPr>
        <w:tblStyle w:val="TableGrid"/>
        <w:tblW w:w="8777" w:type="dxa"/>
        <w:tblInd w:w="124" w:type="dxa"/>
        <w:tblCellMar>
          <w:top w:w="30" w:type="dxa"/>
          <w:left w:w="124" w:type="dxa"/>
          <w:bottom w:w="0" w:type="dxa"/>
          <w:right w:w="115" w:type="dxa"/>
        </w:tblCellMar>
        <w:tblLook w:val="04A0" w:firstRow="1" w:lastRow="0" w:firstColumn="1" w:lastColumn="0" w:noHBand="0" w:noVBand="1"/>
      </w:tblPr>
      <w:tblGrid>
        <w:gridCol w:w="1480"/>
        <w:gridCol w:w="2210"/>
        <w:gridCol w:w="2217"/>
        <w:gridCol w:w="2870"/>
      </w:tblGrid>
      <w:tr w:rsidR="00543912">
        <w:trPr>
          <w:trHeight w:val="247"/>
        </w:trPr>
        <w:tc>
          <w:tcPr>
            <w:tcW w:w="1479" w:type="dxa"/>
            <w:tcBorders>
              <w:top w:val="single" w:sz="3" w:space="0" w:color="000000"/>
              <w:left w:val="single" w:sz="3" w:space="0" w:color="000000"/>
              <w:bottom w:val="single" w:sz="3" w:space="0" w:color="000000"/>
              <w:right w:val="single" w:sz="3" w:space="0" w:color="000000"/>
            </w:tcBorders>
          </w:tcPr>
          <w:p w:rsidR="00543912" w:rsidRDefault="00000000">
            <w:pPr>
              <w:spacing w:after="0" w:line="259" w:lineRule="auto"/>
              <w:ind w:left="0" w:right="0" w:firstLine="0"/>
              <w:jc w:val="left"/>
            </w:pPr>
            <w:r>
              <w:t>Protein Target</w:t>
            </w:r>
          </w:p>
        </w:tc>
        <w:tc>
          <w:tcPr>
            <w:tcW w:w="2210" w:type="dxa"/>
            <w:tcBorders>
              <w:top w:val="single" w:sz="3" w:space="0" w:color="000000"/>
              <w:left w:val="single" w:sz="3" w:space="0" w:color="000000"/>
              <w:bottom w:val="single" w:sz="3" w:space="0" w:color="000000"/>
              <w:right w:val="single" w:sz="3" w:space="0" w:color="000000"/>
            </w:tcBorders>
          </w:tcPr>
          <w:p w:rsidR="00543912" w:rsidRDefault="00000000">
            <w:pPr>
              <w:spacing w:after="0" w:line="259" w:lineRule="auto"/>
              <w:ind w:left="0" w:right="0" w:firstLine="0"/>
              <w:jc w:val="left"/>
            </w:pPr>
            <w:r>
              <w:t>Test Affinity (kcal/mol)</w:t>
            </w:r>
          </w:p>
        </w:tc>
        <w:tc>
          <w:tcPr>
            <w:tcW w:w="2217" w:type="dxa"/>
            <w:tcBorders>
              <w:top w:val="single" w:sz="3" w:space="0" w:color="000000"/>
              <w:left w:val="single" w:sz="3" w:space="0" w:color="000000"/>
              <w:bottom w:val="single" w:sz="3" w:space="0" w:color="000000"/>
              <w:right w:val="single" w:sz="3" w:space="0" w:color="000000"/>
            </w:tcBorders>
          </w:tcPr>
          <w:p w:rsidR="00543912" w:rsidRDefault="00000000">
            <w:pPr>
              <w:spacing w:after="0" w:line="259" w:lineRule="auto"/>
              <w:ind w:left="0" w:right="0" w:firstLine="0"/>
              <w:jc w:val="left"/>
            </w:pPr>
            <w:r>
              <w:t>Gen Affinity (kcal/mol)</w:t>
            </w:r>
          </w:p>
        </w:tc>
        <w:tc>
          <w:tcPr>
            <w:tcW w:w="2870" w:type="dxa"/>
            <w:tcBorders>
              <w:top w:val="single" w:sz="3" w:space="0" w:color="000000"/>
              <w:left w:val="single" w:sz="3" w:space="0" w:color="000000"/>
              <w:bottom w:val="single" w:sz="3" w:space="0" w:color="000000"/>
              <w:right w:val="single" w:sz="3" w:space="0" w:color="000000"/>
            </w:tcBorders>
          </w:tcPr>
          <w:p w:rsidR="00543912" w:rsidRDefault="00000000">
            <w:pPr>
              <w:spacing w:after="0" w:line="259" w:lineRule="auto"/>
              <w:ind w:left="0" w:right="0" w:firstLine="0"/>
              <w:jc w:val="left"/>
            </w:pPr>
            <w:r>
              <w:t>N° Improved Generated Drugs</w:t>
            </w:r>
          </w:p>
        </w:tc>
      </w:tr>
      <w:tr w:rsidR="00543912">
        <w:trPr>
          <w:trHeight w:val="245"/>
        </w:trPr>
        <w:tc>
          <w:tcPr>
            <w:tcW w:w="1479" w:type="dxa"/>
            <w:tcBorders>
              <w:top w:val="single" w:sz="3" w:space="0" w:color="000000"/>
              <w:left w:val="single" w:sz="3" w:space="0" w:color="000000"/>
              <w:bottom w:val="nil"/>
              <w:right w:val="single" w:sz="3" w:space="0" w:color="000000"/>
            </w:tcBorders>
          </w:tcPr>
          <w:p w:rsidR="00543912" w:rsidRDefault="00000000">
            <w:pPr>
              <w:spacing w:after="0" w:line="259" w:lineRule="auto"/>
              <w:ind w:left="0" w:right="0" w:firstLine="0"/>
              <w:jc w:val="left"/>
            </w:pPr>
            <w:r>
              <w:t>1HY7</w:t>
            </w:r>
          </w:p>
        </w:tc>
        <w:tc>
          <w:tcPr>
            <w:tcW w:w="2210" w:type="dxa"/>
            <w:tcBorders>
              <w:top w:val="single" w:sz="3" w:space="0" w:color="000000"/>
              <w:left w:val="single" w:sz="3" w:space="0" w:color="000000"/>
              <w:bottom w:val="nil"/>
              <w:right w:val="single" w:sz="3" w:space="0" w:color="000000"/>
            </w:tcBorders>
          </w:tcPr>
          <w:p w:rsidR="00543912" w:rsidRDefault="00000000">
            <w:pPr>
              <w:spacing w:after="0" w:line="259" w:lineRule="auto"/>
              <w:ind w:left="0" w:right="8" w:firstLine="0"/>
              <w:jc w:val="center"/>
            </w:pPr>
            <w:r>
              <w:t>-10.24</w:t>
            </w:r>
          </w:p>
        </w:tc>
        <w:tc>
          <w:tcPr>
            <w:tcW w:w="2217" w:type="dxa"/>
            <w:tcBorders>
              <w:top w:val="single" w:sz="3" w:space="0" w:color="000000"/>
              <w:left w:val="single" w:sz="3" w:space="0" w:color="000000"/>
              <w:bottom w:val="nil"/>
              <w:right w:val="single" w:sz="3" w:space="0" w:color="000000"/>
            </w:tcBorders>
          </w:tcPr>
          <w:p w:rsidR="00543912" w:rsidRDefault="00000000">
            <w:pPr>
              <w:spacing w:after="0" w:line="259" w:lineRule="auto"/>
              <w:ind w:left="0" w:right="8" w:firstLine="0"/>
              <w:jc w:val="center"/>
            </w:pPr>
            <w:r>
              <w:t>-11.45</w:t>
            </w:r>
          </w:p>
        </w:tc>
        <w:tc>
          <w:tcPr>
            <w:tcW w:w="2870" w:type="dxa"/>
            <w:tcBorders>
              <w:top w:val="single" w:sz="3" w:space="0" w:color="000000"/>
              <w:left w:val="single" w:sz="3" w:space="0" w:color="000000"/>
              <w:bottom w:val="nil"/>
              <w:right w:val="single" w:sz="3" w:space="0" w:color="000000"/>
            </w:tcBorders>
          </w:tcPr>
          <w:p w:rsidR="00543912" w:rsidRDefault="00000000">
            <w:pPr>
              <w:spacing w:after="0" w:line="259" w:lineRule="auto"/>
              <w:ind w:left="0" w:right="8" w:firstLine="0"/>
              <w:jc w:val="center"/>
            </w:pPr>
            <w:r>
              <w:t>7</w:t>
            </w:r>
          </w:p>
        </w:tc>
      </w:tr>
      <w:tr w:rsidR="00543912">
        <w:trPr>
          <w:trHeight w:val="239"/>
        </w:trPr>
        <w:tc>
          <w:tcPr>
            <w:tcW w:w="1479" w:type="dxa"/>
            <w:tcBorders>
              <w:top w:val="nil"/>
              <w:left w:val="single" w:sz="3" w:space="0" w:color="000000"/>
              <w:bottom w:val="nil"/>
              <w:right w:val="single" w:sz="3" w:space="0" w:color="000000"/>
            </w:tcBorders>
          </w:tcPr>
          <w:p w:rsidR="00543912" w:rsidRDefault="00000000">
            <w:pPr>
              <w:spacing w:after="0" w:line="259" w:lineRule="auto"/>
              <w:ind w:left="0" w:right="0" w:firstLine="0"/>
              <w:jc w:val="left"/>
            </w:pPr>
            <w:r>
              <w:t>2D9Z</w:t>
            </w:r>
          </w:p>
        </w:tc>
        <w:tc>
          <w:tcPr>
            <w:tcW w:w="2210"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-7.63</w:t>
            </w:r>
          </w:p>
        </w:tc>
        <w:tc>
          <w:tcPr>
            <w:tcW w:w="2217"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-8.28</w:t>
            </w:r>
          </w:p>
        </w:tc>
        <w:tc>
          <w:tcPr>
            <w:tcW w:w="2870"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1</w:t>
            </w:r>
          </w:p>
        </w:tc>
      </w:tr>
      <w:tr w:rsidR="00543912">
        <w:trPr>
          <w:trHeight w:val="239"/>
        </w:trPr>
        <w:tc>
          <w:tcPr>
            <w:tcW w:w="1479" w:type="dxa"/>
            <w:tcBorders>
              <w:top w:val="nil"/>
              <w:left w:val="single" w:sz="3" w:space="0" w:color="000000"/>
              <w:bottom w:val="nil"/>
              <w:right w:val="single" w:sz="3" w:space="0" w:color="000000"/>
            </w:tcBorders>
          </w:tcPr>
          <w:p w:rsidR="00543912" w:rsidRDefault="00000000">
            <w:pPr>
              <w:spacing w:after="0" w:line="259" w:lineRule="auto"/>
              <w:ind w:left="0" w:right="0" w:firstLine="0"/>
              <w:jc w:val="left"/>
            </w:pPr>
            <w:r>
              <w:t>3ZCW</w:t>
            </w:r>
          </w:p>
        </w:tc>
        <w:tc>
          <w:tcPr>
            <w:tcW w:w="2210"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-10.16</w:t>
            </w:r>
          </w:p>
        </w:tc>
        <w:tc>
          <w:tcPr>
            <w:tcW w:w="2217"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-10.79</w:t>
            </w:r>
          </w:p>
        </w:tc>
        <w:tc>
          <w:tcPr>
            <w:tcW w:w="2870"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3</w:t>
            </w:r>
          </w:p>
        </w:tc>
      </w:tr>
      <w:tr w:rsidR="00543912">
        <w:trPr>
          <w:trHeight w:val="239"/>
        </w:trPr>
        <w:tc>
          <w:tcPr>
            <w:tcW w:w="1479" w:type="dxa"/>
            <w:tcBorders>
              <w:top w:val="nil"/>
              <w:left w:val="single" w:sz="3" w:space="0" w:color="000000"/>
              <w:bottom w:val="nil"/>
              <w:right w:val="single" w:sz="3" w:space="0" w:color="000000"/>
            </w:tcBorders>
          </w:tcPr>
          <w:p w:rsidR="00543912" w:rsidRDefault="00000000">
            <w:pPr>
              <w:spacing w:after="0" w:line="259" w:lineRule="auto"/>
              <w:ind w:left="0" w:right="0" w:firstLine="0"/>
              <w:jc w:val="left"/>
            </w:pPr>
            <w:r>
              <w:t>3D59</w:t>
            </w:r>
          </w:p>
        </w:tc>
        <w:tc>
          <w:tcPr>
            <w:tcW w:w="2210"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-9.48</w:t>
            </w:r>
          </w:p>
        </w:tc>
        <w:tc>
          <w:tcPr>
            <w:tcW w:w="2217"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-10.43</w:t>
            </w:r>
          </w:p>
        </w:tc>
        <w:tc>
          <w:tcPr>
            <w:tcW w:w="2870"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5</w:t>
            </w:r>
          </w:p>
        </w:tc>
      </w:tr>
      <w:tr w:rsidR="00543912">
        <w:trPr>
          <w:trHeight w:val="239"/>
        </w:trPr>
        <w:tc>
          <w:tcPr>
            <w:tcW w:w="1479" w:type="dxa"/>
            <w:tcBorders>
              <w:top w:val="nil"/>
              <w:left w:val="single" w:sz="3" w:space="0" w:color="000000"/>
              <w:bottom w:val="nil"/>
              <w:right w:val="single" w:sz="3" w:space="0" w:color="000000"/>
            </w:tcBorders>
          </w:tcPr>
          <w:p w:rsidR="00543912" w:rsidRDefault="00000000">
            <w:pPr>
              <w:spacing w:after="0" w:line="259" w:lineRule="auto"/>
              <w:ind w:left="0" w:right="0" w:firstLine="0"/>
              <w:jc w:val="left"/>
            </w:pPr>
            <w:r>
              <w:t>4A69</w:t>
            </w:r>
          </w:p>
        </w:tc>
        <w:tc>
          <w:tcPr>
            <w:tcW w:w="2210"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-8.05</w:t>
            </w:r>
          </w:p>
        </w:tc>
        <w:tc>
          <w:tcPr>
            <w:tcW w:w="2217"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-9.97</w:t>
            </w:r>
          </w:p>
        </w:tc>
        <w:tc>
          <w:tcPr>
            <w:tcW w:w="2870"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49</w:t>
            </w:r>
          </w:p>
        </w:tc>
      </w:tr>
      <w:tr w:rsidR="00543912">
        <w:trPr>
          <w:trHeight w:val="239"/>
        </w:trPr>
        <w:tc>
          <w:tcPr>
            <w:tcW w:w="1479" w:type="dxa"/>
            <w:tcBorders>
              <w:top w:val="nil"/>
              <w:left w:val="single" w:sz="3" w:space="0" w:color="000000"/>
              <w:bottom w:val="nil"/>
              <w:right w:val="single" w:sz="3" w:space="0" w:color="000000"/>
            </w:tcBorders>
          </w:tcPr>
          <w:p w:rsidR="00543912" w:rsidRDefault="00000000">
            <w:pPr>
              <w:spacing w:after="0" w:line="259" w:lineRule="auto"/>
              <w:ind w:left="0" w:right="0" w:firstLine="0"/>
              <w:jc w:val="left"/>
            </w:pPr>
            <w:r>
              <w:t>4XAQ</w:t>
            </w:r>
          </w:p>
        </w:tc>
        <w:tc>
          <w:tcPr>
            <w:tcW w:w="2210"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-9.56</w:t>
            </w:r>
          </w:p>
        </w:tc>
        <w:tc>
          <w:tcPr>
            <w:tcW w:w="2217"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-9.76</w:t>
            </w:r>
          </w:p>
        </w:tc>
        <w:tc>
          <w:tcPr>
            <w:tcW w:w="2870"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1</w:t>
            </w:r>
          </w:p>
        </w:tc>
      </w:tr>
      <w:tr w:rsidR="00543912">
        <w:trPr>
          <w:trHeight w:val="239"/>
        </w:trPr>
        <w:tc>
          <w:tcPr>
            <w:tcW w:w="1479" w:type="dxa"/>
            <w:tcBorders>
              <w:top w:val="nil"/>
              <w:left w:val="single" w:sz="3" w:space="0" w:color="000000"/>
              <w:bottom w:val="nil"/>
              <w:right w:val="single" w:sz="3" w:space="0" w:color="000000"/>
            </w:tcBorders>
          </w:tcPr>
          <w:p w:rsidR="00543912" w:rsidRDefault="00000000">
            <w:pPr>
              <w:spacing w:after="0" w:line="259" w:lineRule="auto"/>
              <w:ind w:left="0" w:right="0" w:firstLine="0"/>
              <w:jc w:val="left"/>
            </w:pPr>
            <w:r>
              <w:t>6Y3C</w:t>
            </w:r>
          </w:p>
        </w:tc>
        <w:tc>
          <w:tcPr>
            <w:tcW w:w="2210"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-9.67</w:t>
            </w:r>
          </w:p>
        </w:tc>
        <w:tc>
          <w:tcPr>
            <w:tcW w:w="2217"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-10.80</w:t>
            </w:r>
          </w:p>
        </w:tc>
        <w:tc>
          <w:tcPr>
            <w:tcW w:w="2870" w:type="dxa"/>
            <w:tcBorders>
              <w:top w:val="nil"/>
              <w:left w:val="single" w:sz="3" w:space="0" w:color="000000"/>
              <w:bottom w:val="nil"/>
              <w:right w:val="single" w:sz="3" w:space="0" w:color="000000"/>
            </w:tcBorders>
          </w:tcPr>
          <w:p w:rsidR="00543912" w:rsidRDefault="00000000">
            <w:pPr>
              <w:spacing w:after="0" w:line="259" w:lineRule="auto"/>
              <w:ind w:left="0" w:right="8" w:firstLine="0"/>
              <w:jc w:val="center"/>
            </w:pPr>
            <w:r>
              <w:t>22</w:t>
            </w:r>
          </w:p>
        </w:tc>
      </w:tr>
      <w:tr w:rsidR="00543912">
        <w:trPr>
          <w:trHeight w:val="241"/>
        </w:trPr>
        <w:tc>
          <w:tcPr>
            <w:tcW w:w="1479" w:type="dxa"/>
            <w:tcBorders>
              <w:top w:val="nil"/>
              <w:left w:val="single" w:sz="3" w:space="0" w:color="000000"/>
              <w:bottom w:val="single" w:sz="3" w:space="0" w:color="000000"/>
              <w:right w:val="single" w:sz="3" w:space="0" w:color="000000"/>
            </w:tcBorders>
          </w:tcPr>
          <w:p w:rsidR="00543912" w:rsidRDefault="00000000">
            <w:pPr>
              <w:spacing w:after="0" w:line="259" w:lineRule="auto"/>
              <w:ind w:left="0" w:right="0" w:firstLine="0"/>
              <w:jc w:val="left"/>
            </w:pPr>
            <w:r>
              <w:t>8X8L</w:t>
            </w:r>
          </w:p>
        </w:tc>
        <w:tc>
          <w:tcPr>
            <w:tcW w:w="2210" w:type="dxa"/>
            <w:tcBorders>
              <w:top w:val="nil"/>
              <w:left w:val="single" w:sz="3" w:space="0" w:color="000000"/>
              <w:bottom w:val="single" w:sz="3" w:space="0" w:color="000000"/>
              <w:right w:val="single" w:sz="3" w:space="0" w:color="000000"/>
            </w:tcBorders>
          </w:tcPr>
          <w:p w:rsidR="00543912" w:rsidRDefault="00000000">
            <w:pPr>
              <w:spacing w:after="0" w:line="259" w:lineRule="auto"/>
              <w:ind w:left="0" w:right="8" w:firstLine="0"/>
              <w:jc w:val="center"/>
            </w:pPr>
            <w:r>
              <w:t>-9.97</w:t>
            </w:r>
          </w:p>
        </w:tc>
        <w:tc>
          <w:tcPr>
            <w:tcW w:w="2217" w:type="dxa"/>
            <w:tcBorders>
              <w:top w:val="nil"/>
              <w:left w:val="single" w:sz="3" w:space="0" w:color="000000"/>
              <w:bottom w:val="single" w:sz="3" w:space="0" w:color="000000"/>
              <w:right w:val="single" w:sz="3" w:space="0" w:color="000000"/>
            </w:tcBorders>
          </w:tcPr>
          <w:p w:rsidR="00543912" w:rsidRDefault="00000000">
            <w:pPr>
              <w:spacing w:after="0" w:line="259" w:lineRule="auto"/>
              <w:ind w:left="0" w:right="8" w:firstLine="0"/>
              <w:jc w:val="center"/>
            </w:pPr>
            <w:r>
              <w:t>-10.41</w:t>
            </w:r>
          </w:p>
        </w:tc>
        <w:tc>
          <w:tcPr>
            <w:tcW w:w="2870" w:type="dxa"/>
            <w:tcBorders>
              <w:top w:val="nil"/>
              <w:left w:val="single" w:sz="3" w:space="0" w:color="000000"/>
              <w:bottom w:val="single" w:sz="3" w:space="0" w:color="000000"/>
              <w:right w:val="single" w:sz="3" w:space="0" w:color="000000"/>
            </w:tcBorders>
          </w:tcPr>
          <w:p w:rsidR="00543912" w:rsidRDefault="00000000">
            <w:pPr>
              <w:spacing w:after="0" w:line="259" w:lineRule="auto"/>
              <w:ind w:left="0" w:right="8" w:firstLine="0"/>
              <w:jc w:val="center"/>
            </w:pPr>
            <w:r>
              <w:t>4</w:t>
            </w:r>
          </w:p>
        </w:tc>
      </w:tr>
    </w:tbl>
    <w:p w:rsidR="00543912" w:rsidRDefault="00000000">
      <w:pPr>
        <w:spacing w:after="139" w:line="259" w:lineRule="auto"/>
        <w:ind w:right="349"/>
        <w:jc w:val="right"/>
      </w:pPr>
      <w:r>
        <w:t>These results were further validated using ADMET (Absorption, Distribution, Metabolism, Excretion, and</w:t>
      </w:r>
    </w:p>
    <w:p w:rsidR="00543912" w:rsidRDefault="00000000">
      <w:pPr>
        <w:spacing w:after="404"/>
        <w:ind w:left="-5" w:right="349"/>
      </w:pPr>
      <w:r>
        <w:t>Toxicity) testing to ensure the drug-like properties of the generated molecules</w:t>
      </w:r>
    </w:p>
    <w:p w:rsidR="00543912" w:rsidRDefault="00000000">
      <w:pPr>
        <w:pStyle w:val="Heading2"/>
        <w:tabs>
          <w:tab w:val="center" w:pos="3808"/>
        </w:tabs>
        <w:spacing w:after="302"/>
        <w:ind w:left="-15" w:firstLine="0"/>
      </w:pPr>
      <w:r>
        <w:t>4.6</w:t>
      </w:r>
      <w:r>
        <w:tab/>
        <w:t>Comparison between the generated drug and the reference drug</w:t>
      </w:r>
    </w:p>
    <w:p w:rsidR="00543912" w:rsidRDefault="00000000">
      <w:pPr>
        <w:spacing w:after="0" w:line="259" w:lineRule="auto"/>
        <w:ind w:left="120" w:right="474"/>
        <w:jc w:val="center"/>
      </w:pPr>
      <w:r>
        <w:t>Table 5: Comparison of Reference Drugs vs. Generated Compounds Across Different Protein Targets</w:t>
      </w:r>
    </w:p>
    <w:p w:rsidR="00543912" w:rsidRDefault="00000000">
      <w:pPr>
        <w:spacing w:after="163" w:line="259" w:lineRule="auto"/>
        <w:ind w:left="602" w:right="0" w:firstLine="0"/>
        <w:jc w:val="left"/>
      </w:pPr>
      <w:r>
        <w:rPr>
          <w:noProof/>
          <w:sz w:val="22"/>
        </w:rPr>
        <mc:AlternateContent>
          <mc:Choice Requires="wpg">
            <w:drawing>
              <wp:inline distT="0" distB="0" distL="0" distR="0">
                <wp:extent cx="4966920" cy="10122"/>
                <wp:effectExtent l="0" t="0" r="0" b="0"/>
                <wp:docPr id="25815" name="Group 25815"/>
                <wp:cNvGraphicFramePr/>
                <a:graphic xmlns:a="http://schemas.openxmlformats.org/drawingml/2006/main">
                  <a:graphicData uri="http://schemas.microsoft.com/office/word/2010/wordprocessingGroup">
                    <wpg:wgp>
                      <wpg:cNvGrpSpPr/>
                      <wpg:grpSpPr>
                        <a:xfrm>
                          <a:off x="0" y="0"/>
                          <a:ext cx="4966920" cy="10122"/>
                          <a:chOff x="0" y="0"/>
                          <a:chExt cx="4966920" cy="10122"/>
                        </a:xfrm>
                      </wpg:grpSpPr>
                      <wps:wsp>
                        <wps:cNvPr id="1396" name="Shape 1396"/>
                        <wps:cNvSpPr/>
                        <wps:spPr>
                          <a:xfrm>
                            <a:off x="0" y="0"/>
                            <a:ext cx="4966920" cy="0"/>
                          </a:xfrm>
                          <a:custGeom>
                            <a:avLst/>
                            <a:gdLst/>
                            <a:ahLst/>
                            <a:cxnLst/>
                            <a:rect l="0" t="0" r="0" b="0"/>
                            <a:pathLst>
                              <a:path w="4966920">
                                <a:moveTo>
                                  <a:pt x="0" y="0"/>
                                </a:moveTo>
                                <a:lnTo>
                                  <a:pt x="4966920" y="0"/>
                                </a:lnTo>
                              </a:path>
                            </a:pathLst>
                          </a:custGeom>
                          <a:ln w="10122"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5815" style="width:391.096pt;height:0.797pt;mso-position-horizontal-relative:char;mso-position-vertical-relative:line" coordsize="49669,101">
                <v:shape id="Shape 1396" style="position:absolute;width:49669;height:0;left:0;top:0;" coordsize="4966920,0" path="m0,0l4966920,0">
                  <v:stroke weight="0.797pt" endcap="flat" joinstyle="miter" miterlimit="10" on="true" color="#000000"/>
                  <v:fill on="false" color="#000000" opacity="0"/>
                </v:shape>
              </v:group>
            </w:pict>
          </mc:Fallback>
        </mc:AlternateContent>
      </w:r>
    </w:p>
    <w:tbl>
      <w:tblPr>
        <w:tblStyle w:val="TableGrid"/>
        <w:tblW w:w="7822" w:type="dxa"/>
        <w:tblInd w:w="602" w:type="dxa"/>
        <w:tblCellMar>
          <w:top w:w="33" w:type="dxa"/>
          <w:left w:w="0" w:type="dxa"/>
          <w:bottom w:w="0" w:type="dxa"/>
          <w:right w:w="0" w:type="dxa"/>
        </w:tblCellMar>
        <w:tblLook w:val="04A0" w:firstRow="1" w:lastRow="0" w:firstColumn="1" w:lastColumn="0" w:noHBand="0" w:noVBand="1"/>
      </w:tblPr>
      <w:tblGrid>
        <w:gridCol w:w="659"/>
        <w:gridCol w:w="1263"/>
        <w:gridCol w:w="5239"/>
        <w:gridCol w:w="573"/>
        <w:gridCol w:w="916"/>
      </w:tblGrid>
      <w:tr w:rsidR="00543912">
        <w:trPr>
          <w:trHeight w:val="767"/>
        </w:trPr>
        <w:tc>
          <w:tcPr>
            <w:tcW w:w="1039" w:type="dxa"/>
            <w:tcBorders>
              <w:top w:val="nil"/>
              <w:left w:val="nil"/>
              <w:bottom w:val="nil"/>
              <w:right w:val="nil"/>
            </w:tcBorders>
          </w:tcPr>
          <w:p w:rsidR="00543912" w:rsidRDefault="00000000">
            <w:pPr>
              <w:spacing w:after="129" w:line="259" w:lineRule="auto"/>
              <w:ind w:left="120" w:right="0" w:firstLine="0"/>
              <w:jc w:val="left"/>
            </w:pPr>
            <w:r>
              <w:rPr>
                <w:sz w:val="18"/>
              </w:rPr>
              <w:t>Target</w:t>
            </w:r>
          </w:p>
          <w:p w:rsidR="00543912" w:rsidRDefault="00000000">
            <w:pPr>
              <w:spacing w:after="0" w:line="259" w:lineRule="auto"/>
              <w:ind w:left="120" w:right="0" w:firstLine="0"/>
              <w:jc w:val="left"/>
            </w:pPr>
            <w:r>
              <w:rPr>
                <w:sz w:val="18"/>
              </w:rPr>
              <w:t>(PDB)</w:t>
            </w:r>
          </w:p>
        </w:tc>
        <w:tc>
          <w:tcPr>
            <w:tcW w:w="1543" w:type="dxa"/>
            <w:tcBorders>
              <w:top w:val="nil"/>
              <w:left w:val="nil"/>
              <w:bottom w:val="nil"/>
              <w:right w:val="nil"/>
            </w:tcBorders>
          </w:tcPr>
          <w:p w:rsidR="00543912" w:rsidRDefault="00000000">
            <w:pPr>
              <w:spacing w:after="0" w:line="259" w:lineRule="auto"/>
              <w:ind w:left="0" w:right="0" w:firstLine="0"/>
              <w:jc w:val="left"/>
            </w:pPr>
            <w:r>
              <w:rPr>
                <w:sz w:val="18"/>
              </w:rPr>
              <w:t>Compound</w:t>
            </w:r>
          </w:p>
        </w:tc>
        <w:tc>
          <w:tcPr>
            <w:tcW w:w="2110" w:type="dxa"/>
            <w:tcBorders>
              <w:top w:val="nil"/>
              <w:left w:val="nil"/>
              <w:bottom w:val="nil"/>
              <w:right w:val="nil"/>
            </w:tcBorders>
          </w:tcPr>
          <w:p w:rsidR="00543912" w:rsidRDefault="00000000">
            <w:pPr>
              <w:spacing w:after="240" w:line="259" w:lineRule="auto"/>
              <w:ind w:left="0" w:right="0" w:firstLine="0"/>
              <w:jc w:val="left"/>
            </w:pPr>
            <w:r>
              <w:rPr>
                <w:sz w:val="18"/>
              </w:rPr>
              <w:t>Interactions</w:t>
            </w:r>
          </w:p>
          <w:p w:rsidR="00543912" w:rsidRDefault="00000000">
            <w:pPr>
              <w:spacing w:after="0" w:line="259" w:lineRule="auto"/>
              <w:ind w:left="-2582" w:right="-3130" w:firstLine="0"/>
              <w:jc w:val="left"/>
            </w:pPr>
            <w:r>
              <w:rPr>
                <w:noProof/>
                <w:sz w:val="22"/>
              </w:rPr>
              <mc:AlternateContent>
                <mc:Choice Requires="wpg">
                  <w:drawing>
                    <wp:inline distT="0" distB="0" distL="0" distR="0">
                      <wp:extent cx="4966920" cy="6325"/>
                      <wp:effectExtent l="0" t="0" r="0" b="0"/>
                      <wp:docPr id="27467" name="Group 27467"/>
                      <wp:cNvGraphicFramePr/>
                      <a:graphic xmlns:a="http://schemas.openxmlformats.org/drawingml/2006/main">
                        <a:graphicData uri="http://schemas.microsoft.com/office/word/2010/wordprocessingGroup">
                          <wpg:wgp>
                            <wpg:cNvGrpSpPr/>
                            <wpg:grpSpPr>
                              <a:xfrm>
                                <a:off x="0" y="0"/>
                                <a:ext cx="4966920" cy="6325"/>
                                <a:chOff x="0" y="0"/>
                                <a:chExt cx="4966920" cy="6325"/>
                              </a:xfrm>
                            </wpg:grpSpPr>
                            <wps:wsp>
                              <wps:cNvPr id="1407" name="Shape 1407"/>
                              <wps:cNvSpPr/>
                              <wps:spPr>
                                <a:xfrm>
                                  <a:off x="0" y="0"/>
                                  <a:ext cx="4966920" cy="0"/>
                                </a:xfrm>
                                <a:custGeom>
                                  <a:avLst/>
                                  <a:gdLst/>
                                  <a:ahLst/>
                                  <a:cxnLst/>
                                  <a:rect l="0" t="0" r="0" b="0"/>
                                  <a:pathLst>
                                    <a:path w="4966920">
                                      <a:moveTo>
                                        <a:pt x="0" y="0"/>
                                      </a:moveTo>
                                      <a:lnTo>
                                        <a:pt x="4966920" y="0"/>
                                      </a:lnTo>
                                    </a:path>
                                  </a:pathLst>
                                </a:custGeom>
                                <a:ln w="6325"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7467" style="width:391.096pt;height:0.498pt;mso-position-horizontal-relative:char;mso-position-vertical-relative:line" coordsize="49669,63">
                      <v:shape id="Shape 1407" style="position:absolute;width:49669;height:0;left:0;top:0;" coordsize="4966920,0" path="m0,0l4966920,0">
                        <v:stroke weight="0.498pt" endcap="flat" joinstyle="miter" miterlimit="10" on="true" color="#000000"/>
                        <v:fill on="false" color="#000000" opacity="0"/>
                      </v:shape>
                    </v:group>
                  </w:pict>
                </mc:Fallback>
              </mc:AlternateContent>
            </w:r>
          </w:p>
        </w:tc>
        <w:tc>
          <w:tcPr>
            <w:tcW w:w="1026" w:type="dxa"/>
            <w:tcBorders>
              <w:top w:val="nil"/>
              <w:left w:val="nil"/>
              <w:bottom w:val="nil"/>
              <w:right w:val="nil"/>
            </w:tcBorders>
          </w:tcPr>
          <w:p w:rsidR="00543912" w:rsidRDefault="00000000">
            <w:pPr>
              <w:spacing w:after="0" w:line="259" w:lineRule="auto"/>
              <w:ind w:left="0" w:right="0" w:firstLine="0"/>
              <w:jc w:val="left"/>
            </w:pPr>
            <w:r>
              <w:rPr>
                <w:rFonts w:ascii="Cambria" w:eastAsia="Cambria" w:hAnsi="Cambria" w:cs="Cambria"/>
                <w:sz w:val="18"/>
              </w:rPr>
              <w:t>∆</w:t>
            </w:r>
            <w:r>
              <w:rPr>
                <w:rFonts w:ascii="Cambria" w:eastAsia="Cambria" w:hAnsi="Cambria" w:cs="Cambria"/>
                <w:i/>
                <w:sz w:val="18"/>
              </w:rPr>
              <w:t xml:space="preserve">G </w:t>
            </w:r>
            <w:r>
              <w:rPr>
                <w:sz w:val="18"/>
              </w:rPr>
              <w:t>(</w:t>
            </w:r>
            <w:r>
              <w:rPr>
                <w:rFonts w:ascii="Cambria" w:eastAsia="Cambria" w:hAnsi="Cambria" w:cs="Cambria"/>
                <w:i/>
                <w:sz w:val="12"/>
                <w:u w:val="single" w:color="000000"/>
              </w:rPr>
              <w:t>kcal</w:t>
            </w:r>
            <w:r>
              <w:rPr>
                <w:rFonts w:ascii="Cambria" w:eastAsia="Cambria" w:hAnsi="Cambria" w:cs="Cambria"/>
                <w:i/>
                <w:sz w:val="18"/>
                <w:vertAlign w:val="subscript"/>
              </w:rPr>
              <w:t xml:space="preserve">mol </w:t>
            </w:r>
            <w:r>
              <w:rPr>
                <w:sz w:val="18"/>
              </w:rPr>
              <w:t>)</w:t>
            </w:r>
          </w:p>
        </w:tc>
        <w:tc>
          <w:tcPr>
            <w:tcW w:w="2104" w:type="dxa"/>
            <w:tcBorders>
              <w:top w:val="nil"/>
              <w:left w:val="nil"/>
              <w:bottom w:val="nil"/>
              <w:right w:val="nil"/>
            </w:tcBorders>
          </w:tcPr>
          <w:p w:rsidR="00543912" w:rsidRDefault="00000000">
            <w:pPr>
              <w:spacing w:after="0" w:line="259" w:lineRule="auto"/>
              <w:ind w:left="0" w:right="0" w:firstLine="0"/>
              <w:jc w:val="left"/>
            </w:pPr>
            <w:r>
              <w:rPr>
                <w:sz w:val="18"/>
              </w:rPr>
              <w:t>Binding Mechanism</w:t>
            </w:r>
          </w:p>
        </w:tc>
      </w:tr>
      <w:tr w:rsidR="00543912">
        <w:trPr>
          <w:trHeight w:val="828"/>
        </w:trPr>
        <w:tc>
          <w:tcPr>
            <w:tcW w:w="1039" w:type="dxa"/>
            <w:tcBorders>
              <w:top w:val="nil"/>
              <w:left w:val="nil"/>
              <w:bottom w:val="nil"/>
              <w:right w:val="nil"/>
            </w:tcBorders>
          </w:tcPr>
          <w:p w:rsidR="00543912" w:rsidRDefault="00000000">
            <w:pPr>
              <w:spacing w:after="129" w:line="259" w:lineRule="auto"/>
              <w:ind w:left="120" w:right="0" w:firstLine="0"/>
              <w:jc w:val="left"/>
            </w:pPr>
            <w:r>
              <w:rPr>
                <w:sz w:val="18"/>
              </w:rPr>
              <w:t>HDAC3</w:t>
            </w:r>
          </w:p>
          <w:p w:rsidR="00543912" w:rsidRDefault="00000000">
            <w:pPr>
              <w:spacing w:after="0" w:line="259" w:lineRule="auto"/>
              <w:ind w:left="120" w:right="0" w:firstLine="0"/>
              <w:jc w:val="left"/>
            </w:pPr>
            <w:r>
              <w:rPr>
                <w:sz w:val="18"/>
              </w:rPr>
              <w:t>(4A69)</w:t>
            </w:r>
          </w:p>
        </w:tc>
        <w:tc>
          <w:tcPr>
            <w:tcW w:w="1543" w:type="dxa"/>
            <w:tcBorders>
              <w:top w:val="nil"/>
              <w:left w:val="nil"/>
              <w:bottom w:val="nil"/>
              <w:right w:val="nil"/>
            </w:tcBorders>
          </w:tcPr>
          <w:p w:rsidR="00543912" w:rsidRDefault="00000000">
            <w:pPr>
              <w:spacing w:after="0" w:line="259" w:lineRule="auto"/>
              <w:ind w:left="0" w:right="0" w:firstLine="0"/>
              <w:jc w:val="left"/>
            </w:pPr>
            <w:r>
              <w:rPr>
                <w:sz w:val="18"/>
              </w:rPr>
              <w:t>Celecoxib (Ref.)</w:t>
            </w:r>
          </w:p>
        </w:tc>
        <w:tc>
          <w:tcPr>
            <w:tcW w:w="2110" w:type="dxa"/>
            <w:tcBorders>
              <w:top w:val="nil"/>
              <w:left w:val="nil"/>
              <w:bottom w:val="nil"/>
              <w:right w:val="nil"/>
            </w:tcBorders>
          </w:tcPr>
          <w:p w:rsidR="00543912" w:rsidRDefault="00000000">
            <w:pPr>
              <w:spacing w:after="155" w:line="259" w:lineRule="auto"/>
              <w:ind w:left="0" w:right="0" w:firstLine="0"/>
              <w:jc w:val="left"/>
            </w:pPr>
            <w:r>
              <w:rPr>
                <w:sz w:val="18"/>
              </w:rPr>
              <w:t>1 H-bond (TYR51), -</w:t>
            </w:r>
          </w:p>
          <w:p w:rsidR="00543912" w:rsidRDefault="00000000">
            <w:pPr>
              <w:spacing w:after="0" w:line="259" w:lineRule="auto"/>
              <w:ind w:left="0" w:right="0" w:firstLine="0"/>
              <w:jc w:val="left"/>
            </w:pPr>
            <w:r>
              <w:rPr>
                <w:sz w:val="18"/>
              </w:rPr>
              <w:t>CF</w:t>
            </w:r>
            <w:r>
              <w:rPr>
                <w:sz w:val="18"/>
                <w:vertAlign w:val="subscript"/>
              </w:rPr>
              <w:t>3</w:t>
            </w:r>
            <w:r>
              <w:rPr>
                <w:sz w:val="18"/>
              </w:rPr>
              <w:t>/-SO</w:t>
            </w:r>
            <w:r>
              <w:rPr>
                <w:sz w:val="18"/>
                <w:vertAlign w:val="subscript"/>
              </w:rPr>
              <w:t>2</w:t>
            </w:r>
            <w:r>
              <w:rPr>
                <w:sz w:val="18"/>
              </w:rPr>
              <w:t>NH</w:t>
            </w:r>
            <w:r>
              <w:rPr>
                <w:sz w:val="18"/>
                <w:vertAlign w:val="subscript"/>
              </w:rPr>
              <w:t>2</w:t>
            </w:r>
          </w:p>
          <w:p w:rsidR="00543912" w:rsidRDefault="00000000">
            <w:pPr>
              <w:spacing w:after="0" w:line="259" w:lineRule="auto"/>
              <w:ind w:left="-1563" w:right="-3030" w:firstLine="0"/>
              <w:jc w:val="left"/>
            </w:pPr>
            <w:r>
              <w:rPr>
                <w:noProof/>
                <w:sz w:val="22"/>
              </w:rPr>
              <mc:AlternateContent>
                <mc:Choice Requires="wpg">
                  <w:drawing>
                    <wp:inline distT="0" distB="0" distL="0" distR="0">
                      <wp:extent cx="4256571" cy="3797"/>
                      <wp:effectExtent l="0" t="0" r="0" b="0"/>
                      <wp:docPr id="27594" name="Group 27594"/>
                      <wp:cNvGraphicFramePr/>
                      <a:graphic xmlns:a="http://schemas.openxmlformats.org/drawingml/2006/main">
                        <a:graphicData uri="http://schemas.microsoft.com/office/word/2010/wordprocessingGroup">
                          <wpg:wgp>
                            <wpg:cNvGrpSpPr/>
                            <wpg:grpSpPr>
                              <a:xfrm>
                                <a:off x="0" y="0"/>
                                <a:ext cx="4256571" cy="3797"/>
                                <a:chOff x="0" y="0"/>
                                <a:chExt cx="4256571" cy="3797"/>
                              </a:xfrm>
                            </wpg:grpSpPr>
                            <wps:wsp>
                              <wps:cNvPr id="1418" name="Shape 1418"/>
                              <wps:cNvSpPr/>
                              <wps:spPr>
                                <a:xfrm>
                                  <a:off x="0" y="0"/>
                                  <a:ext cx="4256571" cy="0"/>
                                </a:xfrm>
                                <a:custGeom>
                                  <a:avLst/>
                                  <a:gdLst/>
                                  <a:ahLst/>
                                  <a:cxnLst/>
                                  <a:rect l="0" t="0" r="0" b="0"/>
                                  <a:pathLst>
                                    <a:path w="4256571">
                                      <a:moveTo>
                                        <a:pt x="0" y="0"/>
                                      </a:moveTo>
                                      <a:lnTo>
                                        <a:pt x="4256571" y="0"/>
                                      </a:lnTo>
                                    </a:path>
                                  </a:pathLst>
                                </a:custGeom>
                                <a:ln w="3797"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7594" style="width:335.163pt;height:0.299pt;mso-position-horizontal-relative:char;mso-position-vertical-relative:line" coordsize="42565,37">
                      <v:shape id="Shape 1418" style="position:absolute;width:42565;height:0;left:0;top:0;" coordsize="4256571,0" path="m0,0l4256571,0">
                        <v:stroke weight="0.299pt" endcap="flat" joinstyle="miter" miterlimit="10" on="true" color="#000000"/>
                        <v:fill on="false" color="#000000" opacity="0"/>
                      </v:shape>
                    </v:group>
                  </w:pict>
                </mc:Fallback>
              </mc:AlternateContent>
            </w:r>
          </w:p>
        </w:tc>
        <w:tc>
          <w:tcPr>
            <w:tcW w:w="1026" w:type="dxa"/>
            <w:tcBorders>
              <w:top w:val="nil"/>
              <w:left w:val="nil"/>
              <w:bottom w:val="nil"/>
              <w:right w:val="nil"/>
            </w:tcBorders>
          </w:tcPr>
          <w:p w:rsidR="00543912" w:rsidRDefault="00000000">
            <w:pPr>
              <w:spacing w:after="0" w:line="259" w:lineRule="auto"/>
              <w:ind w:left="75" w:right="0" w:firstLine="0"/>
              <w:jc w:val="center"/>
            </w:pPr>
            <w:r>
              <w:rPr>
                <w:sz w:val="18"/>
              </w:rPr>
              <w:t>−8.05</w:t>
            </w:r>
          </w:p>
        </w:tc>
        <w:tc>
          <w:tcPr>
            <w:tcW w:w="2104" w:type="dxa"/>
            <w:tcBorders>
              <w:top w:val="nil"/>
              <w:left w:val="nil"/>
              <w:bottom w:val="nil"/>
              <w:right w:val="nil"/>
            </w:tcBorders>
          </w:tcPr>
          <w:p w:rsidR="00543912" w:rsidRDefault="00000000">
            <w:pPr>
              <w:spacing w:after="0" w:line="259" w:lineRule="auto"/>
              <w:ind w:left="0" w:right="0" w:firstLine="0"/>
              <w:jc w:val="left"/>
            </w:pPr>
            <w:r>
              <w:rPr>
                <w:sz w:val="18"/>
              </w:rPr>
              <w:t>Competitive inhibition</w:t>
            </w:r>
          </w:p>
        </w:tc>
      </w:tr>
      <w:tr w:rsidR="00543912">
        <w:trPr>
          <w:trHeight w:val="830"/>
        </w:trPr>
        <w:tc>
          <w:tcPr>
            <w:tcW w:w="1039" w:type="dxa"/>
            <w:tcBorders>
              <w:top w:val="nil"/>
              <w:left w:val="nil"/>
              <w:bottom w:val="nil"/>
              <w:right w:val="nil"/>
            </w:tcBorders>
          </w:tcPr>
          <w:p w:rsidR="00543912" w:rsidRDefault="00543912">
            <w:pPr>
              <w:spacing w:after="160" w:line="259" w:lineRule="auto"/>
              <w:ind w:left="0" w:right="0" w:firstLine="0"/>
              <w:jc w:val="left"/>
            </w:pPr>
          </w:p>
        </w:tc>
        <w:tc>
          <w:tcPr>
            <w:tcW w:w="1543" w:type="dxa"/>
            <w:tcBorders>
              <w:top w:val="nil"/>
              <w:left w:val="nil"/>
              <w:bottom w:val="nil"/>
              <w:right w:val="nil"/>
            </w:tcBorders>
          </w:tcPr>
          <w:p w:rsidR="00543912" w:rsidRDefault="00000000">
            <w:pPr>
              <w:spacing w:after="0" w:line="259" w:lineRule="auto"/>
              <w:ind w:left="0" w:right="0" w:firstLine="0"/>
              <w:jc w:val="left"/>
            </w:pPr>
            <w:r>
              <w:rPr>
                <w:sz w:val="18"/>
              </w:rPr>
              <w:t>304 (Gen.)</w:t>
            </w:r>
          </w:p>
        </w:tc>
        <w:tc>
          <w:tcPr>
            <w:tcW w:w="2110" w:type="dxa"/>
            <w:tcBorders>
              <w:top w:val="nil"/>
              <w:left w:val="nil"/>
              <w:bottom w:val="nil"/>
              <w:right w:val="nil"/>
            </w:tcBorders>
          </w:tcPr>
          <w:p w:rsidR="00543912" w:rsidRDefault="00000000">
            <w:pPr>
              <w:spacing w:after="0" w:line="406" w:lineRule="auto"/>
              <w:ind w:left="0" w:right="0" w:firstLine="0"/>
              <w:jc w:val="left"/>
            </w:pPr>
            <w:r>
              <w:rPr>
                <w:sz w:val="18"/>
              </w:rPr>
              <w:t>5 H-bonds (TYR298), extensive HIS172/PHE200</w:t>
            </w:r>
          </w:p>
          <w:p w:rsidR="00543912" w:rsidRDefault="00000000">
            <w:pPr>
              <w:spacing w:after="0" w:line="259" w:lineRule="auto"/>
              <w:ind w:left="-2582" w:right="-3130" w:firstLine="0"/>
              <w:jc w:val="left"/>
            </w:pPr>
            <w:r>
              <w:rPr>
                <w:noProof/>
                <w:sz w:val="22"/>
              </w:rPr>
              <mc:AlternateContent>
                <mc:Choice Requires="wpg">
                  <w:drawing>
                    <wp:inline distT="0" distB="0" distL="0" distR="0">
                      <wp:extent cx="4966920" cy="6325"/>
                      <wp:effectExtent l="0" t="0" r="0" b="0"/>
                      <wp:docPr id="27676" name="Group 27676"/>
                      <wp:cNvGraphicFramePr/>
                      <a:graphic xmlns:a="http://schemas.openxmlformats.org/drawingml/2006/main">
                        <a:graphicData uri="http://schemas.microsoft.com/office/word/2010/wordprocessingGroup">
                          <wpg:wgp>
                            <wpg:cNvGrpSpPr/>
                            <wpg:grpSpPr>
                              <a:xfrm>
                                <a:off x="0" y="0"/>
                                <a:ext cx="4966920" cy="6325"/>
                                <a:chOff x="0" y="0"/>
                                <a:chExt cx="4966920" cy="6325"/>
                              </a:xfrm>
                            </wpg:grpSpPr>
                            <wps:wsp>
                              <wps:cNvPr id="1424" name="Shape 1424"/>
                              <wps:cNvSpPr/>
                              <wps:spPr>
                                <a:xfrm>
                                  <a:off x="0" y="0"/>
                                  <a:ext cx="4966920" cy="0"/>
                                </a:xfrm>
                                <a:custGeom>
                                  <a:avLst/>
                                  <a:gdLst/>
                                  <a:ahLst/>
                                  <a:cxnLst/>
                                  <a:rect l="0" t="0" r="0" b="0"/>
                                  <a:pathLst>
                                    <a:path w="4966920">
                                      <a:moveTo>
                                        <a:pt x="0" y="0"/>
                                      </a:moveTo>
                                      <a:lnTo>
                                        <a:pt x="4966920" y="0"/>
                                      </a:lnTo>
                                    </a:path>
                                  </a:pathLst>
                                </a:custGeom>
                                <a:ln w="6325"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7676" style="width:391.096pt;height:0.498pt;mso-position-horizontal-relative:char;mso-position-vertical-relative:line" coordsize="49669,63">
                      <v:shape id="Shape 1424" style="position:absolute;width:49669;height:0;left:0;top:0;" coordsize="4966920,0" path="m0,0l4966920,0">
                        <v:stroke weight="0.498pt" endcap="flat" joinstyle="miter" miterlimit="10" on="true" color="#000000"/>
                        <v:fill on="false" color="#000000" opacity="0"/>
                      </v:shape>
                    </v:group>
                  </w:pict>
                </mc:Fallback>
              </mc:AlternateContent>
            </w:r>
          </w:p>
        </w:tc>
        <w:tc>
          <w:tcPr>
            <w:tcW w:w="1026" w:type="dxa"/>
            <w:tcBorders>
              <w:top w:val="nil"/>
              <w:left w:val="nil"/>
              <w:bottom w:val="nil"/>
              <w:right w:val="nil"/>
            </w:tcBorders>
          </w:tcPr>
          <w:p w:rsidR="00543912" w:rsidRDefault="00000000">
            <w:pPr>
              <w:spacing w:after="0" w:line="259" w:lineRule="auto"/>
              <w:ind w:left="207" w:right="0" w:firstLine="0"/>
              <w:jc w:val="left"/>
            </w:pPr>
            <w:r>
              <w:rPr>
                <w:sz w:val="18"/>
              </w:rPr>
              <w:t>-9.36</w:t>
            </w:r>
          </w:p>
        </w:tc>
        <w:tc>
          <w:tcPr>
            <w:tcW w:w="2104" w:type="dxa"/>
            <w:tcBorders>
              <w:top w:val="nil"/>
              <w:left w:val="nil"/>
              <w:bottom w:val="nil"/>
              <w:right w:val="nil"/>
            </w:tcBorders>
          </w:tcPr>
          <w:p w:rsidR="00543912" w:rsidRDefault="00000000">
            <w:pPr>
              <w:spacing w:after="129" w:line="259" w:lineRule="auto"/>
              <w:ind w:left="0" w:right="0" w:firstLine="0"/>
              <w:jc w:val="left"/>
            </w:pPr>
            <w:r>
              <w:rPr>
                <w:sz w:val="18"/>
              </w:rPr>
              <w:t>Innovative HDAC3 scaf-</w:t>
            </w:r>
          </w:p>
          <w:p w:rsidR="00543912" w:rsidRDefault="00000000">
            <w:pPr>
              <w:spacing w:after="0" w:line="259" w:lineRule="auto"/>
              <w:ind w:left="0" w:right="0" w:firstLine="0"/>
              <w:jc w:val="left"/>
            </w:pPr>
            <w:r>
              <w:rPr>
                <w:sz w:val="18"/>
              </w:rPr>
              <w:t>fold</w:t>
            </w:r>
          </w:p>
        </w:tc>
      </w:tr>
      <w:tr w:rsidR="00543912">
        <w:trPr>
          <w:trHeight w:val="828"/>
        </w:trPr>
        <w:tc>
          <w:tcPr>
            <w:tcW w:w="1039" w:type="dxa"/>
            <w:tcBorders>
              <w:top w:val="nil"/>
              <w:left w:val="nil"/>
              <w:bottom w:val="nil"/>
              <w:right w:val="nil"/>
            </w:tcBorders>
          </w:tcPr>
          <w:p w:rsidR="00543912" w:rsidRDefault="00000000">
            <w:pPr>
              <w:spacing w:after="129" w:line="259" w:lineRule="auto"/>
              <w:ind w:left="120" w:right="0" w:firstLine="0"/>
              <w:jc w:val="left"/>
            </w:pPr>
            <w:r>
              <w:rPr>
                <w:sz w:val="18"/>
              </w:rPr>
              <w:t>KIF11</w:t>
            </w:r>
          </w:p>
          <w:p w:rsidR="00543912" w:rsidRDefault="00000000">
            <w:pPr>
              <w:spacing w:after="0" w:line="259" w:lineRule="auto"/>
              <w:ind w:left="120" w:right="0" w:firstLine="0"/>
              <w:jc w:val="left"/>
            </w:pPr>
            <w:r>
              <w:rPr>
                <w:sz w:val="18"/>
              </w:rPr>
              <w:t>(3ZCW)</w:t>
            </w:r>
          </w:p>
        </w:tc>
        <w:tc>
          <w:tcPr>
            <w:tcW w:w="1543" w:type="dxa"/>
            <w:tcBorders>
              <w:top w:val="nil"/>
              <w:left w:val="nil"/>
              <w:bottom w:val="nil"/>
              <w:right w:val="nil"/>
            </w:tcBorders>
          </w:tcPr>
          <w:p w:rsidR="00543912" w:rsidRDefault="00000000">
            <w:pPr>
              <w:spacing w:after="129" w:line="259" w:lineRule="auto"/>
              <w:ind w:left="0" w:right="0" w:firstLine="0"/>
              <w:jc w:val="left"/>
            </w:pPr>
            <w:r>
              <w:rPr>
                <w:sz w:val="18"/>
              </w:rPr>
              <w:t>CHEMBL557885</w:t>
            </w:r>
          </w:p>
          <w:p w:rsidR="00543912" w:rsidRDefault="00000000">
            <w:pPr>
              <w:spacing w:after="0" w:line="259" w:lineRule="auto"/>
              <w:ind w:left="0" w:right="0" w:firstLine="0"/>
              <w:jc w:val="left"/>
            </w:pPr>
            <w:r>
              <w:rPr>
                <w:sz w:val="18"/>
              </w:rPr>
              <w:t>(Ref.)</w:t>
            </w:r>
          </w:p>
        </w:tc>
        <w:tc>
          <w:tcPr>
            <w:tcW w:w="2110" w:type="dxa"/>
            <w:tcBorders>
              <w:top w:val="nil"/>
              <w:left w:val="nil"/>
              <w:bottom w:val="nil"/>
              <w:right w:val="nil"/>
            </w:tcBorders>
          </w:tcPr>
          <w:p w:rsidR="00543912" w:rsidRDefault="00000000">
            <w:pPr>
              <w:spacing w:after="162" w:line="259" w:lineRule="auto"/>
              <w:ind w:left="0" w:right="0" w:firstLine="0"/>
              <w:jc w:val="left"/>
            </w:pPr>
            <w:r>
              <w:rPr>
                <w:sz w:val="18"/>
              </w:rPr>
              <w:t>Multiple contacts (-CF</w:t>
            </w:r>
            <w:r>
              <w:rPr>
                <w:sz w:val="18"/>
                <w:vertAlign w:val="subscript"/>
              </w:rPr>
              <w:t>3</w:t>
            </w:r>
            <w:r>
              <w:rPr>
                <w:sz w:val="18"/>
              </w:rPr>
              <w:t>/-</w:t>
            </w:r>
          </w:p>
          <w:p w:rsidR="00543912" w:rsidRDefault="00000000">
            <w:pPr>
              <w:spacing w:after="0" w:line="259" w:lineRule="auto"/>
              <w:ind w:left="0" w:right="0" w:firstLine="0"/>
              <w:jc w:val="left"/>
            </w:pPr>
            <w:r>
              <w:rPr>
                <w:sz w:val="18"/>
              </w:rPr>
              <w:t>OCH</w:t>
            </w:r>
            <w:r>
              <w:rPr>
                <w:sz w:val="18"/>
                <w:vertAlign w:val="subscript"/>
              </w:rPr>
              <w:t>3</w:t>
            </w:r>
            <w:r>
              <w:rPr>
                <w:sz w:val="18"/>
              </w:rPr>
              <w:t>), 65</w:t>
            </w:r>
          </w:p>
          <w:p w:rsidR="00543912" w:rsidRDefault="00000000">
            <w:pPr>
              <w:spacing w:after="0" w:line="259" w:lineRule="auto"/>
              <w:ind w:left="-1563" w:right="-3030" w:firstLine="0"/>
              <w:jc w:val="left"/>
            </w:pPr>
            <w:r>
              <w:rPr>
                <w:noProof/>
                <w:sz w:val="22"/>
              </w:rPr>
              <mc:AlternateContent>
                <mc:Choice Requires="wpg">
                  <w:drawing>
                    <wp:inline distT="0" distB="0" distL="0" distR="0">
                      <wp:extent cx="4256571" cy="3797"/>
                      <wp:effectExtent l="0" t="0" r="0" b="0"/>
                      <wp:docPr id="27819" name="Group 27819"/>
                      <wp:cNvGraphicFramePr/>
                      <a:graphic xmlns:a="http://schemas.openxmlformats.org/drawingml/2006/main">
                        <a:graphicData uri="http://schemas.microsoft.com/office/word/2010/wordprocessingGroup">
                          <wpg:wgp>
                            <wpg:cNvGrpSpPr/>
                            <wpg:grpSpPr>
                              <a:xfrm>
                                <a:off x="0" y="0"/>
                                <a:ext cx="4256571" cy="3797"/>
                                <a:chOff x="0" y="0"/>
                                <a:chExt cx="4256571" cy="3797"/>
                              </a:xfrm>
                            </wpg:grpSpPr>
                            <wps:wsp>
                              <wps:cNvPr id="1437" name="Shape 1437"/>
                              <wps:cNvSpPr/>
                              <wps:spPr>
                                <a:xfrm>
                                  <a:off x="0" y="0"/>
                                  <a:ext cx="4256571" cy="0"/>
                                </a:xfrm>
                                <a:custGeom>
                                  <a:avLst/>
                                  <a:gdLst/>
                                  <a:ahLst/>
                                  <a:cxnLst/>
                                  <a:rect l="0" t="0" r="0" b="0"/>
                                  <a:pathLst>
                                    <a:path w="4256571">
                                      <a:moveTo>
                                        <a:pt x="0" y="0"/>
                                      </a:moveTo>
                                      <a:lnTo>
                                        <a:pt x="4256571" y="0"/>
                                      </a:lnTo>
                                    </a:path>
                                  </a:pathLst>
                                </a:custGeom>
                                <a:ln w="3797"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7819" style="width:335.163pt;height:0.299pt;mso-position-horizontal-relative:char;mso-position-vertical-relative:line" coordsize="42565,37">
                      <v:shape id="Shape 1437" style="position:absolute;width:42565;height:0;left:0;top:0;" coordsize="4256571,0" path="m0,0l4256571,0">
                        <v:stroke weight="0.299pt" endcap="flat" joinstyle="miter" miterlimit="10" on="true" color="#000000"/>
                        <v:fill on="false" color="#000000" opacity="0"/>
                      </v:shape>
                    </v:group>
                  </w:pict>
                </mc:Fallback>
              </mc:AlternateContent>
            </w:r>
          </w:p>
        </w:tc>
        <w:tc>
          <w:tcPr>
            <w:tcW w:w="1026" w:type="dxa"/>
            <w:tcBorders>
              <w:top w:val="nil"/>
              <w:left w:val="nil"/>
              <w:bottom w:val="nil"/>
              <w:right w:val="nil"/>
            </w:tcBorders>
          </w:tcPr>
          <w:p w:rsidR="00543912" w:rsidRDefault="00000000">
            <w:pPr>
              <w:spacing w:after="0" w:line="259" w:lineRule="auto"/>
              <w:ind w:left="0" w:right="15" w:firstLine="0"/>
              <w:jc w:val="center"/>
            </w:pPr>
            <w:r>
              <w:rPr>
                <w:sz w:val="18"/>
              </w:rPr>
              <w:t>−10.16</w:t>
            </w:r>
          </w:p>
        </w:tc>
        <w:tc>
          <w:tcPr>
            <w:tcW w:w="2104" w:type="dxa"/>
            <w:tcBorders>
              <w:top w:val="nil"/>
              <w:left w:val="nil"/>
              <w:bottom w:val="nil"/>
              <w:right w:val="nil"/>
            </w:tcBorders>
          </w:tcPr>
          <w:p w:rsidR="00543912" w:rsidRDefault="00000000">
            <w:pPr>
              <w:spacing w:after="0" w:line="259" w:lineRule="auto"/>
              <w:ind w:left="0" w:right="0" w:firstLine="0"/>
              <w:jc w:val="left"/>
            </w:pPr>
            <w:r>
              <w:rPr>
                <w:sz w:val="18"/>
              </w:rPr>
              <w:t>Broad but less selective binding</w:t>
            </w:r>
          </w:p>
        </w:tc>
      </w:tr>
      <w:tr w:rsidR="00543912">
        <w:trPr>
          <w:trHeight w:val="830"/>
        </w:trPr>
        <w:tc>
          <w:tcPr>
            <w:tcW w:w="1039" w:type="dxa"/>
            <w:tcBorders>
              <w:top w:val="nil"/>
              <w:left w:val="nil"/>
              <w:bottom w:val="nil"/>
              <w:right w:val="nil"/>
            </w:tcBorders>
          </w:tcPr>
          <w:p w:rsidR="00543912" w:rsidRDefault="00543912">
            <w:pPr>
              <w:spacing w:after="160" w:line="259" w:lineRule="auto"/>
              <w:ind w:left="0" w:right="0" w:firstLine="0"/>
              <w:jc w:val="left"/>
            </w:pPr>
          </w:p>
        </w:tc>
        <w:tc>
          <w:tcPr>
            <w:tcW w:w="1543" w:type="dxa"/>
            <w:tcBorders>
              <w:top w:val="nil"/>
              <w:left w:val="nil"/>
              <w:bottom w:val="nil"/>
              <w:right w:val="nil"/>
            </w:tcBorders>
          </w:tcPr>
          <w:p w:rsidR="00543912" w:rsidRDefault="00000000">
            <w:pPr>
              <w:spacing w:after="0" w:line="259" w:lineRule="auto"/>
              <w:ind w:left="0" w:right="0" w:firstLine="0"/>
              <w:jc w:val="left"/>
            </w:pPr>
            <w:r>
              <w:rPr>
                <w:sz w:val="18"/>
              </w:rPr>
              <w:t>2509 (Gen.)</w:t>
            </w:r>
          </w:p>
        </w:tc>
        <w:tc>
          <w:tcPr>
            <w:tcW w:w="2110" w:type="dxa"/>
            <w:tcBorders>
              <w:top w:val="nil"/>
              <w:left w:val="nil"/>
              <w:bottom w:val="nil"/>
              <w:right w:val="nil"/>
            </w:tcBorders>
          </w:tcPr>
          <w:p w:rsidR="00543912" w:rsidRDefault="00000000">
            <w:pPr>
              <w:spacing w:after="154" w:line="259" w:lineRule="auto"/>
              <w:ind w:left="0" w:right="0" w:firstLine="0"/>
              <w:jc w:val="left"/>
            </w:pPr>
            <w:r>
              <w:rPr>
                <w:sz w:val="18"/>
              </w:rPr>
              <w:t>Optimized interactions,</w:t>
            </w:r>
          </w:p>
          <w:p w:rsidR="00543912" w:rsidRDefault="00000000">
            <w:pPr>
              <w:spacing w:after="0" w:line="259" w:lineRule="auto"/>
              <w:ind w:left="0" w:right="0" w:firstLine="0"/>
              <w:jc w:val="left"/>
            </w:pPr>
            <w:r>
              <w:rPr>
                <w:sz w:val="18"/>
              </w:rPr>
              <w:t>46 contacts</w:t>
            </w:r>
          </w:p>
          <w:p w:rsidR="00543912" w:rsidRDefault="00000000">
            <w:pPr>
              <w:spacing w:after="0" w:line="259" w:lineRule="auto"/>
              <w:ind w:left="-2582" w:right="-3130" w:firstLine="0"/>
              <w:jc w:val="left"/>
            </w:pPr>
            <w:r>
              <w:rPr>
                <w:noProof/>
                <w:sz w:val="22"/>
              </w:rPr>
              <mc:AlternateContent>
                <mc:Choice Requires="wpg">
                  <w:drawing>
                    <wp:inline distT="0" distB="0" distL="0" distR="0">
                      <wp:extent cx="4966920" cy="6325"/>
                      <wp:effectExtent l="0" t="0" r="0" b="0"/>
                      <wp:docPr id="27958" name="Group 27958"/>
                      <wp:cNvGraphicFramePr/>
                      <a:graphic xmlns:a="http://schemas.openxmlformats.org/drawingml/2006/main">
                        <a:graphicData uri="http://schemas.microsoft.com/office/word/2010/wordprocessingGroup">
                          <wpg:wgp>
                            <wpg:cNvGrpSpPr/>
                            <wpg:grpSpPr>
                              <a:xfrm>
                                <a:off x="0" y="0"/>
                                <a:ext cx="4966920" cy="6325"/>
                                <a:chOff x="0" y="0"/>
                                <a:chExt cx="4966920" cy="6325"/>
                              </a:xfrm>
                            </wpg:grpSpPr>
                            <wps:wsp>
                              <wps:cNvPr id="1443" name="Shape 1443"/>
                              <wps:cNvSpPr/>
                              <wps:spPr>
                                <a:xfrm>
                                  <a:off x="0" y="0"/>
                                  <a:ext cx="4966920" cy="0"/>
                                </a:xfrm>
                                <a:custGeom>
                                  <a:avLst/>
                                  <a:gdLst/>
                                  <a:ahLst/>
                                  <a:cxnLst/>
                                  <a:rect l="0" t="0" r="0" b="0"/>
                                  <a:pathLst>
                                    <a:path w="4966920">
                                      <a:moveTo>
                                        <a:pt x="0" y="0"/>
                                      </a:moveTo>
                                      <a:lnTo>
                                        <a:pt x="4966920" y="0"/>
                                      </a:lnTo>
                                    </a:path>
                                  </a:pathLst>
                                </a:custGeom>
                                <a:ln w="6325"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7958" style="width:391.096pt;height:0.498pt;mso-position-horizontal-relative:char;mso-position-vertical-relative:line" coordsize="49669,63">
                      <v:shape id="Shape 1443" style="position:absolute;width:49669;height:0;left:0;top:0;" coordsize="4966920,0" path="m0,0l4966920,0">
                        <v:stroke weight="0.498pt" endcap="flat" joinstyle="miter" miterlimit="10" on="true" color="#000000"/>
                        <v:fill on="false" color="#000000" opacity="0"/>
                      </v:shape>
                    </v:group>
                  </w:pict>
                </mc:Fallback>
              </mc:AlternateContent>
            </w:r>
          </w:p>
        </w:tc>
        <w:tc>
          <w:tcPr>
            <w:tcW w:w="1026" w:type="dxa"/>
            <w:tcBorders>
              <w:top w:val="nil"/>
              <w:left w:val="nil"/>
              <w:bottom w:val="nil"/>
              <w:right w:val="nil"/>
            </w:tcBorders>
          </w:tcPr>
          <w:p w:rsidR="00543912" w:rsidRDefault="00000000">
            <w:pPr>
              <w:spacing w:after="0" w:line="259" w:lineRule="auto"/>
              <w:ind w:left="162" w:right="0" w:firstLine="0"/>
              <w:jc w:val="left"/>
            </w:pPr>
            <w:r>
              <w:rPr>
                <w:sz w:val="18"/>
              </w:rPr>
              <w:t>-10.66</w:t>
            </w:r>
          </w:p>
        </w:tc>
        <w:tc>
          <w:tcPr>
            <w:tcW w:w="2104" w:type="dxa"/>
            <w:tcBorders>
              <w:top w:val="nil"/>
              <w:left w:val="nil"/>
              <w:bottom w:val="nil"/>
              <w:right w:val="nil"/>
            </w:tcBorders>
          </w:tcPr>
          <w:p w:rsidR="00543912" w:rsidRDefault="00000000">
            <w:pPr>
              <w:spacing w:after="0" w:line="259" w:lineRule="auto"/>
              <w:ind w:left="0" w:right="0" w:firstLine="0"/>
              <w:jc w:val="left"/>
            </w:pPr>
            <w:r>
              <w:rPr>
                <w:sz w:val="18"/>
              </w:rPr>
              <w:t>Compact and efficient structure</w:t>
            </w:r>
          </w:p>
        </w:tc>
      </w:tr>
      <w:tr w:rsidR="00543912">
        <w:trPr>
          <w:trHeight w:val="828"/>
        </w:trPr>
        <w:tc>
          <w:tcPr>
            <w:tcW w:w="1039" w:type="dxa"/>
            <w:tcBorders>
              <w:top w:val="nil"/>
              <w:left w:val="nil"/>
              <w:bottom w:val="nil"/>
              <w:right w:val="nil"/>
            </w:tcBorders>
          </w:tcPr>
          <w:p w:rsidR="00543912" w:rsidRDefault="00000000">
            <w:pPr>
              <w:spacing w:after="129" w:line="259" w:lineRule="auto"/>
              <w:ind w:left="120" w:right="0" w:firstLine="0"/>
              <w:jc w:val="left"/>
            </w:pPr>
            <w:r>
              <w:rPr>
                <w:sz w:val="18"/>
              </w:rPr>
              <w:t>MMP3</w:t>
            </w:r>
          </w:p>
          <w:p w:rsidR="00543912" w:rsidRDefault="00000000">
            <w:pPr>
              <w:spacing w:after="0" w:line="259" w:lineRule="auto"/>
              <w:ind w:left="120" w:right="0" w:firstLine="0"/>
              <w:jc w:val="left"/>
            </w:pPr>
            <w:r>
              <w:rPr>
                <w:sz w:val="18"/>
              </w:rPr>
              <w:t>(1HY7)</w:t>
            </w:r>
          </w:p>
        </w:tc>
        <w:tc>
          <w:tcPr>
            <w:tcW w:w="1543" w:type="dxa"/>
            <w:tcBorders>
              <w:top w:val="nil"/>
              <w:left w:val="nil"/>
              <w:bottom w:val="nil"/>
              <w:right w:val="nil"/>
            </w:tcBorders>
          </w:tcPr>
          <w:p w:rsidR="00543912" w:rsidRDefault="00000000">
            <w:pPr>
              <w:spacing w:after="129" w:line="259" w:lineRule="auto"/>
              <w:ind w:left="0" w:right="0" w:firstLine="0"/>
              <w:jc w:val="left"/>
            </w:pPr>
            <w:r>
              <w:rPr>
                <w:sz w:val="18"/>
              </w:rPr>
              <w:t>CHEMBL584147</w:t>
            </w:r>
          </w:p>
          <w:p w:rsidR="00543912" w:rsidRDefault="00000000">
            <w:pPr>
              <w:spacing w:after="0" w:line="259" w:lineRule="auto"/>
              <w:ind w:left="0" w:right="0" w:firstLine="0"/>
              <w:jc w:val="left"/>
            </w:pPr>
            <w:r>
              <w:rPr>
                <w:sz w:val="18"/>
              </w:rPr>
              <w:t>(Ref.)</w:t>
            </w:r>
          </w:p>
        </w:tc>
        <w:tc>
          <w:tcPr>
            <w:tcW w:w="2110" w:type="dxa"/>
            <w:tcBorders>
              <w:top w:val="nil"/>
              <w:left w:val="nil"/>
              <w:bottom w:val="nil"/>
              <w:right w:val="nil"/>
            </w:tcBorders>
          </w:tcPr>
          <w:p w:rsidR="00543912" w:rsidRDefault="00000000">
            <w:pPr>
              <w:spacing w:after="134" w:line="259" w:lineRule="auto"/>
              <w:ind w:left="0" w:right="0" w:firstLine="0"/>
              <w:jc w:val="left"/>
            </w:pPr>
            <w:r>
              <w:rPr>
                <w:sz w:val="18"/>
              </w:rPr>
              <w:t>11 H-bonds (ALA665,</w:t>
            </w:r>
          </w:p>
          <w:p w:rsidR="00543912" w:rsidRDefault="00000000">
            <w:pPr>
              <w:spacing w:after="0" w:line="259" w:lineRule="auto"/>
              <w:ind w:left="0" w:right="0" w:firstLine="0"/>
              <w:jc w:val="left"/>
            </w:pPr>
            <w:r>
              <w:rPr>
                <w:sz w:val="18"/>
              </w:rPr>
              <w:t>HIS711), 68</w:t>
            </w:r>
          </w:p>
          <w:p w:rsidR="00543912" w:rsidRDefault="00000000">
            <w:pPr>
              <w:spacing w:after="0" w:line="259" w:lineRule="auto"/>
              <w:ind w:left="-1563" w:right="-3030" w:firstLine="0"/>
              <w:jc w:val="left"/>
            </w:pPr>
            <w:r>
              <w:rPr>
                <w:noProof/>
                <w:sz w:val="22"/>
              </w:rPr>
              <mc:AlternateContent>
                <mc:Choice Requires="wpg">
                  <w:drawing>
                    <wp:inline distT="0" distB="0" distL="0" distR="0">
                      <wp:extent cx="4256571" cy="3797"/>
                      <wp:effectExtent l="0" t="0" r="0" b="0"/>
                      <wp:docPr id="28084" name="Group 28084"/>
                      <wp:cNvGraphicFramePr/>
                      <a:graphic xmlns:a="http://schemas.openxmlformats.org/drawingml/2006/main">
                        <a:graphicData uri="http://schemas.microsoft.com/office/word/2010/wordprocessingGroup">
                          <wpg:wgp>
                            <wpg:cNvGrpSpPr/>
                            <wpg:grpSpPr>
                              <a:xfrm>
                                <a:off x="0" y="0"/>
                                <a:ext cx="4256571" cy="3797"/>
                                <a:chOff x="0" y="0"/>
                                <a:chExt cx="4256571" cy="3797"/>
                              </a:xfrm>
                            </wpg:grpSpPr>
                            <wps:wsp>
                              <wps:cNvPr id="1451" name="Shape 1451"/>
                              <wps:cNvSpPr/>
                              <wps:spPr>
                                <a:xfrm>
                                  <a:off x="0" y="0"/>
                                  <a:ext cx="4256571" cy="0"/>
                                </a:xfrm>
                                <a:custGeom>
                                  <a:avLst/>
                                  <a:gdLst/>
                                  <a:ahLst/>
                                  <a:cxnLst/>
                                  <a:rect l="0" t="0" r="0" b="0"/>
                                  <a:pathLst>
                                    <a:path w="4256571">
                                      <a:moveTo>
                                        <a:pt x="0" y="0"/>
                                      </a:moveTo>
                                      <a:lnTo>
                                        <a:pt x="4256571" y="0"/>
                                      </a:lnTo>
                                    </a:path>
                                  </a:pathLst>
                                </a:custGeom>
                                <a:ln w="3797"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8084" style="width:335.163pt;height:0.299pt;mso-position-horizontal-relative:char;mso-position-vertical-relative:line" coordsize="42565,37">
                      <v:shape id="Shape 1451" style="position:absolute;width:42565;height:0;left:0;top:0;" coordsize="4256571,0" path="m0,0l4256571,0">
                        <v:stroke weight="0.299pt" endcap="flat" joinstyle="miter" miterlimit="10" on="true" color="#000000"/>
                        <v:fill on="false" color="#000000" opacity="0"/>
                      </v:shape>
                    </v:group>
                  </w:pict>
                </mc:Fallback>
              </mc:AlternateContent>
            </w:r>
          </w:p>
        </w:tc>
        <w:tc>
          <w:tcPr>
            <w:tcW w:w="1026" w:type="dxa"/>
            <w:tcBorders>
              <w:top w:val="nil"/>
              <w:left w:val="nil"/>
              <w:bottom w:val="nil"/>
              <w:right w:val="nil"/>
            </w:tcBorders>
          </w:tcPr>
          <w:p w:rsidR="00543912" w:rsidRDefault="00000000">
            <w:pPr>
              <w:spacing w:after="0" w:line="259" w:lineRule="auto"/>
              <w:ind w:left="0" w:right="15" w:firstLine="0"/>
              <w:jc w:val="center"/>
            </w:pPr>
            <w:r>
              <w:rPr>
                <w:sz w:val="18"/>
              </w:rPr>
              <w:t>−10.24</w:t>
            </w:r>
          </w:p>
        </w:tc>
        <w:tc>
          <w:tcPr>
            <w:tcW w:w="2104" w:type="dxa"/>
            <w:tcBorders>
              <w:top w:val="nil"/>
              <w:left w:val="nil"/>
              <w:bottom w:val="nil"/>
              <w:right w:val="nil"/>
            </w:tcBorders>
          </w:tcPr>
          <w:p w:rsidR="00543912" w:rsidRDefault="00000000">
            <w:pPr>
              <w:spacing w:after="0" w:line="259" w:lineRule="auto"/>
              <w:ind w:left="0" w:right="0" w:firstLine="0"/>
              <w:jc w:val="left"/>
            </w:pPr>
            <w:r>
              <w:rPr>
                <w:sz w:val="18"/>
              </w:rPr>
              <w:t>Competitive inhibition</w:t>
            </w:r>
          </w:p>
        </w:tc>
      </w:tr>
      <w:tr w:rsidR="00543912">
        <w:trPr>
          <w:trHeight w:val="830"/>
        </w:trPr>
        <w:tc>
          <w:tcPr>
            <w:tcW w:w="1039" w:type="dxa"/>
            <w:tcBorders>
              <w:top w:val="nil"/>
              <w:left w:val="nil"/>
              <w:bottom w:val="nil"/>
              <w:right w:val="nil"/>
            </w:tcBorders>
          </w:tcPr>
          <w:p w:rsidR="00543912" w:rsidRDefault="00543912">
            <w:pPr>
              <w:spacing w:after="160" w:line="259" w:lineRule="auto"/>
              <w:ind w:left="0" w:right="0" w:firstLine="0"/>
              <w:jc w:val="left"/>
            </w:pPr>
          </w:p>
        </w:tc>
        <w:tc>
          <w:tcPr>
            <w:tcW w:w="1543" w:type="dxa"/>
            <w:tcBorders>
              <w:top w:val="nil"/>
              <w:left w:val="nil"/>
              <w:bottom w:val="nil"/>
              <w:right w:val="nil"/>
            </w:tcBorders>
          </w:tcPr>
          <w:p w:rsidR="00543912" w:rsidRDefault="00000000">
            <w:pPr>
              <w:spacing w:after="0" w:line="259" w:lineRule="auto"/>
              <w:ind w:left="0" w:right="0" w:firstLine="0"/>
              <w:jc w:val="left"/>
            </w:pPr>
            <w:r>
              <w:rPr>
                <w:sz w:val="18"/>
              </w:rPr>
              <w:t>654 (Gen.)</w:t>
            </w:r>
          </w:p>
        </w:tc>
        <w:tc>
          <w:tcPr>
            <w:tcW w:w="2110" w:type="dxa"/>
            <w:tcBorders>
              <w:top w:val="nil"/>
              <w:left w:val="nil"/>
              <w:bottom w:val="nil"/>
              <w:right w:val="nil"/>
            </w:tcBorders>
          </w:tcPr>
          <w:p w:rsidR="00543912" w:rsidRDefault="00000000">
            <w:pPr>
              <w:spacing w:after="0" w:line="406" w:lineRule="auto"/>
              <w:ind w:left="0" w:right="79" w:firstLine="0"/>
              <w:jc w:val="left"/>
            </w:pPr>
            <w:r>
              <w:rPr>
                <w:sz w:val="18"/>
              </w:rPr>
              <w:t>0 H-bonds, 69 hydrophobic (TYR723, PHE732)</w:t>
            </w:r>
          </w:p>
          <w:p w:rsidR="00543912" w:rsidRDefault="00000000">
            <w:pPr>
              <w:spacing w:after="0" w:line="259" w:lineRule="auto"/>
              <w:ind w:left="-2582" w:right="-3130" w:firstLine="0"/>
              <w:jc w:val="left"/>
            </w:pPr>
            <w:r>
              <w:rPr>
                <w:noProof/>
                <w:sz w:val="22"/>
              </w:rPr>
              <mc:AlternateContent>
                <mc:Choice Requires="wpg">
                  <w:drawing>
                    <wp:inline distT="0" distB="0" distL="0" distR="0">
                      <wp:extent cx="4966920" cy="6325"/>
                      <wp:effectExtent l="0" t="0" r="0" b="0"/>
                      <wp:docPr id="28169" name="Group 28169"/>
                      <wp:cNvGraphicFramePr/>
                      <a:graphic xmlns:a="http://schemas.openxmlformats.org/drawingml/2006/main">
                        <a:graphicData uri="http://schemas.microsoft.com/office/word/2010/wordprocessingGroup">
                          <wpg:wgp>
                            <wpg:cNvGrpSpPr/>
                            <wpg:grpSpPr>
                              <a:xfrm>
                                <a:off x="0" y="0"/>
                                <a:ext cx="4966920" cy="6325"/>
                                <a:chOff x="0" y="0"/>
                                <a:chExt cx="4966920" cy="6325"/>
                              </a:xfrm>
                            </wpg:grpSpPr>
                            <wps:wsp>
                              <wps:cNvPr id="1456" name="Shape 1456"/>
                              <wps:cNvSpPr/>
                              <wps:spPr>
                                <a:xfrm>
                                  <a:off x="0" y="0"/>
                                  <a:ext cx="4966920" cy="0"/>
                                </a:xfrm>
                                <a:custGeom>
                                  <a:avLst/>
                                  <a:gdLst/>
                                  <a:ahLst/>
                                  <a:cxnLst/>
                                  <a:rect l="0" t="0" r="0" b="0"/>
                                  <a:pathLst>
                                    <a:path w="4966920">
                                      <a:moveTo>
                                        <a:pt x="0" y="0"/>
                                      </a:moveTo>
                                      <a:lnTo>
                                        <a:pt x="4966920" y="0"/>
                                      </a:lnTo>
                                    </a:path>
                                  </a:pathLst>
                                </a:custGeom>
                                <a:ln w="6325"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8169" style="width:391.096pt;height:0.498pt;mso-position-horizontal-relative:char;mso-position-vertical-relative:line" coordsize="49669,63">
                      <v:shape id="Shape 1456" style="position:absolute;width:49669;height:0;left:0;top:0;" coordsize="4966920,0" path="m0,0l4966920,0">
                        <v:stroke weight="0.498pt" endcap="flat" joinstyle="miter" miterlimit="10" on="true" color="#000000"/>
                        <v:fill on="false" color="#000000" opacity="0"/>
                      </v:shape>
                    </v:group>
                  </w:pict>
                </mc:Fallback>
              </mc:AlternateContent>
            </w:r>
          </w:p>
        </w:tc>
        <w:tc>
          <w:tcPr>
            <w:tcW w:w="1026" w:type="dxa"/>
            <w:tcBorders>
              <w:top w:val="nil"/>
              <w:left w:val="nil"/>
              <w:bottom w:val="nil"/>
              <w:right w:val="nil"/>
            </w:tcBorders>
          </w:tcPr>
          <w:p w:rsidR="00543912" w:rsidRDefault="00000000">
            <w:pPr>
              <w:spacing w:after="0" w:line="259" w:lineRule="auto"/>
              <w:ind w:left="162" w:right="0" w:firstLine="0"/>
              <w:jc w:val="left"/>
            </w:pPr>
            <w:r>
              <w:rPr>
                <w:sz w:val="18"/>
              </w:rPr>
              <w:t>-11.46</w:t>
            </w:r>
          </w:p>
        </w:tc>
        <w:tc>
          <w:tcPr>
            <w:tcW w:w="2104" w:type="dxa"/>
            <w:tcBorders>
              <w:top w:val="nil"/>
              <w:left w:val="nil"/>
              <w:bottom w:val="nil"/>
              <w:right w:val="nil"/>
            </w:tcBorders>
          </w:tcPr>
          <w:p w:rsidR="00543912" w:rsidRDefault="00000000">
            <w:pPr>
              <w:spacing w:after="0" w:line="259" w:lineRule="auto"/>
              <w:ind w:left="0" w:right="0" w:firstLine="0"/>
              <w:jc w:val="left"/>
            </w:pPr>
            <w:r>
              <w:rPr>
                <w:sz w:val="18"/>
              </w:rPr>
              <w:t>Steric inhibition</w:t>
            </w:r>
          </w:p>
        </w:tc>
      </w:tr>
      <w:tr w:rsidR="00543912">
        <w:trPr>
          <w:trHeight w:val="828"/>
        </w:trPr>
        <w:tc>
          <w:tcPr>
            <w:tcW w:w="1039" w:type="dxa"/>
            <w:tcBorders>
              <w:top w:val="nil"/>
              <w:left w:val="nil"/>
              <w:bottom w:val="nil"/>
              <w:right w:val="nil"/>
            </w:tcBorders>
          </w:tcPr>
          <w:p w:rsidR="00543912" w:rsidRDefault="00000000">
            <w:pPr>
              <w:spacing w:after="129" w:line="259" w:lineRule="auto"/>
              <w:ind w:left="120" w:right="0" w:firstLine="0"/>
              <w:jc w:val="left"/>
            </w:pPr>
            <w:r>
              <w:rPr>
                <w:sz w:val="18"/>
              </w:rPr>
              <w:t>PAF-AH</w:t>
            </w:r>
          </w:p>
          <w:p w:rsidR="00543912" w:rsidRDefault="00000000">
            <w:pPr>
              <w:spacing w:after="0" w:line="259" w:lineRule="auto"/>
              <w:ind w:left="120" w:right="0" w:firstLine="0"/>
              <w:jc w:val="left"/>
            </w:pPr>
            <w:r>
              <w:rPr>
                <w:sz w:val="18"/>
              </w:rPr>
              <w:t>(3D59)</w:t>
            </w:r>
          </w:p>
        </w:tc>
        <w:tc>
          <w:tcPr>
            <w:tcW w:w="1543" w:type="dxa"/>
            <w:tcBorders>
              <w:top w:val="nil"/>
              <w:left w:val="nil"/>
              <w:bottom w:val="nil"/>
              <w:right w:val="nil"/>
            </w:tcBorders>
          </w:tcPr>
          <w:p w:rsidR="00543912" w:rsidRDefault="00000000">
            <w:pPr>
              <w:spacing w:after="129" w:line="259" w:lineRule="auto"/>
              <w:ind w:left="0" w:right="0" w:firstLine="0"/>
              <w:jc w:val="left"/>
            </w:pPr>
            <w:r>
              <w:rPr>
                <w:sz w:val="18"/>
              </w:rPr>
              <w:t>CHEMBL1946061</w:t>
            </w:r>
          </w:p>
          <w:p w:rsidR="00543912" w:rsidRDefault="00000000">
            <w:pPr>
              <w:spacing w:after="0" w:line="259" w:lineRule="auto"/>
              <w:ind w:left="0" w:right="0" w:firstLine="0"/>
              <w:jc w:val="left"/>
            </w:pPr>
            <w:r>
              <w:rPr>
                <w:sz w:val="18"/>
              </w:rPr>
              <w:t>(Ref.)</w:t>
            </w:r>
          </w:p>
        </w:tc>
        <w:tc>
          <w:tcPr>
            <w:tcW w:w="2110" w:type="dxa"/>
            <w:tcBorders>
              <w:top w:val="nil"/>
              <w:left w:val="nil"/>
              <w:bottom w:val="nil"/>
              <w:right w:val="nil"/>
            </w:tcBorders>
          </w:tcPr>
          <w:p w:rsidR="00543912" w:rsidRDefault="00000000">
            <w:pPr>
              <w:spacing w:after="134" w:line="259" w:lineRule="auto"/>
              <w:ind w:left="0" w:right="0" w:firstLine="0"/>
              <w:jc w:val="left"/>
            </w:pPr>
            <w:r>
              <w:rPr>
                <w:sz w:val="18"/>
              </w:rPr>
              <w:t>1 H-bond (PRO62 O-F),</w:t>
            </w:r>
          </w:p>
          <w:p w:rsidR="00543912" w:rsidRDefault="00000000">
            <w:pPr>
              <w:spacing w:after="0" w:line="259" w:lineRule="auto"/>
              <w:ind w:left="0" w:right="0" w:firstLine="0"/>
              <w:jc w:val="left"/>
            </w:pPr>
            <w:r>
              <w:rPr>
                <w:sz w:val="18"/>
              </w:rPr>
              <w:t>65</w:t>
            </w:r>
          </w:p>
          <w:p w:rsidR="00543912" w:rsidRDefault="00000000">
            <w:pPr>
              <w:spacing w:after="0" w:line="259" w:lineRule="auto"/>
              <w:ind w:left="-1563" w:right="-3030" w:firstLine="0"/>
              <w:jc w:val="left"/>
            </w:pPr>
            <w:r>
              <w:rPr>
                <w:noProof/>
                <w:sz w:val="22"/>
              </w:rPr>
              <mc:AlternateContent>
                <mc:Choice Requires="wpg">
                  <w:drawing>
                    <wp:inline distT="0" distB="0" distL="0" distR="0">
                      <wp:extent cx="4256571" cy="3797"/>
                      <wp:effectExtent l="0" t="0" r="0" b="0"/>
                      <wp:docPr id="28280" name="Group 28280"/>
                      <wp:cNvGraphicFramePr/>
                      <a:graphic xmlns:a="http://schemas.openxmlformats.org/drawingml/2006/main">
                        <a:graphicData uri="http://schemas.microsoft.com/office/word/2010/wordprocessingGroup">
                          <wpg:wgp>
                            <wpg:cNvGrpSpPr/>
                            <wpg:grpSpPr>
                              <a:xfrm>
                                <a:off x="0" y="0"/>
                                <a:ext cx="4256571" cy="3797"/>
                                <a:chOff x="0" y="0"/>
                                <a:chExt cx="4256571" cy="3797"/>
                              </a:xfrm>
                            </wpg:grpSpPr>
                            <wps:wsp>
                              <wps:cNvPr id="1465" name="Shape 1465"/>
                              <wps:cNvSpPr/>
                              <wps:spPr>
                                <a:xfrm>
                                  <a:off x="0" y="0"/>
                                  <a:ext cx="4256571" cy="0"/>
                                </a:xfrm>
                                <a:custGeom>
                                  <a:avLst/>
                                  <a:gdLst/>
                                  <a:ahLst/>
                                  <a:cxnLst/>
                                  <a:rect l="0" t="0" r="0" b="0"/>
                                  <a:pathLst>
                                    <a:path w="4256571">
                                      <a:moveTo>
                                        <a:pt x="0" y="0"/>
                                      </a:moveTo>
                                      <a:lnTo>
                                        <a:pt x="4256571" y="0"/>
                                      </a:lnTo>
                                    </a:path>
                                  </a:pathLst>
                                </a:custGeom>
                                <a:ln w="3797"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8280" style="width:335.163pt;height:0.299pt;mso-position-horizontal-relative:char;mso-position-vertical-relative:line" coordsize="42565,37">
                      <v:shape id="Shape 1465" style="position:absolute;width:42565;height:0;left:0;top:0;" coordsize="4256571,0" path="m0,0l4256571,0">
                        <v:stroke weight="0.299pt" endcap="flat" joinstyle="miter" miterlimit="10" on="true" color="#000000"/>
                        <v:fill on="false" color="#000000" opacity="0"/>
                      </v:shape>
                    </v:group>
                  </w:pict>
                </mc:Fallback>
              </mc:AlternateContent>
            </w:r>
          </w:p>
        </w:tc>
        <w:tc>
          <w:tcPr>
            <w:tcW w:w="1026" w:type="dxa"/>
            <w:tcBorders>
              <w:top w:val="nil"/>
              <w:left w:val="nil"/>
              <w:bottom w:val="nil"/>
              <w:right w:val="nil"/>
            </w:tcBorders>
          </w:tcPr>
          <w:p w:rsidR="00543912" w:rsidRDefault="00000000">
            <w:pPr>
              <w:spacing w:after="0" w:line="259" w:lineRule="auto"/>
              <w:ind w:left="75" w:right="0" w:firstLine="0"/>
              <w:jc w:val="center"/>
            </w:pPr>
            <w:r>
              <w:rPr>
                <w:sz w:val="18"/>
              </w:rPr>
              <w:t>−9.48</w:t>
            </w:r>
          </w:p>
        </w:tc>
        <w:tc>
          <w:tcPr>
            <w:tcW w:w="2104" w:type="dxa"/>
            <w:tcBorders>
              <w:top w:val="nil"/>
              <w:left w:val="nil"/>
              <w:bottom w:val="nil"/>
              <w:right w:val="nil"/>
            </w:tcBorders>
          </w:tcPr>
          <w:p w:rsidR="00543912" w:rsidRDefault="00000000">
            <w:pPr>
              <w:spacing w:after="0" w:line="259" w:lineRule="auto"/>
              <w:ind w:left="0" w:right="0" w:firstLine="0"/>
              <w:jc w:val="left"/>
            </w:pPr>
            <w:r>
              <w:rPr>
                <w:sz w:val="18"/>
              </w:rPr>
              <w:t>Classic hydrophobic site inhibition</w:t>
            </w:r>
          </w:p>
        </w:tc>
      </w:tr>
      <w:tr w:rsidR="00543912">
        <w:trPr>
          <w:trHeight w:val="623"/>
        </w:trPr>
        <w:tc>
          <w:tcPr>
            <w:tcW w:w="1039" w:type="dxa"/>
            <w:tcBorders>
              <w:top w:val="nil"/>
              <w:left w:val="nil"/>
              <w:bottom w:val="nil"/>
              <w:right w:val="nil"/>
            </w:tcBorders>
          </w:tcPr>
          <w:p w:rsidR="00543912" w:rsidRDefault="00543912">
            <w:pPr>
              <w:spacing w:after="160" w:line="259" w:lineRule="auto"/>
              <w:ind w:left="0" w:right="0" w:firstLine="0"/>
              <w:jc w:val="left"/>
            </w:pPr>
          </w:p>
        </w:tc>
        <w:tc>
          <w:tcPr>
            <w:tcW w:w="1543" w:type="dxa"/>
            <w:tcBorders>
              <w:top w:val="nil"/>
              <w:left w:val="nil"/>
              <w:bottom w:val="nil"/>
              <w:right w:val="nil"/>
            </w:tcBorders>
          </w:tcPr>
          <w:p w:rsidR="00543912" w:rsidRDefault="00000000">
            <w:pPr>
              <w:spacing w:after="0" w:line="259" w:lineRule="auto"/>
              <w:ind w:left="0" w:right="0" w:firstLine="0"/>
              <w:jc w:val="left"/>
            </w:pPr>
            <w:r>
              <w:rPr>
                <w:sz w:val="18"/>
              </w:rPr>
              <w:t>923 (Gen.)</w:t>
            </w:r>
          </w:p>
        </w:tc>
        <w:tc>
          <w:tcPr>
            <w:tcW w:w="2110" w:type="dxa"/>
            <w:tcBorders>
              <w:top w:val="nil"/>
              <w:left w:val="nil"/>
              <w:bottom w:val="nil"/>
              <w:right w:val="nil"/>
            </w:tcBorders>
          </w:tcPr>
          <w:p w:rsidR="00543912" w:rsidRDefault="00000000">
            <w:pPr>
              <w:spacing w:after="134" w:line="259" w:lineRule="auto"/>
              <w:ind w:left="0" w:right="0" w:firstLine="0"/>
              <w:jc w:val="left"/>
            </w:pPr>
            <w:r>
              <w:rPr>
                <w:sz w:val="18"/>
              </w:rPr>
              <w:t>5 H-bonds (SER273,</w:t>
            </w:r>
          </w:p>
          <w:p w:rsidR="00543912" w:rsidRDefault="00000000">
            <w:pPr>
              <w:spacing w:after="0" w:line="259" w:lineRule="auto"/>
              <w:ind w:left="0" w:right="0" w:firstLine="0"/>
              <w:jc w:val="left"/>
            </w:pPr>
            <w:r>
              <w:rPr>
                <w:sz w:val="18"/>
              </w:rPr>
              <w:t>GLN352), 55</w:t>
            </w:r>
          </w:p>
        </w:tc>
        <w:tc>
          <w:tcPr>
            <w:tcW w:w="1026" w:type="dxa"/>
            <w:tcBorders>
              <w:top w:val="nil"/>
              <w:left w:val="nil"/>
              <w:bottom w:val="nil"/>
              <w:right w:val="nil"/>
            </w:tcBorders>
          </w:tcPr>
          <w:p w:rsidR="00543912" w:rsidRDefault="00000000">
            <w:pPr>
              <w:spacing w:after="0" w:line="259" w:lineRule="auto"/>
              <w:ind w:left="162" w:right="0" w:firstLine="0"/>
              <w:jc w:val="left"/>
            </w:pPr>
            <w:r>
              <w:rPr>
                <w:sz w:val="18"/>
              </w:rPr>
              <w:t>-10.43</w:t>
            </w:r>
          </w:p>
        </w:tc>
        <w:tc>
          <w:tcPr>
            <w:tcW w:w="2104" w:type="dxa"/>
            <w:tcBorders>
              <w:top w:val="nil"/>
              <w:left w:val="nil"/>
              <w:bottom w:val="nil"/>
              <w:right w:val="nil"/>
            </w:tcBorders>
          </w:tcPr>
          <w:p w:rsidR="00543912" w:rsidRDefault="00000000">
            <w:pPr>
              <w:spacing w:after="0" w:line="259" w:lineRule="auto"/>
              <w:ind w:left="0" w:right="0" w:firstLine="0"/>
              <w:jc w:val="left"/>
            </w:pPr>
            <w:r>
              <w:rPr>
                <w:sz w:val="18"/>
              </w:rPr>
              <w:t>Interaction with catalytic residue (SER273)</w:t>
            </w:r>
          </w:p>
        </w:tc>
      </w:tr>
    </w:tbl>
    <w:p w:rsidR="00543912" w:rsidRDefault="00000000">
      <w:pPr>
        <w:spacing w:after="0" w:line="259" w:lineRule="auto"/>
        <w:ind w:left="602" w:right="0" w:firstLine="0"/>
        <w:jc w:val="left"/>
      </w:pPr>
      <w:r>
        <w:rPr>
          <w:noProof/>
          <w:sz w:val="22"/>
        </w:rPr>
        <mc:AlternateContent>
          <mc:Choice Requires="wpg">
            <w:drawing>
              <wp:inline distT="0" distB="0" distL="0" distR="0">
                <wp:extent cx="4966920" cy="10122"/>
                <wp:effectExtent l="0" t="0" r="0" b="0"/>
                <wp:docPr id="25826" name="Group 25826"/>
                <wp:cNvGraphicFramePr/>
                <a:graphic xmlns:a="http://schemas.openxmlformats.org/drawingml/2006/main">
                  <a:graphicData uri="http://schemas.microsoft.com/office/word/2010/wordprocessingGroup">
                    <wpg:wgp>
                      <wpg:cNvGrpSpPr/>
                      <wpg:grpSpPr>
                        <a:xfrm>
                          <a:off x="0" y="0"/>
                          <a:ext cx="4966920" cy="10122"/>
                          <a:chOff x="0" y="0"/>
                          <a:chExt cx="4966920" cy="10122"/>
                        </a:xfrm>
                      </wpg:grpSpPr>
                      <wps:wsp>
                        <wps:cNvPr id="1471" name="Shape 1471"/>
                        <wps:cNvSpPr/>
                        <wps:spPr>
                          <a:xfrm>
                            <a:off x="0" y="0"/>
                            <a:ext cx="4966920" cy="0"/>
                          </a:xfrm>
                          <a:custGeom>
                            <a:avLst/>
                            <a:gdLst/>
                            <a:ahLst/>
                            <a:cxnLst/>
                            <a:rect l="0" t="0" r="0" b="0"/>
                            <a:pathLst>
                              <a:path w="4966920">
                                <a:moveTo>
                                  <a:pt x="0" y="0"/>
                                </a:moveTo>
                                <a:lnTo>
                                  <a:pt x="4966920" y="0"/>
                                </a:lnTo>
                              </a:path>
                            </a:pathLst>
                          </a:custGeom>
                          <a:ln w="10122"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5826" style="width:391.096pt;height:0.797pt;mso-position-horizontal-relative:char;mso-position-vertical-relative:line" coordsize="49669,101">
                <v:shape id="Shape 1471" style="position:absolute;width:49669;height:0;left:0;top:0;" coordsize="4966920,0" path="m0,0l4966920,0">
                  <v:stroke weight="0.797pt" endcap="flat" joinstyle="miter" miterlimit="10" on="true" color="#000000"/>
                  <v:fill on="false" color="#000000" opacity="0"/>
                </v:shape>
              </v:group>
            </w:pict>
          </mc:Fallback>
        </mc:AlternateContent>
      </w:r>
    </w:p>
    <w:p w:rsidR="00543912" w:rsidRDefault="00000000">
      <w:pPr>
        <w:spacing w:line="259" w:lineRule="auto"/>
        <w:ind w:left="946" w:right="349"/>
      </w:pPr>
      <w:r>
        <w:t>Table 6: Comparison of generated (Gen.) vs. reference (Ref.) ligands for 4 protein targets</w:t>
      </w:r>
    </w:p>
    <w:tbl>
      <w:tblPr>
        <w:tblStyle w:val="TableGrid"/>
        <w:tblW w:w="5128" w:type="dxa"/>
        <w:tblInd w:w="1949" w:type="dxa"/>
        <w:tblCellMar>
          <w:top w:w="17" w:type="dxa"/>
          <w:left w:w="0" w:type="dxa"/>
          <w:bottom w:w="0" w:type="dxa"/>
          <w:right w:w="115" w:type="dxa"/>
        </w:tblCellMar>
        <w:tblLook w:val="04A0" w:firstRow="1" w:lastRow="0" w:firstColumn="1" w:lastColumn="0" w:noHBand="0" w:noVBand="1"/>
      </w:tblPr>
      <w:tblGrid>
        <w:gridCol w:w="1129"/>
        <w:gridCol w:w="1123"/>
        <w:gridCol w:w="1045"/>
        <w:gridCol w:w="975"/>
        <w:gridCol w:w="856"/>
      </w:tblGrid>
      <w:tr w:rsidR="00543912">
        <w:trPr>
          <w:trHeight w:val="262"/>
        </w:trPr>
        <w:tc>
          <w:tcPr>
            <w:tcW w:w="1130" w:type="dxa"/>
            <w:tcBorders>
              <w:top w:val="single" w:sz="6" w:space="0" w:color="000000"/>
              <w:left w:val="nil"/>
              <w:bottom w:val="single" w:sz="4" w:space="0" w:color="000000"/>
              <w:right w:val="nil"/>
            </w:tcBorders>
          </w:tcPr>
          <w:p w:rsidR="00543912" w:rsidRDefault="00000000">
            <w:pPr>
              <w:spacing w:after="0" w:line="259" w:lineRule="auto"/>
              <w:ind w:left="120" w:right="0" w:firstLine="0"/>
              <w:jc w:val="left"/>
            </w:pPr>
            <w:r>
              <w:rPr>
                <w:sz w:val="14"/>
              </w:rPr>
              <w:t>Property</w:t>
            </w:r>
          </w:p>
        </w:tc>
        <w:tc>
          <w:tcPr>
            <w:tcW w:w="1123" w:type="dxa"/>
            <w:tcBorders>
              <w:top w:val="single" w:sz="6" w:space="0" w:color="000000"/>
              <w:left w:val="nil"/>
              <w:bottom w:val="single" w:sz="4" w:space="0" w:color="000000"/>
              <w:right w:val="nil"/>
            </w:tcBorders>
          </w:tcPr>
          <w:p w:rsidR="00543912" w:rsidRDefault="00000000">
            <w:pPr>
              <w:spacing w:after="0" w:line="259" w:lineRule="auto"/>
              <w:ind w:left="208" w:right="0" w:firstLine="0"/>
              <w:jc w:val="left"/>
            </w:pPr>
            <w:r>
              <w:rPr>
                <w:sz w:val="14"/>
              </w:rPr>
              <w:t>HDAC3</w:t>
            </w:r>
          </w:p>
        </w:tc>
        <w:tc>
          <w:tcPr>
            <w:tcW w:w="1045" w:type="dxa"/>
            <w:tcBorders>
              <w:top w:val="single" w:sz="6" w:space="0" w:color="000000"/>
              <w:left w:val="nil"/>
              <w:bottom w:val="single" w:sz="4" w:space="0" w:color="000000"/>
              <w:right w:val="nil"/>
            </w:tcBorders>
          </w:tcPr>
          <w:p w:rsidR="00543912" w:rsidRDefault="00000000">
            <w:pPr>
              <w:spacing w:after="0" w:line="259" w:lineRule="auto"/>
              <w:ind w:left="209" w:right="0" w:firstLine="0"/>
              <w:jc w:val="left"/>
            </w:pPr>
            <w:r>
              <w:rPr>
                <w:sz w:val="14"/>
              </w:rPr>
              <w:t>KIF11</w:t>
            </w:r>
          </w:p>
        </w:tc>
        <w:tc>
          <w:tcPr>
            <w:tcW w:w="975" w:type="dxa"/>
            <w:tcBorders>
              <w:top w:val="single" w:sz="6" w:space="0" w:color="000000"/>
              <w:left w:val="nil"/>
              <w:bottom w:val="single" w:sz="4" w:space="0" w:color="000000"/>
              <w:right w:val="nil"/>
            </w:tcBorders>
          </w:tcPr>
          <w:p w:rsidR="00543912" w:rsidRDefault="00000000">
            <w:pPr>
              <w:spacing w:after="0" w:line="259" w:lineRule="auto"/>
              <w:ind w:left="159" w:right="0" w:firstLine="0"/>
              <w:jc w:val="left"/>
            </w:pPr>
            <w:r>
              <w:rPr>
                <w:sz w:val="14"/>
              </w:rPr>
              <w:t>MMP3</w:t>
            </w:r>
          </w:p>
        </w:tc>
        <w:tc>
          <w:tcPr>
            <w:tcW w:w="856" w:type="dxa"/>
            <w:tcBorders>
              <w:top w:val="single" w:sz="6" w:space="0" w:color="000000"/>
              <w:left w:val="nil"/>
              <w:bottom w:val="single" w:sz="4" w:space="0" w:color="000000"/>
              <w:right w:val="nil"/>
            </w:tcBorders>
          </w:tcPr>
          <w:p w:rsidR="00543912" w:rsidRDefault="00000000">
            <w:pPr>
              <w:spacing w:after="0" w:line="259" w:lineRule="auto"/>
              <w:ind w:left="110" w:right="0" w:firstLine="0"/>
              <w:jc w:val="left"/>
            </w:pPr>
            <w:r>
              <w:rPr>
                <w:sz w:val="14"/>
              </w:rPr>
              <w:t>PAF-AH</w:t>
            </w:r>
          </w:p>
        </w:tc>
      </w:tr>
      <w:tr w:rsidR="00543912">
        <w:trPr>
          <w:trHeight w:val="220"/>
        </w:trPr>
        <w:tc>
          <w:tcPr>
            <w:tcW w:w="1130" w:type="dxa"/>
            <w:tcBorders>
              <w:top w:val="single" w:sz="4" w:space="0" w:color="000000"/>
              <w:left w:val="nil"/>
              <w:bottom w:val="nil"/>
              <w:right w:val="nil"/>
            </w:tcBorders>
          </w:tcPr>
          <w:p w:rsidR="00543912" w:rsidRDefault="00000000">
            <w:pPr>
              <w:spacing w:after="0" w:line="259" w:lineRule="auto"/>
              <w:ind w:left="120" w:right="0" w:firstLine="0"/>
              <w:jc w:val="left"/>
            </w:pPr>
            <w:r>
              <w:rPr>
                <w:sz w:val="14"/>
              </w:rPr>
              <w:t>Ligands</w:t>
            </w:r>
          </w:p>
        </w:tc>
        <w:tc>
          <w:tcPr>
            <w:tcW w:w="1123" w:type="dxa"/>
            <w:tcBorders>
              <w:top w:val="single" w:sz="4" w:space="0" w:color="000000"/>
              <w:left w:val="nil"/>
              <w:bottom w:val="nil"/>
              <w:right w:val="nil"/>
            </w:tcBorders>
          </w:tcPr>
          <w:p w:rsidR="00543912" w:rsidRDefault="00000000">
            <w:pPr>
              <w:spacing w:after="0" w:line="259" w:lineRule="auto"/>
              <w:ind w:left="0" w:right="0" w:firstLine="0"/>
              <w:jc w:val="left"/>
            </w:pPr>
            <w:r>
              <w:rPr>
                <w:sz w:val="14"/>
              </w:rPr>
              <w:t>304 / Celecoxib</w:t>
            </w:r>
          </w:p>
        </w:tc>
        <w:tc>
          <w:tcPr>
            <w:tcW w:w="1045" w:type="dxa"/>
            <w:tcBorders>
              <w:top w:val="single" w:sz="4" w:space="0" w:color="000000"/>
              <w:left w:val="nil"/>
              <w:bottom w:val="nil"/>
              <w:right w:val="nil"/>
            </w:tcBorders>
          </w:tcPr>
          <w:p w:rsidR="00543912" w:rsidRDefault="00000000">
            <w:pPr>
              <w:spacing w:after="0" w:line="259" w:lineRule="auto"/>
              <w:ind w:left="0" w:right="0" w:firstLine="0"/>
              <w:jc w:val="left"/>
            </w:pPr>
            <w:r>
              <w:rPr>
                <w:sz w:val="14"/>
              </w:rPr>
              <w:t>2509 / 557885</w:t>
            </w:r>
          </w:p>
        </w:tc>
        <w:tc>
          <w:tcPr>
            <w:tcW w:w="975" w:type="dxa"/>
            <w:tcBorders>
              <w:top w:val="single" w:sz="4" w:space="0" w:color="000000"/>
              <w:left w:val="nil"/>
              <w:bottom w:val="nil"/>
              <w:right w:val="nil"/>
            </w:tcBorders>
          </w:tcPr>
          <w:p w:rsidR="00543912" w:rsidRDefault="00000000">
            <w:pPr>
              <w:spacing w:after="0" w:line="259" w:lineRule="auto"/>
              <w:ind w:left="70" w:right="0" w:firstLine="0"/>
              <w:jc w:val="left"/>
            </w:pPr>
            <w:r>
              <w:rPr>
                <w:sz w:val="14"/>
              </w:rPr>
              <w:t>654 / 2789</w:t>
            </w:r>
          </w:p>
        </w:tc>
        <w:tc>
          <w:tcPr>
            <w:tcW w:w="856" w:type="dxa"/>
            <w:tcBorders>
              <w:top w:val="single" w:sz="4" w:space="0" w:color="000000"/>
              <w:left w:val="nil"/>
              <w:bottom w:val="nil"/>
              <w:right w:val="nil"/>
            </w:tcBorders>
          </w:tcPr>
          <w:p w:rsidR="00543912" w:rsidRDefault="00000000">
            <w:pPr>
              <w:spacing w:after="0" w:line="259" w:lineRule="auto"/>
              <w:ind w:left="70" w:right="0" w:firstLine="0"/>
              <w:jc w:val="left"/>
            </w:pPr>
            <w:r>
              <w:rPr>
                <w:sz w:val="14"/>
              </w:rPr>
              <w:t>923 / 2888</w:t>
            </w:r>
          </w:p>
        </w:tc>
      </w:tr>
      <w:tr w:rsidR="00543912">
        <w:trPr>
          <w:trHeight w:val="159"/>
        </w:trPr>
        <w:tc>
          <w:tcPr>
            <w:tcW w:w="1130" w:type="dxa"/>
            <w:tcBorders>
              <w:top w:val="nil"/>
              <w:left w:val="nil"/>
              <w:bottom w:val="nil"/>
              <w:right w:val="nil"/>
            </w:tcBorders>
          </w:tcPr>
          <w:p w:rsidR="00543912" w:rsidRDefault="00000000">
            <w:pPr>
              <w:spacing w:after="0" w:line="259" w:lineRule="auto"/>
              <w:ind w:left="120" w:right="0" w:firstLine="0"/>
              <w:jc w:val="left"/>
            </w:pPr>
            <w:r>
              <w:rPr>
                <w:sz w:val="14"/>
              </w:rPr>
              <w:t>Mol. Wt (Da)</w:t>
            </w:r>
          </w:p>
        </w:tc>
        <w:tc>
          <w:tcPr>
            <w:tcW w:w="1123" w:type="dxa"/>
            <w:tcBorders>
              <w:top w:val="nil"/>
              <w:left w:val="nil"/>
              <w:bottom w:val="nil"/>
              <w:right w:val="nil"/>
            </w:tcBorders>
          </w:tcPr>
          <w:p w:rsidR="00543912" w:rsidRDefault="00000000">
            <w:pPr>
              <w:spacing w:after="0" w:line="259" w:lineRule="auto"/>
              <w:ind w:left="74" w:right="0" w:firstLine="0"/>
              <w:jc w:val="left"/>
            </w:pPr>
            <w:r>
              <w:rPr>
                <w:sz w:val="14"/>
              </w:rPr>
              <w:t>438.9 / 381.4</w:t>
            </w:r>
          </w:p>
        </w:tc>
        <w:tc>
          <w:tcPr>
            <w:tcW w:w="1045" w:type="dxa"/>
            <w:tcBorders>
              <w:top w:val="nil"/>
              <w:left w:val="nil"/>
              <w:bottom w:val="nil"/>
              <w:right w:val="nil"/>
            </w:tcBorders>
          </w:tcPr>
          <w:p w:rsidR="00543912" w:rsidRDefault="00000000">
            <w:pPr>
              <w:spacing w:after="0" w:line="259" w:lineRule="auto"/>
              <w:ind w:left="35" w:right="0" w:firstLine="0"/>
              <w:jc w:val="left"/>
            </w:pPr>
            <w:r>
              <w:rPr>
                <w:sz w:val="14"/>
              </w:rPr>
              <w:t>293.4 / 440.4</w:t>
            </w:r>
          </w:p>
        </w:tc>
        <w:tc>
          <w:tcPr>
            <w:tcW w:w="975" w:type="dxa"/>
            <w:tcBorders>
              <w:top w:val="nil"/>
              <w:left w:val="nil"/>
              <w:bottom w:val="nil"/>
              <w:right w:val="nil"/>
            </w:tcBorders>
          </w:tcPr>
          <w:p w:rsidR="00543912" w:rsidRDefault="00000000">
            <w:pPr>
              <w:spacing w:after="0" w:line="259" w:lineRule="auto"/>
              <w:ind w:left="0" w:right="0" w:firstLine="0"/>
              <w:jc w:val="left"/>
            </w:pPr>
            <w:r>
              <w:rPr>
                <w:sz w:val="14"/>
              </w:rPr>
              <w:t>356.4 / 396.5</w:t>
            </w:r>
          </w:p>
        </w:tc>
        <w:tc>
          <w:tcPr>
            <w:tcW w:w="856" w:type="dxa"/>
            <w:tcBorders>
              <w:top w:val="nil"/>
              <w:left w:val="nil"/>
              <w:bottom w:val="nil"/>
              <w:right w:val="nil"/>
            </w:tcBorders>
          </w:tcPr>
          <w:p w:rsidR="00543912" w:rsidRDefault="00000000">
            <w:pPr>
              <w:spacing w:after="0" w:line="259" w:lineRule="auto"/>
              <w:ind w:left="0" w:right="0" w:firstLine="0"/>
              <w:jc w:val="left"/>
            </w:pPr>
            <w:r>
              <w:rPr>
                <w:sz w:val="14"/>
              </w:rPr>
              <w:t>368.4 / 316.3</w:t>
            </w:r>
          </w:p>
        </w:tc>
      </w:tr>
      <w:tr w:rsidR="00543912">
        <w:trPr>
          <w:trHeight w:val="159"/>
        </w:trPr>
        <w:tc>
          <w:tcPr>
            <w:tcW w:w="1130" w:type="dxa"/>
            <w:tcBorders>
              <w:top w:val="nil"/>
              <w:left w:val="nil"/>
              <w:bottom w:val="nil"/>
              <w:right w:val="nil"/>
            </w:tcBorders>
          </w:tcPr>
          <w:p w:rsidR="00543912" w:rsidRDefault="00000000">
            <w:pPr>
              <w:spacing w:after="0" w:line="259" w:lineRule="auto"/>
              <w:ind w:left="120" w:right="0" w:firstLine="0"/>
              <w:jc w:val="left"/>
            </w:pPr>
            <w:r>
              <w:rPr>
                <w:sz w:val="14"/>
              </w:rPr>
              <w:t>HBA/HBD</w:t>
            </w:r>
          </w:p>
        </w:tc>
        <w:tc>
          <w:tcPr>
            <w:tcW w:w="1123" w:type="dxa"/>
            <w:tcBorders>
              <w:top w:val="nil"/>
              <w:left w:val="nil"/>
              <w:bottom w:val="nil"/>
              <w:right w:val="nil"/>
            </w:tcBorders>
          </w:tcPr>
          <w:p w:rsidR="00543912" w:rsidRDefault="00000000">
            <w:pPr>
              <w:spacing w:after="0" w:line="259" w:lineRule="auto"/>
              <w:ind w:left="209" w:right="0" w:firstLine="0"/>
              <w:jc w:val="left"/>
            </w:pPr>
            <w:r>
              <w:rPr>
                <w:sz w:val="14"/>
              </w:rPr>
              <w:t>7/3 / 4/1</w:t>
            </w:r>
          </w:p>
        </w:tc>
        <w:tc>
          <w:tcPr>
            <w:tcW w:w="1045" w:type="dxa"/>
            <w:tcBorders>
              <w:top w:val="nil"/>
              <w:left w:val="nil"/>
              <w:bottom w:val="nil"/>
              <w:right w:val="nil"/>
            </w:tcBorders>
          </w:tcPr>
          <w:p w:rsidR="00543912" w:rsidRDefault="00000000">
            <w:pPr>
              <w:spacing w:after="0" w:line="259" w:lineRule="auto"/>
              <w:ind w:left="170" w:right="0" w:firstLine="0"/>
              <w:jc w:val="left"/>
            </w:pPr>
            <w:r>
              <w:rPr>
                <w:sz w:val="14"/>
              </w:rPr>
              <w:t>2/2 / 5/2</w:t>
            </w:r>
          </w:p>
        </w:tc>
        <w:tc>
          <w:tcPr>
            <w:tcW w:w="975" w:type="dxa"/>
            <w:tcBorders>
              <w:top w:val="nil"/>
              <w:left w:val="nil"/>
              <w:bottom w:val="nil"/>
              <w:right w:val="nil"/>
            </w:tcBorders>
          </w:tcPr>
          <w:p w:rsidR="00543912" w:rsidRDefault="00000000">
            <w:pPr>
              <w:spacing w:after="0" w:line="259" w:lineRule="auto"/>
              <w:ind w:left="136" w:right="0" w:firstLine="0"/>
              <w:jc w:val="left"/>
            </w:pPr>
            <w:r>
              <w:rPr>
                <w:sz w:val="14"/>
              </w:rPr>
              <w:t>2/3 / 4/1</w:t>
            </w:r>
          </w:p>
        </w:tc>
        <w:tc>
          <w:tcPr>
            <w:tcW w:w="856" w:type="dxa"/>
            <w:tcBorders>
              <w:top w:val="nil"/>
              <w:left w:val="nil"/>
              <w:bottom w:val="nil"/>
              <w:right w:val="nil"/>
            </w:tcBorders>
          </w:tcPr>
          <w:p w:rsidR="00543912" w:rsidRDefault="00000000">
            <w:pPr>
              <w:spacing w:after="0" w:line="259" w:lineRule="auto"/>
              <w:ind w:left="136" w:right="0" w:firstLine="0"/>
              <w:jc w:val="left"/>
            </w:pPr>
            <w:r>
              <w:rPr>
                <w:sz w:val="14"/>
              </w:rPr>
              <w:t>5/1 / 4/3</w:t>
            </w:r>
          </w:p>
        </w:tc>
      </w:tr>
      <w:tr w:rsidR="00543912">
        <w:trPr>
          <w:trHeight w:val="159"/>
        </w:trPr>
        <w:tc>
          <w:tcPr>
            <w:tcW w:w="1130" w:type="dxa"/>
            <w:tcBorders>
              <w:top w:val="nil"/>
              <w:left w:val="nil"/>
              <w:bottom w:val="nil"/>
              <w:right w:val="nil"/>
            </w:tcBorders>
          </w:tcPr>
          <w:p w:rsidR="00543912" w:rsidRDefault="00000000">
            <w:pPr>
              <w:spacing w:after="0" w:line="259" w:lineRule="auto"/>
              <w:ind w:left="120" w:right="0" w:firstLine="0"/>
              <w:jc w:val="left"/>
            </w:pPr>
            <w:r>
              <w:rPr>
                <w:sz w:val="14"/>
              </w:rPr>
              <w:t>LogP</w:t>
            </w:r>
          </w:p>
        </w:tc>
        <w:tc>
          <w:tcPr>
            <w:tcW w:w="1123" w:type="dxa"/>
            <w:tcBorders>
              <w:top w:val="nil"/>
              <w:left w:val="nil"/>
              <w:bottom w:val="nil"/>
              <w:right w:val="nil"/>
            </w:tcBorders>
          </w:tcPr>
          <w:p w:rsidR="00543912" w:rsidRDefault="00000000">
            <w:pPr>
              <w:spacing w:after="0" w:line="259" w:lineRule="auto"/>
              <w:ind w:left="143" w:right="0" w:firstLine="0"/>
              <w:jc w:val="left"/>
            </w:pPr>
            <w:r>
              <w:rPr>
                <w:sz w:val="14"/>
              </w:rPr>
              <w:t>3.21 / 3.51</w:t>
            </w:r>
          </w:p>
        </w:tc>
        <w:tc>
          <w:tcPr>
            <w:tcW w:w="1045" w:type="dxa"/>
            <w:tcBorders>
              <w:top w:val="nil"/>
              <w:left w:val="nil"/>
              <w:bottom w:val="nil"/>
              <w:right w:val="nil"/>
            </w:tcBorders>
          </w:tcPr>
          <w:p w:rsidR="00543912" w:rsidRDefault="00000000">
            <w:pPr>
              <w:spacing w:after="0" w:line="259" w:lineRule="auto"/>
              <w:ind w:left="105" w:right="0" w:firstLine="0"/>
              <w:jc w:val="left"/>
            </w:pPr>
            <w:r>
              <w:rPr>
                <w:sz w:val="14"/>
              </w:rPr>
              <w:t>4.20 / 4.95</w:t>
            </w:r>
          </w:p>
        </w:tc>
        <w:tc>
          <w:tcPr>
            <w:tcW w:w="975" w:type="dxa"/>
            <w:tcBorders>
              <w:top w:val="nil"/>
              <w:left w:val="nil"/>
              <w:bottom w:val="nil"/>
              <w:right w:val="nil"/>
            </w:tcBorders>
          </w:tcPr>
          <w:p w:rsidR="00543912" w:rsidRDefault="00000000">
            <w:pPr>
              <w:spacing w:after="0" w:line="259" w:lineRule="auto"/>
              <w:ind w:left="70" w:right="0" w:firstLine="0"/>
              <w:jc w:val="left"/>
            </w:pPr>
            <w:r>
              <w:rPr>
                <w:sz w:val="14"/>
              </w:rPr>
              <w:t>4.79 / 4.38</w:t>
            </w:r>
          </w:p>
        </w:tc>
        <w:tc>
          <w:tcPr>
            <w:tcW w:w="856" w:type="dxa"/>
            <w:tcBorders>
              <w:top w:val="nil"/>
              <w:left w:val="nil"/>
              <w:bottom w:val="nil"/>
              <w:right w:val="nil"/>
            </w:tcBorders>
          </w:tcPr>
          <w:p w:rsidR="00543912" w:rsidRDefault="00000000">
            <w:pPr>
              <w:spacing w:after="0" w:line="259" w:lineRule="auto"/>
              <w:ind w:left="70" w:right="0" w:firstLine="0"/>
              <w:jc w:val="left"/>
            </w:pPr>
            <w:r>
              <w:rPr>
                <w:sz w:val="14"/>
              </w:rPr>
              <w:t>3.05 / 3.18</w:t>
            </w:r>
          </w:p>
        </w:tc>
      </w:tr>
      <w:tr w:rsidR="00543912">
        <w:trPr>
          <w:trHeight w:val="159"/>
        </w:trPr>
        <w:tc>
          <w:tcPr>
            <w:tcW w:w="1130" w:type="dxa"/>
            <w:tcBorders>
              <w:top w:val="nil"/>
              <w:left w:val="nil"/>
              <w:bottom w:val="nil"/>
              <w:right w:val="nil"/>
            </w:tcBorders>
          </w:tcPr>
          <w:p w:rsidR="00543912" w:rsidRDefault="00000000">
            <w:pPr>
              <w:spacing w:after="0" w:line="259" w:lineRule="auto"/>
              <w:ind w:left="120" w:right="0" w:firstLine="0"/>
              <w:jc w:val="left"/>
            </w:pPr>
            <w:r>
              <w:rPr>
                <w:sz w:val="14"/>
              </w:rPr>
              <w:t>QED</w:t>
            </w:r>
          </w:p>
        </w:tc>
        <w:tc>
          <w:tcPr>
            <w:tcW w:w="1123" w:type="dxa"/>
            <w:tcBorders>
              <w:top w:val="nil"/>
              <w:left w:val="nil"/>
              <w:bottom w:val="nil"/>
              <w:right w:val="nil"/>
            </w:tcBorders>
          </w:tcPr>
          <w:p w:rsidR="00543912" w:rsidRDefault="00000000">
            <w:pPr>
              <w:spacing w:after="0" w:line="259" w:lineRule="auto"/>
              <w:ind w:left="143" w:right="0" w:firstLine="0"/>
              <w:jc w:val="left"/>
            </w:pPr>
            <w:r>
              <w:rPr>
                <w:sz w:val="14"/>
              </w:rPr>
              <w:t>0.43 / 0.75</w:t>
            </w:r>
          </w:p>
        </w:tc>
        <w:tc>
          <w:tcPr>
            <w:tcW w:w="1045" w:type="dxa"/>
            <w:tcBorders>
              <w:top w:val="nil"/>
              <w:left w:val="nil"/>
              <w:bottom w:val="nil"/>
              <w:right w:val="nil"/>
            </w:tcBorders>
          </w:tcPr>
          <w:p w:rsidR="00543912" w:rsidRDefault="00000000">
            <w:pPr>
              <w:spacing w:after="0" w:line="259" w:lineRule="auto"/>
              <w:ind w:left="105" w:right="0" w:firstLine="0"/>
              <w:jc w:val="left"/>
            </w:pPr>
            <w:r>
              <w:rPr>
                <w:sz w:val="14"/>
              </w:rPr>
              <w:t>0.76 / 0.44</w:t>
            </w:r>
          </w:p>
        </w:tc>
        <w:tc>
          <w:tcPr>
            <w:tcW w:w="975" w:type="dxa"/>
            <w:tcBorders>
              <w:top w:val="nil"/>
              <w:left w:val="nil"/>
              <w:bottom w:val="nil"/>
              <w:right w:val="nil"/>
            </w:tcBorders>
          </w:tcPr>
          <w:p w:rsidR="00543912" w:rsidRDefault="00000000">
            <w:pPr>
              <w:spacing w:after="0" w:line="259" w:lineRule="auto"/>
              <w:ind w:left="70" w:right="0" w:firstLine="0"/>
              <w:jc w:val="left"/>
            </w:pPr>
            <w:r>
              <w:rPr>
                <w:sz w:val="14"/>
              </w:rPr>
              <w:t>0.49 / 0.67</w:t>
            </w:r>
          </w:p>
        </w:tc>
        <w:tc>
          <w:tcPr>
            <w:tcW w:w="856" w:type="dxa"/>
            <w:tcBorders>
              <w:top w:val="nil"/>
              <w:left w:val="nil"/>
              <w:bottom w:val="nil"/>
              <w:right w:val="nil"/>
            </w:tcBorders>
          </w:tcPr>
          <w:p w:rsidR="00543912" w:rsidRDefault="00000000">
            <w:pPr>
              <w:spacing w:after="0" w:line="259" w:lineRule="auto"/>
              <w:ind w:left="70" w:right="0" w:firstLine="0"/>
              <w:jc w:val="left"/>
            </w:pPr>
            <w:r>
              <w:rPr>
                <w:sz w:val="14"/>
              </w:rPr>
              <w:t>0.53 / 0.68</w:t>
            </w:r>
          </w:p>
        </w:tc>
      </w:tr>
      <w:tr w:rsidR="00543912">
        <w:trPr>
          <w:trHeight w:val="151"/>
        </w:trPr>
        <w:tc>
          <w:tcPr>
            <w:tcW w:w="1130" w:type="dxa"/>
            <w:tcBorders>
              <w:top w:val="nil"/>
              <w:left w:val="nil"/>
              <w:bottom w:val="nil"/>
              <w:right w:val="nil"/>
            </w:tcBorders>
          </w:tcPr>
          <w:p w:rsidR="00543912" w:rsidRDefault="00000000">
            <w:pPr>
              <w:spacing w:after="0" w:line="259" w:lineRule="auto"/>
              <w:ind w:left="120" w:right="0" w:firstLine="0"/>
              <w:jc w:val="left"/>
            </w:pPr>
            <w:r>
              <w:rPr>
                <w:sz w:val="14"/>
              </w:rPr>
              <w:t>SA</w:t>
            </w:r>
          </w:p>
        </w:tc>
        <w:tc>
          <w:tcPr>
            <w:tcW w:w="1123" w:type="dxa"/>
            <w:tcBorders>
              <w:top w:val="nil"/>
              <w:left w:val="nil"/>
              <w:bottom w:val="nil"/>
              <w:right w:val="nil"/>
            </w:tcBorders>
          </w:tcPr>
          <w:p w:rsidR="00543912" w:rsidRDefault="00000000">
            <w:pPr>
              <w:spacing w:after="0" w:line="259" w:lineRule="auto"/>
              <w:ind w:left="143" w:right="0" w:firstLine="0"/>
              <w:jc w:val="left"/>
            </w:pPr>
            <w:r>
              <w:rPr>
                <w:sz w:val="14"/>
              </w:rPr>
              <w:t>0.65 / 0.85</w:t>
            </w:r>
          </w:p>
        </w:tc>
        <w:tc>
          <w:tcPr>
            <w:tcW w:w="1045" w:type="dxa"/>
            <w:tcBorders>
              <w:top w:val="nil"/>
              <w:left w:val="nil"/>
              <w:bottom w:val="nil"/>
              <w:right w:val="nil"/>
            </w:tcBorders>
          </w:tcPr>
          <w:p w:rsidR="00543912" w:rsidRDefault="00000000">
            <w:pPr>
              <w:spacing w:after="0" w:line="259" w:lineRule="auto"/>
              <w:ind w:left="105" w:right="0" w:firstLine="0"/>
              <w:jc w:val="left"/>
            </w:pPr>
            <w:r>
              <w:rPr>
                <w:sz w:val="14"/>
              </w:rPr>
              <w:t>0.81 / 0.75</w:t>
            </w:r>
          </w:p>
        </w:tc>
        <w:tc>
          <w:tcPr>
            <w:tcW w:w="975" w:type="dxa"/>
            <w:tcBorders>
              <w:top w:val="nil"/>
              <w:left w:val="nil"/>
              <w:bottom w:val="nil"/>
              <w:right w:val="nil"/>
            </w:tcBorders>
          </w:tcPr>
          <w:p w:rsidR="00543912" w:rsidRDefault="00000000">
            <w:pPr>
              <w:spacing w:after="0" w:line="259" w:lineRule="auto"/>
              <w:ind w:left="70" w:right="0" w:firstLine="0"/>
              <w:jc w:val="left"/>
            </w:pPr>
            <w:r>
              <w:rPr>
                <w:sz w:val="14"/>
              </w:rPr>
              <w:t>0.80 / 0.69</w:t>
            </w:r>
          </w:p>
        </w:tc>
        <w:tc>
          <w:tcPr>
            <w:tcW w:w="856" w:type="dxa"/>
            <w:tcBorders>
              <w:top w:val="nil"/>
              <w:left w:val="nil"/>
              <w:bottom w:val="nil"/>
              <w:right w:val="nil"/>
            </w:tcBorders>
          </w:tcPr>
          <w:p w:rsidR="00543912" w:rsidRDefault="00000000">
            <w:pPr>
              <w:spacing w:after="0" w:line="259" w:lineRule="auto"/>
              <w:ind w:left="70" w:right="0" w:firstLine="0"/>
              <w:jc w:val="left"/>
            </w:pPr>
            <w:r>
              <w:rPr>
                <w:sz w:val="14"/>
              </w:rPr>
              <w:t>0.65 / 0.74</w:t>
            </w:r>
          </w:p>
        </w:tc>
      </w:tr>
      <w:tr w:rsidR="00543912">
        <w:trPr>
          <w:trHeight w:val="184"/>
        </w:trPr>
        <w:tc>
          <w:tcPr>
            <w:tcW w:w="1130" w:type="dxa"/>
            <w:tcBorders>
              <w:top w:val="nil"/>
              <w:left w:val="nil"/>
              <w:bottom w:val="nil"/>
              <w:right w:val="nil"/>
            </w:tcBorders>
          </w:tcPr>
          <w:p w:rsidR="00543912" w:rsidRDefault="00000000">
            <w:pPr>
              <w:spacing w:after="0" w:line="259" w:lineRule="auto"/>
              <w:ind w:left="120" w:right="0" w:firstLine="0"/>
              <w:jc w:val="left"/>
            </w:pPr>
            <w:r>
              <w:rPr>
                <w:sz w:val="14"/>
              </w:rPr>
              <w:t xml:space="preserve">TPSA (A˚ </w:t>
            </w:r>
            <w:r>
              <w:rPr>
                <w:sz w:val="14"/>
                <w:vertAlign w:val="superscript"/>
              </w:rPr>
              <w:t>2</w:t>
            </w:r>
            <w:r>
              <w:rPr>
                <w:sz w:val="14"/>
              </w:rPr>
              <w:t>)</w:t>
            </w:r>
          </w:p>
        </w:tc>
        <w:tc>
          <w:tcPr>
            <w:tcW w:w="1123" w:type="dxa"/>
            <w:tcBorders>
              <w:top w:val="nil"/>
              <w:left w:val="nil"/>
              <w:bottom w:val="nil"/>
              <w:right w:val="nil"/>
            </w:tcBorders>
          </w:tcPr>
          <w:p w:rsidR="00543912" w:rsidRDefault="00000000">
            <w:pPr>
              <w:spacing w:after="0" w:line="259" w:lineRule="auto"/>
              <w:ind w:left="108" w:right="0" w:firstLine="0"/>
              <w:jc w:val="left"/>
            </w:pPr>
            <w:r>
              <w:rPr>
                <w:sz w:val="14"/>
              </w:rPr>
              <w:t>113.9 / 78.0</w:t>
            </w:r>
          </w:p>
        </w:tc>
        <w:tc>
          <w:tcPr>
            <w:tcW w:w="1045" w:type="dxa"/>
            <w:tcBorders>
              <w:top w:val="nil"/>
              <w:left w:val="nil"/>
              <w:bottom w:val="nil"/>
              <w:right w:val="nil"/>
            </w:tcBorders>
          </w:tcPr>
          <w:p w:rsidR="00543912" w:rsidRDefault="00000000">
            <w:pPr>
              <w:spacing w:after="0" w:line="259" w:lineRule="auto"/>
              <w:ind w:left="105" w:right="0" w:firstLine="0"/>
              <w:jc w:val="left"/>
            </w:pPr>
            <w:r>
              <w:rPr>
                <w:sz w:val="14"/>
              </w:rPr>
              <w:t>57.8 / 82.2</w:t>
            </w:r>
          </w:p>
        </w:tc>
        <w:tc>
          <w:tcPr>
            <w:tcW w:w="975" w:type="dxa"/>
            <w:tcBorders>
              <w:top w:val="nil"/>
              <w:left w:val="nil"/>
              <w:bottom w:val="nil"/>
              <w:right w:val="nil"/>
            </w:tcBorders>
          </w:tcPr>
          <w:p w:rsidR="00543912" w:rsidRDefault="00000000">
            <w:pPr>
              <w:spacing w:after="0" w:line="259" w:lineRule="auto"/>
              <w:ind w:left="333" w:right="0" w:firstLine="0"/>
              <w:jc w:val="left"/>
            </w:pPr>
            <w:r>
              <w:rPr>
                <w:sz w:val="14"/>
              </w:rPr>
              <w:t>–</w:t>
            </w:r>
          </w:p>
        </w:tc>
        <w:tc>
          <w:tcPr>
            <w:tcW w:w="856" w:type="dxa"/>
            <w:tcBorders>
              <w:top w:val="nil"/>
              <w:left w:val="nil"/>
              <w:bottom w:val="nil"/>
              <w:right w:val="nil"/>
            </w:tcBorders>
          </w:tcPr>
          <w:p w:rsidR="00543912" w:rsidRDefault="00000000">
            <w:pPr>
              <w:spacing w:after="0" w:line="259" w:lineRule="auto"/>
              <w:ind w:left="70" w:right="0" w:firstLine="0"/>
              <w:jc w:val="left"/>
            </w:pPr>
            <w:r>
              <w:rPr>
                <w:sz w:val="14"/>
              </w:rPr>
              <w:t>72.2 / 82.5</w:t>
            </w:r>
          </w:p>
        </w:tc>
      </w:tr>
      <w:tr w:rsidR="00543912">
        <w:trPr>
          <w:trHeight w:val="159"/>
        </w:trPr>
        <w:tc>
          <w:tcPr>
            <w:tcW w:w="1130" w:type="dxa"/>
            <w:tcBorders>
              <w:top w:val="nil"/>
              <w:left w:val="nil"/>
              <w:bottom w:val="nil"/>
              <w:right w:val="nil"/>
            </w:tcBorders>
          </w:tcPr>
          <w:p w:rsidR="00543912" w:rsidRDefault="00000000">
            <w:pPr>
              <w:spacing w:after="0" w:line="259" w:lineRule="auto"/>
              <w:ind w:left="120" w:right="0" w:firstLine="0"/>
              <w:jc w:val="left"/>
            </w:pPr>
            <w:r>
              <w:rPr>
                <w:sz w:val="14"/>
              </w:rPr>
              <w:t>Arom. Rings</w:t>
            </w:r>
          </w:p>
        </w:tc>
        <w:tc>
          <w:tcPr>
            <w:tcW w:w="1123" w:type="dxa"/>
            <w:tcBorders>
              <w:top w:val="nil"/>
              <w:left w:val="nil"/>
              <w:bottom w:val="nil"/>
              <w:right w:val="nil"/>
            </w:tcBorders>
          </w:tcPr>
          <w:p w:rsidR="00543912" w:rsidRDefault="00000000">
            <w:pPr>
              <w:spacing w:after="0" w:line="259" w:lineRule="auto"/>
              <w:ind w:left="318" w:right="0" w:firstLine="0"/>
              <w:jc w:val="left"/>
            </w:pPr>
            <w:r>
              <w:rPr>
                <w:sz w:val="14"/>
              </w:rPr>
              <w:t>4 / 3</w:t>
            </w:r>
          </w:p>
        </w:tc>
        <w:tc>
          <w:tcPr>
            <w:tcW w:w="1045" w:type="dxa"/>
            <w:tcBorders>
              <w:top w:val="nil"/>
              <w:left w:val="nil"/>
              <w:bottom w:val="nil"/>
              <w:right w:val="nil"/>
            </w:tcBorders>
          </w:tcPr>
          <w:p w:rsidR="00543912" w:rsidRDefault="00000000">
            <w:pPr>
              <w:spacing w:after="0" w:line="259" w:lineRule="auto"/>
              <w:ind w:left="279" w:right="0" w:firstLine="0"/>
              <w:jc w:val="left"/>
            </w:pPr>
            <w:r>
              <w:rPr>
                <w:sz w:val="14"/>
              </w:rPr>
              <w:t>3 / 4</w:t>
            </w:r>
          </w:p>
        </w:tc>
        <w:tc>
          <w:tcPr>
            <w:tcW w:w="975" w:type="dxa"/>
            <w:tcBorders>
              <w:top w:val="nil"/>
              <w:left w:val="nil"/>
              <w:bottom w:val="nil"/>
              <w:right w:val="nil"/>
            </w:tcBorders>
          </w:tcPr>
          <w:p w:rsidR="00543912" w:rsidRDefault="00000000">
            <w:pPr>
              <w:spacing w:after="0" w:line="259" w:lineRule="auto"/>
              <w:ind w:left="333" w:right="0" w:firstLine="0"/>
              <w:jc w:val="left"/>
            </w:pPr>
            <w:r>
              <w:rPr>
                <w:sz w:val="14"/>
              </w:rPr>
              <w:t>–</w:t>
            </w:r>
          </w:p>
        </w:tc>
        <w:tc>
          <w:tcPr>
            <w:tcW w:w="856" w:type="dxa"/>
            <w:tcBorders>
              <w:top w:val="nil"/>
              <w:left w:val="nil"/>
              <w:bottom w:val="nil"/>
              <w:right w:val="nil"/>
            </w:tcBorders>
          </w:tcPr>
          <w:p w:rsidR="00543912" w:rsidRDefault="00000000">
            <w:pPr>
              <w:spacing w:after="0" w:line="259" w:lineRule="auto"/>
              <w:ind w:left="244" w:right="0" w:firstLine="0"/>
              <w:jc w:val="left"/>
            </w:pPr>
            <w:r>
              <w:rPr>
                <w:sz w:val="14"/>
              </w:rPr>
              <w:t>5 / 3</w:t>
            </w:r>
          </w:p>
        </w:tc>
      </w:tr>
      <w:tr w:rsidR="00543912">
        <w:trPr>
          <w:trHeight w:val="202"/>
        </w:trPr>
        <w:tc>
          <w:tcPr>
            <w:tcW w:w="1130" w:type="dxa"/>
            <w:tcBorders>
              <w:top w:val="nil"/>
              <w:left w:val="nil"/>
              <w:bottom w:val="single" w:sz="6" w:space="0" w:color="000000"/>
              <w:right w:val="nil"/>
            </w:tcBorders>
          </w:tcPr>
          <w:p w:rsidR="00543912" w:rsidRDefault="00000000">
            <w:pPr>
              <w:spacing w:after="0" w:line="259" w:lineRule="auto"/>
              <w:ind w:left="120" w:right="0" w:firstLine="0"/>
              <w:jc w:val="left"/>
            </w:pPr>
            <w:r>
              <w:rPr>
                <w:sz w:val="14"/>
              </w:rPr>
              <w:t>Rot. Bonds</w:t>
            </w:r>
          </w:p>
        </w:tc>
        <w:tc>
          <w:tcPr>
            <w:tcW w:w="1123" w:type="dxa"/>
            <w:tcBorders>
              <w:top w:val="nil"/>
              <w:left w:val="nil"/>
              <w:bottom w:val="single" w:sz="6" w:space="0" w:color="000000"/>
              <w:right w:val="nil"/>
            </w:tcBorders>
          </w:tcPr>
          <w:p w:rsidR="00543912" w:rsidRDefault="00000000">
            <w:pPr>
              <w:spacing w:after="0" w:line="259" w:lineRule="auto"/>
              <w:ind w:left="318" w:right="0" w:firstLine="0"/>
              <w:jc w:val="left"/>
            </w:pPr>
            <w:r>
              <w:rPr>
                <w:sz w:val="14"/>
              </w:rPr>
              <w:t>6 / 3</w:t>
            </w:r>
          </w:p>
        </w:tc>
        <w:tc>
          <w:tcPr>
            <w:tcW w:w="1045" w:type="dxa"/>
            <w:tcBorders>
              <w:top w:val="nil"/>
              <w:left w:val="nil"/>
              <w:bottom w:val="single" w:sz="6" w:space="0" w:color="000000"/>
              <w:right w:val="nil"/>
            </w:tcBorders>
          </w:tcPr>
          <w:p w:rsidR="00543912" w:rsidRDefault="00000000">
            <w:pPr>
              <w:spacing w:after="0" w:line="259" w:lineRule="auto"/>
              <w:ind w:left="279" w:right="0" w:firstLine="0"/>
              <w:jc w:val="left"/>
            </w:pPr>
            <w:r>
              <w:rPr>
                <w:sz w:val="14"/>
              </w:rPr>
              <w:t>3 / 6</w:t>
            </w:r>
          </w:p>
        </w:tc>
        <w:tc>
          <w:tcPr>
            <w:tcW w:w="975" w:type="dxa"/>
            <w:tcBorders>
              <w:top w:val="nil"/>
              <w:left w:val="nil"/>
              <w:bottom w:val="single" w:sz="6" w:space="0" w:color="000000"/>
              <w:right w:val="nil"/>
            </w:tcBorders>
          </w:tcPr>
          <w:p w:rsidR="00543912" w:rsidRDefault="00000000">
            <w:pPr>
              <w:spacing w:after="0" w:line="259" w:lineRule="auto"/>
              <w:ind w:left="333" w:right="0" w:firstLine="0"/>
              <w:jc w:val="left"/>
            </w:pPr>
            <w:r>
              <w:rPr>
                <w:sz w:val="14"/>
              </w:rPr>
              <w:t>–</w:t>
            </w:r>
          </w:p>
        </w:tc>
        <w:tc>
          <w:tcPr>
            <w:tcW w:w="856" w:type="dxa"/>
            <w:tcBorders>
              <w:top w:val="nil"/>
              <w:left w:val="nil"/>
              <w:bottom w:val="single" w:sz="6" w:space="0" w:color="000000"/>
              <w:right w:val="nil"/>
            </w:tcBorders>
          </w:tcPr>
          <w:p w:rsidR="00543912" w:rsidRDefault="00000000">
            <w:pPr>
              <w:spacing w:after="0" w:line="259" w:lineRule="auto"/>
              <w:ind w:left="244" w:right="0" w:firstLine="0"/>
              <w:jc w:val="left"/>
            </w:pPr>
            <w:r>
              <w:rPr>
                <w:sz w:val="14"/>
              </w:rPr>
              <w:t>3 / 2</w:t>
            </w:r>
          </w:p>
        </w:tc>
      </w:tr>
    </w:tbl>
    <w:p w:rsidR="00543912" w:rsidRDefault="00000000">
      <w:pPr>
        <w:pStyle w:val="Heading1"/>
        <w:ind w:left="-5"/>
      </w:pPr>
      <w:r>
        <w:t>HDAC3 Inhibitor: Compound 304</w:t>
      </w:r>
    </w:p>
    <w:p w:rsidR="00543912" w:rsidRDefault="00000000">
      <w:pPr>
        <w:spacing w:after="503"/>
        <w:ind w:left="-5" w:right="349"/>
      </w:pPr>
      <w:r>
        <w:t xml:space="preserve">HDAC3 is a histone deacetylase that regulates gene expression by modulating chromatin structure. Dysregulation of HDAC3 has been implicated in cancer, neurodegenerative disorders, and metabolic diseases. The AI-generated </w:t>
      </w:r>
      <w:r>
        <w:rPr>
          <w:i/>
        </w:rPr>
        <w:t xml:space="preserve">Compound 304 </w:t>
      </w:r>
      <w:r>
        <w:t xml:space="preserve">exhibits a 16% stronger binding affinity for HDAC3 compared to the reference drug celecoxib. While its more complex and polar structure may enhance solubility, it could also reduce synthetic feasibility and drug-likeness. Despite celecoxib’s clinical use, its association with cardiovascular side effects limits its therapeutic utility. </w:t>
      </w:r>
      <w:r>
        <w:rPr>
          <w:i/>
        </w:rPr>
        <w:t xml:space="preserve">Compound 304 </w:t>
      </w:r>
      <w:r>
        <w:t>represents a promising epigenetic modulator for oncology, neuroprotection, and metabolic disorders, though further optimization of its pharmacokinetic properties is warranted.</w:t>
      </w:r>
    </w:p>
    <w:p w:rsidR="00543912" w:rsidRDefault="00000000">
      <w:pPr>
        <w:pStyle w:val="Heading1"/>
        <w:ind w:left="-5"/>
      </w:pPr>
      <w:r>
        <w:t>KIF11 Inhibitor: Compound 2509</w:t>
      </w:r>
    </w:p>
    <w:p w:rsidR="00543912" w:rsidRDefault="00000000">
      <w:pPr>
        <w:spacing w:after="502"/>
        <w:ind w:left="-5" w:right="0"/>
      </w:pPr>
      <w:r>
        <w:t xml:space="preserve">KIF11 is a microtubule-associated motor protein essential for mitotic spindle formation, with dysregulation linked to cancer, neurodevelopmental disorders, and ocular diseases. The AI-designed </w:t>
      </w:r>
      <w:r>
        <w:rPr>
          <w:i/>
        </w:rPr>
        <w:t xml:space="preserve">Compound 2509 </w:t>
      </w:r>
      <w:r>
        <w:t xml:space="preserve">demonstrates superior binding affinity and enhanced drug-likeness (QED = 0.76) compared to the reference inhibitor CHEMBL557885, alongside a more synthetically tractable structure. These features position </w:t>
      </w:r>
      <w:r>
        <w:rPr>
          <w:i/>
        </w:rPr>
        <w:t xml:space="preserve">Compound 2509 </w:t>
      </w:r>
      <w:r>
        <w:t>as a promising therapeutic candidate for KIF11-driven pathologies, highlighting the potential of AI-driven drug discovery in developing targeted inhibitors.</w:t>
      </w:r>
    </w:p>
    <w:p w:rsidR="00543912" w:rsidRDefault="00000000">
      <w:pPr>
        <w:pStyle w:val="Heading1"/>
        <w:ind w:left="-5"/>
      </w:pPr>
      <w:r>
        <w:t>MMP3 Inhibitor: Compound 654</w:t>
      </w:r>
    </w:p>
    <w:p w:rsidR="00543912" w:rsidRDefault="00000000">
      <w:pPr>
        <w:ind w:left="-5" w:right="349"/>
      </w:pPr>
      <w:r>
        <w:t xml:space="preserve">MMP3, a zinc-dependent endopeptidase, plays a critical role in extracellular matrix degradation and inflammatory processes, contributing to arthritis, cancer progression, and cardiovascular disease. </w:t>
      </w:r>
      <w:r>
        <w:rPr>
          <w:i/>
        </w:rPr>
        <w:t>Compound 654</w:t>
      </w:r>
      <w:r>
        <w:t>, a computationally designed inhibitor, exhibits stronger binding affinity than the reference drug, along with reduced molecular weight, increased lipophilicity, and improved synthetic accessibility. While promising for MMP3-associated diseases, further refinement is needed to enhance selectivity and drug-like properties.</w:t>
      </w:r>
    </w:p>
    <w:p w:rsidR="00543912" w:rsidRDefault="00000000">
      <w:pPr>
        <w:pStyle w:val="Heading1"/>
        <w:ind w:left="-5"/>
      </w:pPr>
      <w:r>
        <w:t>PAF-AH Inhibitor: Compound 923</w:t>
      </w:r>
    </w:p>
    <w:p w:rsidR="00543912" w:rsidRDefault="00000000">
      <w:pPr>
        <w:spacing w:after="538"/>
        <w:ind w:left="-5" w:right="349"/>
      </w:pPr>
      <w:r>
        <w:t xml:space="preserve">PAF-AH (platelet-activating factor acetylhydrolase) is a key mediator of inflammatory responses, with implications in cardiovascular disease, allergies, and immune dysregulation. </w:t>
      </w:r>
      <w:r>
        <w:rPr>
          <w:i/>
        </w:rPr>
        <w:t xml:space="preserve">Compound 923 </w:t>
      </w:r>
      <w:r>
        <w:t xml:space="preserve">demonstrates enhanced binding affinity relative to the reference inhibitor, attributed to optimized hydrogen bonding and </w:t>
      </w:r>
      <w:r>
        <w:rPr>
          <w:rFonts w:ascii="Cambria" w:eastAsia="Cambria" w:hAnsi="Cambria" w:cs="Cambria"/>
          <w:i/>
        </w:rPr>
        <w:t>π</w:t>
      </w:r>
      <w:r>
        <w:t>-stacking interactions. Although it holds therapeutic potential for inflammatory and cardiovascular conditions, improvements in solubility and drug-likeness are necessary for clinical translation.</w:t>
      </w:r>
    </w:p>
    <w:p w:rsidR="00543912" w:rsidRDefault="00000000">
      <w:pPr>
        <w:pStyle w:val="Heading2"/>
        <w:spacing w:after="326" w:line="265" w:lineRule="auto"/>
        <w:ind w:left="-5"/>
      </w:pPr>
      <w:r>
        <w:rPr>
          <w:sz w:val="29"/>
        </w:rPr>
        <w:t>4.6 Druggable Property Screening</w:t>
      </w:r>
    </w:p>
    <w:p w:rsidR="00543912" w:rsidRDefault="00000000">
      <w:pPr>
        <w:pStyle w:val="Heading3"/>
        <w:spacing w:after="226" w:line="260" w:lineRule="auto"/>
        <w:ind w:left="-5"/>
      </w:pPr>
      <w:r>
        <w:rPr>
          <w:sz w:val="24"/>
        </w:rPr>
        <w:t>4.6.1 ADMET Evaluation</w:t>
      </w:r>
    </w:p>
    <w:p w:rsidR="00543912" w:rsidRDefault="00000000">
      <w:pPr>
        <w:spacing w:after="384"/>
        <w:ind w:left="-5" w:right="349"/>
      </w:pPr>
      <w:r>
        <w:t>The assessment of ADMET properties is critical in drug design and discovery, as these properties encompass essential pharmacokinetic attributes that determine the viability of a drug candidate. A promising drug must not only exhibit high potency against its target but also possess favorable ADMET characteristics. Advanced machine learning predictors were employed to screen and repurpose thousands of compounds from DrugBank, evaluating their ADMET properties. Additionally, sophisticated AI models were developed to address challenges such as drug addiction. In this study, ADMET properties and synthesizability were analyzed to identify potential lead compounds, as illustrated in Table ??.</w:t>
      </w:r>
    </w:p>
    <w:p w:rsidR="00543912" w:rsidRDefault="00000000">
      <w:pPr>
        <w:pStyle w:val="Heading3"/>
        <w:spacing w:after="226" w:line="260" w:lineRule="auto"/>
        <w:ind w:left="-5"/>
      </w:pPr>
      <w:r>
        <w:rPr>
          <w:sz w:val="24"/>
        </w:rPr>
        <w:t>4.6.2 ADMET and Synthetic Accessibility Metrics</w:t>
      </w:r>
    </w:p>
    <w:p w:rsidR="00543912" w:rsidRDefault="00000000">
      <w:pPr>
        <w:spacing w:after="217"/>
        <w:ind w:left="-5" w:right="349"/>
      </w:pPr>
      <w:r>
        <w:t>The ADMET evaluation was conducted using seven key indices: FDAMDD, T1/2, F20%, Caco-2, NPscore, and BBB Penetration .</w:t>
      </w:r>
    </w:p>
    <w:p w:rsidR="00543912" w:rsidRDefault="00000000">
      <w:pPr>
        <w:numPr>
          <w:ilvl w:val="0"/>
          <w:numId w:val="10"/>
        </w:numPr>
        <w:spacing w:after="177"/>
        <w:ind w:right="349" w:hanging="169"/>
      </w:pPr>
      <w:r>
        <w:t>FDAMDD (FDA Maximum Recommended Daily Dose) (Oral bioavailability) aims to prevent toxicity by ensuring doses remain within safe limits.</w:t>
      </w:r>
    </w:p>
    <w:p w:rsidR="00543912" w:rsidRDefault="00000000">
      <w:pPr>
        <w:numPr>
          <w:ilvl w:val="0"/>
          <w:numId w:val="10"/>
        </w:numPr>
        <w:spacing w:after="177"/>
        <w:ind w:right="349" w:hanging="169"/>
      </w:pPr>
      <w:r>
        <w:t>T1/2 (Half-Life) indicates the time required for the drug concentration in the body to reduce by half. A half-life of less than 3 hours is considered short.</w:t>
      </w:r>
    </w:p>
    <w:p w:rsidR="00543912" w:rsidRDefault="00000000">
      <w:pPr>
        <w:numPr>
          <w:ilvl w:val="0"/>
          <w:numId w:val="10"/>
        </w:numPr>
        <w:spacing w:after="177"/>
        <w:ind w:right="349" w:hanging="169"/>
      </w:pPr>
      <w:r>
        <w:t>F20% (Oral bioavailability) represents the probability of less than 20% of the administered dose reaching systemic circulation, which is critical for assessing bioavailability, therapeutic efficacy, and potential side effects.</w:t>
      </w:r>
    </w:p>
    <w:p w:rsidR="00543912" w:rsidRDefault="00000000">
      <w:pPr>
        <w:numPr>
          <w:ilvl w:val="0"/>
          <w:numId w:val="10"/>
        </w:numPr>
        <w:spacing w:after="176"/>
        <w:ind w:right="349" w:hanging="169"/>
      </w:pPr>
      <w:r>
        <w:t>Caco-2 permeability (Intestinal permeability) provides insights into the in vivo absorption of oral drugs, including interactions with efflux transporters and metabolic pathways.</w:t>
      </w:r>
    </w:p>
    <w:p w:rsidR="00543912" w:rsidRDefault="00000000">
      <w:pPr>
        <w:numPr>
          <w:ilvl w:val="0"/>
          <w:numId w:val="10"/>
        </w:numPr>
        <w:spacing w:after="142" w:line="259" w:lineRule="auto"/>
        <w:ind w:right="349" w:hanging="169"/>
      </w:pPr>
      <w:r>
        <w:t>NPscore (Natural Product-likeness Score) assesses how much a molecule resembles a natural product</w:t>
      </w:r>
    </w:p>
    <w:p w:rsidR="00543912" w:rsidRDefault="00000000">
      <w:pPr>
        <w:spacing w:line="259" w:lineRule="auto"/>
        <w:ind w:left="508" w:right="349"/>
      </w:pPr>
      <w:r>
        <w:t>(good pharmacodynamics).</w:t>
      </w:r>
    </w:p>
    <w:p w:rsidR="00543912" w:rsidRDefault="00000000">
      <w:pPr>
        <w:numPr>
          <w:ilvl w:val="0"/>
          <w:numId w:val="10"/>
        </w:numPr>
        <w:spacing w:after="139" w:line="259" w:lineRule="auto"/>
        <w:ind w:right="349" w:hanging="169"/>
      </w:pPr>
      <w:r>
        <w:t>BBB Penetration (Blood-Brain Barrier Penetration predicts whether a drug can cross the blood-brain</w:t>
      </w:r>
    </w:p>
    <w:p w:rsidR="00543912" w:rsidRDefault="00000000">
      <w:pPr>
        <w:spacing w:after="335" w:line="259" w:lineRule="auto"/>
        <w:ind w:left="508" w:right="349"/>
      </w:pPr>
      <w:r>
        <w:t>barrier .</w:t>
      </w:r>
    </w:p>
    <w:p w:rsidR="00543912" w:rsidRDefault="00000000">
      <w:pPr>
        <w:spacing w:after="43"/>
        <w:ind w:left="-15" w:right="349" w:firstLine="299"/>
      </w:pPr>
      <w:r>
        <w:t>These metrics collectively ensure that the generated molecules not only exhibit strong binding affinity but also possess favorable pharmacokinetic and safety profiles.</w:t>
      </w:r>
    </w:p>
    <w:p w:rsidR="00543912" w:rsidRDefault="00000000">
      <w:pPr>
        <w:spacing w:after="0" w:line="259" w:lineRule="auto"/>
        <w:ind w:left="120" w:right="474"/>
        <w:jc w:val="center"/>
      </w:pPr>
      <w:r>
        <w:t>Table 7: Optimal ranges of selected ADMET properties.</w:t>
      </w:r>
    </w:p>
    <w:tbl>
      <w:tblPr>
        <w:tblStyle w:val="TableGrid"/>
        <w:tblW w:w="6901" w:type="dxa"/>
        <w:tblInd w:w="1062" w:type="dxa"/>
        <w:tblCellMar>
          <w:top w:w="34" w:type="dxa"/>
          <w:left w:w="124" w:type="dxa"/>
          <w:bottom w:w="0" w:type="dxa"/>
          <w:right w:w="115" w:type="dxa"/>
        </w:tblCellMar>
        <w:tblLook w:val="04A0" w:firstRow="1" w:lastRow="0" w:firstColumn="1" w:lastColumn="0" w:noHBand="0" w:noVBand="1"/>
      </w:tblPr>
      <w:tblGrid>
        <w:gridCol w:w="1603"/>
        <w:gridCol w:w="5298"/>
      </w:tblGrid>
      <w:tr w:rsidR="00543912">
        <w:trPr>
          <w:trHeight w:val="247"/>
        </w:trPr>
        <w:tc>
          <w:tcPr>
            <w:tcW w:w="1603" w:type="dxa"/>
            <w:tcBorders>
              <w:top w:val="single" w:sz="3" w:space="0" w:color="000000"/>
              <w:left w:val="single" w:sz="3" w:space="0" w:color="000000"/>
              <w:bottom w:val="single" w:sz="3" w:space="0" w:color="000000"/>
              <w:right w:val="single" w:sz="3" w:space="0" w:color="000000"/>
            </w:tcBorders>
          </w:tcPr>
          <w:p w:rsidR="00543912" w:rsidRDefault="00000000">
            <w:pPr>
              <w:spacing w:after="0" w:line="259" w:lineRule="auto"/>
              <w:ind w:left="0" w:right="0" w:firstLine="0"/>
              <w:jc w:val="left"/>
            </w:pPr>
            <w:r>
              <w:t>Property</w:t>
            </w:r>
          </w:p>
        </w:tc>
        <w:tc>
          <w:tcPr>
            <w:tcW w:w="5298" w:type="dxa"/>
            <w:tcBorders>
              <w:top w:val="single" w:sz="3" w:space="0" w:color="000000"/>
              <w:left w:val="single" w:sz="3" w:space="0" w:color="000000"/>
              <w:bottom w:val="single" w:sz="3" w:space="0" w:color="000000"/>
              <w:right w:val="single" w:sz="3" w:space="0" w:color="000000"/>
            </w:tcBorders>
          </w:tcPr>
          <w:p w:rsidR="00543912" w:rsidRDefault="00000000">
            <w:pPr>
              <w:spacing w:after="0" w:line="259" w:lineRule="auto"/>
              <w:ind w:left="0" w:right="0" w:firstLine="0"/>
              <w:jc w:val="left"/>
            </w:pPr>
            <w:r>
              <w:t>Optimal Range</w:t>
            </w:r>
          </w:p>
        </w:tc>
      </w:tr>
      <w:tr w:rsidR="00543912">
        <w:trPr>
          <w:trHeight w:val="247"/>
        </w:trPr>
        <w:tc>
          <w:tcPr>
            <w:tcW w:w="1603" w:type="dxa"/>
            <w:tcBorders>
              <w:top w:val="single" w:sz="3" w:space="0" w:color="000000"/>
              <w:left w:val="single" w:sz="3" w:space="0" w:color="000000"/>
              <w:bottom w:val="single" w:sz="3" w:space="0" w:color="000000"/>
              <w:right w:val="single" w:sz="3" w:space="0" w:color="000000"/>
            </w:tcBorders>
          </w:tcPr>
          <w:p w:rsidR="00543912" w:rsidRDefault="00000000">
            <w:pPr>
              <w:spacing w:after="0" w:line="259" w:lineRule="auto"/>
              <w:ind w:left="0" w:right="0" w:firstLine="0"/>
              <w:jc w:val="left"/>
            </w:pPr>
            <w:r>
              <w:t>FDAMDD</w:t>
            </w:r>
          </w:p>
        </w:tc>
        <w:tc>
          <w:tcPr>
            <w:tcW w:w="5298" w:type="dxa"/>
            <w:tcBorders>
              <w:top w:val="single" w:sz="3" w:space="0" w:color="000000"/>
              <w:left w:val="single" w:sz="3" w:space="0" w:color="000000"/>
              <w:bottom w:val="single" w:sz="3" w:space="0" w:color="000000"/>
              <w:right w:val="single" w:sz="3" w:space="0" w:color="000000"/>
            </w:tcBorders>
          </w:tcPr>
          <w:p w:rsidR="00543912" w:rsidRDefault="00000000">
            <w:pPr>
              <w:spacing w:after="0" w:line="259" w:lineRule="auto"/>
              <w:ind w:left="0" w:right="0" w:firstLine="0"/>
              <w:jc w:val="left"/>
            </w:pPr>
            <w:r>
              <w:t>Excellent: 0–0.3; Medium: 0.3–0.7; Poor: 0.7–1.0</w:t>
            </w:r>
          </w:p>
        </w:tc>
      </w:tr>
      <w:tr w:rsidR="00543912">
        <w:trPr>
          <w:trHeight w:val="247"/>
        </w:trPr>
        <w:tc>
          <w:tcPr>
            <w:tcW w:w="1603" w:type="dxa"/>
            <w:tcBorders>
              <w:top w:val="single" w:sz="3" w:space="0" w:color="000000"/>
              <w:left w:val="single" w:sz="3" w:space="0" w:color="000000"/>
              <w:bottom w:val="single" w:sz="3" w:space="0" w:color="000000"/>
              <w:right w:val="single" w:sz="3" w:space="0" w:color="000000"/>
            </w:tcBorders>
          </w:tcPr>
          <w:p w:rsidR="00543912" w:rsidRDefault="00000000">
            <w:pPr>
              <w:spacing w:after="0" w:line="259" w:lineRule="auto"/>
              <w:ind w:left="0" w:right="0" w:firstLine="0"/>
              <w:jc w:val="left"/>
            </w:pPr>
            <w:r>
              <w:t>T1/2</w:t>
            </w:r>
          </w:p>
        </w:tc>
        <w:tc>
          <w:tcPr>
            <w:tcW w:w="5298" w:type="dxa"/>
            <w:tcBorders>
              <w:top w:val="single" w:sz="3" w:space="0" w:color="000000"/>
              <w:left w:val="single" w:sz="3" w:space="0" w:color="000000"/>
              <w:bottom w:val="single" w:sz="3" w:space="0" w:color="000000"/>
              <w:right w:val="single" w:sz="3" w:space="0" w:color="000000"/>
            </w:tcBorders>
          </w:tcPr>
          <w:p w:rsidR="00543912" w:rsidRDefault="00000000">
            <w:pPr>
              <w:spacing w:after="0" w:line="259" w:lineRule="auto"/>
              <w:ind w:left="0" w:right="0" w:firstLine="0"/>
              <w:jc w:val="left"/>
            </w:pPr>
            <w:r>
              <w:t>Excellent: 0–0.3; Medium: 0.3–0.7; Poor: 0.7–1.0</w:t>
            </w:r>
          </w:p>
        </w:tc>
      </w:tr>
      <w:tr w:rsidR="00543912">
        <w:trPr>
          <w:trHeight w:val="247"/>
        </w:trPr>
        <w:tc>
          <w:tcPr>
            <w:tcW w:w="1603" w:type="dxa"/>
            <w:tcBorders>
              <w:top w:val="single" w:sz="3" w:space="0" w:color="000000"/>
              <w:left w:val="single" w:sz="3" w:space="0" w:color="000000"/>
              <w:bottom w:val="single" w:sz="3" w:space="0" w:color="000000"/>
              <w:right w:val="single" w:sz="3" w:space="0" w:color="000000"/>
            </w:tcBorders>
          </w:tcPr>
          <w:p w:rsidR="00543912" w:rsidRDefault="00000000">
            <w:pPr>
              <w:spacing w:after="0" w:line="259" w:lineRule="auto"/>
              <w:ind w:left="0" w:right="0" w:firstLine="0"/>
              <w:jc w:val="left"/>
            </w:pPr>
            <w:r>
              <w:t>F20%</w:t>
            </w:r>
          </w:p>
        </w:tc>
        <w:tc>
          <w:tcPr>
            <w:tcW w:w="5298" w:type="dxa"/>
            <w:tcBorders>
              <w:top w:val="single" w:sz="3" w:space="0" w:color="000000"/>
              <w:left w:val="single" w:sz="3" w:space="0" w:color="000000"/>
              <w:bottom w:val="single" w:sz="3" w:space="0" w:color="000000"/>
              <w:right w:val="single" w:sz="3" w:space="0" w:color="000000"/>
            </w:tcBorders>
          </w:tcPr>
          <w:p w:rsidR="00543912" w:rsidRDefault="00000000">
            <w:pPr>
              <w:spacing w:after="0" w:line="259" w:lineRule="auto"/>
              <w:ind w:left="0" w:right="0" w:firstLine="0"/>
              <w:jc w:val="left"/>
            </w:pPr>
            <w:r>
              <w:t>Excellent: 0–0.3; Medium: 0.3–0.7; Poor: 0.7–1.0</w:t>
            </w:r>
          </w:p>
        </w:tc>
      </w:tr>
      <w:tr w:rsidR="00543912">
        <w:trPr>
          <w:trHeight w:val="247"/>
        </w:trPr>
        <w:tc>
          <w:tcPr>
            <w:tcW w:w="1603" w:type="dxa"/>
            <w:tcBorders>
              <w:top w:val="single" w:sz="3" w:space="0" w:color="000000"/>
              <w:left w:val="single" w:sz="3" w:space="0" w:color="000000"/>
              <w:bottom w:val="single" w:sz="3" w:space="0" w:color="000000"/>
              <w:right w:val="single" w:sz="3" w:space="0" w:color="000000"/>
            </w:tcBorders>
          </w:tcPr>
          <w:p w:rsidR="00543912" w:rsidRDefault="00000000">
            <w:pPr>
              <w:spacing w:after="0" w:line="259" w:lineRule="auto"/>
              <w:ind w:left="0" w:right="0" w:firstLine="0"/>
              <w:jc w:val="left"/>
            </w:pPr>
            <w:r>
              <w:t>Caco-2</w:t>
            </w:r>
          </w:p>
        </w:tc>
        <w:tc>
          <w:tcPr>
            <w:tcW w:w="5298" w:type="dxa"/>
            <w:tcBorders>
              <w:top w:val="single" w:sz="3" w:space="0" w:color="000000"/>
              <w:left w:val="single" w:sz="3" w:space="0" w:color="000000"/>
              <w:bottom w:val="single" w:sz="3" w:space="0" w:color="000000"/>
              <w:right w:val="single" w:sz="3" w:space="0" w:color="000000"/>
            </w:tcBorders>
          </w:tcPr>
          <w:p w:rsidR="00543912" w:rsidRDefault="00000000">
            <w:pPr>
              <w:spacing w:after="0" w:line="259" w:lineRule="auto"/>
              <w:ind w:left="0" w:right="0" w:firstLine="0"/>
              <w:jc w:val="left"/>
            </w:pPr>
            <w:r>
              <w:t xml:space="preserve">Acceptable: </w:t>
            </w:r>
            <w:r>
              <w:rPr>
                <w:rFonts w:ascii="Cambria" w:eastAsia="Cambria" w:hAnsi="Cambria" w:cs="Cambria"/>
                <w:i/>
              </w:rPr>
              <w:t xml:space="preserve">&gt; </w:t>
            </w:r>
            <w:r>
              <w:rPr>
                <w:rFonts w:ascii="Cambria" w:eastAsia="Cambria" w:hAnsi="Cambria" w:cs="Cambria"/>
              </w:rPr>
              <w:t>−5</w:t>
            </w:r>
            <w:r>
              <w:rPr>
                <w:rFonts w:ascii="Cambria" w:eastAsia="Cambria" w:hAnsi="Cambria" w:cs="Cambria"/>
                <w:i/>
              </w:rPr>
              <w:t>.</w:t>
            </w:r>
            <w:r>
              <w:rPr>
                <w:rFonts w:ascii="Cambria" w:eastAsia="Cambria" w:hAnsi="Cambria" w:cs="Cambria"/>
              </w:rPr>
              <w:t xml:space="preserve">15 </w:t>
            </w:r>
            <w:r>
              <w:t>(log cm/s)</w:t>
            </w:r>
          </w:p>
        </w:tc>
      </w:tr>
      <w:tr w:rsidR="00543912">
        <w:trPr>
          <w:trHeight w:val="247"/>
        </w:trPr>
        <w:tc>
          <w:tcPr>
            <w:tcW w:w="1603" w:type="dxa"/>
            <w:tcBorders>
              <w:top w:val="single" w:sz="3" w:space="0" w:color="000000"/>
              <w:left w:val="single" w:sz="3" w:space="0" w:color="000000"/>
              <w:bottom w:val="single" w:sz="3" w:space="0" w:color="000000"/>
              <w:right w:val="single" w:sz="3" w:space="0" w:color="000000"/>
            </w:tcBorders>
          </w:tcPr>
          <w:p w:rsidR="00543912" w:rsidRDefault="00000000">
            <w:pPr>
              <w:spacing w:after="0" w:line="259" w:lineRule="auto"/>
              <w:ind w:left="0" w:right="0" w:firstLine="0"/>
              <w:jc w:val="left"/>
            </w:pPr>
            <w:r>
              <w:t>NPscore</w:t>
            </w:r>
          </w:p>
        </w:tc>
        <w:tc>
          <w:tcPr>
            <w:tcW w:w="5298" w:type="dxa"/>
            <w:tcBorders>
              <w:top w:val="single" w:sz="3" w:space="0" w:color="000000"/>
              <w:left w:val="single" w:sz="3" w:space="0" w:color="000000"/>
              <w:bottom w:val="single" w:sz="3" w:space="0" w:color="000000"/>
              <w:right w:val="single" w:sz="3" w:space="0" w:color="000000"/>
            </w:tcBorders>
          </w:tcPr>
          <w:p w:rsidR="00543912" w:rsidRDefault="00000000">
            <w:pPr>
              <w:spacing w:after="0" w:line="259" w:lineRule="auto"/>
              <w:ind w:left="0" w:right="0" w:firstLine="0"/>
              <w:jc w:val="left"/>
            </w:pPr>
            <w:r>
              <w:t xml:space="preserve">Preferably </w:t>
            </w:r>
            <w:r>
              <w:rPr>
                <w:rFonts w:ascii="Cambria" w:eastAsia="Cambria" w:hAnsi="Cambria" w:cs="Cambria"/>
                <w:i/>
              </w:rPr>
              <w:t xml:space="preserve">&gt; </w:t>
            </w:r>
            <w:r>
              <w:rPr>
                <w:rFonts w:ascii="Cambria" w:eastAsia="Cambria" w:hAnsi="Cambria" w:cs="Cambria"/>
              </w:rPr>
              <w:t xml:space="preserve">0 </w:t>
            </w:r>
            <w:r>
              <w:t>(higher values suggest natural product-likeness)</w:t>
            </w:r>
          </w:p>
        </w:tc>
      </w:tr>
      <w:tr w:rsidR="00543912">
        <w:trPr>
          <w:trHeight w:val="247"/>
        </w:trPr>
        <w:tc>
          <w:tcPr>
            <w:tcW w:w="1603" w:type="dxa"/>
            <w:tcBorders>
              <w:top w:val="single" w:sz="3" w:space="0" w:color="000000"/>
              <w:left w:val="single" w:sz="3" w:space="0" w:color="000000"/>
              <w:bottom w:val="single" w:sz="3" w:space="0" w:color="000000"/>
              <w:right w:val="single" w:sz="3" w:space="0" w:color="000000"/>
            </w:tcBorders>
          </w:tcPr>
          <w:p w:rsidR="00543912" w:rsidRDefault="00000000">
            <w:pPr>
              <w:spacing w:after="0" w:line="259" w:lineRule="auto"/>
              <w:ind w:left="0" w:right="0" w:firstLine="0"/>
              <w:jc w:val="left"/>
            </w:pPr>
            <w:r>
              <w:t>BBB Penetration</w:t>
            </w:r>
          </w:p>
        </w:tc>
        <w:tc>
          <w:tcPr>
            <w:tcW w:w="5298" w:type="dxa"/>
            <w:tcBorders>
              <w:top w:val="single" w:sz="3" w:space="0" w:color="000000"/>
              <w:left w:val="single" w:sz="3" w:space="0" w:color="000000"/>
              <w:bottom w:val="single" w:sz="3" w:space="0" w:color="000000"/>
              <w:right w:val="single" w:sz="3" w:space="0" w:color="000000"/>
            </w:tcBorders>
          </w:tcPr>
          <w:p w:rsidR="00543912" w:rsidRDefault="00000000">
            <w:pPr>
              <w:spacing w:after="0" w:line="259" w:lineRule="auto"/>
              <w:ind w:left="0" w:right="0" w:firstLine="0"/>
              <w:jc w:val="left"/>
            </w:pPr>
            <w:r>
              <w:t>High: BBB+ (able to cross); Low: BBB– (unable to cross)</w:t>
            </w:r>
          </w:p>
        </w:tc>
      </w:tr>
    </w:tbl>
    <w:p w:rsidR="00543912" w:rsidRDefault="00000000">
      <w:pPr>
        <w:pStyle w:val="Heading3"/>
        <w:spacing w:after="226" w:line="260" w:lineRule="auto"/>
        <w:ind w:left="-5"/>
      </w:pPr>
      <w:r>
        <w:rPr>
          <w:sz w:val="24"/>
        </w:rPr>
        <w:t>4.6.3 Implications for Drug Development</w:t>
      </w:r>
    </w:p>
    <w:p w:rsidR="00543912" w:rsidRDefault="00000000">
      <w:pPr>
        <w:spacing w:after="541"/>
        <w:ind w:left="-5" w:right="349"/>
      </w:pPr>
      <w:r>
        <w:t>The results underscore the importance of considering ADMET properties and potential side effects prior to synthesizing new compounds. This holistic approach ensures that drug candidates are not only effective but also safe and feasible for further development.</w:t>
      </w:r>
    </w:p>
    <w:p w:rsidR="00543912" w:rsidRDefault="00000000">
      <w:pPr>
        <w:tabs>
          <w:tab w:val="center" w:pos="1025"/>
        </w:tabs>
        <w:spacing w:after="465" w:line="265" w:lineRule="auto"/>
        <w:ind w:left="-15" w:right="0" w:firstLine="0"/>
        <w:jc w:val="left"/>
      </w:pPr>
      <w:r>
        <w:rPr>
          <w:sz w:val="29"/>
        </w:rPr>
        <w:t>5</w:t>
      </w:r>
      <w:r>
        <w:rPr>
          <w:sz w:val="29"/>
        </w:rPr>
        <w:tab/>
        <w:t>Appendix</w:t>
      </w:r>
    </w:p>
    <w:p w:rsidR="00543912" w:rsidRDefault="00000000">
      <w:pPr>
        <w:pStyle w:val="Heading1"/>
        <w:tabs>
          <w:tab w:val="center" w:pos="1542"/>
        </w:tabs>
        <w:ind w:left="-15" w:firstLine="0"/>
      </w:pPr>
      <w:r>
        <w:t>6</w:t>
      </w:r>
      <w:r>
        <w:tab/>
        <w:t>Additional Details</w:t>
      </w:r>
    </w:p>
    <w:p w:rsidR="00543912" w:rsidRDefault="00000000">
      <w:pPr>
        <w:spacing w:after="1439" w:line="259" w:lineRule="auto"/>
        <w:ind w:left="1168" w:right="0" w:firstLine="0"/>
        <w:jc w:val="left"/>
      </w:pPr>
      <w:r>
        <w:rPr>
          <w:noProof/>
          <w:sz w:val="22"/>
        </w:rPr>
        <mc:AlternateContent>
          <mc:Choice Requires="wpg">
            <w:drawing>
              <wp:inline distT="0" distB="0" distL="0" distR="0">
                <wp:extent cx="4577920" cy="6650521"/>
                <wp:effectExtent l="0" t="0" r="0" b="0"/>
                <wp:docPr id="21328" name="Group 21328"/>
                <wp:cNvGraphicFramePr/>
                <a:graphic xmlns:a="http://schemas.openxmlformats.org/drawingml/2006/main">
                  <a:graphicData uri="http://schemas.microsoft.com/office/word/2010/wordprocessingGroup">
                    <wpg:wgp>
                      <wpg:cNvGrpSpPr/>
                      <wpg:grpSpPr>
                        <a:xfrm>
                          <a:off x="0" y="0"/>
                          <a:ext cx="4577920" cy="6650521"/>
                          <a:chOff x="0" y="0"/>
                          <a:chExt cx="4577920" cy="6650521"/>
                        </a:xfrm>
                      </wpg:grpSpPr>
                      <wps:wsp>
                        <wps:cNvPr id="1740" name="Rectangle 1740"/>
                        <wps:cNvSpPr/>
                        <wps:spPr>
                          <a:xfrm>
                            <a:off x="4527856" y="6499621"/>
                            <a:ext cx="33375" cy="200696"/>
                          </a:xfrm>
                          <a:prstGeom prst="rect">
                            <a:avLst/>
                          </a:prstGeom>
                          <a:ln>
                            <a:noFill/>
                          </a:ln>
                        </wps:spPr>
                        <wps:txbx>
                          <w:txbxContent>
                            <w:p w:rsidR="00543912" w:rsidRDefault="00000000">
                              <w:pPr>
                                <w:spacing w:after="160" w:line="259" w:lineRule="auto"/>
                                <w:ind w:left="0" w:right="0" w:firstLine="0"/>
                                <w:jc w:val="left"/>
                              </w:pPr>
                              <w:r>
                                <w:rPr>
                                  <w:sz w:val="19"/>
                                </w:rPr>
                                <w:t xml:space="preserve"> </w:t>
                              </w:r>
                            </w:p>
                          </w:txbxContent>
                        </wps:txbx>
                        <wps:bodyPr horzOverflow="overflow" vert="horz" lIns="0" tIns="0" rIns="0" bIns="0" rtlCol="0">
                          <a:noAutofit/>
                        </wps:bodyPr>
                      </wps:wsp>
                      <wps:wsp>
                        <wps:cNvPr id="1741" name="Rectangle 1741"/>
                        <wps:cNvSpPr/>
                        <wps:spPr>
                          <a:xfrm>
                            <a:off x="4552579" y="6499621"/>
                            <a:ext cx="33375" cy="200696"/>
                          </a:xfrm>
                          <a:prstGeom prst="rect">
                            <a:avLst/>
                          </a:prstGeom>
                          <a:ln>
                            <a:noFill/>
                          </a:ln>
                        </wps:spPr>
                        <wps:txbx>
                          <w:txbxContent>
                            <w:p w:rsidR="00543912" w:rsidRDefault="00000000">
                              <w:pPr>
                                <w:spacing w:after="160" w:line="259" w:lineRule="auto"/>
                                <w:ind w:left="0" w:right="0" w:firstLine="0"/>
                                <w:jc w:val="left"/>
                              </w:pPr>
                              <w:r>
                                <w:rPr>
                                  <w:sz w:val="19"/>
                                </w:rPr>
                                <w:t xml:space="preserve"> </w:t>
                              </w:r>
                            </w:p>
                          </w:txbxContent>
                        </wps:txbx>
                        <wps:bodyPr horzOverflow="overflow" vert="horz" lIns="0" tIns="0" rIns="0" bIns="0" rtlCol="0">
                          <a:noAutofit/>
                        </wps:bodyPr>
                      </wps:wsp>
                      <pic:pic xmlns:pic="http://schemas.openxmlformats.org/drawingml/2006/picture">
                        <pic:nvPicPr>
                          <pic:cNvPr id="1743" name="Picture 1743"/>
                          <pic:cNvPicPr/>
                        </pic:nvPicPr>
                        <pic:blipFill>
                          <a:blip r:embed="rId12"/>
                          <a:stretch>
                            <a:fillRect/>
                          </a:stretch>
                        </pic:blipFill>
                        <pic:spPr>
                          <a:xfrm>
                            <a:off x="0" y="0"/>
                            <a:ext cx="4577920" cy="3345055"/>
                          </a:xfrm>
                          <a:prstGeom prst="rect">
                            <a:avLst/>
                          </a:prstGeom>
                        </pic:spPr>
                      </pic:pic>
                      <pic:pic xmlns:pic="http://schemas.openxmlformats.org/drawingml/2006/picture">
                        <pic:nvPicPr>
                          <pic:cNvPr id="1745" name="Picture 1745"/>
                          <pic:cNvPicPr/>
                        </pic:nvPicPr>
                        <pic:blipFill>
                          <a:blip r:embed="rId13"/>
                          <a:stretch>
                            <a:fillRect/>
                          </a:stretch>
                        </pic:blipFill>
                        <pic:spPr>
                          <a:xfrm>
                            <a:off x="0" y="3369253"/>
                            <a:ext cx="4519718" cy="3244926"/>
                          </a:xfrm>
                          <a:prstGeom prst="rect">
                            <a:avLst/>
                          </a:prstGeom>
                        </pic:spPr>
                      </pic:pic>
                    </wpg:wgp>
                  </a:graphicData>
                </a:graphic>
              </wp:inline>
            </w:drawing>
          </mc:Choice>
          <mc:Fallback xmlns:a="http://schemas.openxmlformats.org/drawingml/2006/main">
            <w:pict>
              <v:group id="Group 21328" style="width:360.466pt;height:523.663pt;mso-position-horizontal-relative:char;mso-position-vertical-relative:line" coordsize="45779,66505">
                <v:rect id="Rectangle 1740" style="position:absolute;width:333;height:2006;left:45278;top:64996;" filled="f" stroked="f">
                  <v:textbox inset="0,0,0,0">
                    <w:txbxContent>
                      <w:p>
                        <w:pPr>
                          <w:spacing w:before="0" w:after="160" w:line="259" w:lineRule="auto"/>
                          <w:ind w:left="0" w:right="0" w:firstLine="0"/>
                          <w:jc w:val="left"/>
                        </w:pPr>
                        <w:r>
                          <w:rPr>
                            <w:rFonts w:cs="Calibri" w:hAnsi="Calibri" w:eastAsia="Calibri" w:ascii="Calibri"/>
                            <w:sz w:val="19"/>
                          </w:rPr>
                          <w:t xml:space="preserve"> </w:t>
                        </w:r>
                      </w:p>
                    </w:txbxContent>
                  </v:textbox>
                </v:rect>
                <v:rect id="Rectangle 1741" style="position:absolute;width:333;height:2006;left:45525;top:64996;" filled="f" stroked="f">
                  <v:textbox inset="0,0,0,0">
                    <w:txbxContent>
                      <w:p>
                        <w:pPr>
                          <w:spacing w:before="0" w:after="160" w:line="259" w:lineRule="auto"/>
                          <w:ind w:left="0" w:right="0" w:firstLine="0"/>
                          <w:jc w:val="left"/>
                        </w:pPr>
                        <w:r>
                          <w:rPr>
                            <w:rFonts w:cs="Calibri" w:hAnsi="Calibri" w:eastAsia="Calibri" w:ascii="Calibri"/>
                            <w:sz w:val="19"/>
                          </w:rPr>
                          <w:t xml:space="preserve"> </w:t>
                        </w:r>
                      </w:p>
                    </w:txbxContent>
                  </v:textbox>
                </v:rect>
                <v:shape id="Picture 1743" style="position:absolute;width:45779;height:33450;left:0;top:0;" filled="f">
                  <v:imagedata r:id="rId14"/>
                </v:shape>
                <v:shape id="Picture 1745" style="position:absolute;width:45197;height:32449;left:0;top:33692;" filled="f">
                  <v:imagedata r:id="rId15"/>
                </v:shape>
              </v:group>
            </w:pict>
          </mc:Fallback>
        </mc:AlternateContent>
      </w:r>
    </w:p>
    <w:p w:rsidR="00543912" w:rsidRDefault="00000000">
      <w:pPr>
        <w:spacing w:line="259" w:lineRule="auto"/>
        <w:ind w:left="1826" w:right="349"/>
      </w:pPr>
      <w:r>
        <w:t>Figure 3: The molecular property distributions for the protein 3D59</w:t>
      </w:r>
    </w:p>
    <w:p w:rsidR="00543912" w:rsidRDefault="00000000">
      <w:pPr>
        <w:spacing w:after="224" w:line="265" w:lineRule="auto"/>
        <w:ind w:left="-5" w:right="0"/>
        <w:jc w:val="left"/>
      </w:pPr>
      <w:r>
        <w:rPr>
          <w:sz w:val="29"/>
        </w:rPr>
        <w:t>Authors’ Contributions</w:t>
      </w:r>
    </w:p>
    <w:p w:rsidR="00543912" w:rsidRDefault="00000000">
      <w:pPr>
        <w:spacing w:after="529"/>
        <w:ind w:left="-5" w:right="349"/>
      </w:pPr>
      <w:r>
        <w:t>Your Name: Conceptualization, Methodology, Writing. Co-Author Name: Data Curation, Validation.</w:t>
      </w:r>
    </w:p>
    <w:p w:rsidR="00543912" w:rsidRDefault="00000000">
      <w:pPr>
        <w:spacing w:after="224" w:line="265" w:lineRule="auto"/>
        <w:ind w:left="-5" w:right="0"/>
        <w:jc w:val="left"/>
      </w:pPr>
      <w:r>
        <w:rPr>
          <w:sz w:val="29"/>
        </w:rPr>
        <w:t>Funding</w:t>
      </w:r>
    </w:p>
    <w:p w:rsidR="00543912" w:rsidRDefault="00000000">
      <w:pPr>
        <w:spacing w:after="529"/>
        <w:ind w:left="-5" w:right="349"/>
      </w:pPr>
      <w:r>
        <w:t>This research was supported by [Funding Agency] under Grant [Number].</w:t>
      </w:r>
    </w:p>
    <w:p w:rsidR="00543912" w:rsidRDefault="00000000">
      <w:pPr>
        <w:spacing w:after="224" w:line="265" w:lineRule="auto"/>
        <w:ind w:left="-5" w:right="0"/>
        <w:jc w:val="left"/>
      </w:pPr>
      <w:r>
        <w:rPr>
          <w:sz w:val="29"/>
        </w:rPr>
        <w:t>Data Availability</w:t>
      </w:r>
    </w:p>
    <w:p w:rsidR="00543912" w:rsidRDefault="00000000">
      <w:pPr>
        <w:spacing w:after="529"/>
        <w:ind w:left="-5" w:right="349"/>
      </w:pPr>
      <w:r>
        <w:t>The dataset and code used in this study are available at [Repository Link].</w:t>
      </w:r>
    </w:p>
    <w:p w:rsidR="00543912" w:rsidRDefault="00000000">
      <w:pPr>
        <w:spacing w:after="224" w:line="265" w:lineRule="auto"/>
        <w:ind w:left="-5" w:right="0"/>
        <w:jc w:val="left"/>
      </w:pPr>
      <w:r>
        <w:rPr>
          <w:sz w:val="29"/>
        </w:rPr>
        <w:t>Declarations</w:t>
      </w:r>
    </w:p>
    <w:p w:rsidR="00543912" w:rsidRDefault="00000000">
      <w:pPr>
        <w:spacing w:after="529"/>
        <w:ind w:left="-5" w:right="349"/>
      </w:pPr>
      <w:r>
        <w:t>The authors declare no conflicts of interest.</w:t>
      </w:r>
    </w:p>
    <w:p w:rsidR="00543912" w:rsidRDefault="00000000">
      <w:pPr>
        <w:spacing w:after="224" w:line="265" w:lineRule="auto"/>
        <w:ind w:left="-5" w:right="0"/>
        <w:jc w:val="left"/>
      </w:pPr>
      <w:r>
        <w:rPr>
          <w:sz w:val="29"/>
        </w:rPr>
        <w:t>Competing Interests</w:t>
      </w:r>
    </w:p>
    <w:p w:rsidR="00543912" w:rsidRDefault="00000000">
      <w:pPr>
        <w:spacing w:after="529"/>
        <w:ind w:left="-5" w:right="349"/>
      </w:pPr>
      <w:r>
        <w:t>The authors declare that they have no competing interests.</w:t>
      </w:r>
    </w:p>
    <w:p w:rsidR="00543912" w:rsidRDefault="00000000">
      <w:pPr>
        <w:pStyle w:val="Heading1"/>
        <w:spacing w:after="247"/>
        <w:ind w:left="-5"/>
      </w:pPr>
      <w:r>
        <w:t>References</w:t>
      </w:r>
    </w:p>
    <w:p w:rsidR="00543912" w:rsidRDefault="00000000">
      <w:pPr>
        <w:numPr>
          <w:ilvl w:val="0"/>
          <w:numId w:val="11"/>
        </w:numPr>
        <w:spacing w:after="181"/>
        <w:ind w:left="532" w:right="349" w:hanging="432"/>
      </w:pPr>
      <w:r>
        <w:t xml:space="preserve">Benoit Baillif, Jason Cole, Patrick McCabe, and Andreas Bender. Deep generative models for 3d molecular structure. </w:t>
      </w:r>
      <w:r>
        <w:rPr>
          <w:i/>
        </w:rPr>
        <w:t>Current Opinion in Structural Biology</w:t>
      </w:r>
      <w:r>
        <w:t>, 80:102566, 2023.</w:t>
      </w:r>
    </w:p>
    <w:p w:rsidR="00543912" w:rsidRDefault="00000000">
      <w:pPr>
        <w:numPr>
          <w:ilvl w:val="0"/>
          <w:numId w:val="11"/>
        </w:numPr>
        <w:spacing w:after="143" w:line="259" w:lineRule="auto"/>
        <w:ind w:left="532" w:right="349" w:hanging="432"/>
      </w:pPr>
      <w:r>
        <w:t xml:space="preserve">Jannis Born and Matteo Manica. Trends in deep learning for property-driven drug design. </w:t>
      </w:r>
      <w:r>
        <w:rPr>
          <w:i/>
        </w:rPr>
        <w:t>Current Medicinal</w:t>
      </w:r>
    </w:p>
    <w:p w:rsidR="00543912" w:rsidRDefault="00000000">
      <w:pPr>
        <w:spacing w:after="324" w:line="259" w:lineRule="auto"/>
        <w:ind w:left="442" w:right="349"/>
      </w:pPr>
      <w:r>
        <w:rPr>
          <w:i/>
        </w:rPr>
        <w:t>Chemistry</w:t>
      </w:r>
      <w:r>
        <w:t>, 28(38):7862–7886, 2021.</w:t>
      </w:r>
    </w:p>
    <w:p w:rsidR="00543912" w:rsidRDefault="00000000">
      <w:pPr>
        <w:numPr>
          <w:ilvl w:val="0"/>
          <w:numId w:val="11"/>
        </w:numPr>
        <w:spacing w:after="142" w:line="259" w:lineRule="auto"/>
        <w:ind w:left="532" w:right="349" w:hanging="432"/>
      </w:pPr>
      <w:r>
        <w:t xml:space="preserve">Carmen Cerchia and Antonio Lavecchia. New avenues in artificial intelligence-assisted drug discovery. </w:t>
      </w:r>
      <w:r>
        <w:rPr>
          <w:i/>
        </w:rPr>
        <w:t>Drug</w:t>
      </w:r>
    </w:p>
    <w:p w:rsidR="00543912" w:rsidRDefault="00000000">
      <w:pPr>
        <w:spacing w:after="325" w:line="259" w:lineRule="auto"/>
        <w:ind w:left="442" w:right="349"/>
      </w:pPr>
      <w:r>
        <w:rPr>
          <w:i/>
        </w:rPr>
        <w:t>Discovery Today</w:t>
      </w:r>
      <w:r>
        <w:t>, 28(4):103516, 2023.</w:t>
      </w:r>
    </w:p>
    <w:p w:rsidR="00543912" w:rsidRDefault="00000000">
      <w:pPr>
        <w:numPr>
          <w:ilvl w:val="0"/>
          <w:numId w:val="11"/>
        </w:numPr>
        <w:spacing w:after="182"/>
        <w:ind w:left="532" w:right="349" w:hanging="432"/>
      </w:pPr>
      <w:r>
        <w:t xml:space="preserve">Vijil Chenthamarakshan, Payel Das, Samuel C. Hoffman, Hendrik Strobelt, Inkit Padhi, Kar Wai Lim, Benjamin Hoover, Matteo Manica, Jannis Born, Teodoro Laino, and Aleksandra Mojsilovic. Cogmol: Targetspecific and selective drug design for covid-19 using deep generative models. </w:t>
      </w:r>
      <w:r>
        <w:rPr>
          <w:i/>
        </w:rPr>
        <w:t>arXiv: Learning</w:t>
      </w:r>
      <w:r>
        <w:t>, 2020.</w:t>
      </w:r>
    </w:p>
    <w:p w:rsidR="00543912" w:rsidRDefault="00000000">
      <w:pPr>
        <w:numPr>
          <w:ilvl w:val="0"/>
          <w:numId w:val="11"/>
        </w:numPr>
        <w:ind w:left="532" w:right="349" w:hanging="432"/>
      </w:pPr>
      <w:r>
        <w:t xml:space="preserve">DE Comings, L Ferry, S Bradshaw-Robinson, R Burchette, C Chiu, and D Muhleman. The dopamine d2 receptor (drd2) gene: a genetic risk factor in smoking. </w:t>
      </w:r>
      <w:r>
        <w:rPr>
          <w:i/>
        </w:rPr>
        <w:t>Pharmacogenetics</w:t>
      </w:r>
      <w:r>
        <w:t>, 6(1):73–79, 1996.</w:t>
      </w:r>
    </w:p>
    <w:p w:rsidR="00543912" w:rsidRDefault="00000000">
      <w:pPr>
        <w:numPr>
          <w:ilvl w:val="0"/>
          <w:numId w:val="11"/>
        </w:numPr>
        <w:spacing w:after="180"/>
        <w:ind w:left="532" w:right="349" w:hanging="432"/>
      </w:pPr>
      <w:r>
        <w:t xml:space="preserve">Anvita Gupta, Alex T. Muller, Berend J.H. Huisman, Julian A. Fuchs, Petra Schneider, and Gisbert Schnei-¨ der. Generative recurrent networks for de novo drug design. </w:t>
      </w:r>
      <w:r>
        <w:rPr>
          <w:i/>
        </w:rPr>
        <w:t>Molecular Informatics</w:t>
      </w:r>
      <w:r>
        <w:t xml:space="preserve">, 37(1-2):1700111, 2018. Erratum in: </w:t>
      </w:r>
      <w:r>
        <w:rPr>
          <w:i/>
        </w:rPr>
        <w:t>Molecular Informatics</w:t>
      </w:r>
      <w:r>
        <w:t>, 2018, 37(1-2), doi:10.1002/minf.201880141.</w:t>
      </w:r>
    </w:p>
    <w:p w:rsidR="00543912" w:rsidRDefault="00000000">
      <w:pPr>
        <w:numPr>
          <w:ilvl w:val="0"/>
          <w:numId w:val="11"/>
        </w:numPr>
        <w:spacing w:after="178"/>
        <w:ind w:left="532" w:right="349" w:hanging="432"/>
      </w:pPr>
      <w:r>
        <w:t xml:space="preserve">Roc´ıo Mercado, Tamas Rastemo, Erik Lindelof, G¨ unter Klambauer, Ola Engkvist, and Hongming Chen.¨ Graphinvent: A graph-based deep learning framework for molecular generation. </w:t>
      </w:r>
      <w:r>
        <w:rPr>
          <w:i/>
        </w:rPr>
        <w:t>Journal of Chemical Information and Modeling</w:t>
      </w:r>
      <w:r>
        <w:t>, 60(12):5916–5927, 2020.</w:t>
      </w:r>
    </w:p>
    <w:p w:rsidR="00543912" w:rsidRDefault="00000000">
      <w:pPr>
        <w:numPr>
          <w:ilvl w:val="0"/>
          <w:numId w:val="11"/>
        </w:numPr>
        <w:spacing w:after="144" w:line="259" w:lineRule="auto"/>
        <w:ind w:left="532" w:right="349" w:hanging="432"/>
      </w:pPr>
      <w:r>
        <w:t xml:space="preserve">Pascal Notin. </w:t>
      </w:r>
      <w:r>
        <w:rPr>
          <w:i/>
        </w:rPr>
        <w:t>Deep generative models for biology: represent, predict, design</w:t>
      </w:r>
      <w:r>
        <w:t>. PhD thesis, University of</w:t>
      </w:r>
    </w:p>
    <w:p w:rsidR="00543912" w:rsidRDefault="00000000">
      <w:pPr>
        <w:spacing w:after="323" w:line="259" w:lineRule="auto"/>
        <w:ind w:left="442" w:right="349"/>
      </w:pPr>
      <w:r>
        <w:t>Oxford, 2023.</w:t>
      </w:r>
    </w:p>
    <w:p w:rsidR="00543912" w:rsidRDefault="00000000">
      <w:pPr>
        <w:numPr>
          <w:ilvl w:val="0"/>
          <w:numId w:val="11"/>
        </w:numPr>
        <w:spacing w:after="180"/>
        <w:ind w:left="532" w:right="349" w:hanging="432"/>
      </w:pPr>
      <w:r>
        <w:t xml:space="preserve">Bharath Ramsundar, Peter Eastman, Patrick Walters, and Vijay Pande. Deepchem: A deep learning library for drug discovery. </w:t>
      </w:r>
      <w:r>
        <w:rPr>
          <w:i/>
        </w:rPr>
        <w:t>Journal of Chemical Information and Modeling</w:t>
      </w:r>
      <w:r>
        <w:t>, 60(6):2695–2697, 2020.</w:t>
      </w:r>
    </w:p>
    <w:p w:rsidR="00543912" w:rsidRDefault="00000000">
      <w:pPr>
        <w:numPr>
          <w:ilvl w:val="0"/>
          <w:numId w:val="11"/>
        </w:numPr>
        <w:spacing w:after="180"/>
        <w:ind w:left="532" w:right="349" w:hanging="432"/>
      </w:pPr>
      <w:r>
        <w:t xml:space="preserve">Marc Rouleau, Anand Patel, Michael J Hendzel, Scott H Kaufmann, and Guy G Poirier. Parp inhibition: Parp1 and beyond. </w:t>
      </w:r>
      <w:r>
        <w:rPr>
          <w:i/>
        </w:rPr>
        <w:t>Nature Reviews Cancer</w:t>
      </w:r>
      <w:r>
        <w:t>, 10(4):293–301, 2010.</w:t>
      </w:r>
    </w:p>
    <w:p w:rsidR="00543912" w:rsidRDefault="00000000">
      <w:pPr>
        <w:numPr>
          <w:ilvl w:val="0"/>
          <w:numId w:val="11"/>
        </w:numPr>
        <w:spacing w:after="180"/>
        <w:ind w:left="532" w:right="349" w:hanging="432"/>
      </w:pPr>
      <w:r>
        <w:t xml:space="preserve">Miha Skalic, Jose Jim´ enez, Davide Sabbadin, and Gianni De Fabritiis. Shape-based generative modeling for´ de novo drug design. </w:t>
      </w:r>
      <w:r>
        <w:rPr>
          <w:i/>
        </w:rPr>
        <w:t>Journal of Chemical Information and Modeling</w:t>
      </w:r>
      <w:r>
        <w:t>, 59(3):1205–1214, 2019.</w:t>
      </w:r>
    </w:p>
    <w:p w:rsidR="00543912" w:rsidRDefault="00000000">
      <w:pPr>
        <w:numPr>
          <w:ilvl w:val="0"/>
          <w:numId w:val="11"/>
        </w:numPr>
        <w:ind w:left="532" w:right="349" w:hanging="432"/>
      </w:pPr>
      <w:r>
        <w:t xml:space="preserve">O. Trott and A. J. Olson. Autodock vina: improving the speed and accuracy of docking with a new scoring function, efficient optimization, and multithreading. </w:t>
      </w:r>
      <w:r>
        <w:rPr>
          <w:i/>
        </w:rPr>
        <w:t>J. Comput. Chem.</w:t>
      </w:r>
      <w:r>
        <w:t>, 31(2):455–461, 2010.</w:t>
      </w:r>
    </w:p>
    <w:sectPr w:rsidR="00543912">
      <w:footerReference w:type="even" r:id="rId16"/>
      <w:footerReference w:type="default" r:id="rId17"/>
      <w:footerReference w:type="first" r:id="rId18"/>
      <w:pgSz w:w="11906" w:h="16838"/>
      <w:pgMar w:top="1441" w:right="1076" w:bottom="1397" w:left="1440" w:header="720" w:footer="79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35488" w:rsidRDefault="00835488">
      <w:pPr>
        <w:spacing w:after="0" w:line="240" w:lineRule="auto"/>
      </w:pPr>
      <w:r>
        <w:separator/>
      </w:r>
    </w:p>
  </w:endnote>
  <w:endnote w:type="continuationSeparator" w:id="0">
    <w:p w:rsidR="00835488" w:rsidRDefault="008354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43912" w:rsidRDefault="00000000">
    <w:pPr>
      <w:spacing w:after="0" w:line="259" w:lineRule="auto"/>
      <w:ind w:left="0" w:firstLine="0"/>
      <w:jc w:val="center"/>
    </w:pPr>
    <w:r>
      <w:fldChar w:fldCharType="begin"/>
    </w:r>
    <w:r>
      <w:instrText xml:space="preserve"> PAGE   \* MERGEFORMAT </w:instrText>
    </w:r>
    <w:r>
      <w:fldChar w:fldCharType="separate"/>
    </w:r>
    <w: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43912" w:rsidRDefault="00000000">
    <w:pPr>
      <w:spacing w:after="0" w:line="259" w:lineRule="auto"/>
      <w:ind w:left="0" w:firstLine="0"/>
      <w:jc w:val="center"/>
    </w:pPr>
    <w:r>
      <w:fldChar w:fldCharType="begin"/>
    </w:r>
    <w:r>
      <w:instrText xml:space="preserve"> PAGE   \* MERGEFORMAT </w:instrText>
    </w:r>
    <w:r>
      <w:fldChar w:fldCharType="separate"/>
    </w:r>
    <w: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43912" w:rsidRDefault="00000000">
    <w:pPr>
      <w:spacing w:after="0" w:line="259" w:lineRule="auto"/>
      <w:ind w:left="0" w:firstLine="0"/>
      <w:jc w:val="center"/>
    </w:pPr>
    <w:r>
      <w:fldChar w:fldCharType="begin"/>
    </w:r>
    <w:r>
      <w:instrText xml:space="preserve"> PAGE   \* MERGEFORMAT </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35488" w:rsidRDefault="00835488">
      <w:pPr>
        <w:spacing w:after="0" w:line="240" w:lineRule="auto"/>
      </w:pPr>
      <w:r>
        <w:separator/>
      </w:r>
    </w:p>
  </w:footnote>
  <w:footnote w:type="continuationSeparator" w:id="0">
    <w:p w:rsidR="00835488" w:rsidRDefault="008354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1521E"/>
    <w:multiLevelType w:val="hybridMultilevel"/>
    <w:tmpl w:val="16BEF092"/>
    <w:lvl w:ilvl="0" w:tplc="D520B174">
      <w:start w:val="1"/>
      <w:numFmt w:val="bullet"/>
      <w:lvlText w:val="•"/>
      <w:lvlJc w:val="left"/>
      <w:pPr>
        <w:ind w:left="49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26B20036">
      <w:start w:val="1"/>
      <w:numFmt w:val="bullet"/>
      <w:lvlText w:val="o"/>
      <w:lvlJc w:val="left"/>
      <w:pPr>
        <w:ind w:left="140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8C0063D4">
      <w:start w:val="1"/>
      <w:numFmt w:val="bullet"/>
      <w:lvlText w:val="▪"/>
      <w:lvlJc w:val="left"/>
      <w:pPr>
        <w:ind w:left="212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5322C9CE">
      <w:start w:val="1"/>
      <w:numFmt w:val="bullet"/>
      <w:lvlText w:val="•"/>
      <w:lvlJc w:val="left"/>
      <w:pPr>
        <w:ind w:left="284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747E88EA">
      <w:start w:val="1"/>
      <w:numFmt w:val="bullet"/>
      <w:lvlText w:val="o"/>
      <w:lvlJc w:val="left"/>
      <w:pPr>
        <w:ind w:left="356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21A64CAA">
      <w:start w:val="1"/>
      <w:numFmt w:val="bullet"/>
      <w:lvlText w:val="▪"/>
      <w:lvlJc w:val="left"/>
      <w:pPr>
        <w:ind w:left="428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8F8EABC6">
      <w:start w:val="1"/>
      <w:numFmt w:val="bullet"/>
      <w:lvlText w:val="•"/>
      <w:lvlJc w:val="left"/>
      <w:pPr>
        <w:ind w:left="500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805016AA">
      <w:start w:val="1"/>
      <w:numFmt w:val="bullet"/>
      <w:lvlText w:val="o"/>
      <w:lvlJc w:val="left"/>
      <w:pPr>
        <w:ind w:left="572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C776B706">
      <w:start w:val="1"/>
      <w:numFmt w:val="bullet"/>
      <w:lvlText w:val="▪"/>
      <w:lvlJc w:val="left"/>
      <w:pPr>
        <w:ind w:left="644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B9E65AE"/>
    <w:multiLevelType w:val="hybridMultilevel"/>
    <w:tmpl w:val="0E089996"/>
    <w:lvl w:ilvl="0" w:tplc="A08A75D6">
      <w:start w:val="1"/>
      <w:numFmt w:val="bullet"/>
      <w:lvlText w:val="•"/>
      <w:lvlJc w:val="left"/>
      <w:pPr>
        <w:ind w:left="49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1ED405FE">
      <w:start w:val="1"/>
      <w:numFmt w:val="bullet"/>
      <w:lvlText w:val="o"/>
      <w:lvlJc w:val="left"/>
      <w:pPr>
        <w:ind w:left="140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45B249E8">
      <w:start w:val="1"/>
      <w:numFmt w:val="bullet"/>
      <w:lvlText w:val="▪"/>
      <w:lvlJc w:val="left"/>
      <w:pPr>
        <w:ind w:left="212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D598A65A">
      <w:start w:val="1"/>
      <w:numFmt w:val="bullet"/>
      <w:lvlText w:val="•"/>
      <w:lvlJc w:val="left"/>
      <w:pPr>
        <w:ind w:left="284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44A0FA1A">
      <w:start w:val="1"/>
      <w:numFmt w:val="bullet"/>
      <w:lvlText w:val="o"/>
      <w:lvlJc w:val="left"/>
      <w:pPr>
        <w:ind w:left="356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3C84FDCA">
      <w:start w:val="1"/>
      <w:numFmt w:val="bullet"/>
      <w:lvlText w:val="▪"/>
      <w:lvlJc w:val="left"/>
      <w:pPr>
        <w:ind w:left="428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F1887CA4">
      <w:start w:val="1"/>
      <w:numFmt w:val="bullet"/>
      <w:lvlText w:val="•"/>
      <w:lvlJc w:val="left"/>
      <w:pPr>
        <w:ind w:left="500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3FFE3DF8">
      <w:start w:val="1"/>
      <w:numFmt w:val="bullet"/>
      <w:lvlText w:val="o"/>
      <w:lvlJc w:val="left"/>
      <w:pPr>
        <w:ind w:left="572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A09C28E2">
      <w:start w:val="1"/>
      <w:numFmt w:val="bullet"/>
      <w:lvlText w:val="▪"/>
      <w:lvlJc w:val="left"/>
      <w:pPr>
        <w:ind w:left="644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CBE7425"/>
    <w:multiLevelType w:val="hybridMultilevel"/>
    <w:tmpl w:val="16A64132"/>
    <w:lvl w:ilvl="0" w:tplc="8BAA8874">
      <w:start w:val="1"/>
      <w:numFmt w:val="bullet"/>
      <w:lvlText w:val="•"/>
      <w:lvlJc w:val="left"/>
      <w:pPr>
        <w:ind w:left="49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6C349A92">
      <w:start w:val="1"/>
      <w:numFmt w:val="bullet"/>
      <w:lvlText w:val="o"/>
      <w:lvlJc w:val="left"/>
      <w:pPr>
        <w:ind w:left="140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70F84DF8">
      <w:start w:val="1"/>
      <w:numFmt w:val="bullet"/>
      <w:lvlText w:val="▪"/>
      <w:lvlJc w:val="left"/>
      <w:pPr>
        <w:ind w:left="212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9BF8F570">
      <w:start w:val="1"/>
      <w:numFmt w:val="bullet"/>
      <w:lvlText w:val="•"/>
      <w:lvlJc w:val="left"/>
      <w:pPr>
        <w:ind w:left="284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8BD8633A">
      <w:start w:val="1"/>
      <w:numFmt w:val="bullet"/>
      <w:lvlText w:val="o"/>
      <w:lvlJc w:val="left"/>
      <w:pPr>
        <w:ind w:left="356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06B6F34A">
      <w:start w:val="1"/>
      <w:numFmt w:val="bullet"/>
      <w:lvlText w:val="▪"/>
      <w:lvlJc w:val="left"/>
      <w:pPr>
        <w:ind w:left="428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26141D9E">
      <w:start w:val="1"/>
      <w:numFmt w:val="bullet"/>
      <w:lvlText w:val="•"/>
      <w:lvlJc w:val="left"/>
      <w:pPr>
        <w:ind w:left="500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A8B6CA56">
      <w:start w:val="1"/>
      <w:numFmt w:val="bullet"/>
      <w:lvlText w:val="o"/>
      <w:lvlJc w:val="left"/>
      <w:pPr>
        <w:ind w:left="572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E7DC6E76">
      <w:start w:val="1"/>
      <w:numFmt w:val="bullet"/>
      <w:lvlText w:val="▪"/>
      <w:lvlJc w:val="left"/>
      <w:pPr>
        <w:ind w:left="644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C5C38C6"/>
    <w:multiLevelType w:val="hybridMultilevel"/>
    <w:tmpl w:val="91446210"/>
    <w:lvl w:ilvl="0" w:tplc="879003E8">
      <w:start w:val="1"/>
      <w:numFmt w:val="bullet"/>
      <w:lvlText w:val="•"/>
      <w:lvlJc w:val="left"/>
      <w:pPr>
        <w:ind w:left="49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3322EECC">
      <w:start w:val="1"/>
      <w:numFmt w:val="bullet"/>
      <w:lvlText w:val="–"/>
      <w:lvlJc w:val="left"/>
      <w:pPr>
        <w:ind w:left="93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C3EA797C">
      <w:start w:val="1"/>
      <w:numFmt w:val="bullet"/>
      <w:lvlText w:val="▪"/>
      <w:lvlJc w:val="left"/>
      <w:pPr>
        <w:ind w:left="181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1FEC0DDA">
      <w:start w:val="1"/>
      <w:numFmt w:val="bullet"/>
      <w:lvlText w:val="•"/>
      <w:lvlJc w:val="left"/>
      <w:pPr>
        <w:ind w:left="253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C276D20E">
      <w:start w:val="1"/>
      <w:numFmt w:val="bullet"/>
      <w:lvlText w:val="o"/>
      <w:lvlJc w:val="left"/>
      <w:pPr>
        <w:ind w:left="325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10A2631C">
      <w:start w:val="1"/>
      <w:numFmt w:val="bullet"/>
      <w:lvlText w:val="▪"/>
      <w:lvlJc w:val="left"/>
      <w:pPr>
        <w:ind w:left="397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ABC29EC6">
      <w:start w:val="1"/>
      <w:numFmt w:val="bullet"/>
      <w:lvlText w:val="•"/>
      <w:lvlJc w:val="left"/>
      <w:pPr>
        <w:ind w:left="469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A8147A60">
      <w:start w:val="1"/>
      <w:numFmt w:val="bullet"/>
      <w:lvlText w:val="o"/>
      <w:lvlJc w:val="left"/>
      <w:pPr>
        <w:ind w:left="541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36141690">
      <w:start w:val="1"/>
      <w:numFmt w:val="bullet"/>
      <w:lvlText w:val="▪"/>
      <w:lvlJc w:val="left"/>
      <w:pPr>
        <w:ind w:left="613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2094109B"/>
    <w:multiLevelType w:val="hybridMultilevel"/>
    <w:tmpl w:val="8B4422FC"/>
    <w:lvl w:ilvl="0" w:tplc="9208D7E4">
      <w:start w:val="1"/>
      <w:numFmt w:val="bullet"/>
      <w:lvlText w:val="•"/>
      <w:lvlJc w:val="left"/>
      <w:pPr>
        <w:ind w:left="49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03C63E6A">
      <w:start w:val="1"/>
      <w:numFmt w:val="bullet"/>
      <w:lvlText w:val="o"/>
      <w:lvlJc w:val="left"/>
      <w:pPr>
        <w:ind w:left="140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D3FACE80">
      <w:start w:val="1"/>
      <w:numFmt w:val="bullet"/>
      <w:lvlText w:val="▪"/>
      <w:lvlJc w:val="left"/>
      <w:pPr>
        <w:ind w:left="212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8ADCA1CA">
      <w:start w:val="1"/>
      <w:numFmt w:val="bullet"/>
      <w:lvlText w:val="•"/>
      <w:lvlJc w:val="left"/>
      <w:pPr>
        <w:ind w:left="284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3B800A52">
      <w:start w:val="1"/>
      <w:numFmt w:val="bullet"/>
      <w:lvlText w:val="o"/>
      <w:lvlJc w:val="left"/>
      <w:pPr>
        <w:ind w:left="356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5ECE875E">
      <w:start w:val="1"/>
      <w:numFmt w:val="bullet"/>
      <w:lvlText w:val="▪"/>
      <w:lvlJc w:val="left"/>
      <w:pPr>
        <w:ind w:left="428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A86A5A22">
      <w:start w:val="1"/>
      <w:numFmt w:val="bullet"/>
      <w:lvlText w:val="•"/>
      <w:lvlJc w:val="left"/>
      <w:pPr>
        <w:ind w:left="500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233E5A46">
      <w:start w:val="1"/>
      <w:numFmt w:val="bullet"/>
      <w:lvlText w:val="o"/>
      <w:lvlJc w:val="left"/>
      <w:pPr>
        <w:ind w:left="572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C3984DBA">
      <w:start w:val="1"/>
      <w:numFmt w:val="bullet"/>
      <w:lvlText w:val="▪"/>
      <w:lvlJc w:val="left"/>
      <w:pPr>
        <w:ind w:left="644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2EE0154B"/>
    <w:multiLevelType w:val="hybridMultilevel"/>
    <w:tmpl w:val="359E801A"/>
    <w:lvl w:ilvl="0" w:tplc="DDC6A414">
      <w:start w:val="1"/>
      <w:numFmt w:val="bullet"/>
      <w:lvlText w:val="•"/>
      <w:lvlJc w:val="left"/>
      <w:pPr>
        <w:ind w:left="49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1646EFCA">
      <w:start w:val="1"/>
      <w:numFmt w:val="bullet"/>
      <w:lvlText w:val="o"/>
      <w:lvlJc w:val="left"/>
      <w:pPr>
        <w:ind w:left="140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C2A836B8">
      <w:start w:val="1"/>
      <w:numFmt w:val="bullet"/>
      <w:lvlText w:val="▪"/>
      <w:lvlJc w:val="left"/>
      <w:pPr>
        <w:ind w:left="212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A41EBBF2">
      <w:start w:val="1"/>
      <w:numFmt w:val="bullet"/>
      <w:lvlText w:val="•"/>
      <w:lvlJc w:val="left"/>
      <w:pPr>
        <w:ind w:left="284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D13EEFF6">
      <w:start w:val="1"/>
      <w:numFmt w:val="bullet"/>
      <w:lvlText w:val="o"/>
      <w:lvlJc w:val="left"/>
      <w:pPr>
        <w:ind w:left="356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70BC36A8">
      <w:start w:val="1"/>
      <w:numFmt w:val="bullet"/>
      <w:lvlText w:val="▪"/>
      <w:lvlJc w:val="left"/>
      <w:pPr>
        <w:ind w:left="428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2808358E">
      <w:start w:val="1"/>
      <w:numFmt w:val="bullet"/>
      <w:lvlText w:val="•"/>
      <w:lvlJc w:val="left"/>
      <w:pPr>
        <w:ind w:left="500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E25EC090">
      <w:start w:val="1"/>
      <w:numFmt w:val="bullet"/>
      <w:lvlText w:val="o"/>
      <w:lvlJc w:val="left"/>
      <w:pPr>
        <w:ind w:left="572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CA829316">
      <w:start w:val="1"/>
      <w:numFmt w:val="bullet"/>
      <w:lvlText w:val="▪"/>
      <w:lvlJc w:val="left"/>
      <w:pPr>
        <w:ind w:left="644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2F411774"/>
    <w:multiLevelType w:val="hybridMultilevel"/>
    <w:tmpl w:val="F418FD72"/>
    <w:lvl w:ilvl="0" w:tplc="AAE210D4">
      <w:start w:val="1"/>
      <w:numFmt w:val="bullet"/>
      <w:lvlText w:val="•"/>
      <w:lvlJc w:val="left"/>
      <w:pPr>
        <w:ind w:left="49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03D45C64">
      <w:start w:val="1"/>
      <w:numFmt w:val="bullet"/>
      <w:lvlText w:val="o"/>
      <w:lvlJc w:val="left"/>
      <w:pPr>
        <w:ind w:left="140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F0487BC0">
      <w:start w:val="1"/>
      <w:numFmt w:val="bullet"/>
      <w:lvlText w:val="▪"/>
      <w:lvlJc w:val="left"/>
      <w:pPr>
        <w:ind w:left="212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DAEABB6C">
      <w:start w:val="1"/>
      <w:numFmt w:val="bullet"/>
      <w:lvlText w:val="•"/>
      <w:lvlJc w:val="left"/>
      <w:pPr>
        <w:ind w:left="284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B7E68894">
      <w:start w:val="1"/>
      <w:numFmt w:val="bullet"/>
      <w:lvlText w:val="o"/>
      <w:lvlJc w:val="left"/>
      <w:pPr>
        <w:ind w:left="356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35046516">
      <w:start w:val="1"/>
      <w:numFmt w:val="bullet"/>
      <w:lvlText w:val="▪"/>
      <w:lvlJc w:val="left"/>
      <w:pPr>
        <w:ind w:left="428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9612D918">
      <w:start w:val="1"/>
      <w:numFmt w:val="bullet"/>
      <w:lvlText w:val="•"/>
      <w:lvlJc w:val="left"/>
      <w:pPr>
        <w:ind w:left="500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E9200E18">
      <w:start w:val="1"/>
      <w:numFmt w:val="bullet"/>
      <w:lvlText w:val="o"/>
      <w:lvlJc w:val="left"/>
      <w:pPr>
        <w:ind w:left="572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F6B88BEE">
      <w:start w:val="1"/>
      <w:numFmt w:val="bullet"/>
      <w:lvlText w:val="▪"/>
      <w:lvlJc w:val="left"/>
      <w:pPr>
        <w:ind w:left="644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4CD3719E"/>
    <w:multiLevelType w:val="hybridMultilevel"/>
    <w:tmpl w:val="FBFEE4B0"/>
    <w:lvl w:ilvl="0" w:tplc="B8E0F480">
      <w:start w:val="1"/>
      <w:numFmt w:val="decimal"/>
      <w:lvlText w:val="[%1]"/>
      <w:lvlJc w:val="left"/>
      <w:pPr>
        <w:ind w:left="53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766EFA52">
      <w:start w:val="1"/>
      <w:numFmt w:val="lowerLetter"/>
      <w:lvlText w:val="%2"/>
      <w:lvlJc w:val="left"/>
      <w:pPr>
        <w:ind w:left="115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A2D8E3E4">
      <w:start w:val="1"/>
      <w:numFmt w:val="lowerRoman"/>
      <w:lvlText w:val="%3"/>
      <w:lvlJc w:val="left"/>
      <w:pPr>
        <w:ind w:left="187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64C2D036">
      <w:start w:val="1"/>
      <w:numFmt w:val="decimal"/>
      <w:lvlText w:val="%4"/>
      <w:lvlJc w:val="left"/>
      <w:pPr>
        <w:ind w:left="259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66AE7834">
      <w:start w:val="1"/>
      <w:numFmt w:val="lowerLetter"/>
      <w:lvlText w:val="%5"/>
      <w:lvlJc w:val="left"/>
      <w:pPr>
        <w:ind w:left="331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EB6296B8">
      <w:start w:val="1"/>
      <w:numFmt w:val="lowerRoman"/>
      <w:lvlText w:val="%6"/>
      <w:lvlJc w:val="left"/>
      <w:pPr>
        <w:ind w:left="403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84066F6E">
      <w:start w:val="1"/>
      <w:numFmt w:val="decimal"/>
      <w:lvlText w:val="%7"/>
      <w:lvlJc w:val="left"/>
      <w:pPr>
        <w:ind w:left="475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363E309E">
      <w:start w:val="1"/>
      <w:numFmt w:val="lowerLetter"/>
      <w:lvlText w:val="%8"/>
      <w:lvlJc w:val="left"/>
      <w:pPr>
        <w:ind w:left="547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9238D336">
      <w:start w:val="1"/>
      <w:numFmt w:val="lowerRoman"/>
      <w:lvlText w:val="%9"/>
      <w:lvlJc w:val="left"/>
      <w:pPr>
        <w:ind w:left="619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646D7E0D"/>
    <w:multiLevelType w:val="hybridMultilevel"/>
    <w:tmpl w:val="1B40E9BE"/>
    <w:lvl w:ilvl="0" w:tplc="A15CD5F4">
      <w:start w:val="1"/>
      <w:numFmt w:val="bullet"/>
      <w:lvlText w:val="•"/>
      <w:lvlJc w:val="left"/>
      <w:pPr>
        <w:ind w:left="49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774AC992">
      <w:start w:val="1"/>
      <w:numFmt w:val="bullet"/>
      <w:lvlText w:val="o"/>
      <w:lvlJc w:val="left"/>
      <w:pPr>
        <w:ind w:left="140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7690E978">
      <w:start w:val="1"/>
      <w:numFmt w:val="bullet"/>
      <w:lvlText w:val="▪"/>
      <w:lvlJc w:val="left"/>
      <w:pPr>
        <w:ind w:left="212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2B6EA4F6">
      <w:start w:val="1"/>
      <w:numFmt w:val="bullet"/>
      <w:lvlText w:val="•"/>
      <w:lvlJc w:val="left"/>
      <w:pPr>
        <w:ind w:left="284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F0C0789C">
      <w:start w:val="1"/>
      <w:numFmt w:val="bullet"/>
      <w:lvlText w:val="o"/>
      <w:lvlJc w:val="left"/>
      <w:pPr>
        <w:ind w:left="356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88EAF68E">
      <w:start w:val="1"/>
      <w:numFmt w:val="bullet"/>
      <w:lvlText w:val="▪"/>
      <w:lvlJc w:val="left"/>
      <w:pPr>
        <w:ind w:left="428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3968B2EE">
      <w:start w:val="1"/>
      <w:numFmt w:val="bullet"/>
      <w:lvlText w:val="•"/>
      <w:lvlJc w:val="left"/>
      <w:pPr>
        <w:ind w:left="500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D33E87A8">
      <w:start w:val="1"/>
      <w:numFmt w:val="bullet"/>
      <w:lvlText w:val="o"/>
      <w:lvlJc w:val="left"/>
      <w:pPr>
        <w:ind w:left="572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C5D2AF12">
      <w:start w:val="1"/>
      <w:numFmt w:val="bullet"/>
      <w:lvlText w:val="▪"/>
      <w:lvlJc w:val="left"/>
      <w:pPr>
        <w:ind w:left="644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72F023BC"/>
    <w:multiLevelType w:val="hybridMultilevel"/>
    <w:tmpl w:val="1272DC0C"/>
    <w:lvl w:ilvl="0" w:tplc="51CC8760">
      <w:start w:val="1"/>
      <w:numFmt w:val="bullet"/>
      <w:lvlText w:val="–"/>
      <w:lvlJc w:val="left"/>
      <w:pPr>
        <w:ind w:left="5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15D882F0">
      <w:start w:val="1"/>
      <w:numFmt w:val="bullet"/>
      <w:lvlText w:val="o"/>
      <w:lvlJc w:val="left"/>
      <w:pPr>
        <w:ind w:left="181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D00C16C4">
      <w:start w:val="1"/>
      <w:numFmt w:val="bullet"/>
      <w:lvlText w:val="▪"/>
      <w:lvlJc w:val="left"/>
      <w:pPr>
        <w:ind w:left="253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B14063E2">
      <w:start w:val="1"/>
      <w:numFmt w:val="bullet"/>
      <w:lvlText w:val="•"/>
      <w:lvlJc w:val="left"/>
      <w:pPr>
        <w:ind w:left="325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38BE5568">
      <w:start w:val="1"/>
      <w:numFmt w:val="bullet"/>
      <w:lvlText w:val="o"/>
      <w:lvlJc w:val="left"/>
      <w:pPr>
        <w:ind w:left="397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051EA50E">
      <w:start w:val="1"/>
      <w:numFmt w:val="bullet"/>
      <w:lvlText w:val="▪"/>
      <w:lvlJc w:val="left"/>
      <w:pPr>
        <w:ind w:left="469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AB7086CA">
      <w:start w:val="1"/>
      <w:numFmt w:val="bullet"/>
      <w:lvlText w:val="•"/>
      <w:lvlJc w:val="left"/>
      <w:pPr>
        <w:ind w:left="541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9CB429A8">
      <w:start w:val="1"/>
      <w:numFmt w:val="bullet"/>
      <w:lvlText w:val="o"/>
      <w:lvlJc w:val="left"/>
      <w:pPr>
        <w:ind w:left="613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64F2F4DE">
      <w:start w:val="1"/>
      <w:numFmt w:val="bullet"/>
      <w:lvlText w:val="▪"/>
      <w:lvlJc w:val="left"/>
      <w:pPr>
        <w:ind w:left="685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7F343CC6"/>
    <w:multiLevelType w:val="hybridMultilevel"/>
    <w:tmpl w:val="6C14C236"/>
    <w:lvl w:ilvl="0" w:tplc="4CEA012E">
      <w:start w:val="1"/>
      <w:numFmt w:val="bullet"/>
      <w:lvlText w:val="•"/>
      <w:lvlJc w:val="left"/>
      <w:pPr>
        <w:ind w:left="49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C018C8CC">
      <w:start w:val="1"/>
      <w:numFmt w:val="bullet"/>
      <w:lvlText w:val="o"/>
      <w:lvlJc w:val="left"/>
      <w:pPr>
        <w:ind w:left="140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EEC8F726">
      <w:start w:val="1"/>
      <w:numFmt w:val="bullet"/>
      <w:lvlText w:val="▪"/>
      <w:lvlJc w:val="left"/>
      <w:pPr>
        <w:ind w:left="212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2BCA28DA">
      <w:start w:val="1"/>
      <w:numFmt w:val="bullet"/>
      <w:lvlText w:val="•"/>
      <w:lvlJc w:val="left"/>
      <w:pPr>
        <w:ind w:left="284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995035A8">
      <w:start w:val="1"/>
      <w:numFmt w:val="bullet"/>
      <w:lvlText w:val="o"/>
      <w:lvlJc w:val="left"/>
      <w:pPr>
        <w:ind w:left="356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E214A732">
      <w:start w:val="1"/>
      <w:numFmt w:val="bullet"/>
      <w:lvlText w:val="▪"/>
      <w:lvlJc w:val="left"/>
      <w:pPr>
        <w:ind w:left="428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D9A2D5FA">
      <w:start w:val="1"/>
      <w:numFmt w:val="bullet"/>
      <w:lvlText w:val="•"/>
      <w:lvlJc w:val="left"/>
      <w:pPr>
        <w:ind w:left="500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77A6B276">
      <w:start w:val="1"/>
      <w:numFmt w:val="bullet"/>
      <w:lvlText w:val="o"/>
      <w:lvlJc w:val="left"/>
      <w:pPr>
        <w:ind w:left="572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DE60C80A">
      <w:start w:val="1"/>
      <w:numFmt w:val="bullet"/>
      <w:lvlText w:val="▪"/>
      <w:lvlJc w:val="left"/>
      <w:pPr>
        <w:ind w:left="644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num w:numId="1" w16cid:durableId="727264953">
    <w:abstractNumId w:val="2"/>
  </w:num>
  <w:num w:numId="2" w16cid:durableId="1711299087">
    <w:abstractNumId w:val="3"/>
  </w:num>
  <w:num w:numId="3" w16cid:durableId="1518232636">
    <w:abstractNumId w:val="9"/>
  </w:num>
  <w:num w:numId="4" w16cid:durableId="631910269">
    <w:abstractNumId w:val="1"/>
  </w:num>
  <w:num w:numId="5" w16cid:durableId="977299692">
    <w:abstractNumId w:val="0"/>
  </w:num>
  <w:num w:numId="6" w16cid:durableId="1957981415">
    <w:abstractNumId w:val="4"/>
  </w:num>
  <w:num w:numId="7" w16cid:durableId="471024684">
    <w:abstractNumId w:val="6"/>
  </w:num>
  <w:num w:numId="8" w16cid:durableId="1040131732">
    <w:abstractNumId w:val="10"/>
  </w:num>
  <w:num w:numId="9" w16cid:durableId="60758266">
    <w:abstractNumId w:val="8"/>
  </w:num>
  <w:num w:numId="10" w16cid:durableId="1816793143">
    <w:abstractNumId w:val="5"/>
  </w:num>
  <w:num w:numId="11" w16cid:durableId="4707095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3912"/>
    <w:rsid w:val="00543912"/>
    <w:rsid w:val="007B11C1"/>
    <w:rsid w:val="00835488"/>
    <w:rsid w:val="00FE1C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027DFE2-7631-4B0C-9E1C-F7E81F592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403" w:lineRule="auto"/>
      <w:ind w:left="10" w:right="364" w:hanging="10"/>
      <w:jc w:val="both"/>
    </w:pPr>
    <w:rPr>
      <w:rFonts w:ascii="Calibri" w:eastAsia="Calibri" w:hAnsi="Calibri" w:cs="Calibri"/>
      <w:color w:val="000000"/>
      <w:sz w:val="20"/>
    </w:rPr>
  </w:style>
  <w:style w:type="paragraph" w:styleId="Heading1">
    <w:name w:val="heading 1"/>
    <w:next w:val="Normal"/>
    <w:link w:val="Heading1Char"/>
    <w:uiPriority w:val="9"/>
    <w:qFormat/>
    <w:pPr>
      <w:keepNext/>
      <w:keepLines/>
      <w:spacing w:after="224" w:line="265" w:lineRule="auto"/>
      <w:ind w:left="10" w:hanging="10"/>
      <w:outlineLvl w:val="0"/>
    </w:pPr>
    <w:rPr>
      <w:rFonts w:ascii="Calibri" w:eastAsia="Calibri" w:hAnsi="Calibri" w:cs="Calibri"/>
      <w:color w:val="000000"/>
      <w:sz w:val="29"/>
    </w:rPr>
  </w:style>
  <w:style w:type="paragraph" w:styleId="Heading2">
    <w:name w:val="heading 2"/>
    <w:next w:val="Normal"/>
    <w:link w:val="Heading2Char"/>
    <w:uiPriority w:val="9"/>
    <w:unhideWhenUsed/>
    <w:qFormat/>
    <w:pPr>
      <w:keepNext/>
      <w:keepLines/>
      <w:spacing w:after="226" w:line="260" w:lineRule="auto"/>
      <w:ind w:left="10" w:hanging="10"/>
      <w:outlineLvl w:val="1"/>
    </w:pPr>
    <w:rPr>
      <w:rFonts w:ascii="Calibri" w:eastAsia="Calibri" w:hAnsi="Calibri" w:cs="Calibri"/>
      <w:color w:val="000000"/>
    </w:rPr>
  </w:style>
  <w:style w:type="paragraph" w:styleId="Heading3">
    <w:name w:val="heading 3"/>
    <w:next w:val="Normal"/>
    <w:link w:val="Heading3Char"/>
    <w:uiPriority w:val="9"/>
    <w:unhideWhenUsed/>
    <w:qFormat/>
    <w:pPr>
      <w:keepNext/>
      <w:keepLines/>
      <w:spacing w:after="271" w:line="266" w:lineRule="auto"/>
      <w:ind w:left="10" w:hanging="10"/>
      <w:outlineLvl w:val="2"/>
    </w:pPr>
    <w:rPr>
      <w:rFonts w:ascii="Calibri" w:eastAsia="Calibri" w:hAnsi="Calibri" w:cs="Calibri"/>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alibri" w:eastAsia="Calibri" w:hAnsi="Calibri" w:cs="Calibri"/>
      <w:color w:val="000000"/>
      <w:sz w:val="20"/>
    </w:rPr>
  </w:style>
  <w:style w:type="character" w:customStyle="1" w:styleId="Heading2Char">
    <w:name w:val="Heading 2 Char"/>
    <w:link w:val="Heading2"/>
    <w:rPr>
      <w:rFonts w:ascii="Calibri" w:eastAsia="Calibri" w:hAnsi="Calibri" w:cs="Calibri"/>
      <w:color w:val="000000"/>
      <w:sz w:val="24"/>
    </w:rPr>
  </w:style>
  <w:style w:type="character" w:customStyle="1" w:styleId="Heading1Char">
    <w:name w:val="Heading 1 Char"/>
    <w:link w:val="Heading1"/>
    <w:rPr>
      <w:rFonts w:ascii="Calibri" w:eastAsia="Calibri" w:hAnsi="Calibri" w:cs="Calibri"/>
      <w:color w:val="000000"/>
      <w:sz w:val="29"/>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g"/><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image" Target="media/image3.jpg"/><Relationship Id="rId10" Type="http://schemas.openxmlformats.org/officeDocument/2006/relationships/image" Target="media/image4.jp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6274</Words>
  <Characters>35768</Characters>
  <Application>Microsoft Office Word</Application>
  <DocSecurity>0</DocSecurity>
  <Lines>298</Lines>
  <Paragraphs>83</Paragraphs>
  <ScaleCrop>false</ScaleCrop>
  <Company/>
  <LinksUpToDate>false</LinksUpToDate>
  <CharactersWithSpaces>41959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ASMA BENDJEDDOU</dc:creator>
  <cp:keywords/>
  <cp:lastModifiedBy>ASMA BENDJEDDOU</cp:lastModifiedBy>
  <cp:revision>2</cp:revision>
  <dcterms:created xsi:type="dcterms:W3CDTF">2025-05-15T13:29:00Z</dcterms:created>
  <dcterms:modified xsi:type="dcterms:W3CDTF">2025-05-15T13:29:00Z</dcterms:modified>
</cp:coreProperties>
</file>