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01831" w14:textId="77777777" w:rsidR="00685AE6" w:rsidRPr="00685AE6" w:rsidRDefault="00685AE6" w:rsidP="00685AE6">
      <w:pPr>
        <w:spacing w:before="100" w:beforeAutospacing="1" w:after="100" w:afterAutospacing="1" w:line="240" w:lineRule="auto"/>
        <w:rPr>
          <w:rFonts w:eastAsia="Times New Roman"/>
          <w:szCs w:val="24"/>
        </w:rPr>
      </w:pPr>
      <w:r w:rsidRPr="00685AE6">
        <w:rPr>
          <w:rFonts w:eastAsia="Times New Roman"/>
          <w:szCs w:val="24"/>
        </w:rPr>
        <w:t xml:space="preserve">Here's a suggested </w:t>
      </w:r>
      <w:r w:rsidRPr="00685AE6">
        <w:rPr>
          <w:rFonts w:eastAsia="Times New Roman"/>
          <w:b/>
          <w:bCs/>
          <w:szCs w:val="24"/>
        </w:rPr>
        <w:t>structured outline</w:t>
      </w:r>
      <w:r w:rsidRPr="00685AE6">
        <w:rPr>
          <w:rFonts w:eastAsia="Times New Roman"/>
          <w:szCs w:val="24"/>
        </w:rPr>
        <w:t xml:space="preserve"> for your review paper titled:</w:t>
      </w:r>
    </w:p>
    <w:p w14:paraId="20CCCE25" w14:textId="77777777" w:rsidR="00685AE6" w:rsidRPr="00685AE6" w:rsidRDefault="00685AE6" w:rsidP="00685AE6">
      <w:pPr>
        <w:spacing w:before="100" w:beforeAutospacing="1" w:after="100" w:afterAutospacing="1" w:line="240" w:lineRule="auto"/>
        <w:rPr>
          <w:rFonts w:eastAsia="Times New Roman"/>
          <w:szCs w:val="24"/>
        </w:rPr>
      </w:pPr>
      <w:r w:rsidRPr="00685AE6">
        <w:rPr>
          <w:rFonts w:eastAsia="Times New Roman"/>
          <w:b/>
          <w:bCs/>
          <w:szCs w:val="24"/>
        </w:rPr>
        <w:t>"Greenhouse Gas Emissions from Mangroves: Status of Research in India and International Studies"</w:t>
      </w:r>
    </w:p>
    <w:p w14:paraId="6C0D19B6" w14:textId="77777777" w:rsidR="00685AE6" w:rsidRPr="00685AE6" w:rsidRDefault="00000000" w:rsidP="00685AE6">
      <w:pPr>
        <w:spacing w:after="0" w:line="240" w:lineRule="auto"/>
        <w:rPr>
          <w:rFonts w:eastAsia="Times New Roman"/>
          <w:szCs w:val="24"/>
        </w:rPr>
      </w:pPr>
      <w:r>
        <w:rPr>
          <w:rFonts w:eastAsia="Times New Roman"/>
          <w:szCs w:val="24"/>
        </w:rPr>
        <w:pict w14:anchorId="39DE1594">
          <v:rect id="_x0000_i1025" style="width:0;height:1.5pt" o:hralign="center" o:hrstd="t" o:hr="t" fillcolor="#a0a0a0" stroked="f"/>
        </w:pict>
      </w:r>
    </w:p>
    <w:p w14:paraId="4DA044C4" w14:textId="77777777" w:rsidR="00685AE6" w:rsidRPr="00685AE6" w:rsidRDefault="00685AE6" w:rsidP="00685AE6">
      <w:pPr>
        <w:spacing w:before="100" w:beforeAutospacing="1" w:after="100" w:afterAutospacing="1" w:line="240" w:lineRule="auto"/>
        <w:outlineLvl w:val="2"/>
        <w:rPr>
          <w:rFonts w:eastAsia="Times New Roman"/>
          <w:b/>
          <w:bCs/>
          <w:sz w:val="27"/>
          <w:szCs w:val="27"/>
        </w:rPr>
      </w:pPr>
      <w:r w:rsidRPr="00685AE6">
        <w:rPr>
          <w:rFonts w:ascii="Segoe UI Symbol" w:eastAsia="Times New Roman" w:hAnsi="Segoe UI Symbol" w:cs="Segoe UI Symbol"/>
          <w:b/>
          <w:bCs/>
          <w:sz w:val="27"/>
          <w:szCs w:val="27"/>
        </w:rPr>
        <w:t>📑</w:t>
      </w:r>
      <w:r w:rsidRPr="00685AE6">
        <w:rPr>
          <w:rFonts w:eastAsia="Times New Roman"/>
          <w:b/>
          <w:bCs/>
          <w:sz w:val="27"/>
          <w:szCs w:val="27"/>
        </w:rPr>
        <w:t xml:space="preserve"> Outline</w:t>
      </w:r>
    </w:p>
    <w:p w14:paraId="187AF18A" w14:textId="77777777" w:rsidR="00685AE6" w:rsidRPr="00685AE6" w:rsidRDefault="00685AE6" w:rsidP="00685AE6">
      <w:pPr>
        <w:spacing w:before="100" w:beforeAutospacing="1" w:after="100" w:afterAutospacing="1" w:line="240" w:lineRule="auto"/>
        <w:outlineLvl w:val="3"/>
        <w:rPr>
          <w:rFonts w:eastAsia="Times New Roman"/>
          <w:b/>
          <w:bCs/>
          <w:szCs w:val="24"/>
        </w:rPr>
      </w:pPr>
      <w:r w:rsidRPr="00685AE6">
        <w:rPr>
          <w:rFonts w:eastAsia="Times New Roman"/>
          <w:b/>
          <w:bCs/>
          <w:szCs w:val="24"/>
        </w:rPr>
        <w:t>1. Introduction</w:t>
      </w:r>
    </w:p>
    <w:p w14:paraId="3F9108E9" w14:textId="77777777" w:rsidR="00685AE6" w:rsidRDefault="00685AE6" w:rsidP="00685AE6">
      <w:pPr>
        <w:numPr>
          <w:ilvl w:val="0"/>
          <w:numId w:val="1"/>
        </w:numPr>
        <w:spacing w:before="100" w:beforeAutospacing="1" w:after="100" w:afterAutospacing="1" w:line="240" w:lineRule="auto"/>
        <w:rPr>
          <w:rFonts w:eastAsia="Times New Roman"/>
          <w:szCs w:val="24"/>
        </w:rPr>
      </w:pPr>
      <w:r w:rsidRPr="00685AE6">
        <w:rPr>
          <w:rFonts w:eastAsia="Times New Roman"/>
          <w:szCs w:val="24"/>
        </w:rPr>
        <w:t>Definition and importance of mangroves in coastal ecosystems</w:t>
      </w:r>
    </w:p>
    <w:p w14:paraId="2DD48499" w14:textId="4CEFB49A" w:rsidR="002160F6" w:rsidRPr="00685AE6" w:rsidRDefault="002160F6" w:rsidP="002160F6">
      <w:pPr>
        <w:spacing w:before="100" w:beforeAutospacing="1" w:after="100" w:afterAutospacing="1" w:line="240" w:lineRule="auto"/>
        <w:ind w:left="720"/>
        <w:rPr>
          <w:rFonts w:eastAsia="Times New Roman"/>
          <w:szCs w:val="24"/>
        </w:rPr>
      </w:pPr>
      <w:r w:rsidRPr="009026E3">
        <w:rPr>
          <w:rFonts w:eastAsia="Times New Roman"/>
          <w:szCs w:val="24"/>
        </w:rPr>
        <w:t xml:space="preserve">Mangrove forests are well adapted to the saline and anoxic climate and serve as a highly efficient </w:t>
      </w:r>
      <w:proofErr w:type="spellStart"/>
      <w:r w:rsidRPr="009026E3">
        <w:rPr>
          <w:rFonts w:eastAsia="Times New Roman"/>
          <w:szCs w:val="24"/>
        </w:rPr>
        <w:t>ecosys</w:t>
      </w:r>
      <w:proofErr w:type="spellEnd"/>
      <w:r w:rsidRPr="009026E3">
        <w:rPr>
          <w:rFonts w:eastAsia="Times New Roman"/>
          <w:szCs w:val="24"/>
        </w:rPr>
        <w:t xml:space="preserve"> </w:t>
      </w:r>
      <w:proofErr w:type="spellStart"/>
      <w:r w:rsidRPr="009026E3">
        <w:rPr>
          <w:rFonts w:eastAsia="Times New Roman"/>
          <w:szCs w:val="24"/>
        </w:rPr>
        <w:t>tem</w:t>
      </w:r>
      <w:proofErr w:type="spellEnd"/>
      <w:r w:rsidRPr="009026E3">
        <w:rPr>
          <w:rFonts w:eastAsia="Times New Roman"/>
          <w:szCs w:val="24"/>
        </w:rPr>
        <w:t xml:space="preserve">, which played an important role in nutrient cycling and contributes enormous carbon to the </w:t>
      </w:r>
      <w:proofErr w:type="spellStart"/>
      <w:r w:rsidRPr="009026E3">
        <w:rPr>
          <w:rFonts w:eastAsia="Times New Roman"/>
          <w:szCs w:val="24"/>
        </w:rPr>
        <w:t>sedi</w:t>
      </w:r>
      <w:proofErr w:type="spellEnd"/>
      <w:r w:rsidRPr="009026E3">
        <w:rPr>
          <w:rFonts w:eastAsia="Times New Roman"/>
          <w:szCs w:val="24"/>
        </w:rPr>
        <w:t xml:space="preserve"> </w:t>
      </w:r>
      <w:proofErr w:type="spellStart"/>
      <w:r w:rsidRPr="009026E3">
        <w:rPr>
          <w:rFonts w:eastAsia="Times New Roman"/>
          <w:szCs w:val="24"/>
        </w:rPr>
        <w:t>ment</w:t>
      </w:r>
      <w:proofErr w:type="spellEnd"/>
      <w:r w:rsidRPr="009026E3">
        <w:rPr>
          <w:rFonts w:eastAsia="Times New Roman"/>
          <w:szCs w:val="24"/>
        </w:rPr>
        <w:t xml:space="preserve"> through litterfall (Das et al. 2011; </w:t>
      </w:r>
      <w:proofErr w:type="spellStart"/>
      <w:r w:rsidRPr="009026E3">
        <w:rPr>
          <w:rFonts w:eastAsia="Times New Roman"/>
          <w:szCs w:val="24"/>
        </w:rPr>
        <w:t>Kamruzza</w:t>
      </w:r>
      <w:proofErr w:type="spellEnd"/>
      <w:r w:rsidRPr="009026E3">
        <w:rPr>
          <w:rFonts w:eastAsia="Times New Roman"/>
          <w:szCs w:val="24"/>
        </w:rPr>
        <w:t xml:space="preserve"> man et al. 2017). As a result of these properties, GHG emissions from mangrove sediments are a hot topic at worldwide.</w:t>
      </w:r>
    </w:p>
    <w:p w14:paraId="3A0F9AF3" w14:textId="77777777" w:rsidR="00685AE6" w:rsidRDefault="00685AE6" w:rsidP="00685AE6">
      <w:pPr>
        <w:numPr>
          <w:ilvl w:val="0"/>
          <w:numId w:val="1"/>
        </w:numPr>
        <w:spacing w:before="100" w:beforeAutospacing="1" w:after="100" w:afterAutospacing="1" w:line="240" w:lineRule="auto"/>
        <w:rPr>
          <w:rFonts w:eastAsia="Times New Roman"/>
          <w:szCs w:val="24"/>
        </w:rPr>
      </w:pPr>
      <w:r w:rsidRPr="00685AE6">
        <w:rPr>
          <w:rFonts w:eastAsia="Times New Roman"/>
          <w:szCs w:val="24"/>
        </w:rPr>
        <w:t>Role of mangroves in carbon cycling and GHG fluxes</w:t>
      </w:r>
    </w:p>
    <w:p w14:paraId="0BA764DA" w14:textId="78D2DA10" w:rsidR="007E0CB9" w:rsidRDefault="007E0CB9" w:rsidP="007E0CB9">
      <w:pPr>
        <w:pStyle w:val="ListParagraph"/>
        <w:spacing w:before="100" w:beforeAutospacing="1" w:after="100" w:afterAutospacing="1" w:line="240" w:lineRule="auto"/>
        <w:jc w:val="both"/>
      </w:pPr>
      <w:r w:rsidRPr="007E0CB9">
        <w:t>Mangroves are varieties of salt-tolerant woody plants growing in the intertidal regions of tropical and subtropical shorelines. There are several factors contributing to the high effectiveness of mangroves as carbon sinks</w:t>
      </w:r>
      <w:r w:rsidR="00DF2C62">
        <w:t xml:space="preserve"> such </w:t>
      </w:r>
      <w:proofErr w:type="gramStart"/>
      <w:r w:rsidR="00DF2C62">
        <w:t>as</w:t>
      </w:r>
      <w:r>
        <w:t xml:space="preserve"> </w:t>
      </w:r>
      <w:r w:rsidRPr="007E0CB9">
        <w:t xml:space="preserve"> very</w:t>
      </w:r>
      <w:proofErr w:type="gramEnd"/>
      <w:r w:rsidRPr="007E0CB9">
        <w:t xml:space="preserve"> </w:t>
      </w:r>
      <w:r w:rsidR="00DF2C62">
        <w:t xml:space="preserve">high productivity because of </w:t>
      </w:r>
      <w:r w:rsidRPr="007E0CB9">
        <w:t>high rates of photosynthesis</w:t>
      </w:r>
      <w:r w:rsidR="00DF2C62">
        <w:t xml:space="preserve">, </w:t>
      </w:r>
      <w:r w:rsidRPr="007E0CB9">
        <w:t>extensive, many-branched, aboveground root systems that capture a considerable amount of organic matter that would otherwise be decomposed, releasing carbon back into the atmosphere. Mangrove sediment prevails in waterlogged anaerobic conditions in which decomposition is greatly retarded, allowing organic matter to accumulate. As a result, mangrove soils can be many meters thick and are carbon-rich (Alongi, 2014)</w:t>
      </w:r>
      <w:r>
        <w:t xml:space="preserve">. </w:t>
      </w:r>
      <w:r w:rsidRPr="007E0CB9">
        <w:t>Tidal action may flush some organic matter from the system. However, it is often the case that to an even larger extent it carries more of the nutrient-laden sediment into the system (Kristensen, 2022)</w:t>
      </w:r>
    </w:p>
    <w:p w14:paraId="03B840FC" w14:textId="6A04F33D" w:rsidR="00874601" w:rsidRDefault="00874601" w:rsidP="00874601">
      <w:pPr>
        <w:spacing w:before="100" w:beforeAutospacing="1" w:after="100" w:afterAutospacing="1" w:line="240" w:lineRule="auto"/>
        <w:ind w:left="720"/>
        <w:jc w:val="both"/>
      </w:pPr>
      <w:r>
        <w:t xml:space="preserve">Mangroves </w:t>
      </w:r>
      <w:r w:rsidR="007E0CB9">
        <w:t>have</w:t>
      </w:r>
      <w:r>
        <w:t xml:space="preserve"> been considered as Powerful Carbon Sink tool and several factors contributing to the high effectiveness of mangroves as carbon sinks are High Productivity: Mangroves have very high rates of photosynthesis. As a result, they absorb and sequester large amounts of CO2 from the atmosphere. Another reasons are their their Extensive Root Systems and Anaerobic Sediment: Mangrove sediment prevails in waterlogged anaerobic conditions in which decomposition is greatly retarded, allowing organic matter to accumulate. As a result, mangrove soils can be many meters thick and are carbon-rich (Alongi, 2014, Ash et al., 2024) </w:t>
      </w:r>
    </w:p>
    <w:p w14:paraId="4EA1BBD1" w14:textId="77777777" w:rsidR="00874601" w:rsidRDefault="00874601" w:rsidP="00874601">
      <w:pPr>
        <w:spacing w:before="100" w:beforeAutospacing="1" w:after="100" w:afterAutospacing="1" w:line="240" w:lineRule="auto"/>
        <w:ind w:left="720"/>
        <w:jc w:val="both"/>
        <w:rPr>
          <w:sz w:val="16"/>
          <w:szCs w:val="16"/>
        </w:rPr>
      </w:pPr>
      <w:r w:rsidRPr="00874601">
        <w:rPr>
          <w:sz w:val="16"/>
          <w:szCs w:val="16"/>
        </w:rPr>
        <w:t xml:space="preserve">Ash, M., Roy, P. and De, D. (2024). The Role of IndianMangroves in Blue CarbonSequestration: Implications forClimate Change Mitigation.Food and Scientific Reports, 5(9):43-50. </w:t>
      </w:r>
      <w:r w:rsidRPr="00874601">
        <w:rPr>
          <w:sz w:val="16"/>
          <w:szCs w:val="16"/>
        </w:rPr>
        <w:br/>
      </w:r>
      <w:r w:rsidRPr="00874601">
        <w:rPr>
          <w:i/>
          <w:iCs/>
          <w:sz w:val="16"/>
          <w:szCs w:val="16"/>
        </w:rPr>
        <w:t>(PDF) The Role of Indian Mangroves in Blue Carbon Sequestration: Implications for Climate Change Mitigation</w:t>
      </w:r>
      <w:r w:rsidRPr="00874601">
        <w:rPr>
          <w:sz w:val="16"/>
          <w:szCs w:val="16"/>
        </w:rPr>
        <w:t xml:space="preserve">. Available from: </w:t>
      </w:r>
      <w:hyperlink r:id="rId5" w:history="1">
        <w:r w:rsidRPr="00874601">
          <w:rPr>
            <w:rStyle w:val="Hyperlink"/>
            <w:color w:val="auto"/>
            <w:sz w:val="16"/>
            <w:szCs w:val="16"/>
          </w:rPr>
          <w:t>https://www.researchgate.net/publication/384608695_The_Role_of_Indian_Mangroves_in_Blue_Carbon_Sequestration_Implications_for_Climate_Change_Mitigation</w:t>
        </w:r>
      </w:hyperlink>
      <w:r w:rsidRPr="00874601">
        <w:rPr>
          <w:sz w:val="16"/>
          <w:szCs w:val="16"/>
        </w:rPr>
        <w:t xml:space="preserve"> [accessed May 07 2025].</w:t>
      </w:r>
    </w:p>
    <w:p w14:paraId="2DAF2A93" w14:textId="77777777" w:rsidR="00D41CD7" w:rsidRPr="007E0CB9" w:rsidRDefault="00D41CD7" w:rsidP="007E0CB9">
      <w:pPr>
        <w:pStyle w:val="NormalWeb"/>
        <w:shd w:val="clear" w:color="auto" w:fill="FFFFFF"/>
        <w:spacing w:before="0" w:beforeAutospacing="0"/>
        <w:jc w:val="both"/>
      </w:pPr>
      <w:r w:rsidRPr="007E0CB9">
        <w:lastRenderedPageBreak/>
        <w:t>Coastal wetlands are found at the interface of terrestrial and marine ecosystems and account for 10 % of the global wetland area (Lehner and Döll, 2004). They are highly productive and provide various ecosystem services such as water quality improvement, biodiversity, and carbon sequestration (Duarte et al., 2013). For instance, mangroves can accumulate 5 times more soil carbon than terrestrial forests (Kauffman et al., 2020). However, the high productivity and anoxic soil conditions that promote carbon sequestration can also favour potent greenhouse gas (GHG) emissions, including </w:t>
      </w:r>
      <w:r w:rsidRPr="007E0CB9">
        <w:rPr>
          <w:rStyle w:val="inline-formula"/>
        </w:rPr>
        <w:t>CO</w:t>
      </w:r>
      <w:r w:rsidRPr="007E0CB9">
        <w:rPr>
          <w:rStyle w:val="inline-formula"/>
          <w:vertAlign w:val="subscript"/>
        </w:rPr>
        <w:t>2</w:t>
      </w:r>
      <w:r w:rsidRPr="007E0CB9">
        <w:t>, </w:t>
      </w:r>
      <w:r w:rsidRPr="007E0CB9">
        <w:rPr>
          <w:rStyle w:val="inline-formula"/>
        </w:rPr>
        <w:t>CH</w:t>
      </w:r>
      <w:r w:rsidRPr="007E0CB9">
        <w:rPr>
          <w:rStyle w:val="inline-formula"/>
          <w:vertAlign w:val="subscript"/>
        </w:rPr>
        <w:t>4</w:t>
      </w:r>
      <w:r w:rsidRPr="007E0CB9">
        <w:t>, and </w:t>
      </w:r>
      <w:r w:rsidRPr="007E0CB9">
        <w:rPr>
          <w:rStyle w:val="inline-formula"/>
        </w:rPr>
        <w:t>N</w:t>
      </w:r>
      <w:r w:rsidRPr="007E0CB9">
        <w:rPr>
          <w:rStyle w:val="inline-formula"/>
          <w:vertAlign w:val="subscript"/>
        </w:rPr>
        <w:t>2</w:t>
      </w:r>
      <w:r w:rsidRPr="007E0CB9">
        <w:rPr>
          <w:rStyle w:val="inline-formula"/>
        </w:rPr>
        <w:t>O</w:t>
      </w:r>
      <w:r w:rsidRPr="007E0CB9">
        <w:t> (Whalen, 2005; Conrad, 2009). The GHG emissions in coastal wetlands primarily result from microbial processes in the soil–water–atmosphere interface (Bauza et al., 2002; Whalen, 2005). The emission of </w:t>
      </w:r>
      <w:r w:rsidRPr="007E0CB9">
        <w:rPr>
          <w:rStyle w:val="inline-formula"/>
        </w:rPr>
        <w:t>CO</w:t>
      </w:r>
      <w:r w:rsidRPr="007E0CB9">
        <w:rPr>
          <w:rStyle w:val="inline-formula"/>
          <w:vertAlign w:val="subscript"/>
        </w:rPr>
        <w:t>2</w:t>
      </w:r>
      <w:r w:rsidRPr="007E0CB9">
        <w:t> is a result of respiration, where fixed carbon by photosynthesis is partially released back into the atmosphere (Oertel et al., 2016). Emissions of </w:t>
      </w:r>
      <w:r w:rsidRPr="007E0CB9">
        <w:rPr>
          <w:rStyle w:val="inline-formula"/>
        </w:rPr>
        <w:t>CH</w:t>
      </w:r>
      <w:r w:rsidRPr="007E0CB9">
        <w:rPr>
          <w:rStyle w:val="inline-formula"/>
          <w:vertAlign w:val="subscript"/>
        </w:rPr>
        <w:t>4</w:t>
      </w:r>
      <w:r w:rsidRPr="007E0CB9">
        <w:t> result from anaerobic and aerobic respiration by methanogenic bacteria, mostly in waterlogged conditions (Angle et al., 2017; Saunois et al., 2020). Finally, </w:t>
      </w:r>
      <w:r w:rsidRPr="007E0CB9">
        <w:rPr>
          <w:rStyle w:val="inline-formula"/>
        </w:rPr>
        <w:t>N</w:t>
      </w:r>
      <w:r w:rsidRPr="007E0CB9">
        <w:rPr>
          <w:rStyle w:val="inline-formula"/>
          <w:vertAlign w:val="subscript"/>
        </w:rPr>
        <w:t>2</w:t>
      </w:r>
      <w:r w:rsidRPr="007E0CB9">
        <w:rPr>
          <w:rStyle w:val="inline-formula"/>
        </w:rPr>
        <w:t>O</w:t>
      </w:r>
      <w:r w:rsidRPr="007E0CB9">
        <w:t> emissions are caused by denitrification in anoxic conditions and nitrification in aerobic soils, both driven by nitrogen content and soil moisture (Ussiri and Lal, 2012). Thus, the total GHG emissions from a wetland are driven by environmental conditions that favour these microbial processes, all of which result in highly variable emissions from wetlands worldwide (Kirschke et al., 2013; Oertel et al., 2016).</w:t>
      </w:r>
    </w:p>
    <w:p w14:paraId="34012797" w14:textId="77777777" w:rsidR="00D41CD7" w:rsidRPr="007E0CB9" w:rsidRDefault="00D41CD7" w:rsidP="00D41CD7">
      <w:pPr>
        <w:spacing w:before="100" w:beforeAutospacing="1" w:after="100" w:afterAutospacing="1" w:line="240" w:lineRule="auto"/>
        <w:jc w:val="both"/>
        <w:rPr>
          <w:szCs w:val="24"/>
        </w:rPr>
      </w:pPr>
      <w:r w:rsidRPr="007E0CB9">
        <w:rPr>
          <w:color w:val="222222"/>
          <w:szCs w:val="24"/>
          <w:shd w:val="clear" w:color="auto" w:fill="FFFFFF"/>
        </w:rPr>
        <w:t>Iram, N., Kavehei, E., Maher, D. T., Bunn, S. E., Rezaei Rashti, M., Farahani, B. S., &amp; Adame, M. F. (2021). Soil greenhouse gas fluxes from tropical coastal wetlands and alternative agricultural land uses. </w:t>
      </w:r>
      <w:proofErr w:type="spellStart"/>
      <w:r w:rsidRPr="007E0CB9">
        <w:rPr>
          <w:i/>
          <w:iCs/>
          <w:color w:val="222222"/>
          <w:szCs w:val="24"/>
          <w:shd w:val="clear" w:color="auto" w:fill="FFFFFF"/>
        </w:rPr>
        <w:t>Biogeosciences</w:t>
      </w:r>
      <w:proofErr w:type="spellEnd"/>
      <w:r w:rsidRPr="007E0CB9">
        <w:rPr>
          <w:color w:val="222222"/>
          <w:szCs w:val="24"/>
          <w:shd w:val="clear" w:color="auto" w:fill="FFFFFF"/>
        </w:rPr>
        <w:t>, </w:t>
      </w:r>
      <w:r w:rsidRPr="007E0CB9">
        <w:rPr>
          <w:i/>
          <w:iCs/>
          <w:color w:val="222222"/>
          <w:szCs w:val="24"/>
          <w:shd w:val="clear" w:color="auto" w:fill="FFFFFF"/>
        </w:rPr>
        <w:t>18</w:t>
      </w:r>
      <w:r w:rsidRPr="007E0CB9">
        <w:rPr>
          <w:color w:val="222222"/>
          <w:szCs w:val="24"/>
          <w:shd w:val="clear" w:color="auto" w:fill="FFFFFF"/>
        </w:rPr>
        <w:t>(18), 5085-5096.</w:t>
      </w:r>
    </w:p>
    <w:p w14:paraId="2B588BB2" w14:textId="77777777" w:rsidR="00685AE6" w:rsidRPr="00685AE6" w:rsidRDefault="00685AE6" w:rsidP="007E0CB9">
      <w:pPr>
        <w:spacing w:before="100" w:beforeAutospacing="1" w:after="100" w:afterAutospacing="1" w:line="240" w:lineRule="auto"/>
        <w:rPr>
          <w:rFonts w:eastAsia="Times New Roman"/>
          <w:szCs w:val="24"/>
        </w:rPr>
      </w:pPr>
      <w:r w:rsidRPr="00685AE6">
        <w:rPr>
          <w:rFonts w:eastAsia="Times New Roman"/>
          <w:szCs w:val="24"/>
        </w:rPr>
        <w:t>Global vs. regional relevance of the topic</w:t>
      </w:r>
    </w:p>
    <w:p w14:paraId="7EF3FC35" w14:textId="77777777" w:rsidR="00685AE6" w:rsidRPr="007E0CB9" w:rsidRDefault="00685AE6" w:rsidP="00685AE6">
      <w:pPr>
        <w:numPr>
          <w:ilvl w:val="0"/>
          <w:numId w:val="1"/>
        </w:numPr>
        <w:spacing w:before="100" w:beforeAutospacing="1" w:after="100" w:afterAutospacing="1" w:line="240" w:lineRule="auto"/>
        <w:rPr>
          <w:rFonts w:eastAsia="Times New Roman"/>
          <w:szCs w:val="24"/>
          <w:highlight w:val="yellow"/>
        </w:rPr>
      </w:pPr>
      <w:r w:rsidRPr="007E0CB9">
        <w:rPr>
          <w:rFonts w:eastAsia="Times New Roman"/>
          <w:szCs w:val="24"/>
          <w:highlight w:val="yellow"/>
        </w:rPr>
        <w:t>Objectives and scope of the review</w:t>
      </w:r>
    </w:p>
    <w:p w14:paraId="711F8792" w14:textId="77777777" w:rsidR="00685AE6" w:rsidRPr="00685AE6" w:rsidRDefault="00000000" w:rsidP="00685AE6">
      <w:pPr>
        <w:spacing w:after="0" w:line="240" w:lineRule="auto"/>
        <w:rPr>
          <w:rFonts w:eastAsia="Times New Roman"/>
          <w:szCs w:val="24"/>
        </w:rPr>
      </w:pPr>
      <w:r>
        <w:rPr>
          <w:rFonts w:eastAsia="Times New Roman"/>
          <w:szCs w:val="24"/>
        </w:rPr>
        <w:pict w14:anchorId="17EEA636">
          <v:rect id="_x0000_i1026" style="width:0;height:1.5pt" o:hralign="center" o:hrstd="t" o:hr="t" fillcolor="#a0a0a0" stroked="f"/>
        </w:pict>
      </w:r>
    </w:p>
    <w:p w14:paraId="61A0D1DD" w14:textId="77777777" w:rsidR="00685AE6" w:rsidRPr="00685AE6" w:rsidRDefault="00685AE6" w:rsidP="00685AE6">
      <w:pPr>
        <w:spacing w:before="100" w:beforeAutospacing="1" w:after="100" w:afterAutospacing="1" w:line="240" w:lineRule="auto"/>
        <w:outlineLvl w:val="3"/>
        <w:rPr>
          <w:rFonts w:eastAsia="Times New Roman"/>
          <w:b/>
          <w:bCs/>
          <w:szCs w:val="24"/>
        </w:rPr>
      </w:pPr>
      <w:r w:rsidRPr="00685AE6">
        <w:rPr>
          <w:rFonts w:eastAsia="Times New Roman"/>
          <w:b/>
          <w:bCs/>
          <w:szCs w:val="24"/>
        </w:rPr>
        <w:t>2. Greenhouse Gases and Their Dynamics in Mangrove Ecosystems</w:t>
      </w:r>
    </w:p>
    <w:p w14:paraId="71A005CA" w14:textId="77777777" w:rsidR="00685AE6" w:rsidRDefault="00685AE6" w:rsidP="00685AE6">
      <w:pPr>
        <w:numPr>
          <w:ilvl w:val="0"/>
          <w:numId w:val="2"/>
        </w:numPr>
        <w:spacing w:before="100" w:beforeAutospacing="1" w:after="100" w:afterAutospacing="1" w:line="240" w:lineRule="auto"/>
        <w:rPr>
          <w:rFonts w:eastAsia="Times New Roman"/>
          <w:szCs w:val="24"/>
        </w:rPr>
      </w:pPr>
      <w:r w:rsidRPr="00685AE6">
        <w:rPr>
          <w:rFonts w:eastAsia="Times New Roman"/>
          <w:szCs w:val="24"/>
        </w:rPr>
        <w:t>Overview of key GHGs: CO₂, CH₄, N₂O</w:t>
      </w:r>
    </w:p>
    <w:p w14:paraId="4B9850C3" w14:textId="4CA8CF6C" w:rsidR="009026E3" w:rsidRDefault="009026E3" w:rsidP="009026E3">
      <w:pPr>
        <w:spacing w:before="100" w:beforeAutospacing="1" w:after="100" w:afterAutospacing="1" w:line="240" w:lineRule="auto"/>
        <w:ind w:left="720"/>
        <w:rPr>
          <w:rFonts w:eastAsia="Times New Roman"/>
          <w:szCs w:val="24"/>
        </w:rPr>
      </w:pPr>
      <w:r w:rsidRPr="009026E3">
        <w:rPr>
          <w:rFonts w:eastAsia="Times New Roman"/>
          <w:szCs w:val="24"/>
        </w:rPr>
        <w:t xml:space="preserve">Methanotrophy (oxidation of CH4 or production of CO2) and methanogenesis (production of CH4) are the two main processes involved in the CH4 cycle of mangrove soils (Serrano-Silva et al. 2014). The increasing tempera </w:t>
      </w:r>
      <w:proofErr w:type="spellStart"/>
      <w:r w:rsidRPr="009026E3">
        <w:rPr>
          <w:rFonts w:eastAsia="Times New Roman"/>
          <w:szCs w:val="24"/>
        </w:rPr>
        <w:t>ture</w:t>
      </w:r>
      <w:proofErr w:type="spellEnd"/>
      <w:r w:rsidRPr="009026E3">
        <w:rPr>
          <w:rFonts w:eastAsia="Times New Roman"/>
          <w:szCs w:val="24"/>
        </w:rPr>
        <w:t xml:space="preserve"> of the earth’s atmosphere and oceans, referred to as global warming, is mainly attributed to an increase in ambient GHG concentrations since the beginning of the 20th century. Tidal mangrove wet lands are an important source of CH4 and CO2 </w:t>
      </w:r>
      <w:proofErr w:type="spellStart"/>
      <w:r w:rsidRPr="009026E3">
        <w:rPr>
          <w:rFonts w:eastAsia="Times New Roman"/>
          <w:szCs w:val="24"/>
        </w:rPr>
        <w:t>emis</w:t>
      </w:r>
      <w:proofErr w:type="spellEnd"/>
      <w:r w:rsidRPr="009026E3">
        <w:rPr>
          <w:rFonts w:eastAsia="Times New Roman"/>
          <w:szCs w:val="24"/>
        </w:rPr>
        <w:t xml:space="preserve"> </w:t>
      </w:r>
      <w:proofErr w:type="spellStart"/>
      <w:r w:rsidRPr="009026E3">
        <w:rPr>
          <w:rFonts w:eastAsia="Times New Roman"/>
          <w:szCs w:val="24"/>
        </w:rPr>
        <w:t>sions</w:t>
      </w:r>
      <w:proofErr w:type="spellEnd"/>
      <w:r w:rsidRPr="009026E3">
        <w:rPr>
          <w:rFonts w:eastAsia="Times New Roman"/>
          <w:szCs w:val="24"/>
        </w:rPr>
        <w:t>, which contribute around 20–25% and 40 50%, respectively, to global warming (</w:t>
      </w:r>
      <w:proofErr w:type="spellStart"/>
      <w:r w:rsidRPr="009026E3">
        <w:rPr>
          <w:rFonts w:eastAsia="Times New Roman"/>
          <w:szCs w:val="24"/>
        </w:rPr>
        <w:t>Padhy</w:t>
      </w:r>
      <w:proofErr w:type="spellEnd"/>
      <w:r w:rsidRPr="009026E3">
        <w:rPr>
          <w:rFonts w:eastAsia="Times New Roman"/>
          <w:szCs w:val="24"/>
        </w:rPr>
        <w:t xml:space="preserve"> et al. 2020). GHG emissions from mangrove destruction could account for up to 10% of global emissions from all types of deforestation, despite accounting for only 0.7% of tropical forest area (Donato et al.</w:t>
      </w:r>
      <w:r w:rsidR="008114BA">
        <w:rPr>
          <w:rFonts w:eastAsia="Times New Roman"/>
          <w:szCs w:val="24"/>
        </w:rPr>
        <w:t>, 2011)</w:t>
      </w:r>
      <w:r w:rsidRPr="009026E3">
        <w:rPr>
          <w:rFonts w:eastAsia="Times New Roman"/>
          <w:szCs w:val="24"/>
        </w:rPr>
        <w:t xml:space="preserve">. As per Intergovernmental Panel on Climate Change (IPCC), atmospheric CH4 concentration has remained stable for thousands of years (0.715 </w:t>
      </w:r>
      <w:proofErr w:type="spellStart"/>
      <w:r w:rsidRPr="009026E3">
        <w:rPr>
          <w:rFonts w:eastAsia="Times New Roman"/>
          <w:szCs w:val="24"/>
        </w:rPr>
        <w:t>μmol</w:t>
      </w:r>
      <w:proofErr w:type="spellEnd"/>
      <w:r w:rsidRPr="009026E3">
        <w:rPr>
          <w:rFonts w:eastAsia="Times New Roman"/>
          <w:szCs w:val="24"/>
        </w:rPr>
        <w:t xml:space="preserve"> mol-1), but recently, it has more than doubled (1.774 </w:t>
      </w:r>
      <w:proofErr w:type="spellStart"/>
      <w:r w:rsidRPr="009026E3">
        <w:rPr>
          <w:rFonts w:eastAsia="Times New Roman"/>
          <w:szCs w:val="24"/>
        </w:rPr>
        <w:t>μmol</w:t>
      </w:r>
      <w:proofErr w:type="spellEnd"/>
      <w:r w:rsidRPr="009026E3">
        <w:rPr>
          <w:rFonts w:eastAsia="Times New Roman"/>
          <w:szCs w:val="24"/>
        </w:rPr>
        <w:t xml:space="preserve"> mol-1) due to human activities. Accord </w:t>
      </w:r>
      <w:proofErr w:type="spellStart"/>
      <w:r w:rsidRPr="009026E3">
        <w:rPr>
          <w:rFonts w:eastAsia="Times New Roman"/>
          <w:szCs w:val="24"/>
        </w:rPr>
        <w:t>ing</w:t>
      </w:r>
      <w:proofErr w:type="spellEnd"/>
      <w:r w:rsidRPr="009026E3">
        <w:rPr>
          <w:rFonts w:eastAsia="Times New Roman"/>
          <w:szCs w:val="24"/>
        </w:rPr>
        <w:t xml:space="preserve"> to UN projections, global GHG emissions will be about 15 Gt CO2e higher in 2030 than required under a 2°C </w:t>
      </w:r>
      <w:proofErr w:type="spellStart"/>
      <w:r w:rsidRPr="009026E3">
        <w:rPr>
          <w:rFonts w:eastAsia="Times New Roman"/>
          <w:szCs w:val="24"/>
        </w:rPr>
        <w:t>stabilisation</w:t>
      </w:r>
      <w:proofErr w:type="spellEnd"/>
      <w:r w:rsidRPr="009026E3">
        <w:rPr>
          <w:rFonts w:eastAsia="Times New Roman"/>
          <w:szCs w:val="24"/>
        </w:rPr>
        <w:t xml:space="preserve"> path (Eskander &amp; Fankhauser 2020). This increase is mainly due </w:t>
      </w:r>
      <w:r w:rsidRPr="009026E3">
        <w:rPr>
          <w:rFonts w:eastAsia="Times New Roman"/>
          <w:szCs w:val="24"/>
        </w:rPr>
        <w:lastRenderedPageBreak/>
        <w:t>to anthropogenic activities. Possible mechanisms for CH4 emission from soil to the atmosphere include (</w:t>
      </w:r>
      <w:proofErr w:type="spellStart"/>
      <w:r w:rsidRPr="009026E3">
        <w:rPr>
          <w:rFonts w:eastAsia="Times New Roman"/>
          <w:szCs w:val="24"/>
        </w:rPr>
        <w:t>i</w:t>
      </w:r>
      <w:proofErr w:type="spellEnd"/>
      <w:r w:rsidRPr="009026E3">
        <w:rPr>
          <w:rFonts w:eastAsia="Times New Roman"/>
          <w:szCs w:val="24"/>
        </w:rPr>
        <w:t>) the diffusion of dis solved CH4 along the gradient of concentration, (ii) release of gas bubbles containing CH4 (ebullition) and (iii) transport via the aerenchyma of vascular plants (plant-mediated transport).</w:t>
      </w:r>
    </w:p>
    <w:p w14:paraId="173F4256" w14:textId="77777777" w:rsidR="00C8327C" w:rsidRPr="00C8327C" w:rsidRDefault="009012B1" w:rsidP="009012B1">
      <w:pPr>
        <w:spacing w:before="100" w:beforeAutospacing="1" w:after="100" w:afterAutospacing="1" w:line="240" w:lineRule="auto"/>
        <w:ind w:left="720"/>
        <w:rPr>
          <w:rFonts w:eastAsia="Times New Roman"/>
          <w:szCs w:val="24"/>
          <w:highlight w:val="yellow"/>
        </w:rPr>
      </w:pPr>
      <w:r w:rsidRPr="00C8327C">
        <w:rPr>
          <w:rFonts w:eastAsia="Times New Roman"/>
          <w:szCs w:val="24"/>
          <w:highlight w:val="yellow"/>
        </w:rPr>
        <w:t xml:space="preserve">Coastal wetlands are found at the interface of terrestrial and marine ecosystems and account for 10% of the global wet land area (Lehner and </w:t>
      </w:r>
      <w:proofErr w:type="spellStart"/>
      <w:r w:rsidRPr="00C8327C">
        <w:rPr>
          <w:rFonts w:eastAsia="Times New Roman"/>
          <w:szCs w:val="24"/>
          <w:highlight w:val="yellow"/>
        </w:rPr>
        <w:t>Döll</w:t>
      </w:r>
      <w:proofErr w:type="spellEnd"/>
      <w:r w:rsidRPr="00C8327C">
        <w:rPr>
          <w:rFonts w:eastAsia="Times New Roman"/>
          <w:szCs w:val="24"/>
          <w:highlight w:val="yellow"/>
        </w:rPr>
        <w:t xml:space="preserve">, 2004). They are highly </w:t>
      </w:r>
      <w:proofErr w:type="spellStart"/>
      <w:r w:rsidRPr="00C8327C">
        <w:rPr>
          <w:rFonts w:eastAsia="Times New Roman"/>
          <w:szCs w:val="24"/>
          <w:highlight w:val="yellow"/>
        </w:rPr>
        <w:t>produc</w:t>
      </w:r>
      <w:proofErr w:type="spellEnd"/>
      <w:r w:rsidRPr="00C8327C">
        <w:rPr>
          <w:rFonts w:eastAsia="Times New Roman"/>
          <w:szCs w:val="24"/>
          <w:highlight w:val="yellow"/>
        </w:rPr>
        <w:t xml:space="preserve"> </w:t>
      </w:r>
      <w:proofErr w:type="spellStart"/>
      <w:r w:rsidRPr="00C8327C">
        <w:rPr>
          <w:rFonts w:eastAsia="Times New Roman"/>
          <w:szCs w:val="24"/>
          <w:highlight w:val="yellow"/>
        </w:rPr>
        <w:t>tive</w:t>
      </w:r>
      <w:proofErr w:type="spellEnd"/>
      <w:r w:rsidRPr="00C8327C">
        <w:rPr>
          <w:rFonts w:eastAsia="Times New Roman"/>
          <w:szCs w:val="24"/>
          <w:highlight w:val="yellow"/>
        </w:rPr>
        <w:t xml:space="preserve"> and provide various ecosystem services such as water quality improvement, biodiversity, and carbon sequestration (Duarte et al., 2013). For instance, mangroves can </w:t>
      </w:r>
      <w:proofErr w:type="spellStart"/>
      <w:r w:rsidRPr="00C8327C">
        <w:rPr>
          <w:rFonts w:eastAsia="Times New Roman"/>
          <w:szCs w:val="24"/>
          <w:highlight w:val="yellow"/>
        </w:rPr>
        <w:t>accumu</w:t>
      </w:r>
      <w:proofErr w:type="spellEnd"/>
      <w:r w:rsidRPr="00C8327C">
        <w:rPr>
          <w:rFonts w:eastAsia="Times New Roman"/>
          <w:szCs w:val="24"/>
          <w:highlight w:val="yellow"/>
        </w:rPr>
        <w:t xml:space="preserve"> late 5 times more soil carbon than terrestrial forests (Kauff man et al., 2020). However, the high productivity and anoxic soil conditions that promote carbon sequestration can also </w:t>
      </w:r>
      <w:proofErr w:type="spellStart"/>
      <w:r w:rsidRPr="00C8327C">
        <w:rPr>
          <w:rFonts w:eastAsia="Times New Roman"/>
          <w:szCs w:val="24"/>
          <w:highlight w:val="yellow"/>
        </w:rPr>
        <w:t>favour</w:t>
      </w:r>
      <w:proofErr w:type="spellEnd"/>
      <w:r w:rsidRPr="00C8327C">
        <w:rPr>
          <w:rFonts w:eastAsia="Times New Roman"/>
          <w:szCs w:val="24"/>
          <w:highlight w:val="yellow"/>
        </w:rPr>
        <w:t xml:space="preserve"> potent greenhouse gas (GHG) emissions, including CO2, CH4, and N2O (Whalen, 2005; Conrad, 2009). The GHG emissions in coastal wetlands primarily result from microbial processes in the soil–water–atmosphere in </w:t>
      </w:r>
      <w:proofErr w:type="spellStart"/>
      <w:r w:rsidRPr="00C8327C">
        <w:rPr>
          <w:rFonts w:eastAsia="Times New Roman"/>
          <w:szCs w:val="24"/>
          <w:highlight w:val="yellow"/>
        </w:rPr>
        <w:t>terface</w:t>
      </w:r>
      <w:proofErr w:type="spellEnd"/>
      <w:r w:rsidRPr="00C8327C">
        <w:rPr>
          <w:rFonts w:eastAsia="Times New Roman"/>
          <w:szCs w:val="24"/>
          <w:highlight w:val="yellow"/>
        </w:rPr>
        <w:t xml:space="preserve"> (Bauza et al., 2002; Whalen, 2005). The emission of CO2 is a result of respiration, where fixed carbon by photo synthesis is partially released back into the atmosphere (</w:t>
      </w:r>
      <w:proofErr w:type="spellStart"/>
      <w:r w:rsidRPr="00C8327C">
        <w:rPr>
          <w:rFonts w:eastAsia="Times New Roman"/>
          <w:szCs w:val="24"/>
          <w:highlight w:val="yellow"/>
        </w:rPr>
        <w:t>Oer</w:t>
      </w:r>
      <w:proofErr w:type="spellEnd"/>
      <w:r w:rsidRPr="00C8327C">
        <w:rPr>
          <w:rFonts w:eastAsia="Times New Roman"/>
          <w:szCs w:val="24"/>
          <w:highlight w:val="yellow"/>
        </w:rPr>
        <w:t xml:space="preserve"> </w:t>
      </w:r>
      <w:proofErr w:type="spellStart"/>
      <w:r w:rsidRPr="00C8327C">
        <w:rPr>
          <w:rFonts w:eastAsia="Times New Roman"/>
          <w:szCs w:val="24"/>
          <w:highlight w:val="yellow"/>
        </w:rPr>
        <w:t>tel</w:t>
      </w:r>
      <w:proofErr w:type="spellEnd"/>
      <w:r w:rsidRPr="00C8327C">
        <w:rPr>
          <w:rFonts w:eastAsia="Times New Roman"/>
          <w:szCs w:val="24"/>
          <w:highlight w:val="yellow"/>
        </w:rPr>
        <w:t xml:space="preserve"> et al., 2016). Emissions of CH4 result from anaerobic and aerobic respiration by methanogenic bacteria, mostly in waterlogged conditions (Angle et al., 2017; </w:t>
      </w:r>
      <w:proofErr w:type="spellStart"/>
      <w:r w:rsidRPr="00C8327C">
        <w:rPr>
          <w:rFonts w:eastAsia="Times New Roman"/>
          <w:szCs w:val="24"/>
          <w:highlight w:val="yellow"/>
        </w:rPr>
        <w:t>Saunois</w:t>
      </w:r>
      <w:proofErr w:type="spellEnd"/>
      <w:r w:rsidRPr="00C8327C">
        <w:rPr>
          <w:rFonts w:eastAsia="Times New Roman"/>
          <w:szCs w:val="24"/>
          <w:highlight w:val="yellow"/>
        </w:rPr>
        <w:t xml:space="preserve"> et al., 2020). Finally, N2O emissions are caused by denitrification in anoxic conditions and nitrification in aerobic soils, both driven by nitrogen content and soil moisture (</w:t>
      </w:r>
      <w:proofErr w:type="spellStart"/>
      <w:r w:rsidRPr="00C8327C">
        <w:rPr>
          <w:rFonts w:eastAsia="Times New Roman"/>
          <w:szCs w:val="24"/>
          <w:highlight w:val="yellow"/>
        </w:rPr>
        <w:t>Ussiri</w:t>
      </w:r>
      <w:proofErr w:type="spellEnd"/>
      <w:r w:rsidRPr="00C8327C">
        <w:rPr>
          <w:rFonts w:eastAsia="Times New Roman"/>
          <w:szCs w:val="24"/>
          <w:highlight w:val="yellow"/>
        </w:rPr>
        <w:t xml:space="preserve"> and Lal, 2012). Thus, the total GHG emissions from a wetland are driven by environmental conditions that </w:t>
      </w:r>
      <w:proofErr w:type="spellStart"/>
      <w:r w:rsidRPr="00C8327C">
        <w:rPr>
          <w:rFonts w:eastAsia="Times New Roman"/>
          <w:szCs w:val="24"/>
          <w:highlight w:val="yellow"/>
        </w:rPr>
        <w:t>favour</w:t>
      </w:r>
      <w:proofErr w:type="spellEnd"/>
      <w:r w:rsidRPr="00C8327C">
        <w:rPr>
          <w:rFonts w:eastAsia="Times New Roman"/>
          <w:szCs w:val="24"/>
          <w:highlight w:val="yellow"/>
        </w:rPr>
        <w:t xml:space="preserve"> these micro </w:t>
      </w:r>
      <w:proofErr w:type="spellStart"/>
      <w:r w:rsidRPr="00C8327C">
        <w:rPr>
          <w:rFonts w:eastAsia="Times New Roman"/>
          <w:szCs w:val="24"/>
          <w:highlight w:val="yellow"/>
        </w:rPr>
        <w:t>bial</w:t>
      </w:r>
      <w:proofErr w:type="spellEnd"/>
      <w:r w:rsidRPr="00C8327C">
        <w:rPr>
          <w:rFonts w:eastAsia="Times New Roman"/>
          <w:szCs w:val="24"/>
          <w:highlight w:val="yellow"/>
        </w:rPr>
        <w:t xml:space="preserve"> processes, all of which result in highly variable </w:t>
      </w:r>
      <w:proofErr w:type="spellStart"/>
      <w:r w:rsidRPr="00C8327C">
        <w:rPr>
          <w:rFonts w:eastAsia="Times New Roman"/>
          <w:szCs w:val="24"/>
          <w:highlight w:val="yellow"/>
        </w:rPr>
        <w:t>emis</w:t>
      </w:r>
      <w:proofErr w:type="spellEnd"/>
      <w:r w:rsidRPr="00C8327C">
        <w:rPr>
          <w:rFonts w:eastAsia="Times New Roman"/>
          <w:szCs w:val="24"/>
          <w:highlight w:val="yellow"/>
        </w:rPr>
        <w:t xml:space="preserve"> </w:t>
      </w:r>
      <w:proofErr w:type="spellStart"/>
      <w:r w:rsidRPr="00C8327C">
        <w:rPr>
          <w:rFonts w:eastAsia="Times New Roman"/>
          <w:szCs w:val="24"/>
          <w:highlight w:val="yellow"/>
        </w:rPr>
        <w:t>sions</w:t>
      </w:r>
      <w:proofErr w:type="spellEnd"/>
      <w:r w:rsidRPr="00C8327C">
        <w:rPr>
          <w:rFonts w:eastAsia="Times New Roman"/>
          <w:szCs w:val="24"/>
          <w:highlight w:val="yellow"/>
        </w:rPr>
        <w:t xml:space="preserve"> from wetlands worldwide (Kirschke et al., 2013; Oertel et al., 2016).</w:t>
      </w:r>
    </w:p>
    <w:p w14:paraId="71817B7F" w14:textId="57B5BF21" w:rsidR="00C8327C" w:rsidRPr="00C8327C" w:rsidRDefault="00C8327C" w:rsidP="009012B1">
      <w:pPr>
        <w:spacing w:before="100" w:beforeAutospacing="1" w:after="100" w:afterAutospacing="1" w:line="240" w:lineRule="auto"/>
        <w:ind w:left="720"/>
        <w:rPr>
          <w:rFonts w:eastAsia="Times New Roman"/>
          <w:szCs w:val="24"/>
          <w:highlight w:val="yellow"/>
        </w:rPr>
      </w:pPr>
      <w:r w:rsidRPr="00C8327C">
        <w:rPr>
          <w:rFonts w:eastAsia="Times New Roman"/>
          <w:szCs w:val="24"/>
          <w:highlight w:val="yellow"/>
        </w:rPr>
        <w:t xml:space="preserve">The GHG emissions from three coastal wetlands in </w:t>
      </w:r>
      <w:proofErr w:type="spellStart"/>
      <w:r w:rsidRPr="00C8327C">
        <w:rPr>
          <w:rFonts w:eastAsia="Times New Roman"/>
          <w:szCs w:val="24"/>
          <w:highlight w:val="yellow"/>
        </w:rPr>
        <w:t>tropi</w:t>
      </w:r>
      <w:proofErr w:type="spellEnd"/>
      <w:r w:rsidRPr="00C8327C">
        <w:rPr>
          <w:rFonts w:eastAsia="Times New Roman"/>
          <w:szCs w:val="24"/>
          <w:highlight w:val="yellow"/>
        </w:rPr>
        <w:t xml:space="preserve"> </w:t>
      </w:r>
      <w:proofErr w:type="spellStart"/>
      <w:r w:rsidRPr="00C8327C">
        <w:rPr>
          <w:rFonts w:eastAsia="Times New Roman"/>
          <w:szCs w:val="24"/>
          <w:highlight w:val="yellow"/>
        </w:rPr>
        <w:t>cal</w:t>
      </w:r>
      <w:proofErr w:type="spellEnd"/>
      <w:r w:rsidRPr="00C8327C">
        <w:rPr>
          <w:rFonts w:eastAsia="Times New Roman"/>
          <w:szCs w:val="24"/>
          <w:highlight w:val="yellow"/>
        </w:rPr>
        <w:t xml:space="preserve"> Australia (mangroves, salt marsh, and freshwater tidal forests) were consistently lower than those from two com </w:t>
      </w:r>
      <w:proofErr w:type="spellStart"/>
      <w:r w:rsidRPr="00C8327C">
        <w:rPr>
          <w:rFonts w:eastAsia="Times New Roman"/>
          <w:szCs w:val="24"/>
          <w:highlight w:val="yellow"/>
        </w:rPr>
        <w:t>mon</w:t>
      </w:r>
      <w:proofErr w:type="spellEnd"/>
      <w:r w:rsidRPr="00C8327C">
        <w:rPr>
          <w:rFonts w:eastAsia="Times New Roman"/>
          <w:szCs w:val="24"/>
          <w:highlight w:val="yellow"/>
        </w:rPr>
        <w:t xml:space="preserve"> agricultural land uses of the region (sugarcane and pas </w:t>
      </w:r>
      <w:proofErr w:type="spellStart"/>
      <w:r w:rsidRPr="00C8327C">
        <w:rPr>
          <w:rFonts w:eastAsia="Times New Roman"/>
          <w:szCs w:val="24"/>
          <w:highlight w:val="yellow"/>
        </w:rPr>
        <w:t>tures</w:t>
      </w:r>
      <w:proofErr w:type="spellEnd"/>
      <w:r w:rsidRPr="00C8327C">
        <w:rPr>
          <w:rFonts w:eastAsia="Times New Roman"/>
          <w:szCs w:val="24"/>
          <w:highlight w:val="yellow"/>
        </w:rPr>
        <w:t xml:space="preserve">) across three climatic conditions (dry–cool, dry–hot, and wet–hot). Ponded pastures emitted 200 times more CH4 and sugarcane emitted 7 times more N2O than any natural coastal wetland measured. If these high emissions are </w:t>
      </w:r>
      <w:proofErr w:type="spellStart"/>
      <w:r w:rsidRPr="00C8327C">
        <w:rPr>
          <w:rFonts w:eastAsia="Times New Roman"/>
          <w:szCs w:val="24"/>
          <w:highlight w:val="yellow"/>
        </w:rPr>
        <w:t>persis</w:t>
      </w:r>
      <w:proofErr w:type="spellEnd"/>
      <w:r w:rsidRPr="00C8327C">
        <w:rPr>
          <w:rFonts w:eastAsia="Times New Roman"/>
          <w:szCs w:val="24"/>
          <w:highlight w:val="yellow"/>
        </w:rPr>
        <w:t xml:space="preserve"> tent in other locations and within other tropical regions, con version of pastures and sugarcane to similar coastal wetlands could provide significant GHG mitigation.</w:t>
      </w:r>
    </w:p>
    <w:p w14:paraId="4C619DA4" w14:textId="7C0998FE" w:rsidR="009012B1" w:rsidRPr="00685AE6" w:rsidRDefault="009012B1" w:rsidP="009012B1">
      <w:pPr>
        <w:spacing w:before="100" w:beforeAutospacing="1" w:after="100" w:afterAutospacing="1" w:line="240" w:lineRule="auto"/>
        <w:ind w:left="720"/>
        <w:rPr>
          <w:rFonts w:eastAsia="Times New Roman"/>
          <w:szCs w:val="24"/>
        </w:rPr>
      </w:pPr>
      <w:r w:rsidRPr="00C8327C">
        <w:rPr>
          <w:rFonts w:eastAsia="Times New Roman"/>
          <w:szCs w:val="24"/>
          <w:highlight w:val="yellow"/>
        </w:rPr>
        <w:t>(</w:t>
      </w:r>
      <w:r w:rsidRPr="00C8327C">
        <w:rPr>
          <w:rFonts w:eastAsia="Times New Roman"/>
          <w:szCs w:val="24"/>
          <w:highlight w:val="yellow"/>
        </w:rPr>
        <w:t xml:space="preserve">Soil greenhouse gas fluxes from tropical coastal wetlands and alternative agricultural land uses Naima Iram1, Emad Kavehei1, Damien T. Maher2, Stuart E. Bunn1, Mehran Rezaei Rashti1, Bahareh </w:t>
      </w:r>
      <w:proofErr w:type="spellStart"/>
      <w:r w:rsidRPr="00C8327C">
        <w:rPr>
          <w:rFonts w:eastAsia="Times New Roman"/>
          <w:szCs w:val="24"/>
          <w:highlight w:val="yellow"/>
        </w:rPr>
        <w:t>Shahrabi</w:t>
      </w:r>
      <w:proofErr w:type="spellEnd"/>
      <w:r w:rsidRPr="00C8327C">
        <w:rPr>
          <w:rFonts w:eastAsia="Times New Roman"/>
          <w:szCs w:val="24"/>
          <w:highlight w:val="yellow"/>
        </w:rPr>
        <w:t xml:space="preserve"> Farahani1, and Maria Fernanda Adame1</w:t>
      </w:r>
      <w:r w:rsidRPr="00C8327C">
        <w:rPr>
          <w:rFonts w:eastAsia="Times New Roman"/>
          <w:szCs w:val="24"/>
          <w:highlight w:val="yellow"/>
        </w:rPr>
        <w:t>)</w:t>
      </w:r>
    </w:p>
    <w:p w14:paraId="6626F939" w14:textId="77777777" w:rsidR="00353881" w:rsidRDefault="00685AE6" w:rsidP="00353881">
      <w:pPr>
        <w:numPr>
          <w:ilvl w:val="0"/>
          <w:numId w:val="2"/>
        </w:numPr>
        <w:spacing w:before="100" w:beforeAutospacing="1" w:after="100" w:afterAutospacing="1" w:line="240" w:lineRule="auto"/>
        <w:rPr>
          <w:rFonts w:eastAsia="Times New Roman"/>
          <w:szCs w:val="24"/>
        </w:rPr>
      </w:pPr>
      <w:r w:rsidRPr="00685AE6">
        <w:rPr>
          <w:rFonts w:eastAsia="Times New Roman"/>
          <w:szCs w:val="24"/>
        </w:rPr>
        <w:t>Influencing factors: salinity, inundation, vegetation type, temperature</w:t>
      </w:r>
    </w:p>
    <w:p w14:paraId="634B62EF" w14:textId="1EA0F5C3" w:rsidR="00353881" w:rsidRDefault="00C8327C" w:rsidP="00353881">
      <w:pPr>
        <w:numPr>
          <w:ilvl w:val="0"/>
          <w:numId w:val="2"/>
        </w:numPr>
        <w:spacing w:before="100" w:beforeAutospacing="1" w:after="100" w:afterAutospacing="1" w:line="240" w:lineRule="auto"/>
        <w:rPr>
          <w:rFonts w:eastAsia="Times New Roman"/>
          <w:szCs w:val="24"/>
        </w:rPr>
      </w:pPr>
      <w:r w:rsidRPr="00353881">
        <w:rPr>
          <w:rFonts w:eastAsia="Times New Roman"/>
          <w:szCs w:val="24"/>
        </w:rPr>
        <w:t>The</w:t>
      </w:r>
      <w:r w:rsidRPr="00353881">
        <w:rPr>
          <w:rFonts w:eastAsia="Times New Roman"/>
          <w:szCs w:val="24"/>
        </w:rPr>
        <w:t xml:space="preserve"> </w:t>
      </w:r>
      <w:r w:rsidRPr="00353881">
        <w:rPr>
          <w:rFonts w:eastAsia="Times New Roman"/>
          <w:szCs w:val="24"/>
        </w:rPr>
        <w:t>gas</w:t>
      </w:r>
      <w:r w:rsidRPr="00353881">
        <w:rPr>
          <w:rFonts w:eastAsia="Times New Roman"/>
          <w:szCs w:val="24"/>
        </w:rPr>
        <w:t xml:space="preserve"> </w:t>
      </w:r>
      <w:r w:rsidRPr="00353881">
        <w:rPr>
          <w:rFonts w:eastAsia="Times New Roman"/>
          <w:szCs w:val="24"/>
        </w:rPr>
        <w:t>fluxes</w:t>
      </w:r>
      <w:r w:rsidRPr="00353881">
        <w:rPr>
          <w:rFonts w:eastAsia="Times New Roman"/>
          <w:szCs w:val="24"/>
        </w:rPr>
        <w:t xml:space="preserve"> </w:t>
      </w:r>
      <w:r w:rsidRPr="00353881">
        <w:rPr>
          <w:rFonts w:eastAsia="Times New Roman"/>
          <w:szCs w:val="24"/>
        </w:rPr>
        <w:t>were</w:t>
      </w:r>
      <w:r w:rsidRPr="00353881">
        <w:rPr>
          <w:rFonts w:eastAsia="Times New Roman"/>
          <w:szCs w:val="24"/>
        </w:rPr>
        <w:t xml:space="preserve"> </w:t>
      </w:r>
      <w:r w:rsidRPr="00353881">
        <w:rPr>
          <w:rFonts w:eastAsia="Times New Roman"/>
          <w:szCs w:val="24"/>
        </w:rPr>
        <w:t>higher</w:t>
      </w:r>
      <w:r w:rsidRPr="00353881">
        <w:rPr>
          <w:rFonts w:eastAsia="Times New Roman"/>
          <w:szCs w:val="24"/>
        </w:rPr>
        <w:t xml:space="preserve"> </w:t>
      </w:r>
      <w:r w:rsidRPr="00353881">
        <w:rPr>
          <w:rFonts w:eastAsia="Times New Roman"/>
          <w:szCs w:val="24"/>
        </w:rPr>
        <w:t>in</w:t>
      </w:r>
      <w:r w:rsidRPr="00353881">
        <w:rPr>
          <w:rFonts w:eastAsia="Times New Roman"/>
          <w:szCs w:val="24"/>
        </w:rPr>
        <w:t xml:space="preserve"> </w:t>
      </w:r>
      <w:r w:rsidRPr="00353881">
        <w:rPr>
          <w:rFonts w:eastAsia="Times New Roman"/>
          <w:szCs w:val="24"/>
        </w:rPr>
        <w:t>summer</w:t>
      </w:r>
      <w:r w:rsidRPr="00353881">
        <w:rPr>
          <w:rFonts w:eastAsia="Times New Roman"/>
          <w:szCs w:val="24"/>
        </w:rPr>
        <w:t xml:space="preserve"> </w:t>
      </w:r>
      <w:proofErr w:type="spellStart"/>
      <w:r w:rsidRPr="00353881">
        <w:rPr>
          <w:rFonts w:eastAsia="Times New Roman"/>
          <w:szCs w:val="24"/>
        </w:rPr>
        <w:t>thanin</w:t>
      </w:r>
      <w:proofErr w:type="spellEnd"/>
      <w:r w:rsidR="00C0048F">
        <w:rPr>
          <w:rFonts w:eastAsia="Times New Roman"/>
          <w:szCs w:val="24"/>
        </w:rPr>
        <w:t xml:space="preserve"> </w:t>
      </w:r>
      <w:r w:rsidRPr="00353881">
        <w:rPr>
          <w:rFonts w:eastAsia="Times New Roman"/>
          <w:szCs w:val="24"/>
        </w:rPr>
        <w:t>the</w:t>
      </w:r>
      <w:r w:rsidRPr="00353881">
        <w:rPr>
          <w:rFonts w:eastAsia="Times New Roman"/>
          <w:szCs w:val="24"/>
        </w:rPr>
        <w:t xml:space="preserve"> </w:t>
      </w:r>
      <w:r w:rsidRPr="00353881">
        <w:rPr>
          <w:rFonts w:eastAsia="Times New Roman"/>
          <w:szCs w:val="24"/>
        </w:rPr>
        <w:t>cold</w:t>
      </w:r>
      <w:r w:rsidRPr="00353881">
        <w:rPr>
          <w:rFonts w:eastAsia="Times New Roman"/>
          <w:szCs w:val="24"/>
        </w:rPr>
        <w:t xml:space="preserve"> </w:t>
      </w:r>
      <w:r w:rsidRPr="00353881">
        <w:rPr>
          <w:rFonts w:eastAsia="Times New Roman"/>
          <w:szCs w:val="24"/>
        </w:rPr>
        <w:t>season</w:t>
      </w:r>
      <w:r w:rsidRPr="00353881">
        <w:rPr>
          <w:rFonts w:eastAsia="Times New Roman"/>
          <w:szCs w:val="24"/>
        </w:rPr>
        <w:t xml:space="preserve"> </w:t>
      </w:r>
      <w:r w:rsidRPr="00353881">
        <w:rPr>
          <w:rFonts w:eastAsia="Times New Roman"/>
          <w:szCs w:val="24"/>
        </w:rPr>
        <w:t>sand</w:t>
      </w:r>
      <w:r w:rsidRPr="00353881">
        <w:rPr>
          <w:rFonts w:eastAsia="Times New Roman"/>
          <w:szCs w:val="24"/>
        </w:rPr>
        <w:t xml:space="preserve"> </w:t>
      </w:r>
      <w:r w:rsidRPr="00353881">
        <w:rPr>
          <w:rFonts w:eastAsia="Times New Roman"/>
          <w:szCs w:val="24"/>
        </w:rPr>
        <w:t>were</w:t>
      </w:r>
      <w:r w:rsidRPr="00353881">
        <w:rPr>
          <w:rFonts w:eastAsia="Times New Roman"/>
          <w:szCs w:val="24"/>
        </w:rPr>
        <w:t xml:space="preserve"> </w:t>
      </w:r>
      <w:r w:rsidRPr="00353881">
        <w:rPr>
          <w:rFonts w:eastAsia="Times New Roman"/>
          <w:szCs w:val="24"/>
        </w:rPr>
        <w:t>variable</w:t>
      </w:r>
      <w:r w:rsidRPr="00353881">
        <w:rPr>
          <w:rFonts w:eastAsia="Times New Roman"/>
          <w:szCs w:val="24"/>
        </w:rPr>
        <w:t xml:space="preserve"> </w:t>
      </w:r>
      <w:r w:rsidRPr="00353881">
        <w:rPr>
          <w:rFonts w:eastAsia="Times New Roman"/>
          <w:szCs w:val="24"/>
        </w:rPr>
        <w:t>across</w:t>
      </w:r>
      <w:r w:rsidRPr="00353881">
        <w:rPr>
          <w:rFonts w:eastAsia="Times New Roman"/>
          <w:szCs w:val="24"/>
        </w:rPr>
        <w:t xml:space="preserve"> </w:t>
      </w:r>
      <w:r w:rsidRPr="00353881">
        <w:rPr>
          <w:rFonts w:eastAsia="Times New Roman"/>
          <w:szCs w:val="24"/>
        </w:rPr>
        <w:t>mangrove</w:t>
      </w:r>
      <w:r w:rsidRPr="00353881">
        <w:rPr>
          <w:rFonts w:eastAsia="Times New Roman"/>
          <w:szCs w:val="24"/>
        </w:rPr>
        <w:t xml:space="preserve"> </w:t>
      </w:r>
      <w:r w:rsidRPr="00353881">
        <w:rPr>
          <w:rFonts w:eastAsia="Times New Roman"/>
          <w:szCs w:val="24"/>
        </w:rPr>
        <w:t>sites.</w:t>
      </w:r>
      <w:r w:rsidRPr="00353881">
        <w:rPr>
          <w:rFonts w:eastAsia="Times New Roman"/>
          <w:szCs w:val="24"/>
        </w:rPr>
        <w:t xml:space="preserve"> </w:t>
      </w:r>
      <w:r w:rsidRPr="00353881">
        <w:rPr>
          <w:rFonts w:eastAsia="Times New Roman"/>
          <w:szCs w:val="24"/>
        </w:rPr>
        <w:t>Gas</w:t>
      </w:r>
      <w:r w:rsidRPr="00353881">
        <w:rPr>
          <w:rFonts w:eastAsia="Times New Roman"/>
          <w:szCs w:val="24"/>
        </w:rPr>
        <w:t xml:space="preserve"> </w:t>
      </w:r>
      <w:r w:rsidRPr="00353881">
        <w:rPr>
          <w:rFonts w:eastAsia="Times New Roman"/>
          <w:szCs w:val="24"/>
        </w:rPr>
        <w:t>fluxes</w:t>
      </w:r>
      <w:r w:rsidRPr="00353881">
        <w:rPr>
          <w:rFonts w:eastAsia="Times New Roman"/>
          <w:szCs w:val="24"/>
        </w:rPr>
        <w:t xml:space="preserve"> </w:t>
      </w:r>
      <w:r w:rsidRPr="00353881">
        <w:rPr>
          <w:rFonts w:eastAsia="Times New Roman"/>
          <w:szCs w:val="24"/>
        </w:rPr>
        <w:t>in summer</w:t>
      </w:r>
      <w:r w:rsidR="00353881">
        <w:rPr>
          <w:rFonts w:eastAsia="Times New Roman"/>
          <w:szCs w:val="24"/>
        </w:rPr>
        <w:t xml:space="preserve"> </w:t>
      </w:r>
      <w:r w:rsidRPr="00353881">
        <w:rPr>
          <w:rFonts w:eastAsia="Times New Roman"/>
          <w:szCs w:val="24"/>
        </w:rPr>
        <w:t>were</w:t>
      </w:r>
      <w:r w:rsidR="00353881">
        <w:rPr>
          <w:rFonts w:eastAsia="Times New Roman"/>
          <w:szCs w:val="24"/>
        </w:rPr>
        <w:t xml:space="preserve"> </w:t>
      </w:r>
      <w:r w:rsidRPr="00353881">
        <w:rPr>
          <w:rFonts w:eastAsia="Times New Roman"/>
          <w:szCs w:val="24"/>
        </w:rPr>
        <w:t>positively</w:t>
      </w:r>
      <w:r w:rsidR="00353881">
        <w:rPr>
          <w:rFonts w:eastAsia="Times New Roman"/>
          <w:szCs w:val="24"/>
        </w:rPr>
        <w:t xml:space="preserve"> </w:t>
      </w:r>
      <w:r w:rsidRPr="00353881">
        <w:rPr>
          <w:rFonts w:eastAsia="Times New Roman"/>
          <w:szCs w:val="24"/>
        </w:rPr>
        <w:t>correlated</w:t>
      </w:r>
      <w:r w:rsidR="00353881">
        <w:rPr>
          <w:rFonts w:eastAsia="Times New Roman"/>
          <w:szCs w:val="24"/>
        </w:rPr>
        <w:t xml:space="preserve"> </w:t>
      </w:r>
      <w:r w:rsidRPr="00353881">
        <w:rPr>
          <w:rFonts w:eastAsia="Times New Roman"/>
          <w:szCs w:val="24"/>
        </w:rPr>
        <w:t>with</w:t>
      </w:r>
      <w:r w:rsidR="00353881">
        <w:rPr>
          <w:rFonts w:eastAsia="Times New Roman"/>
          <w:szCs w:val="24"/>
        </w:rPr>
        <w:t xml:space="preserve"> </w:t>
      </w:r>
      <w:r w:rsidRPr="00353881">
        <w:rPr>
          <w:rFonts w:eastAsia="Times New Roman"/>
          <w:szCs w:val="24"/>
        </w:rPr>
        <w:t>the</w:t>
      </w:r>
      <w:r w:rsidR="00353881">
        <w:rPr>
          <w:rFonts w:eastAsia="Times New Roman"/>
          <w:szCs w:val="24"/>
        </w:rPr>
        <w:t xml:space="preserve"> </w:t>
      </w:r>
      <w:r w:rsidRPr="00353881">
        <w:rPr>
          <w:rFonts w:eastAsia="Times New Roman"/>
          <w:szCs w:val="24"/>
        </w:rPr>
        <w:t>soil</w:t>
      </w:r>
      <w:r w:rsidR="00353881">
        <w:rPr>
          <w:rFonts w:eastAsia="Times New Roman"/>
          <w:szCs w:val="24"/>
        </w:rPr>
        <w:t xml:space="preserve"> </w:t>
      </w:r>
      <w:r w:rsidRPr="00353881">
        <w:rPr>
          <w:rFonts w:eastAsia="Times New Roman"/>
          <w:szCs w:val="24"/>
        </w:rPr>
        <w:t>organic</w:t>
      </w:r>
      <w:r w:rsidR="00353881">
        <w:rPr>
          <w:rFonts w:eastAsia="Times New Roman"/>
          <w:szCs w:val="24"/>
        </w:rPr>
        <w:t xml:space="preserve"> </w:t>
      </w:r>
      <w:r w:rsidR="00353881" w:rsidRPr="00353881">
        <w:rPr>
          <w:rFonts w:eastAsia="Times New Roman"/>
          <w:szCs w:val="24"/>
        </w:rPr>
        <w:t>carbon</w:t>
      </w:r>
      <w:r w:rsidR="00353881">
        <w:rPr>
          <w:rFonts w:eastAsia="Times New Roman"/>
          <w:szCs w:val="24"/>
        </w:rPr>
        <w:t xml:space="preserve">, total </w:t>
      </w:r>
      <w:r w:rsidRPr="00353881">
        <w:rPr>
          <w:rFonts w:eastAsia="Times New Roman"/>
          <w:szCs w:val="24"/>
        </w:rPr>
        <w:t>nitrogen,</w:t>
      </w:r>
      <w:r w:rsidR="00353881">
        <w:rPr>
          <w:rFonts w:eastAsia="Times New Roman"/>
          <w:szCs w:val="24"/>
        </w:rPr>
        <w:t xml:space="preserve"> </w:t>
      </w:r>
      <w:r w:rsidR="00353881" w:rsidRPr="00353881">
        <w:rPr>
          <w:rFonts w:eastAsia="Times New Roman"/>
          <w:szCs w:val="24"/>
        </w:rPr>
        <w:t>and ammonia</w:t>
      </w:r>
      <w:r w:rsidRPr="00353881">
        <w:rPr>
          <w:rFonts w:eastAsia="Times New Roman"/>
          <w:szCs w:val="24"/>
        </w:rPr>
        <w:t xml:space="preserve"> contents.</w:t>
      </w:r>
      <w:r w:rsidR="00353881">
        <w:rPr>
          <w:rFonts w:eastAsia="Times New Roman"/>
          <w:szCs w:val="24"/>
        </w:rPr>
        <w:t xml:space="preserve"> </w:t>
      </w:r>
      <w:r w:rsidRPr="00353881">
        <w:rPr>
          <w:rFonts w:eastAsia="Times New Roman"/>
          <w:szCs w:val="24"/>
        </w:rPr>
        <w:t>The</w:t>
      </w:r>
      <w:r w:rsidR="00353881">
        <w:rPr>
          <w:rFonts w:eastAsia="Times New Roman"/>
          <w:szCs w:val="24"/>
        </w:rPr>
        <w:t xml:space="preserve"> </w:t>
      </w:r>
      <w:r w:rsidRPr="00353881">
        <w:rPr>
          <w:rFonts w:eastAsia="Times New Roman"/>
          <w:szCs w:val="24"/>
        </w:rPr>
        <w:t>mangrove</w:t>
      </w:r>
      <w:r w:rsidR="00353881">
        <w:rPr>
          <w:rFonts w:eastAsia="Times New Roman"/>
          <w:szCs w:val="24"/>
        </w:rPr>
        <w:t xml:space="preserve"> </w:t>
      </w:r>
      <w:r w:rsidRPr="00353881">
        <w:rPr>
          <w:rFonts w:eastAsia="Times New Roman"/>
          <w:szCs w:val="24"/>
        </w:rPr>
        <w:t>plants</w:t>
      </w:r>
      <w:r w:rsidR="00353881">
        <w:rPr>
          <w:rFonts w:eastAsia="Times New Roman"/>
          <w:szCs w:val="24"/>
        </w:rPr>
        <w:t xml:space="preserve"> </w:t>
      </w:r>
      <w:r w:rsidRPr="00353881">
        <w:rPr>
          <w:rFonts w:eastAsia="Times New Roman"/>
          <w:szCs w:val="24"/>
        </w:rPr>
        <w:t>sequestered</w:t>
      </w:r>
      <w:r w:rsidR="00353881">
        <w:rPr>
          <w:rFonts w:eastAsia="Times New Roman"/>
          <w:szCs w:val="24"/>
        </w:rPr>
        <w:t xml:space="preserve"> </w:t>
      </w:r>
      <w:r w:rsidR="00353881" w:rsidRPr="00353881">
        <w:rPr>
          <w:rFonts w:eastAsia="Times New Roman"/>
          <w:szCs w:val="24"/>
        </w:rPr>
        <w:t>a considerable</w:t>
      </w:r>
      <w:r w:rsidR="00353881">
        <w:rPr>
          <w:rFonts w:eastAsia="Times New Roman"/>
          <w:szCs w:val="24"/>
        </w:rPr>
        <w:t xml:space="preserve"> </w:t>
      </w:r>
      <w:r w:rsidRPr="00353881">
        <w:rPr>
          <w:rFonts w:eastAsia="Times New Roman"/>
          <w:szCs w:val="24"/>
        </w:rPr>
        <w:t>amount</w:t>
      </w:r>
      <w:r w:rsidR="00353881">
        <w:rPr>
          <w:rFonts w:eastAsia="Times New Roman"/>
          <w:szCs w:val="24"/>
        </w:rPr>
        <w:t xml:space="preserve"> </w:t>
      </w:r>
      <w:r w:rsidRPr="00353881">
        <w:rPr>
          <w:rFonts w:eastAsia="Times New Roman"/>
          <w:szCs w:val="24"/>
        </w:rPr>
        <w:t>of</w:t>
      </w:r>
      <w:r w:rsidR="00353881">
        <w:rPr>
          <w:rFonts w:eastAsia="Times New Roman"/>
          <w:szCs w:val="24"/>
        </w:rPr>
        <w:t xml:space="preserve"> </w:t>
      </w:r>
      <w:r w:rsidRPr="00353881">
        <w:rPr>
          <w:rFonts w:eastAsia="Times New Roman"/>
          <w:szCs w:val="24"/>
        </w:rPr>
        <w:t>atmospheric</w:t>
      </w:r>
      <w:r w:rsidR="00353881">
        <w:rPr>
          <w:rFonts w:eastAsia="Times New Roman"/>
          <w:szCs w:val="24"/>
        </w:rPr>
        <w:t xml:space="preserve"> </w:t>
      </w:r>
      <w:r w:rsidRPr="00353881">
        <w:rPr>
          <w:rFonts w:eastAsia="Times New Roman"/>
          <w:szCs w:val="24"/>
        </w:rPr>
        <w:t>CO2</w:t>
      </w:r>
      <w:r w:rsidR="00353881">
        <w:rPr>
          <w:rFonts w:eastAsia="Times New Roman"/>
          <w:szCs w:val="24"/>
        </w:rPr>
        <w:t xml:space="preserve"> </w:t>
      </w:r>
      <w:r w:rsidR="00353881" w:rsidRPr="00353881">
        <w:rPr>
          <w:rFonts w:eastAsia="Times New Roman"/>
          <w:szCs w:val="24"/>
        </w:rPr>
        <w:t>at rates</w:t>
      </w:r>
      <w:r w:rsidR="00353881">
        <w:rPr>
          <w:rFonts w:eastAsia="Times New Roman"/>
          <w:szCs w:val="24"/>
        </w:rPr>
        <w:t xml:space="preserve"> </w:t>
      </w:r>
      <w:r w:rsidRPr="00353881">
        <w:rPr>
          <w:rFonts w:eastAsia="Times New Roman"/>
          <w:szCs w:val="24"/>
        </w:rPr>
        <w:t>varying</w:t>
      </w:r>
      <w:r w:rsidR="00353881">
        <w:rPr>
          <w:rFonts w:eastAsia="Times New Roman"/>
          <w:szCs w:val="24"/>
        </w:rPr>
        <w:t xml:space="preserve"> </w:t>
      </w:r>
      <w:r w:rsidRPr="00353881">
        <w:rPr>
          <w:rFonts w:eastAsia="Times New Roman"/>
          <w:szCs w:val="24"/>
        </w:rPr>
        <w:t>from</w:t>
      </w:r>
      <w:r w:rsidR="00353881">
        <w:rPr>
          <w:rFonts w:eastAsia="Times New Roman"/>
          <w:szCs w:val="24"/>
        </w:rPr>
        <w:t xml:space="preserve"> </w:t>
      </w:r>
      <w:r w:rsidRPr="00353881">
        <w:rPr>
          <w:rFonts w:eastAsia="Times New Roman"/>
          <w:szCs w:val="24"/>
        </w:rPr>
        <w:t>3652</w:t>
      </w:r>
      <w:r w:rsidR="00353881">
        <w:rPr>
          <w:rFonts w:eastAsia="Times New Roman"/>
          <w:szCs w:val="24"/>
        </w:rPr>
        <w:t xml:space="preserve"> </w:t>
      </w:r>
      <w:r w:rsidRPr="00353881">
        <w:rPr>
          <w:rFonts w:eastAsia="Times New Roman"/>
          <w:szCs w:val="24"/>
        </w:rPr>
        <w:t>to</w:t>
      </w:r>
      <w:r w:rsidR="00353881">
        <w:rPr>
          <w:rFonts w:eastAsia="Times New Roman"/>
          <w:szCs w:val="24"/>
        </w:rPr>
        <w:t xml:space="preserve"> </w:t>
      </w:r>
      <w:r w:rsidRPr="00353881">
        <w:rPr>
          <w:rFonts w:eastAsia="Times New Roman"/>
          <w:szCs w:val="24"/>
        </w:rPr>
        <w:t>7420</w:t>
      </w:r>
      <w:r w:rsidR="00353881">
        <w:rPr>
          <w:rFonts w:eastAsia="Times New Roman"/>
          <w:szCs w:val="24"/>
        </w:rPr>
        <w:t xml:space="preserve"> </w:t>
      </w:r>
      <w:r w:rsidRPr="00353881">
        <w:rPr>
          <w:rFonts w:eastAsia="Times New Roman"/>
          <w:szCs w:val="24"/>
        </w:rPr>
        <w:t>g</w:t>
      </w:r>
      <w:r w:rsidR="00353881">
        <w:rPr>
          <w:rFonts w:eastAsia="Times New Roman"/>
          <w:szCs w:val="24"/>
        </w:rPr>
        <w:t xml:space="preserve"> </w:t>
      </w:r>
      <w:r w:rsidRPr="00353881">
        <w:rPr>
          <w:rFonts w:eastAsia="Times New Roman"/>
          <w:szCs w:val="24"/>
        </w:rPr>
        <w:t>CO2</w:t>
      </w:r>
      <w:r w:rsidR="00353881">
        <w:rPr>
          <w:rFonts w:eastAsia="Times New Roman"/>
          <w:szCs w:val="24"/>
        </w:rPr>
        <w:t xml:space="preserve"> </w:t>
      </w:r>
      <w:r w:rsidRPr="00353881">
        <w:rPr>
          <w:rFonts w:eastAsia="Times New Roman"/>
          <w:szCs w:val="24"/>
        </w:rPr>
        <w:t>m−2yr−1.</w:t>
      </w:r>
      <w:r w:rsidR="00353881">
        <w:rPr>
          <w:rFonts w:eastAsia="Times New Roman"/>
          <w:szCs w:val="24"/>
        </w:rPr>
        <w:t xml:space="preserve"> </w:t>
      </w:r>
      <w:r w:rsidR="00353881" w:rsidRPr="00353881">
        <w:rPr>
          <w:rFonts w:eastAsia="Times New Roman"/>
          <w:szCs w:val="24"/>
        </w:rPr>
        <w:t>(</w:t>
      </w:r>
      <w:r w:rsidR="00353881" w:rsidRPr="00353881">
        <w:rPr>
          <w:rFonts w:eastAsia="Times New Roman"/>
          <w:szCs w:val="24"/>
        </w:rPr>
        <w:t xml:space="preserve">Soil </w:t>
      </w:r>
      <w:r w:rsidR="00353881" w:rsidRPr="00353881">
        <w:rPr>
          <w:rFonts w:eastAsia="Times New Roman"/>
          <w:szCs w:val="24"/>
        </w:rPr>
        <w:t>green</w:t>
      </w:r>
      <w:r w:rsidR="00353881">
        <w:rPr>
          <w:rFonts w:eastAsia="Times New Roman"/>
          <w:szCs w:val="24"/>
        </w:rPr>
        <w:t>h</w:t>
      </w:r>
      <w:r w:rsidR="00353881" w:rsidRPr="00353881">
        <w:rPr>
          <w:rFonts w:eastAsia="Times New Roman"/>
          <w:szCs w:val="24"/>
        </w:rPr>
        <w:t>ouse</w:t>
      </w:r>
      <w:r w:rsidR="00353881">
        <w:rPr>
          <w:rFonts w:eastAsia="Times New Roman"/>
          <w:szCs w:val="24"/>
        </w:rPr>
        <w:t xml:space="preserve"> </w:t>
      </w:r>
      <w:r w:rsidR="00353881" w:rsidRPr="00353881">
        <w:rPr>
          <w:rFonts w:eastAsia="Times New Roman"/>
          <w:szCs w:val="24"/>
        </w:rPr>
        <w:t>gas</w:t>
      </w:r>
      <w:r w:rsidR="00353881">
        <w:rPr>
          <w:rFonts w:eastAsia="Times New Roman"/>
          <w:szCs w:val="24"/>
        </w:rPr>
        <w:t xml:space="preserve"> </w:t>
      </w:r>
      <w:r w:rsidR="00353881" w:rsidRPr="00353881">
        <w:rPr>
          <w:rFonts w:eastAsia="Times New Roman"/>
          <w:szCs w:val="24"/>
        </w:rPr>
        <w:t>emissions</w:t>
      </w:r>
      <w:r w:rsidR="00353881">
        <w:rPr>
          <w:rFonts w:eastAsia="Times New Roman"/>
          <w:szCs w:val="24"/>
        </w:rPr>
        <w:t xml:space="preserve"> </w:t>
      </w:r>
      <w:r w:rsidR="00353881" w:rsidRPr="00353881">
        <w:rPr>
          <w:rFonts w:eastAsia="Times New Roman"/>
          <w:szCs w:val="24"/>
        </w:rPr>
        <w:t>reduc</w:t>
      </w:r>
      <w:r w:rsidR="00353881">
        <w:rPr>
          <w:rFonts w:eastAsia="Times New Roman"/>
          <w:szCs w:val="24"/>
        </w:rPr>
        <w:t xml:space="preserve">e </w:t>
      </w:r>
      <w:r w:rsidR="00353881" w:rsidRPr="00353881">
        <w:rPr>
          <w:rFonts w:eastAsia="Times New Roman"/>
          <w:szCs w:val="24"/>
        </w:rPr>
        <w:t>the</w:t>
      </w:r>
      <w:r w:rsidR="00353881">
        <w:rPr>
          <w:rFonts w:eastAsia="Times New Roman"/>
          <w:szCs w:val="24"/>
        </w:rPr>
        <w:t xml:space="preserve"> </w:t>
      </w:r>
      <w:r w:rsidR="00353881" w:rsidRPr="00353881">
        <w:rPr>
          <w:rFonts w:eastAsia="Times New Roman"/>
          <w:szCs w:val="24"/>
        </w:rPr>
        <w:t>contribution</w:t>
      </w:r>
      <w:r w:rsidR="00353881">
        <w:rPr>
          <w:rFonts w:eastAsia="Times New Roman"/>
          <w:szCs w:val="24"/>
        </w:rPr>
        <w:t xml:space="preserve"> </w:t>
      </w:r>
      <w:r w:rsidR="00353881" w:rsidRPr="00353881">
        <w:rPr>
          <w:rFonts w:eastAsia="Times New Roman"/>
          <w:szCs w:val="24"/>
        </w:rPr>
        <w:t>of</w:t>
      </w:r>
      <w:r w:rsidR="00353881">
        <w:rPr>
          <w:rFonts w:eastAsia="Times New Roman"/>
          <w:szCs w:val="24"/>
        </w:rPr>
        <w:t xml:space="preserve"> </w:t>
      </w:r>
      <w:r w:rsidR="00353881" w:rsidRPr="00353881">
        <w:rPr>
          <w:rFonts w:eastAsia="Times New Roman"/>
          <w:szCs w:val="24"/>
        </w:rPr>
        <w:t>mangrove plants to the atmospheric cooling effect GuangchengChen1,</w:t>
      </w:r>
      <w:r w:rsidR="00353881" w:rsidRPr="00353881">
        <w:rPr>
          <w:rFonts w:eastAsia="Times New Roman"/>
          <w:szCs w:val="24"/>
        </w:rPr>
        <w:t>4, BinChen1, DanYu2, NoraFYTam3, YongYe</w:t>
      </w:r>
      <w:r w:rsidR="00353881" w:rsidRPr="00353881">
        <w:rPr>
          <w:rFonts w:eastAsia="Times New Roman"/>
          <w:szCs w:val="24"/>
        </w:rPr>
        <w:t>2,4andShunyangChen1</w:t>
      </w:r>
      <w:r w:rsidR="00353881" w:rsidRPr="00353881">
        <w:rPr>
          <w:rFonts w:eastAsia="Times New Roman"/>
          <w:szCs w:val="24"/>
        </w:rPr>
        <w:t>)</w:t>
      </w:r>
    </w:p>
    <w:p w14:paraId="172F88B1" w14:textId="293CA2AB" w:rsidR="00353881" w:rsidRDefault="00353881" w:rsidP="00C0048F">
      <w:pPr>
        <w:numPr>
          <w:ilvl w:val="0"/>
          <w:numId w:val="2"/>
        </w:numPr>
        <w:spacing w:before="100" w:beforeAutospacing="1" w:after="100" w:afterAutospacing="1" w:line="240" w:lineRule="auto"/>
        <w:jc w:val="both"/>
        <w:rPr>
          <w:rFonts w:eastAsia="Times New Roman"/>
          <w:szCs w:val="24"/>
        </w:rPr>
      </w:pPr>
      <w:r w:rsidRPr="00353881">
        <w:rPr>
          <w:rFonts w:eastAsia="Times New Roman"/>
          <w:szCs w:val="24"/>
        </w:rPr>
        <w:lastRenderedPageBreak/>
        <w:t xml:space="preserve">The large amounts of organic carbon bur </w:t>
      </w:r>
      <w:proofErr w:type="spellStart"/>
      <w:r w:rsidRPr="00353881">
        <w:rPr>
          <w:rFonts w:eastAsia="Times New Roman"/>
          <w:szCs w:val="24"/>
        </w:rPr>
        <w:t>ied</w:t>
      </w:r>
      <w:proofErr w:type="spellEnd"/>
      <w:r w:rsidRPr="00353881">
        <w:rPr>
          <w:rFonts w:eastAsia="Times New Roman"/>
          <w:szCs w:val="24"/>
        </w:rPr>
        <w:t xml:space="preserve"> in mangrove wetlands are well recognized, but the lateral dissolved carbon export and greenhouse gas (GHGs) outgassing are often overlooked. In this study, we carried out seasonal observations of dis solved carbon and GHGs in an estuarine mangrove wetland with high input of riverine nitrogen in south east China in 2019–2020. The results showed that</w:t>
      </w:r>
      <w:r>
        <w:rPr>
          <w:rFonts w:eastAsia="Times New Roman"/>
          <w:szCs w:val="24"/>
        </w:rPr>
        <w:t xml:space="preserve"> </w:t>
      </w:r>
      <w:r w:rsidRPr="00353881">
        <w:rPr>
          <w:rFonts w:eastAsia="Times New Roman"/>
          <w:szCs w:val="24"/>
        </w:rPr>
        <w:t>the tidal range and season were the two main fac tors controlling the lateral dissolved carbon export including total alkalinity (TA), dissolved inorganic carbon (DIC) and dissolved organic carbon (DOC). The positive correlations between the average off sets of DIC, TA, DOC and tidal range confirmed the hydrological controls on the exchange of dissolved carbon between the mangrove creek and the estuary.</w:t>
      </w:r>
    </w:p>
    <w:p w14:paraId="60017E0F" w14:textId="1DF6FF01" w:rsidR="00C0048F" w:rsidRDefault="00C0048F" w:rsidP="00C0048F">
      <w:pPr>
        <w:spacing w:before="100" w:beforeAutospacing="1" w:after="100" w:afterAutospacing="1" w:line="240" w:lineRule="auto"/>
        <w:ind w:left="720"/>
        <w:jc w:val="both"/>
        <w:rPr>
          <w:rFonts w:eastAsia="Times New Roman"/>
          <w:szCs w:val="24"/>
        </w:rPr>
      </w:pPr>
      <w:r>
        <w:rPr>
          <w:rFonts w:eastAsia="Times New Roman"/>
          <w:szCs w:val="24"/>
        </w:rPr>
        <w:t>(</w:t>
      </w:r>
      <w:r w:rsidRPr="00C0048F">
        <w:rPr>
          <w:rFonts w:eastAsia="Times New Roman"/>
          <w:szCs w:val="24"/>
        </w:rPr>
        <w:t xml:space="preserve">Carbon dynamics and greenhouse gas outgassing in an estuarine mangrove wetland with high input of riverine nitrogen </w:t>
      </w:r>
      <w:proofErr w:type="spellStart"/>
      <w:r w:rsidRPr="00C0048F">
        <w:rPr>
          <w:rFonts w:eastAsia="Times New Roman"/>
          <w:szCs w:val="24"/>
        </w:rPr>
        <w:t>Zeyang</w:t>
      </w:r>
      <w:proofErr w:type="spellEnd"/>
      <w:r w:rsidRPr="00C0048F">
        <w:rPr>
          <w:rFonts w:eastAsia="Times New Roman"/>
          <w:szCs w:val="24"/>
        </w:rPr>
        <w:t xml:space="preserve"> Lu · Fenfang Wang · Kai Xiao · Yao Wang · </w:t>
      </w:r>
      <w:proofErr w:type="spellStart"/>
      <w:r w:rsidRPr="00C0048F">
        <w:rPr>
          <w:rFonts w:eastAsia="Times New Roman"/>
          <w:szCs w:val="24"/>
        </w:rPr>
        <w:t>Qibiao</w:t>
      </w:r>
      <w:proofErr w:type="spellEnd"/>
      <w:r w:rsidRPr="00C0048F">
        <w:rPr>
          <w:rFonts w:eastAsia="Times New Roman"/>
          <w:szCs w:val="24"/>
        </w:rPr>
        <w:t xml:space="preserve"> Yu · Peng Cheng · </w:t>
      </w:r>
      <w:proofErr w:type="spellStart"/>
      <w:r w:rsidRPr="00C0048F">
        <w:rPr>
          <w:rFonts w:eastAsia="Times New Roman"/>
          <w:szCs w:val="24"/>
        </w:rPr>
        <w:t>Nengwang</w:t>
      </w:r>
      <w:proofErr w:type="spellEnd"/>
      <w:r w:rsidRPr="00C0048F">
        <w:rPr>
          <w:rFonts w:eastAsia="Times New Roman"/>
          <w:szCs w:val="24"/>
        </w:rPr>
        <w:t> Chen</w:t>
      </w:r>
      <w:r>
        <w:rPr>
          <w:rFonts w:eastAsia="Times New Roman"/>
          <w:szCs w:val="24"/>
        </w:rPr>
        <w:t>)</w:t>
      </w:r>
    </w:p>
    <w:p w14:paraId="78C7CB24" w14:textId="77777777" w:rsidR="00C0048F" w:rsidRPr="00353881" w:rsidRDefault="00C0048F" w:rsidP="00C0048F">
      <w:pPr>
        <w:spacing w:before="100" w:beforeAutospacing="1" w:after="100" w:afterAutospacing="1" w:line="240" w:lineRule="auto"/>
        <w:ind w:left="720"/>
        <w:jc w:val="both"/>
        <w:rPr>
          <w:rFonts w:eastAsia="Times New Roman"/>
          <w:szCs w:val="24"/>
        </w:rPr>
      </w:pPr>
    </w:p>
    <w:p w14:paraId="2B2EE710" w14:textId="77777777" w:rsidR="00453E4B" w:rsidRPr="00685AE6" w:rsidRDefault="00000000" w:rsidP="00453E4B">
      <w:pPr>
        <w:spacing w:after="0" w:line="240" w:lineRule="auto"/>
        <w:rPr>
          <w:rFonts w:eastAsia="Times New Roman"/>
          <w:szCs w:val="24"/>
        </w:rPr>
      </w:pPr>
      <w:r>
        <w:rPr>
          <w:rFonts w:eastAsia="Times New Roman"/>
          <w:szCs w:val="24"/>
        </w:rPr>
        <w:pict w14:anchorId="396B181F">
          <v:rect id="_x0000_i1027" style="width:0;height:1.5pt" o:hralign="center" o:hrstd="t" o:hr="t" fillcolor="#a0a0a0" stroked="f"/>
        </w:pict>
      </w:r>
    </w:p>
    <w:p w14:paraId="41630E1B" w14:textId="77777777" w:rsidR="00685AE6" w:rsidRPr="00685AE6" w:rsidRDefault="00685AE6" w:rsidP="00685AE6">
      <w:pPr>
        <w:spacing w:after="0" w:line="240" w:lineRule="auto"/>
        <w:rPr>
          <w:rFonts w:eastAsia="Times New Roman"/>
          <w:szCs w:val="24"/>
        </w:rPr>
      </w:pPr>
    </w:p>
    <w:p w14:paraId="1020EB9E" w14:textId="77777777" w:rsidR="00685AE6" w:rsidRPr="00685AE6" w:rsidRDefault="00685AE6" w:rsidP="00685AE6">
      <w:pPr>
        <w:spacing w:before="100" w:beforeAutospacing="1" w:after="100" w:afterAutospacing="1" w:line="240" w:lineRule="auto"/>
        <w:outlineLvl w:val="3"/>
        <w:rPr>
          <w:rFonts w:eastAsia="Times New Roman"/>
          <w:b/>
          <w:bCs/>
          <w:szCs w:val="24"/>
        </w:rPr>
      </w:pPr>
      <w:r w:rsidRPr="00685AE6">
        <w:rPr>
          <w:rFonts w:eastAsia="Times New Roman"/>
          <w:b/>
          <w:bCs/>
          <w:szCs w:val="24"/>
        </w:rPr>
        <w:t>4. GHG Emissions from Mangroves: Indian Context</w:t>
      </w:r>
    </w:p>
    <w:p w14:paraId="59FBBCA7" w14:textId="77777777" w:rsidR="00685AE6" w:rsidRDefault="00685AE6" w:rsidP="00685AE6">
      <w:pPr>
        <w:numPr>
          <w:ilvl w:val="0"/>
          <w:numId w:val="4"/>
        </w:numPr>
        <w:spacing w:before="100" w:beforeAutospacing="1" w:after="100" w:afterAutospacing="1" w:line="240" w:lineRule="auto"/>
        <w:rPr>
          <w:rFonts w:eastAsia="Times New Roman"/>
          <w:szCs w:val="24"/>
        </w:rPr>
      </w:pPr>
      <w:r w:rsidRPr="00685AE6">
        <w:rPr>
          <w:rFonts w:eastAsia="Times New Roman"/>
          <w:szCs w:val="24"/>
        </w:rPr>
        <w:t>Summary of Indian studies (state-wise or eco-region-wise)</w:t>
      </w:r>
    </w:p>
    <w:p w14:paraId="29812B9C" w14:textId="77777777" w:rsidR="003C290A" w:rsidRDefault="003C290A" w:rsidP="003C290A">
      <w:pPr>
        <w:spacing w:before="100" w:beforeAutospacing="1" w:after="100" w:afterAutospacing="1" w:line="240" w:lineRule="auto"/>
        <w:ind w:left="360"/>
        <w:rPr>
          <w:rFonts w:eastAsia="Times New Roman"/>
          <w:szCs w:val="24"/>
        </w:rPr>
      </w:pPr>
      <w:r>
        <w:rPr>
          <w:rFonts w:eastAsia="Times New Roman"/>
          <w:szCs w:val="24"/>
        </w:rPr>
        <w:t xml:space="preserve">Sundarban : </w:t>
      </w:r>
    </w:p>
    <w:p w14:paraId="5B72CA73" w14:textId="77777777" w:rsidR="003C290A" w:rsidRPr="003C290A" w:rsidRDefault="003C290A" w:rsidP="003C290A">
      <w:pPr>
        <w:pStyle w:val="ListParagraph"/>
        <w:numPr>
          <w:ilvl w:val="0"/>
          <w:numId w:val="10"/>
        </w:numPr>
        <w:spacing w:before="100" w:beforeAutospacing="1" w:after="100" w:afterAutospacing="1" w:line="240" w:lineRule="auto"/>
        <w:rPr>
          <w:rFonts w:eastAsia="Times New Roman"/>
          <w:szCs w:val="24"/>
        </w:rPr>
      </w:pPr>
      <w:r w:rsidRPr="003C290A">
        <w:rPr>
          <w:rFonts w:ascii="Arial" w:hAnsi="Arial" w:cs="Arial"/>
          <w:color w:val="131314"/>
          <w:sz w:val="21"/>
          <w:szCs w:val="21"/>
          <w:shd w:val="clear" w:color="auto" w:fill="FFFFFF"/>
        </w:rPr>
        <w:t>Tropical mangrove represents one of the most threatened ecosystems despite their huge contribution to ecosystem services, carbon (C) sequestration and climate change mitigation. Understanding the system in light of seasonal fluctuations on greenhouse gases (GHGs) emissions due to human interferences and the tidal effect is important for devising site-specific real-time climate change mitigation strategies. In order to capture the seasonal variations, the three modes of transport of GHGs through pneumatophore, ebullition as bubbles and water-soluble diffusion was quantified. The three unique techniques for the gas collection were used to estimate the GHGs [methane (CH4), nitrous oxide (N2O) and carbon dioxide (CO2)] emission, at three degraded-mangrove sites in Sundarban, India. We identified three degraded mangrove ecologies based on the remote sensing data of 1930 and 2013 (mangrove-covered area in Sundarban; 2387, 2136 km2, respectively). Samples were collected and analyzed for four seasons [winter (November-January), summer (February-April), pre-monsoon (May-June) and monsoon (July-October)], at three representative sites (Sadhupur, Dayapur, and Pakhiralaya). Monsoonal CH4 and CO2 fluxes (0.353 ± 0.026 and 64.5 ± 6.1 mmol m-2 d-1, respectively) were higher than winter and summer. However, the soil labile C pools showed the opposite trend i.e. more in summer followed by winter and monsoon. In contrast, the N2O fluxes were more during summer (54.2 ± 3.2 μmol m-2 d-1). The stagnant water had higher dissolved GHGs concentration compared to tidewater due to less salinity and a long time of stagnation. The mode of transport of GHGs through pneumatophore, ebullition, and water-soluble diffusion was also significantly varied with seasons, soil</w:t>
      </w:r>
      <w:r w:rsidRPr="003C290A">
        <w:rPr>
          <w:rFonts w:ascii="Arial" w:hAnsi="Arial" w:cs="Arial"/>
          <w:color w:val="131314"/>
          <w:sz w:val="21"/>
          <w:szCs w:val="21"/>
          <w:shd w:val="clear" w:color="auto" w:fill="FFFFFF"/>
        </w:rPr>
        <w:noBreakHyphen/>
        <w:t>carbon status and tidewater intrusion. Therefore, seasonal fluctuations of GHGs emission and tidal effect must be considered along with soil labile C pools for GHG-C budgeting and climate change mitigation in the mangrove ecosystem.</w:t>
      </w:r>
    </w:p>
    <w:p w14:paraId="5DCD8241" w14:textId="77777777" w:rsidR="003C290A" w:rsidRDefault="003C290A" w:rsidP="003C290A">
      <w:pPr>
        <w:pStyle w:val="ListParagraph"/>
        <w:spacing w:before="100" w:beforeAutospacing="1" w:after="100" w:afterAutospacing="1" w:line="240" w:lineRule="auto"/>
        <w:rPr>
          <w:bCs/>
          <w:color w:val="131314"/>
          <w:szCs w:val="24"/>
          <w:shd w:val="clear" w:color="auto" w:fill="FFFFFF"/>
        </w:rPr>
      </w:pPr>
      <w:r w:rsidRPr="003C290A">
        <w:rPr>
          <w:color w:val="131314"/>
          <w:szCs w:val="24"/>
          <w:shd w:val="clear" w:color="auto" w:fill="FFFFFF"/>
        </w:rPr>
        <w:lastRenderedPageBreak/>
        <w:t>(</w:t>
      </w:r>
      <w:r w:rsidRPr="003C290A">
        <w:rPr>
          <w:bCs/>
          <w:color w:val="131314"/>
          <w:szCs w:val="24"/>
          <w:shd w:val="clear" w:color="auto" w:fill="FFFFFF"/>
        </w:rPr>
        <w:t>Seasonal fluctuation in three mode of greenhouse gases emission in relation to soil labile carbon pools in degraded mangrove, Sundarban, India)</w:t>
      </w:r>
    </w:p>
    <w:p w14:paraId="300AE7B5" w14:textId="77777777" w:rsidR="00453E4B" w:rsidRPr="00453E4B" w:rsidRDefault="00453E4B" w:rsidP="00453E4B">
      <w:pPr>
        <w:pStyle w:val="ListParagraph"/>
        <w:numPr>
          <w:ilvl w:val="0"/>
          <w:numId w:val="10"/>
        </w:numPr>
        <w:spacing w:before="100" w:beforeAutospacing="1" w:after="100" w:afterAutospacing="1" w:line="240" w:lineRule="auto"/>
        <w:rPr>
          <w:rFonts w:eastAsia="Times New Roman"/>
          <w:szCs w:val="24"/>
        </w:rPr>
      </w:pPr>
      <w:r>
        <w:t>Microbial populations regulate greenhouse gas emissions in Sundarban mangrove ecosystem, India</w:t>
      </w:r>
    </w:p>
    <w:p w14:paraId="1258943D" w14:textId="77777777" w:rsidR="003B59AE" w:rsidRDefault="00453E4B" w:rsidP="003B59AE">
      <w:pPr>
        <w:pStyle w:val="ListParagraph"/>
        <w:spacing w:before="100" w:beforeAutospacing="1" w:after="100" w:afterAutospacing="1" w:line="240" w:lineRule="auto"/>
        <w:rPr>
          <w:rFonts w:ascii="Arial" w:hAnsi="Arial" w:cs="Arial"/>
          <w:color w:val="222222"/>
          <w:sz w:val="20"/>
          <w:szCs w:val="20"/>
          <w:shd w:val="clear" w:color="auto" w:fill="FFFFFF"/>
        </w:rPr>
      </w:pPr>
      <w:r>
        <w:t>(</w:t>
      </w:r>
      <w:r>
        <w:rPr>
          <w:rFonts w:ascii="Arial" w:hAnsi="Arial" w:cs="Arial"/>
          <w:color w:val="222222"/>
          <w:sz w:val="20"/>
          <w:szCs w:val="20"/>
          <w:shd w:val="clear" w:color="auto" w:fill="FFFFFF"/>
        </w:rPr>
        <w:t>Das, N., &amp; Mandal, S. (2022). Microbial populations regulate greenhouse gas emissions in Sundarban mangrove ecosystem, India. </w:t>
      </w:r>
      <w:r>
        <w:rPr>
          <w:rFonts w:ascii="Arial" w:hAnsi="Arial" w:cs="Arial"/>
          <w:i/>
          <w:iCs/>
          <w:color w:val="222222"/>
          <w:sz w:val="20"/>
          <w:szCs w:val="20"/>
          <w:shd w:val="clear" w:color="auto" w:fill="FFFFFF"/>
        </w:rPr>
        <w:t>Acta Ecologica Sinica</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42</w:t>
      </w:r>
      <w:r>
        <w:rPr>
          <w:rFonts w:ascii="Arial" w:hAnsi="Arial" w:cs="Arial"/>
          <w:color w:val="222222"/>
          <w:sz w:val="20"/>
          <w:szCs w:val="20"/>
          <w:shd w:val="clear" w:color="auto" w:fill="FFFFFF"/>
        </w:rPr>
        <w:t>(6), 641-652.)</w:t>
      </w:r>
    </w:p>
    <w:p w14:paraId="6B806ED9" w14:textId="77777777" w:rsidR="003B59AE" w:rsidRDefault="003B59AE" w:rsidP="003B59AE">
      <w:pPr>
        <w:pStyle w:val="ListParagraph"/>
        <w:spacing w:before="100" w:beforeAutospacing="1" w:after="100" w:afterAutospacing="1" w:line="240" w:lineRule="auto"/>
        <w:rPr>
          <w:rFonts w:ascii="Arial" w:hAnsi="Arial" w:cs="Arial"/>
          <w:color w:val="222222"/>
          <w:sz w:val="20"/>
          <w:szCs w:val="20"/>
          <w:shd w:val="clear" w:color="auto" w:fill="FFFFFF"/>
        </w:rPr>
      </w:pPr>
    </w:p>
    <w:p w14:paraId="0F477D02" w14:textId="6B3BAD9E" w:rsidR="003B59AE" w:rsidRPr="003B59AE" w:rsidRDefault="003B59AE" w:rsidP="003B59AE">
      <w:pPr>
        <w:pStyle w:val="ListParagraph"/>
        <w:spacing w:before="100" w:beforeAutospacing="1" w:after="100" w:afterAutospacing="1" w:line="240" w:lineRule="auto"/>
        <w:jc w:val="both"/>
        <w:rPr>
          <w:rFonts w:ascii="Arial" w:hAnsi="Arial" w:cs="Arial"/>
          <w:color w:val="222222"/>
          <w:szCs w:val="24"/>
          <w:shd w:val="clear" w:color="auto" w:fill="FFFFFF"/>
        </w:rPr>
      </w:pPr>
      <w:r w:rsidRPr="003B59AE">
        <w:rPr>
          <w:szCs w:val="24"/>
        </w:rPr>
        <w:t>Mangrove ecosystems are significant sources of greenhouse gases (GHG) that is attributed to microbial activity. However, it is still unknown how the sediment microbial populations affect GHG emissions in mangrove ecosystem. Since little is known about microbial populations of mangroves, the present study was aimed to understand the structure and function of microbial communities in the Indian part of the Sundarban mangrove ecosystem in relation to environmental variables and variation of GHG emissions during three seasons: pre- monsoon (March</w:t>
      </w:r>
      <w:r w:rsidRPr="003B59AE">
        <w:rPr>
          <w:rFonts w:ascii="Calibri" w:eastAsia="Calibri" w:hAnsi="Calibri" w:cs="Calibri"/>
          <w:szCs w:val="24"/>
        </w:rPr>
        <w:t>–</w:t>
      </w:r>
      <w:r w:rsidRPr="003B59AE">
        <w:rPr>
          <w:szCs w:val="24"/>
        </w:rPr>
        <w:t>June), monsoon (July</w:t>
      </w:r>
      <w:r w:rsidRPr="003B59AE">
        <w:rPr>
          <w:rFonts w:ascii="Calibri" w:eastAsia="Calibri" w:hAnsi="Calibri" w:cs="Calibri"/>
          <w:szCs w:val="24"/>
        </w:rPr>
        <w:t>–</w:t>
      </w:r>
      <w:r w:rsidRPr="003B59AE">
        <w:rPr>
          <w:szCs w:val="24"/>
        </w:rPr>
        <w:t>October) and post-monsoon (November</w:t>
      </w:r>
      <w:r w:rsidRPr="003B59AE">
        <w:rPr>
          <w:rFonts w:ascii="Calibri" w:eastAsia="Calibri" w:hAnsi="Calibri" w:cs="Calibri"/>
          <w:szCs w:val="24"/>
        </w:rPr>
        <w:t>–</w:t>
      </w:r>
      <w:r w:rsidRPr="003B59AE">
        <w:rPr>
          <w:szCs w:val="24"/>
        </w:rPr>
        <w:t>February).  Seasonal variations of carbon dioxide (CO</w:t>
      </w:r>
      <w:r w:rsidRPr="003B59AE">
        <w:rPr>
          <w:szCs w:val="24"/>
          <w:vertAlign w:val="subscript"/>
        </w:rPr>
        <w:t>2</w:t>
      </w:r>
      <w:r w:rsidRPr="003B59AE">
        <w:rPr>
          <w:szCs w:val="24"/>
        </w:rPr>
        <w:t>), methane (CH</w:t>
      </w:r>
      <w:r w:rsidRPr="003B59AE">
        <w:rPr>
          <w:szCs w:val="24"/>
          <w:vertAlign w:val="subscript"/>
        </w:rPr>
        <w:t>4</w:t>
      </w:r>
      <w:r w:rsidRPr="003B59AE">
        <w:rPr>
          <w:szCs w:val="24"/>
        </w:rPr>
        <w:t>) and nitrous oxide (N</w:t>
      </w:r>
      <w:r w:rsidRPr="003B59AE">
        <w:rPr>
          <w:szCs w:val="24"/>
          <w:vertAlign w:val="subscript"/>
        </w:rPr>
        <w:t>2</w:t>
      </w:r>
      <w:r w:rsidRPr="003B59AE">
        <w:rPr>
          <w:szCs w:val="24"/>
        </w:rPr>
        <w:t>O) gas samples were taken from the mangrove bed. Culture methods were used to detect twelve different types of microbes such as heterotrophic (</w:t>
      </w:r>
      <w:r w:rsidRPr="003B59AE">
        <w:rPr>
          <w:rFonts w:ascii="Calibri" w:eastAsia="Calibri" w:hAnsi="Calibri" w:cs="Calibri"/>
          <w:i/>
          <w:szCs w:val="24"/>
        </w:rPr>
        <w:t>Htp</w:t>
      </w:r>
      <w:r w:rsidRPr="003B59AE">
        <w:rPr>
          <w:szCs w:val="24"/>
        </w:rPr>
        <w:t>), N</w:t>
      </w:r>
      <w:r w:rsidRPr="003B59AE">
        <w:rPr>
          <w:szCs w:val="24"/>
          <w:vertAlign w:val="subscript"/>
        </w:rPr>
        <w:t xml:space="preserve">2 </w:t>
      </w:r>
      <w:r w:rsidRPr="003B59AE">
        <w:rPr>
          <w:szCs w:val="24"/>
        </w:rPr>
        <w:t>fixing (</w:t>
      </w:r>
      <w:r w:rsidRPr="003B59AE">
        <w:rPr>
          <w:rFonts w:ascii="Calibri" w:eastAsia="Calibri" w:hAnsi="Calibri" w:cs="Calibri"/>
          <w:i/>
          <w:szCs w:val="24"/>
        </w:rPr>
        <w:t>Nfix</w:t>
      </w:r>
      <w:r w:rsidRPr="003B59AE">
        <w:rPr>
          <w:szCs w:val="24"/>
        </w:rPr>
        <w:t>), nitrifying (</w:t>
      </w:r>
      <w:r w:rsidRPr="003B59AE">
        <w:rPr>
          <w:rFonts w:ascii="Calibri" w:eastAsia="Calibri" w:hAnsi="Calibri" w:cs="Calibri"/>
          <w:i/>
          <w:szCs w:val="24"/>
        </w:rPr>
        <w:t>Ntfn</w:t>
      </w:r>
      <w:r w:rsidRPr="003B59AE">
        <w:rPr>
          <w:szCs w:val="24"/>
        </w:rPr>
        <w:t>), sulfur oxidizing (</w:t>
      </w:r>
      <w:r w:rsidRPr="003B59AE">
        <w:rPr>
          <w:rFonts w:ascii="Calibri" w:eastAsia="Calibri" w:hAnsi="Calibri" w:cs="Calibri"/>
          <w:i/>
          <w:szCs w:val="24"/>
        </w:rPr>
        <w:t>Soxd</w:t>
      </w:r>
      <w:r w:rsidRPr="003B59AE">
        <w:rPr>
          <w:szCs w:val="24"/>
        </w:rPr>
        <w:t>), Gram-negative (</w:t>
      </w:r>
      <w:r w:rsidRPr="003B59AE">
        <w:rPr>
          <w:rFonts w:ascii="Calibri" w:eastAsia="Calibri" w:hAnsi="Calibri" w:cs="Calibri"/>
          <w:i/>
          <w:szCs w:val="24"/>
        </w:rPr>
        <w:t>GMn</w:t>
      </w:r>
      <w:r w:rsidRPr="003B59AE">
        <w:rPr>
          <w:szCs w:val="24"/>
        </w:rPr>
        <w:t>), Gram-positive (</w:t>
      </w:r>
      <w:r w:rsidRPr="003B59AE">
        <w:rPr>
          <w:rFonts w:ascii="Calibri" w:eastAsia="Calibri" w:hAnsi="Calibri" w:cs="Calibri"/>
          <w:i/>
          <w:szCs w:val="24"/>
        </w:rPr>
        <w:t>GMp</w:t>
      </w:r>
      <w:r w:rsidRPr="003B59AE">
        <w:rPr>
          <w:szCs w:val="24"/>
        </w:rPr>
        <w:t>), spore forming (</w:t>
      </w:r>
      <w:r w:rsidRPr="003B59AE">
        <w:rPr>
          <w:rFonts w:ascii="Calibri" w:eastAsia="Calibri" w:hAnsi="Calibri" w:cs="Calibri"/>
          <w:i/>
          <w:szCs w:val="24"/>
        </w:rPr>
        <w:t>Sfor</w:t>
      </w:r>
      <w:r w:rsidRPr="003B59AE">
        <w:rPr>
          <w:szCs w:val="24"/>
        </w:rPr>
        <w:t>), denitrifying (</w:t>
      </w:r>
      <w:r w:rsidRPr="003B59AE">
        <w:rPr>
          <w:rFonts w:ascii="Calibri" w:eastAsia="Calibri" w:hAnsi="Calibri" w:cs="Calibri"/>
          <w:i/>
          <w:szCs w:val="24"/>
        </w:rPr>
        <w:t>DNtfn</w:t>
      </w:r>
      <w:r w:rsidRPr="003B59AE">
        <w:rPr>
          <w:szCs w:val="24"/>
        </w:rPr>
        <w:t>), anaerobic (</w:t>
      </w:r>
      <w:r w:rsidRPr="003B59AE">
        <w:rPr>
          <w:rFonts w:ascii="Calibri" w:eastAsia="Calibri" w:hAnsi="Calibri" w:cs="Calibri"/>
          <w:i/>
          <w:szCs w:val="24"/>
        </w:rPr>
        <w:t>Anrb</w:t>
      </w:r>
      <w:r w:rsidRPr="003B59AE">
        <w:rPr>
          <w:szCs w:val="24"/>
        </w:rPr>
        <w:t>), phosphate solubilizing (</w:t>
      </w:r>
      <w:r w:rsidRPr="003B59AE">
        <w:rPr>
          <w:rFonts w:ascii="Calibri" w:eastAsia="Calibri" w:hAnsi="Calibri" w:cs="Calibri"/>
          <w:i/>
          <w:szCs w:val="24"/>
        </w:rPr>
        <w:t>Psol</w:t>
      </w:r>
      <w:r w:rsidRPr="003B59AE">
        <w:rPr>
          <w:szCs w:val="24"/>
        </w:rPr>
        <w:t>), cellulose degrading (</w:t>
      </w:r>
      <w:r w:rsidRPr="003B59AE">
        <w:rPr>
          <w:rFonts w:ascii="Calibri" w:eastAsia="Calibri" w:hAnsi="Calibri" w:cs="Calibri"/>
          <w:i/>
          <w:szCs w:val="24"/>
        </w:rPr>
        <w:t>Cdeg</w:t>
      </w:r>
      <w:r w:rsidRPr="003B59AE">
        <w:rPr>
          <w:szCs w:val="24"/>
        </w:rPr>
        <w:t>) bacteria and actinomycetes (</w:t>
      </w:r>
      <w:r w:rsidRPr="003B59AE">
        <w:rPr>
          <w:rFonts w:ascii="Calibri" w:eastAsia="Calibri" w:hAnsi="Calibri" w:cs="Calibri"/>
          <w:i/>
          <w:szCs w:val="24"/>
        </w:rPr>
        <w:t>Actm</w:t>
      </w:r>
      <w:r w:rsidRPr="003B59AE">
        <w:rPr>
          <w:szCs w:val="24"/>
        </w:rPr>
        <w:t xml:space="preserve">). In the monsoon, populations of the </w:t>
      </w:r>
      <w:r w:rsidRPr="003B59AE">
        <w:rPr>
          <w:rFonts w:ascii="Calibri" w:eastAsia="Calibri" w:hAnsi="Calibri" w:cs="Calibri"/>
          <w:i/>
          <w:szCs w:val="24"/>
        </w:rPr>
        <w:t>Htp</w:t>
      </w:r>
      <w:r w:rsidRPr="003B59AE">
        <w:rPr>
          <w:szCs w:val="24"/>
        </w:rPr>
        <w:t xml:space="preserve">, </w:t>
      </w:r>
      <w:r w:rsidRPr="003B59AE">
        <w:rPr>
          <w:rFonts w:ascii="Calibri" w:eastAsia="Calibri" w:hAnsi="Calibri" w:cs="Calibri"/>
          <w:i/>
          <w:szCs w:val="24"/>
        </w:rPr>
        <w:t>Anrb</w:t>
      </w:r>
      <w:r w:rsidRPr="003B59AE">
        <w:rPr>
          <w:szCs w:val="24"/>
        </w:rPr>
        <w:t xml:space="preserve">, </w:t>
      </w:r>
      <w:r w:rsidRPr="003B59AE">
        <w:rPr>
          <w:rFonts w:ascii="Calibri" w:eastAsia="Calibri" w:hAnsi="Calibri" w:cs="Calibri"/>
          <w:i/>
          <w:szCs w:val="24"/>
        </w:rPr>
        <w:t>Psol</w:t>
      </w:r>
      <w:r w:rsidRPr="003B59AE">
        <w:rPr>
          <w:szCs w:val="24"/>
        </w:rPr>
        <w:t xml:space="preserve">, and </w:t>
      </w:r>
      <w:r w:rsidRPr="003B59AE">
        <w:rPr>
          <w:rFonts w:ascii="Calibri" w:eastAsia="Calibri" w:hAnsi="Calibri" w:cs="Calibri"/>
          <w:i/>
          <w:szCs w:val="24"/>
        </w:rPr>
        <w:t xml:space="preserve">Cdeg </w:t>
      </w:r>
      <w:r w:rsidRPr="003B59AE">
        <w:rPr>
          <w:szCs w:val="24"/>
        </w:rPr>
        <w:t xml:space="preserve">bacteria were more prevalent, whereas populations of the </w:t>
      </w:r>
      <w:r w:rsidRPr="003B59AE">
        <w:rPr>
          <w:rFonts w:ascii="Calibri" w:eastAsia="Calibri" w:hAnsi="Calibri" w:cs="Calibri"/>
          <w:i/>
          <w:szCs w:val="24"/>
        </w:rPr>
        <w:t>GMn</w:t>
      </w:r>
      <w:r w:rsidRPr="003B59AE">
        <w:rPr>
          <w:szCs w:val="24"/>
        </w:rPr>
        <w:t xml:space="preserve">, </w:t>
      </w:r>
      <w:r w:rsidRPr="003B59AE">
        <w:rPr>
          <w:rFonts w:ascii="Calibri" w:eastAsia="Calibri" w:hAnsi="Calibri" w:cs="Calibri"/>
          <w:i/>
          <w:szCs w:val="24"/>
        </w:rPr>
        <w:t>GMp</w:t>
      </w:r>
      <w:r w:rsidRPr="003B59AE">
        <w:rPr>
          <w:szCs w:val="24"/>
        </w:rPr>
        <w:t xml:space="preserve">, </w:t>
      </w:r>
      <w:r w:rsidRPr="003B59AE">
        <w:rPr>
          <w:rFonts w:ascii="Calibri" w:eastAsia="Calibri" w:hAnsi="Calibri" w:cs="Calibri"/>
          <w:i/>
          <w:szCs w:val="24"/>
        </w:rPr>
        <w:t>Ntfn</w:t>
      </w:r>
      <w:r w:rsidRPr="003B59AE">
        <w:rPr>
          <w:szCs w:val="24"/>
        </w:rPr>
        <w:t xml:space="preserve">, </w:t>
      </w:r>
      <w:r w:rsidRPr="003B59AE">
        <w:rPr>
          <w:rFonts w:ascii="Calibri" w:eastAsia="Calibri" w:hAnsi="Calibri" w:cs="Calibri"/>
          <w:i/>
          <w:szCs w:val="24"/>
        </w:rPr>
        <w:t xml:space="preserve">DNtfn </w:t>
      </w:r>
      <w:r w:rsidRPr="003B59AE">
        <w:rPr>
          <w:szCs w:val="24"/>
        </w:rPr>
        <w:t xml:space="preserve">bacteria, and </w:t>
      </w:r>
      <w:r w:rsidRPr="003B59AE">
        <w:rPr>
          <w:rFonts w:ascii="Calibri" w:eastAsia="Calibri" w:hAnsi="Calibri" w:cs="Calibri"/>
          <w:i/>
          <w:szCs w:val="24"/>
        </w:rPr>
        <w:t xml:space="preserve">Actm </w:t>
      </w:r>
      <w:r w:rsidRPr="003B59AE">
        <w:rPr>
          <w:szCs w:val="24"/>
        </w:rPr>
        <w:t>bacteria were more prevalent in the post-monsoon. Monsoonal CO</w:t>
      </w:r>
      <w:r w:rsidRPr="003B59AE">
        <w:rPr>
          <w:szCs w:val="24"/>
          <w:vertAlign w:val="subscript"/>
        </w:rPr>
        <w:t xml:space="preserve">2 </w:t>
      </w:r>
      <w:r w:rsidRPr="003B59AE">
        <w:rPr>
          <w:szCs w:val="24"/>
        </w:rPr>
        <w:t>and CH</w:t>
      </w:r>
      <w:r w:rsidRPr="003B59AE">
        <w:rPr>
          <w:szCs w:val="24"/>
          <w:vertAlign w:val="subscript"/>
        </w:rPr>
        <w:t xml:space="preserve">4 </w:t>
      </w:r>
      <w:r w:rsidRPr="003B59AE">
        <w:rPr>
          <w:szCs w:val="24"/>
        </w:rPr>
        <w:t>fluxes were larger than pre-monsoon and post-monsoon, resulting in increased microbial soil respiration and breakdown of soil organic carbon. Because of higher denitrification and soil temperature, N</w:t>
      </w:r>
      <w:r w:rsidRPr="003B59AE">
        <w:rPr>
          <w:szCs w:val="24"/>
          <w:vertAlign w:val="subscript"/>
        </w:rPr>
        <w:t>2</w:t>
      </w:r>
      <w:r w:rsidRPr="003B59AE">
        <w:rPr>
          <w:szCs w:val="24"/>
        </w:rPr>
        <w:t xml:space="preserve">O flux was higher in the pre-monsoon period, followed by monsoon and post-monsoon periods. A univariate statistical correlation was employed to assess the relationships between environmental variables and different microbial populations. An ANN (artificial neural network) model was proposed to evaluate the relevance of microbial population contribution to GHG emissions, and it indicated that the </w:t>
      </w:r>
      <w:r w:rsidRPr="003B59AE">
        <w:rPr>
          <w:rFonts w:ascii="Calibri" w:eastAsia="Calibri" w:hAnsi="Calibri" w:cs="Calibri"/>
          <w:i/>
          <w:szCs w:val="24"/>
        </w:rPr>
        <w:t>Htp</w:t>
      </w:r>
      <w:r w:rsidRPr="003B59AE">
        <w:rPr>
          <w:szCs w:val="24"/>
        </w:rPr>
        <w:t xml:space="preserve">, </w:t>
      </w:r>
      <w:r w:rsidRPr="003B59AE">
        <w:rPr>
          <w:rFonts w:ascii="Calibri" w:eastAsia="Calibri" w:hAnsi="Calibri" w:cs="Calibri"/>
          <w:i/>
          <w:szCs w:val="24"/>
        </w:rPr>
        <w:t>Anrb</w:t>
      </w:r>
      <w:r w:rsidRPr="003B59AE">
        <w:rPr>
          <w:szCs w:val="24"/>
        </w:rPr>
        <w:t xml:space="preserve">, and </w:t>
      </w:r>
      <w:r w:rsidRPr="003B59AE">
        <w:rPr>
          <w:rFonts w:ascii="Calibri" w:eastAsia="Calibri" w:hAnsi="Calibri" w:cs="Calibri"/>
          <w:i/>
          <w:szCs w:val="24"/>
        </w:rPr>
        <w:t xml:space="preserve">Dntfn </w:t>
      </w:r>
      <w:r w:rsidRPr="003B59AE">
        <w:rPr>
          <w:szCs w:val="24"/>
        </w:rPr>
        <w:t>microbial populations were most relevant for CO</w:t>
      </w:r>
      <w:r w:rsidRPr="003B59AE">
        <w:rPr>
          <w:szCs w:val="24"/>
          <w:vertAlign w:val="subscript"/>
        </w:rPr>
        <w:t>2</w:t>
      </w:r>
      <w:r w:rsidRPr="003B59AE">
        <w:rPr>
          <w:szCs w:val="24"/>
        </w:rPr>
        <w:t>, CH</w:t>
      </w:r>
      <w:r w:rsidRPr="003B59AE">
        <w:rPr>
          <w:szCs w:val="24"/>
          <w:vertAlign w:val="subscript"/>
        </w:rPr>
        <w:t>4</w:t>
      </w:r>
      <w:r w:rsidRPr="003B59AE">
        <w:rPr>
          <w:szCs w:val="24"/>
        </w:rPr>
        <w:t>, and N</w:t>
      </w:r>
      <w:r w:rsidRPr="003B59AE">
        <w:rPr>
          <w:szCs w:val="24"/>
          <w:vertAlign w:val="subscript"/>
        </w:rPr>
        <w:t>2</w:t>
      </w:r>
      <w:r w:rsidRPr="003B59AE">
        <w:rPr>
          <w:szCs w:val="24"/>
        </w:rPr>
        <w:t xml:space="preserve">O emissions. The suggested model would be used to assess the drivers behind GHG emission in the mangroves located at different parts of the world.   </w:t>
      </w:r>
    </w:p>
    <w:p w14:paraId="7BE4AF45" w14:textId="77777777" w:rsidR="003B59AE" w:rsidRDefault="003B59AE" w:rsidP="003B59AE">
      <w:pPr>
        <w:pStyle w:val="ListParagraph"/>
        <w:numPr>
          <w:ilvl w:val="0"/>
          <w:numId w:val="10"/>
        </w:numPr>
        <w:spacing w:after="126" w:line="252" w:lineRule="auto"/>
      </w:pPr>
      <w:r w:rsidRPr="003B59AE">
        <w:rPr>
          <w:sz w:val="27"/>
        </w:rPr>
        <w:t>A coupled model of greenhouse gas emissions from erosion and accretion prone zones of mangrove ecosystem, Sundarban, India</w:t>
      </w:r>
    </w:p>
    <w:p w14:paraId="0F24D3CB" w14:textId="77777777" w:rsidR="003B59AE" w:rsidRDefault="003B59AE" w:rsidP="003B59AE">
      <w:pPr>
        <w:pStyle w:val="ListParagraph"/>
        <w:spacing w:after="70" w:line="256" w:lineRule="auto"/>
      </w:pPr>
      <w:r w:rsidRPr="003B59AE">
        <w:rPr>
          <w:sz w:val="21"/>
        </w:rPr>
        <w:t xml:space="preserve">Nilanjan Das </w:t>
      </w:r>
      <w:r w:rsidRPr="003B59AE">
        <w:rPr>
          <w:color w:val="2196D1"/>
          <w:sz w:val="21"/>
          <w:vertAlign w:val="superscript"/>
        </w:rPr>
        <w:t>a</w:t>
      </w:r>
      <w:r w:rsidRPr="003B59AE">
        <w:rPr>
          <w:sz w:val="21"/>
        </w:rPr>
        <w:t xml:space="preserve">, Debarati Pal </w:t>
      </w:r>
      <w:r w:rsidRPr="003B59AE">
        <w:rPr>
          <w:color w:val="2196D1"/>
          <w:sz w:val="21"/>
          <w:vertAlign w:val="superscript"/>
        </w:rPr>
        <w:t>a</w:t>
      </w:r>
      <w:r w:rsidRPr="003B59AE">
        <w:rPr>
          <w:sz w:val="21"/>
        </w:rPr>
        <w:t xml:space="preserve">, Rabin Chakrabortty </w:t>
      </w:r>
      <w:r w:rsidRPr="003B59AE">
        <w:rPr>
          <w:color w:val="2196D1"/>
          <w:sz w:val="21"/>
          <w:vertAlign w:val="superscript"/>
        </w:rPr>
        <w:t>c</w:t>
      </w:r>
      <w:r w:rsidRPr="003B59AE">
        <w:rPr>
          <w:sz w:val="21"/>
        </w:rPr>
        <w:t xml:space="preserve">, Subodh Chandra Pal </w:t>
      </w:r>
      <w:r w:rsidRPr="003B59AE">
        <w:rPr>
          <w:color w:val="2196D1"/>
          <w:sz w:val="21"/>
          <w:vertAlign w:val="superscript"/>
        </w:rPr>
        <w:t>b</w:t>
      </w:r>
      <w:r w:rsidRPr="003B59AE">
        <w:rPr>
          <w:sz w:val="21"/>
        </w:rPr>
        <w:t xml:space="preserve">, Sudipto Mandal </w:t>
      </w:r>
      <w:r w:rsidRPr="003B59AE">
        <w:rPr>
          <w:color w:val="2196D1"/>
          <w:sz w:val="21"/>
          <w:vertAlign w:val="superscript"/>
        </w:rPr>
        <w:t>a</w:t>
      </w:r>
      <w:r w:rsidRPr="003B59AE">
        <w:rPr>
          <w:sz w:val="21"/>
          <w:vertAlign w:val="superscript"/>
        </w:rPr>
        <w:t>,</w:t>
      </w:r>
      <w:r w:rsidRPr="003B59AE">
        <w:rPr>
          <w:color w:val="2196D1"/>
          <w:sz w:val="21"/>
          <w:vertAlign w:val="superscript"/>
        </w:rPr>
        <w:t>*</w:t>
      </w:r>
    </w:p>
    <w:p w14:paraId="5FAE731E" w14:textId="77777777" w:rsidR="003B59AE" w:rsidRDefault="003B59AE" w:rsidP="003B59AE">
      <w:pPr>
        <w:pStyle w:val="ListParagraph"/>
        <w:spacing w:before="100" w:beforeAutospacing="1" w:after="100" w:afterAutospacing="1" w:line="240" w:lineRule="auto"/>
        <w:rPr>
          <w:rFonts w:eastAsia="Times New Roman"/>
          <w:szCs w:val="24"/>
          <w:lang w:val="en-IN"/>
        </w:rPr>
      </w:pPr>
      <w:r w:rsidRPr="003B59AE">
        <w:rPr>
          <w:rFonts w:eastAsia="Times New Roman"/>
          <w:szCs w:val="24"/>
          <w:lang w:val="en-IN"/>
        </w:rPr>
        <w:t>The present study estimates the SE and subsequent GHG emissions in the mangroves dominated in “south 24 Parganas district of WB”. It was found from the “AUC values of ROC, that the RUSLE” was a more appropriate method for estimating the SE-prone areas. The SE from the study area was linearly correlated with the sand and clay percentage of the soil. Further, the “CO</w:t>
      </w:r>
      <w:r w:rsidRPr="003B59AE">
        <w:rPr>
          <w:rFonts w:eastAsia="Times New Roman"/>
          <w:szCs w:val="24"/>
          <w:vertAlign w:val="subscript"/>
          <w:lang w:val="en-IN"/>
        </w:rPr>
        <w:t>2</w:t>
      </w:r>
      <w:r w:rsidRPr="003B59AE">
        <w:rPr>
          <w:rFonts w:eastAsia="Times New Roman"/>
          <w:szCs w:val="24"/>
          <w:lang w:val="en-IN"/>
        </w:rPr>
        <w:t>, CH</w:t>
      </w:r>
      <w:r w:rsidRPr="003B59AE">
        <w:rPr>
          <w:rFonts w:eastAsia="Times New Roman"/>
          <w:szCs w:val="24"/>
          <w:vertAlign w:val="subscript"/>
          <w:lang w:val="en-IN"/>
        </w:rPr>
        <w:t xml:space="preserve">4, </w:t>
      </w:r>
      <w:r w:rsidRPr="003B59AE">
        <w:rPr>
          <w:rFonts w:eastAsia="Times New Roman"/>
          <w:szCs w:val="24"/>
          <w:lang w:val="en-IN"/>
        </w:rPr>
        <w:t>and N</w:t>
      </w:r>
      <w:r w:rsidRPr="003B59AE">
        <w:rPr>
          <w:rFonts w:eastAsia="Times New Roman"/>
          <w:szCs w:val="24"/>
          <w:vertAlign w:val="subscript"/>
          <w:lang w:val="en-IN"/>
        </w:rPr>
        <w:t>2</w:t>
      </w:r>
      <w:r w:rsidRPr="003B59AE">
        <w:rPr>
          <w:rFonts w:eastAsia="Times New Roman"/>
          <w:szCs w:val="24"/>
          <w:lang w:val="en-IN"/>
        </w:rPr>
        <w:t>O emissions” were estimated from the studied region. The “CO</w:t>
      </w:r>
      <w:r w:rsidRPr="003B59AE">
        <w:rPr>
          <w:rFonts w:eastAsia="Times New Roman"/>
          <w:szCs w:val="24"/>
          <w:vertAlign w:val="subscript"/>
          <w:lang w:val="en-IN"/>
        </w:rPr>
        <w:t xml:space="preserve">2 </w:t>
      </w:r>
      <w:r w:rsidRPr="003B59AE">
        <w:rPr>
          <w:rFonts w:eastAsia="Times New Roman"/>
          <w:szCs w:val="24"/>
          <w:lang w:val="en-IN"/>
        </w:rPr>
        <w:t>and CH</w:t>
      </w:r>
      <w:r w:rsidRPr="003B59AE">
        <w:rPr>
          <w:rFonts w:eastAsia="Times New Roman"/>
          <w:szCs w:val="24"/>
          <w:vertAlign w:val="subscript"/>
          <w:lang w:val="en-IN"/>
        </w:rPr>
        <w:t xml:space="preserve">4 </w:t>
      </w:r>
      <w:r w:rsidRPr="003B59AE">
        <w:rPr>
          <w:rFonts w:eastAsia="Times New Roman"/>
          <w:szCs w:val="24"/>
          <w:lang w:val="en-IN"/>
        </w:rPr>
        <w:t>emissions” were higher in the northern part, while the “N</w:t>
      </w:r>
      <w:r w:rsidRPr="003B59AE">
        <w:rPr>
          <w:rFonts w:eastAsia="Times New Roman"/>
          <w:szCs w:val="24"/>
          <w:vertAlign w:val="subscript"/>
          <w:lang w:val="en-IN"/>
        </w:rPr>
        <w:t>2</w:t>
      </w:r>
      <w:r w:rsidRPr="003B59AE">
        <w:rPr>
          <w:rFonts w:eastAsia="Times New Roman"/>
          <w:szCs w:val="24"/>
          <w:lang w:val="en-IN"/>
        </w:rPr>
        <w:t>O emission” was higher in the central- eastern part of the Indian SME. The “RF model” was employed to identify the Indian SME’s GHG emission-prone zones where the “AUC values of ROC,” the RF model was a highly effective technique. ALR model and “GIS-based regression analysis” result “N</w:t>
      </w:r>
      <w:r w:rsidRPr="003B59AE">
        <w:rPr>
          <w:rFonts w:eastAsia="Times New Roman"/>
          <w:szCs w:val="24"/>
          <w:vertAlign w:val="subscript"/>
          <w:lang w:val="en-IN"/>
        </w:rPr>
        <w:t>2</w:t>
      </w:r>
      <w:r w:rsidRPr="003B59AE">
        <w:rPr>
          <w:rFonts w:eastAsia="Times New Roman"/>
          <w:szCs w:val="24"/>
          <w:lang w:val="en-IN"/>
        </w:rPr>
        <w:t xml:space="preserve">O emissions” were higher by SE due to disruption of DN </w:t>
      </w:r>
      <w:r w:rsidRPr="003B59AE">
        <w:rPr>
          <w:rFonts w:eastAsia="Times New Roman"/>
          <w:szCs w:val="24"/>
          <w:lang w:val="en-IN"/>
        </w:rPr>
        <w:lastRenderedPageBreak/>
        <w:t>process. The outcome of the ANN model showed that R was the most sensitive factor for the SE process. The change in precipitation, SE, and GHG emissions in the SME was evaluated through GCM data up to (2100) using a series of “GCM scenarios (SSP126, SSP245, SSP370, and SSP585)”. High erosion in mangroves was detected in the southern ends of islands of SME along the BoB. The higher level of GHG emission was found in erosion-prone regions or islands. The present results could be useful in developing mangrove conservation and wise land-use plans. Normal hydrological conditions, on the other hand, should be given special consideration to avoid an increase in SE.</w:t>
      </w:r>
    </w:p>
    <w:p w14:paraId="5FA0F4E7" w14:textId="77777777" w:rsidR="003B59AE" w:rsidRDefault="003B59AE" w:rsidP="003B59AE">
      <w:pPr>
        <w:pStyle w:val="ListParagraph"/>
        <w:spacing w:before="100" w:beforeAutospacing="1" w:after="100" w:afterAutospacing="1" w:line="240" w:lineRule="auto"/>
        <w:rPr>
          <w:rFonts w:eastAsia="Times New Roman"/>
          <w:szCs w:val="24"/>
          <w:lang w:val="en-IN"/>
        </w:rPr>
      </w:pPr>
    </w:p>
    <w:p w14:paraId="7FCA364E" w14:textId="77777777" w:rsidR="004A7F89" w:rsidRDefault="004A7F89" w:rsidP="004A7F89">
      <w:pPr>
        <w:pStyle w:val="ListParagraph"/>
        <w:spacing w:after="244"/>
        <w:ind w:right="32"/>
      </w:pPr>
    </w:p>
    <w:p w14:paraId="553DBFB8" w14:textId="77777777" w:rsidR="004A7F89" w:rsidRPr="004A7F89" w:rsidRDefault="004A7F89" w:rsidP="004A7F89">
      <w:pPr>
        <w:pStyle w:val="ListParagraph"/>
        <w:numPr>
          <w:ilvl w:val="0"/>
          <w:numId w:val="10"/>
        </w:numPr>
        <w:spacing w:after="119" w:line="252" w:lineRule="auto"/>
        <w:ind w:right="123"/>
      </w:pPr>
      <w:r w:rsidRPr="004A7F89">
        <w:rPr>
          <w:sz w:val="27"/>
        </w:rPr>
        <w:t xml:space="preserve">Marine estuaries act as better sink for greenhouse gases during winter in undisturbed mangrove than degraded ones in Sundarban, India </w:t>
      </w:r>
    </w:p>
    <w:p w14:paraId="11FAE829" w14:textId="3CF0D1C8" w:rsidR="004A7F89" w:rsidRDefault="004A7F89" w:rsidP="004A7F89">
      <w:pPr>
        <w:pStyle w:val="ListParagraph"/>
        <w:spacing w:after="119" w:line="252" w:lineRule="auto"/>
        <w:ind w:right="123"/>
      </w:pPr>
      <w:r w:rsidRPr="004A7F89">
        <w:rPr>
          <w:sz w:val="21"/>
        </w:rPr>
        <w:t xml:space="preserve">Pratap Bhattacharyya </w:t>
      </w:r>
      <w:r w:rsidRPr="004A7F89">
        <w:rPr>
          <w:color w:val="2196D1"/>
          <w:sz w:val="21"/>
          <w:vertAlign w:val="superscript"/>
        </w:rPr>
        <w:t>a</w:t>
      </w:r>
      <w:r w:rsidRPr="004A7F89">
        <w:rPr>
          <w:sz w:val="21"/>
          <w:vertAlign w:val="superscript"/>
        </w:rPr>
        <w:t>,</w:t>
      </w:r>
      <w:r w:rsidRPr="004A7F89">
        <w:rPr>
          <w:color w:val="2196D1"/>
          <w:sz w:val="21"/>
          <w:vertAlign w:val="superscript"/>
        </w:rPr>
        <w:t>*</w:t>
      </w:r>
      <w:r w:rsidRPr="004A7F89">
        <w:rPr>
          <w:sz w:val="21"/>
          <w:vertAlign w:val="superscript"/>
        </w:rPr>
        <w:t>,</w:t>
      </w:r>
      <w:r w:rsidRPr="004A7F89">
        <w:rPr>
          <w:color w:val="2196D1"/>
          <w:sz w:val="21"/>
          <w:vertAlign w:val="superscript"/>
        </w:rPr>
        <w:t>1</w:t>
      </w:r>
      <w:r w:rsidRPr="004A7F89">
        <w:rPr>
          <w:sz w:val="21"/>
        </w:rPr>
        <w:t xml:space="preserve">, Soumya Ranjan Padhy </w:t>
      </w:r>
      <w:r w:rsidRPr="004A7F89">
        <w:rPr>
          <w:color w:val="2196D1"/>
          <w:sz w:val="21"/>
          <w:vertAlign w:val="superscript"/>
        </w:rPr>
        <w:t>a</w:t>
      </w:r>
      <w:r w:rsidRPr="004A7F89">
        <w:rPr>
          <w:sz w:val="21"/>
          <w:vertAlign w:val="superscript"/>
        </w:rPr>
        <w:t>,</w:t>
      </w:r>
      <w:r w:rsidRPr="004A7F89">
        <w:rPr>
          <w:color w:val="2196D1"/>
          <w:sz w:val="21"/>
          <w:vertAlign w:val="superscript"/>
        </w:rPr>
        <w:t>1</w:t>
      </w:r>
      <w:r w:rsidRPr="004A7F89">
        <w:rPr>
          <w:sz w:val="21"/>
        </w:rPr>
        <w:t xml:space="preserve">, Rubina Khanam </w:t>
      </w:r>
      <w:r w:rsidRPr="004A7F89">
        <w:rPr>
          <w:color w:val="2196D1"/>
          <w:sz w:val="21"/>
          <w:vertAlign w:val="superscript"/>
        </w:rPr>
        <w:t>a</w:t>
      </w:r>
      <w:r w:rsidRPr="004A7F89">
        <w:rPr>
          <w:sz w:val="21"/>
        </w:rPr>
        <w:t xml:space="preserve">, Amaresh Kumar Nayak </w:t>
      </w:r>
      <w:r w:rsidRPr="004A7F89">
        <w:rPr>
          <w:color w:val="2196D1"/>
          <w:sz w:val="21"/>
          <w:vertAlign w:val="superscript"/>
        </w:rPr>
        <w:t>a</w:t>
      </w:r>
      <w:r w:rsidRPr="004A7F89">
        <w:rPr>
          <w:sz w:val="21"/>
        </w:rPr>
        <w:t xml:space="preserve">, Pradeep Kumar Dash </w:t>
      </w:r>
      <w:r w:rsidRPr="004A7F89">
        <w:rPr>
          <w:color w:val="2196D1"/>
          <w:sz w:val="21"/>
          <w:vertAlign w:val="superscript"/>
        </w:rPr>
        <w:t>a</w:t>
      </w:r>
      <w:r w:rsidRPr="004A7F89">
        <w:rPr>
          <w:sz w:val="21"/>
        </w:rPr>
        <w:t xml:space="preserve">, C.S. Reddy </w:t>
      </w:r>
      <w:r w:rsidRPr="004A7F89">
        <w:rPr>
          <w:color w:val="2196D1"/>
          <w:sz w:val="21"/>
          <w:vertAlign w:val="superscript"/>
        </w:rPr>
        <w:t>b</w:t>
      </w:r>
      <w:r w:rsidRPr="004A7F89">
        <w:rPr>
          <w:sz w:val="21"/>
        </w:rPr>
        <w:t xml:space="preserve">, Abhishek Chakraborty </w:t>
      </w:r>
      <w:r w:rsidRPr="004A7F89">
        <w:rPr>
          <w:color w:val="2196D1"/>
          <w:sz w:val="21"/>
          <w:vertAlign w:val="superscript"/>
        </w:rPr>
        <w:t>b</w:t>
      </w:r>
      <w:r w:rsidRPr="004A7F89">
        <w:rPr>
          <w:sz w:val="21"/>
        </w:rPr>
        <w:t xml:space="preserve">, Debashis Mandal </w:t>
      </w:r>
      <w:r w:rsidRPr="004A7F89">
        <w:rPr>
          <w:color w:val="2196D1"/>
          <w:sz w:val="21"/>
          <w:vertAlign w:val="superscript"/>
        </w:rPr>
        <w:t>c</w:t>
      </w:r>
      <w:r w:rsidRPr="004A7F89">
        <w:rPr>
          <w:sz w:val="21"/>
        </w:rPr>
        <w:t xml:space="preserve">, Saubhagyalaxmi Swain </w:t>
      </w:r>
      <w:r w:rsidRPr="004A7F89">
        <w:rPr>
          <w:color w:val="2196D1"/>
          <w:sz w:val="21"/>
          <w:vertAlign w:val="superscript"/>
        </w:rPr>
        <w:t>a</w:t>
      </w:r>
      <w:r w:rsidRPr="004A7F89">
        <w:rPr>
          <w:sz w:val="21"/>
        </w:rPr>
        <w:t xml:space="preserve">, M.J. Baig </w:t>
      </w:r>
      <w:r w:rsidRPr="004A7F89">
        <w:rPr>
          <w:color w:val="2196D1"/>
          <w:sz w:val="21"/>
          <w:vertAlign w:val="superscript"/>
        </w:rPr>
        <w:t xml:space="preserve">a </w:t>
      </w:r>
    </w:p>
    <w:p w14:paraId="0429F4EC" w14:textId="77777777" w:rsidR="004A7F89" w:rsidRDefault="004A7F89" w:rsidP="004A7F89">
      <w:pPr>
        <w:pStyle w:val="ListParagraph"/>
        <w:spacing w:after="244"/>
        <w:ind w:right="32"/>
      </w:pPr>
    </w:p>
    <w:p w14:paraId="64BC2228" w14:textId="7A4D2843" w:rsidR="00935448" w:rsidRDefault="004A7F89" w:rsidP="005908CD">
      <w:pPr>
        <w:pStyle w:val="ListParagraph"/>
        <w:spacing w:after="244"/>
        <w:ind w:right="32"/>
      </w:pPr>
      <w:r>
        <w:t>The locations of estuaries adjacent to undisturbed mangroves act as a better sink for greenhouse gases (CH</w:t>
      </w:r>
      <w:r w:rsidRPr="004A7F89">
        <w:rPr>
          <w:vertAlign w:val="subscript"/>
        </w:rPr>
        <w:t>4</w:t>
      </w:r>
      <w:r>
        <w:t>, N</w:t>
      </w:r>
      <w:r w:rsidRPr="004A7F89">
        <w:rPr>
          <w:vertAlign w:val="subscript"/>
        </w:rPr>
        <w:t>2</w:t>
      </w:r>
      <w:r>
        <w:t>O and CO</w:t>
      </w:r>
      <w:r w:rsidRPr="004A7F89">
        <w:rPr>
          <w:vertAlign w:val="subscript"/>
        </w:rPr>
        <w:t>2</w:t>
      </w:r>
      <w:r>
        <w:t>) in the coastal region of Sundarban, India. The air-water GHGs exchanges are highly correlated with the mangrove condition (degraded or undisturbed), anthropogenic activities, physio-chemical properties, and nutrient status of water. There are three critical reasons for the GHGs sink behaviour of the estuaries adjacent to undisturbed mangroves over degraded mangroves. Lower methanogenesis and nitrification activities (due to higher salinity; higher SO</w:t>
      </w:r>
      <w:r w:rsidRPr="004A7F89">
        <w:rPr>
          <w:vertAlign w:val="subscript"/>
        </w:rPr>
        <w:t>4</w:t>
      </w:r>
      <w:r w:rsidRPr="004A7F89">
        <w:rPr>
          <w:vertAlign w:val="superscript"/>
        </w:rPr>
        <w:t xml:space="preserve">− 2 </w:t>
      </w:r>
      <w:r>
        <w:t>ion concentration in water), dilution of GHGs concentrations due to higher mixing ratio of seawater, and less nutrients loads (carbon and nitrogen) are the major driving factors for higher sink behaviour of estuaries adjacent to undisturbed mangroves than degraded ones. Therefore, the degraded mangrove locations should be nourished and protected which plays a critical role in the negative feedback to climate change.</w:t>
      </w:r>
    </w:p>
    <w:p w14:paraId="3EFBF896" w14:textId="77777777" w:rsidR="005908CD" w:rsidRDefault="005908CD" w:rsidP="005908CD">
      <w:pPr>
        <w:pStyle w:val="ListParagraph"/>
        <w:numPr>
          <w:ilvl w:val="0"/>
          <w:numId w:val="10"/>
        </w:numPr>
        <w:spacing w:after="186" w:line="273" w:lineRule="auto"/>
      </w:pPr>
      <w:hyperlink r:id="rId6" w:history="1">
        <w:r w:rsidRPr="005908CD">
          <w:rPr>
            <w:rStyle w:val="Hyperlink"/>
            <w:rFonts w:ascii="Calibri" w:eastAsia="Calibri" w:hAnsi="Calibri" w:cs="Calibri"/>
            <w:color w:val="000000"/>
          </w:rPr>
          <w:t>Microbial activity determining soil CO2 emission in the Sundarban mangrove forest, India</w:t>
        </w:r>
      </w:hyperlink>
    </w:p>
    <w:p w14:paraId="370241C8" w14:textId="3B220640" w:rsidR="003F1E8C" w:rsidRDefault="003F1E8C" w:rsidP="003F1E8C">
      <w:pPr>
        <w:pStyle w:val="ListParagraph"/>
        <w:spacing w:after="186" w:line="273" w:lineRule="auto"/>
      </w:pPr>
      <w:r w:rsidRPr="003F1E8C">
        <w:t>Temporal variation in the soil CO</w:t>
      </w:r>
      <w:r w:rsidRPr="003F1E8C">
        <w:rPr>
          <w:vertAlign w:val="subscript"/>
        </w:rPr>
        <w:t>2</w:t>
      </w:r>
      <w:r w:rsidRPr="003F1E8C">
        <w:t xml:space="preserve"> emission from the world’s largest mangrove forest  was studied on a monthly basis. </w:t>
      </w:r>
      <w:r w:rsidRPr="003F1E8C">
        <w:rPr>
          <w:i/>
        </w:rPr>
        <w:t>In situ</w:t>
      </w:r>
      <w:r w:rsidRPr="003F1E8C">
        <w:t xml:space="preserve"> measurements were carried out from three different parts of the mangrove forest, i.e. (1) deep forest (with limited tidal influence), (2) rooted (with pneumatophores, medium tree density and tidally active), and (3) un-rooted region (tidal flat). Subsequently, the role of soil salinity, temperature and the enzyme activities (Urease, β-D glucosidase and Dehydrogenase activity) in regulating the microbial mineralization processes were also studied to understand their contribution to the soil CO</w:t>
      </w:r>
      <w:r w:rsidRPr="003F1E8C">
        <w:rPr>
          <w:vertAlign w:val="subscript"/>
        </w:rPr>
        <w:t>2</w:t>
      </w:r>
      <w:r w:rsidRPr="003F1E8C">
        <w:t xml:space="preserve"> emission. Irrespective of the sampling locations, the highest and lowest CO</w:t>
      </w:r>
      <w:r w:rsidRPr="003F1E8C">
        <w:rPr>
          <w:vertAlign w:val="subscript"/>
        </w:rPr>
        <w:t>2</w:t>
      </w:r>
      <w:r w:rsidRPr="003F1E8C">
        <w:t xml:space="preserve"> efflux was recorded during month from October to January and from June to September, respectively. Among the three different regions, the highest and the lowest CO</w:t>
      </w:r>
      <w:r w:rsidRPr="003F1E8C">
        <w:rPr>
          <w:vertAlign w:val="subscript"/>
        </w:rPr>
        <w:t>2</w:t>
      </w:r>
      <w:r w:rsidRPr="003F1E8C">
        <w:t xml:space="preserve"> emission was recorded from the deep forest (8.34 ± 1.04 mmol C             m</w:t>
      </w:r>
      <w:r w:rsidRPr="003F1E8C">
        <w:rPr>
          <w:vertAlign w:val="superscript"/>
        </w:rPr>
        <w:t>–2</w:t>
      </w:r>
      <w:r w:rsidRPr="003F1E8C">
        <w:t>h</w:t>
      </w:r>
      <w:r w:rsidRPr="003F1E8C">
        <w:rPr>
          <w:vertAlign w:val="superscript"/>
        </w:rPr>
        <w:t>–1</w:t>
      </w:r>
      <w:r w:rsidRPr="003F1E8C">
        <w:t>) and un-rooted soil (0.81 ± 0.07 mmol C m</w:t>
      </w:r>
      <w:r w:rsidRPr="003F1E8C">
        <w:rPr>
          <w:vertAlign w:val="superscript"/>
        </w:rPr>
        <w:t xml:space="preserve">–2 </w:t>
      </w:r>
      <w:r w:rsidRPr="003F1E8C">
        <w:t>h</w:t>
      </w:r>
      <w:r w:rsidRPr="003F1E8C">
        <w:rPr>
          <w:vertAlign w:val="superscript"/>
        </w:rPr>
        <w:t>–1</w:t>
      </w:r>
      <w:r w:rsidRPr="003F1E8C">
        <w:t>), respectively. Soil CO</w:t>
      </w:r>
      <w:r w:rsidRPr="003F1E8C">
        <w:rPr>
          <w:vertAlign w:val="subscript"/>
        </w:rPr>
        <w:t xml:space="preserve">2 </w:t>
      </w:r>
      <w:r w:rsidRPr="003F1E8C">
        <w:t xml:space="preserve">emission did not show any significant </w:t>
      </w:r>
      <w:r w:rsidRPr="003F1E8C">
        <w:lastRenderedPageBreak/>
        <w:t>response to salinity. However, soil temperature and available enzyme activities showed significant control over soil CO</w:t>
      </w:r>
      <w:r w:rsidRPr="003F1E8C">
        <w:rPr>
          <w:vertAlign w:val="subscript"/>
        </w:rPr>
        <w:t>2</w:t>
      </w:r>
      <w:r w:rsidRPr="003F1E8C">
        <w:t xml:space="preserve"> emission. The results indicated that the microbial community in this tidally active zone is well adapted within a large salinity range. Among the soil enzymes, β-D glucosidase activity showed the highest contribution, in regulating the soil CO</w:t>
      </w:r>
      <w:r w:rsidRPr="003F1E8C">
        <w:rPr>
          <w:vertAlign w:val="subscript"/>
        </w:rPr>
        <w:t>2</w:t>
      </w:r>
      <w:r w:rsidRPr="003F1E8C">
        <w:t xml:space="preserve"> emissions, in all the studied locations.  </w:t>
      </w:r>
    </w:p>
    <w:p w14:paraId="777179EC" w14:textId="77777777" w:rsidR="003F1E8C" w:rsidRDefault="003F1E8C" w:rsidP="003F1E8C">
      <w:pPr>
        <w:pStyle w:val="ListParagraph"/>
        <w:numPr>
          <w:ilvl w:val="0"/>
          <w:numId w:val="10"/>
        </w:numPr>
        <w:spacing w:after="186" w:line="273" w:lineRule="auto"/>
      </w:pPr>
      <w:hyperlink r:id="rId7" w:history="1">
        <w:r w:rsidRPr="003F1E8C">
          <w:rPr>
            <w:rStyle w:val="Hyperlink"/>
            <w:color w:val="000000"/>
          </w:rPr>
          <w:t>Dynamics of methane and carbon dioxide emissions in the reclaimed islands of Sundarban mangrove ecosystem, India</w:t>
        </w:r>
      </w:hyperlink>
    </w:p>
    <w:p w14:paraId="72559F48" w14:textId="77777777" w:rsidR="00230705" w:rsidRDefault="00230705" w:rsidP="00230705">
      <w:pPr>
        <w:pStyle w:val="ListParagraph"/>
        <w:spacing w:after="235" w:line="266" w:lineRule="auto"/>
        <w:jc w:val="both"/>
      </w:pPr>
      <w:r w:rsidRPr="00230705">
        <w:rPr>
          <w:rFonts w:eastAsia="Times New Roman"/>
          <w:sz w:val="19"/>
        </w:rPr>
        <w:t>The loss and deterioration of mangroves would lead to potentially important greenhouse gases (GHG) from the mangrove ecosystem. Seasonal variations of methane (CH</w:t>
      </w:r>
      <w:r w:rsidRPr="00230705">
        <w:rPr>
          <w:rFonts w:eastAsia="Times New Roman"/>
          <w:sz w:val="19"/>
          <w:vertAlign w:val="subscript"/>
        </w:rPr>
        <w:t>4</w:t>
      </w:r>
      <w:r w:rsidRPr="00230705">
        <w:rPr>
          <w:rFonts w:eastAsia="Times New Roman"/>
          <w:sz w:val="19"/>
        </w:rPr>
        <w:t>) and carbon dioxide (CO</w:t>
      </w:r>
      <w:r w:rsidRPr="00230705">
        <w:rPr>
          <w:rFonts w:eastAsia="Times New Roman"/>
          <w:sz w:val="19"/>
          <w:vertAlign w:val="subscript"/>
        </w:rPr>
        <w:t>2</w:t>
      </w:r>
      <w:r w:rsidRPr="00230705">
        <w:rPr>
          <w:rFonts w:eastAsia="Times New Roman"/>
          <w:sz w:val="19"/>
        </w:rPr>
        <w:t xml:space="preserve">) </w:t>
      </w:r>
      <w:r w:rsidRPr="00230705">
        <w:rPr>
          <w:sz w:val="19"/>
        </w:rPr>
        <w:t>fl</w:t>
      </w:r>
      <w:r w:rsidRPr="00230705">
        <w:rPr>
          <w:rFonts w:eastAsia="Times New Roman"/>
          <w:sz w:val="19"/>
        </w:rPr>
        <w:t>uxes are studied in the Indian part of the Sundarban mangrove ecosystem. Considering the importance of CH</w:t>
      </w:r>
      <w:r w:rsidRPr="00230705">
        <w:rPr>
          <w:rFonts w:eastAsia="Times New Roman"/>
          <w:sz w:val="19"/>
          <w:vertAlign w:val="subscript"/>
        </w:rPr>
        <w:t xml:space="preserve">4 </w:t>
      </w:r>
      <w:r w:rsidRPr="00230705">
        <w:rPr>
          <w:rFonts w:eastAsia="Times New Roman"/>
          <w:sz w:val="19"/>
        </w:rPr>
        <w:t>and CO</w:t>
      </w:r>
      <w:r w:rsidRPr="00230705">
        <w:rPr>
          <w:rFonts w:eastAsia="Times New Roman"/>
          <w:sz w:val="19"/>
          <w:vertAlign w:val="subscript"/>
        </w:rPr>
        <w:t xml:space="preserve">2 </w:t>
      </w:r>
      <w:r w:rsidRPr="00230705">
        <w:rPr>
          <w:sz w:val="19"/>
        </w:rPr>
        <w:t>fl</w:t>
      </w:r>
      <w:r w:rsidRPr="00230705">
        <w:rPr>
          <w:rFonts w:eastAsia="Times New Roman"/>
          <w:sz w:val="19"/>
        </w:rPr>
        <w:t>uxes, a dynamic model is proposed here with CH</w:t>
      </w:r>
      <w:r w:rsidRPr="00230705">
        <w:rPr>
          <w:rFonts w:eastAsia="Times New Roman"/>
          <w:sz w:val="19"/>
          <w:vertAlign w:val="subscript"/>
        </w:rPr>
        <w:t xml:space="preserve">4 </w:t>
      </w:r>
      <w:r w:rsidRPr="00230705">
        <w:rPr>
          <w:rFonts w:eastAsia="Times New Roman"/>
          <w:sz w:val="19"/>
        </w:rPr>
        <w:t>and CO</w:t>
      </w:r>
      <w:r w:rsidRPr="00230705">
        <w:rPr>
          <w:rFonts w:eastAsia="Times New Roman"/>
          <w:sz w:val="19"/>
          <w:vertAlign w:val="subscript"/>
        </w:rPr>
        <w:t xml:space="preserve">2 </w:t>
      </w:r>
      <w:r w:rsidRPr="00230705">
        <w:rPr>
          <w:rFonts w:eastAsia="Times New Roman"/>
          <w:sz w:val="19"/>
        </w:rPr>
        <w:t xml:space="preserve">as state variables. The data used in the model are collected and analysed from the </w:t>
      </w:r>
      <w:r w:rsidRPr="00230705">
        <w:rPr>
          <w:sz w:val="19"/>
        </w:rPr>
        <w:t>fi</w:t>
      </w:r>
      <w:r w:rsidRPr="00230705">
        <w:rPr>
          <w:rFonts w:eastAsia="Times New Roman"/>
          <w:sz w:val="19"/>
        </w:rPr>
        <w:t>eld over two years. The parameters that are taken from the literature sources are calibrated in the model. Sensitivity analysis is conducted to assess the valuable contribution of various parameters to the dynamics of CH</w:t>
      </w:r>
      <w:r w:rsidRPr="00230705">
        <w:rPr>
          <w:rFonts w:eastAsia="Times New Roman"/>
          <w:sz w:val="19"/>
          <w:vertAlign w:val="subscript"/>
        </w:rPr>
        <w:t xml:space="preserve">4 </w:t>
      </w:r>
      <w:r w:rsidRPr="00230705">
        <w:rPr>
          <w:rFonts w:eastAsia="Times New Roman"/>
          <w:sz w:val="19"/>
        </w:rPr>
        <w:t>and CO</w:t>
      </w:r>
      <w:r w:rsidRPr="00230705">
        <w:rPr>
          <w:rFonts w:eastAsia="Times New Roman"/>
          <w:sz w:val="19"/>
          <w:vertAlign w:val="subscript"/>
        </w:rPr>
        <w:t xml:space="preserve">2 </w:t>
      </w:r>
      <w:r w:rsidRPr="00230705">
        <w:rPr>
          <w:rFonts w:eastAsia="Times New Roman"/>
          <w:sz w:val="19"/>
        </w:rPr>
        <w:t>emissions from the mangrove beds. Model simulation results are appropriately validated with the observed data. Results showed that CH</w:t>
      </w:r>
      <w:r w:rsidRPr="00230705">
        <w:rPr>
          <w:rFonts w:eastAsia="Times New Roman"/>
          <w:sz w:val="19"/>
          <w:vertAlign w:val="subscript"/>
        </w:rPr>
        <w:t xml:space="preserve">4 </w:t>
      </w:r>
      <w:r w:rsidRPr="00230705">
        <w:rPr>
          <w:rFonts w:eastAsia="Times New Roman"/>
          <w:sz w:val="19"/>
        </w:rPr>
        <w:t>and CO</w:t>
      </w:r>
      <w:r w:rsidRPr="00230705">
        <w:rPr>
          <w:rFonts w:eastAsia="Times New Roman"/>
          <w:sz w:val="19"/>
          <w:vertAlign w:val="subscript"/>
        </w:rPr>
        <w:t xml:space="preserve">2 </w:t>
      </w:r>
      <w:r w:rsidRPr="00230705">
        <w:rPr>
          <w:sz w:val="19"/>
        </w:rPr>
        <w:t>fl</w:t>
      </w:r>
      <w:r w:rsidRPr="00230705">
        <w:rPr>
          <w:rFonts w:eastAsia="Times New Roman"/>
          <w:sz w:val="19"/>
        </w:rPr>
        <w:t>uxes were higher during monsoon. Pearson correlation was done to assess the relationships between emissions and all the physical</w:t>
      </w:r>
      <w:r w:rsidRPr="00230705">
        <w:rPr>
          <w:sz w:val="19"/>
        </w:rPr>
        <w:t>–</w:t>
      </w:r>
      <w:r w:rsidRPr="00230705">
        <w:rPr>
          <w:rFonts w:eastAsia="Times New Roman"/>
          <w:sz w:val="19"/>
        </w:rPr>
        <w:t>chemical factors involved in the model. Sensitivity analysis indicated that the temperature sensitivity (Q</w:t>
      </w:r>
      <w:r w:rsidRPr="00230705">
        <w:rPr>
          <w:rFonts w:eastAsia="Times New Roman"/>
          <w:sz w:val="19"/>
          <w:vertAlign w:val="subscript"/>
        </w:rPr>
        <w:t>10</w:t>
      </w:r>
      <w:r w:rsidRPr="00230705">
        <w:rPr>
          <w:rFonts w:eastAsia="Times New Roman"/>
          <w:sz w:val="19"/>
        </w:rPr>
        <w:t>) was the system-sensitive parameter for CH</w:t>
      </w:r>
      <w:r w:rsidRPr="00230705">
        <w:rPr>
          <w:rFonts w:eastAsia="Times New Roman"/>
          <w:sz w:val="19"/>
          <w:vertAlign w:val="subscript"/>
        </w:rPr>
        <w:t xml:space="preserve">4 </w:t>
      </w:r>
      <w:r w:rsidRPr="00230705">
        <w:rPr>
          <w:rFonts w:eastAsia="Times New Roman"/>
          <w:sz w:val="19"/>
        </w:rPr>
        <w:t>and CO</w:t>
      </w:r>
      <w:r w:rsidRPr="00230705">
        <w:rPr>
          <w:rFonts w:eastAsia="Times New Roman"/>
          <w:sz w:val="19"/>
          <w:vertAlign w:val="subscript"/>
        </w:rPr>
        <w:t xml:space="preserve">2 </w:t>
      </w:r>
      <w:r w:rsidRPr="00230705">
        <w:rPr>
          <w:rFonts w:eastAsia="Times New Roman"/>
          <w:sz w:val="19"/>
        </w:rPr>
        <w:t>emissions. The soil moisture and relative light intensity were the sensitive parameters for CH</w:t>
      </w:r>
      <w:r w:rsidRPr="00230705">
        <w:rPr>
          <w:rFonts w:eastAsia="Times New Roman"/>
          <w:sz w:val="19"/>
          <w:vertAlign w:val="subscript"/>
        </w:rPr>
        <w:t xml:space="preserve">4 </w:t>
      </w:r>
      <w:r w:rsidRPr="00230705">
        <w:rPr>
          <w:rFonts w:eastAsia="Times New Roman"/>
          <w:sz w:val="19"/>
        </w:rPr>
        <w:t>and CO</w:t>
      </w:r>
      <w:r w:rsidRPr="00230705">
        <w:rPr>
          <w:rFonts w:eastAsia="Times New Roman"/>
          <w:sz w:val="19"/>
          <w:vertAlign w:val="subscript"/>
        </w:rPr>
        <w:t xml:space="preserve">2 </w:t>
      </w:r>
      <w:r w:rsidRPr="00230705">
        <w:rPr>
          <w:rFonts w:eastAsia="Times New Roman"/>
          <w:sz w:val="19"/>
        </w:rPr>
        <w:t>emissions, respectively. Model showed that the increase in the anthropogenic emissions including emissions from livestock and fossil fuel caused an increase of 2% of CH</w:t>
      </w:r>
      <w:r w:rsidRPr="00230705">
        <w:rPr>
          <w:rFonts w:eastAsia="Times New Roman"/>
          <w:sz w:val="19"/>
          <w:vertAlign w:val="subscript"/>
        </w:rPr>
        <w:t xml:space="preserve">4 </w:t>
      </w:r>
      <w:r w:rsidRPr="00230705">
        <w:rPr>
          <w:rFonts w:eastAsia="Times New Roman"/>
          <w:sz w:val="19"/>
        </w:rPr>
        <w:t>and 3% of CO</w:t>
      </w:r>
      <w:r w:rsidRPr="00230705">
        <w:rPr>
          <w:rFonts w:eastAsia="Times New Roman"/>
          <w:sz w:val="19"/>
          <w:vertAlign w:val="subscript"/>
        </w:rPr>
        <w:t xml:space="preserve">2 </w:t>
      </w:r>
      <w:r w:rsidRPr="00230705">
        <w:rPr>
          <w:rFonts w:eastAsia="Times New Roman"/>
          <w:sz w:val="19"/>
        </w:rPr>
        <w:t>in the system, respectively. The proposed model could be a tool for environmental managers to assess the emission process at different global locations.</w:t>
      </w:r>
    </w:p>
    <w:p w14:paraId="4E91F679" w14:textId="4B92459F" w:rsidR="003F1E8C" w:rsidRDefault="00B06763" w:rsidP="003F1E8C">
      <w:pPr>
        <w:pStyle w:val="ListParagraph"/>
        <w:spacing w:after="186" w:line="273" w:lineRule="auto"/>
      </w:pPr>
      <w:r>
        <w:t>(Read intro of this)</w:t>
      </w:r>
    </w:p>
    <w:p w14:paraId="374FA739" w14:textId="77777777" w:rsidR="00B06763" w:rsidRDefault="00B06763" w:rsidP="003F1E8C">
      <w:pPr>
        <w:pStyle w:val="ListParagraph"/>
        <w:spacing w:after="186" w:line="273" w:lineRule="auto"/>
      </w:pPr>
    </w:p>
    <w:p w14:paraId="6FC2EB80" w14:textId="051156B6" w:rsidR="00B06763" w:rsidRDefault="00025CCC" w:rsidP="00025CCC">
      <w:pPr>
        <w:spacing w:after="186" w:line="273" w:lineRule="auto"/>
      </w:pPr>
      <w:r>
        <w:t>Other Sundarban</w:t>
      </w:r>
    </w:p>
    <w:p w14:paraId="4B752F12" w14:textId="77777777" w:rsidR="00AB36D0" w:rsidRDefault="00025CCC" w:rsidP="00AB36D0">
      <w:pPr>
        <w:pStyle w:val="ListParagraph"/>
        <w:numPr>
          <w:ilvl w:val="0"/>
          <w:numId w:val="10"/>
        </w:numPr>
        <w:spacing w:after="3" w:line="256" w:lineRule="auto"/>
        <w:rPr>
          <w:szCs w:val="24"/>
        </w:rPr>
      </w:pPr>
      <w:r w:rsidRPr="00025CCC">
        <w:rPr>
          <w:szCs w:val="24"/>
        </w:rPr>
        <w:t>Carbon Dioxide and Methane Emissions from Mangrove-Associated Waters of the Andaman IslanD</w:t>
      </w:r>
    </w:p>
    <w:p w14:paraId="583BE9FF" w14:textId="77777777" w:rsidR="00AB36D0" w:rsidRDefault="00AB36D0" w:rsidP="00AB36D0">
      <w:pPr>
        <w:pStyle w:val="ListParagraph"/>
        <w:spacing w:after="3" w:line="256" w:lineRule="auto"/>
        <w:rPr>
          <w:szCs w:val="24"/>
        </w:rPr>
      </w:pPr>
      <w:r w:rsidRPr="00AB36D0">
        <w:rPr>
          <w:szCs w:val="24"/>
        </w:rPr>
        <w:t>We estimated CO</w:t>
      </w:r>
      <w:r w:rsidRPr="00AB36D0">
        <w:rPr>
          <w:szCs w:val="24"/>
          <w:vertAlign w:val="subscript"/>
        </w:rPr>
        <w:t xml:space="preserve">2 </w:t>
      </w:r>
      <w:r w:rsidRPr="00AB36D0">
        <w:rPr>
          <w:szCs w:val="24"/>
        </w:rPr>
        <w:t>and CH</w:t>
      </w:r>
      <w:r w:rsidRPr="00AB36D0">
        <w:rPr>
          <w:szCs w:val="24"/>
          <w:vertAlign w:val="subscript"/>
        </w:rPr>
        <w:t xml:space="preserve">4 </w:t>
      </w:r>
      <w:r w:rsidRPr="00AB36D0">
        <w:rPr>
          <w:szCs w:val="24"/>
        </w:rPr>
        <w:t>emissions from mangrove-associated waters of the Andaman Islands by sampling hourly over 24 h in two tidal mangrove creeks (Wright Myo; Kalighat) and during transects in contiguous shallow inshore waters, immediately following the northeast monsoons (dry season) and during the peak of the southwest monsoons (wet season) of 2005 and 2006. Tidal height correlated positively with dissolved O</w:t>
      </w:r>
      <w:r w:rsidRPr="00AB36D0">
        <w:rPr>
          <w:szCs w:val="24"/>
          <w:vertAlign w:val="subscript"/>
        </w:rPr>
        <w:t xml:space="preserve">2 </w:t>
      </w:r>
      <w:r w:rsidRPr="00AB36D0">
        <w:rPr>
          <w:szCs w:val="24"/>
        </w:rPr>
        <w:t>and negatively with pCO</w:t>
      </w:r>
      <w:r w:rsidRPr="00AB36D0">
        <w:rPr>
          <w:szCs w:val="24"/>
          <w:vertAlign w:val="subscript"/>
        </w:rPr>
        <w:t>2</w:t>
      </w:r>
      <w:r w:rsidRPr="00AB36D0">
        <w:rPr>
          <w:szCs w:val="24"/>
        </w:rPr>
        <w:t>, CH</w:t>
      </w:r>
      <w:r w:rsidRPr="00AB36D0">
        <w:rPr>
          <w:szCs w:val="24"/>
          <w:vertAlign w:val="subscript"/>
        </w:rPr>
        <w:t>4</w:t>
      </w:r>
      <w:r w:rsidRPr="00AB36D0">
        <w:rPr>
          <w:szCs w:val="24"/>
        </w:rPr>
        <w:t>, total alkalinity (TAlk) and dissolved inorganic carbon (DIC), and pCO</w:t>
      </w:r>
      <w:r w:rsidRPr="00AB36D0">
        <w:rPr>
          <w:szCs w:val="24"/>
          <w:vertAlign w:val="subscript"/>
        </w:rPr>
        <w:t xml:space="preserve">2 </w:t>
      </w:r>
      <w:r w:rsidRPr="00AB36D0">
        <w:rPr>
          <w:szCs w:val="24"/>
        </w:rPr>
        <w:t>and CH</w:t>
      </w:r>
      <w:r w:rsidRPr="00AB36D0">
        <w:rPr>
          <w:szCs w:val="24"/>
          <w:vertAlign w:val="subscript"/>
        </w:rPr>
        <w:t xml:space="preserve">4 </w:t>
      </w:r>
      <w:r w:rsidRPr="00AB36D0">
        <w:rPr>
          <w:szCs w:val="24"/>
        </w:rPr>
        <w:t>were always highly supersaturated (330–1,627 % CO</w:t>
      </w:r>
      <w:r w:rsidRPr="00AB36D0">
        <w:rPr>
          <w:szCs w:val="24"/>
          <w:vertAlign w:val="subscript"/>
        </w:rPr>
        <w:t>2</w:t>
      </w:r>
      <w:r w:rsidRPr="00AB36D0">
        <w:rPr>
          <w:szCs w:val="24"/>
        </w:rPr>
        <w:t>; 339–26,930 % CH</w:t>
      </w:r>
      <w:r w:rsidRPr="00AB36D0">
        <w:rPr>
          <w:szCs w:val="24"/>
          <w:vertAlign w:val="subscript"/>
        </w:rPr>
        <w:t>4</w:t>
      </w:r>
      <w:r w:rsidRPr="00AB36D0">
        <w:rPr>
          <w:szCs w:val="24"/>
        </w:rPr>
        <w:t>). These data are consistent with a tidal pumping response to hydrostatic pressure change. There were no seasonal trends in dissolved CH</w:t>
      </w:r>
      <w:r w:rsidRPr="00AB36D0">
        <w:rPr>
          <w:szCs w:val="24"/>
          <w:vertAlign w:val="subscript"/>
        </w:rPr>
        <w:t xml:space="preserve">4 </w:t>
      </w:r>
      <w:r w:rsidRPr="00AB36D0">
        <w:rPr>
          <w:szCs w:val="24"/>
        </w:rPr>
        <w:t>but pCO</w:t>
      </w:r>
      <w:r w:rsidRPr="00AB36D0">
        <w:rPr>
          <w:szCs w:val="24"/>
          <w:vertAlign w:val="subscript"/>
        </w:rPr>
        <w:t xml:space="preserve">2 </w:t>
      </w:r>
      <w:r w:rsidRPr="00AB36D0">
        <w:rPr>
          <w:szCs w:val="24"/>
        </w:rPr>
        <w:t>was around twice as high during the 2005 wet season than at other times, in both the tidal surveys and the inshore transects. Fourfold higher turbidity during the wet season is consistent with elevated net benthic and/or water column heterotrophy via enhanced organic matter inputs from adjacent mangrove forest and/or the flushing of CO</w:t>
      </w:r>
      <w:r w:rsidRPr="00AB36D0">
        <w:rPr>
          <w:szCs w:val="24"/>
          <w:vertAlign w:val="subscript"/>
        </w:rPr>
        <w:t>2</w:t>
      </w:r>
      <w:r w:rsidRPr="00AB36D0">
        <w:rPr>
          <w:szCs w:val="24"/>
        </w:rPr>
        <w:t>-enriched soil waters, which may explain these CO</w:t>
      </w:r>
      <w:r w:rsidRPr="00AB36D0">
        <w:rPr>
          <w:szCs w:val="24"/>
          <w:vertAlign w:val="subscript"/>
        </w:rPr>
        <w:t xml:space="preserve">2 </w:t>
      </w:r>
      <w:r w:rsidRPr="00AB36D0">
        <w:rPr>
          <w:szCs w:val="24"/>
        </w:rPr>
        <w:t>data. TAlk/DIC relationships in the tidally pumped waters were most consistent with a diagenetic origin of CO</w:t>
      </w:r>
      <w:r w:rsidRPr="00AB36D0">
        <w:rPr>
          <w:szCs w:val="24"/>
          <w:vertAlign w:val="subscript"/>
        </w:rPr>
        <w:t xml:space="preserve">2 </w:t>
      </w:r>
      <w:r w:rsidRPr="00AB36D0">
        <w:rPr>
          <w:szCs w:val="24"/>
        </w:rPr>
        <w:t>primarily via sulphate reduction, with additional inputs via aerobic respiration. A decrease with salinity for pCO</w:t>
      </w:r>
      <w:r w:rsidRPr="00AB36D0">
        <w:rPr>
          <w:szCs w:val="24"/>
          <w:vertAlign w:val="subscript"/>
        </w:rPr>
        <w:t>2</w:t>
      </w:r>
      <w:r w:rsidRPr="00AB36D0">
        <w:rPr>
          <w:szCs w:val="24"/>
        </w:rPr>
        <w:t>, CH</w:t>
      </w:r>
      <w:r w:rsidRPr="00AB36D0">
        <w:rPr>
          <w:szCs w:val="24"/>
          <w:vertAlign w:val="subscript"/>
        </w:rPr>
        <w:t>4</w:t>
      </w:r>
      <w:r w:rsidRPr="00AB36D0">
        <w:rPr>
          <w:szCs w:val="24"/>
        </w:rPr>
        <w:t xml:space="preserve">, TAlk and DIC during the inshore transects reflected offshore transport </w:t>
      </w:r>
      <w:r w:rsidRPr="00AB36D0">
        <w:rPr>
          <w:szCs w:val="24"/>
        </w:rPr>
        <w:lastRenderedPageBreak/>
        <w:t xml:space="preserve">of tidally pumped waters. Estimated mean tidal creek emissions were </w:t>
      </w:r>
      <w:r w:rsidRPr="00AB36D0">
        <w:rPr>
          <w:rFonts w:ascii="Cambria Math" w:hAnsi="Cambria Math" w:cs="Cambria Math"/>
          <w:szCs w:val="24"/>
        </w:rPr>
        <w:t>∼</w:t>
      </w:r>
      <w:r w:rsidRPr="00AB36D0">
        <w:rPr>
          <w:szCs w:val="24"/>
        </w:rPr>
        <w:t>23–173 mmol m</w:t>
      </w:r>
      <w:r w:rsidRPr="00AB36D0">
        <w:rPr>
          <w:szCs w:val="24"/>
          <w:vertAlign w:val="superscript"/>
        </w:rPr>
        <w:t xml:space="preserve">−2 </w:t>
      </w:r>
      <w:r w:rsidRPr="00AB36D0">
        <w:rPr>
          <w:szCs w:val="24"/>
        </w:rPr>
        <w:t>day</w:t>
      </w:r>
      <w:r w:rsidRPr="00AB36D0">
        <w:rPr>
          <w:szCs w:val="24"/>
          <w:vertAlign w:val="superscript"/>
        </w:rPr>
        <w:t xml:space="preserve">−1 </w:t>
      </w:r>
      <w:r w:rsidRPr="00AB36D0">
        <w:rPr>
          <w:szCs w:val="24"/>
        </w:rPr>
        <w:t>CO</w:t>
      </w:r>
      <w:r w:rsidRPr="00AB36D0">
        <w:rPr>
          <w:szCs w:val="24"/>
          <w:vertAlign w:val="subscript"/>
        </w:rPr>
        <w:t xml:space="preserve">2 </w:t>
      </w:r>
      <w:r w:rsidRPr="00AB36D0">
        <w:rPr>
          <w:szCs w:val="24"/>
        </w:rPr>
        <w:t xml:space="preserve">and </w:t>
      </w:r>
      <w:r w:rsidRPr="00AB36D0">
        <w:rPr>
          <w:rFonts w:ascii="Cambria Math" w:hAnsi="Cambria Math" w:cs="Cambria Math"/>
          <w:szCs w:val="24"/>
        </w:rPr>
        <w:t>∼</w:t>
      </w:r>
      <w:r w:rsidRPr="00AB36D0">
        <w:rPr>
          <w:szCs w:val="24"/>
        </w:rPr>
        <w:t>0.11–0.47 mmol m</w:t>
      </w:r>
      <w:r w:rsidRPr="00AB36D0">
        <w:rPr>
          <w:szCs w:val="24"/>
          <w:vertAlign w:val="superscript"/>
        </w:rPr>
        <w:t xml:space="preserve">−2 </w:t>
      </w:r>
      <w:r w:rsidRPr="00AB36D0">
        <w:rPr>
          <w:szCs w:val="24"/>
        </w:rPr>
        <w:t>day</w:t>
      </w:r>
      <w:r w:rsidRPr="00AB36D0">
        <w:rPr>
          <w:szCs w:val="24"/>
          <w:vertAlign w:val="superscript"/>
        </w:rPr>
        <w:t xml:space="preserve">−1 </w:t>
      </w:r>
      <w:r w:rsidRPr="00AB36D0">
        <w:rPr>
          <w:szCs w:val="24"/>
        </w:rPr>
        <w:t>CH</w:t>
      </w:r>
      <w:r w:rsidRPr="00AB36D0">
        <w:rPr>
          <w:szCs w:val="24"/>
          <w:vertAlign w:val="subscript"/>
        </w:rPr>
        <w:t>4</w:t>
      </w:r>
      <w:r w:rsidRPr="00AB36D0">
        <w:rPr>
          <w:szCs w:val="24"/>
        </w:rPr>
        <w:t>. The CO</w:t>
      </w:r>
      <w:r w:rsidRPr="00AB36D0">
        <w:rPr>
          <w:szCs w:val="24"/>
          <w:vertAlign w:val="subscript"/>
        </w:rPr>
        <w:t xml:space="preserve">2 </w:t>
      </w:r>
      <w:r w:rsidRPr="00AB36D0">
        <w:rPr>
          <w:szCs w:val="24"/>
        </w:rPr>
        <w:t>emissions are typical of mangrove-associated waters globally, while the CH</w:t>
      </w:r>
      <w:r w:rsidRPr="00AB36D0">
        <w:rPr>
          <w:szCs w:val="24"/>
          <w:vertAlign w:val="subscript"/>
        </w:rPr>
        <w:t xml:space="preserve">4 </w:t>
      </w:r>
      <w:r w:rsidRPr="00AB36D0">
        <w:rPr>
          <w:szCs w:val="24"/>
        </w:rPr>
        <w:t>emissions fall at the low end of the published range. Scaling to the creek open water area (2,700 km</w:t>
      </w:r>
      <w:r w:rsidRPr="00AB36D0">
        <w:rPr>
          <w:szCs w:val="24"/>
          <w:vertAlign w:val="superscript"/>
        </w:rPr>
        <w:t>2</w:t>
      </w:r>
      <w:r w:rsidRPr="00AB36D0">
        <w:rPr>
          <w:szCs w:val="24"/>
        </w:rPr>
        <w:t xml:space="preserve">) gave total annual creek water emissions </w:t>
      </w:r>
      <w:r w:rsidRPr="00AB36D0">
        <w:rPr>
          <w:rFonts w:ascii="Cambria Math" w:hAnsi="Cambria Math" w:cs="Cambria Math"/>
          <w:szCs w:val="24"/>
        </w:rPr>
        <w:t>∼</w:t>
      </w:r>
      <w:r w:rsidRPr="00AB36D0">
        <w:rPr>
          <w:szCs w:val="24"/>
        </w:rPr>
        <w:t>3.6–9.2×10</w:t>
      </w:r>
      <w:r w:rsidRPr="00AB36D0">
        <w:rPr>
          <w:szCs w:val="24"/>
          <w:vertAlign w:val="superscript"/>
        </w:rPr>
        <w:t xml:space="preserve">10 </w:t>
      </w:r>
      <w:r w:rsidRPr="00AB36D0">
        <w:rPr>
          <w:szCs w:val="24"/>
        </w:rPr>
        <w:t>mol CO</w:t>
      </w:r>
      <w:r w:rsidRPr="00AB36D0">
        <w:rPr>
          <w:szCs w:val="24"/>
          <w:vertAlign w:val="subscript"/>
        </w:rPr>
        <w:t xml:space="preserve">2 </w:t>
      </w:r>
      <w:r w:rsidRPr="00AB36D0">
        <w:rPr>
          <w:szCs w:val="24"/>
        </w:rPr>
        <w:t>and 3.7–34×10</w:t>
      </w:r>
      <w:r w:rsidRPr="00AB36D0">
        <w:rPr>
          <w:szCs w:val="24"/>
          <w:vertAlign w:val="superscript"/>
        </w:rPr>
        <w:t xml:space="preserve">7 </w:t>
      </w:r>
      <w:r w:rsidRPr="00AB36D0">
        <w:rPr>
          <w:szCs w:val="24"/>
        </w:rPr>
        <w:t>mol CH</w:t>
      </w:r>
      <w:r w:rsidRPr="00AB36D0">
        <w:rPr>
          <w:szCs w:val="24"/>
          <w:vertAlign w:val="subscript"/>
        </w:rPr>
        <w:t>4</w:t>
      </w:r>
      <w:r w:rsidRPr="00AB36D0">
        <w:rPr>
          <w:szCs w:val="24"/>
        </w:rPr>
        <w:t xml:space="preserve">. We estimated emissions from contiguous inshore waters at </w:t>
      </w:r>
      <w:r w:rsidRPr="00AB36D0">
        <w:rPr>
          <w:rFonts w:ascii="Cambria Math" w:hAnsi="Cambria Math" w:cs="Cambria Math"/>
          <w:szCs w:val="24"/>
        </w:rPr>
        <w:t>∼</w:t>
      </w:r>
      <w:r w:rsidRPr="00AB36D0">
        <w:rPr>
          <w:szCs w:val="24"/>
        </w:rPr>
        <w:t>1.5×10</w:t>
      </w:r>
      <w:r w:rsidRPr="00AB36D0">
        <w:rPr>
          <w:szCs w:val="24"/>
          <w:vertAlign w:val="superscript"/>
        </w:rPr>
        <w:t xml:space="preserve">11 </w:t>
      </w:r>
      <w:r w:rsidRPr="00AB36D0">
        <w:rPr>
          <w:szCs w:val="24"/>
        </w:rPr>
        <w:t>mol CO</w:t>
      </w:r>
      <w:r w:rsidRPr="00AB36D0">
        <w:rPr>
          <w:szCs w:val="24"/>
          <w:vertAlign w:val="subscript"/>
        </w:rPr>
        <w:t>2</w:t>
      </w:r>
      <w:r w:rsidRPr="00AB36D0">
        <w:rPr>
          <w:szCs w:val="24"/>
        </w:rPr>
        <w:t>year</w:t>
      </w:r>
      <w:r w:rsidRPr="00AB36D0">
        <w:rPr>
          <w:szCs w:val="24"/>
          <w:vertAlign w:val="superscript"/>
        </w:rPr>
        <w:t xml:space="preserve">−1 </w:t>
      </w:r>
      <w:r w:rsidRPr="00AB36D0">
        <w:rPr>
          <w:szCs w:val="24"/>
        </w:rPr>
        <w:t>and 2.6×10</w:t>
      </w:r>
      <w:r w:rsidRPr="00AB36D0">
        <w:rPr>
          <w:szCs w:val="24"/>
          <w:vertAlign w:val="superscript"/>
        </w:rPr>
        <w:t xml:space="preserve">8 </w:t>
      </w:r>
      <w:r w:rsidRPr="00AB36D0">
        <w:rPr>
          <w:szCs w:val="24"/>
        </w:rPr>
        <w:t>mol CH</w:t>
      </w:r>
      <w:r w:rsidRPr="00AB36D0">
        <w:rPr>
          <w:szCs w:val="24"/>
          <w:vertAlign w:val="subscript"/>
        </w:rPr>
        <w:t>4</w:t>
      </w:r>
      <w:r w:rsidRPr="00AB36D0">
        <w:rPr>
          <w:szCs w:val="24"/>
        </w:rPr>
        <w:t>year</w:t>
      </w:r>
      <w:r w:rsidRPr="00AB36D0">
        <w:rPr>
          <w:szCs w:val="24"/>
          <w:vertAlign w:val="superscript"/>
        </w:rPr>
        <w:t>−1</w:t>
      </w:r>
      <w:r w:rsidRPr="00AB36D0">
        <w:rPr>
          <w:szCs w:val="24"/>
        </w:rPr>
        <w:t xml:space="preserve">, giving total emissions of </w:t>
      </w:r>
      <w:r w:rsidRPr="00AB36D0">
        <w:rPr>
          <w:rFonts w:ascii="Cambria Math" w:hAnsi="Cambria Math" w:cs="Cambria Math"/>
          <w:szCs w:val="24"/>
        </w:rPr>
        <w:t>∼</w:t>
      </w:r>
      <w:r w:rsidRPr="00AB36D0">
        <w:rPr>
          <w:szCs w:val="24"/>
        </w:rPr>
        <w:t>1.9×10</w:t>
      </w:r>
      <w:r w:rsidRPr="00AB36D0">
        <w:rPr>
          <w:szCs w:val="24"/>
          <w:vertAlign w:val="superscript"/>
        </w:rPr>
        <w:t xml:space="preserve">11 </w:t>
      </w:r>
      <w:r w:rsidRPr="00AB36D0">
        <w:rPr>
          <w:szCs w:val="24"/>
        </w:rPr>
        <w:t>mol CO</w:t>
      </w:r>
      <w:r w:rsidRPr="00AB36D0">
        <w:rPr>
          <w:szCs w:val="24"/>
          <w:vertAlign w:val="subscript"/>
        </w:rPr>
        <w:t>2</w:t>
      </w:r>
      <w:r w:rsidRPr="00AB36D0">
        <w:rPr>
          <w:szCs w:val="24"/>
        </w:rPr>
        <w:t>year</w:t>
      </w:r>
      <w:r w:rsidRPr="00AB36D0">
        <w:rPr>
          <w:szCs w:val="24"/>
          <w:vertAlign w:val="superscript"/>
        </w:rPr>
        <w:t xml:space="preserve">−1 </w:t>
      </w:r>
      <w:r w:rsidRPr="00AB36D0">
        <w:rPr>
          <w:szCs w:val="24"/>
        </w:rPr>
        <w:t xml:space="preserve">and </w:t>
      </w:r>
      <w:r w:rsidRPr="00AB36D0">
        <w:rPr>
          <w:rFonts w:ascii="Cambria Math" w:hAnsi="Cambria Math" w:cs="Cambria Math"/>
          <w:szCs w:val="24"/>
        </w:rPr>
        <w:t>∼</w:t>
      </w:r>
      <w:r w:rsidRPr="00AB36D0">
        <w:rPr>
          <w:szCs w:val="24"/>
        </w:rPr>
        <w:t>3.0×10</w:t>
      </w:r>
      <w:r w:rsidRPr="00AB36D0">
        <w:rPr>
          <w:szCs w:val="24"/>
          <w:vertAlign w:val="superscript"/>
        </w:rPr>
        <w:t xml:space="preserve">8 </w:t>
      </w:r>
      <w:r w:rsidRPr="00AB36D0">
        <w:rPr>
          <w:szCs w:val="24"/>
        </w:rPr>
        <w:t>mol CH</w:t>
      </w:r>
      <w:r w:rsidRPr="00AB36D0">
        <w:rPr>
          <w:szCs w:val="24"/>
          <w:vertAlign w:val="subscript"/>
        </w:rPr>
        <w:t>4</w:t>
      </w:r>
      <w:r w:rsidRPr="00AB36D0">
        <w:rPr>
          <w:szCs w:val="24"/>
        </w:rPr>
        <w:t>year</w:t>
      </w:r>
      <w:r w:rsidRPr="00AB36D0">
        <w:rPr>
          <w:szCs w:val="24"/>
          <w:vertAlign w:val="superscript"/>
        </w:rPr>
        <w:t xml:space="preserve">−1 </w:t>
      </w:r>
      <w:r w:rsidRPr="00AB36D0">
        <w:rPr>
          <w:szCs w:val="24"/>
        </w:rPr>
        <w:t xml:space="preserve">from a total area of mangrove-influenced water of </w:t>
      </w:r>
      <w:r w:rsidRPr="00AB36D0">
        <w:rPr>
          <w:rFonts w:ascii="Cambria Math" w:hAnsi="Cambria Math" w:cs="Cambria Math"/>
          <w:szCs w:val="24"/>
        </w:rPr>
        <w:t>∼</w:t>
      </w:r>
      <w:r w:rsidRPr="00AB36D0">
        <w:rPr>
          <w:szCs w:val="24"/>
        </w:rPr>
        <w:t>3×10</w:t>
      </w:r>
      <w:r w:rsidRPr="00AB36D0">
        <w:rPr>
          <w:szCs w:val="24"/>
          <w:vertAlign w:val="superscript"/>
        </w:rPr>
        <w:t xml:space="preserve">4 </w:t>
      </w:r>
      <w:r w:rsidRPr="00AB36D0">
        <w:rPr>
          <w:szCs w:val="24"/>
        </w:rPr>
        <w:t>km</w:t>
      </w:r>
      <w:r w:rsidRPr="00AB36D0">
        <w:rPr>
          <w:szCs w:val="24"/>
          <w:vertAlign w:val="superscript"/>
        </w:rPr>
        <w:t>2</w:t>
      </w:r>
      <w:r w:rsidRPr="00AB36D0">
        <w:rPr>
          <w:szCs w:val="24"/>
        </w:rPr>
        <w:t xml:space="preserve">. Evaluating such emissions in a range of mangrove environments is important to resolving the greenhouse gas balance of mangrove ecosystems globally. </w:t>
      </w:r>
    </w:p>
    <w:p w14:paraId="135ABC93" w14:textId="5FE14A77" w:rsidR="00AB36D0" w:rsidRDefault="00AB36D0" w:rsidP="00AB36D0">
      <w:pPr>
        <w:pStyle w:val="ListParagraph"/>
        <w:spacing w:after="3" w:line="256" w:lineRule="auto"/>
        <w:rPr>
          <w:szCs w:val="24"/>
        </w:rPr>
      </w:pPr>
      <w:r>
        <w:rPr>
          <w:szCs w:val="24"/>
        </w:rPr>
        <w:t xml:space="preserve">Imp table: </w:t>
      </w:r>
      <w:r w:rsidRPr="00AB36D0">
        <w:rPr>
          <w:szCs w:val="24"/>
        </w:rPr>
        <w:t>Future such studies should be integral to wider quantitative process studies of the mangrove carbon balance.</w:t>
      </w:r>
    </w:p>
    <w:p w14:paraId="0BE39093" w14:textId="18698A1A" w:rsidR="00AB36D0" w:rsidRDefault="00AB36D0" w:rsidP="00AB36D0">
      <w:pPr>
        <w:pStyle w:val="ListParagraph"/>
        <w:numPr>
          <w:ilvl w:val="0"/>
          <w:numId w:val="10"/>
        </w:numPr>
        <w:spacing w:after="3" w:line="256" w:lineRule="auto"/>
        <w:rPr>
          <w:szCs w:val="24"/>
        </w:rPr>
      </w:pPr>
      <w:r>
        <w:rPr>
          <w:szCs w:val="24"/>
        </w:rPr>
        <w:t>Diurnal and seasonal patterns of soil co2 efflux from the Pichavam mangroves, India</w:t>
      </w:r>
    </w:p>
    <w:p w14:paraId="5B587597" w14:textId="77777777" w:rsidR="00E02A4D" w:rsidRDefault="00E02A4D" w:rsidP="00E02A4D">
      <w:pPr>
        <w:spacing w:after="3" w:line="256" w:lineRule="auto"/>
        <w:rPr>
          <w:szCs w:val="24"/>
        </w:rPr>
      </w:pPr>
    </w:p>
    <w:p w14:paraId="6D6BC6DD" w14:textId="77777777" w:rsidR="00E02A4D" w:rsidRDefault="00E02A4D" w:rsidP="00E02A4D">
      <w:pPr>
        <w:spacing w:after="3" w:line="256" w:lineRule="auto"/>
        <w:rPr>
          <w:szCs w:val="24"/>
        </w:rPr>
      </w:pPr>
    </w:p>
    <w:p w14:paraId="06F3C590" w14:textId="77777777" w:rsidR="00E02A4D" w:rsidRPr="00E02A4D" w:rsidRDefault="00E02A4D" w:rsidP="00E02A4D">
      <w:pPr>
        <w:pStyle w:val="ListParagraph"/>
        <w:framePr w:wrap="around" w:vAnchor="text" w:hAnchor="margin" w:y="1"/>
        <w:spacing w:after="29"/>
        <w:rPr>
          <w:lang w:val="en-IN"/>
        </w:rPr>
      </w:pPr>
      <w:r>
        <w:t>The diurnal and seasonal variation of soil carbon dioxide (CO</w:t>
      </w:r>
      <w:r w:rsidRPr="00AB36D0">
        <w:rPr>
          <w:vertAlign w:val="subscript"/>
        </w:rPr>
        <w:t>2</w:t>
      </w:r>
      <w:r>
        <w:t>) flux was measured in the Pichavaram mangrove forest, the Southeast coast of India from February 2016 to October 2016 using an automated soil CO</w:t>
      </w:r>
      <w:r w:rsidRPr="00AB36D0">
        <w:rPr>
          <w:vertAlign w:val="subscript"/>
        </w:rPr>
        <w:t xml:space="preserve">2 </w:t>
      </w:r>
      <w:r>
        <w:t>flux chamber system. Maximum soil CO</w:t>
      </w:r>
      <w:r w:rsidRPr="00AB36D0">
        <w:rPr>
          <w:vertAlign w:val="subscript"/>
        </w:rPr>
        <w:t xml:space="preserve">2 </w:t>
      </w:r>
      <w:r>
        <w:t>efflux reached at 14:00 h and minimum at 00:00 h. The surface soil CO</w:t>
      </w:r>
      <w:r w:rsidRPr="00AB36D0">
        <w:rPr>
          <w:vertAlign w:val="subscript"/>
        </w:rPr>
        <w:t xml:space="preserve">2 </w:t>
      </w:r>
      <w:r>
        <w:t>concentration ranged from 375 to 532 ppm with the mean 405 ± 18 ppm. The daily soil CO</w:t>
      </w:r>
      <w:r w:rsidRPr="00AB36D0">
        <w:rPr>
          <w:vertAlign w:val="subscript"/>
        </w:rPr>
        <w:t xml:space="preserve">2 </w:t>
      </w:r>
      <w:r>
        <w:t xml:space="preserve">flux varied from near zero to aboutm7 </w:t>
      </w:r>
      <w:r w:rsidRPr="00E02A4D">
        <w:rPr>
          <w:rFonts w:ascii="Calibri" w:eastAsia="Calibri" w:hAnsi="Calibri" w:cs="Calibri"/>
        </w:rPr>
        <w:t>μ</w:t>
      </w:r>
      <w:r>
        <w:t>mol m</w:t>
      </w:r>
      <w:r w:rsidRPr="00E02A4D">
        <w:rPr>
          <w:rFonts w:ascii="Calibri" w:eastAsia="Calibri" w:hAnsi="Calibri" w:cs="Calibri"/>
          <w:vertAlign w:val="superscript"/>
        </w:rPr>
        <w:t>−</w:t>
      </w:r>
      <w:r w:rsidRPr="00E02A4D">
        <w:rPr>
          <w:vertAlign w:val="superscript"/>
        </w:rPr>
        <w:t xml:space="preserve">2 </w:t>
      </w:r>
      <w:r>
        <w:t>s</w:t>
      </w:r>
      <w:r w:rsidRPr="00E02A4D">
        <w:rPr>
          <w:rFonts w:ascii="Calibri" w:eastAsia="Calibri" w:hAnsi="Calibri" w:cs="Calibri"/>
          <w:vertAlign w:val="superscript"/>
        </w:rPr>
        <w:t>−</w:t>
      </w:r>
      <w:r w:rsidRPr="00E02A4D">
        <w:rPr>
          <w:vertAlign w:val="superscript"/>
        </w:rPr>
        <w:t xml:space="preserve">1 </w:t>
      </w:r>
      <w:r>
        <w:t xml:space="preserve">with a mean value of 2.4 ± 1.3 </w:t>
      </w:r>
      <w:r w:rsidRPr="00E02A4D">
        <w:rPr>
          <w:rFonts w:ascii="Calibri" w:eastAsia="Calibri" w:hAnsi="Calibri" w:cs="Calibri"/>
        </w:rPr>
        <w:t>μ</w:t>
      </w:r>
      <w:r>
        <w:t>mol m</w:t>
      </w:r>
      <w:r w:rsidRPr="00E02A4D">
        <w:rPr>
          <w:rFonts w:ascii="Calibri" w:eastAsia="Calibri" w:hAnsi="Calibri" w:cs="Calibri"/>
          <w:vertAlign w:val="superscript"/>
        </w:rPr>
        <w:t>−</w:t>
      </w:r>
      <w:r w:rsidRPr="00E02A4D">
        <w:rPr>
          <w:vertAlign w:val="superscript"/>
        </w:rPr>
        <w:t xml:space="preserve">2 </w:t>
      </w:r>
      <w:r>
        <w:t>s</w:t>
      </w:r>
      <w:r w:rsidRPr="00E02A4D">
        <w:rPr>
          <w:rFonts w:ascii="Calibri" w:eastAsia="Calibri" w:hAnsi="Calibri" w:cs="Calibri"/>
          <w:vertAlign w:val="superscript"/>
        </w:rPr>
        <w:t>−</w:t>
      </w:r>
      <w:r w:rsidRPr="00E02A4D">
        <w:rPr>
          <w:vertAlign w:val="superscript"/>
        </w:rPr>
        <w:t>1</w:t>
      </w:r>
      <w:r>
        <w:t>. The highest seasonal CO</w:t>
      </w:r>
      <w:r w:rsidRPr="00E02A4D">
        <w:rPr>
          <w:vertAlign w:val="subscript"/>
        </w:rPr>
        <w:t xml:space="preserve">2 </w:t>
      </w:r>
      <w:r>
        <w:t xml:space="preserve">efflux from soil was during the summer and premonsoon seasons, </w:t>
      </w:r>
      <w:r w:rsidRPr="00E02A4D">
        <w:rPr>
          <w:lang w:val="en-IN"/>
        </w:rPr>
        <w:t>whereas low flux values were recorded during the monsoon season. Soil CO</w:t>
      </w:r>
      <w:r w:rsidRPr="00E02A4D">
        <w:rPr>
          <w:vertAlign w:val="subscript"/>
          <w:lang w:val="en-IN"/>
        </w:rPr>
        <w:t xml:space="preserve">2 </w:t>
      </w:r>
      <w:r w:rsidRPr="00E02A4D">
        <w:rPr>
          <w:lang w:val="en-IN"/>
        </w:rPr>
        <w:t>efflux values were highly correlated with soil temperature. Tidal inundation during monsoon season, extreme drought condition in summer, and unusual precipitation are the major factors controlling the soil CO</w:t>
      </w:r>
      <w:r w:rsidRPr="00E02A4D">
        <w:rPr>
          <w:vertAlign w:val="subscript"/>
          <w:lang w:val="en-IN"/>
        </w:rPr>
        <w:t xml:space="preserve">2 </w:t>
      </w:r>
      <w:r w:rsidRPr="00E02A4D">
        <w:rPr>
          <w:lang w:val="en-IN"/>
        </w:rPr>
        <w:t>flux.</w:t>
      </w:r>
      <w:r>
        <w:rPr>
          <w:lang w:val="en-IN"/>
        </w:rPr>
        <w:t xml:space="preserve"> </w:t>
      </w:r>
      <w:r w:rsidRPr="00E02A4D">
        <w:rPr>
          <w:lang w:val="en-IN"/>
        </w:rPr>
        <w:t>The diurnal and seasonal patterns of soil CO</w:t>
      </w:r>
      <w:r w:rsidRPr="00E02A4D">
        <w:rPr>
          <w:vertAlign w:val="subscript"/>
          <w:lang w:val="en-IN"/>
        </w:rPr>
        <w:t xml:space="preserve">2 </w:t>
      </w:r>
      <w:r w:rsidRPr="00E02A4D">
        <w:rPr>
          <w:lang w:val="en-IN"/>
        </w:rPr>
        <w:t>efflux at the Pichavaram mangrove forest were studied using an automated chamber system. The soil CO</w:t>
      </w:r>
      <w:r w:rsidRPr="00E02A4D">
        <w:rPr>
          <w:vertAlign w:val="subscript"/>
          <w:lang w:val="en-IN"/>
        </w:rPr>
        <w:t xml:space="preserve">2 </w:t>
      </w:r>
      <w:r w:rsidRPr="00E02A4D">
        <w:rPr>
          <w:lang w:val="en-IN"/>
        </w:rPr>
        <w:t>flux reached its maximum during the mid-day hours and recorded the lowest values at midnight. On seasonal timescale, the highest soil CO</w:t>
      </w:r>
      <w:r w:rsidRPr="00E02A4D">
        <w:rPr>
          <w:vertAlign w:val="subscript"/>
          <w:lang w:val="en-IN"/>
        </w:rPr>
        <w:t xml:space="preserve">2 </w:t>
      </w:r>
      <w:r w:rsidRPr="00E02A4D">
        <w:rPr>
          <w:lang w:val="en-IN"/>
        </w:rPr>
        <w:t>efflux was observed during the summer and premonsoon seasons and low fluxes were recorded during the monsoon season. The daily mean soil respiration value in the study area was 2.37±1.28 μmol m</w:t>
      </w:r>
      <w:r w:rsidRPr="00E02A4D">
        <w:rPr>
          <w:vertAlign w:val="superscript"/>
          <w:lang w:val="en-IN"/>
        </w:rPr>
        <w:t xml:space="preserve">−2 </w:t>
      </w:r>
      <w:r w:rsidRPr="00E02A4D">
        <w:rPr>
          <w:lang w:val="en-IN"/>
        </w:rPr>
        <w:t>s</w:t>
      </w:r>
      <w:r w:rsidRPr="00E02A4D">
        <w:rPr>
          <w:vertAlign w:val="superscript"/>
          <w:lang w:val="en-IN"/>
        </w:rPr>
        <w:t>−1</w:t>
      </w:r>
      <w:r w:rsidRPr="00E02A4D">
        <w:rPr>
          <w:lang w:val="en-IN"/>
        </w:rPr>
        <w:t>. The highest soil respiration was noted in the Avicennia sp. zone than the Rhizophora zone. Soil respiration values were also highly correlated with soil temperature with respect to the season. Further study is needed to map the entire mangrove forest with different locations of the mangroves to understand the nature of inter-annual variation.</w:t>
      </w:r>
    </w:p>
    <w:p w14:paraId="3F82AFE6" w14:textId="50EEEC45" w:rsidR="00E02A4D" w:rsidRPr="00E02A4D" w:rsidRDefault="00E02A4D" w:rsidP="00E02A4D">
      <w:pPr>
        <w:pStyle w:val="ListParagraph"/>
        <w:framePr w:wrap="around" w:vAnchor="text" w:hAnchor="margin" w:y="1"/>
        <w:spacing w:after="29"/>
        <w:rPr>
          <w:lang w:val="en-IN"/>
        </w:rPr>
      </w:pPr>
    </w:p>
    <w:p w14:paraId="0A078EEB" w14:textId="13A2CFAE" w:rsidR="00E02A4D" w:rsidRDefault="00E02A4D" w:rsidP="00E02A4D">
      <w:pPr>
        <w:pStyle w:val="ListParagraph"/>
        <w:framePr w:wrap="around" w:vAnchor="text" w:hAnchor="margin" w:y="1"/>
        <w:spacing w:after="29"/>
      </w:pPr>
    </w:p>
    <w:p w14:paraId="037DBEA6" w14:textId="77777777" w:rsidR="00E02A4D" w:rsidRPr="00E02A4D" w:rsidRDefault="00E02A4D" w:rsidP="00E02A4D">
      <w:pPr>
        <w:spacing w:after="3" w:line="256" w:lineRule="auto"/>
        <w:rPr>
          <w:szCs w:val="24"/>
        </w:rPr>
      </w:pPr>
    </w:p>
    <w:p w14:paraId="685ED769" w14:textId="77777777" w:rsidR="00AB36D0" w:rsidRDefault="00AB36D0" w:rsidP="00AB36D0">
      <w:pPr>
        <w:pStyle w:val="ListParagraph"/>
        <w:spacing w:after="3" w:line="256" w:lineRule="auto"/>
        <w:rPr>
          <w:szCs w:val="24"/>
        </w:rPr>
      </w:pPr>
    </w:p>
    <w:p w14:paraId="13E73995" w14:textId="77777777" w:rsidR="00AB36D0" w:rsidRDefault="00AB36D0" w:rsidP="00AB36D0">
      <w:pPr>
        <w:pStyle w:val="ListParagraph"/>
        <w:spacing w:after="3" w:line="256" w:lineRule="auto"/>
        <w:rPr>
          <w:szCs w:val="24"/>
        </w:rPr>
      </w:pPr>
    </w:p>
    <w:p w14:paraId="085FC2C6" w14:textId="340A11C1" w:rsidR="00AB36D0" w:rsidRDefault="00AB36D0" w:rsidP="00E02A4D">
      <w:pPr>
        <w:pStyle w:val="ListParagraph"/>
        <w:numPr>
          <w:ilvl w:val="0"/>
          <w:numId w:val="10"/>
        </w:numPr>
        <w:spacing w:after="3" w:line="256" w:lineRule="auto"/>
        <w:rPr>
          <w:szCs w:val="24"/>
        </w:rPr>
      </w:pPr>
    </w:p>
    <w:p w14:paraId="492663E2" w14:textId="77777777" w:rsidR="00AB36D0" w:rsidRDefault="00AB36D0" w:rsidP="00AB36D0">
      <w:pPr>
        <w:pStyle w:val="ListParagraph"/>
        <w:spacing w:after="3" w:line="256" w:lineRule="auto"/>
        <w:rPr>
          <w:szCs w:val="24"/>
        </w:rPr>
      </w:pPr>
    </w:p>
    <w:p w14:paraId="0B214129" w14:textId="77777777" w:rsidR="00AB36D0" w:rsidRDefault="00AB36D0" w:rsidP="00AB36D0">
      <w:pPr>
        <w:pStyle w:val="ListParagraph"/>
        <w:spacing w:after="3" w:line="256" w:lineRule="auto"/>
        <w:rPr>
          <w:szCs w:val="24"/>
        </w:rPr>
      </w:pPr>
    </w:p>
    <w:p w14:paraId="07364283" w14:textId="77777777" w:rsidR="00AB36D0" w:rsidRDefault="00AB36D0" w:rsidP="00AB36D0">
      <w:pPr>
        <w:pStyle w:val="ListParagraph"/>
        <w:spacing w:after="3" w:line="256" w:lineRule="auto"/>
        <w:rPr>
          <w:szCs w:val="24"/>
        </w:rPr>
      </w:pPr>
    </w:p>
    <w:p w14:paraId="3B270CBE" w14:textId="6775EFE8" w:rsidR="00AB36D0" w:rsidRDefault="00AB36D0" w:rsidP="00AB36D0">
      <w:pPr>
        <w:pStyle w:val="ListParagraph"/>
        <w:spacing w:after="3" w:line="256" w:lineRule="auto"/>
        <w:rPr>
          <w:szCs w:val="24"/>
        </w:rPr>
      </w:pPr>
    </w:p>
    <w:p w14:paraId="12466DD8" w14:textId="77777777" w:rsidR="00AB36D0" w:rsidRDefault="00AB36D0" w:rsidP="00AB36D0">
      <w:pPr>
        <w:pStyle w:val="ListParagraph"/>
        <w:spacing w:after="3" w:line="256" w:lineRule="auto"/>
        <w:rPr>
          <w:szCs w:val="24"/>
        </w:rPr>
      </w:pPr>
    </w:p>
    <w:p w14:paraId="77DEFF7F" w14:textId="77777777" w:rsidR="00AB36D0" w:rsidRPr="00AB36D0" w:rsidRDefault="00AB36D0" w:rsidP="00AB36D0">
      <w:pPr>
        <w:pStyle w:val="ListParagraph"/>
        <w:framePr w:wrap="auto" w:hAnchor="text" w:y="1"/>
        <w:spacing w:after="3"/>
        <w:rPr>
          <w:szCs w:val="24"/>
          <w:lang w:val="en-IN"/>
        </w:rPr>
      </w:pPr>
      <w:r w:rsidRPr="00AB36D0">
        <w:rPr>
          <w:szCs w:val="24"/>
          <w:lang w:val="en-IN"/>
        </w:rPr>
        <w:t>Previously published estimates of CO</w:t>
      </w:r>
      <w:r w:rsidRPr="00AB36D0">
        <w:rPr>
          <w:szCs w:val="24"/>
          <w:vertAlign w:val="subscript"/>
          <w:lang w:val="en-IN"/>
        </w:rPr>
        <w:t xml:space="preserve">2 </w:t>
      </w:r>
      <w:r w:rsidRPr="00AB36D0">
        <w:rPr>
          <w:szCs w:val="24"/>
          <w:lang w:val="en-IN"/>
        </w:rPr>
        <w:t>and CH</w:t>
      </w:r>
      <w:r w:rsidRPr="00AB36D0">
        <w:rPr>
          <w:szCs w:val="24"/>
          <w:vertAlign w:val="subscript"/>
          <w:lang w:val="en-IN"/>
        </w:rPr>
        <w:t xml:space="preserve">4 </w:t>
      </w:r>
      <w:r w:rsidRPr="00AB36D0">
        <w:rPr>
          <w:szCs w:val="24"/>
          <w:lang w:val="en-IN"/>
        </w:rPr>
        <w:t>emissions from mangrove surrounding waters</w:t>
      </w:r>
    </w:p>
    <w:p w14:paraId="11E36A54" w14:textId="015C42A4" w:rsidR="00AB36D0" w:rsidRPr="00AB36D0" w:rsidRDefault="00AB36D0" w:rsidP="00AB36D0">
      <w:pPr>
        <w:pStyle w:val="ListParagraph"/>
        <w:spacing w:after="3" w:line="256" w:lineRule="auto"/>
        <w:rPr>
          <w:szCs w:val="24"/>
        </w:rPr>
        <w:sectPr w:rsidR="00AB36D0" w:rsidRPr="00AB36D0" w:rsidSect="00AB36D0">
          <w:pgSz w:w="11906" w:h="15817"/>
          <w:pgMar w:top="907" w:right="2013" w:bottom="1497" w:left="1021" w:header="34" w:footer="953" w:gutter="0"/>
          <w:cols w:space="720"/>
        </w:sectPr>
      </w:pPr>
    </w:p>
    <w:p w14:paraId="10A3B5F3" w14:textId="0C54A539" w:rsidR="005908CD" w:rsidRDefault="005908CD" w:rsidP="005908CD">
      <w:pPr>
        <w:pStyle w:val="ListParagraph"/>
        <w:spacing w:after="244"/>
        <w:ind w:right="32"/>
      </w:pPr>
    </w:p>
    <w:p w14:paraId="19FB90C6" w14:textId="77777777" w:rsidR="00935448" w:rsidRPr="00E54E43" w:rsidRDefault="00935448" w:rsidP="00935448">
      <w:pPr>
        <w:pStyle w:val="ListParagraph"/>
        <w:spacing w:after="244"/>
        <w:ind w:right="32"/>
      </w:pPr>
    </w:p>
    <w:p w14:paraId="04327E7C" w14:textId="225B0AAA" w:rsidR="00685AE6" w:rsidRPr="003B59AE" w:rsidRDefault="00685AE6" w:rsidP="003B59AE">
      <w:pPr>
        <w:pStyle w:val="ListParagraph"/>
        <w:spacing w:before="100" w:beforeAutospacing="1" w:after="100" w:afterAutospacing="1" w:line="240" w:lineRule="auto"/>
        <w:rPr>
          <w:rFonts w:eastAsia="Times New Roman"/>
          <w:szCs w:val="24"/>
        </w:rPr>
      </w:pPr>
    </w:p>
    <w:p w14:paraId="202AFF17" w14:textId="77777777" w:rsidR="00685AE6" w:rsidRPr="00685AE6" w:rsidRDefault="00685AE6" w:rsidP="00685AE6">
      <w:pPr>
        <w:numPr>
          <w:ilvl w:val="0"/>
          <w:numId w:val="4"/>
        </w:numPr>
        <w:spacing w:before="100" w:beforeAutospacing="1" w:after="100" w:afterAutospacing="1" w:line="240" w:lineRule="auto"/>
        <w:rPr>
          <w:rFonts w:eastAsia="Times New Roman"/>
          <w:szCs w:val="24"/>
        </w:rPr>
      </w:pPr>
      <w:r w:rsidRPr="00685AE6">
        <w:rPr>
          <w:rFonts w:eastAsia="Times New Roman"/>
          <w:szCs w:val="24"/>
        </w:rPr>
        <w:t>Methodological approaches used in India</w:t>
      </w:r>
    </w:p>
    <w:p w14:paraId="2C88D6FF" w14:textId="77777777" w:rsidR="00685AE6" w:rsidRPr="00685AE6" w:rsidRDefault="00685AE6" w:rsidP="00685AE6">
      <w:pPr>
        <w:numPr>
          <w:ilvl w:val="1"/>
          <w:numId w:val="4"/>
        </w:numPr>
        <w:spacing w:before="100" w:beforeAutospacing="1" w:after="100" w:afterAutospacing="1" w:line="240" w:lineRule="auto"/>
        <w:rPr>
          <w:rFonts w:eastAsia="Times New Roman"/>
          <w:szCs w:val="24"/>
        </w:rPr>
      </w:pPr>
      <w:r w:rsidRPr="00685AE6">
        <w:rPr>
          <w:rFonts w:eastAsia="Times New Roman"/>
          <w:szCs w:val="24"/>
        </w:rPr>
        <w:t>Biomass-based, soil flux, or remote sensing-based estimation</w:t>
      </w:r>
    </w:p>
    <w:p w14:paraId="18ACAC9C" w14:textId="77777777" w:rsidR="00685AE6" w:rsidRPr="00685AE6" w:rsidRDefault="00685AE6" w:rsidP="00685AE6">
      <w:pPr>
        <w:numPr>
          <w:ilvl w:val="0"/>
          <w:numId w:val="4"/>
        </w:numPr>
        <w:spacing w:before="100" w:beforeAutospacing="1" w:after="100" w:afterAutospacing="1" w:line="240" w:lineRule="auto"/>
        <w:rPr>
          <w:rFonts w:eastAsia="Times New Roman"/>
          <w:szCs w:val="24"/>
        </w:rPr>
      </w:pPr>
      <w:r w:rsidRPr="00685AE6">
        <w:rPr>
          <w:rFonts w:eastAsia="Times New Roman"/>
          <w:szCs w:val="24"/>
        </w:rPr>
        <w:t>Reported GHG emission/sequestration rates</w:t>
      </w:r>
    </w:p>
    <w:p w14:paraId="3366AA73" w14:textId="77777777" w:rsidR="00685AE6" w:rsidRPr="00685AE6" w:rsidRDefault="00685AE6" w:rsidP="00685AE6">
      <w:pPr>
        <w:numPr>
          <w:ilvl w:val="0"/>
          <w:numId w:val="4"/>
        </w:numPr>
        <w:spacing w:before="100" w:beforeAutospacing="1" w:after="100" w:afterAutospacing="1" w:line="240" w:lineRule="auto"/>
        <w:rPr>
          <w:rFonts w:eastAsia="Times New Roman"/>
          <w:szCs w:val="24"/>
        </w:rPr>
      </w:pPr>
      <w:r w:rsidRPr="00685AE6">
        <w:rPr>
          <w:rFonts w:eastAsia="Times New Roman"/>
          <w:szCs w:val="24"/>
        </w:rPr>
        <w:t>Link with national carbon accounting and climate policies (e.g., NDCs, ICAP)</w:t>
      </w:r>
    </w:p>
    <w:p w14:paraId="04A5C616" w14:textId="77777777" w:rsidR="00685AE6" w:rsidRPr="00685AE6" w:rsidRDefault="00000000" w:rsidP="00685AE6">
      <w:pPr>
        <w:spacing w:after="0" w:line="240" w:lineRule="auto"/>
        <w:rPr>
          <w:rFonts w:eastAsia="Times New Roman"/>
          <w:szCs w:val="24"/>
        </w:rPr>
      </w:pPr>
      <w:r>
        <w:rPr>
          <w:rFonts w:eastAsia="Times New Roman"/>
          <w:szCs w:val="24"/>
        </w:rPr>
        <w:pict w14:anchorId="5C892112">
          <v:rect id="_x0000_i1028" style="width:0;height:1.5pt" o:hralign="center" o:hrstd="t" o:hr="t" fillcolor="#a0a0a0" stroked="f"/>
        </w:pict>
      </w:r>
    </w:p>
    <w:p w14:paraId="66ACF855" w14:textId="77777777" w:rsidR="00685AE6" w:rsidRDefault="00685AE6" w:rsidP="00685AE6">
      <w:pPr>
        <w:spacing w:before="100" w:beforeAutospacing="1" w:after="100" w:afterAutospacing="1" w:line="240" w:lineRule="auto"/>
        <w:outlineLvl w:val="3"/>
        <w:rPr>
          <w:rFonts w:eastAsia="Times New Roman"/>
          <w:b/>
          <w:bCs/>
          <w:szCs w:val="24"/>
        </w:rPr>
      </w:pPr>
      <w:r w:rsidRPr="00685AE6">
        <w:rPr>
          <w:rFonts w:eastAsia="Times New Roman"/>
          <w:b/>
          <w:bCs/>
          <w:szCs w:val="24"/>
        </w:rPr>
        <w:t>5. Comparative Analysis: India vs. Global Studies</w:t>
      </w:r>
    </w:p>
    <w:p w14:paraId="658FDC67" w14:textId="77777777" w:rsidR="00E004F7" w:rsidRDefault="00E004F7" w:rsidP="00685AE6">
      <w:pPr>
        <w:spacing w:before="100" w:beforeAutospacing="1" w:after="100" w:afterAutospacing="1" w:line="240" w:lineRule="auto"/>
        <w:outlineLvl w:val="3"/>
        <w:rPr>
          <w:rFonts w:eastAsia="Times New Roman"/>
          <w:b/>
          <w:bCs/>
          <w:szCs w:val="24"/>
        </w:rPr>
      </w:pPr>
    </w:p>
    <w:p w14:paraId="4421D6A2" w14:textId="0905BD8C" w:rsidR="00E004F7" w:rsidRPr="00E004F7" w:rsidRDefault="00E004F7" w:rsidP="00685AE6">
      <w:pPr>
        <w:spacing w:before="100" w:beforeAutospacing="1" w:after="100" w:afterAutospacing="1" w:line="240" w:lineRule="auto"/>
        <w:outlineLvl w:val="3"/>
        <w:rPr>
          <w:rFonts w:eastAsia="Times New Roman"/>
          <w:b/>
          <w:bCs/>
          <w:szCs w:val="24"/>
          <w:highlight w:val="yellow"/>
        </w:rPr>
      </w:pPr>
      <w:r w:rsidRPr="00E004F7">
        <w:rPr>
          <w:rFonts w:eastAsia="Times New Roman"/>
          <w:b/>
          <w:bCs/>
          <w:szCs w:val="24"/>
          <w:highlight w:val="yellow"/>
        </w:rPr>
        <w:t>Figure 3. A schematic representation of an overall carbon budget for Asia-Pacific mangroves, applying a box model to summarize values across all studies (year of studies from 2011 to 2020).</w:t>
      </w:r>
    </w:p>
    <w:p w14:paraId="4558AE5C" w14:textId="570F1FB3" w:rsidR="00E004F7" w:rsidRPr="00E004F7" w:rsidRDefault="00E004F7" w:rsidP="00685AE6">
      <w:pPr>
        <w:spacing w:before="100" w:beforeAutospacing="1" w:after="100" w:afterAutospacing="1" w:line="240" w:lineRule="auto"/>
        <w:outlineLvl w:val="3"/>
        <w:rPr>
          <w:rFonts w:eastAsia="Times New Roman"/>
          <w:b/>
          <w:bCs/>
          <w:szCs w:val="24"/>
          <w:highlight w:val="yellow"/>
        </w:rPr>
      </w:pPr>
      <w:r w:rsidRPr="00E004F7">
        <w:rPr>
          <w:rFonts w:eastAsia="Times New Roman"/>
          <w:b/>
          <w:bCs/>
          <w:szCs w:val="24"/>
          <w:highlight w:val="yellow"/>
        </w:rPr>
        <w:t xml:space="preserve">Details of studies in asia pacific and gap identified. Imp for baseline data here. </w:t>
      </w:r>
    </w:p>
    <w:p w14:paraId="0354B8A4" w14:textId="750B29D1" w:rsidR="00E004F7" w:rsidRPr="00685AE6" w:rsidRDefault="00E004F7" w:rsidP="00E004F7">
      <w:pPr>
        <w:spacing w:before="100" w:beforeAutospacing="1" w:after="100" w:afterAutospacing="1" w:line="240" w:lineRule="auto"/>
        <w:jc w:val="both"/>
        <w:outlineLvl w:val="3"/>
        <w:rPr>
          <w:rFonts w:eastAsia="Times New Roman"/>
          <w:b/>
          <w:bCs/>
          <w:szCs w:val="24"/>
        </w:rPr>
      </w:pPr>
      <w:r w:rsidRPr="00E004F7">
        <w:rPr>
          <w:rFonts w:eastAsia="Times New Roman"/>
          <w:b/>
          <w:bCs/>
          <w:szCs w:val="24"/>
          <w:highlight w:val="yellow"/>
        </w:rPr>
        <w:t>Sharma, S., Ray, R., Martius, C., &amp; Murdiyarso, D. (2023). Carbon stocks and fluxes in Asia-Pacific mangroves: current knowledge and gaps. </w:t>
      </w:r>
      <w:r w:rsidRPr="00E004F7">
        <w:rPr>
          <w:rFonts w:eastAsia="Times New Roman"/>
          <w:b/>
          <w:bCs/>
          <w:i/>
          <w:iCs/>
          <w:szCs w:val="24"/>
          <w:highlight w:val="yellow"/>
        </w:rPr>
        <w:t>Environmental Research Letters</w:t>
      </w:r>
      <w:r w:rsidRPr="00E004F7">
        <w:rPr>
          <w:rFonts w:eastAsia="Times New Roman"/>
          <w:b/>
          <w:bCs/>
          <w:szCs w:val="24"/>
          <w:highlight w:val="yellow"/>
        </w:rPr>
        <w:t>, </w:t>
      </w:r>
      <w:r w:rsidRPr="00E004F7">
        <w:rPr>
          <w:rFonts w:eastAsia="Times New Roman"/>
          <w:b/>
          <w:bCs/>
          <w:i/>
          <w:iCs/>
          <w:szCs w:val="24"/>
          <w:highlight w:val="yellow"/>
        </w:rPr>
        <w:t>18</w:t>
      </w:r>
      <w:r w:rsidRPr="00E004F7">
        <w:rPr>
          <w:rFonts w:eastAsia="Times New Roman"/>
          <w:b/>
          <w:bCs/>
          <w:szCs w:val="24"/>
          <w:highlight w:val="yellow"/>
        </w:rPr>
        <w:t>(4), 044002.</w:t>
      </w:r>
    </w:p>
    <w:p w14:paraId="14BFB384" w14:textId="77777777" w:rsidR="00685AE6" w:rsidRPr="00685AE6" w:rsidRDefault="00685AE6" w:rsidP="00685AE6">
      <w:pPr>
        <w:numPr>
          <w:ilvl w:val="0"/>
          <w:numId w:val="5"/>
        </w:numPr>
        <w:spacing w:before="100" w:beforeAutospacing="1" w:after="100" w:afterAutospacing="1" w:line="240" w:lineRule="auto"/>
        <w:rPr>
          <w:rFonts w:eastAsia="Times New Roman"/>
          <w:szCs w:val="24"/>
        </w:rPr>
      </w:pPr>
      <w:r w:rsidRPr="00685AE6">
        <w:rPr>
          <w:rFonts w:eastAsia="Times New Roman"/>
          <w:szCs w:val="24"/>
        </w:rPr>
        <w:t>Similarities and differences in findings</w:t>
      </w:r>
    </w:p>
    <w:p w14:paraId="1956923E" w14:textId="77777777" w:rsidR="00685AE6" w:rsidRPr="00685AE6" w:rsidRDefault="00685AE6" w:rsidP="00685AE6">
      <w:pPr>
        <w:numPr>
          <w:ilvl w:val="0"/>
          <w:numId w:val="5"/>
        </w:numPr>
        <w:spacing w:before="100" w:beforeAutospacing="1" w:after="100" w:afterAutospacing="1" w:line="240" w:lineRule="auto"/>
        <w:rPr>
          <w:rFonts w:eastAsia="Times New Roman"/>
          <w:szCs w:val="24"/>
        </w:rPr>
      </w:pPr>
      <w:r w:rsidRPr="00685AE6">
        <w:rPr>
          <w:rFonts w:eastAsia="Times New Roman"/>
          <w:szCs w:val="24"/>
        </w:rPr>
        <w:t>Data density and spatial-temporal coverage</w:t>
      </w:r>
    </w:p>
    <w:p w14:paraId="29350C59" w14:textId="77777777" w:rsidR="00685AE6" w:rsidRPr="00685AE6" w:rsidRDefault="00685AE6" w:rsidP="00685AE6">
      <w:pPr>
        <w:numPr>
          <w:ilvl w:val="0"/>
          <w:numId w:val="5"/>
        </w:numPr>
        <w:spacing w:before="100" w:beforeAutospacing="1" w:after="100" w:afterAutospacing="1" w:line="240" w:lineRule="auto"/>
        <w:rPr>
          <w:rFonts w:eastAsia="Times New Roman"/>
          <w:szCs w:val="24"/>
        </w:rPr>
      </w:pPr>
      <w:r w:rsidRPr="00685AE6">
        <w:rPr>
          <w:rFonts w:eastAsia="Times New Roman"/>
          <w:szCs w:val="24"/>
        </w:rPr>
        <w:t>Challenges faced in India (e.g., access, funding, technical resources)</w:t>
      </w:r>
    </w:p>
    <w:p w14:paraId="7327722B" w14:textId="77777777" w:rsidR="00685AE6" w:rsidRPr="00685AE6" w:rsidRDefault="00685AE6" w:rsidP="00685AE6">
      <w:pPr>
        <w:numPr>
          <w:ilvl w:val="0"/>
          <w:numId w:val="5"/>
        </w:numPr>
        <w:spacing w:before="100" w:beforeAutospacing="1" w:after="100" w:afterAutospacing="1" w:line="240" w:lineRule="auto"/>
        <w:rPr>
          <w:rFonts w:eastAsia="Times New Roman"/>
          <w:szCs w:val="24"/>
        </w:rPr>
      </w:pPr>
      <w:r w:rsidRPr="00685AE6">
        <w:rPr>
          <w:rFonts w:eastAsia="Times New Roman"/>
          <w:szCs w:val="24"/>
        </w:rPr>
        <w:t>Policy relevance and stakeholder engagement</w:t>
      </w:r>
    </w:p>
    <w:p w14:paraId="4B53D288" w14:textId="77777777" w:rsidR="00685AE6" w:rsidRPr="00685AE6" w:rsidRDefault="00000000" w:rsidP="00685AE6">
      <w:pPr>
        <w:spacing w:after="0" w:line="240" w:lineRule="auto"/>
        <w:rPr>
          <w:rFonts w:eastAsia="Times New Roman"/>
          <w:szCs w:val="24"/>
        </w:rPr>
      </w:pPr>
      <w:r>
        <w:rPr>
          <w:rFonts w:eastAsia="Times New Roman"/>
          <w:szCs w:val="24"/>
        </w:rPr>
        <w:pict w14:anchorId="13C69824">
          <v:rect id="_x0000_i1029" style="width:0;height:1.5pt" o:hralign="center" o:hrstd="t" o:hr="t" fillcolor="#a0a0a0" stroked="f"/>
        </w:pict>
      </w:r>
    </w:p>
    <w:p w14:paraId="69C08F6F" w14:textId="77777777" w:rsidR="00685AE6" w:rsidRPr="00685AE6" w:rsidRDefault="00685AE6" w:rsidP="00685AE6">
      <w:pPr>
        <w:spacing w:before="100" w:beforeAutospacing="1" w:after="100" w:afterAutospacing="1" w:line="240" w:lineRule="auto"/>
        <w:outlineLvl w:val="3"/>
        <w:rPr>
          <w:rFonts w:eastAsia="Times New Roman"/>
          <w:b/>
          <w:bCs/>
          <w:szCs w:val="24"/>
        </w:rPr>
      </w:pPr>
      <w:r w:rsidRPr="00685AE6">
        <w:rPr>
          <w:rFonts w:eastAsia="Times New Roman"/>
          <w:b/>
          <w:bCs/>
          <w:szCs w:val="24"/>
        </w:rPr>
        <w:t>6. Methodological Challenges and Research Gaps</w:t>
      </w:r>
    </w:p>
    <w:p w14:paraId="1B4B81F9" w14:textId="77777777" w:rsidR="00685AE6" w:rsidRPr="00685AE6" w:rsidRDefault="00685AE6" w:rsidP="00685AE6">
      <w:pPr>
        <w:numPr>
          <w:ilvl w:val="0"/>
          <w:numId w:val="6"/>
        </w:numPr>
        <w:spacing w:before="100" w:beforeAutospacing="1" w:after="100" w:afterAutospacing="1" w:line="240" w:lineRule="auto"/>
        <w:rPr>
          <w:rFonts w:eastAsia="Times New Roman"/>
          <w:szCs w:val="24"/>
        </w:rPr>
      </w:pPr>
      <w:r w:rsidRPr="00685AE6">
        <w:rPr>
          <w:rFonts w:eastAsia="Times New Roman"/>
          <w:szCs w:val="24"/>
        </w:rPr>
        <w:t>Standardization of measurements (IPCC, Blue Carbon protocols)</w:t>
      </w:r>
    </w:p>
    <w:p w14:paraId="3AC5EF78" w14:textId="77777777" w:rsidR="00685AE6" w:rsidRPr="00685AE6" w:rsidRDefault="00685AE6" w:rsidP="00685AE6">
      <w:pPr>
        <w:numPr>
          <w:ilvl w:val="0"/>
          <w:numId w:val="6"/>
        </w:numPr>
        <w:spacing w:before="100" w:beforeAutospacing="1" w:after="100" w:afterAutospacing="1" w:line="240" w:lineRule="auto"/>
        <w:rPr>
          <w:rFonts w:eastAsia="Times New Roman"/>
          <w:szCs w:val="24"/>
        </w:rPr>
      </w:pPr>
      <w:r w:rsidRPr="00685AE6">
        <w:rPr>
          <w:rFonts w:eastAsia="Times New Roman"/>
          <w:szCs w:val="24"/>
        </w:rPr>
        <w:t>Lack of long-term monitoring stations in India</w:t>
      </w:r>
    </w:p>
    <w:p w14:paraId="5680A968" w14:textId="77777777" w:rsidR="00685AE6" w:rsidRPr="00685AE6" w:rsidRDefault="00685AE6" w:rsidP="00685AE6">
      <w:pPr>
        <w:numPr>
          <w:ilvl w:val="0"/>
          <w:numId w:val="6"/>
        </w:numPr>
        <w:spacing w:before="100" w:beforeAutospacing="1" w:after="100" w:afterAutospacing="1" w:line="240" w:lineRule="auto"/>
        <w:rPr>
          <w:rFonts w:eastAsia="Times New Roman"/>
          <w:szCs w:val="24"/>
        </w:rPr>
      </w:pPr>
      <w:r w:rsidRPr="00685AE6">
        <w:rPr>
          <w:rFonts w:eastAsia="Times New Roman"/>
          <w:szCs w:val="24"/>
        </w:rPr>
        <w:t>Issues in capturing belowground emissions</w:t>
      </w:r>
    </w:p>
    <w:p w14:paraId="20EFDA51" w14:textId="77777777" w:rsidR="00685AE6" w:rsidRPr="00685AE6" w:rsidRDefault="00685AE6" w:rsidP="00685AE6">
      <w:pPr>
        <w:numPr>
          <w:ilvl w:val="0"/>
          <w:numId w:val="6"/>
        </w:numPr>
        <w:spacing w:before="100" w:beforeAutospacing="1" w:after="100" w:afterAutospacing="1" w:line="240" w:lineRule="auto"/>
        <w:rPr>
          <w:rFonts w:eastAsia="Times New Roman"/>
          <w:szCs w:val="24"/>
        </w:rPr>
      </w:pPr>
      <w:r w:rsidRPr="00685AE6">
        <w:rPr>
          <w:rFonts w:eastAsia="Times New Roman"/>
          <w:szCs w:val="24"/>
        </w:rPr>
        <w:t>Scaling up plot-level findings to regional/national estimates</w:t>
      </w:r>
    </w:p>
    <w:p w14:paraId="2C971F9B" w14:textId="77777777" w:rsidR="00685AE6" w:rsidRPr="00685AE6" w:rsidRDefault="00000000" w:rsidP="00685AE6">
      <w:pPr>
        <w:spacing w:after="0" w:line="240" w:lineRule="auto"/>
        <w:rPr>
          <w:rFonts w:eastAsia="Times New Roman"/>
          <w:szCs w:val="24"/>
        </w:rPr>
      </w:pPr>
      <w:r>
        <w:rPr>
          <w:rFonts w:eastAsia="Times New Roman"/>
          <w:szCs w:val="24"/>
        </w:rPr>
        <w:pict w14:anchorId="44C7666F">
          <v:rect id="_x0000_i1030" style="width:0;height:1.5pt" o:hralign="center" o:hrstd="t" o:hr="t" fillcolor="#a0a0a0" stroked="f"/>
        </w:pict>
      </w:r>
    </w:p>
    <w:p w14:paraId="3CA45068" w14:textId="77777777" w:rsidR="00685AE6" w:rsidRPr="00685AE6" w:rsidRDefault="00685AE6" w:rsidP="00685AE6">
      <w:pPr>
        <w:spacing w:before="100" w:beforeAutospacing="1" w:after="100" w:afterAutospacing="1" w:line="240" w:lineRule="auto"/>
        <w:outlineLvl w:val="3"/>
        <w:rPr>
          <w:rFonts w:eastAsia="Times New Roman"/>
          <w:b/>
          <w:bCs/>
          <w:szCs w:val="24"/>
        </w:rPr>
      </w:pPr>
      <w:r w:rsidRPr="00685AE6">
        <w:rPr>
          <w:rFonts w:eastAsia="Times New Roman"/>
          <w:b/>
          <w:bCs/>
          <w:szCs w:val="24"/>
        </w:rPr>
        <w:t>7. Implications for Climate Policy and Carbon Markets</w:t>
      </w:r>
    </w:p>
    <w:p w14:paraId="06AD6A1F" w14:textId="77777777" w:rsidR="00685AE6" w:rsidRPr="00685AE6" w:rsidRDefault="00685AE6" w:rsidP="00685AE6">
      <w:pPr>
        <w:numPr>
          <w:ilvl w:val="0"/>
          <w:numId w:val="7"/>
        </w:numPr>
        <w:spacing w:before="100" w:beforeAutospacing="1" w:after="100" w:afterAutospacing="1" w:line="240" w:lineRule="auto"/>
        <w:rPr>
          <w:rFonts w:eastAsia="Times New Roman"/>
          <w:szCs w:val="24"/>
        </w:rPr>
      </w:pPr>
      <w:r w:rsidRPr="00685AE6">
        <w:rPr>
          <w:rFonts w:eastAsia="Times New Roman"/>
          <w:szCs w:val="24"/>
        </w:rPr>
        <w:t>Role of mangrove GHG flux in national carbon inventories</w:t>
      </w:r>
    </w:p>
    <w:p w14:paraId="45CCCD8D" w14:textId="77777777" w:rsidR="00685AE6" w:rsidRPr="00685AE6" w:rsidRDefault="00685AE6" w:rsidP="00685AE6">
      <w:pPr>
        <w:numPr>
          <w:ilvl w:val="0"/>
          <w:numId w:val="7"/>
        </w:numPr>
        <w:spacing w:before="100" w:beforeAutospacing="1" w:after="100" w:afterAutospacing="1" w:line="240" w:lineRule="auto"/>
        <w:rPr>
          <w:rFonts w:eastAsia="Times New Roman"/>
          <w:szCs w:val="24"/>
        </w:rPr>
      </w:pPr>
      <w:r w:rsidRPr="00685AE6">
        <w:rPr>
          <w:rFonts w:eastAsia="Times New Roman"/>
          <w:szCs w:val="24"/>
        </w:rPr>
        <w:t>Blue carbon potential for India (carbon credits, restoration initiatives)</w:t>
      </w:r>
    </w:p>
    <w:p w14:paraId="5CF66D18" w14:textId="77777777" w:rsidR="00685AE6" w:rsidRPr="00685AE6" w:rsidRDefault="00685AE6" w:rsidP="00685AE6">
      <w:pPr>
        <w:numPr>
          <w:ilvl w:val="0"/>
          <w:numId w:val="7"/>
        </w:numPr>
        <w:spacing w:before="100" w:beforeAutospacing="1" w:after="100" w:afterAutospacing="1" w:line="240" w:lineRule="auto"/>
        <w:rPr>
          <w:rFonts w:eastAsia="Times New Roman"/>
          <w:szCs w:val="24"/>
        </w:rPr>
      </w:pPr>
      <w:r w:rsidRPr="00685AE6">
        <w:rPr>
          <w:rFonts w:eastAsia="Times New Roman"/>
          <w:szCs w:val="24"/>
        </w:rPr>
        <w:t>Synergies with coastal resilience, biodiversity, and SDGs</w:t>
      </w:r>
    </w:p>
    <w:p w14:paraId="74C40782" w14:textId="77777777" w:rsidR="00685AE6" w:rsidRPr="00685AE6" w:rsidRDefault="00000000" w:rsidP="00685AE6">
      <w:pPr>
        <w:spacing w:after="0" w:line="240" w:lineRule="auto"/>
        <w:rPr>
          <w:rFonts w:eastAsia="Times New Roman"/>
          <w:szCs w:val="24"/>
        </w:rPr>
      </w:pPr>
      <w:r>
        <w:rPr>
          <w:rFonts w:eastAsia="Times New Roman"/>
          <w:szCs w:val="24"/>
        </w:rPr>
        <w:lastRenderedPageBreak/>
        <w:pict w14:anchorId="30B1837F">
          <v:rect id="_x0000_i1031" style="width:0;height:1.5pt" o:hralign="center" o:hrstd="t" o:hr="t" fillcolor="#a0a0a0" stroked="f"/>
        </w:pict>
      </w:r>
    </w:p>
    <w:p w14:paraId="1F61059B" w14:textId="77777777" w:rsidR="00685AE6" w:rsidRPr="00685AE6" w:rsidRDefault="00685AE6" w:rsidP="00685AE6">
      <w:pPr>
        <w:spacing w:before="100" w:beforeAutospacing="1" w:after="100" w:afterAutospacing="1" w:line="240" w:lineRule="auto"/>
        <w:outlineLvl w:val="3"/>
        <w:rPr>
          <w:rFonts w:eastAsia="Times New Roman"/>
          <w:b/>
          <w:bCs/>
          <w:szCs w:val="24"/>
        </w:rPr>
      </w:pPr>
      <w:r w:rsidRPr="00685AE6">
        <w:rPr>
          <w:rFonts w:eastAsia="Times New Roman"/>
          <w:b/>
          <w:bCs/>
          <w:szCs w:val="24"/>
        </w:rPr>
        <w:t>8. Future Research Directions</w:t>
      </w:r>
    </w:p>
    <w:p w14:paraId="6820DD0E" w14:textId="77777777" w:rsidR="00685AE6" w:rsidRPr="00685AE6" w:rsidRDefault="00685AE6" w:rsidP="00685AE6">
      <w:pPr>
        <w:numPr>
          <w:ilvl w:val="0"/>
          <w:numId w:val="8"/>
        </w:numPr>
        <w:spacing w:before="100" w:beforeAutospacing="1" w:after="100" w:afterAutospacing="1" w:line="240" w:lineRule="auto"/>
        <w:rPr>
          <w:rFonts w:eastAsia="Times New Roman"/>
          <w:szCs w:val="24"/>
        </w:rPr>
      </w:pPr>
      <w:r w:rsidRPr="00685AE6">
        <w:rPr>
          <w:rFonts w:eastAsia="Times New Roman"/>
          <w:szCs w:val="24"/>
        </w:rPr>
        <w:t>Priority areas and mangrove zones for GHG studies in India</w:t>
      </w:r>
    </w:p>
    <w:p w14:paraId="4FCD4271" w14:textId="77777777" w:rsidR="00685AE6" w:rsidRPr="00685AE6" w:rsidRDefault="00685AE6" w:rsidP="00685AE6">
      <w:pPr>
        <w:numPr>
          <w:ilvl w:val="0"/>
          <w:numId w:val="8"/>
        </w:numPr>
        <w:spacing w:before="100" w:beforeAutospacing="1" w:after="100" w:afterAutospacing="1" w:line="240" w:lineRule="auto"/>
        <w:rPr>
          <w:rFonts w:eastAsia="Times New Roman"/>
          <w:szCs w:val="24"/>
        </w:rPr>
      </w:pPr>
      <w:r w:rsidRPr="00685AE6">
        <w:rPr>
          <w:rFonts w:eastAsia="Times New Roman"/>
          <w:szCs w:val="24"/>
        </w:rPr>
        <w:t>Emerging tools: drone-based monitoring, isotopic analysis, machine learning</w:t>
      </w:r>
    </w:p>
    <w:p w14:paraId="107AD985" w14:textId="77777777" w:rsidR="00685AE6" w:rsidRPr="00685AE6" w:rsidRDefault="00685AE6" w:rsidP="00685AE6">
      <w:pPr>
        <w:numPr>
          <w:ilvl w:val="0"/>
          <w:numId w:val="8"/>
        </w:numPr>
        <w:spacing w:before="100" w:beforeAutospacing="1" w:after="100" w:afterAutospacing="1" w:line="240" w:lineRule="auto"/>
        <w:rPr>
          <w:rFonts w:eastAsia="Times New Roman"/>
          <w:szCs w:val="24"/>
        </w:rPr>
      </w:pPr>
      <w:r w:rsidRPr="00685AE6">
        <w:rPr>
          <w:rFonts w:eastAsia="Times New Roman"/>
          <w:szCs w:val="24"/>
        </w:rPr>
        <w:t>Need for collaborative, interdisciplinary, and policy-linked studies</w:t>
      </w:r>
    </w:p>
    <w:p w14:paraId="53F78F71" w14:textId="77777777" w:rsidR="00685AE6" w:rsidRPr="00685AE6" w:rsidRDefault="00000000" w:rsidP="00685AE6">
      <w:pPr>
        <w:spacing w:after="0" w:line="240" w:lineRule="auto"/>
        <w:rPr>
          <w:rFonts w:eastAsia="Times New Roman"/>
          <w:szCs w:val="24"/>
        </w:rPr>
      </w:pPr>
      <w:r>
        <w:rPr>
          <w:rFonts w:eastAsia="Times New Roman"/>
          <w:szCs w:val="24"/>
        </w:rPr>
        <w:pict w14:anchorId="250E6A71">
          <v:rect id="_x0000_i1032" style="width:0;height:1.5pt" o:hralign="center" o:hrstd="t" o:hr="t" fillcolor="#a0a0a0" stroked="f"/>
        </w:pict>
      </w:r>
    </w:p>
    <w:p w14:paraId="5B46D0DE" w14:textId="77777777" w:rsidR="00685AE6" w:rsidRPr="00685AE6" w:rsidRDefault="00685AE6" w:rsidP="00685AE6">
      <w:pPr>
        <w:spacing w:before="100" w:beforeAutospacing="1" w:after="100" w:afterAutospacing="1" w:line="240" w:lineRule="auto"/>
        <w:outlineLvl w:val="3"/>
        <w:rPr>
          <w:rFonts w:eastAsia="Times New Roman"/>
          <w:b/>
          <w:bCs/>
          <w:szCs w:val="24"/>
        </w:rPr>
      </w:pPr>
      <w:r w:rsidRPr="00685AE6">
        <w:rPr>
          <w:rFonts w:eastAsia="Times New Roman"/>
          <w:b/>
          <w:bCs/>
          <w:szCs w:val="24"/>
        </w:rPr>
        <w:t>9. Conclusion</w:t>
      </w:r>
    </w:p>
    <w:p w14:paraId="46C7C74A" w14:textId="77777777" w:rsidR="00685AE6" w:rsidRPr="00685AE6" w:rsidRDefault="00685AE6" w:rsidP="00685AE6">
      <w:pPr>
        <w:numPr>
          <w:ilvl w:val="0"/>
          <w:numId w:val="9"/>
        </w:numPr>
        <w:spacing w:before="100" w:beforeAutospacing="1" w:after="100" w:afterAutospacing="1" w:line="240" w:lineRule="auto"/>
        <w:rPr>
          <w:rFonts w:eastAsia="Times New Roman"/>
          <w:szCs w:val="24"/>
        </w:rPr>
      </w:pPr>
      <w:r w:rsidRPr="00685AE6">
        <w:rPr>
          <w:rFonts w:eastAsia="Times New Roman"/>
          <w:szCs w:val="24"/>
        </w:rPr>
        <w:t>Summary of current knowledge</w:t>
      </w:r>
    </w:p>
    <w:p w14:paraId="79353846" w14:textId="77777777" w:rsidR="00685AE6" w:rsidRPr="00685AE6" w:rsidRDefault="00685AE6" w:rsidP="00685AE6">
      <w:pPr>
        <w:numPr>
          <w:ilvl w:val="0"/>
          <w:numId w:val="9"/>
        </w:numPr>
        <w:spacing w:before="100" w:beforeAutospacing="1" w:after="100" w:afterAutospacing="1" w:line="240" w:lineRule="auto"/>
        <w:rPr>
          <w:rFonts w:eastAsia="Times New Roman"/>
          <w:szCs w:val="24"/>
        </w:rPr>
      </w:pPr>
      <w:r w:rsidRPr="00685AE6">
        <w:rPr>
          <w:rFonts w:eastAsia="Times New Roman"/>
          <w:szCs w:val="24"/>
        </w:rPr>
        <w:t>Critical role of Indian research in global carbon mitigation strategies</w:t>
      </w:r>
    </w:p>
    <w:p w14:paraId="09BCBFD5" w14:textId="77777777" w:rsidR="00685AE6" w:rsidRPr="00685AE6" w:rsidRDefault="00685AE6" w:rsidP="00685AE6">
      <w:pPr>
        <w:numPr>
          <w:ilvl w:val="0"/>
          <w:numId w:val="9"/>
        </w:numPr>
        <w:spacing w:before="100" w:beforeAutospacing="1" w:after="100" w:afterAutospacing="1" w:line="240" w:lineRule="auto"/>
        <w:rPr>
          <w:rFonts w:eastAsia="Times New Roman"/>
          <w:szCs w:val="24"/>
        </w:rPr>
      </w:pPr>
      <w:r w:rsidRPr="00685AE6">
        <w:rPr>
          <w:rFonts w:eastAsia="Times New Roman"/>
          <w:szCs w:val="24"/>
        </w:rPr>
        <w:t>Call for enhanced research, funding, and policy integration</w:t>
      </w:r>
    </w:p>
    <w:p w14:paraId="2917FF29" w14:textId="77777777" w:rsidR="00685AE6" w:rsidRPr="00685AE6" w:rsidRDefault="00000000" w:rsidP="00685AE6">
      <w:pPr>
        <w:spacing w:after="0" w:line="240" w:lineRule="auto"/>
        <w:rPr>
          <w:rFonts w:eastAsia="Times New Roman"/>
          <w:szCs w:val="24"/>
        </w:rPr>
      </w:pPr>
      <w:r>
        <w:rPr>
          <w:rFonts w:eastAsia="Times New Roman"/>
          <w:szCs w:val="24"/>
        </w:rPr>
        <w:pict w14:anchorId="35163995">
          <v:rect id="_x0000_i1033" style="width:0;height:1.5pt" o:hralign="center" o:hrstd="t" o:hr="t" fillcolor="#a0a0a0" stroked="f"/>
        </w:pict>
      </w:r>
    </w:p>
    <w:p w14:paraId="18A484E4" w14:textId="77777777" w:rsidR="00685AE6" w:rsidRPr="00685AE6" w:rsidRDefault="00685AE6" w:rsidP="00685AE6">
      <w:pPr>
        <w:spacing w:before="100" w:beforeAutospacing="1" w:after="100" w:afterAutospacing="1" w:line="240" w:lineRule="auto"/>
        <w:rPr>
          <w:rFonts w:eastAsia="Times New Roman"/>
          <w:szCs w:val="24"/>
        </w:rPr>
      </w:pPr>
      <w:r w:rsidRPr="00685AE6">
        <w:rPr>
          <w:rFonts w:eastAsia="Times New Roman"/>
          <w:szCs w:val="24"/>
        </w:rPr>
        <w:t>Would you like me to help you write one of these sections in detail or compile references for Indian studies?</w:t>
      </w:r>
    </w:p>
    <w:p w14:paraId="7A8ACCC2" w14:textId="77777777" w:rsidR="00BB1E0C" w:rsidRDefault="00BB1E0C"/>
    <w:sectPr w:rsidR="00BB1E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A62FD"/>
    <w:multiLevelType w:val="multilevel"/>
    <w:tmpl w:val="BAEA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B02CC1"/>
    <w:multiLevelType w:val="multilevel"/>
    <w:tmpl w:val="6B565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9157D7"/>
    <w:multiLevelType w:val="multilevel"/>
    <w:tmpl w:val="514EA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657384"/>
    <w:multiLevelType w:val="hybridMultilevel"/>
    <w:tmpl w:val="618827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FAE5970"/>
    <w:multiLevelType w:val="hybridMultilevel"/>
    <w:tmpl w:val="20A25B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2314205"/>
    <w:multiLevelType w:val="multilevel"/>
    <w:tmpl w:val="01E8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9515ED"/>
    <w:multiLevelType w:val="multilevel"/>
    <w:tmpl w:val="D1009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98587B"/>
    <w:multiLevelType w:val="multilevel"/>
    <w:tmpl w:val="0FA8F1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5D6E93"/>
    <w:multiLevelType w:val="multilevel"/>
    <w:tmpl w:val="AEF8D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A175EA"/>
    <w:multiLevelType w:val="multilevel"/>
    <w:tmpl w:val="CC4E5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503C68"/>
    <w:multiLevelType w:val="hybridMultilevel"/>
    <w:tmpl w:val="618827A4"/>
    <w:lvl w:ilvl="0" w:tplc="4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2003DF8"/>
    <w:multiLevelType w:val="multilevel"/>
    <w:tmpl w:val="367EF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7259022">
    <w:abstractNumId w:val="9"/>
  </w:num>
  <w:num w:numId="2" w16cid:durableId="537476715">
    <w:abstractNumId w:val="7"/>
  </w:num>
  <w:num w:numId="3" w16cid:durableId="1850219457">
    <w:abstractNumId w:val="1"/>
  </w:num>
  <w:num w:numId="4" w16cid:durableId="361133610">
    <w:abstractNumId w:val="2"/>
  </w:num>
  <w:num w:numId="5" w16cid:durableId="751270349">
    <w:abstractNumId w:val="11"/>
  </w:num>
  <w:num w:numId="6" w16cid:durableId="1144663496">
    <w:abstractNumId w:val="8"/>
  </w:num>
  <w:num w:numId="7" w16cid:durableId="2143385168">
    <w:abstractNumId w:val="6"/>
  </w:num>
  <w:num w:numId="8" w16cid:durableId="1437871610">
    <w:abstractNumId w:val="0"/>
  </w:num>
  <w:num w:numId="9" w16cid:durableId="1199975911">
    <w:abstractNumId w:val="5"/>
  </w:num>
  <w:num w:numId="10" w16cid:durableId="715547492">
    <w:abstractNumId w:val="10"/>
  </w:num>
  <w:num w:numId="11" w16cid:durableId="1902248696">
    <w:abstractNumId w:val="4"/>
  </w:num>
  <w:num w:numId="12" w16cid:durableId="17993779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FE0"/>
    <w:rsid w:val="00025CCC"/>
    <w:rsid w:val="00133288"/>
    <w:rsid w:val="002160F6"/>
    <w:rsid w:val="00230705"/>
    <w:rsid w:val="00243305"/>
    <w:rsid w:val="00353881"/>
    <w:rsid w:val="003B59AE"/>
    <w:rsid w:val="003C290A"/>
    <w:rsid w:val="003E2E7A"/>
    <w:rsid w:val="003F1E8C"/>
    <w:rsid w:val="00453E4B"/>
    <w:rsid w:val="004A7F89"/>
    <w:rsid w:val="004C3FDE"/>
    <w:rsid w:val="004E6FE0"/>
    <w:rsid w:val="005908CD"/>
    <w:rsid w:val="005E689B"/>
    <w:rsid w:val="0068215C"/>
    <w:rsid w:val="00685AE6"/>
    <w:rsid w:val="007C2FC5"/>
    <w:rsid w:val="007E0CB9"/>
    <w:rsid w:val="008114BA"/>
    <w:rsid w:val="00874601"/>
    <w:rsid w:val="009012B1"/>
    <w:rsid w:val="009026E3"/>
    <w:rsid w:val="00935448"/>
    <w:rsid w:val="00AB36D0"/>
    <w:rsid w:val="00B06763"/>
    <w:rsid w:val="00BB1E0C"/>
    <w:rsid w:val="00C0048F"/>
    <w:rsid w:val="00C23D52"/>
    <w:rsid w:val="00C8327C"/>
    <w:rsid w:val="00CF719A"/>
    <w:rsid w:val="00D41CD7"/>
    <w:rsid w:val="00DF2C62"/>
    <w:rsid w:val="00E004F7"/>
    <w:rsid w:val="00E02A4D"/>
    <w:rsid w:val="00E54E43"/>
    <w:rsid w:val="00EC7962"/>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E7337"/>
  <w15:chartTrackingRefBased/>
  <w15:docId w15:val="{E45439EC-1E1B-44E1-AD50-417D3CAC4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85AE6"/>
    <w:pPr>
      <w:spacing w:before="100" w:beforeAutospacing="1" w:after="100" w:afterAutospacing="1" w:line="240" w:lineRule="auto"/>
      <w:outlineLvl w:val="2"/>
    </w:pPr>
    <w:rPr>
      <w:rFonts w:eastAsia="Times New Roman"/>
      <w:b/>
      <w:bCs/>
      <w:sz w:val="27"/>
      <w:szCs w:val="27"/>
    </w:rPr>
  </w:style>
  <w:style w:type="paragraph" w:styleId="Heading4">
    <w:name w:val="heading 4"/>
    <w:basedOn w:val="Normal"/>
    <w:link w:val="Heading4Char"/>
    <w:uiPriority w:val="9"/>
    <w:qFormat/>
    <w:rsid w:val="00685AE6"/>
    <w:pPr>
      <w:spacing w:before="100" w:beforeAutospacing="1" w:after="100" w:afterAutospacing="1" w:line="240" w:lineRule="auto"/>
      <w:outlineLvl w:val="3"/>
    </w:pPr>
    <w:rPr>
      <w:rFonts w:eastAsia="Times New Roman"/>
      <w:b/>
      <w:bCs/>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85AE6"/>
    <w:rPr>
      <w:rFonts w:eastAsia="Times New Roman"/>
      <w:b/>
      <w:bCs/>
      <w:sz w:val="27"/>
      <w:szCs w:val="27"/>
    </w:rPr>
  </w:style>
  <w:style w:type="character" w:customStyle="1" w:styleId="Heading4Char">
    <w:name w:val="Heading 4 Char"/>
    <w:basedOn w:val="DefaultParagraphFont"/>
    <w:link w:val="Heading4"/>
    <w:uiPriority w:val="9"/>
    <w:rsid w:val="00685AE6"/>
    <w:rPr>
      <w:rFonts w:eastAsia="Times New Roman"/>
      <w:b/>
      <w:bCs/>
      <w:szCs w:val="24"/>
    </w:rPr>
  </w:style>
  <w:style w:type="paragraph" w:styleId="NormalWeb">
    <w:name w:val="Normal (Web)"/>
    <w:basedOn w:val="Normal"/>
    <w:uiPriority w:val="99"/>
    <w:semiHidden/>
    <w:unhideWhenUsed/>
    <w:rsid w:val="00685AE6"/>
    <w:pPr>
      <w:spacing w:before="100" w:beforeAutospacing="1" w:after="100" w:afterAutospacing="1" w:line="240" w:lineRule="auto"/>
    </w:pPr>
    <w:rPr>
      <w:rFonts w:eastAsia="Times New Roman"/>
      <w:szCs w:val="24"/>
    </w:rPr>
  </w:style>
  <w:style w:type="character" w:styleId="Strong">
    <w:name w:val="Strong"/>
    <w:basedOn w:val="DefaultParagraphFont"/>
    <w:uiPriority w:val="22"/>
    <w:qFormat/>
    <w:rsid w:val="00685AE6"/>
    <w:rPr>
      <w:b/>
      <w:bCs/>
    </w:rPr>
  </w:style>
  <w:style w:type="character" w:styleId="Hyperlink">
    <w:name w:val="Hyperlink"/>
    <w:basedOn w:val="DefaultParagraphFont"/>
    <w:uiPriority w:val="99"/>
    <w:semiHidden/>
    <w:unhideWhenUsed/>
    <w:rsid w:val="00874601"/>
    <w:rPr>
      <w:color w:val="0000FF"/>
      <w:u w:val="single"/>
    </w:rPr>
  </w:style>
  <w:style w:type="character" w:customStyle="1" w:styleId="inline-formula">
    <w:name w:val="inline-formula"/>
    <w:basedOn w:val="DefaultParagraphFont"/>
    <w:rsid w:val="00D41CD7"/>
  </w:style>
  <w:style w:type="paragraph" w:styleId="ListParagraph">
    <w:name w:val="List Paragraph"/>
    <w:basedOn w:val="Normal"/>
    <w:uiPriority w:val="34"/>
    <w:qFormat/>
    <w:rsid w:val="003C29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16805">
      <w:bodyDiv w:val="1"/>
      <w:marLeft w:val="0"/>
      <w:marRight w:val="0"/>
      <w:marTop w:val="0"/>
      <w:marBottom w:val="0"/>
      <w:divBdr>
        <w:top w:val="none" w:sz="0" w:space="0" w:color="auto"/>
        <w:left w:val="none" w:sz="0" w:space="0" w:color="auto"/>
        <w:bottom w:val="none" w:sz="0" w:space="0" w:color="auto"/>
        <w:right w:val="none" w:sz="0" w:space="0" w:color="auto"/>
      </w:divBdr>
    </w:div>
    <w:div w:id="147786482">
      <w:bodyDiv w:val="1"/>
      <w:marLeft w:val="0"/>
      <w:marRight w:val="0"/>
      <w:marTop w:val="0"/>
      <w:marBottom w:val="0"/>
      <w:divBdr>
        <w:top w:val="none" w:sz="0" w:space="0" w:color="auto"/>
        <w:left w:val="none" w:sz="0" w:space="0" w:color="auto"/>
        <w:bottom w:val="none" w:sz="0" w:space="0" w:color="auto"/>
        <w:right w:val="none" w:sz="0" w:space="0" w:color="auto"/>
      </w:divBdr>
    </w:div>
    <w:div w:id="313065796">
      <w:bodyDiv w:val="1"/>
      <w:marLeft w:val="0"/>
      <w:marRight w:val="0"/>
      <w:marTop w:val="0"/>
      <w:marBottom w:val="0"/>
      <w:divBdr>
        <w:top w:val="none" w:sz="0" w:space="0" w:color="auto"/>
        <w:left w:val="none" w:sz="0" w:space="0" w:color="auto"/>
        <w:bottom w:val="none" w:sz="0" w:space="0" w:color="auto"/>
        <w:right w:val="none" w:sz="0" w:space="0" w:color="auto"/>
      </w:divBdr>
    </w:div>
    <w:div w:id="477000075">
      <w:bodyDiv w:val="1"/>
      <w:marLeft w:val="0"/>
      <w:marRight w:val="0"/>
      <w:marTop w:val="0"/>
      <w:marBottom w:val="0"/>
      <w:divBdr>
        <w:top w:val="none" w:sz="0" w:space="0" w:color="auto"/>
        <w:left w:val="none" w:sz="0" w:space="0" w:color="auto"/>
        <w:bottom w:val="none" w:sz="0" w:space="0" w:color="auto"/>
        <w:right w:val="none" w:sz="0" w:space="0" w:color="auto"/>
      </w:divBdr>
    </w:div>
    <w:div w:id="546070469">
      <w:bodyDiv w:val="1"/>
      <w:marLeft w:val="0"/>
      <w:marRight w:val="0"/>
      <w:marTop w:val="0"/>
      <w:marBottom w:val="0"/>
      <w:divBdr>
        <w:top w:val="none" w:sz="0" w:space="0" w:color="auto"/>
        <w:left w:val="none" w:sz="0" w:space="0" w:color="auto"/>
        <w:bottom w:val="none" w:sz="0" w:space="0" w:color="auto"/>
        <w:right w:val="none" w:sz="0" w:space="0" w:color="auto"/>
      </w:divBdr>
    </w:div>
    <w:div w:id="568345754">
      <w:bodyDiv w:val="1"/>
      <w:marLeft w:val="0"/>
      <w:marRight w:val="0"/>
      <w:marTop w:val="0"/>
      <w:marBottom w:val="0"/>
      <w:divBdr>
        <w:top w:val="none" w:sz="0" w:space="0" w:color="auto"/>
        <w:left w:val="none" w:sz="0" w:space="0" w:color="auto"/>
        <w:bottom w:val="none" w:sz="0" w:space="0" w:color="auto"/>
        <w:right w:val="none" w:sz="0" w:space="0" w:color="auto"/>
      </w:divBdr>
    </w:div>
    <w:div w:id="648900218">
      <w:bodyDiv w:val="1"/>
      <w:marLeft w:val="0"/>
      <w:marRight w:val="0"/>
      <w:marTop w:val="0"/>
      <w:marBottom w:val="0"/>
      <w:divBdr>
        <w:top w:val="none" w:sz="0" w:space="0" w:color="auto"/>
        <w:left w:val="none" w:sz="0" w:space="0" w:color="auto"/>
        <w:bottom w:val="none" w:sz="0" w:space="0" w:color="auto"/>
        <w:right w:val="none" w:sz="0" w:space="0" w:color="auto"/>
      </w:divBdr>
    </w:div>
    <w:div w:id="741293813">
      <w:bodyDiv w:val="1"/>
      <w:marLeft w:val="0"/>
      <w:marRight w:val="0"/>
      <w:marTop w:val="0"/>
      <w:marBottom w:val="0"/>
      <w:divBdr>
        <w:top w:val="none" w:sz="0" w:space="0" w:color="auto"/>
        <w:left w:val="none" w:sz="0" w:space="0" w:color="auto"/>
        <w:bottom w:val="none" w:sz="0" w:space="0" w:color="auto"/>
        <w:right w:val="none" w:sz="0" w:space="0" w:color="auto"/>
      </w:divBdr>
    </w:div>
    <w:div w:id="813328720">
      <w:bodyDiv w:val="1"/>
      <w:marLeft w:val="0"/>
      <w:marRight w:val="0"/>
      <w:marTop w:val="0"/>
      <w:marBottom w:val="0"/>
      <w:divBdr>
        <w:top w:val="none" w:sz="0" w:space="0" w:color="auto"/>
        <w:left w:val="none" w:sz="0" w:space="0" w:color="auto"/>
        <w:bottom w:val="none" w:sz="0" w:space="0" w:color="auto"/>
        <w:right w:val="none" w:sz="0" w:space="0" w:color="auto"/>
      </w:divBdr>
    </w:div>
    <w:div w:id="828250885">
      <w:bodyDiv w:val="1"/>
      <w:marLeft w:val="0"/>
      <w:marRight w:val="0"/>
      <w:marTop w:val="0"/>
      <w:marBottom w:val="0"/>
      <w:divBdr>
        <w:top w:val="none" w:sz="0" w:space="0" w:color="auto"/>
        <w:left w:val="none" w:sz="0" w:space="0" w:color="auto"/>
        <w:bottom w:val="none" w:sz="0" w:space="0" w:color="auto"/>
        <w:right w:val="none" w:sz="0" w:space="0" w:color="auto"/>
      </w:divBdr>
    </w:div>
    <w:div w:id="990448940">
      <w:bodyDiv w:val="1"/>
      <w:marLeft w:val="0"/>
      <w:marRight w:val="0"/>
      <w:marTop w:val="0"/>
      <w:marBottom w:val="0"/>
      <w:divBdr>
        <w:top w:val="none" w:sz="0" w:space="0" w:color="auto"/>
        <w:left w:val="none" w:sz="0" w:space="0" w:color="auto"/>
        <w:bottom w:val="none" w:sz="0" w:space="0" w:color="auto"/>
        <w:right w:val="none" w:sz="0" w:space="0" w:color="auto"/>
      </w:divBdr>
    </w:div>
    <w:div w:id="1126242314">
      <w:bodyDiv w:val="1"/>
      <w:marLeft w:val="0"/>
      <w:marRight w:val="0"/>
      <w:marTop w:val="0"/>
      <w:marBottom w:val="0"/>
      <w:divBdr>
        <w:top w:val="none" w:sz="0" w:space="0" w:color="auto"/>
        <w:left w:val="none" w:sz="0" w:space="0" w:color="auto"/>
        <w:bottom w:val="none" w:sz="0" w:space="0" w:color="auto"/>
        <w:right w:val="none" w:sz="0" w:space="0" w:color="auto"/>
      </w:divBdr>
    </w:div>
    <w:div w:id="1134447254">
      <w:bodyDiv w:val="1"/>
      <w:marLeft w:val="0"/>
      <w:marRight w:val="0"/>
      <w:marTop w:val="0"/>
      <w:marBottom w:val="0"/>
      <w:divBdr>
        <w:top w:val="none" w:sz="0" w:space="0" w:color="auto"/>
        <w:left w:val="none" w:sz="0" w:space="0" w:color="auto"/>
        <w:bottom w:val="none" w:sz="0" w:space="0" w:color="auto"/>
        <w:right w:val="none" w:sz="0" w:space="0" w:color="auto"/>
      </w:divBdr>
    </w:div>
    <w:div w:id="1206522655">
      <w:bodyDiv w:val="1"/>
      <w:marLeft w:val="0"/>
      <w:marRight w:val="0"/>
      <w:marTop w:val="0"/>
      <w:marBottom w:val="0"/>
      <w:divBdr>
        <w:top w:val="none" w:sz="0" w:space="0" w:color="auto"/>
        <w:left w:val="none" w:sz="0" w:space="0" w:color="auto"/>
        <w:bottom w:val="none" w:sz="0" w:space="0" w:color="auto"/>
        <w:right w:val="none" w:sz="0" w:space="0" w:color="auto"/>
      </w:divBdr>
    </w:div>
    <w:div w:id="1280184647">
      <w:bodyDiv w:val="1"/>
      <w:marLeft w:val="0"/>
      <w:marRight w:val="0"/>
      <w:marTop w:val="0"/>
      <w:marBottom w:val="0"/>
      <w:divBdr>
        <w:top w:val="none" w:sz="0" w:space="0" w:color="auto"/>
        <w:left w:val="none" w:sz="0" w:space="0" w:color="auto"/>
        <w:bottom w:val="none" w:sz="0" w:space="0" w:color="auto"/>
        <w:right w:val="none" w:sz="0" w:space="0" w:color="auto"/>
      </w:divBdr>
    </w:div>
    <w:div w:id="1307055365">
      <w:bodyDiv w:val="1"/>
      <w:marLeft w:val="0"/>
      <w:marRight w:val="0"/>
      <w:marTop w:val="0"/>
      <w:marBottom w:val="0"/>
      <w:divBdr>
        <w:top w:val="none" w:sz="0" w:space="0" w:color="auto"/>
        <w:left w:val="none" w:sz="0" w:space="0" w:color="auto"/>
        <w:bottom w:val="none" w:sz="0" w:space="0" w:color="auto"/>
        <w:right w:val="none" w:sz="0" w:space="0" w:color="auto"/>
      </w:divBdr>
    </w:div>
    <w:div w:id="1343777358">
      <w:bodyDiv w:val="1"/>
      <w:marLeft w:val="0"/>
      <w:marRight w:val="0"/>
      <w:marTop w:val="0"/>
      <w:marBottom w:val="0"/>
      <w:divBdr>
        <w:top w:val="none" w:sz="0" w:space="0" w:color="auto"/>
        <w:left w:val="none" w:sz="0" w:space="0" w:color="auto"/>
        <w:bottom w:val="none" w:sz="0" w:space="0" w:color="auto"/>
        <w:right w:val="none" w:sz="0" w:space="0" w:color="auto"/>
      </w:divBdr>
    </w:div>
    <w:div w:id="1439987060">
      <w:bodyDiv w:val="1"/>
      <w:marLeft w:val="0"/>
      <w:marRight w:val="0"/>
      <w:marTop w:val="0"/>
      <w:marBottom w:val="0"/>
      <w:divBdr>
        <w:top w:val="none" w:sz="0" w:space="0" w:color="auto"/>
        <w:left w:val="none" w:sz="0" w:space="0" w:color="auto"/>
        <w:bottom w:val="none" w:sz="0" w:space="0" w:color="auto"/>
        <w:right w:val="none" w:sz="0" w:space="0" w:color="auto"/>
      </w:divBdr>
    </w:div>
    <w:div w:id="1548882604">
      <w:bodyDiv w:val="1"/>
      <w:marLeft w:val="0"/>
      <w:marRight w:val="0"/>
      <w:marTop w:val="0"/>
      <w:marBottom w:val="0"/>
      <w:divBdr>
        <w:top w:val="none" w:sz="0" w:space="0" w:color="auto"/>
        <w:left w:val="none" w:sz="0" w:space="0" w:color="auto"/>
        <w:bottom w:val="none" w:sz="0" w:space="0" w:color="auto"/>
        <w:right w:val="none" w:sz="0" w:space="0" w:color="auto"/>
      </w:divBdr>
    </w:div>
    <w:div w:id="1567765044">
      <w:bodyDiv w:val="1"/>
      <w:marLeft w:val="0"/>
      <w:marRight w:val="0"/>
      <w:marTop w:val="0"/>
      <w:marBottom w:val="0"/>
      <w:divBdr>
        <w:top w:val="none" w:sz="0" w:space="0" w:color="auto"/>
        <w:left w:val="none" w:sz="0" w:space="0" w:color="auto"/>
        <w:bottom w:val="none" w:sz="0" w:space="0" w:color="auto"/>
        <w:right w:val="none" w:sz="0" w:space="0" w:color="auto"/>
      </w:divBdr>
    </w:div>
    <w:div w:id="1688097813">
      <w:bodyDiv w:val="1"/>
      <w:marLeft w:val="0"/>
      <w:marRight w:val="0"/>
      <w:marTop w:val="0"/>
      <w:marBottom w:val="0"/>
      <w:divBdr>
        <w:top w:val="none" w:sz="0" w:space="0" w:color="auto"/>
        <w:left w:val="none" w:sz="0" w:space="0" w:color="auto"/>
        <w:bottom w:val="none" w:sz="0" w:space="0" w:color="auto"/>
        <w:right w:val="none" w:sz="0" w:space="0" w:color="auto"/>
      </w:divBdr>
    </w:div>
    <w:div w:id="1695308250">
      <w:bodyDiv w:val="1"/>
      <w:marLeft w:val="0"/>
      <w:marRight w:val="0"/>
      <w:marTop w:val="0"/>
      <w:marBottom w:val="0"/>
      <w:divBdr>
        <w:top w:val="none" w:sz="0" w:space="0" w:color="auto"/>
        <w:left w:val="none" w:sz="0" w:space="0" w:color="auto"/>
        <w:bottom w:val="none" w:sz="0" w:space="0" w:color="auto"/>
        <w:right w:val="none" w:sz="0" w:space="0" w:color="auto"/>
      </w:divBdr>
    </w:div>
    <w:div w:id="1817646876">
      <w:bodyDiv w:val="1"/>
      <w:marLeft w:val="0"/>
      <w:marRight w:val="0"/>
      <w:marTop w:val="0"/>
      <w:marBottom w:val="0"/>
      <w:divBdr>
        <w:top w:val="none" w:sz="0" w:space="0" w:color="auto"/>
        <w:left w:val="none" w:sz="0" w:space="0" w:color="auto"/>
        <w:bottom w:val="none" w:sz="0" w:space="0" w:color="auto"/>
        <w:right w:val="none" w:sz="0" w:space="0" w:color="auto"/>
      </w:divBdr>
    </w:div>
    <w:div w:id="1869685887">
      <w:bodyDiv w:val="1"/>
      <w:marLeft w:val="0"/>
      <w:marRight w:val="0"/>
      <w:marTop w:val="0"/>
      <w:marBottom w:val="0"/>
      <w:divBdr>
        <w:top w:val="none" w:sz="0" w:space="0" w:color="auto"/>
        <w:left w:val="none" w:sz="0" w:space="0" w:color="auto"/>
        <w:bottom w:val="none" w:sz="0" w:space="0" w:color="auto"/>
        <w:right w:val="none" w:sz="0" w:space="0" w:color="auto"/>
      </w:divBdr>
    </w:div>
    <w:div w:id="2020499110">
      <w:bodyDiv w:val="1"/>
      <w:marLeft w:val="0"/>
      <w:marRight w:val="0"/>
      <w:marTop w:val="0"/>
      <w:marBottom w:val="0"/>
      <w:divBdr>
        <w:top w:val="none" w:sz="0" w:space="0" w:color="auto"/>
        <w:left w:val="none" w:sz="0" w:space="0" w:color="auto"/>
        <w:bottom w:val="none" w:sz="0" w:space="0" w:color="auto"/>
        <w:right w:val="none" w:sz="0" w:space="0" w:color="auto"/>
      </w:divBdr>
    </w:div>
    <w:div w:id="206864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publication/366617411_Dynamics_of_methane_and_carbon_dioxide_emissions_in_the_reclaimed_islands_of_Sundarban_mangrove_ecosystem_India?enrichId=rgreq-e361bd1921b39956e71269fecdbe6d67-XXX&amp;enrichSource=Y292ZXJQYWdlOzM2NjYxNzQxMTtBUzoxMTQzMTI4MTEwOTY2MjQwNUAxNjcyMTQ1OTc3NjU0&amp;el=1_x_3&amp;_esc=publicationCove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publication/322732346_Microbial_activity_determining_soil_CO2_emission_in_the_Sundarban_mangrove_forest_India?enrichId=rgreq-0012aeb392740e85fc8bbff843b9f631-XXX&amp;enrichSource=Y292ZXJQYWdlOzMyMjczMjM0NjtBUzo2NDcwMjk0MDc2MjUyMjRAMTUzMTI3NTI0MDg5NQ%3D%3D&amp;el=1_x_3&amp;_esc=publicationCoverPdf" TargetMode="External"/><Relationship Id="rId5" Type="http://schemas.openxmlformats.org/officeDocument/2006/relationships/hyperlink" Target="https://www.researchgate.net/publication/384608695_The_Role_of_Indian_Mangroves_in_Blue_Carbon_Sequestration_Implications_for_Climate_Change_Mitigatio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3767</TotalTime>
  <Pages>11</Pages>
  <Words>4240</Words>
  <Characters>24173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Neha Tamhankar</cp:lastModifiedBy>
  <cp:revision>4</cp:revision>
  <dcterms:created xsi:type="dcterms:W3CDTF">2025-05-07T12:10:00Z</dcterms:created>
  <dcterms:modified xsi:type="dcterms:W3CDTF">2025-05-29T19:10:00Z</dcterms:modified>
</cp:coreProperties>
</file>