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after="281" w:line="360" w:lineRule="auto"/>
        <w:jc w:val="center"/>
        <w:rPr>
          <w:b w:val="1"/>
          <w:bCs w:val="1"/>
          <w:i w:val="1"/>
          <w:iCs w:val="1"/>
        </w:rPr>
      </w:pPr>
      <w:r>
        <w:rPr>
          <w:b w:val="1"/>
          <w:bCs w:val="1"/>
          <w:i w:val="1"/>
          <w:iCs w:val="1"/>
          <w:rtl w:val="0"/>
          <w:lang w:val="en-US"/>
        </w:rPr>
        <w:t>ABSTRACT</w:t>
      </w:r>
    </w:p>
    <w:p>
      <w:pPr>
        <w:pStyle w:val="Default"/>
        <w:spacing w:after="281" w:line="360" w:lineRule="auto"/>
        <w:jc w:val="center"/>
      </w:pPr>
      <w:r>
        <w:rPr>
          <w:rtl w:val="0"/>
          <w:lang w:val="en-US"/>
        </w:rPr>
        <w:t>Policy Frameworks for Carbon Footprint Mitigation</w:t>
      </w:r>
    </w:p>
    <w:p>
      <w:pPr>
        <w:pStyle w:val="Default"/>
        <w:spacing w:line="360" w:lineRule="auto"/>
      </w:pPr>
      <w:r>
        <w:rPr>
          <w:rtl w:val="0"/>
          <w:lang w:val="en-US"/>
        </w:rPr>
        <w:t>Author: Afrin Gulshan,</w:t>
      </w:r>
    </w:p>
    <w:p>
      <w:pPr>
        <w:pStyle w:val="Default"/>
        <w:spacing w:line="360" w:lineRule="auto"/>
      </w:pPr>
      <w:r>
        <w:rPr>
          <w:rtl w:val="0"/>
          <w:lang w:val="en-US"/>
        </w:rPr>
        <w:t>Student, Campus Law Centre, Faculty of Law, Delhi University</w:t>
      </w:r>
    </w:p>
    <w:p>
      <w:pPr>
        <w:pStyle w:val="Default"/>
        <w:spacing w:line="360" w:lineRule="auto"/>
      </w:pPr>
      <w:r>
        <w:rPr>
          <w:rtl w:val="0"/>
          <w:lang w:val="en-US"/>
        </w:rPr>
        <w:t xml:space="preserve">Email: </w:t>
      </w:r>
      <w:r>
        <w:rPr>
          <w:rStyle w:val="Hyperlink.0"/>
        </w:rPr>
        <w:fldChar w:fldCharType="begin" w:fldLock="0"/>
      </w:r>
      <w:r>
        <w:rPr>
          <w:rStyle w:val="Hyperlink.0"/>
        </w:rPr>
        <w:instrText xml:space="preserve"> HYPERLINK "mailto:gulshanafrin745@gmail.com"</w:instrText>
      </w:r>
      <w:r>
        <w:rPr>
          <w:rStyle w:val="Hyperlink.0"/>
        </w:rPr>
        <w:fldChar w:fldCharType="separate" w:fldLock="0"/>
      </w:r>
      <w:r>
        <w:rPr>
          <w:rStyle w:val="Hyperlink.0"/>
          <w:rtl w:val="0"/>
          <w:lang w:val="en-US"/>
        </w:rPr>
        <w:t>gulshanafrin745@gmail.com</w:t>
      </w:r>
      <w:r>
        <w:rPr/>
        <w:fldChar w:fldCharType="end" w:fldLock="0"/>
      </w:r>
    </w:p>
    <w:p>
      <w:pPr>
        <w:pStyle w:val="Default"/>
        <w:spacing w:line="360" w:lineRule="auto"/>
      </w:pPr>
      <w:r>
        <w:rPr>
          <w:rtl w:val="0"/>
          <w:lang w:val="en-US"/>
        </w:rPr>
        <w:t>Mobile no.: 8750151841</w:t>
      </w:r>
    </w:p>
    <w:p>
      <w:pPr>
        <w:pStyle w:val="Default"/>
        <w:spacing w:line="360" w:lineRule="auto"/>
      </w:pPr>
      <w:r>
        <w:rPr>
          <w:rtl w:val="0"/>
          <w:lang w:val="en-US"/>
        </w:rPr>
        <w:t>Co author: Humaira Imran, Researcher, Institute of Policy Studies and Advocacy,</w:t>
      </w:r>
    </w:p>
    <w:p>
      <w:pPr>
        <w:pStyle w:val="Default"/>
        <w:spacing w:line="360" w:lineRule="auto"/>
      </w:pPr>
      <w:r>
        <w:rPr>
          <w:rtl w:val="0"/>
          <w:lang w:val="en-US"/>
        </w:rPr>
        <w:t xml:space="preserve">Email: </w:t>
      </w:r>
      <w:r>
        <w:rPr>
          <w:rStyle w:val="Hyperlink.0"/>
        </w:rPr>
        <w:fldChar w:fldCharType="begin" w:fldLock="0"/>
      </w:r>
      <w:r>
        <w:rPr>
          <w:rStyle w:val="Hyperlink.0"/>
        </w:rPr>
        <w:instrText xml:space="preserve"> HYPERLINK "mailto:humairaimran2019@gmail.com"</w:instrText>
      </w:r>
      <w:r>
        <w:rPr>
          <w:rStyle w:val="Hyperlink.0"/>
        </w:rPr>
        <w:fldChar w:fldCharType="separate" w:fldLock="0"/>
      </w:r>
      <w:r>
        <w:rPr>
          <w:rStyle w:val="Hyperlink.0"/>
          <w:rtl w:val="0"/>
          <w:lang w:val="en-US"/>
        </w:rPr>
        <w:t>humairaimran2019@gmail.com</w:t>
      </w:r>
      <w:r>
        <w:rPr/>
        <w:fldChar w:fldCharType="end" w:fldLock="0"/>
      </w:r>
    </w:p>
    <w:p>
      <w:pPr>
        <w:pStyle w:val="Default"/>
        <w:spacing w:line="360" w:lineRule="auto"/>
      </w:pPr>
      <w:r>
        <w:rPr>
          <w:rtl w:val="0"/>
          <w:lang w:val="en-US"/>
        </w:rPr>
        <w:t>Mobile no.: 9958922842</w:t>
      </w:r>
    </w:p>
    <w:p>
      <w:pPr>
        <w:pStyle w:val="Default"/>
      </w:pPr>
    </w:p>
    <w:p>
      <w:pPr>
        <w:pStyle w:val="Default"/>
        <w:jc w:val="center"/>
      </w:pPr>
    </w:p>
    <w:p>
      <w:pPr>
        <w:pStyle w:val="Default"/>
      </w:pPr>
    </w:p>
    <w:p>
      <w:pPr>
        <w:pStyle w:val="Default"/>
      </w:pPr>
      <w:r>
        <w:rPr>
          <w:rtl w:val="0"/>
          <w:lang w:val="en-US"/>
        </w:rPr>
        <w:t>Climate change, driven by the increasing emissions of greenhouse gases (GHGs), necessitates collective action to reduce carbon footprints across various industries, economies, and individual activities. Policy frameworks play a pivotal role in guiding carbon-reducing strategies through a combination of regulatory, market-based, and voluntary measures.</w:t>
      </w:r>
    </w:p>
    <w:p>
      <w:pPr>
        <w:pStyle w:val="Default"/>
      </w:pPr>
    </w:p>
    <w:p>
      <w:pPr>
        <w:pStyle w:val="Default"/>
      </w:pPr>
      <w:r>
        <w:rPr>
          <w:rtl w:val="0"/>
          <w:lang w:val="en-US"/>
        </w:rPr>
        <w:t>Key instruments for reducing carbon footprints include carbon pricing measures such as carbon taxes and cap-and-trade systems, stringent emission regulations, the promotion of renewable energy deployment, and green technology investment. While these policies have demonstrated varying degrees of success, they have encountered challenges such as political opposition, economic viability concerns, and implementation disparities across regions.</w:t>
      </w:r>
    </w:p>
    <w:p>
      <w:pPr>
        <w:pStyle w:val="Default"/>
      </w:pPr>
    </w:p>
    <w:p>
      <w:pPr>
        <w:pStyle w:val="Default"/>
      </w:pPr>
      <w:r>
        <w:rPr>
          <w:rtl w:val="0"/>
          <w:lang w:val="en-US"/>
        </w:rPr>
        <w:t>This paper aims to assess the performance of different policy frameworks, identifying their effects, shortcomings, and areas for improvement. Drawing upon case studies and best international practices, the research seeks to optimise policy measures for sustainable long-term efforts towards achieving global climate objectives.</w:t>
      </w:r>
    </w:p>
    <w:p>
      <w:pPr>
        <w:pStyle w:val="Default"/>
        <w:spacing w:line="360" w:lineRule="auto"/>
      </w:pPr>
    </w:p>
    <w:p>
      <w:pPr>
        <w:pStyle w:val="Default"/>
        <w:spacing w:line="360" w:lineRule="auto"/>
      </w:pPr>
      <w:r>
        <w:rPr>
          <w:rtl w:val="0"/>
          <w:lang w:val="en-US"/>
        </w:rPr>
        <w:t>INTRODUCTION</w:t>
      </w:r>
    </w:p>
    <w:p>
      <w:pPr>
        <w:pStyle w:val="Default"/>
        <w:spacing w:after="274"/>
      </w:pPr>
      <w:r>
        <w:rPr>
          <w:rStyle w:val="None"/>
          <w:outline w:val="0"/>
          <w:color w:val="404040"/>
          <w:u w:color="404040"/>
          <w:rtl w:val="0"/>
          <w:lang w:val="en-US"/>
          <w14:textFill>
            <w14:solidFill>
              <w14:srgbClr w14:val="404040"/>
            </w14:solidFill>
          </w14:textFill>
        </w:rPr>
        <w:t>The rapid impacts of global warming, fuelled by anthropogenic emissions of greenhouse gases (GHG), have placed carbon footprint reduction at the centre of international policy agendas. Industrialisation in the twentieth century, deforestation, and fossil fuel reliance have multiplied atmospheric loads of carbon dioxide (CO</w:t>
      </w:r>
      <w:r>
        <w:rPr>
          <w:rStyle w:val="None"/>
          <w:rFonts w:ascii="Arial Unicode MS" w:cs="Arial Unicode MS" w:hAnsi="Arial Unicode MS" w:eastAsia="Arial Unicode MS" w:hint="default"/>
          <w:b w:val="0"/>
          <w:bCs w:val="0"/>
          <w:i w:val="0"/>
          <w:iCs w:val="0"/>
          <w:outline w:val="0"/>
          <w:color w:val="404040"/>
          <w:u w:color="404040"/>
          <w:rtl w:val="0"/>
          <w:lang w:val="en-US"/>
          <w14:textFill>
            <w14:solidFill>
              <w14:srgbClr w14:val="404040"/>
            </w14:solidFill>
          </w14:textFill>
        </w:rPr>
        <w:t>₂</w:t>
      </w:r>
      <w:r>
        <w:rPr>
          <w:rStyle w:val="None"/>
          <w:outline w:val="0"/>
          <w:color w:val="404040"/>
          <w:u w:color="404040"/>
          <w:rtl w:val="0"/>
          <w:lang w:val="en-US"/>
          <w14:textFill>
            <w14:solidFill>
              <w14:srgbClr w14:val="404040"/>
            </w14:solidFill>
          </w14:textFill>
        </w:rPr>
        <w:t>), methane (CH</w:t>
      </w:r>
      <w:r>
        <w:rPr>
          <w:rStyle w:val="None"/>
          <w:rFonts w:ascii="Arial Unicode MS" w:cs="Arial Unicode MS" w:hAnsi="Arial Unicode MS" w:eastAsia="Arial Unicode MS" w:hint="default"/>
          <w:b w:val="0"/>
          <w:bCs w:val="0"/>
          <w:i w:val="0"/>
          <w:iCs w:val="0"/>
          <w:outline w:val="0"/>
          <w:color w:val="404040"/>
          <w:u w:color="404040"/>
          <w:rtl w:val="0"/>
          <w:lang w:val="en-US"/>
          <w14:textFill>
            <w14:solidFill>
              <w14:srgbClr w14:val="404040"/>
            </w14:solidFill>
          </w14:textFill>
        </w:rPr>
        <w:t>₄</w:t>
      </w:r>
      <w:r>
        <w:rPr>
          <w:rStyle w:val="None"/>
          <w:outline w:val="0"/>
          <w:color w:val="404040"/>
          <w:u w:color="404040"/>
          <w:rtl w:val="0"/>
          <w:lang w:val="en-US"/>
          <w14:textFill>
            <w14:solidFill>
              <w14:srgbClr w14:val="404040"/>
            </w14:solidFill>
          </w14:textFill>
        </w:rPr>
        <w:t>), and nitrous oxide (N</w:t>
      </w:r>
      <w:r>
        <w:rPr>
          <w:rStyle w:val="None"/>
          <w:rFonts w:ascii="Arial Unicode MS" w:cs="Arial Unicode MS" w:hAnsi="Arial Unicode MS" w:eastAsia="Arial Unicode MS" w:hint="default"/>
          <w:b w:val="0"/>
          <w:bCs w:val="0"/>
          <w:i w:val="0"/>
          <w:iCs w:val="0"/>
          <w:outline w:val="0"/>
          <w:color w:val="404040"/>
          <w:u w:color="404040"/>
          <w:rtl w:val="0"/>
          <w:lang w:val="en-US"/>
          <w14:textFill>
            <w14:solidFill>
              <w14:srgbClr w14:val="404040"/>
            </w14:solidFill>
          </w14:textFill>
        </w:rPr>
        <w:t>₂</w:t>
      </w:r>
      <w:r>
        <w:rPr>
          <w:rStyle w:val="None"/>
          <w:outline w:val="0"/>
          <w:color w:val="404040"/>
          <w:u w:color="404040"/>
          <w:rtl w:val="0"/>
          <w:lang w:val="en-US"/>
          <w14:textFill>
            <w14:solidFill>
              <w14:srgbClr w14:val="404040"/>
            </w14:solidFill>
          </w14:textFill>
        </w:rPr>
        <w:t>O) to record high levels. According to the Intergovernmental Panel on Climate Change (IPCC), global temperatures have actually increased by about 1.1</w:t>
      </w:r>
      <w:r>
        <w:rPr>
          <w:rStyle w:val="None"/>
          <w:outline w:val="0"/>
          <w:color w:val="404040"/>
          <w:u w:color="404040"/>
          <w:rtl w:val="0"/>
          <w:lang w:val="en-US"/>
          <w14:textFill>
            <w14:solidFill>
              <w14:srgbClr w14:val="404040"/>
            </w14:solidFill>
          </w14:textFill>
        </w:rPr>
        <w:t>°</w:t>
      </w:r>
      <w:r>
        <w:rPr>
          <w:rStyle w:val="None"/>
          <w:outline w:val="0"/>
          <w:color w:val="404040"/>
          <w:u w:color="404040"/>
          <w:rtl w:val="0"/>
          <w:lang w:val="en-US"/>
          <w14:textFill>
            <w14:solidFill>
              <w14:srgbClr w14:val="404040"/>
            </w14:solidFill>
          </w14:textFill>
        </w:rPr>
        <w:t>C relative to pre-industrial levels, with estimated future warming of 2.7</w:t>
      </w:r>
      <w:r>
        <w:rPr>
          <w:rStyle w:val="None"/>
          <w:outline w:val="0"/>
          <w:color w:val="404040"/>
          <w:u w:color="404040"/>
          <w:rtl w:val="0"/>
          <w:lang w:val="en-US"/>
          <w14:textFill>
            <w14:solidFill>
              <w14:srgbClr w14:val="404040"/>
            </w14:solidFill>
          </w14:textFill>
        </w:rPr>
        <w:t>–</w:t>
      </w:r>
      <w:r>
        <w:rPr>
          <w:rStyle w:val="None"/>
          <w:outline w:val="0"/>
          <w:color w:val="404040"/>
          <w:u w:color="404040"/>
          <w:rtl w:val="0"/>
          <w:lang w:val="en-US"/>
          <w14:textFill>
            <w14:solidFill>
              <w14:srgbClr w14:val="404040"/>
            </w14:solidFill>
          </w14:textFill>
        </w:rPr>
        <w:t>3.5</w:t>
      </w:r>
      <w:r>
        <w:rPr>
          <w:rStyle w:val="None"/>
          <w:outline w:val="0"/>
          <w:color w:val="404040"/>
          <w:u w:color="404040"/>
          <w:rtl w:val="0"/>
          <w:lang w:val="en-US"/>
          <w14:textFill>
            <w14:solidFill>
              <w14:srgbClr w14:val="404040"/>
            </w14:solidFill>
          </w14:textFill>
        </w:rPr>
        <w:t>°</w:t>
      </w:r>
      <w:r>
        <w:rPr>
          <w:rStyle w:val="None"/>
          <w:outline w:val="0"/>
          <w:color w:val="404040"/>
          <w:u w:color="404040"/>
          <w:rtl w:val="0"/>
          <w:lang w:val="en-US"/>
          <w14:textFill>
            <w14:solidFill>
              <w14:srgbClr w14:val="404040"/>
            </w14:solidFill>
          </w14:textFill>
        </w:rPr>
        <w:t xml:space="preserve">C projected for 2100 under business-as-usual emission scenarios. This warming has unleashed an environmental cascade, including melting polar ice caps, sea-level rise, powerful hurricanes, droughts lasting years longer than ever before, and the collapse of biodiversity. These perturbations threaten food security, water availability, public health, and economic stability across the globe. </w:t>
      </w:r>
      <w:r>
        <w:rPr>
          <w:rtl w:val="0"/>
          <w:lang w:val="en-US"/>
        </w:rPr>
        <w:t>Governments, international bodies, and private actors are competing to develop and roll out policy packages that balance emissions reduction with socio-economic development. This challenge demands innovation, equitable effort and impact, and unprecedented global cooperation. Climate change is no longer a distant threat but an immediate, systemic risk. The World Meteorological Organisation (WMO) reports that the past decade (2011</w:t>
      </w:r>
      <w:r>
        <w:rPr>
          <w:rtl w:val="0"/>
          <w:lang w:val="en-US"/>
        </w:rPr>
        <w:t>–</w:t>
      </w:r>
      <w:r>
        <w:rPr>
          <w:rtl w:val="0"/>
          <w:lang w:val="en-US"/>
        </w:rPr>
        <w:t>2020) was the warmest on record, with 2023 marking the hottest year in over 125,000 years. Extreme weather events, such as wildfires in Australia and Canada, floods in Pakistan and Germany, and the bleaching of coral reefs</w:t>
      </w:r>
      <w:r>
        <w:rPr>
          <w:rtl w:val="0"/>
          <w:lang w:val="en-US"/>
        </w:rPr>
        <w:t>—</w:t>
      </w:r>
      <w:r>
        <w:rPr>
          <w:rtl w:val="0"/>
          <w:lang w:val="en-US"/>
        </w:rPr>
        <w:t>critical marine biodiversity hotspots</w:t>
      </w:r>
      <w:r>
        <w:rPr>
          <w:rtl w:val="0"/>
          <w:lang w:val="en-US"/>
        </w:rPr>
        <w:t>—</w:t>
      </w:r>
      <w:r>
        <w:rPr>
          <w:rtl w:val="0"/>
          <w:lang w:val="en-US"/>
        </w:rPr>
        <w:t>have displaced millions and caused economic losses exceeding $300 billion annually. These events have strained ecosystems already burdened by habitat destruction and pollution, as shifting climate zones disrupt migratory patterns and species survival. These interconnected crises highlight the urgent need to decarbonise human activities while ensuring vulnerable populations, particularly in low-income countries, are not left behind.</w:t>
      </w:r>
    </w:p>
    <w:p>
      <w:pPr>
        <w:pStyle w:val="Default"/>
        <w:spacing w:after="274"/>
        <w:rPr>
          <w:outline w:val="0"/>
          <w:color w:val="404040"/>
          <w:u w:color="404040"/>
          <w14:textFill>
            <w14:solidFill>
              <w14:srgbClr w14:val="404040"/>
            </w14:solidFill>
          </w14:textFill>
        </w:rPr>
      </w:pP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The root cause of this upheaval lies in humanity</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xml:space="preserve">s carbon footprint </w:t>
      </w:r>
      <w:r>
        <w:rPr>
          <w:outline w:val="0"/>
          <w:color w:val="404040"/>
          <w:u w:color="404040"/>
          <w:rtl w:val="0"/>
          <w:lang w:val="en-US"/>
          <w14:textFill>
            <w14:solidFill>
              <w14:srgbClr w14:val="404040"/>
            </w14:solidFill>
          </w14:textFill>
        </w:rPr>
        <w:t xml:space="preserve">– </w:t>
      </w:r>
      <w:r>
        <w:rPr>
          <w:outline w:val="0"/>
          <w:color w:val="404040"/>
          <w:u w:color="404040"/>
          <w:rtl w:val="0"/>
          <w:lang w:val="en-US"/>
          <w14:textFill>
            <w14:solidFill>
              <w14:srgbClr w14:val="404040"/>
            </w14:solidFill>
          </w14:textFill>
        </w:rPr>
        <w:t>the total greenhouse gas emissions generated by individual, organisational, or national activities. The energy sector remains the largest contributor, accounting for 73% of global emissions, primarily from coal, oil, and gas combustion. Industrial processes, such as cement and steel production, add another 5</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10%, while agriculture and land-use changes (e.g., deforestation) contribute 18</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25%, driven by methane from livestock and nitrous oxide from fertilisers. Transportation, responsible for 16% of emissions, and buildings, at 6%, further compound the problem. These sectors are deeply embedded in modern economies, making rapid decarbonisation a complex, multi-dimensional challenge. Policymakers must therefore craft frameworks that transcend traditional silos, integrating environmental, economic, and social objectives to avoid trade-offs that could exacerbate inequality or stifle growth.</w:t>
      </w:r>
    </w:p>
    <w:p>
      <w:pPr>
        <w:pStyle w:val="Default"/>
        <w:spacing w:after="274"/>
        <w:rPr>
          <w:rStyle w:val="None"/>
          <w:outline w:val="0"/>
          <w:color w:val="404040"/>
          <w:u w:color="404040"/>
          <w14:textFill>
            <w14:solidFill>
              <w14:srgbClr w14:val="404040"/>
            </w14:solidFill>
          </w14:textFill>
        </w:rPr>
      </w:pPr>
      <w:r>
        <w:rPr>
          <w:rStyle w:val="None"/>
          <w:outline w:val="0"/>
          <w:color w:val="404040"/>
          <w:u w:color="404040"/>
          <w:rtl w:val="0"/>
          <w:lang w:val="en-US"/>
          <w14:textFill>
            <w14:solidFill>
              <w14:srgbClr w14:val="404040"/>
            </w14:solidFill>
          </w14:textFill>
        </w:rPr>
        <w:t>The Imperative for Comprehensive Policy Frameworks</w:t>
      </w: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Effective climate action demands more than isolated technological solutions or voluntary commitments. It necessitates systemic transformation guided by robust and adaptable policy frameworks. Such frameworks must address three fundamental dimensions: scale, speed, and equity.</w:t>
      </w:r>
    </w:p>
    <w:p>
      <w:pPr>
        <w:pStyle w:val="Default"/>
        <w:spacing w:after="274"/>
        <w:rPr>
          <w:outline w:val="0"/>
          <w:color w:val="404040"/>
          <w:u w:color="404040"/>
          <w14:textFill>
            <w14:solidFill>
              <w14:srgbClr w14:val="404040"/>
            </w14:solidFill>
          </w14:textFill>
        </w:rPr>
      </w:pP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Policies must achieve emissions reductions at a scale commensurate with the Intergovernmental Panel on Climate Change (IPCC) recommendation to halve global emissions by 2030 and attain net-zero by 2050. They must accelerate the pace of transition to avoid perpetuating carbon-intensive infrastructure and amplifying climate risks. Additionally, policies must ensure equitable outcomes, acknowledging that developing nations, historically least responsible for emissions, often bear the brunt of climate impacts and lack the resources to finance green transitions.</w:t>
      </w:r>
    </w:p>
    <w:p>
      <w:pPr>
        <w:pStyle w:val="Default"/>
        <w:spacing w:after="274"/>
        <w:rPr>
          <w:outline w:val="0"/>
          <w:color w:val="404040"/>
          <w:u w:color="404040"/>
          <w14:textFill>
            <w14:solidFill>
              <w14:srgbClr w14:val="404040"/>
            </w14:solidFill>
          </w14:textFill>
        </w:rPr>
      </w:pP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Historically, climate policies have evolved through trial and error. Early initiatives, such as the 1997 Kyoto Protocol, relied on binding emission targets for developed nations but excluded significant emitters like China and India, limiting their effectiveness. The 2015 Paris Agreement marked a paradigm shift by adopting a bottom-up approach, enabling nations to establish voluntary Nationally Determined Contributions (NDCs). While this inclusivity enhanced participation, enforcement mechanisms remain inadequate, and current NDCs collectively fall short of limiting warming to 1.5</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C.</w:t>
      </w:r>
    </w:p>
    <w:p>
      <w:pPr>
        <w:pStyle w:val="Default"/>
        <w:spacing w:after="274"/>
        <w:rPr>
          <w:outline w:val="0"/>
          <w:color w:val="404040"/>
          <w:u w:color="404040"/>
          <w14:textFill>
            <w14:solidFill>
              <w14:srgbClr w14:val="404040"/>
            </w14:solidFill>
          </w14:textFill>
        </w:rPr>
      </w:pP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Market-based tools such as carbon pricing have gained traction, with over 70 national and subnational systems now operational. For instance, in Mexico, the carbon price is set at 1/ton, while in Sweden, it is set at 140/ton. However, uneven carbon prices, ranging from Sweden, expose disparities in political will and economic capacity.</w:t>
      </w:r>
    </w:p>
    <w:p>
      <w:pPr>
        <w:pStyle w:val="Default"/>
        <w:spacing w:after="274"/>
        <w:rPr>
          <w:rStyle w:val="None"/>
          <w:outline w:val="0"/>
          <w:color w:val="404040"/>
          <w:u w:color="404040"/>
          <w14:textFill>
            <w14:solidFill>
              <w14:srgbClr w14:val="404040"/>
            </w14:solidFill>
          </w14:textFill>
        </w:rPr>
      </w:pPr>
      <w:r>
        <w:rPr>
          <w:rStyle w:val="None"/>
          <w:outline w:val="0"/>
          <w:color w:val="404040"/>
          <w:u w:color="404040"/>
          <w:rtl w:val="0"/>
          <w:lang w:val="en-US"/>
          <w14:textFill>
            <w14:solidFill>
              <w14:srgbClr w14:val="404040"/>
            </w14:solidFill>
          </w14:textFill>
        </w:rPr>
        <w:t>Diverse Strategies for a Multi-Faceted Challenge</w:t>
      </w: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Modern policy frameworks employ a mix of regulatory, economic, and collaborative tools tailored to sector-specific challenges.</w:t>
      </w:r>
    </w:p>
    <w:p>
      <w:pPr>
        <w:pStyle w:val="Default"/>
        <w:spacing w:after="274"/>
        <w:rPr>
          <w:outline w:val="0"/>
          <w:color w:val="404040"/>
          <w:u w:color="404040"/>
          <w14:textFill>
            <w14:solidFill>
              <w14:srgbClr w14:val="404040"/>
            </w14:solidFill>
          </w14:textFill>
        </w:rPr>
      </w:pPr>
    </w:p>
    <w:p>
      <w:pPr>
        <w:pStyle w:val="Default"/>
        <w:numPr>
          <w:ilvl w:val="0"/>
          <w:numId w:val="2"/>
        </w:numPr>
        <w:rPr>
          <w:outline w:val="0"/>
          <w:color w:val="404040"/>
          <w:u w:color="404040"/>
          <w:lang w:val="en-US"/>
          <w14:textFill>
            <w14:solidFill>
              <w14:srgbClr w14:val="404040"/>
            </w14:solidFill>
          </w14:textFill>
        </w:rPr>
      </w:pPr>
      <w:r>
        <w:rPr>
          <w:outline w:val="0"/>
          <w:color w:val="404040"/>
          <w:u w:color="404040"/>
          <w:rtl w:val="0"/>
          <w:lang w:val="en-US"/>
          <w14:textFill>
            <w14:solidFill>
              <w14:srgbClr w14:val="404040"/>
            </w14:solidFill>
          </w14:textFill>
        </w:rPr>
        <w:t>Regulatory interventions, such as command-and-control policies, set legally binding limits on emissions, energy efficiency, or technology standards. For instance, the European Union</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xml:space="preserve">s </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Fit for 55</w:t>
      </w:r>
      <w:r>
        <w:rPr>
          <w:outline w:val="0"/>
          <w:color w:val="404040"/>
          <w:u w:color="404040"/>
          <w:rtl w:val="0"/>
          <w:lang w:val="en-US"/>
          <w14:textFill>
            <w14:solidFill>
              <w14:srgbClr w14:val="404040"/>
            </w14:solidFill>
          </w14:textFill>
        </w:rPr>
        <w:t xml:space="preserve">” </w:t>
      </w:r>
      <w:r>
        <w:rPr>
          <w:outline w:val="0"/>
          <w:color w:val="404040"/>
          <w:u w:color="404040"/>
          <w:rtl w:val="0"/>
          <w:lang w:val="en-US"/>
          <w14:textFill>
            <w14:solidFill>
              <w14:srgbClr w14:val="404040"/>
            </w14:solidFill>
          </w14:textFill>
        </w:rPr>
        <w:t>package mandates a 55% reduction in GHG emissions by 2030. This is enforced through stricter emissions trading, renewable energy quotas, and bans on internal combustion engines by 2035. Similarly, California</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Advanced Clean Cars II rule requires 100% zero-emission vehicle sales by 2035. While these regulations provide certainty for industries, they risk backlash if perceived as overly restrictive or economically disruptive.</w:t>
      </w:r>
    </w:p>
    <w:p>
      <w:pPr>
        <w:pStyle w:val="Default"/>
        <w:numPr>
          <w:ilvl w:val="0"/>
          <w:numId w:val="2"/>
        </w:numPr>
        <w:rPr>
          <w:outline w:val="0"/>
          <w:color w:val="404040"/>
          <w:u w:color="404040"/>
          <w14:textFill>
            <w14:solidFill>
              <w14:srgbClr w14:val="404040"/>
            </w14:solidFill>
          </w14:textFill>
        </w:rPr>
      </w:pPr>
    </w:p>
    <w:p>
      <w:pPr>
        <w:pStyle w:val="Default"/>
        <w:numPr>
          <w:ilvl w:val="0"/>
          <w:numId w:val="2"/>
        </w:numPr>
        <w:rPr>
          <w:outline w:val="0"/>
          <w:color w:val="404040"/>
          <w:u w:color="404040"/>
          <w:lang w:val="en-US"/>
          <w14:textFill>
            <w14:solidFill>
              <w14:srgbClr w14:val="404040"/>
            </w14:solidFill>
          </w14:textFill>
        </w:rPr>
      </w:pPr>
      <w:r>
        <w:rPr>
          <w:outline w:val="0"/>
          <w:color w:val="404040"/>
          <w:u w:color="404040"/>
          <w:rtl w:val="0"/>
          <w:lang w:val="en-US"/>
          <w14:textFill>
            <w14:solidFill>
              <w14:srgbClr w14:val="404040"/>
            </w14:solidFill>
          </w14:textFill>
        </w:rPr>
        <w:t>Market-based mechanisms, such as carbon pricing, internalise the social cost of emissions, incentivising businesses and consumers to adopt cleaner alternatives. Carbon taxes, like Canada</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escalating levy (set to reach CAD 170/ton by 2030), directly tax emissions. Cap-and-trade systems, such as the EU Emissions Trading System (EU ETS), cap total emissions and allow trading of permits. Revenue from these schemes can fund green investments or offset regressive impacts on low-income households. Additionally, subsidies and tax credits lower the cost of renewables, electric vehicles (EVs), and energy-efficient technologies. For example, the U.S. Inflation Reduction Act (IRA) allocates $369 billion to clean energy incentives, catalysing private-sector investments in solar, wind, and hydrogen.</w:t>
      </w:r>
    </w:p>
    <w:p>
      <w:pPr>
        <w:pStyle w:val="Default"/>
        <w:numPr>
          <w:ilvl w:val="0"/>
          <w:numId w:val="2"/>
        </w:numPr>
        <w:rPr>
          <w:outline w:val="0"/>
          <w:color w:val="404040"/>
          <w:u w:color="404040"/>
          <w:lang w:val="en-US"/>
          <w14:textFill>
            <w14:solidFill>
              <w14:srgbClr w14:val="404040"/>
            </w14:solidFill>
          </w14:textFill>
        </w:rPr>
      </w:pPr>
      <w:r>
        <w:rPr>
          <w:outline w:val="0"/>
          <w:color w:val="404040"/>
          <w:u w:color="404040"/>
          <w:rtl w:val="0"/>
          <w:lang w:val="en-US"/>
          <w14:textFill>
            <w14:solidFill>
              <w14:srgbClr w14:val="404040"/>
            </w14:solidFill>
          </w14:textFill>
        </w:rPr>
        <w:t>Beyond government action, corporations and civil society are driving change through voluntary commitments. Over 3,000 companies, including Apple and Google, have joined the Science-Based Targets initiative (SBTi), aligning emission cuts with IPCC pathways. Carbon offset programs, such as Microsoft</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xml:space="preserve">s $1 billion climate innovation fund, finance reforestation and renewable projects to neutralise residual emissions. While critics argue offsets can enable </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greenwashing</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rigorous certification standards (e.g., Verra</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Verified Carbon Standard) aim to ensure accountability.</w:t>
      </w:r>
    </w:p>
    <w:p>
      <w:pPr>
        <w:pStyle w:val="Default"/>
        <w:numPr>
          <w:ilvl w:val="0"/>
          <w:numId w:val="2"/>
        </w:numPr>
        <w:rPr>
          <w:outline w:val="0"/>
          <w:color w:val="404040"/>
          <w:u w:color="404040"/>
          <w14:textFill>
            <w14:solidFill>
              <w14:srgbClr w14:val="404040"/>
            </w14:solidFill>
          </w14:textFill>
        </w:rPr>
      </w:pPr>
    </w:p>
    <w:p>
      <w:pPr>
        <w:pStyle w:val="Default"/>
        <w:numPr>
          <w:ilvl w:val="0"/>
          <w:numId w:val="2"/>
        </w:numPr>
        <w:rPr>
          <w:outline w:val="0"/>
          <w:color w:val="404040"/>
          <w:u w:color="404040"/>
          <w:lang w:val="en-US"/>
          <w14:textFill>
            <w14:solidFill>
              <w14:srgbClr w14:val="404040"/>
            </w14:solidFill>
          </w14:textFill>
        </w:rPr>
      </w:pPr>
      <w:r>
        <w:rPr>
          <w:outline w:val="0"/>
          <w:color w:val="404040"/>
          <w:u w:color="404040"/>
          <w:rtl w:val="0"/>
          <w:lang w:val="en-US"/>
          <w14:textFill>
            <w14:solidFill>
              <w14:srgbClr w14:val="404040"/>
            </w14:solidFill>
          </w14:textFill>
        </w:rPr>
        <w:t>Breakthrough technologies are crucial for hard-to-abate sectors like aviation and heavy industry. Governments are investing in carbon capture and storage (CCS), green hydrogen, and advanced nuclear reactors. For instance, South Korea</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Green New Deal pledges $61 billion for smart grids and hydrogen infrastructure, while the U.S. Department of Energy</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xml:space="preserve">s </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Earthshots</w:t>
      </w:r>
      <w:r>
        <w:rPr>
          <w:outline w:val="0"/>
          <w:color w:val="404040"/>
          <w:u w:color="404040"/>
          <w:rtl w:val="0"/>
          <w:lang w:val="en-US"/>
          <w14:textFill>
            <w14:solidFill>
              <w14:srgbClr w14:val="404040"/>
            </w14:solidFill>
          </w14:textFill>
        </w:rPr>
        <w:t xml:space="preserve">” </w:t>
      </w:r>
      <w:r>
        <w:rPr>
          <w:outline w:val="0"/>
          <w:color w:val="404040"/>
          <w:u w:color="404040"/>
          <w:rtl w:val="0"/>
          <w:lang w:val="en-US"/>
          <w14:textFill>
            <w14:solidFill>
              <w14:srgbClr w14:val="404040"/>
            </w14:solidFill>
          </w14:textFill>
        </w:rPr>
        <w:t>initiative targets cost reductions in clean hydrogen and direct air capture. Public-private partnerships, such as the EU</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Horizon Europe programme, further bridge the gap between research and commercialisation.</w:t>
      </w:r>
    </w:p>
    <w:p>
      <w:pPr>
        <w:pStyle w:val="Default"/>
        <w:numPr>
          <w:ilvl w:val="0"/>
          <w:numId w:val="2"/>
        </w:numPr>
        <w:rPr>
          <w:outline w:val="0"/>
          <w:color w:val="404040"/>
          <w:u w:color="404040"/>
          <w:lang w:val="en-US"/>
          <w14:textFill>
            <w14:solidFill>
              <w14:srgbClr w14:val="404040"/>
            </w14:solidFill>
          </w14:textFill>
        </w:rPr>
      </w:pPr>
      <w:r>
        <w:rPr>
          <w:outline w:val="0"/>
          <w:color w:val="404040"/>
          <w:u w:color="404040"/>
          <w:rtl w:val="0"/>
          <w:lang w:val="en-US"/>
          <w14:textFill>
            <w14:solidFill>
              <w14:srgbClr w14:val="404040"/>
            </w14:solidFill>
          </w14:textFill>
        </w:rPr>
        <w:t>earch and commercialization.</w:t>
      </w:r>
    </w:p>
    <w:p>
      <w:pPr>
        <w:pStyle w:val="Default"/>
        <w:spacing w:after="274"/>
      </w:pPr>
    </w:p>
    <w:p>
      <w:pPr>
        <w:pStyle w:val="Default"/>
        <w:spacing w:after="274"/>
      </w:pPr>
      <w:r>
        <w:rPr>
          <w:rtl w:val="0"/>
          <w:lang w:val="en-US"/>
        </w:rPr>
        <w:t>Balancing Economic and Social Priorities</w:t>
      </w: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 xml:space="preserve">Critics often frame climate action as a trade-off between environmental and economic goals, but evidence increasingly refutes this dichotomy. For instance, the International Renewable Energy Agency (IREENA) estimates that renewable energy sectors employed 12.7 million people globally in 2022, a figure poised to triple by 2050. Similarly, energy-efficient retrofits in buildings can reduce utility bills while creating construction jobs. Policies that prioritise a </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just transition,</w:t>
      </w:r>
      <w:r>
        <w:rPr>
          <w:outline w:val="0"/>
          <w:color w:val="404040"/>
          <w:u w:color="404040"/>
          <w:rtl w:val="0"/>
          <w:lang w:val="en-US"/>
          <w14:textFill>
            <w14:solidFill>
              <w14:srgbClr w14:val="404040"/>
            </w14:solidFill>
          </w14:textFill>
        </w:rPr>
        <w:t xml:space="preserve">” </w:t>
      </w:r>
      <w:r>
        <w:rPr>
          <w:outline w:val="0"/>
          <w:color w:val="404040"/>
          <w:u w:color="404040"/>
          <w:rtl w:val="0"/>
          <w:lang w:val="en-US"/>
          <w14:textFill>
            <w14:solidFill>
              <w14:srgbClr w14:val="404040"/>
            </w14:solidFill>
          </w14:textFill>
        </w:rPr>
        <w:t>such as Germany</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xml:space="preserve">s Coal Phase-Out Act, which allocates </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40 billion to support coal-dependent regions, demonstrate how social safety nets and retraining programmes can mitigate job losses in fossil fuel industries.</w:t>
      </w:r>
    </w:p>
    <w:p>
      <w:pPr>
        <w:pStyle w:val="Default"/>
        <w:spacing w:after="274"/>
        <w:rPr>
          <w:outline w:val="0"/>
          <w:color w:val="404040"/>
          <w:u w:color="404040"/>
          <w14:textFill>
            <w14:solidFill>
              <w14:srgbClr w14:val="404040"/>
            </w14:solidFill>
          </w14:textFill>
        </w:rPr>
      </w:pP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However, challenges persist. Developing nations face steep barriers, including high debt burdens, outdated infrastructure, and limited access to clean technology. Africa, home to 17% of the world</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population, accounts for less than 4% of global emissions but suffers disproportionately from climate impacts. Without international support, these countries risk being trapped in carbon-intensive development pathways. Climate finance mechanisms, such as the Green Climate Fund (GCF), aim to address this imbalance by channelling $100 billion annually from wealthy nations to low-income countries. Despite these efforts, funding gaps and bureaucratic hurdles persist.</w:t>
      </w:r>
    </w:p>
    <w:p>
      <w:pPr>
        <w:pStyle w:val="Default"/>
        <w:spacing w:after="274"/>
        <w:rPr>
          <w:rStyle w:val="None"/>
          <w:outline w:val="0"/>
          <w:color w:val="404040"/>
          <w:u w:color="404040"/>
          <w14:textFill>
            <w14:solidFill>
              <w14:srgbClr w14:val="404040"/>
            </w14:solidFill>
          </w14:textFill>
        </w:rPr>
      </w:pPr>
      <w:r>
        <w:rPr>
          <w:rStyle w:val="None"/>
          <w:outline w:val="0"/>
          <w:color w:val="404040"/>
          <w:u w:color="404040"/>
          <w:rtl w:val="0"/>
          <w:lang w:val="en-US"/>
          <w14:textFill>
            <w14:solidFill>
              <w14:srgbClr w14:val="404040"/>
            </w14:solidFill>
          </w14:textFill>
        </w:rPr>
        <w:t>The Role of International Cooperation</w:t>
      </w: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Climate change, a global problem demanding global solutions, requires multilateral agreements, though imperfect, to facilitate coordination. The Paris Agreement</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 xml:space="preserve">s </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ratchet mechanism</w:t>
      </w:r>
      <w:r>
        <w:rPr>
          <w:outline w:val="0"/>
          <w:color w:val="404040"/>
          <w:u w:color="404040"/>
          <w:rtl w:val="0"/>
          <w:lang w:val="en-US"/>
          <w14:textFill>
            <w14:solidFill>
              <w14:srgbClr w14:val="404040"/>
            </w14:solidFill>
          </w14:textFill>
        </w:rPr>
        <w:t xml:space="preserve">” </w:t>
      </w:r>
      <w:r>
        <w:rPr>
          <w:outline w:val="0"/>
          <w:color w:val="404040"/>
          <w:u w:color="404040"/>
          <w:rtl w:val="0"/>
          <w:lang w:val="en-US"/>
          <w14:textFill>
            <w14:solidFill>
              <w14:srgbClr w14:val="404040"/>
            </w14:solidFill>
          </w14:textFill>
        </w:rPr>
        <w:t>encourages nations to enhance their National Determined Contributions every five years, fostering incremental progress. Regional alliances, like the African Union</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Continental Master Plan for renewable energy, amplify collective bargaining power. Initiatives like the Global Methane Pledge, signed by 150 countries to cut CH</w:t>
      </w:r>
      <w:r>
        <w:rPr>
          <w:rFonts w:ascii="Arial Unicode MS" w:cs="Arial Unicode MS" w:hAnsi="Arial Unicode MS" w:eastAsia="Arial Unicode MS" w:hint="default"/>
          <w:b w:val="0"/>
          <w:bCs w:val="0"/>
          <w:i w:val="0"/>
          <w:iCs w:val="0"/>
          <w:outline w:val="0"/>
          <w:color w:val="404040"/>
          <w:u w:color="404040"/>
          <w:rtl w:val="0"/>
          <w:lang w:val="en-US"/>
          <w14:textFill>
            <w14:solidFill>
              <w14:srgbClr w14:val="404040"/>
            </w14:solidFill>
          </w14:textFill>
        </w:rPr>
        <w:t>₄</w:t>
      </w:r>
      <w:r>
        <w:rPr>
          <w:outline w:val="0"/>
          <w:color w:val="404040"/>
          <w:u w:color="404040"/>
          <w:rtl w:val="0"/>
          <w:lang w:val="en-US"/>
          <w14:textFill>
            <w14:solidFill>
              <w14:srgbClr w14:val="404040"/>
            </w14:solidFill>
          </w14:textFill>
        </w:rPr>
        <w:t xml:space="preserve"> </w:t>
      </w:r>
      <w:r>
        <w:rPr>
          <w:outline w:val="0"/>
          <w:color w:val="404040"/>
          <w:u w:color="404040"/>
          <w:rtl w:val="0"/>
          <w:lang w:val="en-US"/>
          <w14:textFill>
            <w14:solidFill>
              <w14:srgbClr w14:val="404040"/>
            </w14:solidFill>
          </w14:textFill>
        </w:rPr>
        <w:t>emissions by 30% by 2030, target short-lived but potent GHGs.</w:t>
      </w:r>
    </w:p>
    <w:p>
      <w:pPr>
        <w:pStyle w:val="Default"/>
        <w:spacing w:after="274"/>
        <w:rPr>
          <w:outline w:val="0"/>
          <w:color w:val="404040"/>
          <w:u w:color="404040"/>
          <w14:textFill>
            <w14:solidFill>
              <w14:srgbClr w14:val="404040"/>
            </w14:solidFill>
          </w14:textFill>
        </w:rPr>
      </w:pPr>
    </w:p>
    <w:p>
      <w:pPr>
        <w:pStyle w:val="Default"/>
        <w:spacing w:after="274"/>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However, geopolitical tensions and resource competition threaten solidarity. The Russia-Ukraine war disrupted energy markets, prompting some nations to revert to coal despite climate goals. Similarly, rare earth mineral shortages, crucial for EV batteries and wind turbines, risk exacerbating resource conflicts. Strengthening international institutions and supply chain resilience is therefore paramount.</w:t>
      </w:r>
    </w:p>
    <w:p>
      <w:pPr>
        <w:pStyle w:val="Default"/>
        <w:spacing w:after="319" w:line="360" w:lineRule="auto"/>
      </w:pPr>
      <w:r>
        <w:rPr>
          <w:rtl w:val="0"/>
          <w:lang w:val="en-US"/>
        </w:rPr>
        <w:t>PURPOSE OF THE STUDY</w:t>
      </w:r>
    </w:p>
    <w:p>
      <w:pPr>
        <w:pStyle w:val="Default"/>
        <w:spacing w:after="319" w:line="360" w:lineRule="auto"/>
      </w:pPr>
      <w:r>
        <w:rPr>
          <w:rtl w:val="0"/>
          <w:lang w:val="en-US"/>
        </w:rPr>
        <w:t>This study aims to explore and evaluate the effectiveness of various policy frameworks designed to mitigate carbon footprints and reduce greenhouse gas (GHG) emissions. As climate change becomes increasingly urgent, countries, industries, and organisations are adopting diverse strategies to decarbonise their operations and reduce their environmental impact, all in pursuit of meeting global climate targets. The research seeks to provide a comprehensive analysis of policy tools and mechanisms that can accelerate the transition to a low-carbon economy, ensuring equitable outcomes for all stakeholders.</w:t>
      </w:r>
    </w:p>
    <w:p>
      <w:pPr>
        <w:pStyle w:val="Default"/>
        <w:spacing w:after="319" w:line="360" w:lineRule="auto"/>
      </w:pPr>
      <w:r>
        <w:rPr>
          <w:rtl w:val="0"/>
          <w:lang w:val="en-US"/>
        </w:rPr>
        <w:t>RESEARCH OBJECTIVES</w:t>
      </w:r>
    </w:p>
    <w:p>
      <w:pPr>
        <w:pStyle w:val="Default"/>
        <w:spacing w:after="319" w:line="360" w:lineRule="auto"/>
      </w:pPr>
      <w:r>
        <w:rPr>
          <w:rtl w:val="0"/>
          <w:lang w:val="en-US"/>
        </w:rPr>
        <w:t>1.</w:t>
      </w:r>
      <w:r>
        <w:rPr>
          <w:rtl w:val="0"/>
          <w:lang w:val="en-US"/>
        </w:rPr>
        <w:t xml:space="preserve"> To assess policy effectiveness, evaluate carbon pricing mechanisms such as taxes and cap-and-trade, and sector-specific regulations like renewable energy mandates and EV incentives, to measure their impact on emission reductions, identify enforcement gaps, and analyse economic consequences.</w:t>
      </w:r>
    </w:p>
    <w:p>
      <w:pPr>
        <w:pStyle w:val="Default"/>
        <w:spacing w:after="319" w:line="360" w:lineRule="auto"/>
      </w:pPr>
    </w:p>
    <w:p>
      <w:pPr>
        <w:pStyle w:val="Default"/>
        <w:spacing w:after="319" w:line="360" w:lineRule="auto"/>
      </w:pPr>
      <w:r>
        <w:rPr>
          <w:rtl w:val="0"/>
          <w:lang w:val="en-US"/>
        </w:rPr>
        <w:t>2. To analyse innovation and equity, investigate technological breakthroughs like carbon capture, storage, and utilisation (CCS) and green hydrogen, and explore equity strategies such as retraining and climate finance, to strike a balance between decarbonisation and socio-economic fairness.</w:t>
      </w:r>
    </w:p>
    <w:p>
      <w:pPr>
        <w:pStyle w:val="Default"/>
        <w:spacing w:after="319" w:line="360" w:lineRule="auto"/>
      </w:pPr>
    </w:p>
    <w:p>
      <w:pPr>
        <w:pStyle w:val="Default"/>
        <w:spacing w:after="319" w:line="360" w:lineRule="auto"/>
      </w:pPr>
      <w:r>
        <w:rPr>
          <w:rtl w:val="0"/>
          <w:lang w:val="en-US"/>
        </w:rPr>
        <w:t>3. To design integrated frameworks, propose hybrid policies that combine regulation, market incentives, and global cooperation to ensure equitable, scalable climate action and resilient supply chains.</w:t>
      </w:r>
    </w:p>
    <w:p>
      <w:pPr>
        <w:pStyle w:val="Default"/>
        <w:spacing w:after="319" w:line="360" w:lineRule="auto"/>
      </w:pPr>
      <w:r>
        <w:rPr>
          <w:rtl w:val="0"/>
          <w:lang w:val="en-US"/>
        </w:rPr>
        <w:t>RESEARCH QUESTIONS</w:t>
      </w:r>
    </w:p>
    <w:p>
      <w:pPr>
        <w:pStyle w:val="Default"/>
        <w:numPr>
          <w:ilvl w:val="0"/>
          <w:numId w:val="4"/>
        </w:numPr>
        <w:spacing w:after="240"/>
        <w:rPr>
          <w:lang w:val="en-US"/>
        </w:rPr>
      </w:pPr>
      <w:r>
        <w:rPr>
          <w:rtl w:val="0"/>
          <w:lang w:val="en-US"/>
        </w:rPr>
        <w:t>How effective are carbon pricing mechanisms, such as carbon taxes and cap-and-trade, and sector-specific regulations, including renewable energy mandates and EV incentives, in reducing carbon emissions?</w:t>
      </w:r>
    </w:p>
    <w:p>
      <w:pPr>
        <w:pStyle w:val="Default"/>
        <w:numPr>
          <w:ilvl w:val="0"/>
          <w:numId w:val="4"/>
        </w:numPr>
        <w:spacing w:after="240"/>
        <w:rPr>
          <w:lang w:val="en-US"/>
        </w:rPr>
      </w:pPr>
      <w:r>
        <w:rPr>
          <w:rtl w:val="0"/>
          <w:lang w:val="en-US"/>
        </w:rPr>
        <w:t xml:space="preserve"> What enforcement challenges and economic impacts do they present? </w:t>
      </w:r>
    </w:p>
    <w:p>
      <w:pPr>
        <w:pStyle w:val="Default"/>
        <w:numPr>
          <w:ilvl w:val="0"/>
          <w:numId w:val="4"/>
        </w:numPr>
        <w:spacing w:after="240"/>
        <w:rPr>
          <w:lang w:val="en-US"/>
        </w:rPr>
      </w:pPr>
      <w:r>
        <w:rPr>
          <w:rtl w:val="0"/>
          <w:lang w:val="en-US"/>
        </w:rPr>
        <w:t xml:space="preserve">What role do technological innovations, like carbon capture and storage and green hydrogen, and equity strategies, such as retraining programmes and climate finance, play in balancing decarbonisation with socio-economic fairness? </w:t>
      </w:r>
    </w:p>
    <w:p>
      <w:pPr>
        <w:pStyle w:val="Default"/>
        <w:numPr>
          <w:ilvl w:val="0"/>
          <w:numId w:val="4"/>
        </w:numPr>
        <w:spacing w:after="240"/>
        <w:rPr>
          <w:lang w:val="en-US"/>
        </w:rPr>
      </w:pPr>
      <w:r>
        <w:rPr>
          <w:rtl w:val="0"/>
          <w:lang w:val="en-US"/>
        </w:rPr>
        <w:t>How can an integrated policy framework, combining regulation, market incentives, and global cooperation, be designed to ensure scalable, equitable, and resilient climate action?</w:t>
      </w:r>
    </w:p>
    <w:p>
      <w:pPr>
        <w:pStyle w:val="Default"/>
        <w:spacing w:after="319" w:line="360" w:lineRule="auto"/>
      </w:pPr>
    </w:p>
    <w:p>
      <w:pPr>
        <w:pStyle w:val="Default"/>
        <w:spacing w:after="319" w:line="360" w:lineRule="auto"/>
      </w:pPr>
      <w:r>
        <w:rPr>
          <w:rtl w:val="0"/>
          <w:lang w:val="en-US"/>
        </w:rPr>
        <w:t>METHODOLOGY</w:t>
      </w:r>
    </w:p>
    <w:p>
      <w:pPr>
        <w:pStyle w:val="Default"/>
        <w:spacing w:after="240" w:line="360" w:lineRule="auto"/>
      </w:pPr>
      <w:r>
        <w:rPr>
          <w:rtl w:val="0"/>
          <w:lang w:val="en-US"/>
        </w:rPr>
        <w:t>This study adopts a mixed-methods approach, combining both qualitative and quantitative analysis to assess existing carbon mitigation frameworks. The methodology includes:</w:t>
      </w:r>
    </w:p>
    <w:p>
      <w:pPr>
        <w:pStyle w:val="Default"/>
        <w:numPr>
          <w:ilvl w:val="0"/>
          <w:numId w:val="5"/>
        </w:numPr>
        <w:spacing w:after="240" w:line="360" w:lineRule="auto"/>
        <w:rPr>
          <w:lang w:val="en-US"/>
        </w:rPr>
      </w:pPr>
      <w:r>
        <w:rPr>
          <w:rtl w:val="0"/>
          <w:lang w:val="en-US"/>
        </w:rPr>
        <w:t>This policy analysis systematically reviews national and international policies on carbon footprint reduction. It includes case studies from countries like the European Union, the United States, and China. The study examines various policies, such as carbon pricing, renewable energy subsidies, carbon markets, emissions standards, and industry-specific strategies.</w:t>
      </w:r>
    </w:p>
    <w:p>
      <w:pPr>
        <w:pStyle w:val="Default"/>
        <w:numPr>
          <w:ilvl w:val="0"/>
          <w:numId w:val="5"/>
        </w:numPr>
        <w:spacing w:after="240" w:line="360" w:lineRule="auto"/>
        <w:rPr>
          <w:lang w:val="en-US"/>
        </w:rPr>
      </w:pPr>
      <w:r>
        <w:rPr>
          <w:rtl w:val="0"/>
          <w:lang w:val="en-US"/>
        </w:rPr>
        <w:t>The paper also compares different policy frameworks</w:t>
      </w:r>
      <w:r>
        <w:rPr>
          <w:rtl w:val="0"/>
          <w:lang w:val="en-US"/>
        </w:rPr>
        <w:t xml:space="preserve">’ </w:t>
      </w:r>
      <w:r>
        <w:rPr>
          <w:rtl w:val="0"/>
          <w:lang w:val="en-US"/>
        </w:rPr>
        <w:t>effectiveness in achieving carbon reduction targets. It evaluates the success of carbon tax systems, cap-and-trade mechanisms, and renewable energy incentives across diverse sectors, including energy, transportation, and industry.</w:t>
      </w:r>
    </w:p>
    <w:p>
      <w:pPr>
        <w:pStyle w:val="Default"/>
        <w:spacing w:after="319" w:line="360" w:lineRule="auto"/>
      </w:pPr>
      <w:r>
        <w:rPr>
          <w:rtl w:val="0"/>
          <w:lang w:val="en-US"/>
        </w:rPr>
        <w:t>FINDINGS</w:t>
      </w:r>
    </w:p>
    <w:p>
      <w:pPr>
        <w:pStyle w:val="Default"/>
        <w:spacing w:after="240" w:line="360" w:lineRule="auto"/>
      </w:pPr>
      <w:r>
        <w:rPr>
          <w:rtl w:val="0"/>
          <w:lang w:val="en-US"/>
        </w:rPr>
        <w:t xml:space="preserve">The findings suggest that carbon footprint mitigation policies vary significantly in terms of effectiveness depending on the context in which they are applied. </w:t>
      </w:r>
    </w:p>
    <w:p>
      <w:pPr>
        <w:pStyle w:val="Default"/>
        <w:spacing w:after="240" w:line="360" w:lineRule="auto"/>
      </w:pPr>
      <w:r>
        <w:rPr>
          <w:rtl w:val="0"/>
          <w:lang w:val="en-US"/>
        </w:rPr>
        <w:t>Key findings include:</w:t>
      </w:r>
    </w:p>
    <w:p>
      <w:pPr>
        <w:pStyle w:val="Default"/>
        <w:numPr>
          <w:ilvl w:val="0"/>
          <w:numId w:val="6"/>
        </w:numPr>
        <w:spacing w:after="240" w:line="360" w:lineRule="auto"/>
        <w:rPr>
          <w:lang w:val="en-US"/>
        </w:rPr>
      </w:pPr>
      <w:r>
        <w:rPr>
          <w:rtl w:val="0"/>
          <w:lang w:val="en-US"/>
        </w:rPr>
        <w:t>Carbon Pricing: Carbon taxes and cap-and-trade systems have demonstrated effectiveness in reducing emissions in high-carbon sectors, but strong enforcement mechanisms are essential to ensure compliance. Countries with higher carbon pricing have experienced faster transitions to renewable energy (Sterner, 2012).</w:t>
      </w:r>
    </w:p>
    <w:p>
      <w:pPr>
        <w:pStyle w:val="Default"/>
        <w:numPr>
          <w:ilvl w:val="0"/>
          <w:numId w:val="6"/>
        </w:numPr>
        <w:spacing w:after="240" w:line="360" w:lineRule="auto"/>
        <w:rPr>
          <w:lang w:val="en-US"/>
        </w:rPr>
      </w:pPr>
      <w:r>
        <w:rPr>
          <w:rtl w:val="0"/>
          <w:lang w:val="en-US"/>
        </w:rPr>
        <w:t>Sector-Specific Approaches: Policies targeting specific sectors, such as energy efficiency standards in buildings and electric vehicle incentives in transportation, have yielded significant reductions in carbon emissions (IEA, 2020). However, cross-sector coordination remains a challenge.</w:t>
      </w:r>
    </w:p>
    <w:p>
      <w:pPr>
        <w:pStyle w:val="Default"/>
        <w:numPr>
          <w:ilvl w:val="0"/>
          <w:numId w:val="6"/>
        </w:numPr>
        <w:spacing w:after="240" w:line="360" w:lineRule="auto"/>
        <w:rPr>
          <w:lang w:val="en-US"/>
        </w:rPr>
      </w:pPr>
      <w:r>
        <w:rPr>
          <w:rtl w:val="0"/>
          <w:lang w:val="en-US"/>
        </w:rPr>
        <w:t>Technological Innovation: Public investments in research and development, particularly in renewable energy technologies and carbon capture solutions, are crucial for long-term decarbonisation. Successful countries have implemented innovation-friendly policies, such as tax credits and subsidies for clean technology (IEA, 2019).</w:t>
      </w:r>
    </w:p>
    <w:p>
      <w:pPr>
        <w:pStyle w:val="Default"/>
        <w:numPr>
          <w:ilvl w:val="0"/>
          <w:numId w:val="6"/>
        </w:numPr>
        <w:spacing w:after="240" w:line="360" w:lineRule="auto"/>
        <w:rPr>
          <w:lang w:val="en-US"/>
        </w:rPr>
      </w:pPr>
      <w:r>
        <w:rPr>
          <w:rtl w:val="0"/>
          <w:lang w:val="en-US"/>
        </w:rPr>
        <w:t xml:space="preserve">Equity Considerations: The study emphasises the importance of a </w:t>
      </w:r>
      <w:r>
        <w:rPr>
          <w:rtl w:val="0"/>
          <w:lang w:val="en-US"/>
        </w:rPr>
        <w:t>“</w:t>
      </w:r>
      <w:r>
        <w:rPr>
          <w:rtl w:val="0"/>
          <w:lang w:val="en-US"/>
        </w:rPr>
        <w:t>just transition</w:t>
      </w:r>
      <w:r>
        <w:rPr>
          <w:rtl w:val="0"/>
          <w:lang w:val="en-US"/>
        </w:rPr>
        <w:t xml:space="preserve">” </w:t>
      </w:r>
      <w:r>
        <w:rPr>
          <w:rtl w:val="0"/>
          <w:lang w:val="en-US"/>
        </w:rPr>
        <w:t>in carbon footprint mitigation. Policies must be designed to avoid disproportionate negative impacts on low-income communities, workers in fossil fuel industries, and developing nations (Newell &amp; Mulvaney, 2013). Social safety nets and retraining programs are necessary to ensure that all stakeholders benefit from the transition to a green economy.</w:t>
      </w:r>
    </w:p>
    <w:p>
      <w:pPr>
        <w:pStyle w:val="Default"/>
        <w:numPr>
          <w:ilvl w:val="0"/>
          <w:numId w:val="6"/>
        </w:numPr>
        <w:spacing w:after="240" w:line="360" w:lineRule="auto"/>
        <w:rPr>
          <w:lang w:val="en-US"/>
        </w:rPr>
      </w:pPr>
      <w:r>
        <w:rPr>
          <w:rtl w:val="0"/>
          <w:lang w:val="en-US"/>
        </w:rPr>
        <w:t>International Cooperation: The research highlights the significance of international frameworks like the Paris Agreement in aligning national policies towards global climate goals. The sharing of technology and financing mechanisms for developing countries is key to achieving a global reduction in carbon emissions (UNFCCC, 2015).</w:t>
      </w:r>
    </w:p>
    <w:p>
      <w:pPr>
        <w:pStyle w:val="Default"/>
        <w:spacing w:after="319" w:line="360" w:lineRule="auto"/>
      </w:pPr>
    </w:p>
    <w:p>
      <w:pPr>
        <w:pStyle w:val="Default"/>
        <w:spacing w:after="319" w:line="360" w:lineRule="auto"/>
      </w:pPr>
      <w:r>
        <w:rPr>
          <w:rtl w:val="0"/>
          <w:lang w:val="en-US"/>
        </w:rPr>
        <w:t>CONCLUSION</w:t>
      </w:r>
    </w:p>
    <w:p>
      <w:pPr>
        <w:pStyle w:val="Default"/>
        <w:rPr>
          <w:outline w:val="0"/>
          <w:color w:val="404040"/>
          <w:u w:color="404040"/>
          <w14:textFill>
            <w14:solidFill>
              <w14:srgbClr w14:val="404040"/>
            </w14:solidFill>
          </w14:textFill>
        </w:rPr>
      </w:pPr>
      <w:r>
        <w:rPr>
          <w:outline w:val="0"/>
          <w:color w:val="404040"/>
          <w:u w:color="404040"/>
          <w:rtl w:val="0"/>
          <w:lang w:val="en-US"/>
          <w14:textFill>
            <w14:solidFill>
              <w14:srgbClr w14:val="404040"/>
            </w14:solidFill>
          </w14:textFill>
        </w:rPr>
        <w:t>Effective carbon mitigation policies must adapt to regional contexts. Carbon pricing, such as taxes or cap-and-trade, reduces emissions in high-income economies but requires strict enforcement and equity safeguards, like Sweden</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revenue recycling, to avoid public backlash. Sector-specific policies, like Norway</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EV incentives, deliver rapid results but demand cross-sector coordination. Innovation in renewables and CCS is vital, yet reliance on unproven technologies risks delaying fossil fuel phase-outs. Equity-centred transitions, such as Germany</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s coal worker retraining, ensure marginalised groups aren</w:t>
      </w:r>
      <w:r>
        <w:rPr>
          <w:outline w:val="0"/>
          <w:color w:val="404040"/>
          <w:u w:color="404040"/>
          <w:rtl w:val="0"/>
          <w:lang w:val="en-US"/>
          <w14:textFill>
            <w14:solidFill>
              <w14:srgbClr w14:val="404040"/>
            </w14:solidFill>
          </w14:textFill>
        </w:rPr>
        <w:t>’</w:t>
      </w:r>
      <w:r>
        <w:rPr>
          <w:outline w:val="0"/>
          <w:color w:val="404040"/>
          <w:u w:color="404040"/>
          <w:rtl w:val="0"/>
          <w:lang w:val="en-US"/>
          <w14:textFill>
            <w14:solidFill>
              <w14:srgbClr w14:val="404040"/>
            </w14:solidFill>
          </w14:textFill>
        </w:rPr>
        <w:t>t left behind. Globally, unmet climate finance pledges and geopolitical tensions hinder progress. Success hinges on hybrid frameworks blendi</w:t>
      </w:r>
      <w:r>
        <w:rPr>
          <w:outline w:val="0"/>
          <w:color w:val="404040"/>
          <w:u w:color="404040"/>
          <w:rtl w:val="0"/>
          <w:lang w:val="en-US"/>
          <w14:textFill>
            <w14:solidFill>
              <w14:srgbClr w14:val="404040"/>
            </w14:solidFill>
          </w14:textFill>
        </w:rPr>
        <w:t>To reformat this document according to Oscula 6th Edition, I will structure it as follows:</w:t>
      </w:r>
    </w:p>
    <w:p>
      <w:pPr>
        <w:pStyle w:val="Default"/>
        <w:spacing w:after="319" w:line="360" w:lineRule="auto"/>
      </w:pPr>
    </w:p>
    <w:p>
      <w:pPr>
        <w:pStyle w:val="Default"/>
        <w:spacing w:after="319" w:line="360" w:lineRule="auto"/>
        <w:rPr>
          <w:rStyle w:val="None"/>
          <w:outline w:val="0"/>
          <w:color w:val="404040"/>
          <w:u w:color="404040"/>
          <w14:textFill>
            <w14:solidFill>
              <w14:srgbClr w14:val="404040"/>
            </w14:solidFill>
          </w14:textFill>
        </w:rPr>
      </w:pPr>
    </w:p>
    <w:p>
      <w:pPr>
        <w:pStyle w:val="Default"/>
        <w:spacing w:after="319" w:line="360" w:lineRule="auto"/>
      </w:pPr>
    </w:p>
    <w:p>
      <w:pPr>
        <w:pStyle w:val="Default"/>
        <w:spacing w:after="319" w:line="360" w:lineRule="auto"/>
      </w:pPr>
    </w:p>
    <w:p>
      <w:pPr>
        <w:pStyle w:val="Default"/>
        <w:spacing w:after="319" w:line="360" w:lineRule="auto"/>
      </w:pPr>
    </w:p>
    <w:p>
      <w:pPr>
        <w:pStyle w:val="Default"/>
        <w:spacing w:after="319" w:line="360" w:lineRule="auto"/>
      </w:pPr>
    </w:p>
    <w:p>
      <w:pPr>
        <w:pStyle w:val="Default"/>
        <w:spacing w:after="319" w:line="360" w:lineRule="auto"/>
      </w:pPr>
      <w:r>
        <w:rPr>
          <w:rtl w:val="0"/>
          <w:lang w:val="en-US"/>
        </w:rPr>
        <w:t>REFERENCES</w:t>
      </w:r>
    </w:p>
    <w:p>
      <w:pPr>
        <w:pStyle w:val="Default"/>
        <w:numPr>
          <w:ilvl w:val="0"/>
          <w:numId w:val="7"/>
        </w:numPr>
        <w:bidi w:val="0"/>
        <w:spacing w:line="360" w:lineRule="auto"/>
        <w:ind w:right="0"/>
        <w:jc w:val="both"/>
        <w:rPr>
          <w:rtl w:val="0"/>
          <w:lang w:val="en-US"/>
        </w:rPr>
      </w:pPr>
      <w:r>
        <w:rPr>
          <w:rtl w:val="0"/>
          <w:lang w:val="en-US"/>
        </w:rPr>
        <w:t>International Energy Agency (IEA). (2019). Energy Technology Perspectives 2019: Moving Toward Sustainable Energy Systems. IEA.</w:t>
      </w:r>
    </w:p>
    <w:p>
      <w:pPr>
        <w:pStyle w:val="Default"/>
        <w:numPr>
          <w:ilvl w:val="0"/>
          <w:numId w:val="7"/>
        </w:numPr>
        <w:bidi w:val="0"/>
        <w:spacing w:line="360" w:lineRule="auto"/>
        <w:ind w:right="0"/>
        <w:jc w:val="both"/>
        <w:rPr>
          <w:rtl w:val="0"/>
          <w:lang w:val="en-US"/>
        </w:rPr>
      </w:pPr>
      <w:r>
        <w:rPr>
          <w:rtl w:val="0"/>
          <w:lang w:val="en-US"/>
        </w:rPr>
        <w:t>International Energy Agency (IEA). (2020). World Energy Outlook 2020. IEA.</w:t>
      </w:r>
    </w:p>
    <w:p>
      <w:pPr>
        <w:pStyle w:val="Default"/>
        <w:numPr>
          <w:ilvl w:val="0"/>
          <w:numId w:val="7"/>
        </w:numPr>
        <w:bidi w:val="0"/>
        <w:spacing w:line="360" w:lineRule="auto"/>
        <w:ind w:right="0"/>
        <w:jc w:val="both"/>
        <w:rPr>
          <w:rtl w:val="0"/>
          <w:lang w:val="en-US"/>
        </w:rPr>
      </w:pPr>
      <w:r>
        <w:rPr>
          <w:rtl w:val="0"/>
          <w:lang w:val="en-US"/>
        </w:rPr>
        <w:t>Newell, P., &amp; Mulvaney, D. (2013). The political economy of the 'just transition'. The Geographical Journal, 179(2), 132-140. https://doi.org/10.1111/geoj.12008</w:t>
      </w:r>
    </w:p>
    <w:p>
      <w:pPr>
        <w:pStyle w:val="Default"/>
        <w:numPr>
          <w:ilvl w:val="0"/>
          <w:numId w:val="7"/>
        </w:numPr>
        <w:bidi w:val="0"/>
        <w:spacing w:line="360" w:lineRule="auto"/>
        <w:ind w:right="0"/>
        <w:jc w:val="both"/>
        <w:rPr>
          <w:rtl w:val="0"/>
          <w:lang w:val="en-US"/>
        </w:rPr>
      </w:pPr>
      <w:r>
        <w:rPr>
          <w:rtl w:val="0"/>
          <w:lang w:val="en-US"/>
        </w:rPr>
        <w:t>Sterner, T. (2012). Environmental taxation: An introduction to the special issue. Environmental Economics and Policy Studies, 14(4), 267-276. https://doi.org/10.1007/s10018-012-0025-5</w:t>
      </w:r>
    </w:p>
    <w:p>
      <w:pPr>
        <w:pStyle w:val="Default"/>
        <w:numPr>
          <w:ilvl w:val="0"/>
          <w:numId w:val="7"/>
        </w:numPr>
        <w:bidi w:val="0"/>
        <w:spacing w:line="360" w:lineRule="auto"/>
        <w:ind w:right="0"/>
        <w:jc w:val="both"/>
        <w:rPr>
          <w:rtl w:val="0"/>
          <w:lang w:val="en-US"/>
        </w:rPr>
      </w:pPr>
      <w:r>
        <w:rPr>
          <w:rtl w:val="0"/>
          <w:lang w:val="en-US"/>
        </w:rPr>
        <w:t>United Nations Framework Convention on Climate Change (UNFCCC). (2015). Paris Agreement. UNFCCC. https://unfccc.int/sites/default/files/english_paris_agreement.pdf</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1">
      <w:start w:val="1"/>
      <w:numFmt w:val="decimal"/>
      <w:suff w:val="tab"/>
      <w:lvlText w:val="%2."/>
      <w:lvlJc w:val="left"/>
      <w:pPr>
        <w:ind w:left="81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2">
      <w:start w:val="1"/>
      <w:numFmt w:val="decimal"/>
      <w:suff w:val="tab"/>
      <w:lvlText w:val="%3."/>
      <w:lvlJc w:val="left"/>
      <w:pPr>
        <w:ind w:left="103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3">
      <w:start w:val="1"/>
      <w:numFmt w:val="decimal"/>
      <w:suff w:val="tab"/>
      <w:lvlText w:val="%4."/>
      <w:lvlJc w:val="left"/>
      <w:pPr>
        <w:ind w:left="125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4">
      <w:start w:val="1"/>
      <w:numFmt w:val="decimal"/>
      <w:suff w:val="tab"/>
      <w:lvlText w:val="%5."/>
      <w:lvlJc w:val="left"/>
      <w:pPr>
        <w:ind w:left="147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5">
      <w:start w:val="1"/>
      <w:numFmt w:val="decimal"/>
      <w:suff w:val="tab"/>
      <w:lvlText w:val="%6."/>
      <w:lvlJc w:val="left"/>
      <w:pPr>
        <w:ind w:left="169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6">
      <w:start w:val="1"/>
      <w:numFmt w:val="decimal"/>
      <w:suff w:val="tab"/>
      <w:lvlText w:val="%7."/>
      <w:lvlJc w:val="left"/>
      <w:pPr>
        <w:ind w:left="191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7">
      <w:start w:val="1"/>
      <w:numFmt w:val="decimal"/>
      <w:suff w:val="tab"/>
      <w:lvlText w:val="%8."/>
      <w:lvlJc w:val="left"/>
      <w:pPr>
        <w:ind w:left="213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lvl w:ilvl="8">
      <w:start w:val="1"/>
      <w:numFmt w:val="decimal"/>
      <w:suff w:val="tab"/>
      <w:lvlText w:val="%9."/>
      <w:lvlJc w:val="left"/>
      <w:pPr>
        <w:ind w:left="2355" w:hanging="375"/>
      </w:pPr>
      <w:rPr>
        <w:rFonts w:ascii="Helvetica Neue" w:cs="Helvetica Neue" w:hAnsi="Helvetica Neue" w:eastAsia="Helvetica Neue"/>
        <w:b w:val="1"/>
        <w:bCs w:val="1"/>
        <w:i w:val="0"/>
        <w:iCs w:val="0"/>
        <w:caps w:val="0"/>
        <w:smallCaps w:val="0"/>
        <w:strike w:val="0"/>
        <w:dstrike w:val="0"/>
        <w:outline w:val="0"/>
        <w:emboss w:val="0"/>
        <w:imprint w:val="0"/>
        <w:color w:val="3f3f3f"/>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9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5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3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1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9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7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5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3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1"/>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2"/>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solidFill>
          <w14:srgbClr w14:val="000000"/>
        </w14:solidFill>
        <w14:prstDash w14:val="solid"/>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u w:val="single"/>
    </w:rPr>
  </w:style>
  <w:style w:type="numbering" w:styleId="Numbered">
    <w:name w:val="Numbered"/>
    <w:pPr>
      <w:numPr>
        <w:numId w:val="1"/>
      </w:numPr>
    </w:pPr>
  </w:style>
  <w:style w:type="numbering" w:styleId="Bullet">
    <w:name w:val="Bullet"/>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