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jc w:val="center"/>
        <w:rPr>
          <w:sz w:val="28"/>
          <w:szCs w:val="28"/>
        </w:rPr>
      </w:pPr>
      <w:r>
        <w:rPr>
          <w:sz w:val="28"/>
          <w:szCs w:val="28"/>
          <w:rtl w:val="0"/>
          <w:lang w:val="en-US"/>
        </w:rPr>
        <w:t>Table of Contents</w:t>
      </w:r>
    </w:p>
    <w:p>
      <w:pPr>
        <w:pStyle w:val="Body"/>
      </w:pPr>
    </w:p>
    <w:p>
      <w:pPr>
        <w:pStyle w:val="Body"/>
      </w:pPr>
    </w:p>
    <w:p>
      <w:pPr>
        <w:pStyle w:val="Body"/>
      </w:pPr>
    </w:p>
    <w:p>
      <w:pPr>
        <w:pStyle w:val="Body"/>
        <w:numPr>
          <w:ilvl w:val="0"/>
          <w:numId w:val="2"/>
        </w:numPr>
        <w:rPr>
          <w:i w:val="0"/>
          <w:iCs w:val="0"/>
          <w:lang w:val="de-DE"/>
        </w:rPr>
      </w:pPr>
      <w:r>
        <w:rPr>
          <w:i w:val="0"/>
          <w:iCs w:val="0"/>
          <w:rtl w:val="0"/>
          <w:lang w:val="de-DE"/>
        </w:rPr>
        <w:t>Abstract</w:t>
      </w:r>
    </w:p>
    <w:p>
      <w:pPr>
        <w:pStyle w:val="Body"/>
        <w:numPr>
          <w:ilvl w:val="0"/>
          <w:numId w:val="2"/>
        </w:numPr>
        <w:rPr>
          <w:i w:val="0"/>
          <w:iCs w:val="0"/>
          <w:lang w:val="fr-FR"/>
        </w:rPr>
      </w:pPr>
      <w:r>
        <w:rPr>
          <w:i w:val="0"/>
          <w:iCs w:val="0"/>
          <w:rtl w:val="0"/>
          <w:lang w:val="fr-FR"/>
        </w:rPr>
        <w:t>Introduction</w:t>
      </w:r>
    </w:p>
    <w:p>
      <w:pPr>
        <w:pStyle w:val="Body"/>
        <w:numPr>
          <w:ilvl w:val="0"/>
          <w:numId w:val="2"/>
        </w:numPr>
        <w:rPr>
          <w:i w:val="0"/>
          <w:iCs w:val="0"/>
          <w:lang w:val="en-US"/>
        </w:rPr>
      </w:pPr>
      <w:r>
        <w:rPr>
          <w:i w:val="0"/>
          <w:iCs w:val="0"/>
          <w:rtl w:val="0"/>
          <w:lang w:val="en-US"/>
        </w:rPr>
        <w:t>The Imperative for Comprehensive Policy Frameworks</w:t>
      </w:r>
    </w:p>
    <w:p>
      <w:pPr>
        <w:pStyle w:val="Body"/>
        <w:numPr>
          <w:ilvl w:val="0"/>
          <w:numId w:val="2"/>
        </w:numPr>
        <w:rPr>
          <w:i w:val="0"/>
          <w:iCs w:val="0"/>
          <w:lang w:val="en-US"/>
        </w:rPr>
      </w:pPr>
      <w:r>
        <w:rPr>
          <w:i w:val="0"/>
          <w:iCs w:val="0"/>
          <w:rtl w:val="0"/>
          <w:lang w:val="en-US"/>
        </w:rPr>
        <w:t>Diverse Strategies for a Multi-Faceted Challenge</w:t>
      </w:r>
    </w:p>
    <w:p>
      <w:pPr>
        <w:pStyle w:val="Body"/>
        <w:numPr>
          <w:ilvl w:val="0"/>
          <w:numId w:val="2"/>
        </w:numPr>
        <w:rPr>
          <w:i w:val="0"/>
          <w:iCs w:val="0"/>
          <w:lang w:val="en-US"/>
        </w:rPr>
      </w:pPr>
      <w:r>
        <w:rPr>
          <w:i w:val="0"/>
          <w:iCs w:val="0"/>
          <w:rtl w:val="0"/>
          <w:lang w:val="en-US"/>
        </w:rPr>
        <w:t>Balancing Economic and Social Priorities</w:t>
      </w:r>
    </w:p>
    <w:p>
      <w:pPr>
        <w:pStyle w:val="Body"/>
        <w:numPr>
          <w:ilvl w:val="0"/>
          <w:numId w:val="2"/>
        </w:numPr>
        <w:rPr>
          <w:i w:val="0"/>
          <w:iCs w:val="0"/>
          <w:lang w:val="en-US"/>
        </w:rPr>
      </w:pPr>
      <w:r>
        <w:rPr>
          <w:i w:val="0"/>
          <w:iCs w:val="0"/>
          <w:rtl w:val="0"/>
          <w:lang w:val="en-US"/>
        </w:rPr>
        <w:t>The Role of International Cooperation</w:t>
      </w:r>
    </w:p>
    <w:p>
      <w:pPr>
        <w:pStyle w:val="Body"/>
        <w:numPr>
          <w:ilvl w:val="0"/>
          <w:numId w:val="2"/>
        </w:numPr>
        <w:rPr>
          <w:i w:val="0"/>
          <w:iCs w:val="0"/>
          <w:lang w:val="en-US"/>
        </w:rPr>
      </w:pPr>
      <w:r>
        <w:rPr>
          <w:i w:val="0"/>
          <w:iCs w:val="0"/>
          <w:rtl w:val="0"/>
          <w:lang w:val="en-US"/>
        </w:rPr>
        <w:t>Purpose of the Study</w:t>
      </w:r>
    </w:p>
    <w:p>
      <w:pPr>
        <w:pStyle w:val="Body"/>
        <w:numPr>
          <w:ilvl w:val="0"/>
          <w:numId w:val="2"/>
        </w:numPr>
        <w:rPr>
          <w:i w:val="0"/>
          <w:iCs w:val="0"/>
          <w:lang w:val="en-US"/>
        </w:rPr>
      </w:pPr>
      <w:r>
        <w:rPr>
          <w:i w:val="0"/>
          <w:iCs w:val="0"/>
          <w:rtl w:val="0"/>
          <w:lang w:val="en-US"/>
        </w:rPr>
        <w:t>Research Objectives</w:t>
      </w:r>
    </w:p>
    <w:p>
      <w:pPr>
        <w:pStyle w:val="Body"/>
        <w:numPr>
          <w:ilvl w:val="0"/>
          <w:numId w:val="2"/>
        </w:numPr>
        <w:rPr>
          <w:i w:val="0"/>
          <w:iCs w:val="0"/>
          <w:lang w:val="en-US"/>
        </w:rPr>
      </w:pPr>
      <w:r>
        <w:rPr>
          <w:i w:val="0"/>
          <w:iCs w:val="0"/>
          <w:rtl w:val="0"/>
          <w:lang w:val="en-US"/>
        </w:rPr>
        <w:t>Research Questions</w:t>
      </w:r>
    </w:p>
    <w:p>
      <w:pPr>
        <w:pStyle w:val="Body"/>
        <w:numPr>
          <w:ilvl w:val="0"/>
          <w:numId w:val="2"/>
        </w:numPr>
        <w:rPr>
          <w:i w:val="0"/>
          <w:iCs w:val="0"/>
          <w:lang w:val="en-US"/>
        </w:rPr>
      </w:pPr>
      <w:r>
        <w:rPr>
          <w:i w:val="0"/>
          <w:iCs w:val="0"/>
          <w:rtl w:val="0"/>
          <w:lang w:val="en-US"/>
        </w:rPr>
        <w:t>Methodology</w:t>
      </w:r>
    </w:p>
    <w:p>
      <w:pPr>
        <w:pStyle w:val="Body"/>
        <w:numPr>
          <w:ilvl w:val="0"/>
          <w:numId w:val="2"/>
        </w:numPr>
        <w:rPr>
          <w:i w:val="0"/>
          <w:iCs w:val="0"/>
          <w:lang w:val="en-US"/>
        </w:rPr>
      </w:pPr>
      <w:r>
        <w:rPr>
          <w:i w:val="0"/>
          <w:iCs w:val="0"/>
          <w:rtl w:val="0"/>
          <w:lang w:val="en-US"/>
        </w:rPr>
        <w:t>Findings</w:t>
      </w:r>
    </w:p>
    <w:p>
      <w:pPr>
        <w:pStyle w:val="Body"/>
        <w:numPr>
          <w:ilvl w:val="0"/>
          <w:numId w:val="2"/>
        </w:numPr>
        <w:rPr>
          <w:i w:val="0"/>
          <w:iCs w:val="0"/>
          <w:lang w:val="it-IT"/>
        </w:rPr>
      </w:pPr>
      <w:r>
        <w:rPr>
          <w:i w:val="0"/>
          <w:iCs w:val="0"/>
          <w:rtl w:val="0"/>
          <w:lang w:val="it-IT"/>
        </w:rPr>
        <w:t>Conclusion</w:t>
      </w:r>
    </w:p>
    <w:p>
      <w:pPr>
        <w:pStyle w:val="Body"/>
        <w:numPr>
          <w:ilvl w:val="0"/>
          <w:numId w:val="2"/>
        </w:numPr>
        <w:rPr>
          <w:i w:val="0"/>
          <w:iCs w:val="0"/>
          <w:lang w:val="fr-FR"/>
        </w:rPr>
      </w:pPr>
      <w:r>
        <w:rPr>
          <w:i w:val="0"/>
          <w:iCs w:val="0"/>
          <w:rtl w:val="0"/>
          <w:lang w:val="fr-FR"/>
        </w:rPr>
        <w:t>References</w:t>
      </w:r>
    </w:p>
    <w:p>
      <w:pPr>
        <w:pStyle w:val="Default"/>
        <w:tabs>
          <w:tab w:val="left" w:pos="220"/>
          <w:tab w:val="left" w:pos="720"/>
        </w:tabs>
        <w:suppressAutoHyphens w:val="1"/>
        <w:spacing w:after="240"/>
        <w:ind w:left="720" w:hanging="720"/>
        <w:jc w:val="left"/>
        <w:rPr>
          <w:rFonts w:ascii="Times Roman" w:cs="Times Roman" w:hAnsi="Times Roman" w:eastAsia="Times Roman"/>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rPr>
          <w:b w:val="1"/>
          <w:bCs w:val="1"/>
        </w:rPr>
      </w:pPr>
    </w:p>
    <w:p>
      <w:pPr>
        <w:pStyle w:val="Body"/>
        <w:jc w:val="center"/>
        <w:rPr>
          <w:b w:val="1"/>
          <w:bCs w:val="1"/>
          <w:i w:val="0"/>
          <w:iCs w:val="0"/>
        </w:rPr>
      </w:pPr>
      <w:r>
        <w:rPr>
          <w:b w:val="1"/>
          <w:bCs w:val="1"/>
          <w:i w:val="0"/>
          <w:iCs w:val="0"/>
          <w:rtl w:val="0"/>
          <w:lang w:val="en-US"/>
        </w:rPr>
        <w:t>LIST OF ABBREVIATIONS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GHG</w:t>
      </w:r>
      <w:r>
        <w:rPr>
          <w:i w:val="0"/>
          <w:iCs w:val="0"/>
          <w:rtl w:val="0"/>
          <w:lang w:val="en-US"/>
        </w:rPr>
        <w:t xml:space="preserve"> - Greenhouse Gases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CO</w:t>
      </w:r>
      <w:r>
        <w:rPr>
          <w:rFonts w:ascii="Arial Unicode MS" w:cs="Arial Unicode MS" w:hAnsi="Arial Unicode MS" w:eastAsia="Arial Unicode MS" w:hint="default"/>
          <w:b w:val="0"/>
          <w:bCs w:val="0"/>
          <w:i w:val="0"/>
          <w:iCs w:val="0"/>
          <w:rtl w:val="0"/>
          <w:lang w:val="en-US"/>
        </w:rPr>
        <w:t>₂</w:t>
      </w:r>
      <w:r>
        <w:rPr>
          <w:i w:val="0"/>
          <w:iCs w:val="0"/>
          <w:rtl w:val="0"/>
          <w:lang w:val="en-US"/>
        </w:rPr>
        <w:t xml:space="preserve"> - Carbon Dioxide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CH</w:t>
      </w:r>
      <w:r>
        <w:rPr>
          <w:rFonts w:ascii="Arial Unicode MS" w:cs="Arial Unicode MS" w:hAnsi="Arial Unicode MS" w:eastAsia="Arial Unicode MS" w:hint="default"/>
          <w:b w:val="0"/>
          <w:bCs w:val="0"/>
          <w:i w:val="0"/>
          <w:iCs w:val="0"/>
          <w:rtl w:val="0"/>
          <w:lang w:val="en-US"/>
        </w:rPr>
        <w:t>₄</w:t>
      </w:r>
      <w:r>
        <w:rPr>
          <w:i w:val="0"/>
          <w:iCs w:val="0"/>
          <w:rtl w:val="0"/>
          <w:lang w:val="en-US"/>
        </w:rPr>
        <w:t xml:space="preserve"> - Methane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N</w:t>
      </w:r>
      <w:r>
        <w:rPr>
          <w:rFonts w:ascii="Arial Unicode MS" w:cs="Arial Unicode MS" w:hAnsi="Arial Unicode MS" w:eastAsia="Arial Unicode MS" w:hint="default"/>
          <w:b w:val="0"/>
          <w:bCs w:val="0"/>
          <w:i w:val="0"/>
          <w:iCs w:val="0"/>
          <w:rtl w:val="0"/>
          <w:lang w:val="en-US"/>
        </w:rPr>
        <w:t>₂</w:t>
      </w:r>
      <w:r>
        <w:rPr>
          <w:b w:val="1"/>
          <w:bCs w:val="1"/>
          <w:i w:val="0"/>
          <w:iCs w:val="0"/>
          <w:rtl w:val="0"/>
          <w:lang w:val="en-US"/>
        </w:rPr>
        <w:t>O</w:t>
      </w:r>
      <w:r>
        <w:rPr>
          <w:i w:val="0"/>
          <w:iCs w:val="0"/>
          <w:rtl w:val="0"/>
          <w:lang w:val="en-US"/>
        </w:rPr>
        <w:t xml:space="preserve"> - Nitrous Oxide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IPCC</w:t>
      </w:r>
      <w:r>
        <w:rPr>
          <w:i w:val="0"/>
          <w:iCs w:val="0"/>
          <w:rtl w:val="0"/>
          <w:lang w:val="en-US"/>
        </w:rPr>
        <w:t xml:space="preserve"> - Intergovernmental Panel on Climate Change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WMO</w:t>
      </w:r>
      <w:r>
        <w:rPr>
          <w:i w:val="0"/>
          <w:iCs w:val="0"/>
          <w:rtl w:val="0"/>
          <w:lang w:val="en-US"/>
        </w:rPr>
        <w:t xml:space="preserve"> - World Meteorological Organisation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NDC</w:t>
      </w:r>
      <w:r>
        <w:rPr>
          <w:i w:val="0"/>
          <w:iCs w:val="0"/>
          <w:rtl w:val="0"/>
          <w:lang w:val="en-US"/>
        </w:rPr>
        <w:t xml:space="preserve"> - Nationally Determined Contributions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EU ETS</w:t>
      </w:r>
      <w:r>
        <w:rPr>
          <w:i w:val="0"/>
          <w:iCs w:val="0"/>
          <w:rtl w:val="0"/>
          <w:lang w:val="en-US"/>
        </w:rPr>
        <w:t xml:space="preserve"> - European Union Emissions Trading System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EV</w:t>
      </w:r>
      <w:r>
        <w:rPr>
          <w:i w:val="0"/>
          <w:iCs w:val="0"/>
          <w:rtl w:val="0"/>
          <w:lang w:val="en-US"/>
        </w:rPr>
        <w:t xml:space="preserve"> - Electric Vehicle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IRA</w:t>
      </w:r>
      <w:r>
        <w:rPr>
          <w:i w:val="0"/>
          <w:iCs w:val="0"/>
          <w:rtl w:val="0"/>
          <w:lang w:val="en-US"/>
        </w:rPr>
        <w:t xml:space="preserve"> - Inflation Reduction Act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SBTi</w:t>
      </w:r>
      <w:r>
        <w:rPr>
          <w:i w:val="0"/>
          <w:iCs w:val="0"/>
          <w:rtl w:val="0"/>
          <w:lang w:val="en-US"/>
        </w:rPr>
        <w:t xml:space="preserve"> - Science-Based Targets Initiative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CCS</w:t>
      </w:r>
      <w:r>
        <w:rPr>
          <w:i w:val="0"/>
          <w:iCs w:val="0"/>
          <w:rtl w:val="0"/>
          <w:lang w:val="en-US"/>
        </w:rPr>
        <w:t xml:space="preserve"> - Carbon Capture and Storage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GCF</w:t>
      </w:r>
      <w:r>
        <w:rPr>
          <w:i w:val="0"/>
          <w:iCs w:val="0"/>
          <w:rtl w:val="0"/>
          <w:lang w:val="en-US"/>
        </w:rPr>
        <w:t xml:space="preserve"> - Green Climate Fund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IRENA</w:t>
      </w:r>
      <w:r>
        <w:rPr>
          <w:i w:val="0"/>
          <w:iCs w:val="0"/>
          <w:rtl w:val="0"/>
          <w:lang w:val="en-US"/>
        </w:rPr>
        <w:t xml:space="preserve"> - International Renewable Energy Agency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IEA</w:t>
      </w:r>
      <w:r>
        <w:rPr>
          <w:i w:val="0"/>
          <w:iCs w:val="0"/>
          <w:rtl w:val="0"/>
          <w:lang w:val="en-US"/>
        </w:rPr>
        <w:t xml:space="preserve"> - International Energy Agency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rPr>
          <w:i w:val="0"/>
          <w:iCs w:val="0"/>
        </w:rPr>
      </w:pPr>
      <w:r>
        <w:rPr>
          <w:b w:val="1"/>
          <w:bCs w:val="1"/>
          <w:i w:val="0"/>
          <w:iCs w:val="0"/>
          <w:rtl w:val="0"/>
          <w:lang w:val="en-US"/>
        </w:rPr>
        <w:t>UNFCCC</w:t>
      </w:r>
      <w:r>
        <w:rPr>
          <w:i w:val="0"/>
          <w:iCs w:val="0"/>
          <w:rtl w:val="0"/>
          <w:lang w:val="en-US"/>
        </w:rPr>
        <w:t xml:space="preserve"> - United Nations Framework Convention on Climate Change</w:t>
      </w:r>
    </w:p>
    <w:p>
      <w:pPr>
        <w:pStyle w:val="Body"/>
        <w:rPr>
          <w:b w:val="1"/>
          <w:bCs w:val="1"/>
        </w:rPr>
      </w:pPr>
    </w:p>
    <w:p>
      <w:pPr>
        <w:pStyle w:val="Body"/>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rPr>
          <w:i w:val="0"/>
          <w:iCs w:val="0"/>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de-DE"/>
        </w:rPr>
        <w:t>ABSTRACT</w:t>
      </w:r>
    </w:p>
    <w:p>
      <w:pPr>
        <w:pStyle w:val="Body"/>
      </w:pPr>
      <w:r>
        <w:rPr>
          <w:rtl w:val="0"/>
        </w:rPr>
        <w:t>Policy Frameworks for Carbon Footprint Mitigation</w:t>
      </w:r>
    </w:p>
    <w:p>
      <w:pPr>
        <w:pStyle w:val="Body"/>
      </w:pPr>
      <w:r>
        <w:rPr>
          <w:rtl w:val="0"/>
        </w:rPr>
        <w:t>Author: Afrin Gulshan,</w:t>
      </w:r>
    </w:p>
    <w:p>
      <w:pPr>
        <w:pStyle w:val="Body"/>
      </w:pPr>
      <w:r>
        <w:rPr>
          <w:rtl w:val="0"/>
        </w:rPr>
        <w:t>Campus Law Centre, Faculty of Law, Delhi University</w:t>
      </w:r>
    </w:p>
    <w:p>
      <w:pPr>
        <w:pStyle w:val="Body"/>
      </w:pPr>
      <w:r>
        <w:rPr>
          <w:rtl w:val="0"/>
        </w:rPr>
        <w:t>Co-author</w:t>
      </w:r>
      <w:r>
        <w:rPr>
          <w:rtl w:val="0"/>
          <w:lang w:val="fr-FR"/>
        </w:rPr>
        <w:t>: Humaira Imran,</w:t>
      </w:r>
    </w:p>
    <w:p>
      <w:pPr>
        <w:pStyle w:val="Body"/>
      </w:pPr>
      <w:r>
        <w:rPr>
          <w:rtl w:val="0"/>
        </w:rPr>
        <w:t>Institute of Policy Studies and Advocacy,</w:t>
      </w:r>
    </w:p>
    <w:p>
      <w:pPr>
        <w:pStyle w:val="Body"/>
      </w:pPr>
    </w:p>
    <w:p>
      <w:pPr>
        <w:pStyle w:val="Body"/>
      </w:pPr>
    </w:p>
    <w:p>
      <w:pPr>
        <w:pStyle w:val="Body"/>
      </w:pPr>
    </w:p>
    <w:p>
      <w:pPr>
        <w:pStyle w:val="Body"/>
        <w:rPr>
          <w:i w:val="0"/>
          <w:iCs w:val="0"/>
        </w:rPr>
      </w:pPr>
      <w:r>
        <w:rPr>
          <w:i w:val="0"/>
          <w:iCs w:val="0"/>
          <w:rtl w:val="0"/>
          <w:lang w:val="en-US"/>
        </w:rPr>
        <w:t>Climate change, driven by the increasing emissions of greenhouse gases (GHGs), necessitates collective action to reduce carbon footprints across various industries, economies, and individual activities. Policy frameworks play a pivotal role in guiding carbon-reducing strategies through a combination of regulatory, market-based, and voluntary measures.</w:t>
      </w:r>
      <w:r>
        <w:rPr>
          <w:i w:val="0"/>
          <w:iCs w:val="0"/>
          <w:rtl w:val="0"/>
          <w:lang w:val="en-US"/>
        </w:rPr>
        <w:t xml:space="preserve"> </w:t>
      </w:r>
      <w:r>
        <w:rPr>
          <w:i w:val="0"/>
          <w:iCs w:val="0"/>
          <w:rtl w:val="0"/>
          <w:lang w:val="en-US"/>
        </w:rPr>
        <w:t>Key instruments for reducing carbon footprints include carbon pricing measures such as carbon taxes and cap-and-trade systems, stringent emission regulations, the promotion of renewable energy deployment, and green technology investment. While these policies have demonstrated varying degrees of success, they have encountered challenges such as political opposition, economic viability concerns, and implementation disparities across regions.</w:t>
      </w:r>
    </w:p>
    <w:p>
      <w:pPr>
        <w:pStyle w:val="Body"/>
        <w:rPr>
          <w:i w:val="0"/>
          <w:iCs w:val="0"/>
        </w:rPr>
      </w:pPr>
      <w:r>
        <w:rPr>
          <w:i w:val="0"/>
          <w:iCs w:val="0"/>
          <w:rtl w:val="0"/>
          <w:lang w:val="en-US"/>
        </w:rPr>
        <w:t>This paper aims to assess the performance of different policy frameworks, identifying their effects, shortcomings, and areas for improvement. Drawing upon case studies and best international practices, the research seeks to optimise policy measures for sustainable long-term efforts towards achieving global climate objectives.</w:t>
      </w:r>
    </w:p>
    <w:p>
      <w:pPr>
        <w:pStyle w:val="Body"/>
        <w:jc w:val="center"/>
        <w:rPr>
          <w:b w:val="1"/>
          <w:bCs w:val="1"/>
          <w:sz w:val="28"/>
          <w:szCs w:val="28"/>
        </w:rPr>
      </w:pPr>
    </w:p>
    <w:p>
      <w:pPr>
        <w:pStyle w:val="Body"/>
        <w:rPr>
          <w:b w:val="1"/>
          <w:bCs w:val="1"/>
          <w:i w:val="0"/>
          <w:iCs w:val="0"/>
        </w:rPr>
      </w:pPr>
      <w:r>
        <w:rPr>
          <w:b w:val="1"/>
          <w:bCs w:val="1"/>
          <w:i w:val="0"/>
          <w:iCs w:val="0"/>
          <w:rtl w:val="0"/>
          <w:lang w:val="en-US"/>
        </w:rPr>
        <w:t>INTRODUCTION</w:t>
      </w:r>
    </w:p>
    <w:p>
      <w:pPr>
        <w:pStyle w:val="Body"/>
        <w:jc w:val="center"/>
        <w:rPr>
          <w:b w:val="1"/>
          <w:bCs w:val="1"/>
        </w:rPr>
      </w:pPr>
    </w:p>
    <w:p>
      <w:pPr>
        <w:pStyle w:val="Body"/>
        <w:rPr>
          <w:i w:val="0"/>
          <w:iCs w:val="0"/>
        </w:rPr>
      </w:pPr>
      <w:r>
        <w:rPr>
          <w:i w:val="0"/>
          <w:iCs w:val="0"/>
          <w:outline w:val="0"/>
          <w:color w:val="404040"/>
          <w:u w:color="404040"/>
          <w:rtl w:val="0"/>
          <w:lang w:val="en-US"/>
          <w14:textFill>
            <w14:solidFill>
              <w14:srgbClr w14:val="404040"/>
            </w14:solidFill>
          </w14:textFill>
        </w:rPr>
        <w:t>The rapid impacts of global warming, fuelled by anthropogenic emissions of greenhouse gases (GHG), have placed carbon footprint reduction at the centre of international policy agendas. Industrialisation in the twentieth century, deforestation, and fossil fuel reliance have multiplied atmospheric loads of carbon dioxide (CO</w:t>
      </w:r>
      <w:r>
        <w:rPr>
          <w:rFonts w:ascii="Arial Unicode MS" w:cs="Arial Unicode MS" w:hAnsi="Arial Unicode MS" w:eastAsia="Arial Unicode MS" w:hint="default"/>
          <w:b w:val="0"/>
          <w:bCs w:val="0"/>
          <w:i w:val="0"/>
          <w:iCs w:val="0"/>
          <w:outline w:val="0"/>
          <w:color w:val="404040"/>
          <w:u w:color="404040"/>
          <w:rtl w:val="0"/>
          <w14:textFill>
            <w14:solidFill>
              <w14:srgbClr w14:val="404040"/>
            </w14:solidFill>
          </w14:textFill>
        </w:rPr>
        <w:t>₂</w:t>
      </w:r>
      <w:r>
        <w:rPr>
          <w:i w:val="0"/>
          <w:iCs w:val="0"/>
          <w:outline w:val="0"/>
          <w:color w:val="404040"/>
          <w:u w:color="404040"/>
          <w:rtl w:val="0"/>
          <w14:textFill>
            <w14:solidFill>
              <w14:srgbClr w14:val="404040"/>
            </w14:solidFill>
          </w14:textFill>
        </w:rPr>
        <w:t>), methane (CH</w:t>
      </w:r>
      <w:r>
        <w:rPr>
          <w:rFonts w:ascii="Arial Unicode MS" w:cs="Arial Unicode MS" w:hAnsi="Arial Unicode MS" w:eastAsia="Arial Unicode MS" w:hint="default"/>
          <w:b w:val="0"/>
          <w:bCs w:val="0"/>
          <w:i w:val="0"/>
          <w:iCs w:val="0"/>
          <w:outline w:val="0"/>
          <w:color w:val="404040"/>
          <w:u w:color="404040"/>
          <w:rtl w:val="0"/>
          <w14:textFill>
            <w14:solidFill>
              <w14:srgbClr w14:val="404040"/>
            </w14:solidFill>
          </w14:textFill>
        </w:rPr>
        <w:t>₄</w:t>
      </w:r>
      <w:r>
        <w:rPr>
          <w:i w:val="0"/>
          <w:iCs w:val="0"/>
          <w:outline w:val="0"/>
          <w:color w:val="404040"/>
          <w:u w:color="404040"/>
          <w:rtl w:val="0"/>
          <w:lang w:val="en-US"/>
          <w14:textFill>
            <w14:solidFill>
              <w14:srgbClr w14:val="404040"/>
            </w14:solidFill>
          </w14:textFill>
        </w:rPr>
        <w:t>), and nitrous oxide (N</w:t>
      </w:r>
      <w:r>
        <w:rPr>
          <w:rFonts w:ascii="Arial Unicode MS" w:cs="Arial Unicode MS" w:hAnsi="Arial Unicode MS" w:eastAsia="Arial Unicode MS" w:hint="default"/>
          <w:b w:val="0"/>
          <w:bCs w:val="0"/>
          <w:i w:val="0"/>
          <w:iCs w:val="0"/>
          <w:outline w:val="0"/>
          <w:color w:val="404040"/>
          <w:u w:color="404040"/>
          <w:rtl w:val="0"/>
          <w14:textFill>
            <w14:solidFill>
              <w14:srgbClr w14:val="404040"/>
            </w14:solidFill>
          </w14:textFill>
        </w:rPr>
        <w:t>₂</w:t>
      </w:r>
      <w:r>
        <w:rPr>
          <w:i w:val="0"/>
          <w:iCs w:val="0"/>
          <w:outline w:val="0"/>
          <w:color w:val="404040"/>
          <w:u w:color="404040"/>
          <w:rtl w:val="0"/>
          <w:lang w:val="en-US"/>
          <w14:textFill>
            <w14:solidFill>
              <w14:srgbClr w14:val="404040"/>
            </w14:solidFill>
          </w14:textFill>
        </w:rPr>
        <w:t>O) to record high levels. According to the Intergovernmental Panel on Climate Change (IPCC), global temperatures have actually increased by about 1.1</w:t>
      </w:r>
      <w:r>
        <w:rPr>
          <w:i w:val="0"/>
          <w:iCs w:val="0"/>
          <w:outline w:val="0"/>
          <w:color w:val="404040"/>
          <w:u w:color="404040"/>
          <w:rtl w:val="0"/>
          <w:lang w:val="it-IT"/>
          <w14:textFill>
            <w14:solidFill>
              <w14:srgbClr w14:val="404040"/>
            </w14:solidFill>
          </w14:textFill>
        </w:rPr>
        <w:t>°</w:t>
      </w:r>
      <w:r>
        <w:rPr>
          <w:i w:val="0"/>
          <w:iCs w:val="0"/>
          <w:outline w:val="0"/>
          <w:color w:val="404040"/>
          <w:u w:color="404040"/>
          <w:rtl w:val="0"/>
          <w:lang w:val="en-US"/>
          <w14:textFill>
            <w14:solidFill>
              <w14:srgbClr w14:val="404040"/>
            </w14:solidFill>
          </w14:textFill>
        </w:rPr>
        <w:t>C relative to pre-industrial levels, with estimated future warming of 2.7</w:t>
      </w:r>
      <w:r>
        <w:rPr>
          <w:i w:val="0"/>
          <w:iCs w:val="0"/>
          <w:outline w:val="0"/>
          <w:color w:val="404040"/>
          <w:u w:color="404040"/>
          <w:rtl w:val="0"/>
          <w14:textFill>
            <w14:solidFill>
              <w14:srgbClr w14:val="404040"/>
            </w14:solidFill>
          </w14:textFill>
        </w:rPr>
        <w:t>–</w:t>
      </w:r>
      <w:r>
        <w:rPr>
          <w:i w:val="0"/>
          <w:iCs w:val="0"/>
          <w:outline w:val="0"/>
          <w:color w:val="404040"/>
          <w:u w:color="404040"/>
          <w:rtl w:val="0"/>
          <w14:textFill>
            <w14:solidFill>
              <w14:srgbClr w14:val="404040"/>
            </w14:solidFill>
          </w14:textFill>
        </w:rPr>
        <w:t>3.5</w:t>
      </w:r>
      <w:r>
        <w:rPr>
          <w:i w:val="0"/>
          <w:iCs w:val="0"/>
          <w:outline w:val="0"/>
          <w:color w:val="404040"/>
          <w:u w:color="404040"/>
          <w:rtl w:val="0"/>
          <w:lang w:val="it-IT"/>
          <w14:textFill>
            <w14:solidFill>
              <w14:srgbClr w14:val="404040"/>
            </w14:solidFill>
          </w14:textFill>
        </w:rPr>
        <w:t>°</w:t>
      </w:r>
      <w:r>
        <w:rPr>
          <w:i w:val="0"/>
          <w:iCs w:val="0"/>
          <w:outline w:val="0"/>
          <w:color w:val="404040"/>
          <w:u w:color="404040"/>
          <w:rtl w:val="0"/>
          <w:lang w:val="en-US"/>
          <w14:textFill>
            <w14:solidFill>
              <w14:srgbClr w14:val="404040"/>
            </w14:solidFill>
          </w14:textFill>
        </w:rPr>
        <w:t xml:space="preserve">C projected for 2100 under business-as-usual emission scenarios. This warming has unleashed an environmental cascade, including melting polar ice caps, sea-level rise, powerful hurricanes, droughts lasting years longer than ever before, and the collapse of biodiversity. These perturbations threaten food security, water availability, public health, and economic stability across the globe. </w:t>
      </w:r>
      <w:r>
        <w:rPr>
          <w:i w:val="0"/>
          <w:iCs w:val="0"/>
          <w:rtl w:val="0"/>
          <w:lang w:val="en-US"/>
        </w:rPr>
        <w:t>Governments, international bodies, and private actors are competing to develop and roll out policy packages that balance emissions reduction with socio-economic development. This challenge demands innovation, equitable effort and impact, and unprecedented global cooperation. Climate change is no longer a distant threat but an immediate, systemic risk. The World Meteorological Organisation (WMO) reports that the past decade (2011</w:t>
      </w:r>
      <w:r>
        <w:rPr>
          <w:i w:val="0"/>
          <w:iCs w:val="0"/>
          <w:rtl w:val="0"/>
        </w:rPr>
        <w:t>–</w:t>
      </w:r>
      <w:r>
        <w:rPr>
          <w:i w:val="0"/>
          <w:iCs w:val="0"/>
          <w:rtl w:val="0"/>
          <w:lang w:val="en-US"/>
        </w:rPr>
        <w:t>2020) was the warmest on record, with 2023 marking the hottest year in over 125,000 years. Extreme weather events, such as wildfires in Australia and Canada, floods in Pakistan and Germany, and the bleaching of coral reefs</w:t>
      </w:r>
      <w:r>
        <w:rPr>
          <w:i w:val="0"/>
          <w:iCs w:val="0"/>
          <w:rtl w:val="0"/>
          <w:lang w:val="en-US"/>
        </w:rPr>
        <w:t>—</w:t>
      </w:r>
      <w:r>
        <w:rPr>
          <w:i w:val="0"/>
          <w:iCs w:val="0"/>
          <w:rtl w:val="0"/>
          <w:lang w:val="en-US"/>
        </w:rPr>
        <w:t>critical marine biodiversity hotspots</w:t>
      </w:r>
      <w:r>
        <w:rPr>
          <w:i w:val="0"/>
          <w:iCs w:val="0"/>
          <w:rtl w:val="0"/>
          <w:lang w:val="en-US"/>
        </w:rPr>
        <w:t>—</w:t>
      </w:r>
      <w:r>
        <w:rPr>
          <w:i w:val="0"/>
          <w:iCs w:val="0"/>
          <w:rtl w:val="0"/>
          <w:lang w:val="en-US"/>
        </w:rPr>
        <w:t>have displaced millions and caused economic losses exceeding $300 billion annually. These events have strained ecosystems already burdened by habitat destruction and pollution, as shifting climate zones disrupt migratory patterns and species survival. These interconnected crises highlight the urgent need to decarbonise human activities while ensuring vulnerable populations, particularly in low-income countries, are not left behind.</w:t>
      </w:r>
    </w:p>
    <w:p>
      <w:pPr>
        <w:pStyle w:val="Body"/>
        <w:rPr>
          <w:i w:val="0"/>
          <w:iCs w:val="0"/>
        </w:rPr>
      </w:pPr>
    </w:p>
    <w:p>
      <w:pPr>
        <w:pStyle w:val="Body"/>
        <w:rPr>
          <w:i w:val="0"/>
          <w:iCs w:val="0"/>
        </w:rPr>
      </w:pPr>
      <w:r>
        <w:rPr>
          <w:i w:val="0"/>
          <w:iCs w:val="0"/>
          <w:rtl w:val="0"/>
          <w:lang w:val="en-US"/>
        </w:rPr>
        <w:t>The root cause of this upheaval lies in humanity</w:t>
      </w:r>
      <w:r>
        <w:rPr>
          <w:i w:val="0"/>
          <w:iCs w:val="0"/>
          <w:rtl w:val="0"/>
          <w:lang w:val="en-US"/>
        </w:rPr>
        <w:t>’</w:t>
      </w:r>
      <w:r>
        <w:rPr>
          <w:i w:val="0"/>
          <w:iCs w:val="0"/>
          <w:rtl w:val="0"/>
          <w:lang w:val="en-US"/>
        </w:rPr>
        <w:t xml:space="preserve">s carbon footprint </w:t>
      </w:r>
      <w:r>
        <w:rPr>
          <w:i w:val="0"/>
          <w:iCs w:val="0"/>
          <w:rtl w:val="0"/>
          <w:lang w:val="en-US"/>
        </w:rPr>
        <w:t xml:space="preserve">– </w:t>
      </w:r>
      <w:r>
        <w:rPr>
          <w:i w:val="0"/>
          <w:iCs w:val="0"/>
          <w:rtl w:val="0"/>
          <w:lang w:val="en-US"/>
        </w:rPr>
        <w:t>the total greenhouse gas emissions generated by individual, organisational, or national activities. The energy sector remains the largest contributor, accounting for 73% of global emissions, primarily from coal, oil, and gas combustion. Industrial processes, such as cement and steel production, add another 5</w:t>
      </w:r>
      <w:r>
        <w:rPr>
          <w:i w:val="0"/>
          <w:iCs w:val="0"/>
          <w:rtl w:val="0"/>
          <w:lang w:val="en-US"/>
        </w:rPr>
        <w:t>–</w:t>
      </w:r>
      <w:r>
        <w:rPr>
          <w:i w:val="0"/>
          <w:iCs w:val="0"/>
          <w:rtl w:val="0"/>
          <w:lang w:val="en-US"/>
        </w:rPr>
        <w:t>10%, while agriculture and land-use changes (e.g., deforestation) contribute 18</w:t>
      </w:r>
      <w:r>
        <w:rPr>
          <w:i w:val="0"/>
          <w:iCs w:val="0"/>
          <w:rtl w:val="0"/>
          <w:lang w:val="en-US"/>
        </w:rPr>
        <w:t>–</w:t>
      </w:r>
      <w:r>
        <w:rPr>
          <w:i w:val="0"/>
          <w:iCs w:val="0"/>
          <w:rtl w:val="0"/>
          <w:lang w:val="en-US"/>
        </w:rPr>
        <w:t>25%, driven by methane from livestock and nitrous oxide from fertilisers. Transportation, responsible for 16% of emissions, and buildings, at 6%, further compound the problem. These sectors are deeply embedded in modern economies, making rapid decarbonisation a complex, multi-dimensional challenge. Policymakers must therefore craft frameworks that transcend traditional silos, integrating environmental, economic, and social objectives to avoid trade-offs that could exacerbate inequality or stifle growth.</w:t>
      </w:r>
    </w:p>
    <w:p>
      <w:pPr>
        <w:pStyle w:val="Body"/>
        <w:rPr>
          <w:i w:val="0"/>
          <w:iCs w:val="0"/>
          <w:outline w:val="0"/>
          <w:color w:val="404040"/>
          <w:u w:color="404040"/>
          <w14:textFill>
            <w14:solidFill>
              <w14:srgbClr w14:val="404040"/>
            </w14:solidFill>
          </w14:textFill>
        </w:rPr>
      </w:pPr>
      <w:r>
        <w:rPr>
          <w:i w:val="0"/>
          <w:iCs w:val="0"/>
          <w:outline w:val="0"/>
          <w:color w:val="404040"/>
          <w:u w:color="404040"/>
          <w:rtl w:val="0"/>
          <w:lang w:val="en-US"/>
          <w14:textFill>
            <w14:solidFill>
              <w14:srgbClr w14:val="404040"/>
            </w14:solidFill>
          </w14:textFill>
        </w:rPr>
        <w:t>The Imperative for Comprehensive Policy Frameworks</w:t>
      </w:r>
    </w:p>
    <w:p>
      <w:pPr>
        <w:pStyle w:val="Body"/>
        <w:rPr>
          <w:i w:val="0"/>
          <w:iCs w:val="0"/>
        </w:rPr>
      </w:pPr>
      <w:r>
        <w:rPr>
          <w:i w:val="0"/>
          <w:iCs w:val="0"/>
          <w:rtl w:val="0"/>
          <w:lang w:val="en-US"/>
        </w:rPr>
        <w:t>Effective climate action demands more than isolated technological solutions or voluntary commitments. It necessitates systemic transformation guided by robust and adaptable policy frameworks. Such frameworks must address three fundamental dimensions: scale, speed, and equity.</w:t>
      </w:r>
    </w:p>
    <w:p>
      <w:pPr>
        <w:pStyle w:val="Body"/>
        <w:rPr>
          <w:i w:val="0"/>
          <w:iCs w:val="0"/>
        </w:rPr>
      </w:pPr>
    </w:p>
    <w:p>
      <w:pPr>
        <w:pStyle w:val="Body"/>
        <w:rPr>
          <w:i w:val="0"/>
          <w:iCs w:val="0"/>
        </w:rPr>
      </w:pPr>
      <w:r>
        <w:rPr>
          <w:i w:val="0"/>
          <w:iCs w:val="0"/>
          <w:rtl w:val="0"/>
          <w:lang w:val="en-US"/>
        </w:rPr>
        <w:t>Policies must achieve emissions reductions at a scale commensurate with the Intergovernmental Panel on Climate Change (IPCC) recommendation to halve global emissions by 2030 and attain net-zero by 2050. They must accelerate the pace of transition to avoid perpetuating carbon-intensive infrastructure and amplifying climate risks. Additionally, policies must ensure equitable outcomes, acknowledging that developing nations, historically least responsible for emissions, often bear the brunt of climate impacts and lack the resources to finance green transitions.</w:t>
      </w:r>
    </w:p>
    <w:p>
      <w:pPr>
        <w:pStyle w:val="Body"/>
        <w:rPr>
          <w:i w:val="0"/>
          <w:iCs w:val="0"/>
        </w:rPr>
      </w:pPr>
    </w:p>
    <w:p>
      <w:pPr>
        <w:pStyle w:val="Body"/>
        <w:rPr>
          <w:i w:val="0"/>
          <w:iCs w:val="0"/>
        </w:rPr>
      </w:pPr>
      <w:r>
        <w:rPr>
          <w:i w:val="0"/>
          <w:iCs w:val="0"/>
          <w:rtl w:val="0"/>
          <w:lang w:val="en-US"/>
        </w:rPr>
        <w:t>Historically, climate policies have evolved through trial and error. Early initiatives, such as the 1997 Kyoto Protocol, relied on binding emission targets for developed nations but excluded significant emitters like China and India, limiting their effectiveness. The 2015 Paris Agreement marked a paradigm shift by adopting a bottom-up approach, enabling nations to establish voluntary Nationally Determined Contributions (NDCs). While this inclusivity enhanced participation, enforcement mechanisms remain inadequate, and current NDCs collectively fall short of limiting warming to 1.5</w:t>
      </w:r>
      <w:r>
        <w:rPr>
          <w:i w:val="0"/>
          <w:iCs w:val="0"/>
          <w:rtl w:val="0"/>
          <w:lang w:val="en-US"/>
        </w:rPr>
        <w:t>°</w:t>
      </w:r>
      <w:r>
        <w:rPr>
          <w:i w:val="0"/>
          <w:iCs w:val="0"/>
          <w:rtl w:val="0"/>
          <w:lang w:val="en-US"/>
        </w:rPr>
        <w:t>C.</w:t>
      </w:r>
    </w:p>
    <w:p>
      <w:pPr>
        <w:pStyle w:val="Body"/>
        <w:rPr>
          <w:i w:val="0"/>
          <w:iCs w:val="0"/>
        </w:rPr>
      </w:pPr>
    </w:p>
    <w:p>
      <w:pPr>
        <w:pStyle w:val="Body"/>
        <w:rPr>
          <w:i w:val="0"/>
          <w:iCs w:val="0"/>
        </w:rPr>
      </w:pPr>
      <w:r>
        <w:rPr>
          <w:i w:val="0"/>
          <w:iCs w:val="0"/>
          <w:rtl w:val="0"/>
          <w:lang w:val="en-US"/>
        </w:rPr>
        <w:t>Market-based tools such as carbon pricing have gained traction, with over 70 national and subnational systems now operational. For instance, in Mexico, the carbon price is set at 1/ton, while in Sweden, it is set at 140/ton. However, uneven carbon prices, ranging from Sweden, expose disparities in political will and economic capacity.</w:t>
      </w:r>
    </w:p>
    <w:p>
      <w:pPr>
        <w:pStyle w:val="Body"/>
        <w:rPr>
          <w:i w:val="0"/>
          <w:iCs w:val="0"/>
          <w:outline w:val="0"/>
          <w:color w:val="404040"/>
          <w:u w:color="404040"/>
          <w14:textFill>
            <w14:solidFill>
              <w14:srgbClr w14:val="404040"/>
            </w14:solidFill>
          </w14:textFill>
        </w:rPr>
      </w:pPr>
      <w:r>
        <w:rPr>
          <w:i w:val="0"/>
          <w:iCs w:val="0"/>
          <w:outline w:val="0"/>
          <w:color w:val="404040"/>
          <w:u w:color="404040"/>
          <w:rtl w:val="0"/>
          <w:lang w:val="en-US"/>
          <w14:textFill>
            <w14:solidFill>
              <w14:srgbClr w14:val="404040"/>
            </w14:solidFill>
          </w14:textFill>
        </w:rPr>
        <w:t>Diverse Strategies for a Multi-Faceted Challenge</w:t>
      </w:r>
    </w:p>
    <w:p>
      <w:pPr>
        <w:pStyle w:val="Body"/>
        <w:rPr>
          <w:i w:val="0"/>
          <w:iCs w:val="0"/>
        </w:rPr>
      </w:pPr>
      <w:r>
        <w:rPr>
          <w:i w:val="0"/>
          <w:iCs w:val="0"/>
          <w:rtl w:val="0"/>
          <w:lang w:val="en-US"/>
        </w:rPr>
        <w:t>Modern policy frameworks employ a mix of regulatory, economic, and collaborative tools tailored to sector-specific challenges.</w:t>
      </w:r>
    </w:p>
    <w:p>
      <w:pPr>
        <w:pStyle w:val="Body"/>
        <w:rPr>
          <w:i w:val="0"/>
          <w:iCs w:val="0"/>
        </w:rPr>
      </w:pPr>
    </w:p>
    <w:p>
      <w:pPr>
        <w:pStyle w:val="Body"/>
        <w:numPr>
          <w:ilvl w:val="0"/>
          <w:numId w:val="3"/>
        </w:numPr>
        <w:rPr>
          <w:i w:val="0"/>
          <w:iCs w:val="0"/>
          <w:lang w:val="en-US"/>
        </w:rPr>
      </w:pPr>
      <w:r>
        <w:rPr>
          <w:i w:val="0"/>
          <w:iCs w:val="0"/>
          <w:rtl w:val="0"/>
          <w:lang w:val="en-US"/>
        </w:rPr>
        <w:t>Regulatory interventions, such as command-and-control policies, set legally binding limits on emissions, energy efficiency, or technology standards. For instance, the European Union</w:t>
      </w:r>
      <w:r>
        <w:rPr>
          <w:i w:val="0"/>
          <w:iCs w:val="0"/>
          <w:rtl w:val="0"/>
          <w:lang w:val="en-US"/>
        </w:rPr>
        <w:t>’</w:t>
      </w:r>
      <w:r>
        <w:rPr>
          <w:i w:val="0"/>
          <w:iCs w:val="0"/>
          <w:rtl w:val="0"/>
          <w:lang w:val="en-US"/>
        </w:rPr>
        <w:t xml:space="preserve">s </w:t>
      </w:r>
      <w:r>
        <w:rPr>
          <w:i w:val="0"/>
          <w:iCs w:val="0"/>
          <w:rtl w:val="0"/>
          <w:lang w:val="en-US"/>
        </w:rPr>
        <w:t>“</w:t>
      </w:r>
      <w:r>
        <w:rPr>
          <w:i w:val="0"/>
          <w:iCs w:val="0"/>
          <w:rtl w:val="0"/>
          <w:lang w:val="en-US"/>
        </w:rPr>
        <w:t>Fit for 55</w:t>
      </w:r>
      <w:r>
        <w:rPr>
          <w:i w:val="0"/>
          <w:iCs w:val="0"/>
          <w:rtl w:val="0"/>
          <w:lang w:val="en-US"/>
        </w:rPr>
        <w:t xml:space="preserve">” </w:t>
      </w:r>
      <w:r>
        <w:rPr>
          <w:i w:val="0"/>
          <w:iCs w:val="0"/>
          <w:rtl w:val="0"/>
          <w:lang w:val="en-US"/>
        </w:rPr>
        <w:t>package mandates a 55% reduction in GHG emissions by 2030. This is enforced through stricter emissions trading, renewable energy quotas, and bans on internal combustion engines by 2035. Similarly, California</w:t>
      </w:r>
      <w:r>
        <w:rPr>
          <w:i w:val="0"/>
          <w:iCs w:val="0"/>
          <w:rtl w:val="0"/>
          <w:lang w:val="en-US"/>
        </w:rPr>
        <w:t>’</w:t>
      </w:r>
      <w:r>
        <w:rPr>
          <w:i w:val="0"/>
          <w:iCs w:val="0"/>
          <w:rtl w:val="0"/>
          <w:lang w:val="en-US"/>
        </w:rPr>
        <w:t>s Advanced Clean Cars II rule requires 100% zero-emission vehicle sales by 2035. While these regulations provide certainty for industries, they risk backlash if perceived as overly restrictive or economically disruptive.</w:t>
      </w:r>
    </w:p>
    <w:p>
      <w:pPr>
        <w:pStyle w:val="Body"/>
        <w:numPr>
          <w:ilvl w:val="0"/>
          <w:numId w:val="3"/>
        </w:numPr>
        <w:rPr>
          <w:i w:val="0"/>
          <w:iCs w:val="0"/>
          <w:lang w:val="en-US"/>
        </w:rPr>
      </w:pPr>
      <w:r>
        <w:rPr>
          <w:i w:val="0"/>
          <w:iCs w:val="0"/>
          <w:rtl w:val="0"/>
          <w:lang w:val="en-US"/>
        </w:rPr>
        <w:t>Market-based mechanisms, such as carbon pricing, internalise the social cost of emissions, incentivising businesses and consumers to adopt cleaner alternatives. Carbon taxes, like Canada</w:t>
      </w:r>
      <w:r>
        <w:rPr>
          <w:i w:val="0"/>
          <w:iCs w:val="0"/>
          <w:rtl w:val="0"/>
          <w:lang w:val="en-US"/>
        </w:rPr>
        <w:t>’</w:t>
      </w:r>
      <w:r>
        <w:rPr>
          <w:i w:val="0"/>
          <w:iCs w:val="0"/>
          <w:rtl w:val="0"/>
          <w:lang w:val="en-US"/>
        </w:rPr>
        <w:t>s escalating levy (set to reach CAD 170/ton by 2030), directly tax emissions. Cap-and-trade systems, such as the EU Emissions Trading System (EU ETS), cap total emissions and allow trading of permits. Revenue from these schemes can fund green investments or offset regressive impacts on low-income households. Additionally, subsidies and tax credits lower the cost of renewables, electric vehicles (EVs), and energy-efficient technologies. For example, the U.S. Inflation Reduction Act (IRA) allocates $369 billion to clean energy incentives, catalysing private-sector investments in solar, wind, and hydrogen.</w:t>
      </w:r>
    </w:p>
    <w:p>
      <w:pPr>
        <w:pStyle w:val="Body"/>
        <w:numPr>
          <w:ilvl w:val="0"/>
          <w:numId w:val="3"/>
        </w:numPr>
        <w:rPr>
          <w:i w:val="0"/>
          <w:iCs w:val="0"/>
          <w:lang w:val="en-US"/>
        </w:rPr>
      </w:pPr>
      <w:r>
        <w:rPr>
          <w:i w:val="0"/>
          <w:iCs w:val="0"/>
          <w:rtl w:val="0"/>
          <w:lang w:val="en-US"/>
        </w:rPr>
        <w:t>Beyond government action, corporations and civil society are driving change through voluntary commitments. Over 3,000 companies, including Apple and Google, have joined the Science-Based Targets initiative (SBTi), aligning emission cuts with IPCC pathways. Carbon offset programs, such as Microsoft</w:t>
      </w:r>
      <w:r>
        <w:rPr>
          <w:i w:val="0"/>
          <w:iCs w:val="0"/>
          <w:rtl w:val="0"/>
          <w:lang w:val="en-US"/>
        </w:rPr>
        <w:t>’</w:t>
      </w:r>
      <w:r>
        <w:rPr>
          <w:i w:val="0"/>
          <w:iCs w:val="0"/>
          <w:rtl w:val="0"/>
          <w:lang w:val="en-US"/>
        </w:rPr>
        <w:t xml:space="preserve">s $1 billion climate innovation fund, finance reforestation and renewable projects to neutralise residual emissions. While critics argue offsets can enable </w:t>
      </w:r>
      <w:r>
        <w:rPr>
          <w:i w:val="0"/>
          <w:iCs w:val="0"/>
          <w:rtl w:val="0"/>
          <w:lang w:val="en-US"/>
        </w:rPr>
        <w:t>“</w:t>
      </w:r>
      <w:r>
        <w:rPr>
          <w:i w:val="0"/>
          <w:iCs w:val="0"/>
          <w:rtl w:val="0"/>
          <w:lang w:val="en-US"/>
        </w:rPr>
        <w:t>greenwashing</w:t>
      </w:r>
      <w:r>
        <w:rPr>
          <w:i w:val="0"/>
          <w:iCs w:val="0"/>
          <w:rtl w:val="0"/>
          <w:lang w:val="en-US"/>
        </w:rPr>
        <w:t>”</w:t>
      </w:r>
      <w:r>
        <w:rPr>
          <w:i w:val="0"/>
          <w:iCs w:val="0"/>
          <w:rtl w:val="0"/>
          <w:lang w:val="en-US"/>
        </w:rPr>
        <w:t>, rigorous certification standards (e.g., Verra</w:t>
      </w:r>
      <w:r>
        <w:rPr>
          <w:i w:val="0"/>
          <w:iCs w:val="0"/>
          <w:rtl w:val="0"/>
          <w:lang w:val="en-US"/>
        </w:rPr>
        <w:t>’</w:t>
      </w:r>
      <w:r>
        <w:rPr>
          <w:i w:val="0"/>
          <w:iCs w:val="0"/>
          <w:rtl w:val="0"/>
          <w:lang w:val="en-US"/>
        </w:rPr>
        <w:t>s Verified Carbon Standard) aim to ensure accountability.</w:t>
      </w:r>
    </w:p>
    <w:p>
      <w:pPr>
        <w:pStyle w:val="Body"/>
        <w:numPr>
          <w:ilvl w:val="0"/>
          <w:numId w:val="3"/>
        </w:numPr>
        <w:rPr>
          <w:i w:val="0"/>
          <w:iCs w:val="0"/>
          <w:lang w:val="en-US"/>
        </w:rPr>
      </w:pPr>
      <w:r>
        <w:rPr>
          <w:i w:val="0"/>
          <w:iCs w:val="0"/>
          <w:rtl w:val="0"/>
          <w:lang w:val="en-US"/>
        </w:rPr>
        <w:t>Breakthrough technologies are crucial for hard-to-abate sectors like aviation and heavy industry. Governments are investing in carbon capture and storage (CCS), green hydrogen, and advanced nuclear reactors. For instance, South Korea</w:t>
      </w:r>
      <w:r>
        <w:rPr>
          <w:i w:val="0"/>
          <w:iCs w:val="0"/>
          <w:rtl w:val="0"/>
          <w:lang w:val="en-US"/>
        </w:rPr>
        <w:t>’</w:t>
      </w:r>
      <w:r>
        <w:rPr>
          <w:i w:val="0"/>
          <w:iCs w:val="0"/>
          <w:rtl w:val="0"/>
          <w:lang w:val="en-US"/>
        </w:rPr>
        <w:t>s Green New Deal pledges $61 billion for smart grids and hydrogen infrastructure, while the U.S. Department of Energy</w:t>
      </w:r>
      <w:r>
        <w:rPr>
          <w:i w:val="0"/>
          <w:iCs w:val="0"/>
          <w:rtl w:val="0"/>
          <w:lang w:val="en-US"/>
        </w:rPr>
        <w:t>’</w:t>
      </w:r>
      <w:r>
        <w:rPr>
          <w:i w:val="0"/>
          <w:iCs w:val="0"/>
          <w:rtl w:val="0"/>
          <w:lang w:val="en-US"/>
        </w:rPr>
        <w:t xml:space="preserve">s </w:t>
      </w:r>
      <w:r>
        <w:rPr>
          <w:i w:val="0"/>
          <w:iCs w:val="0"/>
          <w:rtl w:val="0"/>
          <w:lang w:val="en-US"/>
        </w:rPr>
        <w:t>“</w:t>
      </w:r>
      <w:r>
        <w:rPr>
          <w:i w:val="0"/>
          <w:iCs w:val="0"/>
          <w:rtl w:val="0"/>
          <w:lang w:val="en-US"/>
        </w:rPr>
        <w:t>Earthshots</w:t>
      </w:r>
      <w:r>
        <w:rPr>
          <w:i w:val="0"/>
          <w:iCs w:val="0"/>
          <w:rtl w:val="0"/>
          <w:lang w:val="en-US"/>
        </w:rPr>
        <w:t xml:space="preserve">” </w:t>
      </w:r>
      <w:r>
        <w:rPr>
          <w:i w:val="0"/>
          <w:iCs w:val="0"/>
          <w:rtl w:val="0"/>
          <w:lang w:val="en-US"/>
        </w:rPr>
        <w:t>initiative targets cost reductions in clean hydrogen and direct air capture. Public-private partnerships, such as the EU</w:t>
      </w:r>
      <w:r>
        <w:rPr>
          <w:i w:val="0"/>
          <w:iCs w:val="0"/>
          <w:rtl w:val="0"/>
          <w:lang w:val="en-US"/>
        </w:rPr>
        <w:t>’</w:t>
      </w:r>
      <w:r>
        <w:rPr>
          <w:i w:val="0"/>
          <w:iCs w:val="0"/>
          <w:rtl w:val="0"/>
          <w:lang w:val="en-US"/>
        </w:rPr>
        <w:t>s Horizon Europe programme, further bridge the gap between research and commercialisation.</w:t>
      </w:r>
    </w:p>
    <w:p>
      <w:pPr>
        <w:pStyle w:val="Body"/>
        <w:rPr>
          <w:b w:val="1"/>
          <w:bCs w:val="1"/>
          <w:i w:val="0"/>
          <w:iCs w:val="0"/>
        </w:rPr>
      </w:pPr>
    </w:p>
    <w:p>
      <w:pPr>
        <w:pStyle w:val="Body"/>
        <w:rPr>
          <w:b w:val="1"/>
          <w:bCs w:val="1"/>
          <w:i w:val="0"/>
          <w:iCs w:val="0"/>
        </w:rPr>
      </w:pPr>
    </w:p>
    <w:p>
      <w:pPr>
        <w:pStyle w:val="Body"/>
        <w:rPr>
          <w:b w:val="1"/>
          <w:bCs w:val="1"/>
          <w:i w:val="0"/>
          <w:iCs w:val="0"/>
        </w:rPr>
      </w:pPr>
      <w:r>
        <w:rPr>
          <w:b w:val="1"/>
          <w:bCs w:val="1"/>
          <w:i w:val="0"/>
          <w:iCs w:val="0"/>
          <w:rtl w:val="0"/>
          <w:lang w:val="en-US"/>
        </w:rPr>
        <w:t>Balancing Economic and Social Priorities</w:t>
      </w:r>
    </w:p>
    <w:p>
      <w:pPr>
        <w:pStyle w:val="Body"/>
        <w:rPr>
          <w:i w:val="0"/>
          <w:iCs w:val="0"/>
        </w:rPr>
      </w:pPr>
      <w:r>
        <w:rPr>
          <w:i w:val="0"/>
          <w:iCs w:val="0"/>
          <w:rtl w:val="0"/>
          <w:lang w:val="en-US"/>
        </w:rPr>
        <w:t xml:space="preserve">Critics often frame climate action as a trade-off between environmental and economic goals, but evidence increasingly refutes this dichotomy. For instance, the International Renewable Energy Agency (IREENA) estimates that renewable energy sectors employed 12.7 million people globally in 2022, a figure poised to triple by 2050. Similarly, energy-efficient retrofits in buildings can reduce utility bills while creating construction jobs. Policies that prioritise a </w:t>
      </w:r>
      <w:r>
        <w:rPr>
          <w:i w:val="0"/>
          <w:iCs w:val="0"/>
          <w:rtl w:val="0"/>
          <w:lang w:val="en-US"/>
        </w:rPr>
        <w:t>“</w:t>
      </w:r>
      <w:r>
        <w:rPr>
          <w:i w:val="0"/>
          <w:iCs w:val="0"/>
          <w:rtl w:val="0"/>
          <w:lang w:val="en-US"/>
        </w:rPr>
        <w:t>just transition,</w:t>
      </w:r>
      <w:r>
        <w:rPr>
          <w:i w:val="0"/>
          <w:iCs w:val="0"/>
          <w:rtl w:val="0"/>
          <w:lang w:val="en-US"/>
        </w:rPr>
        <w:t xml:space="preserve">” </w:t>
      </w:r>
      <w:r>
        <w:rPr>
          <w:i w:val="0"/>
          <w:iCs w:val="0"/>
          <w:rtl w:val="0"/>
          <w:lang w:val="en-US"/>
        </w:rPr>
        <w:t>such as Germany</w:t>
      </w:r>
      <w:r>
        <w:rPr>
          <w:i w:val="0"/>
          <w:iCs w:val="0"/>
          <w:rtl w:val="0"/>
          <w:lang w:val="en-US"/>
        </w:rPr>
        <w:t>’</w:t>
      </w:r>
      <w:r>
        <w:rPr>
          <w:i w:val="0"/>
          <w:iCs w:val="0"/>
          <w:rtl w:val="0"/>
          <w:lang w:val="en-US"/>
        </w:rPr>
        <w:t xml:space="preserve">s Coal Phase-Out Act, which allocates </w:t>
      </w:r>
      <w:r>
        <w:rPr>
          <w:i w:val="0"/>
          <w:iCs w:val="0"/>
          <w:rtl w:val="0"/>
          <w:lang w:val="en-US"/>
        </w:rPr>
        <w:t>€</w:t>
      </w:r>
      <w:r>
        <w:rPr>
          <w:i w:val="0"/>
          <w:iCs w:val="0"/>
          <w:rtl w:val="0"/>
          <w:lang w:val="en-US"/>
        </w:rPr>
        <w:t>40 billion to support coal-dependent regions, demonstrate how social safety nets and retraining programmes can mitigate job losses in fossil fuel industries.</w:t>
      </w:r>
    </w:p>
    <w:p>
      <w:pPr>
        <w:pStyle w:val="Body"/>
        <w:rPr>
          <w:i w:val="0"/>
          <w:iCs w:val="0"/>
        </w:rPr>
      </w:pPr>
    </w:p>
    <w:p>
      <w:pPr>
        <w:pStyle w:val="Body"/>
        <w:rPr>
          <w:i w:val="0"/>
          <w:iCs w:val="0"/>
        </w:rPr>
      </w:pPr>
      <w:r>
        <w:rPr>
          <w:i w:val="0"/>
          <w:iCs w:val="0"/>
          <w:rtl w:val="0"/>
          <w:lang w:val="en-US"/>
        </w:rPr>
        <w:t>However, challenges persist. Developing nations face steep barriers, including high debt burdens, outdated infrastructure, and limited access to clean technology. Africa, home to 17% of the world</w:t>
      </w:r>
      <w:r>
        <w:rPr>
          <w:i w:val="0"/>
          <w:iCs w:val="0"/>
          <w:rtl w:val="0"/>
          <w:lang w:val="en-US"/>
        </w:rPr>
        <w:t>’</w:t>
      </w:r>
      <w:r>
        <w:rPr>
          <w:i w:val="0"/>
          <w:iCs w:val="0"/>
          <w:rtl w:val="0"/>
          <w:lang w:val="en-US"/>
        </w:rPr>
        <w:t>s population, accounts for less than 4% of global emissions but suffers disproportionately from climate impacts. Without international support, these countries risk being trapped in carbon-intensive development pathways. Climate finance mechanisms, such as the Green Climate Fund (GCF), aim to address this imbalance by channelling $100 billion annually from wealthy nations to low-income countries. Despite these efforts, funding gaps and bureaucratic hurdles persist.</w:t>
      </w:r>
    </w:p>
    <w:p>
      <w:pPr>
        <w:pStyle w:val="Body"/>
        <w:rPr>
          <w:i w:val="0"/>
          <w:iCs w:val="0"/>
          <w:outline w:val="0"/>
          <w:color w:val="404040"/>
          <w:u w:color="404040"/>
          <w14:textFill>
            <w14:solidFill>
              <w14:srgbClr w14:val="404040"/>
            </w14:solidFill>
          </w14:textFill>
        </w:rPr>
      </w:pPr>
      <w:r>
        <w:rPr>
          <w:i w:val="0"/>
          <w:iCs w:val="0"/>
          <w:outline w:val="0"/>
          <w:color w:val="404040"/>
          <w:u w:color="404040"/>
          <w:rtl w:val="0"/>
          <w:lang w:val="en-US"/>
          <w14:textFill>
            <w14:solidFill>
              <w14:srgbClr w14:val="404040"/>
            </w14:solidFill>
          </w14:textFill>
        </w:rPr>
        <w:t>The Role of International Cooperation</w:t>
      </w:r>
    </w:p>
    <w:p>
      <w:pPr>
        <w:pStyle w:val="Body"/>
        <w:rPr>
          <w:i w:val="0"/>
          <w:iCs w:val="0"/>
        </w:rPr>
      </w:pPr>
      <w:r>
        <w:rPr>
          <w:i w:val="0"/>
          <w:iCs w:val="0"/>
          <w:rtl w:val="0"/>
          <w:lang w:val="en-US"/>
        </w:rPr>
        <w:t>Climate change, a global problem demanding global solutions, requires multilateral agreements, though imperfect, to facilitate coordination. The Paris Agreement</w:t>
      </w:r>
      <w:r>
        <w:rPr>
          <w:i w:val="0"/>
          <w:iCs w:val="0"/>
          <w:rtl w:val="0"/>
          <w:lang w:val="en-US"/>
        </w:rPr>
        <w:t>’</w:t>
      </w:r>
      <w:r>
        <w:rPr>
          <w:i w:val="0"/>
          <w:iCs w:val="0"/>
          <w:rtl w:val="0"/>
          <w:lang w:val="en-US"/>
        </w:rPr>
        <w:t xml:space="preserve">s </w:t>
      </w:r>
      <w:r>
        <w:rPr>
          <w:i w:val="0"/>
          <w:iCs w:val="0"/>
          <w:rtl w:val="0"/>
          <w:lang w:val="en-US"/>
        </w:rPr>
        <w:t>“</w:t>
      </w:r>
      <w:r>
        <w:rPr>
          <w:i w:val="0"/>
          <w:iCs w:val="0"/>
          <w:rtl w:val="0"/>
          <w:lang w:val="en-US"/>
        </w:rPr>
        <w:t>ratchet mechanism</w:t>
      </w:r>
      <w:r>
        <w:rPr>
          <w:i w:val="0"/>
          <w:iCs w:val="0"/>
          <w:rtl w:val="0"/>
          <w:lang w:val="en-US"/>
        </w:rPr>
        <w:t xml:space="preserve">” </w:t>
      </w:r>
      <w:r>
        <w:rPr>
          <w:i w:val="0"/>
          <w:iCs w:val="0"/>
          <w:rtl w:val="0"/>
          <w:lang w:val="en-US"/>
        </w:rPr>
        <w:t>encourages nations to enhance their National Determined Contributions every five years, fostering incremental progress. Regional alliances, like the African Union</w:t>
      </w:r>
      <w:r>
        <w:rPr>
          <w:i w:val="0"/>
          <w:iCs w:val="0"/>
          <w:rtl w:val="0"/>
          <w:lang w:val="en-US"/>
        </w:rPr>
        <w:t>’</w:t>
      </w:r>
      <w:r>
        <w:rPr>
          <w:i w:val="0"/>
          <w:iCs w:val="0"/>
          <w:rtl w:val="0"/>
          <w:lang w:val="en-US"/>
        </w:rPr>
        <w:t>s Continental Master Plan for renewable energy, amplify collective bargaining power. Initiatives like the Global Methane Pledge, signed by 150 countries to cut CH</w:t>
      </w:r>
      <w:r>
        <w:rPr>
          <w:rFonts w:ascii="Arial Unicode MS" w:cs="Arial Unicode MS" w:hAnsi="Arial Unicode MS" w:eastAsia="Arial Unicode MS" w:hint="default"/>
          <w:b w:val="0"/>
          <w:bCs w:val="0"/>
          <w:i w:val="0"/>
          <w:iCs w:val="0"/>
          <w:rtl w:val="0"/>
          <w:lang w:val="en-US"/>
        </w:rPr>
        <w:t>₄</w:t>
      </w:r>
      <w:r>
        <w:rPr>
          <w:i w:val="0"/>
          <w:iCs w:val="0"/>
          <w:rtl w:val="0"/>
          <w:lang w:val="en-US"/>
        </w:rPr>
        <w:t xml:space="preserve"> </w:t>
      </w:r>
      <w:r>
        <w:rPr>
          <w:i w:val="0"/>
          <w:iCs w:val="0"/>
          <w:rtl w:val="0"/>
          <w:lang w:val="en-US"/>
        </w:rPr>
        <w:t>emissions by 30% by 2030, target short-lived but potent GHGs.</w:t>
      </w:r>
    </w:p>
    <w:p>
      <w:pPr>
        <w:pStyle w:val="Body"/>
        <w:rPr>
          <w:i w:val="0"/>
          <w:iCs w:val="0"/>
        </w:rPr>
      </w:pPr>
    </w:p>
    <w:p>
      <w:pPr>
        <w:pStyle w:val="Body"/>
        <w:rPr>
          <w:i w:val="0"/>
          <w:iCs w:val="0"/>
        </w:rPr>
      </w:pPr>
      <w:r>
        <w:rPr>
          <w:i w:val="0"/>
          <w:iCs w:val="0"/>
          <w:rtl w:val="0"/>
          <w:lang w:val="en-US"/>
        </w:rPr>
        <w:t>However, geopolitical tensions and resource competition threaten solidarity. The Russia-Ukraine war disrupted energy markets, prompting some nations to revert to coal despite climate goals. Similarly, rare earth mineral shortages, crucial for EV batteries and wind turbines, risk exacerbating resource conflicts. Strengthening international institutions and supply chain resilience is therefore paramount.</w:t>
      </w:r>
    </w:p>
    <w:p>
      <w:pPr>
        <w:pStyle w:val="Body"/>
        <w:rPr>
          <w:i w:val="0"/>
          <w:iCs w:val="0"/>
        </w:rPr>
      </w:pPr>
    </w:p>
    <w:p>
      <w:pPr>
        <w:pStyle w:val="Body"/>
        <w:rPr>
          <w:b w:val="1"/>
          <w:bCs w:val="1"/>
          <w:i w:val="0"/>
          <w:iCs w:val="0"/>
        </w:rPr>
      </w:pPr>
    </w:p>
    <w:p>
      <w:pPr>
        <w:pStyle w:val="Body"/>
        <w:rPr>
          <w:b w:val="1"/>
          <w:bCs w:val="1"/>
          <w:i w:val="0"/>
          <w:iCs w:val="0"/>
        </w:rPr>
      </w:pPr>
      <w:r>
        <w:rPr>
          <w:b w:val="1"/>
          <w:bCs w:val="1"/>
          <w:i w:val="0"/>
          <w:iCs w:val="0"/>
          <w:rtl w:val="0"/>
          <w:lang w:val="en-US"/>
        </w:rPr>
        <w:t>RESEARCH OBJECTIVES</w:t>
      </w:r>
    </w:p>
    <w:p>
      <w:pPr>
        <w:pStyle w:val="Body"/>
        <w:rPr>
          <w:i w:val="0"/>
          <w:iCs w:val="0"/>
        </w:rPr>
      </w:pPr>
      <w:r>
        <w:rPr>
          <w:i w:val="0"/>
          <w:iCs w:val="0"/>
          <w:rtl w:val="0"/>
        </w:rPr>
        <w:t>1.</w:t>
      </w:r>
      <w:r>
        <w:rPr>
          <w:i w:val="0"/>
          <w:iCs w:val="0"/>
          <w:rtl w:val="0"/>
          <w:lang w:val="en-US"/>
        </w:rPr>
        <w:t xml:space="preserve"> To assess policy effectiveness, evaluate carbon pricing mechanisms such as taxes and cap-and-trade, and sector-specific regulations like renewable energy mandates and EV incentives, to measure their impact on emission reductions, identify enforcement gaps, and analyse economic consequences.</w:t>
      </w:r>
    </w:p>
    <w:p>
      <w:pPr>
        <w:pStyle w:val="Body"/>
        <w:rPr>
          <w:i w:val="0"/>
          <w:iCs w:val="0"/>
        </w:rPr>
      </w:pPr>
    </w:p>
    <w:p>
      <w:pPr>
        <w:pStyle w:val="Body"/>
        <w:rPr>
          <w:i w:val="0"/>
          <w:iCs w:val="0"/>
        </w:rPr>
      </w:pPr>
      <w:r>
        <w:rPr>
          <w:i w:val="0"/>
          <w:iCs w:val="0"/>
          <w:rtl w:val="0"/>
          <w:lang w:val="en-US"/>
        </w:rPr>
        <w:t>2. To analyse innovation and equity, investigate technological breakthroughs like carbon capture, storage, and utilisation (CCS) and green hydrogen, and explore equity strategies such as retraining and climate finance, to strike a balance between decarbonisation and socio-economic fairness.</w:t>
      </w:r>
    </w:p>
    <w:p>
      <w:pPr>
        <w:pStyle w:val="Body"/>
        <w:rPr>
          <w:i w:val="0"/>
          <w:iCs w:val="0"/>
        </w:rPr>
      </w:pPr>
    </w:p>
    <w:p>
      <w:pPr>
        <w:pStyle w:val="Body"/>
        <w:rPr>
          <w:i w:val="0"/>
          <w:iCs w:val="0"/>
        </w:rPr>
      </w:pPr>
      <w:r>
        <w:rPr>
          <w:i w:val="0"/>
          <w:iCs w:val="0"/>
          <w:rtl w:val="0"/>
          <w:lang w:val="en-US"/>
        </w:rPr>
        <w:t>3. To design integrated frameworks, propose hybrid policies that combine regulation, market incentives, and global cooperation to ensure equitable, scalable climate action and resilient supply chains.</w:t>
      </w:r>
    </w:p>
    <w:p>
      <w:pPr>
        <w:pStyle w:val="Body"/>
        <w:rPr>
          <w:b w:val="1"/>
          <w:bCs w:val="1"/>
          <w:i w:val="0"/>
          <w:iCs w:val="0"/>
        </w:rPr>
      </w:pPr>
      <w:r>
        <w:rPr>
          <w:b w:val="1"/>
          <w:bCs w:val="1"/>
          <w:i w:val="0"/>
          <w:iCs w:val="0"/>
          <w:rtl w:val="0"/>
          <w:lang w:val="es-ES_tradnl"/>
        </w:rPr>
        <w:t>RESEARCH QUESTIONS</w:t>
      </w:r>
    </w:p>
    <w:p>
      <w:pPr>
        <w:pStyle w:val="Body"/>
        <w:numPr>
          <w:ilvl w:val="0"/>
          <w:numId w:val="5"/>
        </w:numPr>
        <w:rPr>
          <w:i w:val="0"/>
          <w:iCs w:val="0"/>
          <w:lang w:val="en-US"/>
        </w:rPr>
      </w:pPr>
      <w:r>
        <w:rPr>
          <w:i w:val="0"/>
          <w:iCs w:val="0"/>
          <w:rtl w:val="0"/>
          <w:lang w:val="en-US"/>
        </w:rPr>
        <w:t>How effective are carbon pricing mechanisms, such as carbon taxes and cap-and-trade, and sector-specific regulations, including renewable energy mandates and EV incentives, in reducing carbon emissions?</w:t>
      </w:r>
    </w:p>
    <w:p>
      <w:pPr>
        <w:pStyle w:val="Body"/>
        <w:numPr>
          <w:ilvl w:val="0"/>
          <w:numId w:val="5"/>
        </w:numPr>
        <w:rPr>
          <w:i w:val="0"/>
          <w:iCs w:val="0"/>
          <w:lang w:val="en-US"/>
        </w:rPr>
      </w:pPr>
      <w:r>
        <w:rPr>
          <w:i w:val="0"/>
          <w:iCs w:val="0"/>
          <w:rtl w:val="0"/>
          <w:lang w:val="en-US"/>
        </w:rPr>
        <w:t xml:space="preserve"> What enforcement challenges and economic impacts do they present? </w:t>
      </w:r>
    </w:p>
    <w:p>
      <w:pPr>
        <w:pStyle w:val="Body"/>
        <w:numPr>
          <w:ilvl w:val="0"/>
          <w:numId w:val="5"/>
        </w:numPr>
        <w:rPr>
          <w:i w:val="0"/>
          <w:iCs w:val="0"/>
          <w:lang w:val="en-US"/>
        </w:rPr>
      </w:pPr>
      <w:r>
        <w:rPr>
          <w:i w:val="0"/>
          <w:iCs w:val="0"/>
          <w:rtl w:val="0"/>
          <w:lang w:val="en-US"/>
        </w:rPr>
        <w:t xml:space="preserve">What role do technological innovations, like carbon capture and storage and green hydrogen, and equity strategies, such as retraining programmes and climate finance, play in balancing decarbonisation with socio-economic fairness? </w:t>
      </w:r>
    </w:p>
    <w:p>
      <w:pPr>
        <w:pStyle w:val="Body"/>
        <w:numPr>
          <w:ilvl w:val="0"/>
          <w:numId w:val="5"/>
        </w:numPr>
        <w:rPr>
          <w:i w:val="0"/>
          <w:iCs w:val="0"/>
          <w:lang w:val="en-US"/>
        </w:rPr>
      </w:pPr>
      <w:r>
        <w:rPr>
          <w:i w:val="0"/>
          <w:iCs w:val="0"/>
          <w:rtl w:val="0"/>
          <w:lang w:val="en-US"/>
        </w:rPr>
        <w:t>How can an integrated policy framework, combining regulation, market incentives, and global cooperation, be designed to ensure scalable, equitable, and resilient climate action?</w:t>
      </w:r>
    </w:p>
    <w:p>
      <w:pPr>
        <w:pStyle w:val="Body"/>
        <w:rPr>
          <w:b w:val="1"/>
          <w:bCs w:val="1"/>
          <w:i w:val="0"/>
          <w:iCs w:val="0"/>
        </w:rPr>
      </w:pPr>
    </w:p>
    <w:p>
      <w:pPr>
        <w:pStyle w:val="Body"/>
        <w:rPr>
          <w:b w:val="1"/>
          <w:bCs w:val="1"/>
          <w:i w:val="0"/>
          <w:iCs w:val="0"/>
        </w:rPr>
      </w:pPr>
    </w:p>
    <w:p>
      <w:pPr>
        <w:pStyle w:val="Body"/>
        <w:rPr>
          <w:b w:val="1"/>
          <w:bCs w:val="1"/>
          <w:i w:val="0"/>
          <w:iCs w:val="0"/>
        </w:rPr>
      </w:pPr>
      <w:r>
        <w:rPr>
          <w:b w:val="1"/>
          <w:bCs w:val="1"/>
          <w:i w:val="0"/>
          <w:iCs w:val="0"/>
          <w:rtl w:val="0"/>
          <w:lang w:val="de-DE"/>
        </w:rPr>
        <w:t>METHODOLOGY</w:t>
      </w:r>
    </w:p>
    <w:p>
      <w:pPr>
        <w:pStyle w:val="Body"/>
        <w:rPr>
          <w:i w:val="0"/>
          <w:iCs w:val="0"/>
        </w:rPr>
      </w:pPr>
      <w:r>
        <w:rPr>
          <w:i w:val="0"/>
          <w:iCs w:val="0"/>
          <w:rtl w:val="0"/>
          <w:lang w:val="en-US"/>
        </w:rPr>
        <w:t>This study adopts a mixed-methods approach, combining both qualitative and quantitative analysis to assess existing carbon mitigation frameworks. The methodology includes:</w:t>
      </w:r>
    </w:p>
    <w:p>
      <w:pPr>
        <w:pStyle w:val="Body"/>
        <w:numPr>
          <w:ilvl w:val="0"/>
          <w:numId w:val="6"/>
        </w:numPr>
        <w:rPr>
          <w:i w:val="0"/>
          <w:iCs w:val="0"/>
          <w:lang w:val="en-US"/>
        </w:rPr>
      </w:pPr>
      <w:r>
        <w:rPr>
          <w:i w:val="0"/>
          <w:iCs w:val="0"/>
          <w:rtl w:val="0"/>
          <w:lang w:val="en-US"/>
        </w:rPr>
        <w:t>This policy analysis systematically reviews national and international policies on carbon footprint reduction. It includes case studies from countries like the European Union, the United States, and China. The study examines various policies, such as carbon pricing, renewable energy subsidies, carbon markets, emissions standards, and industry-specific strategies.</w:t>
      </w:r>
    </w:p>
    <w:p>
      <w:pPr>
        <w:pStyle w:val="Body"/>
        <w:numPr>
          <w:ilvl w:val="0"/>
          <w:numId w:val="6"/>
        </w:numPr>
        <w:rPr>
          <w:i w:val="0"/>
          <w:iCs w:val="0"/>
          <w:lang w:val="en-US"/>
        </w:rPr>
      </w:pPr>
      <w:r>
        <w:rPr>
          <w:i w:val="0"/>
          <w:iCs w:val="0"/>
          <w:rtl w:val="0"/>
          <w:lang w:val="en-US"/>
        </w:rPr>
        <w:t>The paper also compares different policy frameworks</w:t>
      </w:r>
      <w:r>
        <w:rPr>
          <w:i w:val="0"/>
          <w:iCs w:val="0"/>
          <w:rtl w:val="0"/>
          <w:lang w:val="en-US"/>
        </w:rPr>
        <w:t xml:space="preserve">’ </w:t>
      </w:r>
      <w:r>
        <w:rPr>
          <w:i w:val="0"/>
          <w:iCs w:val="0"/>
          <w:rtl w:val="0"/>
          <w:lang w:val="en-US"/>
        </w:rPr>
        <w:t>effectiveness in achieving carbon reduction targets. It evaluates the success of carbon tax systems, cap-and-trade mechanisms, and renewable energy incentives across diverse sectors, including energy, transportation, and industry.</w:t>
      </w:r>
    </w:p>
    <w:p>
      <w:pPr>
        <w:pStyle w:val="Body"/>
        <w:rPr>
          <w:b w:val="1"/>
          <w:bCs w:val="1"/>
          <w:i w:val="0"/>
          <w:iCs w:val="0"/>
        </w:rPr>
      </w:pPr>
    </w:p>
    <w:p>
      <w:pPr>
        <w:pStyle w:val="Body"/>
        <w:rPr>
          <w:b w:val="1"/>
          <w:bCs w:val="1"/>
          <w:i w:val="0"/>
          <w:iCs w:val="0"/>
        </w:rPr>
      </w:pPr>
      <w:r>
        <w:rPr>
          <w:b w:val="1"/>
          <w:bCs w:val="1"/>
          <w:i w:val="0"/>
          <w:iCs w:val="0"/>
          <w:rtl w:val="0"/>
          <w:lang w:val="en-US"/>
        </w:rPr>
        <w:t>FINDINGS</w:t>
      </w:r>
    </w:p>
    <w:p>
      <w:pPr>
        <w:pStyle w:val="Body"/>
        <w:rPr>
          <w:i w:val="0"/>
          <w:iCs w:val="0"/>
        </w:rPr>
      </w:pPr>
      <w:r>
        <w:rPr>
          <w:i w:val="0"/>
          <w:iCs w:val="0"/>
          <w:rtl w:val="0"/>
          <w:lang w:val="en-US"/>
        </w:rPr>
        <w:t xml:space="preserve">The findings suggest that carbon footprint mitigation policies vary significantly in terms of effectiveness depending on the context in which they are applied. </w:t>
      </w:r>
    </w:p>
    <w:p>
      <w:pPr>
        <w:pStyle w:val="Body"/>
        <w:rPr>
          <w:i w:val="0"/>
          <w:iCs w:val="0"/>
        </w:rPr>
      </w:pPr>
      <w:r>
        <w:rPr>
          <w:i w:val="0"/>
          <w:iCs w:val="0"/>
          <w:rtl w:val="0"/>
          <w:lang w:val="en-US"/>
        </w:rPr>
        <w:t>Key findings include:</w:t>
      </w:r>
    </w:p>
    <w:p>
      <w:pPr>
        <w:pStyle w:val="Body"/>
        <w:numPr>
          <w:ilvl w:val="0"/>
          <w:numId w:val="8"/>
        </w:numPr>
        <w:rPr>
          <w:i w:val="0"/>
          <w:iCs w:val="0"/>
          <w:lang w:val="en-US"/>
        </w:rPr>
      </w:pPr>
      <w:r>
        <w:rPr>
          <w:i w:val="0"/>
          <w:iCs w:val="0"/>
          <w:rtl w:val="0"/>
          <w:lang w:val="en-US"/>
        </w:rPr>
        <w:t>Carbon Pricing: Carbon taxes and cap-and-trade systems have demonstrated effectiveness in reducing emissions in high-carbon sectors, but strong enforcement mechanisms are essential to ensure compliance. Countries with higher carbon pricing have experienced faster transitions to renewable energy (Sterner, 2012).</w:t>
      </w:r>
    </w:p>
    <w:p>
      <w:pPr>
        <w:pStyle w:val="Body"/>
        <w:numPr>
          <w:ilvl w:val="0"/>
          <w:numId w:val="8"/>
        </w:numPr>
        <w:rPr>
          <w:i w:val="0"/>
          <w:iCs w:val="0"/>
          <w:lang w:val="en-US"/>
        </w:rPr>
      </w:pPr>
      <w:r>
        <w:rPr>
          <w:i w:val="0"/>
          <w:iCs w:val="0"/>
          <w:rtl w:val="0"/>
          <w:lang w:val="en-US"/>
        </w:rPr>
        <w:t>Sector-Specific Approaches: Policies targeting specific sectors, such as energy efficiency standards in buildings and electric vehicle incentives in transportation, have yielded significant reductions in carbon emissions (IEA, 2020). However, cross-sector coordination remains a challenge.</w:t>
      </w:r>
    </w:p>
    <w:p>
      <w:pPr>
        <w:pStyle w:val="Body"/>
        <w:numPr>
          <w:ilvl w:val="0"/>
          <w:numId w:val="8"/>
        </w:numPr>
        <w:rPr>
          <w:i w:val="0"/>
          <w:iCs w:val="0"/>
          <w:lang w:val="en-US"/>
        </w:rPr>
      </w:pPr>
      <w:r>
        <w:rPr>
          <w:i w:val="0"/>
          <w:iCs w:val="0"/>
          <w:rtl w:val="0"/>
          <w:lang w:val="en-US"/>
        </w:rPr>
        <w:t>Technological Innovation: Public investments in research and development, particularly in renewable energy technologies and carbon capture solutions, are crucial for long-term decarbonisation. Successful countries have implemented innovation-friendly policies, such as tax credits and subsidies for clean technology (IEA, 2019).</w:t>
      </w:r>
    </w:p>
    <w:p>
      <w:pPr>
        <w:pStyle w:val="Body"/>
        <w:numPr>
          <w:ilvl w:val="0"/>
          <w:numId w:val="8"/>
        </w:numPr>
        <w:rPr>
          <w:i w:val="0"/>
          <w:iCs w:val="0"/>
          <w:lang w:val="en-US"/>
        </w:rPr>
      </w:pPr>
      <w:r>
        <w:rPr>
          <w:i w:val="0"/>
          <w:iCs w:val="0"/>
          <w:rtl w:val="0"/>
          <w:lang w:val="en-US"/>
        </w:rPr>
        <w:t xml:space="preserve">Equity Considerations: The study emphasises the importance of a </w:t>
      </w:r>
      <w:r>
        <w:rPr>
          <w:i w:val="0"/>
          <w:iCs w:val="0"/>
          <w:rtl w:val="0"/>
          <w:lang w:val="en-US"/>
        </w:rPr>
        <w:t>“</w:t>
      </w:r>
      <w:r>
        <w:rPr>
          <w:i w:val="0"/>
          <w:iCs w:val="0"/>
          <w:rtl w:val="0"/>
          <w:lang w:val="en-US"/>
        </w:rPr>
        <w:t>just transition</w:t>
      </w:r>
      <w:r>
        <w:rPr>
          <w:i w:val="0"/>
          <w:iCs w:val="0"/>
          <w:rtl w:val="0"/>
          <w:lang w:val="en-US"/>
        </w:rPr>
        <w:t xml:space="preserve">” </w:t>
      </w:r>
      <w:r>
        <w:rPr>
          <w:i w:val="0"/>
          <w:iCs w:val="0"/>
          <w:rtl w:val="0"/>
          <w:lang w:val="en-US"/>
        </w:rPr>
        <w:t>in carbon footprint mitigation. Policies must be designed to avoid disproportionate negative impacts on low-income communities, workers in fossil fuel industries, and developing nations (Newell &amp; Mulvaney, 2013). Social safety nets and retraining programs are necessary to ensure that all stakeholders benefit from the transition to a green economy.</w:t>
      </w:r>
    </w:p>
    <w:p>
      <w:pPr>
        <w:pStyle w:val="Body"/>
        <w:numPr>
          <w:ilvl w:val="0"/>
          <w:numId w:val="8"/>
        </w:numPr>
        <w:rPr>
          <w:i w:val="0"/>
          <w:iCs w:val="0"/>
          <w:lang w:val="en-US"/>
        </w:rPr>
      </w:pPr>
      <w:r>
        <w:rPr>
          <w:i w:val="0"/>
          <w:iCs w:val="0"/>
          <w:rtl w:val="0"/>
          <w:lang w:val="en-US"/>
        </w:rPr>
        <w:t>International Cooperation: The research highlights the significance of international frameworks like the Paris Agreement in aligning national policies towards global climate goals. The sharing of technology and financing mechanisms for developing countries is key to achieving a global reduction in carbon emissions (UNFCCC, 2015).</w:t>
      </w:r>
    </w:p>
    <w:p>
      <w:pPr>
        <w:pStyle w:val="Body"/>
        <w:rPr>
          <w:i w:val="0"/>
          <w:iCs w:val="0"/>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jc w:val="center"/>
        <w:rPr>
          <w:rFonts w:ascii="Times New Roman" w:cs="Times New Roman" w:hAnsi="Times New Roman" w:eastAsia="Times New Roman"/>
          <w:u w:color="000000"/>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jc w:val="center"/>
        <w:rPr>
          <w:rFonts w:ascii="Times New Roman" w:cs="Times New Roman" w:hAnsi="Times New Roman" w:eastAsia="Times New Roman"/>
          <w:u w:color="000000"/>
        </w:rPr>
      </w:pPr>
    </w:p>
    <w:tbl>
      <w:tblPr>
        <w:tblW w:w="1000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500"/>
        <w:gridCol w:w="2500"/>
        <w:gridCol w:w="2500"/>
        <w:gridCol w:w="2500"/>
      </w:tblGrid>
      <w:tr>
        <w:tblPrEx>
          <w:shd w:val="clear" w:color="auto" w:fill="cadfff"/>
        </w:tblPrEx>
        <w:trPr>
          <w:trHeight w:val="610" w:hRule="atLeast"/>
        </w:trPr>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center"/>
            </w:pPr>
            <w:r>
              <w:rPr>
                <w:rFonts w:ascii="Times New Roman" w:hAnsi="Times New Roman"/>
                <w:b w:val="1"/>
                <w:bCs w:val="1"/>
                <w:i w:val="0"/>
                <w:iCs w:val="0"/>
                <w:rtl w:val="0"/>
              </w:rPr>
              <w:t>Policy Category</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center"/>
            </w:pPr>
            <w:r>
              <w:rPr>
                <w:rFonts w:ascii="Times New Roman" w:hAnsi="Times New Roman"/>
                <w:b w:val="1"/>
                <w:bCs w:val="1"/>
                <w:i w:val="0"/>
                <w:iCs w:val="0"/>
                <w:rtl w:val="0"/>
              </w:rPr>
              <w:t>Key Findings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center"/>
            </w:pPr>
            <w:r>
              <w:rPr>
                <w:rFonts w:ascii="Times New Roman" w:hAnsi="Times New Roman"/>
                <w:b w:val="1"/>
                <w:bCs w:val="1"/>
                <w:i w:val="0"/>
                <w:iCs w:val="0"/>
                <w:rtl w:val="0"/>
              </w:rPr>
              <w:t>Challenges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center"/>
            </w:pPr>
            <w:r>
              <w:rPr>
                <w:rFonts w:ascii="Times New Roman" w:hAnsi="Times New Roman"/>
                <w:b w:val="1"/>
                <w:bCs w:val="1"/>
                <w:i w:val="0"/>
                <w:iCs w:val="0"/>
                <w:rtl w:val="0"/>
              </w:rPr>
              <w:t>Examples of Successful Policies</w:t>
            </w:r>
          </w:p>
        </w:tc>
      </w:tr>
      <w:tr>
        <w:tblPrEx>
          <w:shd w:val="clear" w:color="auto" w:fill="cadfff"/>
        </w:tblPrEx>
        <w:trPr>
          <w:trHeight w:val="1810" w:hRule="atLeast"/>
        </w:trPr>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9"/>
              </w:numPr>
              <w:suppressAutoHyphens w:val="1"/>
              <w:jc w:val="center"/>
              <w:rPr>
                <w:i w:val="0"/>
                <w:iCs w:val="0"/>
                <w:lang w:val="en-US"/>
              </w:rPr>
            </w:pPr>
            <w:r>
              <w:rPr>
                <w:i w:val="0"/>
                <w:iCs w:val="0"/>
                <w:rtl w:val="0"/>
                <w:lang w:val="en-US"/>
              </w:rPr>
              <w:t>Carbon Pricing</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10"/>
              </w:numPr>
              <w:suppressAutoHyphens w:val="1"/>
              <w:jc w:val="center"/>
              <w:rPr>
                <w:i w:val="0"/>
                <w:iCs w:val="0"/>
                <w:lang w:val="en-US"/>
              </w:rPr>
            </w:pPr>
            <w:r>
              <w:rPr>
                <w:i w:val="0"/>
                <w:iCs w:val="0"/>
                <w:rtl w:val="0"/>
                <w:lang w:val="en-US"/>
              </w:rPr>
              <w:t>Effective in reducing emissions in high-carbon sectors when enforced.</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11"/>
              </w:numPr>
              <w:suppressAutoHyphens w:val="1"/>
              <w:jc w:val="center"/>
              <w:rPr>
                <w:i w:val="0"/>
                <w:iCs w:val="0"/>
                <w:lang w:val="en-US"/>
              </w:rPr>
            </w:pPr>
            <w:r>
              <w:rPr>
                <w:i w:val="0"/>
                <w:iCs w:val="0"/>
                <w:rtl w:val="0"/>
                <w:lang w:val="en-US"/>
              </w:rPr>
              <w:t>Ensuring compliance with carbon taxes and cap-and-trade systems.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12"/>
              </w:numPr>
              <w:suppressAutoHyphens w:val="1"/>
              <w:jc w:val="center"/>
              <w:rPr>
                <w:i w:val="0"/>
                <w:iCs w:val="0"/>
                <w:lang w:val="en-US"/>
              </w:rPr>
            </w:pPr>
            <w:r>
              <w:rPr>
                <w:i w:val="0"/>
                <w:iCs w:val="0"/>
                <w:rtl w:val="0"/>
                <w:lang w:val="en-US"/>
              </w:rPr>
              <w:t>Carbon taxes in Sweden (Sterner, 2012)</w:t>
            </w:r>
          </w:p>
        </w:tc>
      </w:tr>
      <w:tr>
        <w:tblPrEx>
          <w:shd w:val="clear" w:color="auto" w:fill="cadfff"/>
        </w:tblPrEx>
        <w:trPr>
          <w:trHeight w:val="2110" w:hRule="atLeast"/>
        </w:trPr>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numPr>
                <w:ilvl w:val="0"/>
                <w:numId w:val="13"/>
              </w:numPr>
              <w:suppressAutoHyphens w:val="1"/>
              <w:jc w:val="center"/>
              <w:rPr>
                <w:i w:val="0"/>
                <w:iCs w:val="0"/>
                <w:lang w:val="en-US"/>
              </w:rPr>
            </w:pPr>
            <w:r>
              <w:rPr>
                <w:i w:val="0"/>
                <w:iCs w:val="0"/>
                <w:rtl w:val="0"/>
                <w:lang w:val="en-US"/>
              </w:rPr>
              <w:t>Sector-Specific Approaches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numPr>
                <w:ilvl w:val="0"/>
                <w:numId w:val="14"/>
              </w:numPr>
              <w:suppressAutoHyphens w:val="1"/>
              <w:jc w:val="center"/>
              <w:rPr>
                <w:i w:val="0"/>
                <w:iCs w:val="0"/>
                <w:lang w:val="en-US"/>
              </w:rPr>
            </w:pPr>
            <w:r>
              <w:rPr>
                <w:i w:val="0"/>
                <w:iCs w:val="0"/>
                <w:rtl w:val="0"/>
                <w:lang w:val="en-US"/>
              </w:rPr>
              <w:t>Targeted policies can yield significant reductions in specific sectors.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numPr>
                <w:ilvl w:val="0"/>
                <w:numId w:val="15"/>
              </w:numPr>
              <w:suppressAutoHyphens w:val="1"/>
              <w:jc w:val="center"/>
              <w:rPr>
                <w:i w:val="0"/>
                <w:iCs w:val="0"/>
                <w:lang w:val="en-US"/>
              </w:rPr>
            </w:pPr>
            <w:r>
              <w:rPr>
                <w:i w:val="0"/>
                <w:iCs w:val="0"/>
                <w:rtl w:val="0"/>
                <w:lang w:val="en-US"/>
              </w:rPr>
              <w:t>Achieving cross-sector coordination.</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numPr>
                <w:ilvl w:val="0"/>
                <w:numId w:val="16"/>
              </w:numPr>
              <w:suppressAutoHyphens w:val="1"/>
              <w:jc w:val="center"/>
              <w:rPr>
                <w:i w:val="0"/>
                <w:iCs w:val="0"/>
                <w:lang w:val="en-US"/>
              </w:rPr>
            </w:pPr>
            <w:r>
              <w:rPr>
                <w:i w:val="0"/>
                <w:iCs w:val="0"/>
                <w:rtl w:val="0"/>
                <w:lang w:val="en-US"/>
              </w:rPr>
              <w:t>Energy efficiency standards in buildings, electric vehicle incentives (IEA, 2020)</w:t>
            </w:r>
          </w:p>
        </w:tc>
      </w:tr>
      <w:tr>
        <w:tblPrEx>
          <w:shd w:val="clear" w:color="auto" w:fill="cadfff"/>
        </w:tblPrEx>
        <w:trPr>
          <w:trHeight w:val="2110" w:hRule="atLeast"/>
        </w:trPr>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17"/>
              </w:numPr>
              <w:suppressAutoHyphens w:val="1"/>
              <w:jc w:val="center"/>
              <w:rPr>
                <w:i w:val="0"/>
                <w:iCs w:val="0"/>
                <w:lang w:val="en-US"/>
              </w:rPr>
            </w:pPr>
            <w:r>
              <w:rPr>
                <w:i w:val="0"/>
                <w:iCs w:val="0"/>
                <w:rtl w:val="0"/>
                <w:lang w:val="en-US"/>
              </w:rPr>
              <w:t>Technological Innovation</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18"/>
              </w:numPr>
              <w:suppressAutoHyphens w:val="1"/>
              <w:jc w:val="center"/>
              <w:rPr>
                <w:i w:val="0"/>
                <w:iCs w:val="0"/>
                <w:lang w:val="en-US"/>
              </w:rPr>
            </w:pPr>
            <w:r>
              <w:rPr>
                <w:i w:val="0"/>
                <w:iCs w:val="0"/>
                <w:rtl w:val="0"/>
                <w:lang w:val="en-US"/>
              </w:rPr>
              <w:t>Public investments in R&amp;D are crucial for long-term decarbonisation.</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19"/>
              </w:numPr>
              <w:suppressAutoHyphens w:val="1"/>
              <w:jc w:val="center"/>
              <w:rPr>
                <w:i w:val="0"/>
                <w:iCs w:val="0"/>
                <w:lang w:val="en-US"/>
              </w:rPr>
            </w:pPr>
            <w:r>
              <w:rPr>
                <w:i w:val="0"/>
                <w:iCs w:val="0"/>
                <w:rtl w:val="0"/>
                <w:lang w:val="en-US"/>
              </w:rPr>
              <w:t>High upfront costs, technology transfer challenges.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20"/>
              </w:numPr>
              <w:suppressAutoHyphens w:val="1"/>
              <w:jc w:val="center"/>
              <w:rPr>
                <w:i w:val="0"/>
                <w:iCs w:val="0"/>
                <w:lang w:val="en-US"/>
              </w:rPr>
            </w:pPr>
            <w:r>
              <w:rPr>
                <w:i w:val="0"/>
                <w:iCs w:val="0"/>
                <w:rtl w:val="0"/>
                <w:lang w:val="en-US"/>
              </w:rPr>
              <w:t>Tax credits and subsidies for clean technology (IEA, 2019)</w:t>
            </w:r>
          </w:p>
        </w:tc>
      </w:tr>
      <w:tr>
        <w:tblPrEx>
          <w:shd w:val="clear" w:color="auto" w:fill="cadfff"/>
        </w:tblPrEx>
        <w:trPr>
          <w:trHeight w:val="2410" w:hRule="atLeast"/>
        </w:trPr>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numPr>
                <w:ilvl w:val="0"/>
                <w:numId w:val="21"/>
              </w:numPr>
              <w:suppressAutoHyphens w:val="1"/>
              <w:jc w:val="center"/>
              <w:rPr>
                <w:i w:val="0"/>
                <w:iCs w:val="0"/>
                <w:lang w:val="en-US"/>
              </w:rPr>
            </w:pPr>
            <w:r>
              <w:rPr>
                <w:i w:val="0"/>
                <w:iCs w:val="0"/>
                <w:rtl w:val="0"/>
                <w:lang w:val="en-US"/>
              </w:rPr>
              <w:t>Equity Considerations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numPr>
                <w:ilvl w:val="0"/>
                <w:numId w:val="22"/>
              </w:numPr>
              <w:suppressAutoHyphens w:val="1"/>
              <w:jc w:val="center"/>
              <w:rPr>
                <w:i w:val="0"/>
                <w:iCs w:val="0"/>
                <w:lang w:val="pt-PT"/>
              </w:rPr>
            </w:pPr>
            <w:r>
              <w:rPr>
                <w:i w:val="0"/>
                <w:iCs w:val="0"/>
                <w:rtl w:val="0"/>
                <w:lang w:val="pt-PT"/>
              </w:rPr>
              <w:t xml:space="preserve">A </w:t>
            </w:r>
            <w:r>
              <w:rPr>
                <w:i w:val="0"/>
                <w:iCs w:val="0"/>
                <w:rtl w:val="1"/>
              </w:rPr>
              <w:t>‘</w:t>
            </w:r>
            <w:r>
              <w:rPr>
                <w:i w:val="0"/>
                <w:iCs w:val="0"/>
                <w:rtl w:val="0"/>
                <w:lang w:val="en-US"/>
              </w:rPr>
              <w:t>just transition</w:t>
            </w:r>
            <w:r>
              <w:rPr>
                <w:i w:val="0"/>
                <w:iCs w:val="0"/>
                <w:rtl w:val="1"/>
              </w:rPr>
              <w:t xml:space="preserve">’ </w:t>
            </w:r>
            <w:r>
              <w:rPr>
                <w:i w:val="0"/>
                <w:iCs w:val="0"/>
                <w:rtl w:val="0"/>
                <w:lang w:val="en-US"/>
              </w:rPr>
              <w:t>is essential to avoid disproportionate impacts.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numPr>
                <w:ilvl w:val="0"/>
                <w:numId w:val="23"/>
              </w:numPr>
              <w:suppressAutoHyphens w:val="1"/>
              <w:jc w:val="center"/>
              <w:rPr>
                <w:i w:val="0"/>
                <w:iCs w:val="0"/>
                <w:lang w:val="en-US"/>
              </w:rPr>
            </w:pPr>
            <w:r>
              <w:rPr>
                <w:i w:val="0"/>
                <w:iCs w:val="0"/>
                <w:rtl w:val="0"/>
                <w:lang w:val="en-US"/>
              </w:rPr>
              <w:t>Balancing environmental goals with social and economic equity.</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fff"/>
            <w:tcMar>
              <w:top w:type="dxa" w:w="20"/>
              <w:left w:type="dxa" w:w="100"/>
              <w:bottom w:type="dxa" w:w="20"/>
              <w:right w:type="dxa" w:w="100"/>
            </w:tcMar>
            <w:vAlign w:val="center"/>
          </w:tcPr>
          <w:p>
            <w:pPr>
              <w:pStyle w:val="Body"/>
              <w:numPr>
                <w:ilvl w:val="0"/>
                <w:numId w:val="24"/>
              </w:numPr>
              <w:suppressAutoHyphens w:val="1"/>
              <w:jc w:val="center"/>
              <w:rPr>
                <w:i w:val="0"/>
                <w:iCs w:val="0"/>
                <w:lang w:val="en-US"/>
              </w:rPr>
            </w:pPr>
            <w:r>
              <w:rPr>
                <w:i w:val="0"/>
                <w:iCs w:val="0"/>
                <w:rtl w:val="0"/>
                <w:lang w:val="en-US"/>
              </w:rPr>
              <w:t>Social safety nets, retraining programs for displaced workers (Newell &amp; Mulvaney, 2013)</w:t>
            </w:r>
          </w:p>
        </w:tc>
      </w:tr>
      <w:tr>
        <w:tblPrEx>
          <w:shd w:val="clear" w:color="auto" w:fill="cadfff"/>
        </w:tblPrEx>
        <w:trPr>
          <w:trHeight w:val="2110" w:hRule="atLeast"/>
        </w:trPr>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25"/>
              </w:numPr>
              <w:suppressAutoHyphens w:val="1"/>
              <w:jc w:val="center"/>
              <w:rPr>
                <w:i w:val="0"/>
                <w:iCs w:val="0"/>
                <w:lang w:val="en-US"/>
              </w:rPr>
            </w:pPr>
            <w:r>
              <w:rPr>
                <w:i w:val="0"/>
                <w:iCs w:val="0"/>
                <w:rtl w:val="0"/>
                <w:lang w:val="en-US"/>
              </w:rPr>
              <w:t>International Cooperation</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26"/>
              </w:numPr>
              <w:suppressAutoHyphens w:val="1"/>
              <w:jc w:val="center"/>
              <w:rPr>
                <w:i w:val="0"/>
                <w:iCs w:val="0"/>
                <w:lang w:val="en-US"/>
              </w:rPr>
            </w:pPr>
            <w:r>
              <w:rPr>
                <w:i w:val="0"/>
                <w:iCs w:val="0"/>
                <w:rtl w:val="0"/>
                <w:lang w:val="en-US"/>
              </w:rPr>
              <w:t>International frameworks are key to achieving global climate goals.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27"/>
              </w:numPr>
              <w:suppressAutoHyphens w:val="1"/>
              <w:jc w:val="center"/>
              <w:rPr>
                <w:i w:val="0"/>
                <w:iCs w:val="0"/>
                <w:lang w:val="en-US"/>
              </w:rPr>
            </w:pPr>
            <w:r>
              <w:rPr>
                <w:i w:val="0"/>
                <w:iCs w:val="0"/>
                <w:rtl w:val="0"/>
                <w:lang w:val="en-US"/>
              </w:rPr>
              <w:t>Securing commitments from all countries, financing mechanisms.</w:t>
            </w:r>
          </w:p>
        </w:tc>
        <w:tc>
          <w:tcPr>
            <w:tcW w:type="dxa" w:w="2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fff"/>
            <w:tcMar>
              <w:top w:type="dxa" w:w="20"/>
              <w:left w:type="dxa" w:w="100"/>
              <w:bottom w:type="dxa" w:w="20"/>
              <w:right w:type="dxa" w:w="100"/>
            </w:tcMar>
            <w:vAlign w:val="center"/>
          </w:tcPr>
          <w:p>
            <w:pPr>
              <w:pStyle w:val="Body"/>
              <w:numPr>
                <w:ilvl w:val="0"/>
                <w:numId w:val="28"/>
              </w:numPr>
              <w:suppressAutoHyphens w:val="1"/>
              <w:jc w:val="center"/>
              <w:rPr>
                <w:i w:val="0"/>
                <w:iCs w:val="0"/>
                <w:lang w:val="en-US"/>
              </w:rPr>
            </w:pPr>
            <w:r>
              <w:rPr>
                <w:i w:val="0"/>
                <w:iCs w:val="0"/>
                <w:rtl w:val="0"/>
                <w:lang w:val="en-US"/>
              </w:rPr>
              <w:t>Paris Agreement, technology transfer initiatives (UNFCCC, 2015)</w:t>
            </w:r>
          </w:p>
        </w:tc>
      </w:tr>
    </w:tbl>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jc w:val="center"/>
        <w:rPr>
          <w:rFonts w:ascii="Times New Roman" w:cs="Times New Roman" w:hAnsi="Times New Roman" w:eastAsia="Times New Roman"/>
          <w:u w:color="000000"/>
        </w:rPr>
      </w:pPr>
    </w:p>
    <w:p>
      <w:pPr>
        <w:pStyle w:val="Free Form.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jc w:val="center"/>
        <w:rPr>
          <w:rFonts w:ascii="Times New Roman" w:cs="Times New Roman" w:hAnsi="Times New Roman" w:eastAsia="Times New Roman"/>
          <w:u w:color="000000"/>
        </w:rPr>
      </w:pPr>
      <w:r>
        <w:rPr>
          <w:rFonts w:ascii="Times New Roman" w:hAnsi="Times New Roman"/>
          <w:u w:color="000000"/>
          <w:rtl w:val="0"/>
          <w:lang w:val="en-US"/>
        </w:rPr>
        <w:t>Table 1 Findings</w:t>
      </w:r>
    </w:p>
    <w:p>
      <w:pPr>
        <w:pStyle w:val="Body"/>
        <w:rPr>
          <w:b w:val="1"/>
          <w:bCs w:val="1"/>
          <w:i w:val="0"/>
          <w:iCs w:val="0"/>
        </w:rPr>
      </w:pPr>
    </w:p>
    <w:p>
      <w:pPr>
        <w:pStyle w:val="Body"/>
        <w:rPr>
          <w:b w:val="1"/>
          <w:bCs w:val="1"/>
          <w:i w:val="0"/>
          <w:iCs w:val="0"/>
        </w:rPr>
      </w:pPr>
    </w:p>
    <w:p>
      <w:pPr>
        <w:pStyle w:val="Body"/>
        <w:rPr>
          <w:b w:val="1"/>
          <w:bCs w:val="1"/>
          <w:i w:val="0"/>
          <w:iCs w:val="0"/>
        </w:rPr>
      </w:pPr>
      <w:r>
        <w:rPr>
          <w:b w:val="1"/>
          <w:bCs w:val="1"/>
          <w:i w:val="0"/>
          <w:iCs w:val="0"/>
          <w:rtl w:val="0"/>
          <w:lang w:val="en-US"/>
        </w:rPr>
        <w:t>CONCLUSION</w:t>
      </w:r>
    </w:p>
    <w:p>
      <w:pPr>
        <w:pStyle w:val="Body"/>
        <w:rPr>
          <w:i w:val="0"/>
          <w:iCs w:val="0"/>
        </w:rPr>
      </w:pPr>
      <w:r>
        <w:rPr>
          <w:i w:val="0"/>
          <w:iCs w:val="0"/>
          <w:rtl w:val="0"/>
          <w:lang w:val="en-US"/>
        </w:rPr>
        <w:t>Effective carbon mitigation policies must adapt to regional contexts. Carbon pricing, such as taxes or cap-and-trade, reduces emissions in high-income economies but requires strict enforcement and equity safeguards, like Sweden</w:t>
      </w:r>
      <w:r>
        <w:rPr>
          <w:i w:val="0"/>
          <w:iCs w:val="0"/>
          <w:rtl w:val="0"/>
          <w:lang w:val="en-US"/>
        </w:rPr>
        <w:t>’</w:t>
      </w:r>
      <w:r>
        <w:rPr>
          <w:i w:val="0"/>
          <w:iCs w:val="0"/>
          <w:rtl w:val="0"/>
          <w:lang w:val="en-US"/>
        </w:rPr>
        <w:t>s revenue recycling, to avoid public backlash. Sector-specific policies, like Norway</w:t>
      </w:r>
      <w:r>
        <w:rPr>
          <w:i w:val="0"/>
          <w:iCs w:val="0"/>
          <w:rtl w:val="0"/>
          <w:lang w:val="en-US"/>
        </w:rPr>
        <w:t>’</w:t>
      </w:r>
      <w:r>
        <w:rPr>
          <w:i w:val="0"/>
          <w:iCs w:val="0"/>
          <w:rtl w:val="0"/>
          <w:lang w:val="en-US"/>
        </w:rPr>
        <w:t>s EV incentives, deliver rapid results but demand cross-sector coordination. Innovation in renewables and CCS is vital, yet reliance on unproven technologies risks delaying fossil fuel phase-outs. Equity-centred transitions, such as Germany</w:t>
      </w:r>
      <w:r>
        <w:rPr>
          <w:i w:val="0"/>
          <w:iCs w:val="0"/>
          <w:rtl w:val="0"/>
          <w:lang w:val="en-US"/>
        </w:rPr>
        <w:t>’</w:t>
      </w:r>
      <w:r>
        <w:rPr>
          <w:i w:val="0"/>
          <w:iCs w:val="0"/>
          <w:rtl w:val="0"/>
          <w:lang w:val="en-US"/>
        </w:rPr>
        <w:t>s coal worker retraining, ensure marginalised groups aren</w:t>
      </w:r>
      <w:r>
        <w:rPr>
          <w:i w:val="0"/>
          <w:iCs w:val="0"/>
          <w:rtl w:val="0"/>
          <w:lang w:val="en-US"/>
        </w:rPr>
        <w:t>’</w:t>
      </w:r>
      <w:r>
        <w:rPr>
          <w:i w:val="0"/>
          <w:iCs w:val="0"/>
          <w:rtl w:val="0"/>
          <w:lang w:val="en-US"/>
        </w:rPr>
        <w:t>t left behind. Globally, unmet climate finance pledges and geopolitical tensions hinder progress. Success hinges on hybrid frameworks blending to</w:t>
      </w:r>
      <w:r>
        <w:rPr>
          <w:i w:val="0"/>
          <w:iCs w:val="0"/>
          <w:rtl w:val="0"/>
          <w:lang w:val="en-US"/>
        </w:rPr>
        <w:t xml:space="preserve"> reformat this document according to Oscula 6th </w:t>
      </w:r>
      <w:r>
        <w:rPr>
          <w:i w:val="0"/>
          <w:iCs w:val="0"/>
          <w:rtl w:val="0"/>
          <w:lang w:val="en-US"/>
        </w:rPr>
        <w:t>Edition.</w:t>
      </w:r>
      <w:r>
        <w:rPr>
          <w:i w:val="0"/>
          <w:iCs w:val="0"/>
          <w:rtl w:val="0"/>
          <w:lang w:val="en-US"/>
        </w:rPr>
        <w:t xml:space="preserve"> I will structure it as follows:</w:t>
      </w:r>
    </w:p>
    <w:p>
      <w:pPr>
        <w:pStyle w:val="Body"/>
        <w:rPr>
          <w:i w:val="0"/>
          <w:iCs w:val="0"/>
        </w:rPr>
      </w:pPr>
    </w:p>
    <w:p>
      <w:pPr>
        <w:pStyle w:val="Body"/>
        <w:rPr>
          <w:i w:val="0"/>
          <w:iCs w:val="0"/>
        </w:rPr>
      </w:pPr>
    </w:p>
    <w:p>
      <w:pPr>
        <w:pStyle w:val="Body"/>
        <w:rPr>
          <w:b w:val="1"/>
          <w:bCs w:val="1"/>
          <w:i w:val="0"/>
          <w:iCs w:val="0"/>
        </w:rPr>
      </w:pPr>
      <w:r>
        <w:rPr>
          <w:b w:val="1"/>
          <w:bCs w:val="1"/>
          <w:i w:val="0"/>
          <w:iCs w:val="0"/>
          <w:rtl w:val="0"/>
          <w:lang w:val="de-DE"/>
        </w:rPr>
        <w:t>REFERENCES</w:t>
      </w:r>
    </w:p>
    <w:p>
      <w:pPr>
        <w:pStyle w:val="Body"/>
        <w:rPr>
          <w:i w:val="0"/>
          <w:iCs w:val="0"/>
        </w:rPr>
      </w:pPr>
      <w:r>
        <w:rPr>
          <w:i w:val="0"/>
          <w:iCs w:val="0"/>
          <w:rtl w:val="0"/>
          <w:lang w:val="en-US"/>
        </w:rPr>
        <w:t xml:space="preserve">International Energy Agency. (2019). </w:t>
      </w:r>
      <w:r>
        <w:rPr>
          <w:rtl w:val="0"/>
        </w:rPr>
        <w:t>Energy technology perspectives 2019: Moving toward sustainable energy systems</w:t>
      </w:r>
      <w:r>
        <w:rPr>
          <w:i w:val="0"/>
          <w:iCs w:val="0"/>
          <w:rtl w:val="0"/>
        </w:rPr>
        <w:t>. IEA.</w:t>
      </w:r>
    </w:p>
    <w:p>
      <w:pPr>
        <w:pStyle w:val="Body"/>
      </w:pPr>
      <w:r>
        <w:rPr>
          <w:rtl w:val="0"/>
        </w:rPr>
        <w:t>International Energy Agency. (2020). World energy outlook 2020. IEA.</w:t>
      </w:r>
    </w:p>
    <w:p>
      <w:pPr>
        <w:pStyle w:val="Body"/>
      </w:pPr>
      <w:r>
        <w:rPr>
          <w:rtl w:val="0"/>
        </w:rPr>
        <w:t>Newell, P., &amp; Mulvaney, D. (2013). The political economy of the 'just transition'. The Geographical Journal, 179(2), 132</w:t>
      </w:r>
      <w:r>
        <w:rPr>
          <w:rtl w:val="0"/>
        </w:rPr>
        <w:t>–</w:t>
      </w:r>
      <w:r>
        <w:rPr>
          <w:rtl w:val="0"/>
        </w:rPr>
        <w:t xml:space="preserve">140. </w:t>
      </w:r>
      <w:r>
        <w:rPr>
          <w:rStyle w:val="Hyperlink.0"/>
        </w:rPr>
        <w:fldChar w:fldCharType="begin" w:fldLock="0"/>
      </w:r>
      <w:r>
        <w:rPr>
          <w:rStyle w:val="Hyperlink.0"/>
        </w:rPr>
        <w:instrText xml:space="preserve"> HYPERLINK "https://doi.org/10.1111/geoj.12008"</w:instrText>
      </w:r>
      <w:r>
        <w:rPr>
          <w:rStyle w:val="Hyperlink.0"/>
        </w:rPr>
        <w:fldChar w:fldCharType="separate" w:fldLock="0"/>
      </w:r>
      <w:r>
        <w:rPr>
          <w:rStyle w:val="Hyperlink.0"/>
          <w:rtl w:val="0"/>
        </w:rPr>
        <w:t>https://doi.org/10.1111/geoj.12008</w:t>
      </w:r>
      <w:r>
        <w:rPr/>
        <w:fldChar w:fldCharType="end" w:fldLock="0"/>
      </w:r>
    </w:p>
    <w:p>
      <w:pPr>
        <w:pStyle w:val="Body"/>
      </w:pPr>
      <w:r>
        <w:rPr>
          <w:rtl w:val="0"/>
        </w:rPr>
        <w:t>Sterner, T. (2012). Environmental taxation: An introduction to the special issue. Environmental Economics and Policy Studies, 14(4), 267</w:t>
      </w:r>
      <w:r>
        <w:rPr>
          <w:rtl w:val="0"/>
        </w:rPr>
        <w:t>–</w:t>
      </w:r>
      <w:r>
        <w:rPr>
          <w:rtl w:val="0"/>
        </w:rPr>
        <w:t xml:space="preserve">276. </w:t>
      </w:r>
      <w:r>
        <w:rPr>
          <w:rStyle w:val="Hyperlink.0"/>
        </w:rPr>
        <w:fldChar w:fldCharType="begin" w:fldLock="0"/>
      </w:r>
      <w:r>
        <w:rPr>
          <w:rStyle w:val="Hyperlink.0"/>
        </w:rPr>
        <w:instrText xml:space="preserve"> HYPERLINK "https://doi.org/10.1007/s10018-012-0025-5"</w:instrText>
      </w:r>
      <w:r>
        <w:rPr>
          <w:rStyle w:val="Hyperlink.0"/>
        </w:rPr>
        <w:fldChar w:fldCharType="separate" w:fldLock="0"/>
      </w:r>
      <w:r>
        <w:rPr>
          <w:rStyle w:val="Hyperlink.0"/>
          <w:rtl w:val="0"/>
        </w:rPr>
        <w:t>https://doi.org/10.1007/s10018-012-0025-5</w:t>
      </w:r>
      <w:r>
        <w:rPr/>
        <w:fldChar w:fldCharType="end" w:fldLock="0"/>
      </w:r>
    </w:p>
    <w:p>
      <w:pPr>
        <w:pStyle w:val="Body"/>
      </w:pPr>
      <w:r>
        <w:rPr>
          <w:rtl w:val="0"/>
        </w:rPr>
        <w:t xml:space="preserve">United Nations Framework Convention on Climate Change. (2015). Paris Agreement. </w:t>
      </w:r>
      <w:r>
        <w:rPr>
          <w:rStyle w:val="Hyperlink.0"/>
        </w:rPr>
        <w:fldChar w:fldCharType="begin" w:fldLock="0"/>
      </w:r>
      <w:r>
        <w:rPr>
          <w:rStyle w:val="Hyperlink.0"/>
        </w:rPr>
        <w:instrText xml:space="preserve"> HYPERLINK "https://unfccc.int/sites/default/files/english_paris_agreement.pdf"</w:instrText>
      </w:r>
      <w:r>
        <w:rPr>
          <w:rStyle w:val="Hyperlink.0"/>
        </w:rPr>
        <w:fldChar w:fldCharType="separate" w:fldLock="0"/>
      </w:r>
      <w:r>
        <w:rPr>
          <w:rStyle w:val="Hyperlink.0"/>
          <w:rtl w:val="0"/>
        </w:rPr>
        <w:t>https://unfccc.int/sites/default/files/english_paris_agreement.pdf</w:t>
      </w:r>
      <w:r>
        <w:rPr/>
        <w:fldChar w:fldCharType="end" w:fldLock="0"/>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lvl w:ilvl="1">
      <w:start w:val="1"/>
      <w:numFmt w:val="decimal"/>
      <w:suff w:val="tab"/>
      <w:lvlText w:val="%2."/>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lvl w:ilvl="2">
      <w:start w:val="1"/>
      <w:numFmt w:val="decimal"/>
      <w:suff w:val="tab"/>
      <w:lvlText w:val="%3."/>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lvl w:ilvl="3">
      <w:start w:val="1"/>
      <w:numFmt w:val="decimal"/>
      <w:suff w:val="tab"/>
      <w:lvlText w:val="%4."/>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lvl w:ilvl="4">
      <w:start w:val="1"/>
      <w:numFmt w:val="decimal"/>
      <w:suff w:val="tab"/>
      <w:lvlText w:val="%5."/>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lvl w:ilvl="5">
      <w:start w:val="1"/>
      <w:numFmt w:val="decimal"/>
      <w:suff w:val="tab"/>
      <w:lvlText w:val="%6."/>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lvl w:ilvl="6">
      <w:start w:val="1"/>
      <w:numFmt w:val="decimal"/>
      <w:suff w:val="tab"/>
      <w:lvlText w:val="%7."/>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lvl w:ilvl="7">
      <w:start w:val="1"/>
      <w:numFmt w:val="decimal"/>
      <w:suff w:val="tab"/>
      <w:lvlText w:val="%8."/>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lvl w:ilvl="8">
      <w:start w:val="1"/>
      <w:numFmt w:val="decimal"/>
      <w:suff w:val="tab"/>
      <w:lvlText w:val="%9."/>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color w:val="3f3f3f"/>
        <w:spacing w:val="0"/>
        <w:w w:val="100"/>
        <w:kern w:val="0"/>
        <w:position w:val="0"/>
        <w:highlight w:val="none"/>
        <w:vertAlign w:val="baseline"/>
      </w:rPr>
    </w:lvl>
  </w:abstractNum>
  <w:abstractNum w:abstractNumId="2">
    <w:multiLevelType w:val="hybridMultilevel"/>
    <w:numStyleLink w:val="Numbered.0"/>
  </w:abstractNum>
  <w:abstractNum w:abstractNumId="3">
    <w:multiLevelType w:val="hybridMultilevel"/>
    <w:styleLink w:val="Numbered.0"/>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
  </w:abstractNum>
  <w:abstractNum w:abstractNumId="5">
    <w:multiLevelType w:val="hybridMultilevel"/>
    <w:styleLink w:val="Bullet"/>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s>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s>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720" w:hanging="500"/>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lvlOverride w:ilvl="1">
      <w:lvl w:ilvl="1">
        <w:start w:val="1"/>
        <w:numFmt w:val="decimal"/>
        <w:suff w:val="tab"/>
        <w:lvlText w:val="%2."/>
        <w:lvlJc w:val="left"/>
        <w:pPr>
          <w:ind w:left="81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lvlOverride w:ilvl="2">
      <w:lvl w:ilvl="2">
        <w:start w:val="1"/>
        <w:numFmt w:val="decimal"/>
        <w:suff w:val="tab"/>
        <w:lvlText w:val="%3."/>
        <w:lvlJc w:val="left"/>
        <w:pPr>
          <w:ind w:left="103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lvlOverride w:ilvl="3">
      <w:lvl w:ilvl="3">
        <w:start w:val="1"/>
        <w:numFmt w:val="decimal"/>
        <w:suff w:val="tab"/>
        <w:lvlText w:val="%4."/>
        <w:lvlJc w:val="left"/>
        <w:pPr>
          <w:ind w:left="125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lvlOverride w:ilvl="4">
      <w:lvl w:ilvl="4">
        <w:start w:val="1"/>
        <w:numFmt w:val="decimal"/>
        <w:suff w:val="tab"/>
        <w:lvlText w:val="%5."/>
        <w:lvlJc w:val="left"/>
        <w:pPr>
          <w:ind w:left="147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lvlOverride w:ilvl="5">
      <w:lvl w:ilvl="5">
        <w:start w:val="1"/>
        <w:numFmt w:val="decimal"/>
        <w:suff w:val="tab"/>
        <w:lvlText w:val="%6."/>
        <w:lvlJc w:val="left"/>
        <w:pPr>
          <w:ind w:left="169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lvlOverride w:ilvl="6">
      <w:lvl w:ilvl="6">
        <w:start w:val="1"/>
        <w:numFmt w:val="decimal"/>
        <w:suff w:val="tab"/>
        <w:lvlText w:val="%7."/>
        <w:lvlJc w:val="left"/>
        <w:pPr>
          <w:ind w:left="191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lvlOverride w:ilvl="7">
      <w:lvl w:ilvl="7">
        <w:start w:val="1"/>
        <w:numFmt w:val="decimal"/>
        <w:suff w:val="tab"/>
        <w:lvlText w:val="%8."/>
        <w:lvlJc w:val="left"/>
        <w:pPr>
          <w:ind w:left="213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lvlOverride w:ilvl="8">
      <w:lvl w:ilvl="8">
        <w:start w:val="1"/>
        <w:numFmt w:val="decimal"/>
        <w:suff w:val="tab"/>
        <w:lvlText w:val="%9."/>
        <w:lvlJc w:val="left"/>
        <w:pPr>
          <w:ind w:left="235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Override>
  </w:num>
  <w:num w:numId="4">
    <w:abstractNumId w:val="3"/>
  </w:num>
  <w:num w:numId="5">
    <w:abstractNumId w:val="2"/>
  </w:num>
  <w:num w:numId="6">
    <w:abstractNumId w:val="0"/>
    <w:lvlOverride w:ilvl="0">
      <w:startOverride w:val="1"/>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5"/>
  </w:num>
  <w:num w:numId="8">
    <w:abstractNumId w:val="4"/>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solidFill>
          <w14:srgbClr w14:val="000000"/>
        </w14:solidFill>
        <w14:prstDash w14:val="solid"/>
        <w14:miter w14:lim="400000"/>
      </w14:textOutline>
      <w14:textFill>
        <w14:solidFill>
          <w14:srgbClr w14:val="000000"/>
        </w14:solidFill>
      </w14:textFill>
    </w:rPr>
  </w:style>
  <w:style w:type="numbering" w:styleId="Numbered.0">
    <w:name w:val="Numbered.0"/>
    <w:pPr>
      <w:numPr>
        <w:numId w:val="4"/>
      </w:numPr>
    </w:pPr>
  </w:style>
  <w:style w:type="numbering" w:styleId="Bullet">
    <w:name w:val="Bullet"/>
    <w:pPr>
      <w:numPr>
        <w:numId w:val="7"/>
      </w:numPr>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ree Form.0">
    <w:name w:val="Free Form"/>
    <w:next w:val="Free Form.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