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header1.xml" ContentType="application/vnd.openxmlformats-officedocument.wordprocessingml.head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line="183" w:lineRule="exact"/>
        <w:ind w:left="9475"/>
        <w:jc w:val="left"/>
        <w:rPr>
          <w:rFonts w:ascii="Times New Roman"/>
          <w:position w:val="-3"/>
          <w:sz w:val="18"/>
        </w:rPr>
      </w:pPr>
      <w:r>
        <w:rPr>
          <w:rFonts w:ascii="Times New Roman"/>
          <w:position w:val="-3"/>
          <w:sz w:val="18"/>
        </w:rPr>
        <w:drawing>
          <wp:inline distT="0" distB="0" distL="0" distR="0">
            <wp:extent cx="918316" cy="116585"/>
            <wp:effectExtent l="0" t="0" r="0" b="0"/>
            <wp:docPr id="1" name="Image 1">
              <a:hlinkClick r:id="rId5"/>
            </wp:docPr>
            <wp:cNvGraphicFramePr>
              <a:graphicFrameLocks/>
            </wp:cNvGraphicFramePr>
            <a:graphic>
              <a:graphicData uri="http://schemas.openxmlformats.org/drawingml/2006/picture">
                <pic:pic>
                  <pic:nvPicPr>
                    <pic:cNvPr id="1" name="Image 1">
                      <a:hlinkClick r:id="rId5"/>
                    </pic:cNvPr>
                    <pic:cNvPicPr/>
                  </pic:nvPicPr>
                  <pic:blipFill>
                    <a:blip r:embed="rId6" cstate="print"/>
                    <a:stretch>
                      <a:fillRect/>
                    </a:stretch>
                  </pic:blipFill>
                  <pic:spPr>
                    <a:xfrm>
                      <a:off x="0" y="0"/>
                      <a:ext cx="918316" cy="116585"/>
                    </a:xfrm>
                    <a:prstGeom prst="rect">
                      <a:avLst/>
                    </a:prstGeom>
                  </pic:spPr>
                </pic:pic>
              </a:graphicData>
            </a:graphic>
          </wp:inline>
        </w:drawing>
      </w:r>
      <w:r>
        <w:rPr>
          <w:rFonts w:ascii="Times New Roman"/>
          <w:position w:val="-3"/>
          <w:sz w:val="18"/>
        </w:rPr>
      </w:r>
    </w:p>
    <w:p>
      <w:pPr>
        <w:pStyle w:val="BodyText"/>
        <w:ind w:left="0"/>
        <w:jc w:val="left"/>
        <w:rPr>
          <w:rFonts w:ascii="Times New Roman"/>
          <w:sz w:val="12"/>
        </w:rPr>
      </w:pPr>
    </w:p>
    <w:p>
      <w:pPr>
        <w:pStyle w:val="BodyText"/>
        <w:ind w:left="0"/>
        <w:jc w:val="left"/>
        <w:rPr>
          <w:rFonts w:ascii="Times New Roman"/>
          <w:sz w:val="12"/>
        </w:rPr>
      </w:pPr>
    </w:p>
    <w:p>
      <w:pPr>
        <w:pStyle w:val="BodyText"/>
        <w:ind w:left="0"/>
        <w:jc w:val="left"/>
        <w:rPr>
          <w:rFonts w:ascii="Times New Roman"/>
          <w:sz w:val="12"/>
        </w:rPr>
      </w:pPr>
    </w:p>
    <w:p>
      <w:pPr>
        <w:pStyle w:val="BodyText"/>
        <w:spacing w:before="39"/>
        <w:ind w:left="0"/>
        <w:jc w:val="left"/>
        <w:rPr>
          <w:rFonts w:ascii="Times New Roman"/>
          <w:sz w:val="12"/>
        </w:rPr>
      </w:pPr>
    </w:p>
    <w:p>
      <w:pPr>
        <w:spacing w:before="1"/>
        <w:ind w:left="77" w:right="0" w:firstLine="0"/>
        <w:jc w:val="left"/>
        <w:rPr>
          <w:rFonts w:ascii="Tahoma"/>
          <w:sz w:val="12"/>
        </w:rPr>
      </w:pPr>
      <w:r>
        <w:rPr>
          <w:rFonts w:ascii="Tahoma"/>
          <w:spacing w:val="-2"/>
          <w:sz w:val="12"/>
        </w:rPr>
        <w:t>See</w:t>
      </w:r>
      <w:r>
        <w:rPr>
          <w:rFonts w:ascii="Tahoma"/>
          <w:spacing w:val="-14"/>
          <w:sz w:val="12"/>
        </w:rPr>
        <w:t> </w:t>
      </w:r>
      <w:r>
        <w:rPr>
          <w:rFonts w:ascii="Tahoma"/>
          <w:spacing w:val="-2"/>
          <w:sz w:val="12"/>
        </w:rPr>
        <w:t>discussions,</w:t>
      </w:r>
      <w:r>
        <w:rPr>
          <w:rFonts w:ascii="Tahoma"/>
          <w:spacing w:val="-13"/>
          <w:sz w:val="12"/>
        </w:rPr>
        <w:t> </w:t>
      </w:r>
      <w:r>
        <w:rPr>
          <w:rFonts w:ascii="Tahoma"/>
          <w:spacing w:val="-2"/>
          <w:sz w:val="12"/>
        </w:rPr>
        <w:t>stats,</w:t>
      </w:r>
      <w:r>
        <w:rPr>
          <w:rFonts w:ascii="Tahoma"/>
          <w:spacing w:val="-14"/>
          <w:sz w:val="12"/>
        </w:rPr>
        <w:t> </w:t>
      </w:r>
      <w:r>
        <w:rPr>
          <w:rFonts w:ascii="Tahoma"/>
          <w:spacing w:val="-2"/>
          <w:sz w:val="12"/>
        </w:rPr>
        <w:t>and</w:t>
      </w:r>
      <w:r>
        <w:rPr>
          <w:rFonts w:ascii="Tahoma"/>
          <w:spacing w:val="-13"/>
          <w:sz w:val="12"/>
        </w:rPr>
        <w:t> </w:t>
      </w:r>
      <w:r>
        <w:rPr>
          <w:rFonts w:ascii="Tahoma"/>
          <w:spacing w:val="-2"/>
          <w:sz w:val="12"/>
        </w:rPr>
        <w:t>author</w:t>
      </w:r>
      <w:r>
        <w:rPr>
          <w:rFonts w:ascii="Tahoma"/>
          <w:spacing w:val="-13"/>
          <w:sz w:val="12"/>
        </w:rPr>
        <w:t> </w:t>
      </w:r>
      <w:r>
        <w:rPr>
          <w:rFonts w:ascii="Tahoma"/>
          <w:spacing w:val="-2"/>
          <w:sz w:val="12"/>
        </w:rPr>
        <w:t>profiles</w:t>
      </w:r>
      <w:r>
        <w:rPr>
          <w:rFonts w:ascii="Tahoma"/>
          <w:spacing w:val="-14"/>
          <w:sz w:val="12"/>
        </w:rPr>
        <w:t> </w:t>
      </w:r>
      <w:r>
        <w:rPr>
          <w:rFonts w:ascii="Tahoma"/>
          <w:spacing w:val="-2"/>
          <w:sz w:val="12"/>
        </w:rPr>
        <w:t>for</w:t>
      </w:r>
      <w:r>
        <w:rPr>
          <w:rFonts w:ascii="Tahoma"/>
          <w:spacing w:val="-13"/>
          <w:sz w:val="12"/>
        </w:rPr>
        <w:t> </w:t>
      </w:r>
      <w:r>
        <w:rPr>
          <w:rFonts w:ascii="Tahoma"/>
          <w:spacing w:val="-2"/>
          <w:sz w:val="12"/>
        </w:rPr>
        <w:t>this</w:t>
      </w:r>
      <w:r>
        <w:rPr>
          <w:rFonts w:ascii="Tahoma"/>
          <w:spacing w:val="-13"/>
          <w:sz w:val="12"/>
        </w:rPr>
        <w:t> </w:t>
      </w:r>
      <w:r>
        <w:rPr>
          <w:rFonts w:ascii="Tahoma"/>
          <w:spacing w:val="-2"/>
          <w:sz w:val="12"/>
        </w:rPr>
        <w:t>publication</w:t>
      </w:r>
      <w:r>
        <w:rPr>
          <w:rFonts w:ascii="Tahoma"/>
          <w:spacing w:val="-14"/>
          <w:sz w:val="12"/>
        </w:rPr>
        <w:t> </w:t>
      </w:r>
      <w:r>
        <w:rPr>
          <w:rFonts w:ascii="Tahoma"/>
          <w:spacing w:val="-2"/>
          <w:sz w:val="12"/>
        </w:rPr>
        <w:t>at:</w:t>
      </w:r>
      <w:r>
        <w:rPr>
          <w:rFonts w:ascii="Tahoma"/>
          <w:spacing w:val="-13"/>
          <w:sz w:val="12"/>
        </w:rPr>
        <w:t> </w:t>
      </w:r>
      <w:hyperlink r:id="rId7">
        <w:r>
          <w:rPr>
            <w:rFonts w:ascii="Tahoma"/>
            <w:color w:val="3773A1"/>
            <w:spacing w:val="-2"/>
            <w:sz w:val="12"/>
          </w:rPr>
          <w:t>https://www.researchgate.net/publication/320182894</w:t>
        </w:r>
      </w:hyperlink>
    </w:p>
    <w:p>
      <w:pPr>
        <w:pStyle w:val="BodyText"/>
        <w:spacing w:before="136"/>
        <w:ind w:left="0"/>
        <w:jc w:val="left"/>
        <w:rPr>
          <w:rFonts w:ascii="Tahoma"/>
          <w:sz w:val="12"/>
        </w:rPr>
      </w:pPr>
    </w:p>
    <w:p>
      <w:pPr>
        <w:pStyle w:val="BodyText"/>
        <w:ind w:left="77"/>
        <w:jc w:val="left"/>
        <w:rPr>
          <w:rFonts w:ascii="Georgia"/>
        </w:rPr>
      </w:pPr>
      <w:hyperlink r:id="rId8">
        <w:r>
          <w:rPr>
            <w:rFonts w:ascii="Georgia"/>
            <w:w w:val="115"/>
          </w:rPr>
          <w:t>System</w:t>
        </w:r>
        <w:r>
          <w:rPr>
            <w:rFonts w:ascii="Georgia"/>
            <w:spacing w:val="-16"/>
            <w:w w:val="115"/>
          </w:rPr>
          <w:t> </w:t>
        </w:r>
        <w:r>
          <w:rPr>
            <w:rFonts w:ascii="Georgia"/>
            <w:w w:val="115"/>
          </w:rPr>
          <w:t>Approach</w:t>
        </w:r>
        <w:r>
          <w:rPr>
            <w:rFonts w:ascii="Georgia"/>
            <w:spacing w:val="-16"/>
            <w:w w:val="115"/>
          </w:rPr>
          <w:t> </w:t>
        </w:r>
        <w:r>
          <w:rPr>
            <w:rFonts w:ascii="Georgia"/>
            <w:w w:val="115"/>
          </w:rPr>
          <w:t>to</w:t>
        </w:r>
        <w:r>
          <w:rPr>
            <w:rFonts w:ascii="Georgia"/>
            <w:spacing w:val="-16"/>
            <w:w w:val="115"/>
          </w:rPr>
          <w:t> </w:t>
        </w:r>
        <w:r>
          <w:rPr>
            <w:rFonts w:ascii="Georgia"/>
            <w:w w:val="115"/>
          </w:rPr>
          <w:t>the</w:t>
        </w:r>
        <w:r>
          <w:rPr>
            <w:rFonts w:ascii="Georgia"/>
            <w:spacing w:val="-15"/>
            <w:w w:val="115"/>
          </w:rPr>
          <w:t> </w:t>
        </w:r>
        <w:r>
          <w:rPr>
            <w:rFonts w:ascii="Georgia"/>
            <w:w w:val="115"/>
          </w:rPr>
          <w:t>European</w:t>
        </w:r>
        <w:r>
          <w:rPr>
            <w:rFonts w:ascii="Georgia"/>
            <w:spacing w:val="-16"/>
            <w:w w:val="115"/>
          </w:rPr>
          <w:t> </w:t>
        </w:r>
        <w:r>
          <w:rPr>
            <w:rFonts w:ascii="Georgia"/>
            <w:w w:val="115"/>
          </w:rPr>
          <w:t>Union</w:t>
        </w:r>
        <w:r>
          <w:rPr>
            <w:rFonts w:ascii="Georgia"/>
            <w:spacing w:val="-16"/>
            <w:w w:val="115"/>
          </w:rPr>
          <w:t> </w:t>
        </w:r>
        <w:r>
          <w:rPr>
            <w:rFonts w:ascii="Georgia"/>
            <w:w w:val="115"/>
          </w:rPr>
          <w:t>Studies</w:t>
        </w:r>
        <w:r>
          <w:rPr>
            <w:rFonts w:ascii="Georgia"/>
            <w:spacing w:val="-15"/>
            <w:w w:val="115"/>
          </w:rPr>
          <w:t> </w:t>
        </w:r>
        <w:r>
          <w:rPr>
            <w:rFonts w:ascii="Georgia"/>
            <w:w w:val="115"/>
          </w:rPr>
          <w:t>Doctoral</w:t>
        </w:r>
        <w:r>
          <w:rPr>
            <w:rFonts w:ascii="Georgia"/>
            <w:spacing w:val="-16"/>
            <w:w w:val="115"/>
          </w:rPr>
          <w:t> </w:t>
        </w:r>
        <w:r>
          <w:rPr>
            <w:rFonts w:ascii="Georgia"/>
            <w:spacing w:val="-2"/>
            <w:w w:val="115"/>
          </w:rPr>
          <w:t>dissertation</w:t>
        </w:r>
      </w:hyperlink>
    </w:p>
    <w:p>
      <w:pPr>
        <w:pStyle w:val="BodyText"/>
        <w:spacing w:before="76"/>
        <w:ind w:left="0"/>
        <w:jc w:val="left"/>
        <w:rPr>
          <w:rFonts w:ascii="Georgia"/>
        </w:rPr>
      </w:pPr>
    </w:p>
    <w:p>
      <w:pPr>
        <w:spacing w:before="0"/>
        <w:ind w:left="77" w:right="0" w:firstLine="0"/>
        <w:jc w:val="left"/>
        <w:rPr>
          <w:rFonts w:ascii="Tahoma" w:hAnsi="Tahoma"/>
          <w:sz w:val="13"/>
        </w:rPr>
      </w:pPr>
      <w:r>
        <w:rPr>
          <w:rFonts w:ascii="Trebuchet MS" w:hAnsi="Trebuchet MS"/>
          <w:b/>
          <w:color w:val="212121"/>
          <w:spacing w:val="-2"/>
          <w:sz w:val="13"/>
        </w:rPr>
        <w:t>Thesis</w:t>
      </w:r>
      <w:r>
        <w:rPr>
          <w:rFonts w:ascii="Trebuchet MS" w:hAnsi="Trebuchet MS"/>
          <w:b/>
          <w:color w:val="212121"/>
          <w:spacing w:val="-13"/>
          <w:sz w:val="13"/>
        </w:rPr>
        <w:t> </w:t>
      </w:r>
      <w:r>
        <w:rPr>
          <w:rFonts w:ascii="Tahoma" w:hAnsi="Tahoma"/>
          <w:color w:val="333333"/>
          <w:spacing w:val="-2"/>
          <w:sz w:val="13"/>
        </w:rPr>
        <w:t>·</w:t>
      </w:r>
      <w:r>
        <w:rPr>
          <w:rFonts w:ascii="Tahoma" w:hAnsi="Tahoma"/>
          <w:color w:val="333333"/>
          <w:spacing w:val="-13"/>
          <w:sz w:val="13"/>
        </w:rPr>
        <w:t> </w:t>
      </w:r>
      <w:r>
        <w:rPr>
          <w:rFonts w:ascii="Tahoma" w:hAnsi="Tahoma"/>
          <w:color w:val="333333"/>
          <w:spacing w:val="-2"/>
          <w:sz w:val="13"/>
        </w:rPr>
        <w:t>January</w:t>
      </w:r>
      <w:r>
        <w:rPr>
          <w:rFonts w:ascii="Tahoma" w:hAnsi="Tahoma"/>
          <w:color w:val="333333"/>
          <w:spacing w:val="-14"/>
          <w:sz w:val="13"/>
        </w:rPr>
        <w:t> </w:t>
      </w:r>
      <w:r>
        <w:rPr>
          <w:rFonts w:ascii="Tahoma" w:hAnsi="Tahoma"/>
          <w:color w:val="333333"/>
          <w:spacing w:val="-4"/>
          <w:sz w:val="13"/>
        </w:rPr>
        <w:t>2016</w:t>
      </w:r>
    </w:p>
    <w:p>
      <w:pPr>
        <w:spacing w:before="81"/>
        <w:ind w:left="77" w:right="0" w:firstLine="0"/>
        <w:jc w:val="left"/>
        <w:rPr>
          <w:rFonts w:ascii="Tahoma"/>
          <w:sz w:val="9"/>
        </w:rPr>
      </w:pPr>
      <w:r>
        <w:rPr>
          <w:rFonts w:ascii="Tahoma"/>
          <w:color w:val="545454"/>
          <w:w w:val="85"/>
          <w:sz w:val="9"/>
        </w:rPr>
        <w:t>DOI:</w:t>
      </w:r>
      <w:r>
        <w:rPr>
          <w:rFonts w:ascii="Tahoma"/>
          <w:color w:val="545454"/>
          <w:spacing w:val="-2"/>
          <w:w w:val="85"/>
          <w:sz w:val="9"/>
        </w:rPr>
        <w:t> </w:t>
      </w:r>
      <w:r>
        <w:rPr>
          <w:rFonts w:ascii="Tahoma"/>
          <w:color w:val="545454"/>
          <w:spacing w:val="-2"/>
          <w:sz w:val="9"/>
        </w:rPr>
        <w:t>10.13140/RG.2.2.34981.60645</w:t>
      </w:r>
    </w:p>
    <w:p>
      <w:pPr>
        <w:pStyle w:val="BodyText"/>
        <w:spacing w:before="178"/>
        <w:ind w:left="0"/>
        <w:jc w:val="left"/>
        <w:rPr>
          <w:rFonts w:ascii="Tahoma"/>
          <w:sz w:val="20"/>
        </w:rPr>
      </w:pPr>
    </w:p>
    <w:p>
      <w:pPr>
        <w:tabs>
          <w:tab w:pos="5393" w:val="left" w:leader="none"/>
        </w:tabs>
        <w:spacing w:line="20" w:lineRule="exact"/>
        <w:ind w:left="77" w:right="0" w:firstLine="0"/>
        <w:rPr>
          <w:rFonts w:ascii="Tahoma"/>
          <w:sz w:val="2"/>
        </w:rPr>
      </w:pPr>
      <w:r>
        <w:rPr>
          <w:rFonts w:ascii="Tahoma"/>
          <w:sz w:val="2"/>
        </w:rPr>
        <mc:AlternateContent>
          <mc:Choice Requires="wps">
            <w:drawing>
              <wp:inline distT="0" distB="0" distL="0" distR="0">
                <wp:extent cx="3038475" cy="8890"/>
                <wp:effectExtent l="0" t="0" r="0" b="0"/>
                <wp:docPr id="2" name="Group 2"/>
                <wp:cNvGraphicFramePr>
                  <a:graphicFrameLocks/>
                </wp:cNvGraphicFramePr>
                <a:graphic>
                  <a:graphicData uri="http://schemas.microsoft.com/office/word/2010/wordprocessingGroup">
                    <wpg:wgp>
                      <wpg:cNvPr id="2" name="Group 2"/>
                      <wpg:cNvGrpSpPr/>
                      <wpg:grpSpPr>
                        <a:xfrm>
                          <a:off x="0" y="0"/>
                          <a:ext cx="3038475" cy="8890"/>
                          <a:chExt cx="3038475" cy="8890"/>
                        </a:xfrm>
                      </wpg:grpSpPr>
                      <wps:wsp>
                        <wps:cNvPr id="3" name="Graphic 3"/>
                        <wps:cNvSpPr/>
                        <wps:spPr>
                          <a:xfrm>
                            <a:off x="0" y="0"/>
                            <a:ext cx="3038475" cy="8890"/>
                          </a:xfrm>
                          <a:custGeom>
                            <a:avLst/>
                            <a:gdLst/>
                            <a:ahLst/>
                            <a:cxnLst/>
                            <a:rect l="l" t="t" r="r" b="b"/>
                            <a:pathLst>
                              <a:path w="3038475" h="8890">
                                <a:moveTo>
                                  <a:pt x="3038071" y="8439"/>
                                </a:moveTo>
                                <a:lnTo>
                                  <a:pt x="0" y="8439"/>
                                </a:lnTo>
                                <a:lnTo>
                                  <a:pt x="0" y="0"/>
                                </a:lnTo>
                                <a:lnTo>
                                  <a:pt x="3038071" y="0"/>
                                </a:lnTo>
                                <a:lnTo>
                                  <a:pt x="3038071" y="8439"/>
                                </a:lnTo>
                                <a:close/>
                              </a:path>
                            </a:pathLst>
                          </a:custGeom>
                          <a:solidFill>
                            <a:srgbClr val="CCCCCC"/>
                          </a:solidFill>
                        </wps:spPr>
                        <wps:bodyPr wrap="square" lIns="0" tIns="0" rIns="0" bIns="0" rtlCol="0">
                          <a:prstTxWarp prst="textNoShape">
                            <a:avLst/>
                          </a:prstTxWarp>
                          <a:noAutofit/>
                        </wps:bodyPr>
                      </wps:wsp>
                    </wpg:wgp>
                  </a:graphicData>
                </a:graphic>
              </wp:inline>
            </w:drawing>
          </mc:Choice>
          <mc:Fallback>
            <w:pict>
              <v:group style="width:239.25pt;height:.7pt;mso-position-horizontal-relative:char;mso-position-vertical-relative:line" id="docshapegroup1" coordorigin="0,0" coordsize="4785,14">
                <v:rect style="position:absolute;left:0;top:0;width:4785;height:14" id="docshape2" filled="true" fillcolor="#cccccc" stroked="false">
                  <v:fill type="solid"/>
                </v:rect>
              </v:group>
            </w:pict>
          </mc:Fallback>
        </mc:AlternateContent>
      </w:r>
      <w:r>
        <w:rPr>
          <w:rFonts w:ascii="Tahoma"/>
          <w:sz w:val="2"/>
        </w:rPr>
      </w:r>
      <w:r>
        <w:rPr>
          <w:rFonts w:ascii="Tahoma"/>
          <w:sz w:val="2"/>
        </w:rPr>
        <w:tab/>
      </w:r>
      <w:r>
        <w:rPr>
          <w:rFonts w:ascii="Tahoma"/>
          <w:sz w:val="2"/>
        </w:rPr>
        <mc:AlternateContent>
          <mc:Choice Requires="wps">
            <w:drawing>
              <wp:inline distT="0" distB="0" distL="0" distR="0">
                <wp:extent cx="3038475" cy="8890"/>
                <wp:effectExtent l="0" t="0" r="0" b="0"/>
                <wp:docPr id="4" name="Group 4"/>
                <wp:cNvGraphicFramePr>
                  <a:graphicFrameLocks/>
                </wp:cNvGraphicFramePr>
                <a:graphic>
                  <a:graphicData uri="http://schemas.microsoft.com/office/word/2010/wordprocessingGroup">
                    <wpg:wgp>
                      <wpg:cNvPr id="4" name="Group 4"/>
                      <wpg:cNvGrpSpPr/>
                      <wpg:grpSpPr>
                        <a:xfrm>
                          <a:off x="0" y="0"/>
                          <a:ext cx="3038475" cy="8890"/>
                          <a:chExt cx="3038475" cy="8890"/>
                        </a:xfrm>
                      </wpg:grpSpPr>
                      <wps:wsp>
                        <wps:cNvPr id="5" name="Graphic 5"/>
                        <wps:cNvSpPr/>
                        <wps:spPr>
                          <a:xfrm>
                            <a:off x="0" y="0"/>
                            <a:ext cx="3038475" cy="8890"/>
                          </a:xfrm>
                          <a:custGeom>
                            <a:avLst/>
                            <a:gdLst/>
                            <a:ahLst/>
                            <a:cxnLst/>
                            <a:rect l="l" t="t" r="r" b="b"/>
                            <a:pathLst>
                              <a:path w="3038475" h="8890">
                                <a:moveTo>
                                  <a:pt x="3038071" y="8439"/>
                                </a:moveTo>
                                <a:lnTo>
                                  <a:pt x="0" y="8439"/>
                                </a:lnTo>
                                <a:lnTo>
                                  <a:pt x="0" y="0"/>
                                </a:lnTo>
                                <a:lnTo>
                                  <a:pt x="3038071" y="0"/>
                                </a:lnTo>
                                <a:lnTo>
                                  <a:pt x="3038071" y="8439"/>
                                </a:lnTo>
                                <a:close/>
                              </a:path>
                            </a:pathLst>
                          </a:custGeom>
                          <a:solidFill>
                            <a:srgbClr val="CCCCCC"/>
                          </a:solidFill>
                        </wps:spPr>
                        <wps:bodyPr wrap="square" lIns="0" tIns="0" rIns="0" bIns="0" rtlCol="0">
                          <a:prstTxWarp prst="textNoShape">
                            <a:avLst/>
                          </a:prstTxWarp>
                          <a:noAutofit/>
                        </wps:bodyPr>
                      </wps:wsp>
                    </wpg:wgp>
                  </a:graphicData>
                </a:graphic>
              </wp:inline>
            </w:drawing>
          </mc:Choice>
          <mc:Fallback>
            <w:pict>
              <v:group style="width:239.25pt;height:.7pt;mso-position-horizontal-relative:char;mso-position-vertical-relative:line" id="docshapegroup3" coordorigin="0,0" coordsize="4785,14">
                <v:rect style="position:absolute;left:0;top:0;width:4785;height:14" id="docshape4" filled="true" fillcolor="#cccccc" stroked="false">
                  <v:fill type="solid"/>
                </v:rect>
              </v:group>
            </w:pict>
          </mc:Fallback>
        </mc:AlternateContent>
      </w:r>
      <w:r>
        <w:rPr>
          <w:rFonts w:ascii="Tahoma"/>
          <w:sz w:val="2"/>
        </w:rPr>
      </w:r>
    </w:p>
    <w:p>
      <w:pPr>
        <w:spacing w:after="0" w:line="20" w:lineRule="exact"/>
        <w:rPr>
          <w:rFonts w:ascii="Tahoma"/>
          <w:sz w:val="2"/>
        </w:rPr>
        <w:sectPr>
          <w:type w:val="continuous"/>
          <w:pgSz w:w="12240" w:h="15840"/>
          <w:pgMar w:top="660" w:bottom="0" w:left="720" w:right="360"/>
        </w:sectPr>
      </w:pPr>
    </w:p>
    <w:p>
      <w:pPr>
        <w:spacing w:before="92"/>
        <w:ind w:left="77" w:right="0" w:firstLine="0"/>
        <w:jc w:val="left"/>
        <w:rPr>
          <w:rFonts w:ascii="Tahoma"/>
          <w:sz w:val="10"/>
        </w:rPr>
      </w:pPr>
      <w:r>
        <w:rPr>
          <w:rFonts w:ascii="Tahoma"/>
          <w:color w:val="333333"/>
          <w:spacing w:val="-6"/>
          <w:sz w:val="10"/>
        </w:rPr>
        <w:t>CITATIONS</w:t>
      </w:r>
    </w:p>
    <w:p>
      <w:pPr>
        <w:spacing w:before="32"/>
        <w:ind w:left="77" w:right="0" w:firstLine="0"/>
        <w:jc w:val="left"/>
        <w:rPr>
          <w:rFonts w:ascii="Tahoma"/>
          <w:sz w:val="16"/>
        </w:rPr>
      </w:pPr>
      <w:r>
        <w:rPr>
          <w:rFonts w:ascii="Tahoma"/>
          <w:spacing w:val="-10"/>
          <w:sz w:val="16"/>
        </w:rPr>
        <w:t>0</w:t>
      </w:r>
    </w:p>
    <w:p>
      <w:pPr>
        <w:spacing w:before="92"/>
        <w:ind w:left="77" w:right="0" w:firstLine="0"/>
        <w:jc w:val="left"/>
        <w:rPr>
          <w:rFonts w:ascii="Tahoma"/>
          <w:sz w:val="10"/>
        </w:rPr>
      </w:pPr>
      <w:r>
        <w:rPr/>
        <w:br w:type="column"/>
      </w:r>
      <w:r>
        <w:rPr>
          <w:rFonts w:ascii="Tahoma"/>
          <w:color w:val="333333"/>
          <w:spacing w:val="-2"/>
          <w:sz w:val="10"/>
        </w:rPr>
        <w:t>READS</w:t>
      </w:r>
    </w:p>
    <w:p>
      <w:pPr>
        <w:spacing w:before="32"/>
        <w:ind w:left="77" w:right="0" w:firstLine="0"/>
        <w:jc w:val="left"/>
        <w:rPr>
          <w:rFonts w:ascii="Tahoma"/>
          <w:sz w:val="16"/>
        </w:rPr>
      </w:pPr>
      <w:r>
        <w:rPr>
          <w:rFonts w:ascii="Tahoma"/>
          <w:spacing w:val="-5"/>
          <w:sz w:val="16"/>
        </w:rPr>
        <w:t>366</w:t>
      </w:r>
    </w:p>
    <w:p>
      <w:pPr>
        <w:spacing w:after="0"/>
        <w:jc w:val="left"/>
        <w:rPr>
          <w:rFonts w:ascii="Tahoma"/>
          <w:sz w:val="16"/>
        </w:rPr>
        <w:sectPr>
          <w:type w:val="continuous"/>
          <w:pgSz w:w="12240" w:h="15840"/>
          <w:pgMar w:top="660" w:bottom="0" w:left="720" w:right="360"/>
          <w:cols w:num="2" w:equalWidth="0">
            <w:col w:w="554" w:space="4762"/>
            <w:col w:w="5844"/>
          </w:cols>
        </w:sect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ind w:left="0"/>
        <w:jc w:val="left"/>
        <w:rPr>
          <w:rFonts w:ascii="Tahoma"/>
          <w:sz w:val="13"/>
        </w:rPr>
      </w:pPr>
    </w:p>
    <w:p>
      <w:pPr>
        <w:pStyle w:val="BodyText"/>
        <w:spacing w:before="8"/>
        <w:ind w:left="0"/>
        <w:jc w:val="left"/>
        <w:rPr>
          <w:rFonts w:ascii="Tahoma"/>
          <w:sz w:val="13"/>
        </w:rPr>
      </w:pPr>
    </w:p>
    <w:p>
      <w:pPr>
        <w:spacing w:before="0"/>
        <w:ind w:left="143" w:right="0" w:firstLine="0"/>
        <w:jc w:val="left"/>
        <w:rPr>
          <w:rFonts w:ascii="Tahoma"/>
          <w:sz w:val="13"/>
        </w:rPr>
      </w:pPr>
      <w:r>
        <w:rPr>
          <w:rFonts w:ascii="Tahoma"/>
          <w:spacing w:val="-2"/>
          <w:sz w:val="13"/>
        </w:rPr>
        <w:t>All</w:t>
      </w:r>
      <w:r>
        <w:rPr>
          <w:rFonts w:ascii="Tahoma"/>
          <w:spacing w:val="-8"/>
          <w:sz w:val="13"/>
        </w:rPr>
        <w:t> </w:t>
      </w:r>
      <w:r>
        <w:rPr>
          <w:rFonts w:ascii="Tahoma"/>
          <w:spacing w:val="-2"/>
          <w:sz w:val="13"/>
        </w:rPr>
        <w:t>content</w:t>
      </w:r>
      <w:r>
        <w:rPr>
          <w:rFonts w:ascii="Tahoma"/>
          <w:spacing w:val="-7"/>
          <w:sz w:val="13"/>
        </w:rPr>
        <w:t> </w:t>
      </w:r>
      <w:r>
        <w:rPr>
          <w:rFonts w:ascii="Tahoma"/>
          <w:spacing w:val="-2"/>
          <w:sz w:val="13"/>
        </w:rPr>
        <w:t>following</w:t>
      </w:r>
      <w:r>
        <w:rPr>
          <w:rFonts w:ascii="Tahoma"/>
          <w:spacing w:val="-8"/>
          <w:sz w:val="13"/>
        </w:rPr>
        <w:t> </w:t>
      </w:r>
      <w:r>
        <w:rPr>
          <w:rFonts w:ascii="Tahoma"/>
          <w:spacing w:val="-2"/>
          <w:sz w:val="13"/>
        </w:rPr>
        <w:t>this</w:t>
      </w:r>
      <w:r>
        <w:rPr>
          <w:rFonts w:ascii="Tahoma"/>
          <w:spacing w:val="-7"/>
          <w:sz w:val="13"/>
        </w:rPr>
        <w:t> </w:t>
      </w:r>
      <w:r>
        <w:rPr>
          <w:rFonts w:ascii="Tahoma"/>
          <w:spacing w:val="-2"/>
          <w:sz w:val="13"/>
        </w:rPr>
        <w:t>page</w:t>
      </w:r>
      <w:r>
        <w:rPr>
          <w:rFonts w:ascii="Tahoma"/>
          <w:spacing w:val="-8"/>
          <w:sz w:val="13"/>
        </w:rPr>
        <w:t> </w:t>
      </w:r>
      <w:r>
        <w:rPr>
          <w:rFonts w:ascii="Tahoma"/>
          <w:spacing w:val="-2"/>
          <w:sz w:val="13"/>
        </w:rPr>
        <w:t>was</w:t>
      </w:r>
      <w:r>
        <w:rPr>
          <w:rFonts w:ascii="Tahoma"/>
          <w:spacing w:val="-7"/>
          <w:sz w:val="13"/>
        </w:rPr>
        <w:t> </w:t>
      </w:r>
      <w:r>
        <w:rPr>
          <w:rFonts w:ascii="Tahoma"/>
          <w:spacing w:val="-2"/>
          <w:sz w:val="13"/>
        </w:rPr>
        <w:t>uploaded</w:t>
      </w:r>
      <w:r>
        <w:rPr>
          <w:rFonts w:ascii="Tahoma"/>
          <w:spacing w:val="-8"/>
          <w:sz w:val="13"/>
        </w:rPr>
        <w:t> </w:t>
      </w:r>
      <w:r>
        <w:rPr>
          <w:rFonts w:ascii="Tahoma"/>
          <w:spacing w:val="-2"/>
          <w:sz w:val="13"/>
        </w:rPr>
        <w:t>by</w:t>
      </w:r>
      <w:r>
        <w:rPr>
          <w:rFonts w:ascii="Tahoma"/>
          <w:spacing w:val="-7"/>
          <w:sz w:val="13"/>
        </w:rPr>
        <w:t> </w:t>
      </w:r>
      <w:hyperlink r:id="rId9">
        <w:r>
          <w:rPr>
            <w:rFonts w:ascii="Tahoma"/>
            <w:color w:val="3773A1"/>
            <w:spacing w:val="-2"/>
            <w:sz w:val="13"/>
          </w:rPr>
          <w:t>Lasha</w:t>
        </w:r>
        <w:r>
          <w:rPr>
            <w:rFonts w:ascii="Tahoma"/>
            <w:color w:val="3773A1"/>
            <w:spacing w:val="-8"/>
            <w:sz w:val="13"/>
          </w:rPr>
          <w:t> </w:t>
        </w:r>
        <w:r>
          <w:rPr>
            <w:rFonts w:ascii="Tahoma"/>
            <w:color w:val="3773A1"/>
            <w:spacing w:val="-2"/>
            <w:sz w:val="13"/>
          </w:rPr>
          <w:t>Markozashvili</w:t>
        </w:r>
      </w:hyperlink>
      <w:r>
        <w:rPr>
          <w:rFonts w:ascii="Tahoma"/>
          <w:color w:val="3773A1"/>
          <w:spacing w:val="-9"/>
          <w:sz w:val="13"/>
        </w:rPr>
        <w:t> </w:t>
      </w:r>
      <w:r>
        <w:rPr>
          <w:rFonts w:ascii="Tahoma"/>
          <w:spacing w:val="-2"/>
          <w:sz w:val="13"/>
        </w:rPr>
        <w:t>on</w:t>
      </w:r>
      <w:r>
        <w:rPr>
          <w:rFonts w:ascii="Tahoma"/>
          <w:spacing w:val="-7"/>
          <w:sz w:val="13"/>
        </w:rPr>
        <w:t> </w:t>
      </w:r>
      <w:r>
        <w:rPr>
          <w:rFonts w:ascii="Tahoma"/>
          <w:spacing w:val="-2"/>
          <w:sz w:val="13"/>
        </w:rPr>
        <w:t>03</w:t>
      </w:r>
      <w:r>
        <w:rPr>
          <w:rFonts w:ascii="Tahoma"/>
          <w:spacing w:val="-8"/>
          <w:sz w:val="13"/>
        </w:rPr>
        <w:t> </w:t>
      </w:r>
      <w:r>
        <w:rPr>
          <w:rFonts w:ascii="Tahoma"/>
          <w:spacing w:val="-2"/>
          <w:sz w:val="13"/>
        </w:rPr>
        <w:t>October</w:t>
      </w:r>
      <w:r>
        <w:rPr>
          <w:rFonts w:ascii="Tahoma"/>
          <w:spacing w:val="-7"/>
          <w:sz w:val="13"/>
        </w:rPr>
        <w:t> </w:t>
      </w:r>
      <w:r>
        <w:rPr>
          <w:rFonts w:ascii="Tahoma"/>
          <w:spacing w:val="-4"/>
          <w:sz w:val="13"/>
        </w:rPr>
        <w:t>2017.</w:t>
      </w:r>
    </w:p>
    <w:p>
      <w:pPr>
        <w:pStyle w:val="BodyText"/>
        <w:spacing w:before="22"/>
        <w:ind w:left="0"/>
        <w:jc w:val="left"/>
        <w:rPr>
          <w:rFonts w:ascii="Tahoma"/>
          <w:sz w:val="13"/>
        </w:rPr>
      </w:pPr>
    </w:p>
    <w:p>
      <w:pPr>
        <w:spacing w:before="0"/>
        <w:ind w:left="143" w:right="0" w:firstLine="0"/>
        <w:jc w:val="left"/>
        <w:rPr>
          <w:rFonts w:ascii="Tahoma"/>
          <w:sz w:val="10"/>
        </w:rPr>
      </w:pPr>
      <w:r>
        <w:rPr>
          <w:rFonts w:ascii="Tahoma"/>
          <w:sz w:val="10"/>
        </w:rPr>
        <w:t>The</w:t>
      </w:r>
      <w:r>
        <w:rPr>
          <w:rFonts w:ascii="Tahoma"/>
          <w:spacing w:val="-4"/>
          <w:sz w:val="10"/>
        </w:rPr>
        <w:t> </w:t>
      </w:r>
      <w:r>
        <w:rPr>
          <w:rFonts w:ascii="Tahoma"/>
          <w:sz w:val="10"/>
        </w:rPr>
        <w:t>user</w:t>
      </w:r>
      <w:r>
        <w:rPr>
          <w:rFonts w:ascii="Tahoma"/>
          <w:spacing w:val="-3"/>
          <w:sz w:val="10"/>
        </w:rPr>
        <w:t> </w:t>
      </w:r>
      <w:r>
        <w:rPr>
          <w:rFonts w:ascii="Tahoma"/>
          <w:sz w:val="10"/>
        </w:rPr>
        <w:t>has</w:t>
      </w:r>
      <w:r>
        <w:rPr>
          <w:rFonts w:ascii="Tahoma"/>
          <w:spacing w:val="-3"/>
          <w:sz w:val="10"/>
        </w:rPr>
        <w:t> </w:t>
      </w:r>
      <w:r>
        <w:rPr>
          <w:rFonts w:ascii="Tahoma"/>
          <w:sz w:val="10"/>
        </w:rPr>
        <w:t>requested</w:t>
      </w:r>
      <w:r>
        <w:rPr>
          <w:rFonts w:ascii="Tahoma"/>
          <w:spacing w:val="-3"/>
          <w:sz w:val="10"/>
        </w:rPr>
        <w:t> </w:t>
      </w:r>
      <w:r>
        <w:rPr>
          <w:rFonts w:ascii="Tahoma"/>
          <w:sz w:val="10"/>
        </w:rPr>
        <w:t>enhancement</w:t>
      </w:r>
      <w:r>
        <w:rPr>
          <w:rFonts w:ascii="Tahoma"/>
          <w:spacing w:val="-4"/>
          <w:sz w:val="10"/>
        </w:rPr>
        <w:t> </w:t>
      </w:r>
      <w:r>
        <w:rPr>
          <w:rFonts w:ascii="Tahoma"/>
          <w:sz w:val="10"/>
        </w:rPr>
        <w:t>of</w:t>
      </w:r>
      <w:r>
        <w:rPr>
          <w:rFonts w:ascii="Tahoma"/>
          <w:spacing w:val="-3"/>
          <w:sz w:val="10"/>
        </w:rPr>
        <w:t> </w:t>
      </w:r>
      <w:r>
        <w:rPr>
          <w:rFonts w:ascii="Tahoma"/>
          <w:sz w:val="10"/>
        </w:rPr>
        <w:t>the</w:t>
      </w:r>
      <w:r>
        <w:rPr>
          <w:rFonts w:ascii="Tahoma"/>
          <w:spacing w:val="-3"/>
          <w:sz w:val="10"/>
        </w:rPr>
        <w:t> </w:t>
      </w:r>
      <w:r>
        <w:rPr>
          <w:rFonts w:ascii="Tahoma"/>
          <w:sz w:val="10"/>
        </w:rPr>
        <w:t>downloaded</w:t>
      </w:r>
      <w:r>
        <w:rPr>
          <w:rFonts w:ascii="Tahoma"/>
          <w:spacing w:val="-3"/>
          <w:sz w:val="10"/>
        </w:rPr>
        <w:t> </w:t>
      </w:r>
      <w:r>
        <w:rPr>
          <w:rFonts w:ascii="Tahoma"/>
          <w:spacing w:val="-2"/>
          <w:sz w:val="10"/>
        </w:rPr>
        <w:t>file.</w:t>
      </w:r>
    </w:p>
    <w:p>
      <w:pPr>
        <w:spacing w:after="0"/>
        <w:jc w:val="left"/>
        <w:rPr>
          <w:rFonts w:ascii="Tahoma"/>
          <w:sz w:val="10"/>
        </w:rPr>
        <w:sectPr>
          <w:type w:val="continuous"/>
          <w:pgSz w:w="12240" w:h="15840"/>
          <w:pgMar w:top="660" w:bottom="0" w:left="720" w:right="360"/>
        </w:sectPr>
      </w:pPr>
    </w:p>
    <w:p>
      <w:pPr>
        <w:pStyle w:val="BodyText"/>
        <w:ind w:left="0"/>
        <w:jc w:val="left"/>
        <w:rPr>
          <w:rFonts w:ascii="Tahoma"/>
          <w:sz w:val="20"/>
        </w:rPr>
      </w:pPr>
    </w:p>
    <w:p>
      <w:pPr>
        <w:pStyle w:val="BodyText"/>
        <w:ind w:left="0"/>
        <w:jc w:val="left"/>
        <w:rPr>
          <w:rFonts w:ascii="Tahoma"/>
          <w:sz w:val="20"/>
        </w:rPr>
      </w:pPr>
    </w:p>
    <w:p>
      <w:pPr>
        <w:pStyle w:val="BodyText"/>
        <w:ind w:left="0"/>
        <w:jc w:val="left"/>
        <w:rPr>
          <w:rFonts w:ascii="Tahoma"/>
          <w:sz w:val="20"/>
        </w:rPr>
      </w:pPr>
    </w:p>
    <w:p>
      <w:pPr>
        <w:pStyle w:val="BodyText"/>
        <w:ind w:left="0"/>
        <w:jc w:val="left"/>
        <w:rPr>
          <w:rFonts w:ascii="Tahoma"/>
          <w:sz w:val="20"/>
        </w:rPr>
      </w:pPr>
    </w:p>
    <w:p>
      <w:pPr>
        <w:pStyle w:val="BodyText"/>
        <w:ind w:left="0"/>
        <w:jc w:val="left"/>
        <w:rPr>
          <w:rFonts w:ascii="Tahoma"/>
          <w:sz w:val="20"/>
        </w:rPr>
      </w:pPr>
    </w:p>
    <w:p>
      <w:pPr>
        <w:pStyle w:val="BodyText"/>
        <w:ind w:left="0"/>
        <w:jc w:val="left"/>
        <w:rPr>
          <w:rFonts w:ascii="Tahoma"/>
          <w:sz w:val="20"/>
        </w:rPr>
      </w:pPr>
    </w:p>
    <w:p>
      <w:pPr>
        <w:pStyle w:val="BodyText"/>
        <w:ind w:left="0"/>
        <w:jc w:val="left"/>
        <w:rPr>
          <w:rFonts w:ascii="Tahoma"/>
          <w:sz w:val="20"/>
        </w:rPr>
      </w:pPr>
    </w:p>
    <w:p>
      <w:pPr>
        <w:pStyle w:val="BodyText"/>
        <w:ind w:left="0"/>
        <w:jc w:val="left"/>
        <w:rPr>
          <w:rFonts w:ascii="Tahoma"/>
          <w:sz w:val="20"/>
        </w:rPr>
      </w:pPr>
    </w:p>
    <w:p>
      <w:pPr>
        <w:pStyle w:val="BodyText"/>
        <w:ind w:left="0"/>
        <w:jc w:val="left"/>
        <w:rPr>
          <w:rFonts w:ascii="Tahoma"/>
          <w:sz w:val="20"/>
        </w:rPr>
      </w:pPr>
    </w:p>
    <w:p>
      <w:pPr>
        <w:pStyle w:val="BodyText"/>
        <w:spacing w:before="84"/>
        <w:ind w:left="0"/>
        <w:jc w:val="left"/>
        <w:rPr>
          <w:rFonts w:ascii="Tahoma"/>
          <w:sz w:val="20"/>
        </w:rPr>
      </w:pPr>
    </w:p>
    <w:tbl>
      <w:tblPr>
        <w:tblW w:w="0" w:type="auto"/>
        <w:jc w:val="left"/>
        <w:tblInd w:w="8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495"/>
      </w:tblGrid>
      <w:tr>
        <w:trPr>
          <w:trHeight w:val="1880" w:hRule="atLeast"/>
        </w:trPr>
        <w:tc>
          <w:tcPr>
            <w:tcW w:w="8495" w:type="dxa"/>
            <w:tcBorders>
              <w:bottom w:val="single" w:sz="4" w:space="0" w:color="4F81BC"/>
            </w:tcBorders>
          </w:tcPr>
          <w:p>
            <w:pPr>
              <w:pStyle w:val="TableParagraph"/>
              <w:spacing w:line="936" w:lineRule="exact"/>
              <w:ind w:left="120" w:firstLine="62"/>
              <w:rPr>
                <w:rFonts w:ascii="Cambria"/>
                <w:sz w:val="80"/>
              </w:rPr>
            </w:pPr>
            <w:r>
              <w:rPr>
                <w:rFonts w:ascii="Cambria"/>
                <w:sz w:val="80"/>
              </w:rPr>
              <w:t>System Approach to the European</w:t>
            </w:r>
            <w:r>
              <w:rPr>
                <w:rFonts w:ascii="Cambria"/>
                <w:spacing w:val="-19"/>
                <w:sz w:val="80"/>
              </w:rPr>
              <w:t> </w:t>
            </w:r>
            <w:r>
              <w:rPr>
                <w:rFonts w:ascii="Cambria"/>
                <w:sz w:val="80"/>
              </w:rPr>
              <w:t>Union</w:t>
            </w:r>
            <w:r>
              <w:rPr>
                <w:rFonts w:ascii="Cambria"/>
                <w:spacing w:val="-14"/>
                <w:sz w:val="80"/>
              </w:rPr>
              <w:t> </w:t>
            </w:r>
            <w:r>
              <w:rPr>
                <w:rFonts w:ascii="Cambria"/>
                <w:sz w:val="80"/>
              </w:rPr>
              <w:t>Studies</w:t>
            </w:r>
          </w:p>
        </w:tc>
      </w:tr>
      <w:tr>
        <w:trPr>
          <w:trHeight w:val="880" w:hRule="atLeast"/>
        </w:trPr>
        <w:tc>
          <w:tcPr>
            <w:tcW w:w="8495" w:type="dxa"/>
            <w:tcBorders>
              <w:top w:val="single" w:sz="4" w:space="0" w:color="4F81BC"/>
            </w:tcBorders>
          </w:tcPr>
          <w:p>
            <w:pPr>
              <w:pStyle w:val="TableParagraph"/>
              <w:spacing w:before="100"/>
              <w:ind w:left="12" w:right="10"/>
              <w:jc w:val="center"/>
              <w:rPr>
                <w:rFonts w:ascii="Cambria"/>
                <w:sz w:val="44"/>
              </w:rPr>
            </w:pPr>
            <w:r>
              <w:rPr>
                <w:rFonts w:ascii="Cambria"/>
                <w:sz w:val="44"/>
              </w:rPr>
              <w:t>Doctoral</w:t>
            </w:r>
            <w:r>
              <w:rPr>
                <w:rFonts w:ascii="Cambria"/>
                <w:spacing w:val="-7"/>
                <w:sz w:val="44"/>
              </w:rPr>
              <w:t> </w:t>
            </w:r>
            <w:r>
              <w:rPr>
                <w:rFonts w:ascii="Cambria"/>
                <w:spacing w:val="-2"/>
                <w:sz w:val="44"/>
              </w:rPr>
              <w:t>dissertation</w:t>
            </w:r>
          </w:p>
        </w:tc>
      </w:tr>
      <w:tr>
        <w:trPr>
          <w:trHeight w:val="583" w:hRule="atLeast"/>
        </w:trPr>
        <w:tc>
          <w:tcPr>
            <w:tcW w:w="8495" w:type="dxa"/>
          </w:tcPr>
          <w:p>
            <w:pPr>
              <w:pStyle w:val="TableParagraph"/>
              <w:spacing w:before="206"/>
              <w:ind w:left="6" w:right="10"/>
              <w:jc w:val="center"/>
              <w:rPr>
                <w:rFonts w:ascii="Calibri"/>
                <w:b/>
                <w:sz w:val="28"/>
              </w:rPr>
            </w:pPr>
            <w:r>
              <w:rPr>
                <w:rFonts w:ascii="Calibri"/>
                <w:b/>
                <w:sz w:val="28"/>
              </w:rPr>
              <w:t>Lasha</w:t>
            </w:r>
            <w:r>
              <w:rPr>
                <w:rFonts w:ascii="Calibri"/>
                <w:b/>
                <w:spacing w:val="-5"/>
                <w:sz w:val="28"/>
              </w:rPr>
              <w:t> </w:t>
            </w:r>
            <w:r>
              <w:rPr>
                <w:rFonts w:ascii="Calibri"/>
                <w:b/>
                <w:spacing w:val="-2"/>
                <w:sz w:val="28"/>
              </w:rPr>
              <w:t>Markozashvili</w:t>
            </w:r>
          </w:p>
        </w:tc>
      </w:tr>
      <w:tr>
        <w:trPr>
          <w:trHeight w:val="319" w:hRule="atLeast"/>
        </w:trPr>
        <w:tc>
          <w:tcPr>
            <w:tcW w:w="8495" w:type="dxa"/>
          </w:tcPr>
          <w:p>
            <w:pPr>
              <w:pStyle w:val="TableParagraph"/>
              <w:spacing w:line="299" w:lineRule="exact"/>
              <w:ind w:left="2" w:right="12"/>
              <w:jc w:val="center"/>
              <w:rPr>
                <w:rFonts w:ascii="Calibri"/>
                <w:b/>
                <w:sz w:val="28"/>
              </w:rPr>
            </w:pPr>
            <w:r>
              <w:rPr>
                <w:rFonts w:ascii="Calibri"/>
                <w:b/>
                <w:sz w:val="28"/>
              </w:rPr>
              <w:t>Adam</w:t>
            </w:r>
            <w:r>
              <w:rPr>
                <w:rFonts w:ascii="Calibri"/>
                <w:b/>
                <w:spacing w:val="-8"/>
                <w:sz w:val="28"/>
              </w:rPr>
              <w:t> </w:t>
            </w:r>
            <w:r>
              <w:rPr>
                <w:rFonts w:ascii="Calibri"/>
                <w:b/>
                <w:sz w:val="28"/>
              </w:rPr>
              <w:t>Mickiewicz</w:t>
            </w:r>
            <w:r>
              <w:rPr>
                <w:rFonts w:ascii="Calibri"/>
                <w:b/>
                <w:spacing w:val="-7"/>
                <w:sz w:val="28"/>
              </w:rPr>
              <w:t> </w:t>
            </w:r>
            <w:r>
              <w:rPr>
                <w:rFonts w:ascii="Calibri"/>
                <w:b/>
                <w:sz w:val="28"/>
              </w:rPr>
              <w:t>University</w:t>
            </w:r>
            <w:r>
              <w:rPr>
                <w:rFonts w:ascii="Calibri"/>
                <w:b/>
                <w:spacing w:val="-9"/>
                <w:sz w:val="28"/>
              </w:rPr>
              <w:t> </w:t>
            </w:r>
            <w:r>
              <w:rPr>
                <w:rFonts w:ascii="Calibri"/>
                <w:b/>
                <w:sz w:val="28"/>
              </w:rPr>
              <w:t>in</w:t>
            </w:r>
            <w:r>
              <w:rPr>
                <w:rFonts w:ascii="Calibri"/>
                <w:b/>
                <w:spacing w:val="-8"/>
                <w:sz w:val="28"/>
              </w:rPr>
              <w:t> </w:t>
            </w:r>
            <w:r>
              <w:rPr>
                <w:rFonts w:ascii="Calibri"/>
                <w:b/>
                <w:spacing w:val="-2"/>
                <w:sz w:val="28"/>
              </w:rPr>
              <w:t>Poznan</w:t>
            </w:r>
          </w:p>
        </w:tc>
      </w:tr>
    </w:tbl>
    <w:p>
      <w:pPr>
        <w:pStyle w:val="Heading5"/>
        <w:spacing w:line="360" w:lineRule="auto" w:before="11"/>
        <w:ind w:left="4830" w:right="3455" w:hanging="2099"/>
      </w:pPr>
      <w:r>
        <w:rPr/>
        <w:t>Faculty</w:t>
      </w:r>
      <w:r>
        <w:rPr>
          <w:spacing w:val="-7"/>
        </w:rPr>
        <w:t> </w:t>
      </w:r>
      <w:r>
        <w:rPr/>
        <w:t>of</w:t>
      </w:r>
      <w:r>
        <w:rPr>
          <w:spacing w:val="-9"/>
        </w:rPr>
        <w:t> </w:t>
      </w:r>
      <w:r>
        <w:rPr/>
        <w:t>Political</w:t>
      </w:r>
      <w:r>
        <w:rPr>
          <w:spacing w:val="-11"/>
        </w:rPr>
        <w:t> </w:t>
      </w:r>
      <w:r>
        <w:rPr/>
        <w:t>Science</w:t>
      </w:r>
      <w:r>
        <w:rPr>
          <w:spacing w:val="-10"/>
        </w:rPr>
        <w:t> </w:t>
      </w:r>
      <w:r>
        <w:rPr/>
        <w:t>and</w:t>
      </w:r>
      <w:r>
        <w:rPr>
          <w:spacing w:val="-12"/>
        </w:rPr>
        <w:t> </w:t>
      </w:r>
      <w:r>
        <w:rPr/>
        <w:t>Journalism </w:t>
      </w:r>
      <w:r>
        <w:rPr>
          <w:spacing w:val="-4"/>
        </w:rPr>
        <w:t>2016</w:t>
      </w:r>
    </w:p>
    <w:p>
      <w:pPr>
        <w:pStyle w:val="BodyText"/>
        <w:ind w:left="0"/>
        <w:jc w:val="left"/>
        <w:rPr>
          <w:rFonts w:ascii="Calibri"/>
          <w:sz w:val="28"/>
        </w:rPr>
      </w:pPr>
    </w:p>
    <w:p>
      <w:pPr>
        <w:pStyle w:val="BodyText"/>
        <w:ind w:left="0"/>
        <w:jc w:val="left"/>
        <w:rPr>
          <w:rFonts w:ascii="Calibri"/>
          <w:sz w:val="28"/>
        </w:rPr>
      </w:pPr>
    </w:p>
    <w:p>
      <w:pPr>
        <w:pStyle w:val="BodyText"/>
        <w:ind w:left="0"/>
        <w:jc w:val="left"/>
        <w:rPr>
          <w:rFonts w:ascii="Calibri"/>
          <w:sz w:val="28"/>
        </w:rPr>
      </w:pPr>
    </w:p>
    <w:p>
      <w:pPr>
        <w:pStyle w:val="BodyText"/>
        <w:ind w:left="0"/>
        <w:jc w:val="left"/>
        <w:rPr>
          <w:rFonts w:ascii="Calibri"/>
          <w:sz w:val="28"/>
        </w:rPr>
      </w:pPr>
    </w:p>
    <w:p>
      <w:pPr>
        <w:pStyle w:val="BodyText"/>
        <w:ind w:left="0"/>
        <w:jc w:val="left"/>
        <w:rPr>
          <w:rFonts w:ascii="Calibri"/>
          <w:sz w:val="28"/>
        </w:rPr>
      </w:pPr>
    </w:p>
    <w:p>
      <w:pPr>
        <w:pStyle w:val="BodyText"/>
        <w:ind w:left="0"/>
        <w:jc w:val="left"/>
        <w:rPr>
          <w:rFonts w:ascii="Calibri"/>
          <w:sz w:val="28"/>
        </w:rPr>
      </w:pPr>
    </w:p>
    <w:p>
      <w:pPr>
        <w:pStyle w:val="BodyText"/>
        <w:ind w:left="0"/>
        <w:jc w:val="left"/>
        <w:rPr>
          <w:rFonts w:ascii="Calibri"/>
          <w:sz w:val="28"/>
        </w:rPr>
      </w:pPr>
    </w:p>
    <w:p>
      <w:pPr>
        <w:pStyle w:val="BodyText"/>
        <w:ind w:left="0"/>
        <w:jc w:val="left"/>
        <w:rPr>
          <w:rFonts w:ascii="Calibri"/>
          <w:sz w:val="28"/>
        </w:rPr>
      </w:pPr>
    </w:p>
    <w:p>
      <w:pPr>
        <w:pStyle w:val="BodyText"/>
        <w:ind w:left="0"/>
        <w:jc w:val="left"/>
        <w:rPr>
          <w:rFonts w:ascii="Calibri"/>
          <w:sz w:val="28"/>
        </w:rPr>
      </w:pPr>
    </w:p>
    <w:p>
      <w:pPr>
        <w:pStyle w:val="BodyText"/>
        <w:ind w:left="0"/>
        <w:jc w:val="left"/>
        <w:rPr>
          <w:rFonts w:ascii="Calibri"/>
          <w:sz w:val="28"/>
        </w:rPr>
      </w:pPr>
    </w:p>
    <w:p>
      <w:pPr>
        <w:pStyle w:val="BodyText"/>
        <w:ind w:left="0"/>
        <w:jc w:val="left"/>
        <w:rPr>
          <w:rFonts w:ascii="Calibri"/>
          <w:sz w:val="28"/>
        </w:rPr>
      </w:pPr>
    </w:p>
    <w:p>
      <w:pPr>
        <w:pStyle w:val="BodyText"/>
        <w:spacing w:before="39"/>
        <w:ind w:left="0"/>
        <w:jc w:val="left"/>
        <w:rPr>
          <w:rFonts w:ascii="Calibri"/>
          <w:sz w:val="28"/>
        </w:rPr>
      </w:pPr>
    </w:p>
    <w:p>
      <w:pPr>
        <w:tabs>
          <w:tab w:pos="4984" w:val="left" w:leader="none"/>
        </w:tabs>
        <w:spacing w:before="0"/>
        <w:ind w:left="1839" w:right="0" w:firstLine="0"/>
        <w:jc w:val="left"/>
        <w:rPr>
          <w:rFonts w:ascii="Calibri" w:hAnsi="Calibri"/>
          <w:sz w:val="28"/>
        </w:rPr>
      </w:pPr>
      <w:r>
        <w:rPr>
          <w:rFonts w:ascii="Calibri" w:hAnsi="Calibri"/>
          <w:b/>
          <w:sz w:val="28"/>
        </w:rPr>
        <w:t>Arademic</w:t>
      </w:r>
      <w:r>
        <w:rPr>
          <w:rFonts w:ascii="Calibri" w:hAnsi="Calibri"/>
          <w:b/>
          <w:spacing w:val="-15"/>
          <w:sz w:val="28"/>
        </w:rPr>
        <w:t> </w:t>
      </w:r>
      <w:r>
        <w:rPr>
          <w:rFonts w:ascii="Calibri" w:hAnsi="Calibri"/>
          <w:b/>
          <w:spacing w:val="-2"/>
          <w:sz w:val="28"/>
        </w:rPr>
        <w:t>supervisor</w:t>
      </w:r>
      <w:r>
        <w:rPr>
          <w:rFonts w:ascii="Calibri" w:hAnsi="Calibri"/>
          <w:b/>
          <w:sz w:val="28"/>
        </w:rPr>
        <w:tab/>
      </w:r>
      <w:r>
        <w:rPr>
          <w:rFonts w:ascii="Calibri" w:hAnsi="Calibri"/>
          <w:sz w:val="28"/>
        </w:rPr>
        <w:t>Professor</w:t>
      </w:r>
      <w:r>
        <w:rPr>
          <w:rFonts w:ascii="Calibri" w:hAnsi="Calibri"/>
          <w:spacing w:val="-9"/>
          <w:sz w:val="28"/>
        </w:rPr>
        <w:t> </w:t>
      </w:r>
      <w:r>
        <w:rPr>
          <w:rFonts w:ascii="Calibri" w:hAnsi="Calibri"/>
          <w:sz w:val="28"/>
        </w:rPr>
        <w:t>Marek</w:t>
      </w:r>
      <w:r>
        <w:rPr>
          <w:rFonts w:ascii="Calibri" w:hAnsi="Calibri"/>
          <w:spacing w:val="-9"/>
          <w:sz w:val="28"/>
        </w:rPr>
        <w:t> </w:t>
      </w:r>
      <w:r>
        <w:rPr>
          <w:rFonts w:ascii="Calibri" w:hAnsi="Calibri"/>
          <w:spacing w:val="-2"/>
          <w:sz w:val="28"/>
        </w:rPr>
        <w:t>Żyromski</w:t>
      </w:r>
    </w:p>
    <w:p>
      <w:pPr>
        <w:tabs>
          <w:tab w:pos="4960" w:val="left" w:leader="none"/>
        </w:tabs>
        <w:spacing w:before="172"/>
        <w:ind w:left="1839" w:right="0" w:firstLine="0"/>
        <w:jc w:val="left"/>
        <w:rPr>
          <w:rFonts w:ascii="Calibri"/>
          <w:sz w:val="28"/>
        </w:rPr>
      </w:pPr>
      <w:r>
        <w:rPr>
          <w:rFonts w:ascii="Calibri"/>
          <w:b/>
          <w:sz w:val="28"/>
        </w:rPr>
        <w:t>Secondary</w:t>
      </w:r>
      <w:r>
        <w:rPr>
          <w:rFonts w:ascii="Calibri"/>
          <w:b/>
          <w:spacing w:val="-13"/>
          <w:sz w:val="28"/>
        </w:rPr>
        <w:t> </w:t>
      </w:r>
      <w:r>
        <w:rPr>
          <w:rFonts w:ascii="Calibri"/>
          <w:b/>
          <w:spacing w:val="-2"/>
          <w:sz w:val="28"/>
        </w:rPr>
        <w:t>supervisor</w:t>
      </w:r>
      <w:r>
        <w:rPr>
          <w:rFonts w:ascii="Calibri"/>
          <w:b/>
          <w:sz w:val="28"/>
        </w:rPr>
        <w:tab/>
      </w:r>
      <w:r>
        <w:rPr>
          <w:rFonts w:ascii="Calibri"/>
          <w:sz w:val="28"/>
        </w:rPr>
        <w:t>dr.</w:t>
      </w:r>
      <w:r>
        <w:rPr>
          <w:rFonts w:ascii="Calibri"/>
          <w:spacing w:val="-7"/>
          <w:sz w:val="28"/>
        </w:rPr>
        <w:t> </w:t>
      </w:r>
      <w:r>
        <w:rPr>
          <w:rFonts w:ascii="Calibri"/>
          <w:sz w:val="28"/>
        </w:rPr>
        <w:t>Remigiusz</w:t>
      </w:r>
      <w:r>
        <w:rPr>
          <w:rFonts w:ascii="Calibri"/>
          <w:spacing w:val="-9"/>
          <w:sz w:val="28"/>
        </w:rPr>
        <w:t> </w:t>
      </w:r>
      <w:r>
        <w:rPr>
          <w:rFonts w:ascii="Calibri"/>
          <w:spacing w:val="-2"/>
          <w:sz w:val="28"/>
        </w:rPr>
        <w:t>Rosicki</w:t>
      </w:r>
    </w:p>
    <w:p>
      <w:pPr>
        <w:spacing w:after="0"/>
        <w:jc w:val="left"/>
        <w:rPr>
          <w:rFonts w:ascii="Calibri"/>
          <w:sz w:val="28"/>
        </w:rPr>
        <w:sectPr>
          <w:pgSz w:w="12240" w:h="15840"/>
          <w:pgMar w:top="1820" w:bottom="280" w:left="720" w:right="360"/>
        </w:sectPr>
      </w:pPr>
    </w:p>
    <w:p>
      <w:pPr>
        <w:spacing w:line="599" w:lineRule="exact" w:before="0"/>
        <w:ind w:left="979" w:right="0" w:firstLine="0"/>
        <w:jc w:val="left"/>
        <w:rPr>
          <w:rFonts w:ascii="Calibri"/>
          <w:sz w:val="52"/>
        </w:rPr>
      </w:pPr>
      <w:r>
        <w:rPr>
          <w:rFonts w:ascii="Calibri"/>
          <w:sz w:val="52"/>
        </w:rPr>
        <w:t>Table</w:t>
      </w:r>
      <w:r>
        <w:rPr>
          <w:rFonts w:ascii="Calibri"/>
          <w:spacing w:val="-10"/>
          <w:sz w:val="52"/>
        </w:rPr>
        <w:t> </w:t>
      </w:r>
      <w:r>
        <w:rPr>
          <w:rFonts w:ascii="Calibri"/>
          <w:sz w:val="52"/>
        </w:rPr>
        <w:t>of</w:t>
      </w:r>
      <w:r>
        <w:rPr>
          <w:rFonts w:ascii="Calibri"/>
          <w:spacing w:val="-9"/>
          <w:sz w:val="52"/>
        </w:rPr>
        <w:t> </w:t>
      </w:r>
      <w:r>
        <w:rPr>
          <w:rFonts w:ascii="Calibri"/>
          <w:spacing w:val="-2"/>
          <w:sz w:val="52"/>
        </w:rPr>
        <w:t>Contents</w:t>
      </w:r>
    </w:p>
    <w:p>
      <w:pPr>
        <w:spacing w:after="0" w:line="599" w:lineRule="exact"/>
        <w:jc w:val="left"/>
        <w:rPr>
          <w:rFonts w:ascii="Calibri"/>
          <w:sz w:val="52"/>
        </w:rPr>
        <w:sectPr>
          <w:pgSz w:w="12240" w:h="15840"/>
          <w:pgMar w:top="1680" w:bottom="1452" w:left="720" w:right="360"/>
        </w:sectPr>
      </w:pPr>
    </w:p>
    <w:sdt>
      <w:sdtPr>
        <w:docPartObj>
          <w:docPartGallery w:val="Table of Contents"/>
          <w:docPartUnique/>
        </w:docPartObj>
      </w:sdtPr>
      <w:sdtEndPr/>
      <w:sdtContent>
        <w:p>
          <w:pPr>
            <w:pStyle w:val="TOC2"/>
            <w:tabs>
              <w:tab w:pos="10378" w:val="right" w:leader="dot"/>
            </w:tabs>
            <w:spacing w:line="267" w:lineRule="exact"/>
          </w:pPr>
          <w:hyperlink w:history="true" w:anchor="_bookmark0">
            <w:r>
              <w:rPr>
                <w:spacing w:val="-2"/>
              </w:rPr>
              <w:t>Introduction</w:t>
            </w:r>
            <w:r>
              <w:rPr/>
              <w:tab/>
            </w:r>
            <w:r>
              <w:rPr>
                <w:spacing w:val="-10"/>
              </w:rPr>
              <w:t>1</w:t>
            </w:r>
          </w:hyperlink>
        </w:p>
        <w:p>
          <w:pPr>
            <w:pStyle w:val="TOC3"/>
            <w:tabs>
              <w:tab w:pos="9245" w:val="right" w:leader="dot"/>
            </w:tabs>
            <w:spacing w:before="1"/>
            <w:ind w:left="1200" w:firstLine="0"/>
          </w:pPr>
          <w:hyperlink w:history="true" w:anchor="_bookmark1">
            <w:r>
              <w:rPr>
                <w:spacing w:val="-2"/>
              </w:rPr>
              <w:t>Ontology</w:t>
            </w:r>
            <w:r>
              <w:rPr/>
              <w:tab/>
            </w:r>
            <w:r>
              <w:rPr>
                <w:spacing w:val="-10"/>
              </w:rPr>
              <w:t>4</w:t>
            </w:r>
          </w:hyperlink>
        </w:p>
        <w:p>
          <w:pPr>
            <w:pStyle w:val="TOC3"/>
            <w:tabs>
              <w:tab w:pos="9245" w:val="right" w:leader="dot"/>
            </w:tabs>
            <w:ind w:left="1200" w:firstLine="0"/>
          </w:pPr>
          <w:hyperlink w:history="true" w:anchor="_bookmark2">
            <w:r>
              <w:rPr>
                <w:spacing w:val="-2"/>
              </w:rPr>
              <w:t>Epistemology</w:t>
            </w:r>
            <w:r>
              <w:rPr/>
              <w:tab/>
            </w:r>
            <w:r>
              <w:rPr>
                <w:spacing w:val="-10"/>
              </w:rPr>
              <w:t>6</w:t>
            </w:r>
          </w:hyperlink>
        </w:p>
        <w:p>
          <w:pPr>
            <w:pStyle w:val="TOC3"/>
            <w:tabs>
              <w:tab w:pos="9245" w:val="right" w:leader="dot"/>
            </w:tabs>
            <w:ind w:left="1200" w:firstLine="0"/>
          </w:pPr>
          <w:hyperlink w:history="true" w:anchor="_bookmark3">
            <w:r>
              <w:rPr/>
              <w:t>The</w:t>
            </w:r>
            <w:r>
              <w:rPr>
                <w:spacing w:val="-7"/>
              </w:rPr>
              <w:t> </w:t>
            </w:r>
            <w:r>
              <w:rPr/>
              <w:t>Methods</w:t>
            </w:r>
            <w:r>
              <w:rPr>
                <w:spacing w:val="-4"/>
              </w:rPr>
              <w:t> Used</w:t>
            </w:r>
            <w:r>
              <w:rPr/>
              <w:tab/>
            </w:r>
            <w:r>
              <w:rPr>
                <w:spacing w:val="-10"/>
              </w:rPr>
              <w:t>7</w:t>
            </w:r>
          </w:hyperlink>
        </w:p>
        <w:p>
          <w:pPr>
            <w:pStyle w:val="TOC3"/>
            <w:tabs>
              <w:tab w:pos="9245" w:val="right" w:leader="dot"/>
            </w:tabs>
            <w:ind w:left="1200" w:firstLine="0"/>
          </w:pPr>
          <w:hyperlink w:history="true" w:anchor="_bookmark4">
            <w:r>
              <w:rPr/>
              <w:t>Chapter</w:t>
            </w:r>
            <w:r>
              <w:rPr>
                <w:spacing w:val="-6"/>
              </w:rPr>
              <w:t> </w:t>
            </w:r>
            <w:r>
              <w:rPr>
                <w:spacing w:val="-2"/>
              </w:rPr>
              <w:t>Description</w:t>
            </w:r>
            <w:r>
              <w:rPr/>
              <w:tab/>
            </w:r>
            <w:r>
              <w:rPr>
                <w:spacing w:val="-10"/>
              </w:rPr>
              <w:t>8</w:t>
            </w:r>
          </w:hyperlink>
        </w:p>
        <w:p>
          <w:pPr>
            <w:pStyle w:val="TOC1"/>
            <w:numPr>
              <w:ilvl w:val="0"/>
              <w:numId w:val="1"/>
            </w:numPr>
            <w:tabs>
              <w:tab w:pos="1421" w:val="left" w:leader="none"/>
              <w:tab w:pos="10376" w:val="right" w:leader="dot"/>
            </w:tabs>
            <w:spacing w:line="240" w:lineRule="auto" w:before="1" w:after="0"/>
            <w:ind w:left="1421" w:right="0" w:hanging="442"/>
            <w:jc w:val="left"/>
          </w:pPr>
          <w:hyperlink w:history="true" w:anchor="_bookmark5">
            <w:r>
              <w:rPr/>
              <w:t>CHAPTER</w:t>
            </w:r>
            <w:r>
              <w:rPr>
                <w:spacing w:val="-11"/>
              </w:rPr>
              <w:t> </w:t>
            </w:r>
            <w:r>
              <w:rPr>
                <w:spacing w:val="-5"/>
              </w:rPr>
              <w:t>ONE</w:t>
            </w:r>
            <w:r>
              <w:rPr/>
              <w:tab/>
            </w:r>
            <w:r>
              <w:rPr>
                <w:spacing w:val="-5"/>
              </w:rPr>
              <w:t>10</w:t>
            </w:r>
          </w:hyperlink>
        </w:p>
        <w:p>
          <w:pPr>
            <w:pStyle w:val="TOC3"/>
            <w:numPr>
              <w:ilvl w:val="1"/>
              <w:numId w:val="1"/>
            </w:numPr>
            <w:tabs>
              <w:tab w:pos="1572" w:val="left" w:leader="none"/>
              <w:tab w:pos="9243" w:val="right" w:leader="dot"/>
            </w:tabs>
            <w:spacing w:line="240" w:lineRule="auto" w:before="0" w:after="0"/>
            <w:ind w:left="1572" w:right="0" w:hanging="372"/>
            <w:jc w:val="left"/>
          </w:pPr>
          <w:hyperlink w:history="true" w:anchor="_bookmark6">
            <w:r>
              <w:rPr/>
              <w:t>General</w:t>
            </w:r>
            <w:r>
              <w:rPr>
                <w:spacing w:val="-1"/>
              </w:rPr>
              <w:t> </w:t>
            </w:r>
            <w:r>
              <w:rPr>
                <w:spacing w:val="-2"/>
              </w:rPr>
              <w:t>Overview</w:t>
            </w:r>
            <w:r>
              <w:rPr/>
              <w:tab/>
            </w:r>
            <w:r>
              <w:rPr>
                <w:spacing w:val="-5"/>
              </w:rPr>
              <w:t>10</w:t>
            </w:r>
          </w:hyperlink>
        </w:p>
        <w:p>
          <w:pPr>
            <w:pStyle w:val="TOC3"/>
            <w:numPr>
              <w:ilvl w:val="1"/>
              <w:numId w:val="1"/>
            </w:numPr>
            <w:tabs>
              <w:tab w:pos="1524" w:val="left" w:leader="none"/>
              <w:tab w:pos="9243" w:val="right" w:leader="dot"/>
            </w:tabs>
            <w:spacing w:line="240" w:lineRule="auto" w:before="0" w:after="0"/>
            <w:ind w:left="1524" w:right="0" w:hanging="324"/>
            <w:jc w:val="left"/>
          </w:pPr>
          <w:hyperlink w:history="true" w:anchor="_bookmark7">
            <w:r>
              <w:rPr/>
              <w:t>General</w:t>
            </w:r>
            <w:r>
              <w:rPr>
                <w:spacing w:val="-2"/>
              </w:rPr>
              <w:t> </w:t>
            </w:r>
            <w:r>
              <w:rPr/>
              <w:t>Systems</w:t>
            </w:r>
            <w:r>
              <w:rPr>
                <w:spacing w:val="-2"/>
              </w:rPr>
              <w:t> Theory</w:t>
            </w:r>
            <w:r>
              <w:rPr/>
              <w:tab/>
            </w:r>
            <w:r>
              <w:rPr>
                <w:spacing w:val="-5"/>
              </w:rPr>
              <w:t>13</w:t>
            </w:r>
          </w:hyperlink>
        </w:p>
        <w:p>
          <w:pPr>
            <w:pStyle w:val="TOC3"/>
            <w:numPr>
              <w:ilvl w:val="1"/>
              <w:numId w:val="1"/>
            </w:numPr>
            <w:tabs>
              <w:tab w:pos="1524" w:val="left" w:leader="none"/>
              <w:tab w:pos="9243" w:val="right" w:leader="dot"/>
            </w:tabs>
            <w:spacing w:line="240" w:lineRule="auto" w:before="1" w:after="0"/>
            <w:ind w:left="1524" w:right="0" w:hanging="324"/>
            <w:jc w:val="left"/>
          </w:pPr>
          <w:hyperlink w:history="true" w:anchor="_bookmark8">
            <w:r>
              <w:rPr>
                <w:spacing w:val="-2"/>
              </w:rPr>
              <w:t>Cybernetics</w:t>
            </w:r>
            <w:r>
              <w:rPr/>
              <w:tab/>
            </w:r>
            <w:r>
              <w:rPr>
                <w:spacing w:val="-5"/>
              </w:rPr>
              <w:t>18</w:t>
            </w:r>
          </w:hyperlink>
        </w:p>
        <w:p>
          <w:pPr>
            <w:pStyle w:val="TOC3"/>
            <w:numPr>
              <w:ilvl w:val="1"/>
              <w:numId w:val="1"/>
            </w:numPr>
            <w:tabs>
              <w:tab w:pos="1525" w:val="left" w:leader="none"/>
              <w:tab w:pos="9243" w:val="right" w:leader="dot"/>
            </w:tabs>
            <w:spacing w:line="266" w:lineRule="exact" w:before="0" w:after="0"/>
            <w:ind w:left="1525" w:right="0" w:hanging="325"/>
            <w:jc w:val="left"/>
          </w:pPr>
          <w:hyperlink w:history="true" w:anchor="_bookmark9">
            <w:r>
              <w:rPr>
                <w:spacing w:val="-2"/>
              </w:rPr>
              <w:t>Holonics</w:t>
            </w:r>
            <w:r>
              <w:rPr/>
              <w:tab/>
            </w:r>
            <w:r>
              <w:rPr>
                <w:spacing w:val="-5"/>
              </w:rPr>
              <w:t>24</w:t>
            </w:r>
          </w:hyperlink>
        </w:p>
        <w:p>
          <w:pPr>
            <w:pStyle w:val="TOC3"/>
            <w:numPr>
              <w:ilvl w:val="1"/>
              <w:numId w:val="1"/>
            </w:numPr>
            <w:tabs>
              <w:tab w:pos="1524" w:val="left" w:leader="none"/>
              <w:tab w:pos="9243" w:val="right" w:leader="dot"/>
            </w:tabs>
            <w:spacing w:line="266" w:lineRule="exact" w:before="0" w:after="0"/>
            <w:ind w:left="1524" w:right="0" w:hanging="324"/>
            <w:jc w:val="left"/>
          </w:pPr>
          <w:hyperlink w:history="true" w:anchor="_bookmark10">
            <w:r>
              <w:rPr>
                <w:spacing w:val="-2"/>
              </w:rPr>
              <w:t>Autopoiesis</w:t>
            </w:r>
            <w:r>
              <w:rPr/>
              <w:tab/>
            </w:r>
            <w:r>
              <w:rPr>
                <w:spacing w:val="-5"/>
              </w:rPr>
              <w:t>27</w:t>
            </w:r>
          </w:hyperlink>
        </w:p>
        <w:p>
          <w:pPr>
            <w:pStyle w:val="TOC3"/>
            <w:numPr>
              <w:ilvl w:val="1"/>
              <w:numId w:val="1"/>
            </w:numPr>
            <w:tabs>
              <w:tab w:pos="1525" w:val="left" w:leader="none"/>
              <w:tab w:pos="9243" w:val="right" w:leader="dot"/>
            </w:tabs>
            <w:spacing w:line="240" w:lineRule="auto" w:before="0" w:after="0"/>
            <w:ind w:left="1525" w:right="0" w:hanging="325"/>
            <w:jc w:val="left"/>
          </w:pPr>
          <w:hyperlink w:history="true" w:anchor="_bookmark12">
            <w:r>
              <w:rPr/>
              <w:t>Systems</w:t>
            </w:r>
            <w:r>
              <w:rPr>
                <w:spacing w:val="-6"/>
              </w:rPr>
              <w:t> </w:t>
            </w:r>
            <w:r>
              <w:rPr/>
              <w:t>Approaches</w:t>
            </w:r>
            <w:r>
              <w:rPr>
                <w:spacing w:val="-5"/>
              </w:rPr>
              <w:t> </w:t>
            </w:r>
            <w:r>
              <w:rPr/>
              <w:t>In</w:t>
            </w:r>
            <w:r>
              <w:rPr>
                <w:spacing w:val="-6"/>
              </w:rPr>
              <w:t> </w:t>
            </w:r>
            <w:r>
              <w:rPr/>
              <w:t>Political</w:t>
            </w:r>
            <w:r>
              <w:rPr>
                <w:spacing w:val="-4"/>
              </w:rPr>
              <w:t> </w:t>
            </w:r>
            <w:r>
              <w:rPr>
                <w:spacing w:val="-2"/>
              </w:rPr>
              <w:t>Science</w:t>
            </w:r>
            <w:r>
              <w:rPr/>
              <w:tab/>
            </w:r>
            <w:r>
              <w:rPr>
                <w:spacing w:val="-5"/>
              </w:rPr>
              <w:t>34</w:t>
            </w:r>
          </w:hyperlink>
        </w:p>
        <w:p>
          <w:pPr>
            <w:pStyle w:val="TOC1"/>
            <w:numPr>
              <w:ilvl w:val="0"/>
              <w:numId w:val="1"/>
            </w:numPr>
            <w:tabs>
              <w:tab w:pos="1421" w:val="left" w:leader="none"/>
              <w:tab w:pos="10376" w:val="right" w:leader="dot"/>
            </w:tabs>
            <w:spacing w:line="240" w:lineRule="auto" w:before="0" w:after="0"/>
            <w:ind w:left="1421" w:right="0" w:hanging="442"/>
            <w:jc w:val="left"/>
          </w:pPr>
          <w:hyperlink w:history="true" w:anchor="_bookmark14">
            <w:r>
              <w:rPr/>
              <w:t>CHAPTER</w:t>
            </w:r>
            <w:r>
              <w:rPr>
                <w:spacing w:val="-11"/>
              </w:rPr>
              <w:t> </w:t>
            </w:r>
            <w:r>
              <w:rPr>
                <w:spacing w:val="-5"/>
              </w:rPr>
              <w:t>TWO</w:t>
            </w:r>
            <w:r>
              <w:rPr/>
              <w:tab/>
            </w:r>
            <w:r>
              <w:rPr>
                <w:spacing w:val="-5"/>
              </w:rPr>
              <w:t>42</w:t>
            </w:r>
          </w:hyperlink>
        </w:p>
        <w:p>
          <w:pPr>
            <w:pStyle w:val="TOC3"/>
            <w:numPr>
              <w:ilvl w:val="1"/>
              <w:numId w:val="1"/>
            </w:numPr>
            <w:tabs>
              <w:tab w:pos="1524" w:val="left" w:leader="none"/>
              <w:tab w:pos="9243" w:val="right" w:leader="dot"/>
            </w:tabs>
            <w:spacing w:line="240" w:lineRule="auto" w:before="1" w:after="0"/>
            <w:ind w:left="1524" w:right="0" w:hanging="324"/>
            <w:jc w:val="left"/>
          </w:pPr>
          <w:hyperlink w:history="true" w:anchor="_bookmark15">
            <w:r>
              <w:rPr/>
              <w:t>General</w:t>
            </w:r>
            <w:r>
              <w:rPr>
                <w:spacing w:val="-1"/>
              </w:rPr>
              <w:t> </w:t>
            </w:r>
            <w:r>
              <w:rPr>
                <w:spacing w:val="-2"/>
              </w:rPr>
              <w:t>Overview</w:t>
            </w:r>
            <w:r>
              <w:rPr/>
              <w:tab/>
            </w:r>
            <w:r>
              <w:rPr>
                <w:spacing w:val="-7"/>
              </w:rPr>
              <w:t>42</w:t>
            </w:r>
          </w:hyperlink>
        </w:p>
        <w:p>
          <w:pPr>
            <w:pStyle w:val="TOC3"/>
            <w:numPr>
              <w:ilvl w:val="1"/>
              <w:numId w:val="1"/>
            </w:numPr>
            <w:tabs>
              <w:tab w:pos="1524" w:val="left" w:leader="none"/>
              <w:tab w:pos="9243" w:val="right" w:leader="dot"/>
            </w:tabs>
            <w:spacing w:line="240" w:lineRule="auto" w:before="0" w:after="0"/>
            <w:ind w:left="1524" w:right="0" w:hanging="324"/>
            <w:jc w:val="left"/>
          </w:pPr>
          <w:hyperlink w:history="true" w:anchor="_bookmark16">
            <w:r>
              <w:rPr>
                <w:spacing w:val="-2"/>
              </w:rPr>
              <w:t>Neo-Functionalism</w:t>
            </w:r>
            <w:r>
              <w:rPr/>
              <w:tab/>
            </w:r>
            <w:r>
              <w:rPr>
                <w:spacing w:val="-5"/>
              </w:rPr>
              <w:t>45</w:t>
            </w:r>
          </w:hyperlink>
        </w:p>
        <w:p>
          <w:pPr>
            <w:pStyle w:val="TOC3"/>
            <w:numPr>
              <w:ilvl w:val="1"/>
              <w:numId w:val="1"/>
            </w:numPr>
            <w:tabs>
              <w:tab w:pos="1524" w:val="left" w:leader="none"/>
              <w:tab w:pos="9243" w:val="right" w:leader="dot"/>
            </w:tabs>
            <w:spacing w:line="240" w:lineRule="auto" w:before="1" w:after="0"/>
            <w:ind w:left="1524" w:right="0" w:hanging="324"/>
            <w:jc w:val="left"/>
          </w:pPr>
          <w:hyperlink w:history="true" w:anchor="_bookmark17">
            <w:r>
              <w:rPr/>
              <w:t>Liberal</w:t>
            </w:r>
            <w:r>
              <w:rPr>
                <w:spacing w:val="-2"/>
              </w:rPr>
              <w:t> Intergovernmentalism</w:t>
            </w:r>
            <w:r>
              <w:rPr/>
              <w:tab/>
            </w:r>
            <w:r>
              <w:rPr>
                <w:spacing w:val="-5"/>
              </w:rPr>
              <w:t>51</w:t>
            </w:r>
          </w:hyperlink>
        </w:p>
        <w:p>
          <w:pPr>
            <w:pStyle w:val="TOC3"/>
            <w:numPr>
              <w:ilvl w:val="1"/>
              <w:numId w:val="1"/>
            </w:numPr>
            <w:tabs>
              <w:tab w:pos="1524" w:val="left" w:leader="none"/>
              <w:tab w:pos="9243" w:val="right" w:leader="dot"/>
            </w:tabs>
            <w:spacing w:line="240" w:lineRule="auto" w:before="0" w:after="0"/>
            <w:ind w:left="1524" w:right="0" w:hanging="324"/>
            <w:jc w:val="left"/>
          </w:pPr>
          <w:hyperlink w:history="true" w:anchor="_bookmark18">
            <w:r>
              <w:rPr>
                <w:spacing w:val="-2"/>
              </w:rPr>
              <w:t>Governance</w:t>
            </w:r>
            <w:r>
              <w:rPr/>
              <w:tab/>
            </w:r>
            <w:r>
              <w:rPr>
                <w:spacing w:val="-5"/>
              </w:rPr>
              <w:t>59</w:t>
            </w:r>
          </w:hyperlink>
        </w:p>
        <w:p>
          <w:pPr>
            <w:pStyle w:val="TOC3"/>
            <w:numPr>
              <w:ilvl w:val="1"/>
              <w:numId w:val="1"/>
            </w:numPr>
            <w:tabs>
              <w:tab w:pos="1524" w:val="left" w:leader="none"/>
              <w:tab w:pos="9243" w:val="right" w:leader="dot"/>
            </w:tabs>
            <w:spacing w:line="240" w:lineRule="auto" w:before="0" w:after="0"/>
            <w:ind w:left="1524" w:right="0" w:hanging="324"/>
            <w:jc w:val="left"/>
          </w:pPr>
          <w:hyperlink w:history="true" w:anchor="_bookmark19">
            <w:r>
              <w:rPr/>
              <w:t>New</w:t>
            </w:r>
            <w:r>
              <w:rPr>
                <w:spacing w:val="-1"/>
              </w:rPr>
              <w:t> </w:t>
            </w:r>
            <w:r>
              <w:rPr>
                <w:spacing w:val="-2"/>
              </w:rPr>
              <w:t>Institutionalisms</w:t>
            </w:r>
            <w:r>
              <w:rPr/>
              <w:tab/>
            </w:r>
            <w:r>
              <w:rPr>
                <w:spacing w:val="-5"/>
              </w:rPr>
              <w:t>66</w:t>
            </w:r>
          </w:hyperlink>
        </w:p>
        <w:p>
          <w:pPr>
            <w:pStyle w:val="TOC3"/>
            <w:numPr>
              <w:ilvl w:val="1"/>
              <w:numId w:val="1"/>
            </w:numPr>
            <w:tabs>
              <w:tab w:pos="1524" w:val="left" w:leader="none"/>
              <w:tab w:pos="9243" w:val="right" w:leader="dot"/>
            </w:tabs>
            <w:spacing w:line="240" w:lineRule="auto" w:before="0" w:after="0"/>
            <w:ind w:left="1524" w:right="0" w:hanging="324"/>
            <w:jc w:val="left"/>
          </w:pPr>
          <w:hyperlink w:history="true" w:anchor="_bookmark20">
            <w:r>
              <w:rPr>
                <w:spacing w:val="-2"/>
              </w:rPr>
              <w:t>Constructivism</w:t>
            </w:r>
            <w:r>
              <w:rPr/>
              <w:tab/>
            </w:r>
            <w:r>
              <w:rPr>
                <w:spacing w:val="-5"/>
              </w:rPr>
              <w:t>69</w:t>
            </w:r>
          </w:hyperlink>
        </w:p>
        <w:p>
          <w:pPr>
            <w:pStyle w:val="TOC1"/>
            <w:numPr>
              <w:ilvl w:val="0"/>
              <w:numId w:val="1"/>
            </w:numPr>
            <w:tabs>
              <w:tab w:pos="1396" w:val="left" w:leader="none"/>
              <w:tab w:pos="10376" w:val="right" w:leader="dot"/>
            </w:tabs>
            <w:spacing w:line="240" w:lineRule="auto" w:before="1" w:after="0"/>
            <w:ind w:left="1396" w:right="0" w:hanging="417"/>
            <w:jc w:val="left"/>
          </w:pPr>
          <w:hyperlink w:history="true" w:anchor="_bookmark23">
            <w:r>
              <w:rPr/>
              <w:t>CHAPTER</w:t>
            </w:r>
            <w:r>
              <w:rPr>
                <w:spacing w:val="-11"/>
              </w:rPr>
              <w:t> </w:t>
            </w:r>
            <w:r>
              <w:rPr>
                <w:spacing w:val="-4"/>
              </w:rPr>
              <w:t>THREE</w:t>
            </w:r>
            <w:r>
              <w:rPr/>
              <w:tab/>
            </w:r>
            <w:r>
              <w:rPr>
                <w:spacing w:val="-5"/>
              </w:rPr>
              <w:t>85</w:t>
            </w:r>
          </w:hyperlink>
        </w:p>
        <w:p>
          <w:pPr>
            <w:pStyle w:val="TOC3"/>
            <w:numPr>
              <w:ilvl w:val="1"/>
              <w:numId w:val="1"/>
            </w:numPr>
            <w:tabs>
              <w:tab w:pos="1524" w:val="left" w:leader="none"/>
              <w:tab w:pos="9243" w:val="right" w:leader="dot"/>
            </w:tabs>
            <w:spacing w:line="240" w:lineRule="auto" w:before="0" w:after="0"/>
            <w:ind w:left="1524" w:right="0" w:hanging="324"/>
            <w:jc w:val="left"/>
          </w:pPr>
          <w:hyperlink w:history="true" w:anchor="_bookmark24">
            <w:r>
              <w:rPr/>
              <w:t>General</w:t>
            </w:r>
            <w:r>
              <w:rPr>
                <w:spacing w:val="-1"/>
              </w:rPr>
              <w:t> </w:t>
            </w:r>
            <w:r>
              <w:rPr>
                <w:spacing w:val="-2"/>
              </w:rPr>
              <w:t>Overview</w:t>
            </w:r>
            <w:r>
              <w:rPr/>
              <w:tab/>
            </w:r>
            <w:r>
              <w:rPr>
                <w:spacing w:val="-7"/>
              </w:rPr>
              <w:t>85</w:t>
            </w:r>
          </w:hyperlink>
        </w:p>
        <w:p>
          <w:pPr>
            <w:pStyle w:val="TOC3"/>
            <w:numPr>
              <w:ilvl w:val="1"/>
              <w:numId w:val="1"/>
            </w:numPr>
            <w:tabs>
              <w:tab w:pos="1524" w:val="left" w:leader="none"/>
              <w:tab w:pos="9243" w:val="right" w:leader="dot"/>
            </w:tabs>
            <w:spacing w:line="240" w:lineRule="auto" w:before="1" w:after="0"/>
            <w:ind w:left="1524" w:right="0" w:hanging="324"/>
            <w:jc w:val="left"/>
          </w:pPr>
          <w:hyperlink w:history="true" w:anchor="_bookmark25">
            <w:r>
              <w:rPr/>
              <w:t>Defining</w:t>
            </w:r>
            <w:r>
              <w:rPr>
                <w:spacing w:val="-2"/>
              </w:rPr>
              <w:t> </w:t>
            </w:r>
            <w:r>
              <w:rPr/>
              <w:t>A</w:t>
            </w:r>
            <w:r>
              <w:rPr>
                <w:spacing w:val="-1"/>
              </w:rPr>
              <w:t> </w:t>
            </w:r>
            <w:r>
              <w:rPr>
                <w:spacing w:val="-2"/>
              </w:rPr>
              <w:t>System</w:t>
            </w:r>
            <w:r>
              <w:rPr/>
              <w:tab/>
            </w:r>
            <w:r>
              <w:rPr>
                <w:spacing w:val="-5"/>
              </w:rPr>
              <w:t>86</w:t>
            </w:r>
          </w:hyperlink>
        </w:p>
        <w:p>
          <w:pPr>
            <w:pStyle w:val="TOC3"/>
            <w:numPr>
              <w:ilvl w:val="1"/>
              <w:numId w:val="1"/>
            </w:numPr>
            <w:tabs>
              <w:tab w:pos="1524" w:val="left" w:leader="none"/>
              <w:tab w:pos="9243" w:val="right" w:leader="dot"/>
            </w:tabs>
            <w:spacing w:line="240" w:lineRule="auto" w:before="0" w:after="0"/>
            <w:ind w:left="1524" w:right="0" w:hanging="324"/>
            <w:jc w:val="left"/>
          </w:pPr>
          <w:hyperlink w:history="true" w:anchor="_bookmark26">
            <w:r>
              <w:rPr/>
              <w:t>Feedback,</w:t>
            </w:r>
            <w:r>
              <w:rPr>
                <w:spacing w:val="-12"/>
              </w:rPr>
              <w:t> </w:t>
            </w:r>
            <w:r>
              <w:rPr/>
              <w:t>Learning,</w:t>
            </w:r>
            <w:r>
              <w:rPr>
                <w:spacing w:val="-11"/>
              </w:rPr>
              <w:t> </w:t>
            </w:r>
            <w:r>
              <w:rPr>
                <w:spacing w:val="-2"/>
              </w:rPr>
              <w:t>Adaptation</w:t>
            </w:r>
            <w:r>
              <w:rPr/>
              <w:tab/>
            </w:r>
            <w:r>
              <w:rPr>
                <w:spacing w:val="-5"/>
              </w:rPr>
              <w:t>88</w:t>
            </w:r>
          </w:hyperlink>
        </w:p>
        <w:p>
          <w:pPr>
            <w:pStyle w:val="TOC3"/>
            <w:numPr>
              <w:ilvl w:val="1"/>
              <w:numId w:val="1"/>
            </w:numPr>
            <w:tabs>
              <w:tab w:pos="1524" w:val="left" w:leader="none"/>
              <w:tab w:pos="9243" w:val="right" w:leader="dot"/>
            </w:tabs>
            <w:spacing w:line="240" w:lineRule="auto" w:before="0" w:after="0"/>
            <w:ind w:left="1524" w:right="0" w:hanging="324"/>
            <w:jc w:val="left"/>
          </w:pPr>
          <w:hyperlink w:history="true" w:anchor="_bookmark27">
            <w:r>
              <w:rPr/>
              <w:t>A</w:t>
            </w:r>
            <w:r>
              <w:rPr>
                <w:spacing w:val="-4"/>
              </w:rPr>
              <w:t> </w:t>
            </w:r>
            <w:r>
              <w:rPr/>
              <w:t>State</w:t>
            </w:r>
            <w:r>
              <w:rPr>
                <w:spacing w:val="-5"/>
              </w:rPr>
              <w:t> </w:t>
            </w:r>
            <w:r>
              <w:rPr/>
              <w:t>Of</w:t>
            </w:r>
            <w:r>
              <w:rPr>
                <w:spacing w:val="-1"/>
              </w:rPr>
              <w:t> </w:t>
            </w:r>
            <w:r>
              <w:rPr/>
              <w:t>The</w:t>
            </w:r>
            <w:r>
              <w:rPr>
                <w:spacing w:val="-3"/>
              </w:rPr>
              <w:t> </w:t>
            </w:r>
            <w:r>
              <w:rPr/>
              <w:t>System,</w:t>
            </w:r>
            <w:r>
              <w:rPr>
                <w:spacing w:val="-2"/>
              </w:rPr>
              <w:t> Growth</w:t>
            </w:r>
            <w:r>
              <w:rPr/>
              <w:tab/>
            </w:r>
            <w:r>
              <w:rPr>
                <w:spacing w:val="-5"/>
              </w:rPr>
              <w:t>90</w:t>
            </w:r>
          </w:hyperlink>
        </w:p>
        <w:p>
          <w:pPr>
            <w:pStyle w:val="TOC3"/>
            <w:numPr>
              <w:ilvl w:val="1"/>
              <w:numId w:val="1"/>
            </w:numPr>
            <w:tabs>
              <w:tab w:pos="1524" w:val="left" w:leader="none"/>
              <w:tab w:pos="9243" w:val="right" w:leader="dot"/>
            </w:tabs>
            <w:spacing w:line="240" w:lineRule="auto" w:before="0" w:after="0"/>
            <w:ind w:left="1524" w:right="0" w:hanging="324"/>
            <w:jc w:val="left"/>
          </w:pPr>
          <w:hyperlink w:history="true" w:anchor="_bookmark28">
            <w:r>
              <w:rPr/>
              <w:t>System</w:t>
            </w:r>
            <w:r>
              <w:rPr>
                <w:spacing w:val="-3"/>
              </w:rPr>
              <w:t> </w:t>
            </w:r>
            <w:r>
              <w:rPr>
                <w:spacing w:val="-2"/>
              </w:rPr>
              <w:t>Behaviour</w:t>
            </w:r>
            <w:r>
              <w:rPr/>
              <w:tab/>
            </w:r>
            <w:r>
              <w:rPr>
                <w:spacing w:val="-5"/>
              </w:rPr>
              <w:t>93</w:t>
            </w:r>
          </w:hyperlink>
        </w:p>
        <w:p>
          <w:pPr>
            <w:pStyle w:val="TOC3"/>
            <w:numPr>
              <w:ilvl w:val="1"/>
              <w:numId w:val="1"/>
            </w:numPr>
            <w:tabs>
              <w:tab w:pos="1524" w:val="left" w:leader="none"/>
              <w:tab w:pos="9243" w:val="right" w:leader="dot"/>
            </w:tabs>
            <w:spacing w:line="240" w:lineRule="auto" w:before="1" w:after="0"/>
            <w:ind w:left="1524" w:right="0" w:hanging="324"/>
            <w:jc w:val="left"/>
          </w:pPr>
          <w:hyperlink w:history="true" w:anchor="_bookmark29">
            <w:r>
              <w:rPr>
                <w:spacing w:val="-2"/>
              </w:rPr>
              <w:t>Organization</w:t>
            </w:r>
            <w:r>
              <w:rPr/>
              <w:tab/>
            </w:r>
            <w:r>
              <w:rPr>
                <w:spacing w:val="-5"/>
              </w:rPr>
              <w:t>96</w:t>
            </w:r>
          </w:hyperlink>
        </w:p>
        <w:p>
          <w:pPr>
            <w:pStyle w:val="TOC3"/>
            <w:numPr>
              <w:ilvl w:val="1"/>
              <w:numId w:val="1"/>
            </w:numPr>
            <w:tabs>
              <w:tab w:pos="1525" w:val="left" w:leader="none"/>
              <w:tab w:pos="9238" w:val="right" w:leader="dot"/>
            </w:tabs>
            <w:spacing w:line="240" w:lineRule="auto" w:before="0" w:after="0"/>
            <w:ind w:left="1525" w:right="0" w:hanging="325"/>
            <w:jc w:val="left"/>
          </w:pPr>
          <w:hyperlink w:history="true" w:anchor="_bookmark30">
            <w:r>
              <w:rPr/>
              <w:t>Political</w:t>
            </w:r>
            <w:r>
              <w:rPr>
                <w:spacing w:val="-5"/>
              </w:rPr>
              <w:t> </w:t>
            </w:r>
            <w:r>
              <w:rPr>
                <w:spacing w:val="-2"/>
              </w:rPr>
              <w:t>System</w:t>
            </w:r>
            <w:r>
              <w:rPr/>
              <w:tab/>
            </w:r>
            <w:r>
              <w:rPr>
                <w:spacing w:val="-5"/>
              </w:rPr>
              <w:t>109</w:t>
            </w:r>
          </w:hyperlink>
        </w:p>
        <w:p>
          <w:pPr>
            <w:pStyle w:val="TOC3"/>
            <w:numPr>
              <w:ilvl w:val="1"/>
              <w:numId w:val="1"/>
            </w:numPr>
            <w:tabs>
              <w:tab w:pos="1524" w:val="left" w:leader="none"/>
              <w:tab w:pos="9238" w:val="right" w:leader="dot"/>
            </w:tabs>
            <w:spacing w:line="240" w:lineRule="auto" w:before="0" w:after="0"/>
            <w:ind w:left="1524" w:right="0" w:hanging="324"/>
            <w:jc w:val="left"/>
          </w:pPr>
          <w:hyperlink w:history="true" w:anchor="_bookmark31">
            <w:r>
              <w:rPr/>
              <w:t>Political</w:t>
            </w:r>
            <w:r>
              <w:rPr>
                <w:spacing w:val="-5"/>
              </w:rPr>
              <w:t> </w:t>
            </w:r>
            <w:r>
              <w:rPr>
                <w:spacing w:val="-2"/>
              </w:rPr>
              <w:t>Orientation</w:t>
            </w:r>
            <w:r>
              <w:rPr/>
              <w:tab/>
            </w:r>
            <w:r>
              <w:rPr>
                <w:spacing w:val="-5"/>
              </w:rPr>
              <w:t>117</w:t>
            </w:r>
          </w:hyperlink>
        </w:p>
        <w:p>
          <w:pPr>
            <w:pStyle w:val="TOC3"/>
            <w:numPr>
              <w:ilvl w:val="1"/>
              <w:numId w:val="1"/>
            </w:numPr>
            <w:tabs>
              <w:tab w:pos="1524" w:val="left" w:leader="none"/>
              <w:tab w:pos="9238" w:val="right" w:leader="dot"/>
            </w:tabs>
            <w:spacing w:line="266" w:lineRule="exact" w:before="1" w:after="0"/>
            <w:ind w:left="1524" w:right="0" w:hanging="324"/>
            <w:jc w:val="left"/>
          </w:pPr>
          <w:hyperlink w:history="true" w:anchor="_bookmark32">
            <w:r>
              <w:rPr/>
              <w:t>Concluding</w:t>
            </w:r>
            <w:r>
              <w:rPr>
                <w:spacing w:val="-7"/>
              </w:rPr>
              <w:t> </w:t>
            </w:r>
            <w:r>
              <w:rPr>
                <w:spacing w:val="-2"/>
              </w:rPr>
              <w:t>Points</w:t>
            </w:r>
            <w:r>
              <w:rPr/>
              <w:tab/>
            </w:r>
            <w:r>
              <w:rPr>
                <w:spacing w:val="-5"/>
              </w:rPr>
              <w:t>124</w:t>
            </w:r>
          </w:hyperlink>
        </w:p>
        <w:p>
          <w:pPr>
            <w:pStyle w:val="TOC1"/>
            <w:numPr>
              <w:ilvl w:val="0"/>
              <w:numId w:val="1"/>
            </w:numPr>
            <w:tabs>
              <w:tab w:pos="1444" w:val="left" w:leader="none"/>
              <w:tab w:pos="10371" w:val="right" w:leader="dot"/>
            </w:tabs>
            <w:spacing w:line="266" w:lineRule="exact" w:before="0" w:after="0"/>
            <w:ind w:left="1444" w:right="0" w:hanging="465"/>
            <w:jc w:val="left"/>
          </w:pPr>
          <w:hyperlink w:history="true" w:anchor="_bookmark33">
            <w:r>
              <w:rPr/>
              <w:t>CHAPTER</w:t>
            </w:r>
            <w:r>
              <w:rPr>
                <w:spacing w:val="-13"/>
              </w:rPr>
              <w:t> </w:t>
            </w:r>
            <w:r>
              <w:rPr>
                <w:spacing w:val="-4"/>
              </w:rPr>
              <w:t>FOUR</w:t>
            </w:r>
            <w:r>
              <w:rPr/>
              <w:tab/>
            </w:r>
            <w:r>
              <w:rPr>
                <w:spacing w:val="-5"/>
              </w:rPr>
              <w:t>126</w:t>
            </w:r>
          </w:hyperlink>
        </w:p>
        <w:p>
          <w:pPr>
            <w:pStyle w:val="TOC3"/>
            <w:numPr>
              <w:ilvl w:val="1"/>
              <w:numId w:val="1"/>
            </w:numPr>
            <w:tabs>
              <w:tab w:pos="1524" w:val="left" w:leader="none"/>
              <w:tab w:pos="9238" w:val="right" w:leader="dot"/>
            </w:tabs>
            <w:spacing w:line="240" w:lineRule="auto" w:before="0" w:after="0"/>
            <w:ind w:left="1524" w:right="0" w:hanging="324"/>
            <w:jc w:val="left"/>
          </w:pPr>
          <w:hyperlink w:history="true" w:anchor="_bookmark34">
            <w:r>
              <w:rPr/>
              <w:t>General</w:t>
            </w:r>
            <w:r>
              <w:rPr>
                <w:spacing w:val="-1"/>
              </w:rPr>
              <w:t> </w:t>
            </w:r>
            <w:r>
              <w:rPr>
                <w:spacing w:val="-2"/>
              </w:rPr>
              <w:t>Overview</w:t>
            </w:r>
            <w:r>
              <w:rPr/>
              <w:tab/>
            </w:r>
            <w:r>
              <w:rPr>
                <w:spacing w:val="-5"/>
              </w:rPr>
              <w:t>126</w:t>
            </w:r>
          </w:hyperlink>
        </w:p>
        <w:p>
          <w:pPr>
            <w:pStyle w:val="TOC3"/>
            <w:numPr>
              <w:ilvl w:val="1"/>
              <w:numId w:val="1"/>
            </w:numPr>
            <w:tabs>
              <w:tab w:pos="1524" w:val="left" w:leader="none"/>
              <w:tab w:pos="9238" w:val="right" w:leader="dot"/>
            </w:tabs>
            <w:spacing w:line="240" w:lineRule="auto" w:before="0" w:after="0"/>
            <w:ind w:left="1524" w:right="0" w:hanging="324"/>
            <w:jc w:val="left"/>
          </w:pPr>
          <w:hyperlink w:history="true" w:anchor="_bookmark35">
            <w:r>
              <w:rPr/>
              <w:t>Integration</w:t>
            </w:r>
            <w:r>
              <w:rPr>
                <w:spacing w:val="-7"/>
              </w:rPr>
              <w:t> </w:t>
            </w:r>
            <w:r>
              <w:rPr/>
              <w:t>Theories</w:t>
            </w:r>
            <w:r>
              <w:rPr>
                <w:spacing w:val="-5"/>
              </w:rPr>
              <w:t> </w:t>
            </w:r>
            <w:r>
              <w:rPr/>
              <w:t>From</w:t>
            </w:r>
            <w:r>
              <w:rPr>
                <w:spacing w:val="-5"/>
              </w:rPr>
              <w:t> </w:t>
            </w:r>
            <w:r>
              <w:rPr/>
              <w:t>Systemic</w:t>
            </w:r>
            <w:r>
              <w:rPr>
                <w:spacing w:val="-7"/>
              </w:rPr>
              <w:t> </w:t>
            </w:r>
            <w:r>
              <w:rPr>
                <w:spacing w:val="-2"/>
              </w:rPr>
              <w:t>Perspective</w:t>
            </w:r>
            <w:r>
              <w:rPr/>
              <w:tab/>
            </w:r>
            <w:r>
              <w:rPr>
                <w:spacing w:val="-5"/>
              </w:rPr>
              <w:t>128</w:t>
            </w:r>
          </w:hyperlink>
        </w:p>
        <w:p>
          <w:pPr>
            <w:pStyle w:val="TOC3"/>
            <w:numPr>
              <w:ilvl w:val="1"/>
              <w:numId w:val="1"/>
            </w:numPr>
            <w:tabs>
              <w:tab w:pos="1524" w:val="left" w:leader="none"/>
              <w:tab w:pos="9238" w:val="right" w:leader="dot"/>
            </w:tabs>
            <w:spacing w:line="240" w:lineRule="auto" w:before="1" w:after="0"/>
            <w:ind w:left="1524" w:right="0" w:hanging="324"/>
            <w:jc w:val="left"/>
          </w:pPr>
          <w:hyperlink w:history="true" w:anchor="_bookmark36">
            <w:r>
              <w:rPr/>
              <w:t>Purpose</w:t>
            </w:r>
            <w:r>
              <w:rPr>
                <w:spacing w:val="-5"/>
              </w:rPr>
              <w:t> </w:t>
            </w:r>
            <w:r>
              <w:rPr/>
              <w:t>Of</w:t>
            </w:r>
            <w:r>
              <w:rPr>
                <w:spacing w:val="-4"/>
              </w:rPr>
              <w:t> </w:t>
            </w:r>
            <w:r>
              <w:rPr/>
              <w:t>The</w:t>
            </w:r>
            <w:r>
              <w:rPr>
                <w:spacing w:val="-4"/>
              </w:rPr>
              <w:t> Union</w:t>
            </w:r>
            <w:r>
              <w:rPr/>
              <w:tab/>
            </w:r>
            <w:r>
              <w:rPr>
                <w:spacing w:val="-5"/>
              </w:rPr>
              <w:t>136</w:t>
            </w:r>
          </w:hyperlink>
        </w:p>
        <w:p>
          <w:pPr>
            <w:pStyle w:val="TOC4"/>
            <w:numPr>
              <w:ilvl w:val="2"/>
              <w:numId w:val="1"/>
            </w:numPr>
            <w:tabs>
              <w:tab w:pos="1911" w:val="left" w:leader="none"/>
              <w:tab w:pos="9238" w:val="right" w:leader="dot"/>
            </w:tabs>
            <w:spacing w:line="240" w:lineRule="auto" w:before="0" w:after="0"/>
            <w:ind w:left="1911" w:right="0" w:hanging="490"/>
            <w:jc w:val="left"/>
          </w:pPr>
          <w:hyperlink w:history="true" w:anchor="_bookmark38">
            <w:r>
              <w:rPr/>
              <w:t>Two</w:t>
            </w:r>
            <w:r>
              <w:rPr>
                <w:spacing w:val="-5"/>
              </w:rPr>
              <w:t> </w:t>
            </w:r>
            <w:r>
              <w:rPr/>
              <w:t>Federalisms</w:t>
            </w:r>
            <w:r>
              <w:rPr>
                <w:spacing w:val="-3"/>
              </w:rPr>
              <w:t> </w:t>
            </w:r>
            <w:r>
              <w:rPr/>
              <w:t>–</w:t>
            </w:r>
            <w:r>
              <w:rPr>
                <w:spacing w:val="-4"/>
              </w:rPr>
              <w:t> </w:t>
            </w:r>
            <w:r>
              <w:rPr/>
              <w:t>One</w:t>
            </w:r>
            <w:r>
              <w:rPr>
                <w:spacing w:val="-4"/>
              </w:rPr>
              <w:t> </w:t>
            </w:r>
            <w:r>
              <w:rPr>
                <w:spacing w:val="-2"/>
              </w:rPr>
              <w:t>Purpose?</w:t>
            </w:r>
            <w:r>
              <w:rPr/>
              <w:tab/>
            </w:r>
            <w:r>
              <w:rPr>
                <w:spacing w:val="-5"/>
              </w:rPr>
              <w:t>137</w:t>
            </w:r>
          </w:hyperlink>
        </w:p>
        <w:p>
          <w:pPr>
            <w:pStyle w:val="TOC3"/>
            <w:numPr>
              <w:ilvl w:val="1"/>
              <w:numId w:val="1"/>
            </w:numPr>
            <w:tabs>
              <w:tab w:pos="1573" w:val="left" w:leader="none"/>
              <w:tab w:pos="9238" w:val="right" w:leader="dot"/>
            </w:tabs>
            <w:spacing w:line="240" w:lineRule="auto" w:before="1" w:after="0"/>
            <w:ind w:left="1573" w:right="0" w:hanging="373"/>
            <w:jc w:val="left"/>
          </w:pPr>
          <w:hyperlink w:history="true" w:anchor="_bookmark39">
            <w:r>
              <w:rPr/>
              <w:t>Democratic</w:t>
            </w:r>
            <w:r>
              <w:rPr>
                <w:spacing w:val="-3"/>
              </w:rPr>
              <w:t> </w:t>
            </w:r>
            <w:r>
              <w:rPr/>
              <w:t>Deficit</w:t>
            </w:r>
            <w:r>
              <w:rPr>
                <w:spacing w:val="-5"/>
              </w:rPr>
              <w:t> </w:t>
            </w:r>
            <w:r>
              <w:rPr/>
              <w:t>–</w:t>
            </w:r>
            <w:r>
              <w:rPr>
                <w:spacing w:val="-4"/>
              </w:rPr>
              <w:t> </w:t>
            </w:r>
            <w:r>
              <w:rPr/>
              <w:t>How</w:t>
            </w:r>
            <w:r>
              <w:rPr>
                <w:spacing w:val="-5"/>
              </w:rPr>
              <w:t> </w:t>
            </w:r>
            <w:r>
              <w:rPr/>
              <w:t>Political</w:t>
            </w:r>
            <w:r>
              <w:rPr>
                <w:spacing w:val="-3"/>
              </w:rPr>
              <w:t> </w:t>
            </w:r>
            <w:r>
              <w:rPr/>
              <w:t>Is</w:t>
            </w:r>
            <w:r>
              <w:rPr>
                <w:spacing w:val="-5"/>
              </w:rPr>
              <w:t> </w:t>
            </w:r>
            <w:r>
              <w:rPr/>
              <w:t>The</w:t>
            </w:r>
            <w:r>
              <w:rPr>
                <w:spacing w:val="-4"/>
              </w:rPr>
              <w:t> </w:t>
            </w:r>
            <w:r>
              <w:rPr>
                <w:spacing w:val="-5"/>
              </w:rPr>
              <w:t>EU?</w:t>
            </w:r>
            <w:r>
              <w:rPr/>
              <w:tab/>
            </w:r>
            <w:r>
              <w:rPr>
                <w:spacing w:val="-5"/>
              </w:rPr>
              <w:t>145</w:t>
            </w:r>
          </w:hyperlink>
        </w:p>
        <w:p>
          <w:pPr>
            <w:pStyle w:val="TOC4"/>
            <w:numPr>
              <w:ilvl w:val="2"/>
              <w:numId w:val="1"/>
            </w:numPr>
            <w:tabs>
              <w:tab w:pos="1911" w:val="left" w:leader="none"/>
              <w:tab w:pos="9238" w:val="right" w:leader="dot"/>
            </w:tabs>
            <w:spacing w:line="240" w:lineRule="auto" w:before="0" w:after="0"/>
            <w:ind w:left="1911" w:right="0" w:hanging="490"/>
            <w:jc w:val="left"/>
          </w:pPr>
          <w:hyperlink w:history="true" w:anchor="_bookmark40">
            <w:r>
              <w:rPr/>
              <w:t>No</w:t>
            </w:r>
            <w:r>
              <w:rPr>
                <w:spacing w:val="-4"/>
              </w:rPr>
              <w:t> </w:t>
            </w:r>
            <w:r>
              <w:rPr/>
              <w:t>Demos</w:t>
            </w:r>
            <w:r>
              <w:rPr>
                <w:spacing w:val="-3"/>
              </w:rPr>
              <w:t> </w:t>
            </w:r>
            <w:r>
              <w:rPr>
                <w:spacing w:val="-2"/>
              </w:rPr>
              <w:t>Thesis</w:t>
            </w:r>
            <w:r>
              <w:rPr/>
              <w:tab/>
            </w:r>
            <w:r>
              <w:rPr>
                <w:spacing w:val="-5"/>
              </w:rPr>
              <w:t>146</w:t>
            </w:r>
          </w:hyperlink>
        </w:p>
        <w:p>
          <w:pPr>
            <w:pStyle w:val="TOC4"/>
            <w:numPr>
              <w:ilvl w:val="2"/>
              <w:numId w:val="1"/>
            </w:numPr>
            <w:tabs>
              <w:tab w:pos="1911" w:val="left" w:leader="none"/>
              <w:tab w:pos="9238" w:val="right" w:leader="dot"/>
            </w:tabs>
            <w:spacing w:line="240" w:lineRule="auto" w:before="0" w:after="0"/>
            <w:ind w:left="1911" w:right="0" w:hanging="490"/>
            <w:jc w:val="left"/>
          </w:pPr>
          <w:hyperlink w:history="true" w:anchor="_bookmark41">
            <w:r>
              <w:rPr>
                <w:spacing w:val="-2"/>
              </w:rPr>
              <w:t>Demoi-Cracy</w:t>
            </w:r>
            <w:r>
              <w:rPr/>
              <w:tab/>
            </w:r>
            <w:r>
              <w:rPr>
                <w:spacing w:val="-5"/>
              </w:rPr>
              <w:t>150</w:t>
            </w:r>
          </w:hyperlink>
        </w:p>
        <w:p>
          <w:pPr>
            <w:pStyle w:val="TOC3"/>
            <w:numPr>
              <w:ilvl w:val="1"/>
              <w:numId w:val="1"/>
            </w:numPr>
            <w:tabs>
              <w:tab w:pos="1525" w:val="left" w:leader="none"/>
              <w:tab w:pos="9238" w:val="right" w:leader="dot"/>
            </w:tabs>
            <w:spacing w:line="240" w:lineRule="auto" w:before="0" w:after="0"/>
            <w:ind w:left="1525" w:right="0" w:hanging="325"/>
            <w:jc w:val="left"/>
          </w:pPr>
          <w:hyperlink w:history="true" w:anchor="_bookmark42">
            <w:r>
              <w:rPr/>
              <w:t>-</w:t>
            </w:r>
            <w:r>
              <w:rPr>
                <w:spacing w:val="-7"/>
              </w:rPr>
              <w:t> </w:t>
            </w:r>
            <w:r>
              <w:rPr/>
              <w:t>Accountability</w:t>
            </w:r>
            <w:r>
              <w:rPr>
                <w:spacing w:val="-6"/>
              </w:rPr>
              <w:t> </w:t>
            </w:r>
            <w:r>
              <w:rPr/>
              <w:t>Of</w:t>
            </w:r>
            <w:r>
              <w:rPr>
                <w:spacing w:val="-5"/>
              </w:rPr>
              <w:t> </w:t>
            </w:r>
            <w:r>
              <w:rPr/>
              <w:t>The</w:t>
            </w:r>
            <w:r>
              <w:rPr>
                <w:spacing w:val="-6"/>
              </w:rPr>
              <w:t> </w:t>
            </w:r>
            <w:r>
              <w:rPr/>
              <w:t>EU</w:t>
            </w:r>
            <w:r>
              <w:rPr>
                <w:spacing w:val="-3"/>
              </w:rPr>
              <w:t> </w:t>
            </w:r>
            <w:r>
              <w:rPr>
                <w:spacing w:val="-2"/>
              </w:rPr>
              <w:t>Institutions</w:t>
            </w:r>
            <w:r>
              <w:rPr/>
              <w:tab/>
            </w:r>
            <w:r>
              <w:rPr>
                <w:spacing w:val="-5"/>
              </w:rPr>
              <w:t>154</w:t>
            </w:r>
          </w:hyperlink>
        </w:p>
        <w:p>
          <w:pPr>
            <w:pStyle w:val="TOC4"/>
            <w:numPr>
              <w:ilvl w:val="2"/>
              <w:numId w:val="2"/>
            </w:numPr>
            <w:tabs>
              <w:tab w:pos="1911" w:val="left" w:leader="none"/>
              <w:tab w:pos="9238" w:val="right" w:leader="dot"/>
            </w:tabs>
            <w:spacing w:line="240" w:lineRule="auto" w:before="1" w:after="0"/>
            <w:ind w:left="1911" w:right="0" w:hanging="490"/>
            <w:jc w:val="left"/>
          </w:pPr>
          <w:hyperlink w:history="true" w:anchor="_bookmark43">
            <w:r>
              <w:rPr/>
              <w:t>Direct</w:t>
            </w:r>
            <w:r>
              <w:rPr>
                <w:spacing w:val="-9"/>
              </w:rPr>
              <w:t> </w:t>
            </w:r>
            <w:r>
              <w:rPr/>
              <w:t>Accountability</w:t>
            </w:r>
            <w:r>
              <w:rPr>
                <w:spacing w:val="-6"/>
              </w:rPr>
              <w:t> </w:t>
            </w:r>
            <w:r>
              <w:rPr/>
              <w:t>Versus</w:t>
            </w:r>
            <w:r>
              <w:rPr>
                <w:spacing w:val="-6"/>
              </w:rPr>
              <w:t> </w:t>
            </w:r>
            <w:r>
              <w:rPr/>
              <w:t>Transparency</w:t>
            </w:r>
            <w:r>
              <w:rPr>
                <w:spacing w:val="-2"/>
              </w:rPr>
              <w:t> </w:t>
            </w:r>
            <w:r>
              <w:rPr/>
              <w:t>–</w:t>
            </w:r>
            <w:r>
              <w:rPr>
                <w:spacing w:val="-6"/>
              </w:rPr>
              <w:t> </w:t>
            </w:r>
            <w:r>
              <w:rPr/>
              <w:t>Case</w:t>
            </w:r>
            <w:r>
              <w:rPr>
                <w:spacing w:val="-6"/>
              </w:rPr>
              <w:t> </w:t>
            </w:r>
            <w:r>
              <w:rPr>
                <w:spacing w:val="-2"/>
              </w:rPr>
              <w:t>Council</w:t>
            </w:r>
            <w:r>
              <w:rPr/>
              <w:tab/>
            </w:r>
            <w:r>
              <w:rPr>
                <w:spacing w:val="-5"/>
              </w:rPr>
              <w:t>162</w:t>
            </w:r>
          </w:hyperlink>
        </w:p>
        <w:p>
          <w:pPr>
            <w:pStyle w:val="TOC3"/>
            <w:numPr>
              <w:ilvl w:val="1"/>
              <w:numId w:val="1"/>
            </w:numPr>
            <w:tabs>
              <w:tab w:pos="1524" w:val="left" w:leader="none"/>
              <w:tab w:pos="9238" w:val="right" w:leader="dot"/>
            </w:tabs>
            <w:spacing w:line="240" w:lineRule="auto" w:before="0" w:after="0"/>
            <w:ind w:left="1524" w:right="0" w:hanging="324"/>
            <w:jc w:val="left"/>
          </w:pPr>
          <w:hyperlink w:history="true" w:anchor="_bookmark45">
            <w:r>
              <w:rPr>
                <w:spacing w:val="-2"/>
              </w:rPr>
              <w:t>No-Deficit</w:t>
            </w:r>
            <w:r>
              <w:rPr/>
              <w:tab/>
            </w:r>
            <w:r>
              <w:rPr>
                <w:spacing w:val="-5"/>
              </w:rPr>
              <w:t>169</w:t>
            </w:r>
          </w:hyperlink>
        </w:p>
        <w:p>
          <w:pPr>
            <w:pStyle w:val="TOC3"/>
            <w:numPr>
              <w:ilvl w:val="1"/>
              <w:numId w:val="1"/>
            </w:numPr>
            <w:tabs>
              <w:tab w:pos="1572" w:val="left" w:leader="none"/>
              <w:tab w:pos="9238" w:val="right" w:leader="dot"/>
            </w:tabs>
            <w:spacing w:line="240" w:lineRule="auto" w:before="0" w:after="0"/>
            <w:ind w:left="1572" w:right="0" w:hanging="372"/>
            <w:jc w:val="left"/>
          </w:pPr>
          <w:hyperlink w:history="true" w:anchor="_bookmark46">
            <w:r>
              <w:rPr/>
              <w:t>Concluding</w:t>
            </w:r>
            <w:r>
              <w:rPr>
                <w:spacing w:val="-7"/>
              </w:rPr>
              <w:t> </w:t>
            </w:r>
            <w:r>
              <w:rPr>
                <w:spacing w:val="-2"/>
              </w:rPr>
              <w:t>points</w:t>
            </w:r>
            <w:r>
              <w:rPr/>
              <w:tab/>
            </w:r>
            <w:r>
              <w:rPr>
                <w:spacing w:val="-5"/>
              </w:rPr>
              <w:t>172</w:t>
            </w:r>
          </w:hyperlink>
        </w:p>
        <w:p>
          <w:pPr>
            <w:pStyle w:val="TOC1"/>
            <w:numPr>
              <w:ilvl w:val="0"/>
              <w:numId w:val="1"/>
            </w:numPr>
            <w:tabs>
              <w:tab w:pos="1492" w:val="left" w:leader="none"/>
              <w:tab w:pos="10371" w:val="right" w:leader="dot"/>
            </w:tabs>
            <w:spacing w:line="240" w:lineRule="auto" w:before="1" w:after="0"/>
            <w:ind w:left="1492" w:right="0" w:hanging="513"/>
            <w:jc w:val="left"/>
          </w:pPr>
          <w:hyperlink w:history="true" w:anchor="_bookmark47">
            <w:r>
              <w:rPr/>
              <w:t>CHAPTER</w:t>
            </w:r>
            <w:r>
              <w:rPr>
                <w:spacing w:val="-8"/>
              </w:rPr>
              <w:t> </w:t>
            </w:r>
            <w:r>
              <w:rPr>
                <w:spacing w:val="-4"/>
              </w:rPr>
              <w:t>FIVE</w:t>
            </w:r>
            <w:r>
              <w:rPr/>
              <w:tab/>
            </w:r>
            <w:r>
              <w:rPr>
                <w:spacing w:val="-5"/>
              </w:rPr>
              <w:t>177</w:t>
            </w:r>
          </w:hyperlink>
        </w:p>
        <w:p>
          <w:pPr>
            <w:pStyle w:val="TOC3"/>
            <w:numPr>
              <w:ilvl w:val="1"/>
              <w:numId w:val="1"/>
            </w:numPr>
            <w:tabs>
              <w:tab w:pos="1620" w:val="left" w:leader="none"/>
              <w:tab w:pos="9238" w:val="right" w:leader="dot"/>
            </w:tabs>
            <w:spacing w:line="240" w:lineRule="auto" w:before="0" w:after="0"/>
            <w:ind w:left="1620" w:right="0" w:hanging="420"/>
            <w:jc w:val="left"/>
          </w:pPr>
          <w:hyperlink w:history="true" w:anchor="_bookmark48">
            <w:r>
              <w:rPr/>
              <w:t>Drawing</w:t>
            </w:r>
            <w:r>
              <w:rPr>
                <w:spacing w:val="-2"/>
              </w:rPr>
              <w:t> </w:t>
            </w:r>
            <w:r>
              <w:rPr/>
              <w:t>a</w:t>
            </w:r>
            <w:r>
              <w:rPr>
                <w:spacing w:val="-2"/>
              </w:rPr>
              <w:t> Distinction</w:t>
            </w:r>
            <w:r>
              <w:rPr/>
              <w:tab/>
            </w:r>
            <w:r>
              <w:rPr>
                <w:spacing w:val="-5"/>
              </w:rPr>
              <w:t>177</w:t>
            </w:r>
          </w:hyperlink>
        </w:p>
        <w:p>
          <w:pPr>
            <w:pStyle w:val="TOC3"/>
            <w:numPr>
              <w:ilvl w:val="1"/>
              <w:numId w:val="1"/>
            </w:numPr>
            <w:tabs>
              <w:tab w:pos="1524" w:val="left" w:leader="none"/>
              <w:tab w:pos="9238" w:val="right" w:leader="dot"/>
            </w:tabs>
            <w:spacing w:line="240" w:lineRule="auto" w:before="0" w:after="0"/>
            <w:ind w:left="1524" w:right="0" w:hanging="324"/>
            <w:jc w:val="left"/>
          </w:pPr>
          <w:hyperlink w:history="true" w:anchor="_bookmark49">
            <w:r>
              <w:rPr/>
              <w:t>General</w:t>
            </w:r>
            <w:r>
              <w:rPr>
                <w:spacing w:val="-1"/>
              </w:rPr>
              <w:t> </w:t>
            </w:r>
            <w:r>
              <w:rPr>
                <w:spacing w:val="-2"/>
              </w:rPr>
              <w:t>Propositions</w:t>
            </w:r>
            <w:r>
              <w:rPr/>
              <w:tab/>
            </w:r>
            <w:r>
              <w:rPr>
                <w:spacing w:val="-5"/>
              </w:rPr>
              <w:t>179</w:t>
            </w:r>
          </w:hyperlink>
        </w:p>
        <w:p>
          <w:pPr>
            <w:pStyle w:val="TOC3"/>
            <w:numPr>
              <w:ilvl w:val="1"/>
              <w:numId w:val="1"/>
            </w:numPr>
            <w:tabs>
              <w:tab w:pos="1524" w:val="left" w:leader="none"/>
              <w:tab w:pos="9238" w:val="right" w:leader="dot"/>
            </w:tabs>
            <w:spacing w:line="240" w:lineRule="auto" w:before="1" w:after="20"/>
            <w:ind w:left="1524" w:right="0" w:hanging="324"/>
            <w:jc w:val="left"/>
          </w:pPr>
          <w:hyperlink w:history="true" w:anchor="_bookmark50">
            <w:r>
              <w:rPr/>
              <w:t>Internal</w:t>
            </w:r>
            <w:r>
              <w:rPr>
                <w:spacing w:val="-4"/>
              </w:rPr>
              <w:t> </w:t>
            </w:r>
            <w:r>
              <w:rPr/>
              <w:t>Operations</w:t>
            </w:r>
            <w:r>
              <w:rPr>
                <w:spacing w:val="-4"/>
              </w:rPr>
              <w:t> </w:t>
            </w:r>
            <w:r>
              <w:rPr/>
              <w:t>–</w:t>
            </w:r>
            <w:r>
              <w:rPr>
                <w:spacing w:val="-5"/>
              </w:rPr>
              <w:t> </w:t>
            </w:r>
            <w:r>
              <w:rPr>
                <w:spacing w:val="-2"/>
              </w:rPr>
              <w:t>Governance</w:t>
            </w:r>
            <w:r>
              <w:rPr/>
              <w:tab/>
            </w:r>
            <w:r>
              <w:rPr>
                <w:spacing w:val="-5"/>
              </w:rPr>
              <w:t>181</w:t>
            </w:r>
          </w:hyperlink>
        </w:p>
        <w:p>
          <w:pPr>
            <w:pStyle w:val="TOC3"/>
            <w:numPr>
              <w:ilvl w:val="1"/>
              <w:numId w:val="1"/>
            </w:numPr>
            <w:tabs>
              <w:tab w:pos="1524" w:val="left" w:leader="none"/>
              <w:tab w:pos="9238" w:val="right" w:leader="dot"/>
            </w:tabs>
            <w:spacing w:line="240" w:lineRule="auto" w:before="43" w:after="0"/>
            <w:ind w:left="1524" w:right="0" w:hanging="324"/>
            <w:jc w:val="left"/>
          </w:pPr>
          <w:hyperlink w:history="true" w:anchor="_bookmark52">
            <w:r>
              <w:rPr/>
              <w:t>Legal</w:t>
            </w:r>
            <w:r>
              <w:rPr>
                <w:spacing w:val="-2"/>
              </w:rPr>
              <w:t> System</w:t>
            </w:r>
            <w:r>
              <w:rPr/>
              <w:tab/>
            </w:r>
            <w:r>
              <w:rPr>
                <w:spacing w:val="-5"/>
              </w:rPr>
              <w:t>185</w:t>
            </w:r>
          </w:hyperlink>
        </w:p>
        <w:p>
          <w:pPr>
            <w:pStyle w:val="TOC3"/>
            <w:numPr>
              <w:ilvl w:val="1"/>
              <w:numId w:val="1"/>
            </w:numPr>
            <w:tabs>
              <w:tab w:pos="1524" w:val="left" w:leader="none"/>
              <w:tab w:pos="9238" w:val="right" w:leader="dot"/>
            </w:tabs>
            <w:spacing w:line="240" w:lineRule="auto" w:before="1" w:after="0"/>
            <w:ind w:left="1524" w:right="0" w:hanging="324"/>
            <w:jc w:val="left"/>
          </w:pPr>
          <w:hyperlink w:history="true" w:anchor="_bookmark54">
            <w:r>
              <w:rPr/>
              <w:t>Economic</w:t>
            </w:r>
            <w:r>
              <w:rPr>
                <w:spacing w:val="-10"/>
              </w:rPr>
              <w:t> </w:t>
            </w:r>
            <w:r>
              <w:rPr>
                <w:spacing w:val="-2"/>
              </w:rPr>
              <w:t>System</w:t>
            </w:r>
            <w:r>
              <w:rPr/>
              <w:tab/>
            </w:r>
            <w:r>
              <w:rPr>
                <w:spacing w:val="-5"/>
              </w:rPr>
              <w:t>201</w:t>
            </w:r>
          </w:hyperlink>
        </w:p>
        <w:p>
          <w:pPr>
            <w:pStyle w:val="TOC3"/>
            <w:numPr>
              <w:ilvl w:val="1"/>
              <w:numId w:val="1"/>
            </w:numPr>
            <w:tabs>
              <w:tab w:pos="1524" w:val="left" w:leader="none"/>
              <w:tab w:pos="9238" w:val="right" w:leader="dot"/>
            </w:tabs>
            <w:spacing w:line="240" w:lineRule="auto" w:before="0" w:after="0"/>
            <w:ind w:left="1524" w:right="0" w:hanging="324"/>
            <w:jc w:val="left"/>
          </w:pPr>
          <w:hyperlink w:history="true" w:anchor="_bookmark55">
            <w:r>
              <w:rPr/>
              <w:t>External</w:t>
            </w:r>
            <w:r>
              <w:rPr>
                <w:spacing w:val="-3"/>
              </w:rPr>
              <w:t> </w:t>
            </w:r>
            <w:r>
              <w:rPr/>
              <w:t>Governance</w:t>
            </w:r>
            <w:r>
              <w:rPr>
                <w:spacing w:val="-4"/>
              </w:rPr>
              <w:t> </w:t>
            </w:r>
            <w:r>
              <w:rPr/>
              <w:t>-</w:t>
            </w:r>
            <w:r>
              <w:rPr>
                <w:spacing w:val="42"/>
              </w:rPr>
              <w:t> </w:t>
            </w:r>
            <w:r>
              <w:rPr>
                <w:spacing w:val="-2"/>
              </w:rPr>
              <w:t>Security</w:t>
            </w:r>
            <w:r>
              <w:rPr/>
              <w:tab/>
            </w:r>
            <w:r>
              <w:rPr>
                <w:spacing w:val="-5"/>
              </w:rPr>
              <w:t>206</w:t>
            </w:r>
          </w:hyperlink>
        </w:p>
        <w:p>
          <w:pPr>
            <w:pStyle w:val="TOC3"/>
            <w:numPr>
              <w:ilvl w:val="1"/>
              <w:numId w:val="1"/>
            </w:numPr>
            <w:tabs>
              <w:tab w:pos="1524" w:val="left" w:leader="none"/>
              <w:tab w:pos="9238" w:val="right" w:leader="dot"/>
            </w:tabs>
            <w:spacing w:line="240" w:lineRule="auto" w:before="1" w:after="0"/>
            <w:ind w:left="1524" w:right="0" w:hanging="324"/>
            <w:jc w:val="left"/>
          </w:pPr>
          <w:hyperlink w:history="true" w:anchor="_bookmark58">
            <w:r>
              <w:rPr/>
              <w:t>Mapping</w:t>
            </w:r>
            <w:r>
              <w:rPr>
                <w:spacing w:val="-6"/>
              </w:rPr>
              <w:t> </w:t>
            </w:r>
            <w:r>
              <w:rPr/>
              <w:t>the</w:t>
            </w:r>
            <w:r>
              <w:rPr>
                <w:spacing w:val="-6"/>
              </w:rPr>
              <w:t> </w:t>
            </w:r>
            <w:r>
              <w:rPr/>
              <w:t>European</w:t>
            </w:r>
            <w:r>
              <w:rPr>
                <w:spacing w:val="-3"/>
              </w:rPr>
              <w:t> </w:t>
            </w:r>
            <w:r>
              <w:rPr/>
              <w:t>Union</w:t>
            </w:r>
            <w:r>
              <w:rPr>
                <w:spacing w:val="-7"/>
              </w:rPr>
              <w:t> </w:t>
            </w:r>
            <w:r>
              <w:rPr>
                <w:spacing w:val="-2"/>
              </w:rPr>
              <w:t>Systems</w:t>
            </w:r>
            <w:r>
              <w:rPr/>
              <w:tab/>
            </w:r>
            <w:r>
              <w:rPr>
                <w:spacing w:val="-5"/>
              </w:rPr>
              <w:t>222</w:t>
            </w:r>
          </w:hyperlink>
        </w:p>
        <w:p>
          <w:pPr>
            <w:pStyle w:val="TOC2"/>
            <w:tabs>
              <w:tab w:pos="10371" w:val="right" w:leader="dot"/>
            </w:tabs>
          </w:pPr>
          <w:hyperlink w:history="true" w:anchor="_bookmark61">
            <w:r>
              <w:rPr/>
              <w:t>Concluding</w:t>
            </w:r>
            <w:r>
              <w:rPr>
                <w:spacing w:val="-8"/>
              </w:rPr>
              <w:t> </w:t>
            </w:r>
            <w:r>
              <w:rPr>
                <w:spacing w:val="-2"/>
              </w:rPr>
              <w:t>Points</w:t>
            </w:r>
            <w:r>
              <w:rPr/>
              <w:tab/>
            </w:r>
            <w:r>
              <w:rPr>
                <w:spacing w:val="-5"/>
              </w:rPr>
              <w:t>227</w:t>
            </w:r>
          </w:hyperlink>
        </w:p>
        <w:p>
          <w:pPr>
            <w:pStyle w:val="TOC2"/>
            <w:tabs>
              <w:tab w:pos="10371" w:val="right" w:leader="dot"/>
            </w:tabs>
          </w:pPr>
          <w:hyperlink w:history="true" w:anchor="_bookmark62">
            <w:r>
              <w:rPr>
                <w:spacing w:val="-2"/>
              </w:rPr>
              <w:t>Bibliography</w:t>
            </w:r>
            <w:r>
              <w:rPr/>
              <w:tab/>
            </w:r>
            <w:r>
              <w:rPr>
                <w:spacing w:val="-5"/>
              </w:rPr>
              <w:t>230</w:t>
            </w:r>
          </w:hyperlink>
        </w:p>
      </w:sdtContent>
    </w:sdt>
    <w:p>
      <w:pPr>
        <w:pStyle w:val="TOC2"/>
        <w:spacing w:after="0"/>
        <w:sectPr>
          <w:type w:val="continuous"/>
          <w:pgSz w:w="12240" w:h="15840"/>
          <w:pgMar w:top="1600" w:bottom="1452" w:left="720" w:right="360"/>
        </w:sectPr>
      </w:pPr>
    </w:p>
    <w:p>
      <w:pPr>
        <w:spacing w:before="28"/>
        <w:ind w:left="0" w:right="932" w:firstLine="0"/>
        <w:jc w:val="center"/>
        <w:rPr>
          <w:rFonts w:ascii="Calibri"/>
          <w:b/>
          <w:sz w:val="24"/>
        </w:rPr>
      </w:pPr>
      <w:r>
        <w:rPr>
          <w:rFonts w:ascii="Calibri"/>
          <w:b/>
          <w:sz w:val="24"/>
        </w:rPr>
        <mc:AlternateContent>
          <mc:Choice Requires="wps">
            <w:drawing>
              <wp:anchor distT="0" distB="0" distL="0" distR="0" allowOverlap="1" layoutInCell="1" locked="0" behindDoc="1" simplePos="0" relativeHeight="487588864">
                <wp:simplePos x="0" y="0"/>
                <wp:positionH relativeFrom="page">
                  <wp:posOffset>1061008</wp:posOffset>
                </wp:positionH>
                <wp:positionV relativeFrom="paragraph">
                  <wp:posOffset>215138</wp:posOffset>
                </wp:positionV>
                <wp:extent cx="5290820" cy="635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5290820" cy="6350"/>
                        </a:xfrm>
                        <a:custGeom>
                          <a:avLst/>
                          <a:gdLst/>
                          <a:ahLst/>
                          <a:cxnLst/>
                          <a:rect l="l" t="t" r="r" b="b"/>
                          <a:pathLst>
                            <a:path w="5290820" h="6350">
                              <a:moveTo>
                                <a:pt x="5290439" y="0"/>
                              </a:moveTo>
                              <a:lnTo>
                                <a:pt x="0" y="0"/>
                              </a:lnTo>
                              <a:lnTo>
                                <a:pt x="0" y="6096"/>
                              </a:lnTo>
                              <a:lnTo>
                                <a:pt x="5290439" y="6096"/>
                              </a:lnTo>
                              <a:lnTo>
                                <a:pt x="52904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3.543999pt;margin-top:16.940001pt;width:416.57pt;height:.48pt;mso-position-horizontal-relative:page;mso-position-vertical-relative:paragraph;z-index:-15727616;mso-wrap-distance-left:0;mso-wrap-distance-right:0" id="docshape5" filled="true" fillcolor="#000000" stroked="false">
                <v:fill type="solid"/>
                <w10:wrap type="topAndBottom"/>
              </v:rect>
            </w:pict>
          </mc:Fallback>
        </mc:AlternateContent>
      </w:r>
      <w:r>
        <w:rPr>
          <w:rFonts w:ascii="Calibri"/>
          <w:b/>
          <w:sz w:val="24"/>
        </w:rPr>
        <w:t>The</w:t>
      </w:r>
      <w:r>
        <w:rPr>
          <w:rFonts w:ascii="Calibri"/>
          <w:b/>
          <w:spacing w:val="-5"/>
          <w:sz w:val="24"/>
        </w:rPr>
        <w:t> </w:t>
      </w:r>
      <w:r>
        <w:rPr>
          <w:rFonts w:ascii="Calibri"/>
          <w:b/>
          <w:sz w:val="24"/>
        </w:rPr>
        <w:t>list</w:t>
      </w:r>
      <w:r>
        <w:rPr>
          <w:rFonts w:ascii="Calibri"/>
          <w:b/>
          <w:spacing w:val="-5"/>
          <w:sz w:val="24"/>
        </w:rPr>
        <w:t> </w:t>
      </w:r>
      <w:r>
        <w:rPr>
          <w:rFonts w:ascii="Calibri"/>
          <w:b/>
          <w:sz w:val="24"/>
        </w:rPr>
        <w:t>of</w:t>
      </w:r>
      <w:r>
        <w:rPr>
          <w:rFonts w:ascii="Calibri"/>
          <w:b/>
          <w:spacing w:val="-2"/>
          <w:sz w:val="24"/>
        </w:rPr>
        <w:t> abbreviations</w:t>
      </w:r>
    </w:p>
    <w:p>
      <w:pPr>
        <w:pStyle w:val="BodyText"/>
        <w:spacing w:before="1"/>
        <w:ind w:left="0"/>
        <w:jc w:val="left"/>
        <w:rPr>
          <w:rFonts w:ascii="Calibri"/>
          <w:b/>
          <w:sz w:val="24"/>
        </w:rPr>
      </w:pPr>
    </w:p>
    <w:p>
      <w:pPr>
        <w:tabs>
          <w:tab w:pos="2420" w:val="left" w:leader="none"/>
        </w:tabs>
        <w:spacing w:before="0"/>
        <w:ind w:left="979" w:right="0" w:firstLine="0"/>
        <w:jc w:val="left"/>
        <w:rPr>
          <w:rFonts w:ascii="Calibri"/>
          <w:sz w:val="24"/>
        </w:rPr>
      </w:pPr>
      <w:r>
        <w:rPr>
          <w:rFonts w:ascii="Calibri"/>
          <w:spacing w:val="-5"/>
          <w:sz w:val="24"/>
        </w:rPr>
        <w:t>CBI</w:t>
      </w:r>
      <w:r>
        <w:rPr>
          <w:rFonts w:ascii="Calibri"/>
          <w:sz w:val="24"/>
        </w:rPr>
        <w:tab/>
        <w:t>Confederation</w:t>
      </w:r>
      <w:r>
        <w:rPr>
          <w:rFonts w:ascii="Calibri"/>
          <w:spacing w:val="-7"/>
          <w:sz w:val="24"/>
        </w:rPr>
        <w:t> </w:t>
      </w:r>
      <w:r>
        <w:rPr>
          <w:rFonts w:ascii="Calibri"/>
          <w:sz w:val="24"/>
        </w:rPr>
        <w:t>of</w:t>
      </w:r>
      <w:r>
        <w:rPr>
          <w:rFonts w:ascii="Calibri"/>
          <w:spacing w:val="-7"/>
          <w:sz w:val="24"/>
        </w:rPr>
        <w:t> </w:t>
      </w:r>
      <w:r>
        <w:rPr>
          <w:rFonts w:ascii="Calibri"/>
          <w:sz w:val="24"/>
        </w:rPr>
        <w:t>British</w:t>
      </w:r>
      <w:r>
        <w:rPr>
          <w:rFonts w:ascii="Calibri"/>
          <w:spacing w:val="-6"/>
          <w:sz w:val="24"/>
        </w:rPr>
        <w:t> </w:t>
      </w:r>
      <w:r>
        <w:rPr>
          <w:rFonts w:ascii="Calibri"/>
          <w:spacing w:val="-2"/>
          <w:sz w:val="24"/>
        </w:rPr>
        <w:t>Industry</w:t>
      </w:r>
    </w:p>
    <w:p>
      <w:pPr>
        <w:tabs>
          <w:tab w:pos="2420" w:val="left" w:leader="none"/>
        </w:tabs>
        <w:spacing w:before="1"/>
        <w:ind w:left="979" w:right="4784" w:firstLine="0"/>
        <w:jc w:val="left"/>
        <w:rPr>
          <w:rFonts w:ascii="Calibri"/>
          <w:sz w:val="24"/>
        </w:rPr>
      </w:pPr>
      <w:r>
        <w:rPr>
          <w:rFonts w:ascii="Calibri"/>
          <w:spacing w:val="-4"/>
          <w:sz w:val="24"/>
        </w:rPr>
        <w:t>CCO</w:t>
      </w:r>
      <w:r>
        <w:rPr>
          <w:rFonts w:ascii="Calibri"/>
          <w:sz w:val="24"/>
        </w:rPr>
        <w:tab/>
        <w:t>Communication</w:t>
      </w:r>
      <w:r>
        <w:rPr>
          <w:rFonts w:ascii="Calibri"/>
          <w:spacing w:val="-14"/>
          <w:sz w:val="24"/>
        </w:rPr>
        <w:t> </w:t>
      </w:r>
      <w:r>
        <w:rPr>
          <w:rFonts w:ascii="Calibri"/>
          <w:sz w:val="24"/>
        </w:rPr>
        <w:t>constitutes</w:t>
      </w:r>
      <w:r>
        <w:rPr>
          <w:rFonts w:ascii="Calibri"/>
          <w:spacing w:val="-14"/>
          <w:sz w:val="24"/>
        </w:rPr>
        <w:t> </w:t>
      </w:r>
      <w:r>
        <w:rPr>
          <w:rFonts w:ascii="Calibri"/>
          <w:sz w:val="24"/>
        </w:rPr>
        <w:t>organization </w:t>
      </w:r>
      <w:r>
        <w:rPr>
          <w:rFonts w:ascii="Calibri"/>
          <w:spacing w:val="-4"/>
          <w:sz w:val="24"/>
        </w:rPr>
        <w:t>CFSP</w:t>
      </w:r>
      <w:r>
        <w:rPr>
          <w:rFonts w:ascii="Calibri"/>
          <w:sz w:val="24"/>
        </w:rPr>
        <w:tab/>
        <w:t>Common Foreign and Security Policy</w:t>
      </w:r>
    </w:p>
    <w:p>
      <w:pPr>
        <w:tabs>
          <w:tab w:pos="2420" w:val="left" w:leader="none"/>
        </w:tabs>
        <w:spacing w:before="0"/>
        <w:ind w:left="979" w:right="4552" w:firstLine="0"/>
        <w:jc w:val="left"/>
        <w:rPr>
          <w:rFonts w:ascii="Calibri"/>
          <w:sz w:val="24"/>
        </w:rPr>
      </w:pPr>
      <w:r>
        <w:rPr>
          <w:rFonts w:ascii="Calibri"/>
          <w:spacing w:val="-4"/>
          <w:sz w:val="24"/>
        </w:rPr>
        <w:t>CJEU</w:t>
      </w:r>
      <w:r>
        <w:rPr>
          <w:rFonts w:ascii="Calibri"/>
          <w:sz w:val="24"/>
        </w:rPr>
        <w:tab/>
        <w:t>The</w:t>
      </w:r>
      <w:r>
        <w:rPr>
          <w:rFonts w:ascii="Calibri"/>
          <w:spacing w:val="-7"/>
          <w:sz w:val="24"/>
        </w:rPr>
        <w:t> </w:t>
      </w:r>
      <w:r>
        <w:rPr>
          <w:rFonts w:ascii="Calibri"/>
          <w:sz w:val="24"/>
        </w:rPr>
        <w:t>Court</w:t>
      </w:r>
      <w:r>
        <w:rPr>
          <w:rFonts w:ascii="Calibri"/>
          <w:spacing w:val="-7"/>
          <w:sz w:val="24"/>
        </w:rPr>
        <w:t> </w:t>
      </w:r>
      <w:r>
        <w:rPr>
          <w:rFonts w:ascii="Calibri"/>
          <w:sz w:val="24"/>
        </w:rPr>
        <w:t>of</w:t>
      </w:r>
      <w:r>
        <w:rPr>
          <w:rFonts w:ascii="Calibri"/>
          <w:spacing w:val="-9"/>
          <w:sz w:val="24"/>
        </w:rPr>
        <w:t> </w:t>
      </w:r>
      <w:r>
        <w:rPr>
          <w:rFonts w:ascii="Calibri"/>
          <w:sz w:val="24"/>
        </w:rPr>
        <w:t>Justice</w:t>
      </w:r>
      <w:r>
        <w:rPr>
          <w:rFonts w:ascii="Calibri"/>
          <w:spacing w:val="-7"/>
          <w:sz w:val="24"/>
        </w:rPr>
        <w:t> </w:t>
      </w:r>
      <w:r>
        <w:rPr>
          <w:rFonts w:ascii="Calibri"/>
          <w:sz w:val="24"/>
        </w:rPr>
        <w:t>of</w:t>
      </w:r>
      <w:r>
        <w:rPr>
          <w:rFonts w:ascii="Calibri"/>
          <w:spacing w:val="-5"/>
          <w:sz w:val="24"/>
        </w:rPr>
        <w:t> </w:t>
      </w:r>
      <w:r>
        <w:rPr>
          <w:rFonts w:ascii="Calibri"/>
          <w:sz w:val="24"/>
        </w:rPr>
        <w:t>the</w:t>
      </w:r>
      <w:r>
        <w:rPr>
          <w:rFonts w:ascii="Calibri"/>
          <w:spacing w:val="-7"/>
          <w:sz w:val="24"/>
        </w:rPr>
        <w:t> </w:t>
      </w:r>
      <w:r>
        <w:rPr>
          <w:rFonts w:ascii="Calibri"/>
          <w:sz w:val="24"/>
        </w:rPr>
        <w:t>European</w:t>
      </w:r>
      <w:r>
        <w:rPr>
          <w:rFonts w:ascii="Calibri"/>
          <w:spacing w:val="-9"/>
          <w:sz w:val="24"/>
        </w:rPr>
        <w:t> </w:t>
      </w:r>
      <w:r>
        <w:rPr>
          <w:rFonts w:ascii="Calibri"/>
          <w:sz w:val="24"/>
        </w:rPr>
        <w:t>Union </w:t>
      </w:r>
      <w:r>
        <w:rPr>
          <w:rFonts w:ascii="Calibri"/>
          <w:spacing w:val="-4"/>
          <w:sz w:val="24"/>
        </w:rPr>
        <w:t>CJTF</w:t>
      </w:r>
      <w:r>
        <w:rPr>
          <w:rFonts w:ascii="Calibri"/>
          <w:sz w:val="24"/>
        </w:rPr>
        <w:tab/>
        <w:t>Combined Joined Task Forces</w:t>
      </w:r>
    </w:p>
    <w:p>
      <w:pPr>
        <w:tabs>
          <w:tab w:pos="2420" w:val="left" w:leader="none"/>
        </w:tabs>
        <w:spacing w:before="0"/>
        <w:ind w:left="979" w:right="5108" w:firstLine="0"/>
        <w:jc w:val="left"/>
        <w:rPr>
          <w:rFonts w:ascii="Calibri"/>
          <w:sz w:val="24"/>
        </w:rPr>
      </w:pPr>
      <w:r>
        <w:rPr>
          <w:rFonts w:ascii="Calibri"/>
          <w:spacing w:val="-4"/>
          <w:sz w:val="24"/>
        </w:rPr>
        <w:t>CSDP</w:t>
      </w:r>
      <w:r>
        <w:rPr>
          <w:rFonts w:ascii="Calibri"/>
          <w:sz w:val="24"/>
        </w:rPr>
        <w:tab/>
        <w:t>Common</w:t>
      </w:r>
      <w:r>
        <w:rPr>
          <w:rFonts w:ascii="Calibri"/>
          <w:spacing w:val="-13"/>
          <w:sz w:val="24"/>
        </w:rPr>
        <w:t> </w:t>
      </w:r>
      <w:r>
        <w:rPr>
          <w:rFonts w:ascii="Calibri"/>
          <w:sz w:val="24"/>
        </w:rPr>
        <w:t>Security</w:t>
      </w:r>
      <w:r>
        <w:rPr>
          <w:rFonts w:ascii="Calibri"/>
          <w:spacing w:val="-10"/>
          <w:sz w:val="24"/>
        </w:rPr>
        <w:t> </w:t>
      </w:r>
      <w:r>
        <w:rPr>
          <w:rFonts w:ascii="Calibri"/>
          <w:sz w:val="24"/>
        </w:rPr>
        <w:t>and</w:t>
      </w:r>
      <w:r>
        <w:rPr>
          <w:rFonts w:ascii="Calibri"/>
          <w:spacing w:val="-13"/>
          <w:sz w:val="24"/>
        </w:rPr>
        <w:t> </w:t>
      </w:r>
      <w:r>
        <w:rPr>
          <w:rFonts w:ascii="Calibri"/>
          <w:sz w:val="24"/>
        </w:rPr>
        <w:t>Defence</w:t>
      </w:r>
      <w:r>
        <w:rPr>
          <w:rFonts w:ascii="Calibri"/>
          <w:spacing w:val="-11"/>
          <w:sz w:val="24"/>
        </w:rPr>
        <w:t> </w:t>
      </w:r>
      <w:r>
        <w:rPr>
          <w:rFonts w:ascii="Calibri"/>
          <w:sz w:val="24"/>
        </w:rPr>
        <w:t>Policy </w:t>
      </w:r>
      <w:r>
        <w:rPr>
          <w:rFonts w:ascii="Calibri"/>
          <w:spacing w:val="-4"/>
          <w:sz w:val="24"/>
        </w:rPr>
        <w:t>DNP</w:t>
      </w:r>
      <w:r>
        <w:rPr>
          <w:rFonts w:ascii="Calibri"/>
          <w:sz w:val="24"/>
        </w:rPr>
        <w:tab/>
        <w:t>Discursive nodal point</w:t>
      </w:r>
    </w:p>
    <w:p>
      <w:pPr>
        <w:tabs>
          <w:tab w:pos="2420" w:val="left" w:leader="none"/>
        </w:tabs>
        <w:spacing w:before="0"/>
        <w:ind w:left="979" w:right="0" w:firstLine="0"/>
        <w:jc w:val="left"/>
        <w:rPr>
          <w:rFonts w:ascii="Calibri"/>
          <w:sz w:val="24"/>
        </w:rPr>
      </w:pPr>
      <w:r>
        <w:rPr>
          <w:rFonts w:ascii="Calibri"/>
          <w:spacing w:val="-5"/>
          <w:sz w:val="24"/>
        </w:rPr>
        <w:t>ECB</w:t>
      </w:r>
      <w:r>
        <w:rPr>
          <w:rFonts w:ascii="Calibri"/>
          <w:sz w:val="24"/>
        </w:rPr>
        <w:tab/>
        <w:t>European</w:t>
      </w:r>
      <w:r>
        <w:rPr>
          <w:rFonts w:ascii="Calibri"/>
          <w:spacing w:val="-9"/>
          <w:sz w:val="24"/>
        </w:rPr>
        <w:t> </w:t>
      </w:r>
      <w:r>
        <w:rPr>
          <w:rFonts w:ascii="Calibri"/>
          <w:sz w:val="24"/>
        </w:rPr>
        <w:t>Central</w:t>
      </w:r>
      <w:r>
        <w:rPr>
          <w:rFonts w:ascii="Calibri"/>
          <w:spacing w:val="-7"/>
          <w:sz w:val="24"/>
        </w:rPr>
        <w:t> </w:t>
      </w:r>
      <w:r>
        <w:rPr>
          <w:rFonts w:ascii="Calibri"/>
          <w:spacing w:val="-4"/>
          <w:sz w:val="24"/>
        </w:rPr>
        <w:t>Bank</w:t>
      </w:r>
    </w:p>
    <w:p>
      <w:pPr>
        <w:tabs>
          <w:tab w:pos="2420" w:val="left" w:leader="none"/>
        </w:tabs>
        <w:spacing w:before="0"/>
        <w:ind w:left="979" w:right="0" w:firstLine="0"/>
        <w:jc w:val="left"/>
        <w:rPr>
          <w:rFonts w:ascii="Calibri"/>
          <w:sz w:val="24"/>
        </w:rPr>
      </w:pPr>
      <w:r>
        <w:rPr>
          <w:rFonts w:ascii="Calibri"/>
          <w:spacing w:val="-5"/>
          <w:sz w:val="24"/>
        </w:rPr>
        <w:t>ECJ</w:t>
      </w:r>
      <w:r>
        <w:rPr>
          <w:rFonts w:ascii="Calibri"/>
          <w:sz w:val="24"/>
        </w:rPr>
        <w:tab/>
        <w:t>the</w:t>
      </w:r>
      <w:r>
        <w:rPr>
          <w:rFonts w:ascii="Calibri"/>
          <w:spacing w:val="-4"/>
          <w:sz w:val="24"/>
        </w:rPr>
        <w:t> </w:t>
      </w:r>
      <w:r>
        <w:rPr>
          <w:rFonts w:ascii="Calibri"/>
          <w:sz w:val="24"/>
        </w:rPr>
        <w:t>European</w:t>
      </w:r>
      <w:r>
        <w:rPr>
          <w:rFonts w:ascii="Calibri"/>
          <w:spacing w:val="-4"/>
          <w:sz w:val="24"/>
        </w:rPr>
        <w:t> </w:t>
      </w:r>
      <w:r>
        <w:rPr>
          <w:rFonts w:ascii="Calibri"/>
          <w:sz w:val="24"/>
        </w:rPr>
        <w:t>Court</w:t>
      </w:r>
      <w:r>
        <w:rPr>
          <w:rFonts w:ascii="Calibri"/>
          <w:spacing w:val="-4"/>
          <w:sz w:val="24"/>
        </w:rPr>
        <w:t> </w:t>
      </w:r>
      <w:r>
        <w:rPr>
          <w:rFonts w:ascii="Calibri"/>
          <w:sz w:val="24"/>
        </w:rPr>
        <w:t>of</w:t>
      </w:r>
      <w:r>
        <w:rPr>
          <w:rFonts w:ascii="Calibri"/>
          <w:spacing w:val="-4"/>
          <w:sz w:val="24"/>
        </w:rPr>
        <w:t> </w:t>
      </w:r>
      <w:r>
        <w:rPr>
          <w:rFonts w:ascii="Calibri"/>
          <w:spacing w:val="-2"/>
          <w:sz w:val="24"/>
        </w:rPr>
        <w:t>Justice</w:t>
      </w:r>
    </w:p>
    <w:p>
      <w:pPr>
        <w:tabs>
          <w:tab w:pos="2420" w:val="left" w:leader="none"/>
        </w:tabs>
        <w:spacing w:before="0"/>
        <w:ind w:left="979" w:right="5175" w:firstLine="0"/>
        <w:jc w:val="left"/>
        <w:rPr>
          <w:rFonts w:ascii="Calibri"/>
          <w:sz w:val="24"/>
        </w:rPr>
      </w:pPr>
      <w:r>
        <w:rPr>
          <w:rFonts w:ascii="Calibri"/>
          <w:spacing w:val="-4"/>
          <w:sz w:val="24"/>
        </w:rPr>
        <w:t>ECSC</w:t>
      </w:r>
      <w:r>
        <w:rPr>
          <w:rFonts w:ascii="Calibri"/>
          <w:sz w:val="24"/>
        </w:rPr>
        <w:tab/>
        <w:t>European</w:t>
      </w:r>
      <w:r>
        <w:rPr>
          <w:rFonts w:ascii="Calibri"/>
          <w:spacing w:val="-12"/>
          <w:sz w:val="24"/>
        </w:rPr>
        <w:t> </w:t>
      </w:r>
      <w:r>
        <w:rPr>
          <w:rFonts w:ascii="Calibri"/>
          <w:sz w:val="24"/>
        </w:rPr>
        <w:t>Coal</w:t>
      </w:r>
      <w:r>
        <w:rPr>
          <w:rFonts w:ascii="Calibri"/>
          <w:spacing w:val="-12"/>
          <w:sz w:val="24"/>
        </w:rPr>
        <w:t> </w:t>
      </w:r>
      <w:r>
        <w:rPr>
          <w:rFonts w:ascii="Calibri"/>
          <w:sz w:val="24"/>
        </w:rPr>
        <w:t>and</w:t>
      </w:r>
      <w:r>
        <w:rPr>
          <w:rFonts w:ascii="Calibri"/>
          <w:spacing w:val="-8"/>
          <w:sz w:val="24"/>
        </w:rPr>
        <w:t> </w:t>
      </w:r>
      <w:r>
        <w:rPr>
          <w:rFonts w:ascii="Calibri"/>
          <w:sz w:val="24"/>
        </w:rPr>
        <w:t>Steel</w:t>
      </w:r>
      <w:r>
        <w:rPr>
          <w:rFonts w:ascii="Calibri"/>
          <w:spacing w:val="-12"/>
          <w:sz w:val="24"/>
        </w:rPr>
        <w:t> </w:t>
      </w:r>
      <w:r>
        <w:rPr>
          <w:rFonts w:ascii="Calibri"/>
          <w:sz w:val="24"/>
        </w:rPr>
        <w:t>Community </w:t>
      </w:r>
      <w:r>
        <w:rPr>
          <w:rFonts w:ascii="Calibri"/>
          <w:spacing w:val="-4"/>
          <w:sz w:val="24"/>
        </w:rPr>
        <w:t>EDC</w:t>
      </w:r>
      <w:r>
        <w:rPr>
          <w:rFonts w:ascii="Calibri"/>
          <w:sz w:val="24"/>
        </w:rPr>
        <w:tab/>
        <w:t>The European Defence Community</w:t>
      </w:r>
    </w:p>
    <w:p>
      <w:pPr>
        <w:tabs>
          <w:tab w:pos="2420" w:val="left" w:leader="none"/>
        </w:tabs>
        <w:spacing w:line="293" w:lineRule="exact" w:before="0"/>
        <w:ind w:left="979" w:right="0" w:firstLine="0"/>
        <w:jc w:val="left"/>
        <w:rPr>
          <w:rFonts w:ascii="Calibri"/>
          <w:sz w:val="24"/>
        </w:rPr>
      </w:pPr>
      <w:r>
        <w:rPr>
          <w:rFonts w:ascii="Calibri"/>
          <w:spacing w:val="-5"/>
          <w:sz w:val="24"/>
        </w:rPr>
        <w:t>EEA</w:t>
      </w:r>
      <w:r>
        <w:rPr>
          <w:rFonts w:ascii="Calibri"/>
          <w:sz w:val="24"/>
        </w:rPr>
        <w:tab/>
        <w:t>European</w:t>
      </w:r>
      <w:r>
        <w:rPr>
          <w:rFonts w:ascii="Calibri"/>
          <w:spacing w:val="-6"/>
          <w:sz w:val="24"/>
        </w:rPr>
        <w:t> </w:t>
      </w:r>
      <w:r>
        <w:rPr>
          <w:rFonts w:ascii="Calibri"/>
          <w:sz w:val="24"/>
        </w:rPr>
        <w:t>Economic</w:t>
      </w:r>
      <w:r>
        <w:rPr>
          <w:rFonts w:ascii="Calibri"/>
          <w:spacing w:val="-5"/>
          <w:sz w:val="24"/>
        </w:rPr>
        <w:t> </w:t>
      </w:r>
      <w:r>
        <w:rPr>
          <w:rFonts w:ascii="Calibri"/>
          <w:spacing w:val="-4"/>
          <w:sz w:val="24"/>
        </w:rPr>
        <w:t>Area</w:t>
      </w:r>
    </w:p>
    <w:p>
      <w:pPr>
        <w:tabs>
          <w:tab w:pos="2420" w:val="left" w:leader="none"/>
        </w:tabs>
        <w:spacing w:before="0"/>
        <w:ind w:left="979" w:right="0" w:firstLine="0"/>
        <w:jc w:val="left"/>
        <w:rPr>
          <w:rFonts w:ascii="Calibri"/>
          <w:sz w:val="24"/>
        </w:rPr>
      </w:pPr>
      <w:r>
        <w:rPr>
          <w:rFonts w:ascii="Calibri"/>
          <w:spacing w:val="-4"/>
          <w:sz w:val="24"/>
        </w:rPr>
        <w:t>EEAS</w:t>
      </w:r>
      <w:r>
        <w:rPr>
          <w:rFonts w:ascii="Calibri"/>
          <w:sz w:val="24"/>
        </w:rPr>
        <w:tab/>
        <w:t>European</w:t>
      </w:r>
      <w:r>
        <w:rPr>
          <w:rFonts w:ascii="Calibri"/>
          <w:spacing w:val="-4"/>
          <w:sz w:val="24"/>
        </w:rPr>
        <w:t> </w:t>
      </w:r>
      <w:r>
        <w:rPr>
          <w:rFonts w:ascii="Calibri"/>
          <w:sz w:val="24"/>
        </w:rPr>
        <w:t>External</w:t>
      </w:r>
      <w:r>
        <w:rPr>
          <w:rFonts w:ascii="Calibri"/>
          <w:spacing w:val="-8"/>
          <w:sz w:val="24"/>
        </w:rPr>
        <w:t> </w:t>
      </w:r>
      <w:r>
        <w:rPr>
          <w:rFonts w:ascii="Calibri"/>
          <w:sz w:val="24"/>
        </w:rPr>
        <w:t>Action</w:t>
      </w:r>
      <w:r>
        <w:rPr>
          <w:rFonts w:ascii="Calibri"/>
          <w:spacing w:val="-6"/>
          <w:sz w:val="24"/>
        </w:rPr>
        <w:t> </w:t>
      </w:r>
      <w:r>
        <w:rPr>
          <w:rFonts w:ascii="Calibri"/>
          <w:spacing w:val="-2"/>
          <w:sz w:val="24"/>
        </w:rPr>
        <w:t>Service</w:t>
      </w:r>
    </w:p>
    <w:p>
      <w:pPr>
        <w:tabs>
          <w:tab w:pos="2420" w:val="left" w:leader="none"/>
        </w:tabs>
        <w:spacing w:before="4"/>
        <w:ind w:left="979" w:right="0" w:firstLine="0"/>
        <w:jc w:val="left"/>
        <w:rPr>
          <w:rFonts w:ascii="Calibri"/>
          <w:sz w:val="24"/>
        </w:rPr>
      </w:pPr>
      <w:r>
        <w:rPr>
          <w:rFonts w:ascii="Calibri"/>
          <w:spacing w:val="-5"/>
          <w:sz w:val="24"/>
        </w:rPr>
        <w:t>EEC</w:t>
      </w:r>
      <w:r>
        <w:rPr>
          <w:rFonts w:ascii="Calibri"/>
          <w:sz w:val="24"/>
        </w:rPr>
        <w:tab/>
        <w:t>European</w:t>
      </w:r>
      <w:r>
        <w:rPr>
          <w:rFonts w:ascii="Calibri"/>
          <w:spacing w:val="-6"/>
          <w:sz w:val="24"/>
        </w:rPr>
        <w:t> </w:t>
      </w:r>
      <w:r>
        <w:rPr>
          <w:rFonts w:ascii="Calibri"/>
          <w:sz w:val="24"/>
        </w:rPr>
        <w:t>Economic</w:t>
      </w:r>
      <w:r>
        <w:rPr>
          <w:rFonts w:ascii="Calibri"/>
          <w:spacing w:val="-5"/>
          <w:sz w:val="24"/>
        </w:rPr>
        <w:t> </w:t>
      </w:r>
      <w:r>
        <w:rPr>
          <w:rFonts w:ascii="Calibri"/>
          <w:spacing w:val="-2"/>
          <w:sz w:val="24"/>
        </w:rPr>
        <w:t>Community</w:t>
      </w:r>
    </w:p>
    <w:p>
      <w:pPr>
        <w:tabs>
          <w:tab w:pos="2420" w:val="left" w:leader="none"/>
        </w:tabs>
        <w:spacing w:before="0"/>
        <w:ind w:left="979" w:right="0" w:firstLine="0"/>
        <w:jc w:val="left"/>
        <w:rPr>
          <w:rFonts w:ascii="Calibri"/>
          <w:sz w:val="24"/>
        </w:rPr>
      </w:pPr>
      <w:r>
        <w:rPr>
          <w:rFonts w:ascii="Calibri"/>
          <w:spacing w:val="-5"/>
          <w:sz w:val="24"/>
        </w:rPr>
        <w:t>EEC</w:t>
      </w:r>
      <w:r>
        <w:rPr>
          <w:rFonts w:ascii="Calibri"/>
          <w:sz w:val="24"/>
        </w:rPr>
        <w:tab/>
        <w:t>European</w:t>
      </w:r>
      <w:r>
        <w:rPr>
          <w:rFonts w:ascii="Calibri"/>
          <w:spacing w:val="-6"/>
          <w:sz w:val="24"/>
        </w:rPr>
        <w:t> </w:t>
      </w:r>
      <w:r>
        <w:rPr>
          <w:rFonts w:ascii="Calibri"/>
          <w:sz w:val="24"/>
        </w:rPr>
        <w:t>Economic</w:t>
      </w:r>
      <w:r>
        <w:rPr>
          <w:rFonts w:ascii="Calibri"/>
          <w:spacing w:val="-5"/>
          <w:sz w:val="24"/>
        </w:rPr>
        <w:t> </w:t>
      </w:r>
      <w:r>
        <w:rPr>
          <w:rFonts w:ascii="Calibri"/>
          <w:spacing w:val="-2"/>
          <w:sz w:val="24"/>
        </w:rPr>
        <w:t>Community</w:t>
      </w:r>
    </w:p>
    <w:p>
      <w:pPr>
        <w:tabs>
          <w:tab w:pos="2420" w:val="left" w:leader="none"/>
        </w:tabs>
        <w:spacing w:before="0"/>
        <w:ind w:left="979" w:right="5296" w:firstLine="0"/>
        <w:jc w:val="left"/>
        <w:rPr>
          <w:rFonts w:ascii="Calibri"/>
          <w:sz w:val="24"/>
        </w:rPr>
      </w:pPr>
      <w:r>
        <w:rPr>
          <w:rFonts w:ascii="Calibri"/>
          <w:spacing w:val="-4"/>
          <w:sz w:val="24"/>
        </w:rPr>
        <w:t>EFTA</w:t>
      </w:r>
      <w:r>
        <w:rPr>
          <w:rFonts w:ascii="Calibri"/>
          <w:sz w:val="24"/>
        </w:rPr>
        <w:tab/>
        <w:t>European Free Trade Association </w:t>
      </w:r>
      <w:r>
        <w:rPr>
          <w:rFonts w:ascii="Calibri"/>
          <w:spacing w:val="-4"/>
          <w:sz w:val="24"/>
        </w:rPr>
        <w:t>EMU</w:t>
      </w:r>
      <w:r>
        <w:rPr>
          <w:rFonts w:ascii="Calibri"/>
          <w:sz w:val="24"/>
        </w:rPr>
        <w:tab/>
        <w:t>The</w:t>
      </w:r>
      <w:r>
        <w:rPr>
          <w:rFonts w:ascii="Calibri"/>
          <w:spacing w:val="-10"/>
          <w:sz w:val="24"/>
        </w:rPr>
        <w:t> </w:t>
      </w:r>
      <w:r>
        <w:rPr>
          <w:rFonts w:ascii="Calibri"/>
          <w:sz w:val="24"/>
        </w:rPr>
        <w:t>Economic</w:t>
      </w:r>
      <w:r>
        <w:rPr>
          <w:rFonts w:ascii="Calibri"/>
          <w:spacing w:val="-12"/>
          <w:sz w:val="24"/>
        </w:rPr>
        <w:t> </w:t>
      </w:r>
      <w:r>
        <w:rPr>
          <w:rFonts w:ascii="Calibri"/>
          <w:sz w:val="24"/>
        </w:rPr>
        <w:t>and</w:t>
      </w:r>
      <w:r>
        <w:rPr>
          <w:rFonts w:ascii="Calibri"/>
          <w:spacing w:val="-12"/>
          <w:sz w:val="24"/>
        </w:rPr>
        <w:t> </w:t>
      </w:r>
      <w:r>
        <w:rPr>
          <w:rFonts w:ascii="Calibri"/>
          <w:sz w:val="24"/>
        </w:rPr>
        <w:t>Monetary</w:t>
      </w:r>
      <w:r>
        <w:rPr>
          <w:rFonts w:ascii="Calibri"/>
          <w:spacing w:val="-9"/>
          <w:sz w:val="24"/>
        </w:rPr>
        <w:t> </w:t>
      </w:r>
      <w:r>
        <w:rPr>
          <w:rFonts w:ascii="Calibri"/>
          <w:sz w:val="24"/>
        </w:rPr>
        <w:t>Union </w:t>
      </w:r>
      <w:r>
        <w:rPr>
          <w:rFonts w:ascii="Calibri"/>
          <w:spacing w:val="-4"/>
          <w:sz w:val="24"/>
        </w:rPr>
        <w:t>ENP</w:t>
      </w:r>
      <w:r>
        <w:rPr>
          <w:rFonts w:ascii="Calibri"/>
          <w:sz w:val="24"/>
        </w:rPr>
        <w:tab/>
        <w:t>European Neighborhood Policy</w:t>
      </w:r>
    </w:p>
    <w:p>
      <w:pPr>
        <w:tabs>
          <w:tab w:pos="2420" w:val="left" w:leader="none"/>
        </w:tabs>
        <w:spacing w:before="0"/>
        <w:ind w:left="979" w:right="0" w:firstLine="0"/>
        <w:jc w:val="left"/>
        <w:rPr>
          <w:rFonts w:ascii="Calibri"/>
          <w:sz w:val="24"/>
        </w:rPr>
      </w:pPr>
      <w:r>
        <w:rPr>
          <w:rFonts w:ascii="Calibri"/>
          <w:spacing w:val="-5"/>
          <w:sz w:val="24"/>
        </w:rPr>
        <w:t>EP</w:t>
      </w:r>
      <w:r>
        <w:rPr>
          <w:rFonts w:ascii="Calibri"/>
          <w:sz w:val="24"/>
        </w:rPr>
        <w:tab/>
        <w:t>European</w:t>
      </w:r>
      <w:r>
        <w:rPr>
          <w:rFonts w:ascii="Calibri"/>
          <w:spacing w:val="-10"/>
          <w:sz w:val="24"/>
        </w:rPr>
        <w:t> </w:t>
      </w:r>
      <w:r>
        <w:rPr>
          <w:rFonts w:ascii="Calibri"/>
          <w:spacing w:val="-2"/>
          <w:sz w:val="24"/>
        </w:rPr>
        <w:t>Parliament</w:t>
      </w:r>
    </w:p>
    <w:p>
      <w:pPr>
        <w:tabs>
          <w:tab w:pos="2420" w:val="left" w:leader="none"/>
        </w:tabs>
        <w:spacing w:before="0"/>
        <w:ind w:left="979" w:right="0" w:firstLine="0"/>
        <w:jc w:val="left"/>
        <w:rPr>
          <w:rFonts w:ascii="Calibri"/>
          <w:sz w:val="24"/>
        </w:rPr>
      </w:pPr>
      <w:r>
        <w:rPr>
          <w:rFonts w:ascii="Calibri"/>
          <w:spacing w:val="-5"/>
          <w:sz w:val="24"/>
        </w:rPr>
        <w:t>ERT</w:t>
      </w:r>
      <w:r>
        <w:rPr>
          <w:rFonts w:ascii="Calibri"/>
          <w:sz w:val="24"/>
        </w:rPr>
        <w:tab/>
        <w:t>European</w:t>
      </w:r>
      <w:r>
        <w:rPr>
          <w:rFonts w:ascii="Calibri"/>
          <w:spacing w:val="-6"/>
          <w:sz w:val="24"/>
        </w:rPr>
        <w:t> </w:t>
      </w:r>
      <w:r>
        <w:rPr>
          <w:rFonts w:ascii="Calibri"/>
          <w:sz w:val="24"/>
        </w:rPr>
        <w:t>Round</w:t>
      </w:r>
      <w:r>
        <w:rPr>
          <w:rFonts w:ascii="Calibri"/>
          <w:spacing w:val="-2"/>
          <w:sz w:val="24"/>
        </w:rPr>
        <w:t> </w:t>
      </w:r>
      <w:r>
        <w:rPr>
          <w:rFonts w:ascii="Calibri"/>
          <w:sz w:val="24"/>
        </w:rPr>
        <w:t>Table</w:t>
      </w:r>
      <w:r>
        <w:rPr>
          <w:rFonts w:ascii="Calibri"/>
          <w:spacing w:val="-4"/>
          <w:sz w:val="24"/>
        </w:rPr>
        <w:t> </w:t>
      </w:r>
      <w:r>
        <w:rPr>
          <w:rFonts w:ascii="Calibri"/>
          <w:sz w:val="24"/>
        </w:rPr>
        <w:t>of</w:t>
      </w:r>
      <w:r>
        <w:rPr>
          <w:rFonts w:ascii="Calibri"/>
          <w:spacing w:val="-5"/>
          <w:sz w:val="24"/>
        </w:rPr>
        <w:t> </w:t>
      </w:r>
      <w:r>
        <w:rPr>
          <w:rFonts w:ascii="Calibri"/>
          <w:spacing w:val="-2"/>
          <w:sz w:val="24"/>
        </w:rPr>
        <w:t>Industrialists</w:t>
      </w:r>
    </w:p>
    <w:p>
      <w:pPr>
        <w:tabs>
          <w:tab w:pos="2420" w:val="left" w:leader="none"/>
        </w:tabs>
        <w:spacing w:before="0"/>
        <w:ind w:left="979" w:right="0" w:firstLine="0"/>
        <w:jc w:val="left"/>
        <w:rPr>
          <w:rFonts w:ascii="Calibri"/>
          <w:sz w:val="24"/>
        </w:rPr>
      </w:pPr>
      <w:r>
        <w:rPr>
          <w:rFonts w:ascii="Calibri"/>
          <w:spacing w:val="-5"/>
          <w:sz w:val="24"/>
        </w:rPr>
        <w:t>EU</w:t>
      </w:r>
      <w:r>
        <w:rPr>
          <w:rFonts w:ascii="Calibri"/>
          <w:sz w:val="24"/>
        </w:rPr>
        <w:tab/>
        <w:t>The</w:t>
      </w:r>
      <w:r>
        <w:rPr>
          <w:rFonts w:ascii="Calibri"/>
          <w:spacing w:val="-5"/>
          <w:sz w:val="24"/>
        </w:rPr>
        <w:t> </w:t>
      </w:r>
      <w:r>
        <w:rPr>
          <w:rFonts w:ascii="Calibri"/>
          <w:sz w:val="24"/>
        </w:rPr>
        <w:t>European</w:t>
      </w:r>
      <w:r>
        <w:rPr>
          <w:rFonts w:ascii="Calibri"/>
          <w:spacing w:val="-5"/>
          <w:sz w:val="24"/>
        </w:rPr>
        <w:t> </w:t>
      </w:r>
      <w:r>
        <w:rPr>
          <w:rFonts w:ascii="Calibri"/>
          <w:spacing w:val="-4"/>
          <w:sz w:val="24"/>
        </w:rPr>
        <w:t>Union</w:t>
      </w:r>
    </w:p>
    <w:p>
      <w:pPr>
        <w:tabs>
          <w:tab w:pos="2420" w:val="left" w:leader="none"/>
        </w:tabs>
        <w:spacing w:before="0"/>
        <w:ind w:left="979" w:right="0" w:firstLine="0"/>
        <w:jc w:val="left"/>
        <w:rPr>
          <w:rFonts w:ascii="Calibri"/>
          <w:sz w:val="24"/>
        </w:rPr>
      </w:pPr>
      <w:r>
        <w:rPr>
          <w:rFonts w:ascii="Calibri"/>
          <w:spacing w:val="-5"/>
          <w:sz w:val="24"/>
        </w:rPr>
        <w:t>EUA</w:t>
      </w:r>
      <w:r>
        <w:rPr>
          <w:rFonts w:ascii="Calibri"/>
          <w:sz w:val="24"/>
        </w:rPr>
        <w:tab/>
        <w:t>European</w:t>
      </w:r>
      <w:r>
        <w:rPr>
          <w:rFonts w:ascii="Calibri"/>
          <w:spacing w:val="-9"/>
          <w:sz w:val="24"/>
        </w:rPr>
        <w:t> </w:t>
      </w:r>
      <w:r>
        <w:rPr>
          <w:rFonts w:ascii="Calibri"/>
          <w:sz w:val="24"/>
        </w:rPr>
        <w:t>Union</w:t>
      </w:r>
      <w:r>
        <w:rPr>
          <w:rFonts w:ascii="Calibri"/>
          <w:spacing w:val="-6"/>
          <w:sz w:val="24"/>
        </w:rPr>
        <w:t> </w:t>
      </w:r>
      <w:r>
        <w:rPr>
          <w:rFonts w:ascii="Calibri"/>
          <w:spacing w:val="-2"/>
          <w:sz w:val="24"/>
        </w:rPr>
        <w:t>Agencies</w:t>
      </w:r>
    </w:p>
    <w:p>
      <w:pPr>
        <w:tabs>
          <w:tab w:pos="2420" w:val="left" w:leader="none"/>
        </w:tabs>
        <w:spacing w:before="0"/>
        <w:ind w:left="979" w:right="0" w:firstLine="0"/>
        <w:jc w:val="left"/>
        <w:rPr>
          <w:rFonts w:ascii="Calibri"/>
          <w:sz w:val="24"/>
        </w:rPr>
      </w:pPr>
      <w:r>
        <w:rPr>
          <w:rFonts w:ascii="Calibri"/>
          <w:spacing w:val="-5"/>
          <w:sz w:val="24"/>
        </w:rPr>
        <w:t>FCM</w:t>
      </w:r>
      <w:r>
        <w:rPr>
          <w:rFonts w:ascii="Calibri"/>
          <w:sz w:val="24"/>
        </w:rPr>
        <w:tab/>
        <w:t>Fuzzy</w:t>
      </w:r>
      <w:r>
        <w:rPr>
          <w:rFonts w:ascii="Calibri"/>
          <w:spacing w:val="-5"/>
          <w:sz w:val="24"/>
        </w:rPr>
        <w:t> </w:t>
      </w:r>
      <w:r>
        <w:rPr>
          <w:rFonts w:ascii="Calibri"/>
          <w:sz w:val="24"/>
        </w:rPr>
        <w:t>Cognitive</w:t>
      </w:r>
      <w:r>
        <w:rPr>
          <w:rFonts w:ascii="Calibri"/>
          <w:spacing w:val="-5"/>
          <w:sz w:val="24"/>
        </w:rPr>
        <w:t> </w:t>
      </w:r>
      <w:r>
        <w:rPr>
          <w:rFonts w:ascii="Calibri"/>
          <w:spacing w:val="-2"/>
          <w:sz w:val="24"/>
        </w:rPr>
        <w:t>Mapping</w:t>
      </w:r>
    </w:p>
    <w:p>
      <w:pPr>
        <w:tabs>
          <w:tab w:pos="2420" w:val="left" w:leader="none"/>
        </w:tabs>
        <w:spacing w:before="0"/>
        <w:ind w:left="979" w:right="0" w:firstLine="0"/>
        <w:jc w:val="left"/>
        <w:rPr>
          <w:rFonts w:ascii="Calibri"/>
          <w:sz w:val="24"/>
        </w:rPr>
      </w:pPr>
      <w:r>
        <w:rPr>
          <w:rFonts w:ascii="Calibri"/>
          <w:spacing w:val="-5"/>
          <w:sz w:val="24"/>
        </w:rPr>
        <w:t>FRG</w:t>
      </w:r>
      <w:r>
        <w:rPr>
          <w:rFonts w:ascii="Calibri"/>
          <w:sz w:val="24"/>
        </w:rPr>
        <w:tab/>
        <w:t>Federal</w:t>
      </w:r>
      <w:r>
        <w:rPr>
          <w:rFonts w:ascii="Calibri"/>
          <w:spacing w:val="-8"/>
          <w:sz w:val="24"/>
        </w:rPr>
        <w:t> </w:t>
      </w:r>
      <w:r>
        <w:rPr>
          <w:rFonts w:ascii="Calibri"/>
          <w:sz w:val="24"/>
        </w:rPr>
        <w:t>Republic</w:t>
      </w:r>
      <w:r>
        <w:rPr>
          <w:rFonts w:ascii="Calibri"/>
          <w:spacing w:val="-1"/>
          <w:sz w:val="24"/>
        </w:rPr>
        <w:t> </w:t>
      </w:r>
      <w:r>
        <w:rPr>
          <w:rFonts w:ascii="Calibri"/>
          <w:sz w:val="24"/>
        </w:rPr>
        <w:t>of</w:t>
      </w:r>
      <w:r>
        <w:rPr>
          <w:rFonts w:ascii="Calibri"/>
          <w:spacing w:val="-6"/>
          <w:sz w:val="24"/>
        </w:rPr>
        <w:t> </w:t>
      </w:r>
      <w:r>
        <w:rPr>
          <w:rFonts w:ascii="Calibri"/>
          <w:spacing w:val="-2"/>
          <w:sz w:val="24"/>
        </w:rPr>
        <w:t>Germany</w:t>
      </w:r>
    </w:p>
    <w:p>
      <w:pPr>
        <w:tabs>
          <w:tab w:pos="2420" w:val="left" w:leader="none"/>
        </w:tabs>
        <w:spacing w:before="0"/>
        <w:ind w:left="979" w:right="0" w:firstLine="0"/>
        <w:jc w:val="left"/>
        <w:rPr>
          <w:rFonts w:ascii="Calibri"/>
          <w:sz w:val="24"/>
        </w:rPr>
      </w:pPr>
      <w:r>
        <w:rPr>
          <w:rFonts w:ascii="Calibri"/>
          <w:spacing w:val="-5"/>
          <w:sz w:val="24"/>
        </w:rPr>
        <w:t>GST</w:t>
      </w:r>
      <w:r>
        <w:rPr>
          <w:rFonts w:ascii="Calibri"/>
          <w:sz w:val="24"/>
        </w:rPr>
        <w:tab/>
        <w:t>General</w:t>
      </w:r>
      <w:r>
        <w:rPr>
          <w:rFonts w:ascii="Calibri"/>
          <w:spacing w:val="-5"/>
          <w:sz w:val="24"/>
        </w:rPr>
        <w:t> </w:t>
      </w:r>
      <w:r>
        <w:rPr>
          <w:rFonts w:ascii="Calibri"/>
          <w:sz w:val="24"/>
        </w:rPr>
        <w:t>Systems </w:t>
      </w:r>
      <w:r>
        <w:rPr>
          <w:rFonts w:ascii="Calibri"/>
          <w:spacing w:val="-2"/>
          <w:sz w:val="24"/>
        </w:rPr>
        <w:t>Theory</w:t>
      </w:r>
    </w:p>
    <w:p>
      <w:pPr>
        <w:tabs>
          <w:tab w:pos="2420" w:val="left" w:leader="none"/>
        </w:tabs>
        <w:spacing w:before="0"/>
        <w:ind w:left="979" w:right="0" w:firstLine="0"/>
        <w:jc w:val="left"/>
        <w:rPr>
          <w:rFonts w:ascii="Calibri"/>
          <w:sz w:val="24"/>
        </w:rPr>
      </w:pPr>
      <w:r>
        <w:rPr>
          <w:rFonts w:ascii="Calibri"/>
          <w:spacing w:val="-5"/>
          <w:sz w:val="24"/>
        </w:rPr>
        <w:t>HI</w:t>
      </w:r>
      <w:r>
        <w:rPr>
          <w:rFonts w:ascii="Calibri"/>
          <w:sz w:val="24"/>
        </w:rPr>
        <w:tab/>
        <w:t>Historical</w:t>
      </w:r>
      <w:r>
        <w:rPr>
          <w:rFonts w:ascii="Calibri"/>
          <w:spacing w:val="-12"/>
          <w:sz w:val="24"/>
        </w:rPr>
        <w:t> </w:t>
      </w:r>
      <w:r>
        <w:rPr>
          <w:rFonts w:ascii="Calibri"/>
          <w:spacing w:val="-2"/>
          <w:sz w:val="24"/>
        </w:rPr>
        <w:t>Institutionalism</w:t>
      </w:r>
    </w:p>
    <w:p>
      <w:pPr>
        <w:tabs>
          <w:tab w:pos="2420" w:val="left" w:leader="none"/>
        </w:tabs>
        <w:spacing w:before="0"/>
        <w:ind w:left="979" w:right="0" w:firstLine="0"/>
        <w:jc w:val="left"/>
        <w:rPr>
          <w:rFonts w:ascii="Calibri"/>
          <w:sz w:val="24"/>
        </w:rPr>
      </w:pPr>
      <w:r>
        <w:rPr>
          <w:rFonts w:ascii="Calibri"/>
          <w:spacing w:val="-5"/>
          <w:sz w:val="24"/>
        </w:rPr>
        <w:t>LI</w:t>
      </w:r>
      <w:r>
        <w:rPr>
          <w:rFonts w:ascii="Calibri"/>
          <w:sz w:val="24"/>
        </w:rPr>
        <w:tab/>
        <w:t>Liberal</w:t>
      </w:r>
      <w:r>
        <w:rPr>
          <w:rFonts w:ascii="Calibri"/>
          <w:spacing w:val="-6"/>
          <w:sz w:val="24"/>
        </w:rPr>
        <w:t> </w:t>
      </w:r>
      <w:r>
        <w:rPr>
          <w:rFonts w:ascii="Calibri"/>
          <w:spacing w:val="-2"/>
          <w:sz w:val="24"/>
        </w:rPr>
        <w:t>Intergovernmentalism</w:t>
      </w:r>
    </w:p>
    <w:p>
      <w:pPr>
        <w:tabs>
          <w:tab w:pos="2420" w:val="left" w:leader="none"/>
        </w:tabs>
        <w:spacing w:before="0"/>
        <w:ind w:left="979" w:right="5151" w:firstLine="0"/>
        <w:jc w:val="left"/>
        <w:rPr>
          <w:rFonts w:ascii="Calibri"/>
          <w:sz w:val="24"/>
        </w:rPr>
      </w:pPr>
      <w:r>
        <w:rPr>
          <w:rFonts w:ascii="Calibri"/>
          <w:spacing w:val="-4"/>
          <w:sz w:val="24"/>
        </w:rPr>
        <w:t>MEP</w:t>
      </w:r>
      <w:r>
        <w:rPr>
          <w:rFonts w:ascii="Calibri"/>
          <w:sz w:val="24"/>
        </w:rPr>
        <w:tab/>
        <w:t>Member</w:t>
      </w:r>
      <w:r>
        <w:rPr>
          <w:rFonts w:ascii="Calibri"/>
          <w:spacing w:val="-14"/>
          <w:sz w:val="24"/>
        </w:rPr>
        <w:t> </w:t>
      </w:r>
      <w:r>
        <w:rPr>
          <w:rFonts w:ascii="Calibri"/>
          <w:sz w:val="24"/>
        </w:rPr>
        <w:t>of</w:t>
      </w:r>
      <w:r>
        <w:rPr>
          <w:rFonts w:ascii="Calibri"/>
          <w:spacing w:val="-13"/>
          <w:sz w:val="24"/>
        </w:rPr>
        <w:t> </w:t>
      </w:r>
      <w:r>
        <w:rPr>
          <w:rFonts w:ascii="Calibri"/>
          <w:sz w:val="24"/>
        </w:rPr>
        <w:t>the</w:t>
      </w:r>
      <w:r>
        <w:rPr>
          <w:rFonts w:ascii="Calibri"/>
          <w:spacing w:val="-9"/>
          <w:sz w:val="24"/>
        </w:rPr>
        <w:t> </w:t>
      </w:r>
      <w:r>
        <w:rPr>
          <w:rFonts w:ascii="Calibri"/>
          <w:sz w:val="24"/>
        </w:rPr>
        <w:t>European</w:t>
      </w:r>
      <w:r>
        <w:rPr>
          <w:rFonts w:ascii="Calibri"/>
          <w:spacing w:val="-10"/>
          <w:sz w:val="24"/>
        </w:rPr>
        <w:t> </w:t>
      </w:r>
      <w:r>
        <w:rPr>
          <w:rFonts w:ascii="Calibri"/>
          <w:sz w:val="24"/>
        </w:rPr>
        <w:t>Parliament </w:t>
      </w:r>
      <w:r>
        <w:rPr>
          <w:rFonts w:ascii="Calibri"/>
          <w:spacing w:val="-4"/>
          <w:sz w:val="24"/>
        </w:rPr>
        <w:t>MLG</w:t>
      </w:r>
      <w:r>
        <w:rPr>
          <w:rFonts w:ascii="Calibri"/>
          <w:sz w:val="24"/>
        </w:rPr>
        <w:tab/>
        <w:t>Multilevel Governance</w:t>
      </w:r>
    </w:p>
    <w:p>
      <w:pPr>
        <w:tabs>
          <w:tab w:pos="2420" w:val="left" w:leader="none"/>
        </w:tabs>
        <w:spacing w:before="0"/>
        <w:ind w:left="979" w:right="4966" w:firstLine="0"/>
        <w:jc w:val="left"/>
        <w:rPr>
          <w:rFonts w:ascii="Calibri"/>
          <w:sz w:val="24"/>
        </w:rPr>
      </w:pPr>
      <w:r>
        <w:rPr>
          <w:rFonts w:ascii="Calibri"/>
          <w:spacing w:val="-4"/>
          <w:sz w:val="24"/>
        </w:rPr>
        <w:t>NATO</w:t>
      </w:r>
      <w:r>
        <w:rPr>
          <w:rFonts w:ascii="Calibri"/>
          <w:sz w:val="24"/>
        </w:rPr>
        <w:tab/>
        <w:t>The</w:t>
      </w:r>
      <w:r>
        <w:rPr>
          <w:rFonts w:ascii="Calibri"/>
          <w:spacing w:val="-12"/>
          <w:sz w:val="24"/>
        </w:rPr>
        <w:t> </w:t>
      </w:r>
      <w:r>
        <w:rPr>
          <w:rFonts w:ascii="Calibri"/>
          <w:sz w:val="24"/>
        </w:rPr>
        <w:t>North</w:t>
      </w:r>
      <w:r>
        <w:rPr>
          <w:rFonts w:ascii="Calibri"/>
          <w:spacing w:val="-13"/>
          <w:sz w:val="24"/>
        </w:rPr>
        <w:t> </w:t>
      </w:r>
      <w:r>
        <w:rPr>
          <w:rFonts w:ascii="Calibri"/>
          <w:sz w:val="24"/>
        </w:rPr>
        <w:t>Atlantic</w:t>
      </w:r>
      <w:r>
        <w:rPr>
          <w:rFonts w:ascii="Calibri"/>
          <w:spacing w:val="-9"/>
          <w:sz w:val="24"/>
        </w:rPr>
        <w:t> </w:t>
      </w:r>
      <w:r>
        <w:rPr>
          <w:rFonts w:ascii="Calibri"/>
          <w:sz w:val="24"/>
        </w:rPr>
        <w:t>Treaty</w:t>
      </w:r>
      <w:r>
        <w:rPr>
          <w:rFonts w:ascii="Calibri"/>
          <w:spacing w:val="-11"/>
          <w:sz w:val="24"/>
        </w:rPr>
        <w:t> </w:t>
      </w:r>
      <w:r>
        <w:rPr>
          <w:rFonts w:ascii="Calibri"/>
          <w:sz w:val="24"/>
        </w:rPr>
        <w:t>Organization </w:t>
      </w:r>
      <w:r>
        <w:rPr>
          <w:rFonts w:ascii="Calibri"/>
          <w:spacing w:val="-4"/>
          <w:sz w:val="24"/>
        </w:rPr>
        <w:t>NCs</w:t>
      </w:r>
      <w:r>
        <w:rPr>
          <w:rFonts w:ascii="Calibri"/>
          <w:sz w:val="24"/>
        </w:rPr>
        <w:tab/>
        <w:t>National Courts</w:t>
      </w:r>
    </w:p>
    <w:p>
      <w:pPr>
        <w:tabs>
          <w:tab w:pos="2420" w:val="left" w:leader="none"/>
        </w:tabs>
        <w:spacing w:line="293" w:lineRule="exact" w:before="0"/>
        <w:ind w:left="979" w:right="0" w:firstLine="0"/>
        <w:jc w:val="left"/>
        <w:rPr>
          <w:rFonts w:ascii="Calibri"/>
          <w:sz w:val="24"/>
        </w:rPr>
      </w:pPr>
      <w:r>
        <w:rPr>
          <w:rFonts w:ascii="Calibri"/>
          <w:spacing w:val="-5"/>
          <w:sz w:val="24"/>
        </w:rPr>
        <w:t>NF</w:t>
      </w:r>
      <w:r>
        <w:rPr>
          <w:rFonts w:ascii="Calibri"/>
          <w:sz w:val="24"/>
        </w:rPr>
        <w:tab/>
        <w:t>Neo</w:t>
      </w:r>
      <w:r>
        <w:rPr>
          <w:rFonts w:ascii="Calibri"/>
          <w:spacing w:val="-6"/>
          <w:sz w:val="24"/>
        </w:rPr>
        <w:t> </w:t>
      </w:r>
      <w:r>
        <w:rPr>
          <w:rFonts w:ascii="Calibri"/>
          <w:spacing w:val="-2"/>
          <w:sz w:val="24"/>
        </w:rPr>
        <w:t>functionalism</w:t>
      </w:r>
    </w:p>
    <w:p>
      <w:pPr>
        <w:tabs>
          <w:tab w:pos="2420" w:val="left" w:leader="none"/>
        </w:tabs>
        <w:spacing w:before="0"/>
        <w:ind w:left="979" w:right="0" w:firstLine="0"/>
        <w:jc w:val="left"/>
        <w:rPr>
          <w:rFonts w:ascii="Calibri"/>
          <w:sz w:val="24"/>
        </w:rPr>
      </w:pPr>
      <w:r>
        <w:rPr>
          <w:rFonts w:ascii="Calibri"/>
          <w:spacing w:val="-5"/>
          <w:sz w:val="24"/>
        </w:rPr>
        <w:t>NP</w:t>
      </w:r>
      <w:r>
        <w:rPr>
          <w:rFonts w:ascii="Calibri"/>
          <w:sz w:val="24"/>
        </w:rPr>
        <w:tab/>
        <w:t>National</w:t>
      </w:r>
      <w:r>
        <w:rPr>
          <w:rFonts w:ascii="Calibri"/>
          <w:spacing w:val="-9"/>
          <w:sz w:val="24"/>
        </w:rPr>
        <w:t> </w:t>
      </w:r>
      <w:r>
        <w:rPr>
          <w:rFonts w:ascii="Calibri"/>
          <w:spacing w:val="-2"/>
          <w:sz w:val="24"/>
        </w:rPr>
        <w:t>Parliament</w:t>
      </w:r>
    </w:p>
    <w:p>
      <w:pPr>
        <w:tabs>
          <w:tab w:pos="2420" w:val="left" w:leader="none"/>
        </w:tabs>
        <w:spacing w:before="0"/>
        <w:ind w:left="979" w:right="0" w:firstLine="0"/>
        <w:jc w:val="left"/>
        <w:rPr>
          <w:rFonts w:ascii="Calibri"/>
          <w:sz w:val="24"/>
        </w:rPr>
      </w:pPr>
      <w:r>
        <w:rPr>
          <w:rFonts w:ascii="Calibri"/>
          <w:spacing w:val="-5"/>
          <w:sz w:val="24"/>
        </w:rPr>
        <w:t>OMC</w:t>
      </w:r>
      <w:r>
        <w:rPr>
          <w:rFonts w:ascii="Calibri"/>
          <w:sz w:val="24"/>
        </w:rPr>
        <w:tab/>
        <w:t>Open</w:t>
      </w:r>
      <w:r>
        <w:rPr>
          <w:rFonts w:ascii="Calibri"/>
          <w:spacing w:val="-6"/>
          <w:sz w:val="24"/>
        </w:rPr>
        <w:t> </w:t>
      </w:r>
      <w:r>
        <w:rPr>
          <w:rFonts w:ascii="Calibri"/>
          <w:sz w:val="24"/>
        </w:rPr>
        <w:t>method</w:t>
      </w:r>
      <w:r>
        <w:rPr>
          <w:rFonts w:ascii="Calibri"/>
          <w:spacing w:val="-2"/>
          <w:sz w:val="24"/>
        </w:rPr>
        <w:t> </w:t>
      </w:r>
      <w:r>
        <w:rPr>
          <w:rFonts w:ascii="Calibri"/>
          <w:sz w:val="24"/>
        </w:rPr>
        <w:t>of</w:t>
      </w:r>
      <w:r>
        <w:rPr>
          <w:rFonts w:ascii="Calibri"/>
          <w:spacing w:val="-2"/>
          <w:sz w:val="24"/>
        </w:rPr>
        <w:t> coordination</w:t>
      </w:r>
    </w:p>
    <w:p>
      <w:pPr>
        <w:tabs>
          <w:tab w:pos="2420" w:val="left" w:leader="none"/>
        </w:tabs>
        <w:spacing w:before="0"/>
        <w:ind w:left="979" w:right="0" w:firstLine="0"/>
        <w:jc w:val="left"/>
        <w:rPr>
          <w:rFonts w:ascii="Calibri"/>
          <w:sz w:val="24"/>
        </w:rPr>
      </w:pPr>
      <w:r>
        <w:rPr>
          <w:rFonts w:ascii="Calibri"/>
          <w:spacing w:val="-5"/>
          <w:sz w:val="24"/>
        </w:rPr>
        <w:t>RCI</w:t>
      </w:r>
      <w:r>
        <w:rPr>
          <w:rFonts w:ascii="Calibri"/>
          <w:sz w:val="24"/>
        </w:rPr>
        <w:tab/>
        <w:t>Rational</w:t>
      </w:r>
      <w:r>
        <w:rPr>
          <w:rFonts w:ascii="Calibri"/>
          <w:spacing w:val="-4"/>
          <w:sz w:val="24"/>
        </w:rPr>
        <w:t> </w:t>
      </w:r>
      <w:r>
        <w:rPr>
          <w:rFonts w:ascii="Calibri"/>
          <w:sz w:val="24"/>
        </w:rPr>
        <w:t>Choice</w:t>
      </w:r>
      <w:r>
        <w:rPr>
          <w:rFonts w:ascii="Calibri"/>
          <w:spacing w:val="-4"/>
          <w:sz w:val="24"/>
        </w:rPr>
        <w:t> </w:t>
      </w:r>
      <w:r>
        <w:rPr>
          <w:rFonts w:ascii="Calibri"/>
          <w:spacing w:val="-2"/>
          <w:sz w:val="24"/>
        </w:rPr>
        <w:t>Institutionalism</w:t>
      </w:r>
    </w:p>
    <w:p>
      <w:pPr>
        <w:tabs>
          <w:tab w:pos="2420" w:val="left" w:leader="none"/>
        </w:tabs>
        <w:spacing w:before="0"/>
        <w:ind w:left="979" w:right="0" w:firstLine="0"/>
        <w:jc w:val="left"/>
        <w:rPr>
          <w:rFonts w:ascii="Calibri"/>
          <w:sz w:val="24"/>
        </w:rPr>
      </w:pPr>
      <w:r>
        <w:rPr>
          <w:rFonts w:ascii="Calibri"/>
          <w:spacing w:val="-5"/>
          <w:sz w:val="24"/>
        </w:rPr>
        <w:t>SEA</w:t>
      </w:r>
      <w:r>
        <w:rPr>
          <w:rFonts w:ascii="Calibri"/>
          <w:sz w:val="24"/>
        </w:rPr>
        <w:tab/>
        <w:t>Single</w:t>
      </w:r>
      <w:r>
        <w:rPr>
          <w:rFonts w:ascii="Calibri"/>
          <w:spacing w:val="-8"/>
          <w:sz w:val="24"/>
        </w:rPr>
        <w:t> </w:t>
      </w:r>
      <w:r>
        <w:rPr>
          <w:rFonts w:ascii="Calibri"/>
          <w:sz w:val="24"/>
        </w:rPr>
        <w:t>European</w:t>
      </w:r>
      <w:r>
        <w:rPr>
          <w:rFonts w:ascii="Calibri"/>
          <w:spacing w:val="-7"/>
          <w:sz w:val="24"/>
        </w:rPr>
        <w:t> </w:t>
      </w:r>
      <w:r>
        <w:rPr>
          <w:rFonts w:ascii="Calibri"/>
          <w:spacing w:val="-5"/>
          <w:sz w:val="24"/>
        </w:rPr>
        <w:t>Act</w:t>
      </w:r>
    </w:p>
    <w:p>
      <w:pPr>
        <w:tabs>
          <w:tab w:pos="2420" w:val="left" w:leader="none"/>
        </w:tabs>
        <w:spacing w:before="0"/>
        <w:ind w:left="979" w:right="0" w:firstLine="0"/>
        <w:jc w:val="left"/>
        <w:rPr>
          <w:rFonts w:ascii="Calibri"/>
          <w:sz w:val="24"/>
        </w:rPr>
      </w:pPr>
      <w:r>
        <w:rPr>
          <w:rFonts w:ascii="Calibri"/>
          <w:spacing w:val="-5"/>
          <w:sz w:val="24"/>
        </w:rPr>
        <w:t>TDR</w:t>
      </w:r>
      <w:r>
        <w:rPr>
          <w:rFonts w:ascii="Calibri"/>
          <w:sz w:val="24"/>
        </w:rPr>
        <w:tab/>
        <w:t>Third-party</w:t>
      </w:r>
      <w:r>
        <w:rPr>
          <w:rFonts w:ascii="Calibri"/>
          <w:spacing w:val="-9"/>
          <w:sz w:val="24"/>
        </w:rPr>
        <w:t> </w:t>
      </w:r>
      <w:r>
        <w:rPr>
          <w:rFonts w:ascii="Calibri"/>
          <w:sz w:val="24"/>
        </w:rPr>
        <w:t>dispute</w:t>
      </w:r>
      <w:r>
        <w:rPr>
          <w:rFonts w:ascii="Calibri"/>
          <w:spacing w:val="-5"/>
          <w:sz w:val="24"/>
        </w:rPr>
        <w:t> </w:t>
      </w:r>
      <w:r>
        <w:rPr>
          <w:rFonts w:ascii="Calibri"/>
          <w:spacing w:val="-2"/>
          <w:sz w:val="24"/>
        </w:rPr>
        <w:t>resolution</w:t>
      </w:r>
    </w:p>
    <w:p>
      <w:pPr>
        <w:tabs>
          <w:tab w:pos="2420" w:val="left" w:leader="none"/>
        </w:tabs>
        <w:spacing w:before="0"/>
        <w:ind w:left="979" w:right="0" w:firstLine="0"/>
        <w:jc w:val="left"/>
        <w:rPr>
          <w:rFonts w:ascii="Calibri"/>
          <w:sz w:val="24"/>
        </w:rPr>
      </w:pPr>
      <w:r>
        <w:rPr>
          <w:rFonts w:ascii="Calibri"/>
          <w:spacing w:val="-5"/>
          <w:sz w:val="24"/>
        </w:rPr>
        <w:t>VST</w:t>
      </w:r>
      <w:r>
        <w:rPr>
          <w:rFonts w:ascii="Calibri"/>
          <w:sz w:val="24"/>
        </w:rPr>
        <w:tab/>
        <w:t>Viable</w:t>
      </w:r>
      <w:r>
        <w:rPr>
          <w:rFonts w:ascii="Calibri"/>
          <w:spacing w:val="-3"/>
          <w:sz w:val="24"/>
        </w:rPr>
        <w:t> </w:t>
      </w:r>
      <w:r>
        <w:rPr>
          <w:rFonts w:ascii="Calibri"/>
          <w:sz w:val="24"/>
        </w:rPr>
        <w:t>System</w:t>
      </w:r>
      <w:r>
        <w:rPr>
          <w:rFonts w:ascii="Calibri"/>
          <w:spacing w:val="-3"/>
          <w:sz w:val="24"/>
        </w:rPr>
        <w:t> </w:t>
      </w:r>
      <w:r>
        <w:rPr>
          <w:rFonts w:ascii="Calibri"/>
          <w:spacing w:val="-4"/>
          <w:sz w:val="24"/>
        </w:rPr>
        <w:t>Model</w:t>
      </w:r>
    </w:p>
    <w:p>
      <w:pPr>
        <w:tabs>
          <w:tab w:pos="2420" w:val="left" w:leader="none"/>
        </w:tabs>
        <w:spacing w:before="0"/>
        <w:ind w:left="979" w:right="0" w:firstLine="0"/>
        <w:jc w:val="left"/>
        <w:rPr>
          <w:rFonts w:ascii="Calibri"/>
          <w:sz w:val="24"/>
        </w:rPr>
      </w:pPr>
      <w:r>
        <w:rPr>
          <w:rFonts w:ascii="Calibri"/>
          <w:spacing w:val="-5"/>
          <w:sz w:val="24"/>
        </w:rPr>
        <w:t>WEU</w:t>
      </w:r>
      <w:r>
        <w:rPr>
          <w:rFonts w:ascii="Calibri"/>
          <w:sz w:val="24"/>
        </w:rPr>
        <w:tab/>
        <w:t>Western</w:t>
      </w:r>
      <w:r>
        <w:rPr>
          <w:rFonts w:ascii="Calibri"/>
          <w:spacing w:val="-8"/>
          <w:sz w:val="24"/>
        </w:rPr>
        <w:t> </w:t>
      </w:r>
      <w:r>
        <w:rPr>
          <w:rFonts w:ascii="Calibri"/>
          <w:sz w:val="24"/>
        </w:rPr>
        <w:t>European</w:t>
      </w:r>
      <w:r>
        <w:rPr>
          <w:rFonts w:ascii="Calibri"/>
          <w:spacing w:val="-4"/>
          <w:sz w:val="24"/>
        </w:rPr>
        <w:t> Union</w:t>
      </w:r>
    </w:p>
    <w:p>
      <w:pPr>
        <w:spacing w:after="0"/>
        <w:jc w:val="left"/>
        <w:rPr>
          <w:rFonts w:ascii="Calibri"/>
          <w:sz w:val="24"/>
        </w:rPr>
        <w:sectPr>
          <w:pgSz w:w="12240" w:h="15840"/>
          <w:pgMar w:top="1620" w:bottom="280" w:left="720" w:right="360"/>
        </w:sectPr>
      </w:pPr>
    </w:p>
    <w:p>
      <w:pPr>
        <w:pStyle w:val="BodyText"/>
        <w:spacing w:before="7"/>
        <w:ind w:left="0"/>
        <w:jc w:val="left"/>
        <w:rPr>
          <w:rFonts w:ascii="Calibri"/>
          <w:sz w:val="24"/>
        </w:rPr>
      </w:pPr>
    </w:p>
    <w:p>
      <w:pPr>
        <w:spacing w:before="0"/>
        <w:ind w:left="0" w:right="921" w:firstLine="0"/>
        <w:jc w:val="center"/>
        <w:rPr>
          <w:sz w:val="24"/>
        </w:rPr>
      </w:pPr>
      <w:r>
        <w:rPr>
          <w:sz w:val="24"/>
        </w:rPr>
        <mc:AlternateContent>
          <mc:Choice Requires="wps">
            <w:drawing>
              <wp:anchor distT="0" distB="0" distL="0" distR="0" allowOverlap="1" layoutInCell="1" locked="0" behindDoc="0" simplePos="0" relativeHeight="15730176">
                <wp:simplePos x="0" y="0"/>
                <wp:positionH relativeFrom="page">
                  <wp:posOffset>1061008</wp:posOffset>
                </wp:positionH>
                <wp:positionV relativeFrom="paragraph">
                  <wp:posOffset>315614</wp:posOffset>
                </wp:positionV>
                <wp:extent cx="5290820" cy="6350"/>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5290820" cy="6350"/>
                        </a:xfrm>
                        <a:custGeom>
                          <a:avLst/>
                          <a:gdLst/>
                          <a:ahLst/>
                          <a:cxnLst/>
                          <a:rect l="l" t="t" r="r" b="b"/>
                          <a:pathLst>
                            <a:path w="5290820" h="6350">
                              <a:moveTo>
                                <a:pt x="5290439" y="0"/>
                              </a:moveTo>
                              <a:lnTo>
                                <a:pt x="0" y="0"/>
                              </a:lnTo>
                              <a:lnTo>
                                <a:pt x="0" y="6096"/>
                              </a:lnTo>
                              <a:lnTo>
                                <a:pt x="5290439" y="6096"/>
                              </a:lnTo>
                              <a:lnTo>
                                <a:pt x="52904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3.543999pt;margin-top:24.851563pt;width:416.57pt;height:.48pt;mso-position-horizontal-relative:page;mso-position-vertical-relative:paragraph;z-index:15730176" id="docshape6" filled="true" fillcolor="#000000" stroked="false">
                <v:fill type="solid"/>
                <w10:wrap type="none"/>
              </v:rect>
            </w:pict>
          </mc:Fallback>
        </mc:AlternateContent>
      </w:r>
      <w:r>
        <w:rPr>
          <w:sz w:val="24"/>
        </w:rPr>
        <w:t>THE</w:t>
      </w:r>
      <w:r>
        <w:rPr>
          <w:spacing w:val="-12"/>
          <w:sz w:val="24"/>
        </w:rPr>
        <w:t> </w:t>
      </w:r>
      <w:r>
        <w:rPr>
          <w:sz w:val="24"/>
        </w:rPr>
        <w:t>LIST</w:t>
      </w:r>
      <w:r>
        <w:rPr>
          <w:spacing w:val="-11"/>
          <w:sz w:val="24"/>
        </w:rPr>
        <w:t> </w:t>
      </w:r>
      <w:r>
        <w:rPr>
          <w:sz w:val="24"/>
        </w:rPr>
        <w:t>OF</w:t>
      </w:r>
      <w:r>
        <w:rPr>
          <w:spacing w:val="-4"/>
          <w:sz w:val="24"/>
        </w:rPr>
        <w:t> </w:t>
      </w:r>
      <w:r>
        <w:rPr>
          <w:spacing w:val="-2"/>
          <w:sz w:val="24"/>
        </w:rPr>
        <w:t>FIGURES</w:t>
      </w:r>
    </w:p>
    <w:p>
      <w:pPr>
        <w:tabs>
          <w:tab w:pos="9243" w:val="right" w:leader="dot"/>
        </w:tabs>
        <w:spacing w:before="662"/>
        <w:ind w:left="979" w:right="0" w:firstLine="0"/>
        <w:jc w:val="left"/>
        <w:rPr>
          <w:rFonts w:ascii="Calibri"/>
          <w:sz w:val="20"/>
        </w:rPr>
      </w:pPr>
      <w:hyperlink w:history="true" w:anchor="_bookmark11">
        <w:r>
          <w:rPr>
            <w:rFonts w:ascii="Calibri"/>
            <w:sz w:val="20"/>
          </w:rPr>
          <w:t>FIGURE</w:t>
        </w:r>
        <w:r>
          <w:rPr>
            <w:rFonts w:ascii="Calibri"/>
            <w:spacing w:val="-6"/>
            <w:sz w:val="20"/>
          </w:rPr>
          <w:t> </w:t>
        </w:r>
        <w:r>
          <w:rPr>
            <w:rFonts w:ascii="Calibri"/>
            <w:sz w:val="20"/>
          </w:rPr>
          <w:t>1.</w:t>
        </w:r>
        <w:r>
          <w:rPr>
            <w:rFonts w:ascii="Calibri"/>
            <w:spacing w:val="-6"/>
            <w:sz w:val="20"/>
          </w:rPr>
          <w:t> </w:t>
        </w:r>
        <w:r>
          <w:rPr>
            <w:rFonts w:ascii="Calibri"/>
            <w:sz w:val="20"/>
          </w:rPr>
          <w:t>AUTOPOIETIC</w:t>
        </w:r>
        <w:r>
          <w:rPr>
            <w:rFonts w:ascii="Calibri"/>
            <w:spacing w:val="-9"/>
            <w:sz w:val="20"/>
          </w:rPr>
          <w:t> </w:t>
        </w:r>
        <w:r>
          <w:rPr>
            <w:rFonts w:ascii="Calibri"/>
            <w:spacing w:val="-2"/>
            <w:sz w:val="20"/>
          </w:rPr>
          <w:t>SYSTEMS</w:t>
        </w:r>
        <w:r>
          <w:rPr>
            <w:rFonts w:ascii="Calibri"/>
            <w:sz w:val="20"/>
          </w:rPr>
          <w:tab/>
        </w:r>
        <w:r>
          <w:rPr>
            <w:rFonts w:ascii="Calibri"/>
            <w:spacing w:val="-5"/>
            <w:sz w:val="20"/>
          </w:rPr>
          <w:t>31</w:t>
        </w:r>
      </w:hyperlink>
    </w:p>
    <w:p>
      <w:pPr>
        <w:tabs>
          <w:tab w:pos="9243" w:val="right" w:leader="dot"/>
        </w:tabs>
        <w:spacing w:before="126"/>
        <w:ind w:left="979" w:right="0" w:firstLine="0"/>
        <w:jc w:val="left"/>
        <w:rPr>
          <w:rFonts w:ascii="Calibri"/>
          <w:sz w:val="20"/>
        </w:rPr>
      </w:pPr>
      <w:hyperlink w:history="true" w:anchor="_bookmark13">
        <w:r>
          <w:rPr>
            <w:rFonts w:ascii="Calibri"/>
            <w:sz w:val="20"/>
          </w:rPr>
          <w:t>FIGURE</w:t>
        </w:r>
        <w:r>
          <w:rPr>
            <w:rFonts w:ascii="Calibri"/>
            <w:spacing w:val="-6"/>
            <w:sz w:val="20"/>
          </w:rPr>
          <w:t> </w:t>
        </w:r>
        <w:r>
          <w:rPr>
            <w:rFonts w:ascii="Calibri"/>
            <w:sz w:val="20"/>
          </w:rPr>
          <w:t>2</w:t>
        </w:r>
        <w:r>
          <w:rPr>
            <w:rFonts w:ascii="Calibri"/>
            <w:spacing w:val="-9"/>
            <w:sz w:val="20"/>
          </w:rPr>
          <w:t> </w:t>
        </w:r>
        <w:r>
          <w:rPr>
            <w:rFonts w:ascii="Calibri"/>
            <w:sz w:val="20"/>
          </w:rPr>
          <w:t>DAVID</w:t>
        </w:r>
        <w:r>
          <w:rPr>
            <w:rFonts w:ascii="Calibri"/>
            <w:spacing w:val="-7"/>
            <w:sz w:val="20"/>
          </w:rPr>
          <w:t> </w:t>
        </w:r>
        <w:r>
          <w:rPr>
            <w:rFonts w:ascii="Calibri"/>
            <w:sz w:val="20"/>
          </w:rPr>
          <w:t>EASTON'S</w:t>
        </w:r>
        <w:r>
          <w:rPr>
            <w:rFonts w:ascii="Calibri"/>
            <w:spacing w:val="-9"/>
            <w:sz w:val="20"/>
          </w:rPr>
          <w:t> </w:t>
        </w:r>
        <w:r>
          <w:rPr>
            <w:rFonts w:ascii="Calibri"/>
            <w:sz w:val="20"/>
          </w:rPr>
          <w:t>POLITICAL</w:t>
        </w:r>
        <w:r>
          <w:rPr>
            <w:rFonts w:ascii="Calibri"/>
            <w:spacing w:val="-6"/>
            <w:sz w:val="20"/>
          </w:rPr>
          <w:t> </w:t>
        </w:r>
        <w:r>
          <w:rPr>
            <w:rFonts w:ascii="Calibri"/>
            <w:spacing w:val="-2"/>
            <w:sz w:val="20"/>
          </w:rPr>
          <w:t>PROCESS</w:t>
        </w:r>
        <w:r>
          <w:rPr>
            <w:rFonts w:ascii="Calibri"/>
            <w:sz w:val="20"/>
          </w:rPr>
          <w:tab/>
        </w:r>
        <w:r>
          <w:rPr>
            <w:rFonts w:ascii="Calibri"/>
            <w:spacing w:val="-5"/>
            <w:sz w:val="20"/>
          </w:rPr>
          <w:t>37</w:t>
        </w:r>
      </w:hyperlink>
    </w:p>
    <w:p>
      <w:pPr>
        <w:tabs>
          <w:tab w:pos="9243" w:val="right" w:leader="dot"/>
        </w:tabs>
        <w:spacing w:before="120"/>
        <w:ind w:left="979" w:right="0" w:firstLine="0"/>
        <w:jc w:val="left"/>
        <w:rPr>
          <w:rFonts w:ascii="Calibri"/>
          <w:sz w:val="20"/>
        </w:rPr>
      </w:pPr>
      <w:hyperlink r:id="rId10">
        <w:r>
          <w:rPr>
            <w:rFonts w:ascii="Calibri"/>
            <w:sz w:val="20"/>
          </w:rPr>
          <w:t>FIGURE</w:t>
        </w:r>
        <w:r>
          <w:rPr>
            <w:rFonts w:ascii="Calibri"/>
            <w:spacing w:val="-3"/>
            <w:sz w:val="20"/>
          </w:rPr>
          <w:t> </w:t>
        </w:r>
        <w:r>
          <w:rPr>
            <w:rFonts w:ascii="Calibri"/>
            <w:sz w:val="20"/>
          </w:rPr>
          <w:t>3.</w:t>
        </w:r>
        <w:r>
          <w:rPr>
            <w:rFonts w:ascii="Calibri"/>
            <w:spacing w:val="-4"/>
            <w:sz w:val="20"/>
          </w:rPr>
          <w:t> </w:t>
        </w:r>
        <w:r>
          <w:rPr>
            <w:rFonts w:ascii="Calibri"/>
            <w:sz w:val="20"/>
          </w:rPr>
          <w:t>METHODS</w:t>
        </w:r>
        <w:r>
          <w:rPr>
            <w:rFonts w:ascii="Calibri"/>
            <w:spacing w:val="-7"/>
            <w:sz w:val="20"/>
          </w:rPr>
          <w:t> </w:t>
        </w:r>
        <w:r>
          <w:rPr>
            <w:rFonts w:ascii="Calibri"/>
            <w:sz w:val="20"/>
          </w:rPr>
          <w:t>OF</w:t>
        </w:r>
        <w:r>
          <w:rPr>
            <w:rFonts w:ascii="Calibri"/>
            <w:spacing w:val="-6"/>
            <w:sz w:val="20"/>
          </w:rPr>
          <w:t> </w:t>
        </w:r>
        <w:r>
          <w:rPr>
            <w:rFonts w:ascii="Calibri"/>
            <w:spacing w:val="-2"/>
            <w:sz w:val="20"/>
          </w:rPr>
          <w:t>INTEGRATION</w:t>
        </w:r>
        <w:r>
          <w:rPr>
            <w:rFonts w:ascii="Calibri"/>
            <w:sz w:val="20"/>
          </w:rPr>
          <w:tab/>
        </w:r>
        <w:r>
          <w:rPr>
            <w:rFonts w:ascii="Calibri"/>
            <w:spacing w:val="-5"/>
            <w:sz w:val="20"/>
          </w:rPr>
          <w:t>44</w:t>
        </w:r>
      </w:hyperlink>
    </w:p>
    <w:p>
      <w:pPr>
        <w:tabs>
          <w:tab w:pos="9243" w:val="right" w:leader="dot"/>
        </w:tabs>
        <w:spacing w:before="121"/>
        <w:ind w:left="979" w:right="0" w:firstLine="0"/>
        <w:jc w:val="left"/>
        <w:rPr>
          <w:rFonts w:ascii="Calibri"/>
          <w:sz w:val="20"/>
        </w:rPr>
      </w:pPr>
      <w:hyperlink w:history="true" w:anchor="_bookmark21">
        <w:r>
          <w:rPr>
            <w:rFonts w:ascii="Calibri"/>
            <w:sz w:val="20"/>
          </w:rPr>
          <w:t>FIGURE</w:t>
        </w:r>
        <w:r>
          <w:rPr>
            <w:rFonts w:ascii="Calibri"/>
            <w:spacing w:val="-5"/>
            <w:sz w:val="20"/>
          </w:rPr>
          <w:t> </w:t>
        </w:r>
        <w:r>
          <w:rPr>
            <w:rFonts w:ascii="Calibri"/>
            <w:sz w:val="20"/>
          </w:rPr>
          <w:t>4.</w:t>
        </w:r>
        <w:r>
          <w:rPr>
            <w:rFonts w:ascii="Calibri"/>
            <w:spacing w:val="-5"/>
            <w:sz w:val="20"/>
          </w:rPr>
          <w:t> </w:t>
        </w:r>
        <w:r>
          <w:rPr>
            <w:rFonts w:ascii="Calibri"/>
            <w:sz w:val="20"/>
          </w:rPr>
          <w:t>SPEECH</w:t>
        </w:r>
        <w:r>
          <w:rPr>
            <w:rFonts w:ascii="Calibri"/>
            <w:spacing w:val="-4"/>
            <w:sz w:val="20"/>
          </w:rPr>
          <w:t> </w:t>
        </w:r>
        <w:r>
          <w:rPr>
            <w:rFonts w:ascii="Calibri"/>
            <w:sz w:val="20"/>
          </w:rPr>
          <w:t>ACT</w:t>
        </w:r>
        <w:r>
          <w:rPr>
            <w:rFonts w:ascii="Calibri"/>
            <w:spacing w:val="-4"/>
            <w:sz w:val="20"/>
          </w:rPr>
          <w:t> </w:t>
        </w:r>
        <w:r>
          <w:rPr>
            <w:rFonts w:ascii="Calibri"/>
            <w:spacing w:val="-2"/>
            <w:sz w:val="20"/>
          </w:rPr>
          <w:t>RELATIONS</w:t>
        </w:r>
        <w:r>
          <w:rPr>
            <w:rFonts w:ascii="Calibri"/>
            <w:sz w:val="20"/>
          </w:rPr>
          <w:tab/>
        </w:r>
        <w:r>
          <w:rPr>
            <w:rFonts w:ascii="Calibri"/>
            <w:spacing w:val="-7"/>
            <w:sz w:val="20"/>
          </w:rPr>
          <w:t>70</w:t>
        </w:r>
      </w:hyperlink>
    </w:p>
    <w:p>
      <w:pPr>
        <w:tabs>
          <w:tab w:pos="9243" w:val="right" w:leader="dot"/>
        </w:tabs>
        <w:spacing w:before="121"/>
        <w:ind w:left="979" w:right="0" w:firstLine="0"/>
        <w:jc w:val="left"/>
        <w:rPr>
          <w:rFonts w:ascii="Calibri"/>
          <w:sz w:val="20"/>
        </w:rPr>
      </w:pPr>
      <w:hyperlink w:history="true" w:anchor="_bookmark22">
        <w:r>
          <w:rPr>
            <w:rFonts w:ascii="Calibri"/>
            <w:sz w:val="20"/>
          </w:rPr>
          <w:t>FIGURE</w:t>
        </w:r>
        <w:r>
          <w:rPr>
            <w:rFonts w:ascii="Calibri"/>
            <w:spacing w:val="-8"/>
            <w:sz w:val="20"/>
          </w:rPr>
          <w:t> </w:t>
        </w:r>
        <w:r>
          <w:rPr>
            <w:rFonts w:ascii="Calibri"/>
            <w:sz w:val="20"/>
          </w:rPr>
          <w:t>5.</w:t>
        </w:r>
        <w:r>
          <w:rPr>
            <w:rFonts w:ascii="Calibri"/>
            <w:spacing w:val="-8"/>
            <w:sz w:val="20"/>
          </w:rPr>
          <w:t> </w:t>
        </w:r>
        <w:r>
          <w:rPr>
            <w:rFonts w:ascii="Calibri"/>
            <w:sz w:val="20"/>
          </w:rPr>
          <w:t>CONSTRUCTING</w:t>
        </w:r>
        <w:r>
          <w:rPr>
            <w:rFonts w:ascii="Calibri"/>
            <w:spacing w:val="-7"/>
            <w:sz w:val="20"/>
          </w:rPr>
          <w:t> </w:t>
        </w:r>
        <w:r>
          <w:rPr>
            <w:rFonts w:ascii="Calibri"/>
            <w:spacing w:val="-2"/>
            <w:sz w:val="20"/>
          </w:rPr>
          <w:t>POLITICS</w:t>
        </w:r>
        <w:r>
          <w:rPr>
            <w:rFonts w:ascii="Calibri"/>
            <w:sz w:val="20"/>
          </w:rPr>
          <w:tab/>
        </w:r>
        <w:r>
          <w:rPr>
            <w:rFonts w:ascii="Calibri"/>
            <w:spacing w:val="-5"/>
            <w:sz w:val="20"/>
          </w:rPr>
          <w:t>77</w:t>
        </w:r>
      </w:hyperlink>
    </w:p>
    <w:p>
      <w:pPr>
        <w:tabs>
          <w:tab w:pos="9243" w:val="right" w:leader="dot"/>
        </w:tabs>
        <w:spacing w:before="126"/>
        <w:ind w:left="979" w:right="0" w:firstLine="0"/>
        <w:jc w:val="left"/>
        <w:rPr>
          <w:rFonts w:ascii="Calibri"/>
          <w:sz w:val="20"/>
        </w:rPr>
      </w:pPr>
      <w:hyperlink r:id="rId11">
        <w:r>
          <w:rPr>
            <w:rFonts w:ascii="Calibri"/>
            <w:sz w:val="20"/>
          </w:rPr>
          <w:t>FIGURE</w:t>
        </w:r>
        <w:r>
          <w:rPr>
            <w:rFonts w:ascii="Calibri"/>
            <w:spacing w:val="-5"/>
            <w:sz w:val="20"/>
          </w:rPr>
          <w:t> </w:t>
        </w:r>
        <w:r>
          <w:rPr>
            <w:rFonts w:ascii="Calibri"/>
            <w:sz w:val="20"/>
          </w:rPr>
          <w:t>6.</w:t>
        </w:r>
        <w:r>
          <w:rPr>
            <w:rFonts w:ascii="Calibri"/>
            <w:spacing w:val="-5"/>
            <w:sz w:val="20"/>
          </w:rPr>
          <w:t> </w:t>
        </w:r>
        <w:r>
          <w:rPr>
            <w:rFonts w:ascii="Calibri"/>
            <w:sz w:val="20"/>
          </w:rPr>
          <w:t>COMMON</w:t>
        </w:r>
        <w:r>
          <w:rPr>
            <w:rFonts w:ascii="Calibri"/>
            <w:spacing w:val="-11"/>
            <w:sz w:val="20"/>
          </w:rPr>
          <w:t> </w:t>
        </w:r>
        <w:r>
          <w:rPr>
            <w:rFonts w:ascii="Calibri"/>
            <w:spacing w:val="-2"/>
            <w:sz w:val="20"/>
          </w:rPr>
          <w:t>GROUND</w:t>
        </w:r>
        <w:r>
          <w:rPr>
            <w:rFonts w:ascii="Calibri"/>
            <w:sz w:val="20"/>
          </w:rPr>
          <w:tab/>
        </w:r>
        <w:r>
          <w:rPr>
            <w:rFonts w:ascii="Calibri"/>
            <w:spacing w:val="-5"/>
            <w:sz w:val="20"/>
          </w:rPr>
          <w:t>97</w:t>
        </w:r>
      </w:hyperlink>
    </w:p>
    <w:p>
      <w:pPr>
        <w:tabs>
          <w:tab w:pos="9243" w:val="right" w:leader="dot"/>
        </w:tabs>
        <w:spacing w:before="120"/>
        <w:ind w:left="979" w:right="0" w:firstLine="0"/>
        <w:jc w:val="left"/>
        <w:rPr>
          <w:rFonts w:ascii="Calibri"/>
          <w:sz w:val="20"/>
        </w:rPr>
      </w:pPr>
      <w:hyperlink r:id="rId12">
        <w:r>
          <w:rPr>
            <w:rFonts w:ascii="Calibri"/>
            <w:sz w:val="20"/>
          </w:rPr>
          <w:t>FIGURE</w:t>
        </w:r>
        <w:r>
          <w:rPr>
            <w:rFonts w:ascii="Calibri"/>
            <w:spacing w:val="-7"/>
            <w:sz w:val="20"/>
          </w:rPr>
          <w:t> </w:t>
        </w:r>
        <w:r>
          <w:rPr>
            <w:rFonts w:ascii="Calibri"/>
            <w:sz w:val="20"/>
          </w:rPr>
          <w:t>7.</w:t>
        </w:r>
        <w:r>
          <w:rPr>
            <w:rFonts w:ascii="Calibri"/>
            <w:spacing w:val="-7"/>
            <w:sz w:val="20"/>
          </w:rPr>
          <w:t> </w:t>
        </w:r>
        <w:r>
          <w:rPr>
            <w:rFonts w:ascii="Calibri"/>
            <w:sz w:val="20"/>
          </w:rPr>
          <w:t>TWO-LEVEL</w:t>
        </w:r>
        <w:r>
          <w:rPr>
            <w:rFonts w:ascii="Calibri"/>
            <w:spacing w:val="-2"/>
            <w:sz w:val="20"/>
          </w:rPr>
          <w:t> COMMUNICATION</w:t>
        </w:r>
        <w:r>
          <w:rPr>
            <w:rFonts w:ascii="Calibri"/>
            <w:sz w:val="20"/>
          </w:rPr>
          <w:tab/>
        </w:r>
        <w:r>
          <w:rPr>
            <w:rFonts w:ascii="Calibri"/>
            <w:spacing w:val="-5"/>
            <w:sz w:val="20"/>
          </w:rPr>
          <w:t>104</w:t>
        </w:r>
      </w:hyperlink>
    </w:p>
    <w:p>
      <w:pPr>
        <w:tabs>
          <w:tab w:pos="9243" w:val="right" w:leader="dot"/>
        </w:tabs>
        <w:spacing w:before="121"/>
        <w:ind w:left="979" w:right="0" w:firstLine="0"/>
        <w:jc w:val="left"/>
        <w:rPr>
          <w:rFonts w:ascii="Calibri"/>
          <w:sz w:val="20"/>
        </w:rPr>
      </w:pPr>
      <w:hyperlink r:id="rId13">
        <w:r>
          <w:rPr>
            <w:rFonts w:ascii="Calibri"/>
            <w:sz w:val="20"/>
          </w:rPr>
          <w:t>FIGURE</w:t>
        </w:r>
        <w:r>
          <w:rPr>
            <w:rFonts w:ascii="Calibri"/>
            <w:spacing w:val="-7"/>
            <w:sz w:val="20"/>
          </w:rPr>
          <w:t> </w:t>
        </w:r>
        <w:r>
          <w:rPr>
            <w:rFonts w:ascii="Calibri"/>
            <w:sz w:val="20"/>
          </w:rPr>
          <w:t>8.</w:t>
        </w:r>
        <w:r>
          <w:rPr>
            <w:rFonts w:ascii="Calibri"/>
            <w:spacing w:val="-7"/>
            <w:sz w:val="20"/>
          </w:rPr>
          <w:t> </w:t>
        </w:r>
        <w:r>
          <w:rPr>
            <w:rFonts w:ascii="Calibri"/>
            <w:sz w:val="20"/>
          </w:rPr>
          <w:t>POLITICAL</w:t>
        </w:r>
        <w:r>
          <w:rPr>
            <w:rFonts w:ascii="Calibri"/>
            <w:spacing w:val="-4"/>
            <w:sz w:val="20"/>
          </w:rPr>
          <w:t> </w:t>
        </w:r>
        <w:r>
          <w:rPr>
            <w:rFonts w:ascii="Calibri"/>
            <w:spacing w:val="-2"/>
            <w:sz w:val="20"/>
          </w:rPr>
          <w:t>COMMUNICATION</w:t>
        </w:r>
        <w:r>
          <w:rPr>
            <w:rFonts w:ascii="Calibri"/>
            <w:sz w:val="20"/>
          </w:rPr>
          <w:tab/>
        </w:r>
        <w:r>
          <w:rPr>
            <w:rFonts w:ascii="Calibri"/>
            <w:spacing w:val="-5"/>
            <w:sz w:val="20"/>
          </w:rPr>
          <w:t>111</w:t>
        </w:r>
      </w:hyperlink>
    </w:p>
    <w:p>
      <w:pPr>
        <w:tabs>
          <w:tab w:pos="9243" w:val="right" w:leader="dot"/>
        </w:tabs>
        <w:spacing w:before="126"/>
        <w:ind w:left="979" w:right="0" w:firstLine="0"/>
        <w:jc w:val="left"/>
        <w:rPr>
          <w:rFonts w:ascii="Calibri"/>
          <w:sz w:val="20"/>
        </w:rPr>
      </w:pPr>
      <w:hyperlink r:id="rId14">
        <w:r>
          <w:rPr>
            <w:rFonts w:ascii="Calibri"/>
            <w:sz w:val="20"/>
          </w:rPr>
          <w:t>FIGURE</w:t>
        </w:r>
        <w:r>
          <w:rPr>
            <w:rFonts w:ascii="Calibri"/>
            <w:spacing w:val="-5"/>
            <w:sz w:val="20"/>
          </w:rPr>
          <w:t> </w:t>
        </w:r>
        <w:r>
          <w:rPr>
            <w:rFonts w:ascii="Calibri"/>
            <w:sz w:val="20"/>
          </w:rPr>
          <w:t>9.</w:t>
        </w:r>
        <w:r>
          <w:rPr>
            <w:rFonts w:ascii="Calibri"/>
            <w:spacing w:val="-6"/>
            <w:sz w:val="20"/>
          </w:rPr>
          <w:t> </w:t>
        </w:r>
        <w:r>
          <w:rPr>
            <w:rFonts w:ascii="Calibri"/>
            <w:sz w:val="20"/>
          </w:rPr>
          <w:t>INFORMATION</w:t>
        </w:r>
        <w:r>
          <w:rPr>
            <w:rFonts w:ascii="Calibri"/>
            <w:spacing w:val="-8"/>
            <w:sz w:val="20"/>
          </w:rPr>
          <w:t> </w:t>
        </w:r>
        <w:r>
          <w:rPr>
            <w:rFonts w:ascii="Calibri"/>
            <w:sz w:val="20"/>
          </w:rPr>
          <w:t>AND</w:t>
        </w:r>
        <w:r>
          <w:rPr>
            <w:rFonts w:ascii="Calibri"/>
            <w:spacing w:val="-6"/>
            <w:sz w:val="20"/>
          </w:rPr>
          <w:t> </w:t>
        </w:r>
        <w:r>
          <w:rPr>
            <w:rFonts w:ascii="Calibri"/>
            <w:spacing w:val="-2"/>
            <w:sz w:val="20"/>
          </w:rPr>
          <w:t>COMPLEXITY</w:t>
        </w:r>
        <w:r>
          <w:rPr>
            <w:rFonts w:ascii="Calibri"/>
            <w:sz w:val="20"/>
          </w:rPr>
          <w:tab/>
        </w:r>
        <w:r>
          <w:rPr>
            <w:rFonts w:ascii="Calibri"/>
            <w:spacing w:val="-5"/>
            <w:sz w:val="20"/>
          </w:rPr>
          <w:t>116</w:t>
        </w:r>
      </w:hyperlink>
    </w:p>
    <w:p>
      <w:pPr>
        <w:tabs>
          <w:tab w:pos="9243" w:val="right" w:leader="dot"/>
        </w:tabs>
        <w:spacing w:before="121"/>
        <w:ind w:left="979" w:right="0" w:firstLine="0"/>
        <w:jc w:val="left"/>
        <w:rPr>
          <w:rFonts w:ascii="Calibri"/>
          <w:sz w:val="20"/>
        </w:rPr>
      </w:pPr>
      <w:hyperlink w:history="true" w:anchor="_bookmark37">
        <w:r>
          <w:rPr>
            <w:rFonts w:ascii="Calibri"/>
            <w:sz w:val="20"/>
          </w:rPr>
          <w:t>FIGURE</w:t>
        </w:r>
        <w:r>
          <w:rPr>
            <w:rFonts w:ascii="Calibri"/>
            <w:spacing w:val="-5"/>
            <w:sz w:val="20"/>
          </w:rPr>
          <w:t> </w:t>
        </w:r>
        <w:r>
          <w:rPr>
            <w:rFonts w:ascii="Calibri"/>
            <w:sz w:val="20"/>
          </w:rPr>
          <w:t>10.</w:t>
        </w:r>
        <w:r>
          <w:rPr>
            <w:rFonts w:ascii="Calibri"/>
            <w:spacing w:val="-6"/>
            <w:sz w:val="20"/>
          </w:rPr>
          <w:t> </w:t>
        </w:r>
        <w:r>
          <w:rPr>
            <w:rFonts w:ascii="Calibri"/>
            <w:sz w:val="20"/>
          </w:rPr>
          <w:t>PURPOSE</w:t>
        </w:r>
        <w:r>
          <w:rPr>
            <w:rFonts w:ascii="Calibri"/>
            <w:spacing w:val="-4"/>
            <w:sz w:val="20"/>
          </w:rPr>
          <w:t> </w:t>
        </w:r>
        <w:r>
          <w:rPr>
            <w:rFonts w:ascii="Calibri"/>
            <w:sz w:val="20"/>
          </w:rPr>
          <w:t>AND</w:t>
        </w:r>
        <w:r>
          <w:rPr>
            <w:rFonts w:ascii="Calibri"/>
            <w:spacing w:val="-6"/>
            <w:sz w:val="20"/>
          </w:rPr>
          <w:t> </w:t>
        </w:r>
        <w:r>
          <w:rPr>
            <w:rFonts w:ascii="Calibri"/>
            <w:spacing w:val="-2"/>
            <w:sz w:val="20"/>
          </w:rPr>
          <w:t>METHOD</w:t>
        </w:r>
        <w:r>
          <w:rPr>
            <w:rFonts w:ascii="Calibri"/>
            <w:sz w:val="20"/>
          </w:rPr>
          <w:tab/>
        </w:r>
        <w:r>
          <w:rPr>
            <w:rFonts w:ascii="Calibri"/>
            <w:spacing w:val="-5"/>
            <w:sz w:val="20"/>
          </w:rPr>
          <w:t>137</w:t>
        </w:r>
      </w:hyperlink>
    </w:p>
    <w:p>
      <w:pPr>
        <w:tabs>
          <w:tab w:pos="9243" w:val="right" w:leader="dot"/>
        </w:tabs>
        <w:spacing w:before="120"/>
        <w:ind w:left="979" w:right="0" w:firstLine="0"/>
        <w:jc w:val="left"/>
        <w:rPr>
          <w:rFonts w:ascii="Calibri"/>
          <w:sz w:val="20"/>
        </w:rPr>
      </w:pPr>
      <w:hyperlink w:history="true" w:anchor="_bookmark44">
        <w:r>
          <w:rPr>
            <w:rFonts w:ascii="Calibri"/>
            <w:sz w:val="20"/>
          </w:rPr>
          <w:t>FIGURE</w:t>
        </w:r>
        <w:r>
          <w:rPr>
            <w:rFonts w:ascii="Calibri"/>
            <w:spacing w:val="-7"/>
            <w:sz w:val="20"/>
          </w:rPr>
          <w:t> </w:t>
        </w:r>
        <w:r>
          <w:rPr>
            <w:rFonts w:ascii="Calibri"/>
            <w:sz w:val="20"/>
          </w:rPr>
          <w:t>11.</w:t>
        </w:r>
        <w:r>
          <w:rPr>
            <w:rFonts w:ascii="Calibri"/>
            <w:spacing w:val="-6"/>
            <w:sz w:val="20"/>
          </w:rPr>
          <w:t> </w:t>
        </w:r>
        <w:r>
          <w:rPr>
            <w:rFonts w:ascii="Calibri"/>
            <w:sz w:val="20"/>
          </w:rPr>
          <w:t>INCREASING</w:t>
        </w:r>
        <w:r>
          <w:rPr>
            <w:rFonts w:ascii="Calibri"/>
            <w:spacing w:val="-6"/>
            <w:sz w:val="20"/>
          </w:rPr>
          <w:t> </w:t>
        </w:r>
        <w:r>
          <w:rPr>
            <w:rFonts w:ascii="Calibri"/>
            <w:spacing w:val="-2"/>
            <w:sz w:val="20"/>
          </w:rPr>
          <w:t>ACCOUNTABILITY</w:t>
        </w:r>
        <w:r>
          <w:rPr>
            <w:rFonts w:ascii="Calibri"/>
            <w:sz w:val="20"/>
          </w:rPr>
          <w:tab/>
        </w:r>
        <w:r>
          <w:rPr>
            <w:rFonts w:ascii="Calibri"/>
            <w:spacing w:val="-5"/>
            <w:sz w:val="20"/>
          </w:rPr>
          <w:t>165</w:t>
        </w:r>
      </w:hyperlink>
    </w:p>
    <w:p>
      <w:pPr>
        <w:tabs>
          <w:tab w:pos="9243" w:val="right" w:leader="dot"/>
        </w:tabs>
        <w:spacing w:before="126"/>
        <w:ind w:left="979" w:right="0" w:firstLine="0"/>
        <w:jc w:val="left"/>
        <w:rPr>
          <w:rFonts w:ascii="Calibri"/>
          <w:sz w:val="20"/>
        </w:rPr>
      </w:pPr>
      <w:hyperlink r:id="rId15">
        <w:r>
          <w:rPr>
            <w:rFonts w:ascii="Calibri"/>
            <w:sz w:val="20"/>
          </w:rPr>
          <w:t>FIGURE</w:t>
        </w:r>
        <w:r>
          <w:rPr>
            <w:rFonts w:ascii="Calibri"/>
            <w:spacing w:val="-5"/>
            <w:sz w:val="20"/>
          </w:rPr>
          <w:t> </w:t>
        </w:r>
        <w:r>
          <w:rPr>
            <w:rFonts w:ascii="Calibri"/>
            <w:sz w:val="20"/>
          </w:rPr>
          <w:t>12.</w:t>
        </w:r>
        <w:r>
          <w:rPr>
            <w:rFonts w:ascii="Calibri"/>
            <w:spacing w:val="-4"/>
            <w:sz w:val="20"/>
          </w:rPr>
          <w:t> </w:t>
        </w:r>
        <w:r>
          <w:rPr>
            <w:rFonts w:ascii="Calibri"/>
            <w:spacing w:val="-2"/>
            <w:sz w:val="20"/>
          </w:rPr>
          <w:t>DISTINCTION</w:t>
        </w:r>
        <w:r>
          <w:rPr>
            <w:rFonts w:ascii="Calibri"/>
            <w:sz w:val="20"/>
          </w:rPr>
          <w:tab/>
        </w:r>
        <w:r>
          <w:rPr>
            <w:rFonts w:ascii="Calibri"/>
            <w:spacing w:val="-5"/>
            <w:sz w:val="20"/>
          </w:rPr>
          <w:t>177</w:t>
        </w:r>
      </w:hyperlink>
    </w:p>
    <w:p>
      <w:pPr>
        <w:tabs>
          <w:tab w:pos="9243" w:val="right" w:leader="dot"/>
        </w:tabs>
        <w:spacing w:before="121"/>
        <w:ind w:left="979" w:right="0" w:firstLine="0"/>
        <w:jc w:val="left"/>
        <w:rPr>
          <w:rFonts w:ascii="Calibri"/>
          <w:sz w:val="20"/>
        </w:rPr>
      </w:pPr>
      <w:hyperlink r:id="rId16">
        <w:r>
          <w:rPr>
            <w:rFonts w:ascii="Calibri"/>
            <w:sz w:val="20"/>
          </w:rPr>
          <w:t>FIGURE</w:t>
        </w:r>
        <w:r>
          <w:rPr>
            <w:rFonts w:ascii="Calibri"/>
            <w:spacing w:val="-6"/>
            <w:sz w:val="20"/>
          </w:rPr>
          <w:t> </w:t>
        </w:r>
        <w:r>
          <w:rPr>
            <w:rFonts w:ascii="Calibri"/>
            <w:sz w:val="20"/>
          </w:rPr>
          <w:t>13.</w:t>
        </w:r>
        <w:r>
          <w:rPr>
            <w:rFonts w:ascii="Calibri"/>
            <w:spacing w:val="-9"/>
            <w:sz w:val="20"/>
          </w:rPr>
          <w:t> </w:t>
        </w:r>
        <w:r>
          <w:rPr>
            <w:rFonts w:ascii="Calibri"/>
            <w:sz w:val="20"/>
          </w:rPr>
          <w:t>GENERAL</w:t>
        </w:r>
        <w:r>
          <w:rPr>
            <w:rFonts w:ascii="Calibri"/>
            <w:spacing w:val="-1"/>
            <w:sz w:val="20"/>
          </w:rPr>
          <w:t> </w:t>
        </w:r>
        <w:r>
          <w:rPr>
            <w:rFonts w:ascii="Calibri"/>
            <w:spacing w:val="-2"/>
            <w:sz w:val="20"/>
          </w:rPr>
          <w:t>STRUCTURE</w:t>
        </w:r>
        <w:r>
          <w:rPr>
            <w:rFonts w:ascii="Calibri"/>
            <w:sz w:val="20"/>
          </w:rPr>
          <w:tab/>
        </w:r>
        <w:r>
          <w:rPr>
            <w:rFonts w:ascii="Calibri"/>
            <w:spacing w:val="-5"/>
            <w:sz w:val="20"/>
          </w:rPr>
          <w:t>180</w:t>
        </w:r>
      </w:hyperlink>
    </w:p>
    <w:p>
      <w:pPr>
        <w:tabs>
          <w:tab w:pos="9243" w:val="right" w:leader="dot"/>
        </w:tabs>
        <w:spacing w:before="120"/>
        <w:ind w:left="979" w:right="0" w:firstLine="0"/>
        <w:jc w:val="left"/>
        <w:rPr>
          <w:rFonts w:ascii="Calibri"/>
          <w:sz w:val="20"/>
        </w:rPr>
      </w:pPr>
      <w:hyperlink w:history="true" w:anchor="_bookmark51">
        <w:r>
          <w:rPr>
            <w:rFonts w:ascii="Calibri"/>
            <w:sz w:val="20"/>
          </w:rPr>
          <w:t>FIGURE</w:t>
        </w:r>
        <w:r>
          <w:rPr>
            <w:rFonts w:ascii="Calibri"/>
            <w:spacing w:val="-5"/>
            <w:sz w:val="20"/>
          </w:rPr>
          <w:t> </w:t>
        </w:r>
        <w:r>
          <w:rPr>
            <w:rFonts w:ascii="Calibri"/>
            <w:sz w:val="20"/>
          </w:rPr>
          <w:t>14.</w:t>
        </w:r>
        <w:r>
          <w:rPr>
            <w:rFonts w:ascii="Calibri"/>
            <w:spacing w:val="-6"/>
            <w:sz w:val="20"/>
          </w:rPr>
          <w:t> </w:t>
        </w:r>
        <w:r>
          <w:rPr>
            <w:rFonts w:ascii="Calibri"/>
            <w:sz w:val="20"/>
          </w:rPr>
          <w:t>THE</w:t>
        </w:r>
        <w:r>
          <w:rPr>
            <w:rFonts w:ascii="Calibri"/>
            <w:spacing w:val="-5"/>
            <w:sz w:val="20"/>
          </w:rPr>
          <w:t> </w:t>
        </w:r>
        <w:r>
          <w:rPr>
            <w:rFonts w:ascii="Calibri"/>
            <w:sz w:val="20"/>
          </w:rPr>
          <w:t>AUTOPOIESIS</w:t>
        </w:r>
        <w:r>
          <w:rPr>
            <w:rFonts w:ascii="Calibri"/>
            <w:spacing w:val="-9"/>
            <w:sz w:val="20"/>
          </w:rPr>
          <w:t> </w:t>
        </w:r>
        <w:r>
          <w:rPr>
            <w:rFonts w:ascii="Calibri"/>
            <w:sz w:val="20"/>
          </w:rPr>
          <w:t>OF</w:t>
        </w:r>
        <w:r>
          <w:rPr>
            <w:rFonts w:ascii="Calibri"/>
            <w:spacing w:val="-8"/>
            <w:sz w:val="20"/>
          </w:rPr>
          <w:t> </w:t>
        </w:r>
        <w:r>
          <w:rPr>
            <w:rFonts w:ascii="Calibri"/>
            <w:sz w:val="20"/>
          </w:rPr>
          <w:t>THE</w:t>
        </w:r>
        <w:r>
          <w:rPr>
            <w:rFonts w:ascii="Calibri"/>
            <w:spacing w:val="-5"/>
            <w:sz w:val="20"/>
          </w:rPr>
          <w:t> </w:t>
        </w:r>
        <w:r>
          <w:rPr>
            <w:rFonts w:ascii="Calibri"/>
            <w:sz w:val="20"/>
          </w:rPr>
          <w:t>EUROPEAN</w:t>
        </w:r>
        <w:r>
          <w:rPr>
            <w:rFonts w:ascii="Calibri"/>
            <w:spacing w:val="-3"/>
            <w:sz w:val="20"/>
          </w:rPr>
          <w:t> </w:t>
        </w:r>
        <w:r>
          <w:rPr>
            <w:rFonts w:ascii="Calibri"/>
            <w:spacing w:val="-4"/>
            <w:sz w:val="20"/>
          </w:rPr>
          <w:t>UNION</w:t>
        </w:r>
        <w:r>
          <w:rPr>
            <w:rFonts w:ascii="Calibri"/>
            <w:sz w:val="20"/>
          </w:rPr>
          <w:tab/>
        </w:r>
        <w:r>
          <w:rPr>
            <w:rFonts w:ascii="Calibri"/>
            <w:spacing w:val="-5"/>
            <w:sz w:val="20"/>
          </w:rPr>
          <w:t>182</w:t>
        </w:r>
      </w:hyperlink>
    </w:p>
    <w:p>
      <w:pPr>
        <w:tabs>
          <w:tab w:pos="9243" w:val="right" w:leader="dot"/>
        </w:tabs>
        <w:spacing w:before="121"/>
        <w:ind w:left="979" w:right="0" w:firstLine="0"/>
        <w:jc w:val="left"/>
        <w:rPr>
          <w:rFonts w:ascii="Calibri"/>
          <w:sz w:val="20"/>
        </w:rPr>
      </w:pPr>
      <w:hyperlink r:id="rId17">
        <w:r>
          <w:rPr>
            <w:rFonts w:ascii="Calibri"/>
            <w:sz w:val="20"/>
          </w:rPr>
          <w:t>FIGURE</w:t>
        </w:r>
        <w:r>
          <w:rPr>
            <w:rFonts w:ascii="Calibri"/>
            <w:spacing w:val="-5"/>
            <w:sz w:val="20"/>
          </w:rPr>
          <w:t> </w:t>
        </w:r>
        <w:r>
          <w:rPr>
            <w:rFonts w:ascii="Calibri"/>
            <w:sz w:val="20"/>
          </w:rPr>
          <w:t>15.</w:t>
        </w:r>
        <w:r>
          <w:rPr>
            <w:rFonts w:ascii="Calibri"/>
            <w:spacing w:val="-6"/>
            <w:sz w:val="20"/>
          </w:rPr>
          <w:t> </w:t>
        </w:r>
        <w:r>
          <w:rPr>
            <w:rFonts w:ascii="Calibri"/>
            <w:sz w:val="20"/>
          </w:rPr>
          <w:t>LEGAL</w:t>
        </w:r>
        <w:r>
          <w:rPr>
            <w:rFonts w:ascii="Calibri"/>
            <w:spacing w:val="-6"/>
            <w:sz w:val="20"/>
          </w:rPr>
          <w:t> </w:t>
        </w:r>
        <w:r>
          <w:rPr>
            <w:rFonts w:ascii="Calibri"/>
            <w:sz w:val="20"/>
          </w:rPr>
          <w:t>SYSTEM</w:t>
        </w:r>
        <w:r>
          <w:rPr>
            <w:rFonts w:ascii="Calibri"/>
            <w:spacing w:val="-3"/>
            <w:sz w:val="20"/>
          </w:rPr>
          <w:t> </w:t>
        </w:r>
        <w:r>
          <w:rPr>
            <w:rFonts w:ascii="Calibri"/>
            <w:spacing w:val="-2"/>
            <w:sz w:val="20"/>
          </w:rPr>
          <w:t>COUPLING</w:t>
        </w:r>
        <w:r>
          <w:rPr>
            <w:rFonts w:ascii="Calibri"/>
            <w:sz w:val="20"/>
          </w:rPr>
          <w:tab/>
        </w:r>
        <w:r>
          <w:rPr>
            <w:rFonts w:ascii="Calibri"/>
            <w:spacing w:val="-5"/>
            <w:sz w:val="20"/>
          </w:rPr>
          <w:t>187</w:t>
        </w:r>
      </w:hyperlink>
    </w:p>
    <w:p>
      <w:pPr>
        <w:tabs>
          <w:tab w:pos="9243" w:val="right" w:leader="dot"/>
        </w:tabs>
        <w:spacing w:before="126"/>
        <w:ind w:left="979" w:right="0" w:firstLine="0"/>
        <w:jc w:val="left"/>
        <w:rPr>
          <w:rFonts w:ascii="Calibri"/>
          <w:sz w:val="20"/>
        </w:rPr>
      </w:pPr>
      <w:hyperlink w:history="true" w:anchor="_bookmark53">
        <w:r>
          <w:rPr>
            <w:rFonts w:ascii="Calibri"/>
            <w:sz w:val="20"/>
          </w:rPr>
          <w:t>FIGURE</w:t>
        </w:r>
        <w:r>
          <w:rPr>
            <w:rFonts w:ascii="Calibri"/>
            <w:spacing w:val="-7"/>
            <w:sz w:val="20"/>
          </w:rPr>
          <w:t> </w:t>
        </w:r>
        <w:r>
          <w:rPr>
            <w:rFonts w:ascii="Calibri"/>
            <w:sz w:val="20"/>
          </w:rPr>
          <w:t>16.</w:t>
        </w:r>
        <w:r>
          <w:rPr>
            <w:rFonts w:ascii="Calibri"/>
            <w:spacing w:val="-5"/>
            <w:sz w:val="20"/>
          </w:rPr>
          <w:t> </w:t>
        </w:r>
        <w:r>
          <w:rPr>
            <w:rFonts w:ascii="Calibri"/>
            <w:sz w:val="20"/>
          </w:rPr>
          <w:t>LIST</w:t>
        </w:r>
        <w:r>
          <w:rPr>
            <w:rFonts w:ascii="Calibri"/>
            <w:spacing w:val="-5"/>
            <w:sz w:val="20"/>
          </w:rPr>
          <w:t> </w:t>
        </w:r>
        <w:r>
          <w:rPr>
            <w:rFonts w:ascii="Calibri"/>
            <w:sz w:val="20"/>
          </w:rPr>
          <w:t>OF</w:t>
        </w:r>
        <w:r>
          <w:rPr>
            <w:rFonts w:ascii="Calibri"/>
            <w:spacing w:val="-8"/>
            <w:sz w:val="20"/>
          </w:rPr>
          <w:t> </w:t>
        </w:r>
        <w:r>
          <w:rPr>
            <w:rFonts w:ascii="Calibri"/>
            <w:sz w:val="20"/>
          </w:rPr>
          <w:t>IMPORTANT</w:t>
        </w:r>
        <w:r>
          <w:rPr>
            <w:rFonts w:ascii="Calibri"/>
            <w:spacing w:val="-4"/>
            <w:sz w:val="20"/>
          </w:rPr>
          <w:t> </w:t>
        </w:r>
        <w:r>
          <w:rPr>
            <w:rFonts w:ascii="Calibri"/>
            <w:spacing w:val="-2"/>
            <w:sz w:val="20"/>
          </w:rPr>
          <w:t>CASES</w:t>
        </w:r>
        <w:r>
          <w:rPr>
            <w:rFonts w:ascii="Calibri"/>
            <w:sz w:val="20"/>
          </w:rPr>
          <w:tab/>
        </w:r>
        <w:r>
          <w:rPr>
            <w:rFonts w:ascii="Calibri"/>
            <w:spacing w:val="-5"/>
            <w:sz w:val="20"/>
          </w:rPr>
          <w:t>190</w:t>
        </w:r>
      </w:hyperlink>
    </w:p>
    <w:p>
      <w:pPr>
        <w:tabs>
          <w:tab w:pos="9243" w:val="right" w:leader="dot"/>
        </w:tabs>
        <w:spacing w:before="120"/>
        <w:ind w:left="979" w:right="0" w:firstLine="0"/>
        <w:jc w:val="left"/>
        <w:rPr>
          <w:rFonts w:ascii="Calibri"/>
          <w:sz w:val="20"/>
        </w:rPr>
      </w:pPr>
      <w:hyperlink w:history="true" w:anchor="_bookmark56">
        <w:r>
          <w:rPr>
            <w:rFonts w:ascii="Calibri"/>
            <w:sz w:val="20"/>
          </w:rPr>
          <w:t>FIGURE</w:t>
        </w:r>
        <w:r>
          <w:rPr>
            <w:rFonts w:ascii="Calibri"/>
            <w:spacing w:val="-9"/>
            <w:sz w:val="20"/>
          </w:rPr>
          <w:t> </w:t>
        </w:r>
        <w:r>
          <w:rPr>
            <w:rFonts w:ascii="Calibri"/>
            <w:sz w:val="20"/>
          </w:rPr>
          <w:t>17.</w:t>
        </w:r>
        <w:r>
          <w:rPr>
            <w:rFonts w:ascii="Calibri"/>
            <w:spacing w:val="-10"/>
            <w:sz w:val="20"/>
          </w:rPr>
          <w:t> </w:t>
        </w:r>
        <w:r>
          <w:rPr>
            <w:rFonts w:ascii="Calibri"/>
            <w:sz w:val="20"/>
          </w:rPr>
          <w:t>EXTERNAL</w:t>
        </w:r>
        <w:r>
          <w:rPr>
            <w:rFonts w:ascii="Calibri"/>
            <w:spacing w:val="-7"/>
            <w:sz w:val="20"/>
          </w:rPr>
          <w:t> </w:t>
        </w:r>
        <w:r>
          <w:rPr>
            <w:rFonts w:ascii="Calibri"/>
            <w:sz w:val="20"/>
          </w:rPr>
          <w:t>GOVERNANCE</w:t>
        </w:r>
        <w:r>
          <w:rPr>
            <w:rFonts w:ascii="Calibri"/>
            <w:spacing w:val="-5"/>
            <w:sz w:val="20"/>
          </w:rPr>
          <w:t> </w:t>
        </w:r>
        <w:r>
          <w:rPr>
            <w:rFonts w:ascii="Calibri"/>
            <w:spacing w:val="-2"/>
            <w:sz w:val="20"/>
          </w:rPr>
          <w:t>TIMELINE</w:t>
        </w:r>
        <w:r>
          <w:rPr>
            <w:rFonts w:ascii="Calibri"/>
            <w:sz w:val="20"/>
          </w:rPr>
          <w:tab/>
        </w:r>
        <w:r>
          <w:rPr>
            <w:rFonts w:ascii="Calibri"/>
            <w:spacing w:val="-5"/>
            <w:sz w:val="20"/>
          </w:rPr>
          <w:t>207</w:t>
        </w:r>
      </w:hyperlink>
    </w:p>
    <w:p>
      <w:pPr>
        <w:tabs>
          <w:tab w:pos="9243" w:val="right" w:leader="dot"/>
        </w:tabs>
        <w:spacing w:before="121"/>
        <w:ind w:left="979" w:right="0" w:firstLine="0"/>
        <w:jc w:val="left"/>
        <w:rPr>
          <w:rFonts w:ascii="Calibri"/>
          <w:sz w:val="20"/>
        </w:rPr>
      </w:pPr>
      <w:hyperlink w:history="true" w:anchor="_bookmark57">
        <w:r>
          <w:rPr>
            <w:rFonts w:ascii="Calibri"/>
            <w:sz w:val="20"/>
          </w:rPr>
          <w:t>FIGURE</w:t>
        </w:r>
        <w:r>
          <w:rPr>
            <w:rFonts w:ascii="Calibri"/>
            <w:spacing w:val="-7"/>
            <w:sz w:val="20"/>
          </w:rPr>
          <w:t> </w:t>
        </w:r>
        <w:r>
          <w:rPr>
            <w:rFonts w:ascii="Calibri"/>
            <w:sz w:val="20"/>
          </w:rPr>
          <w:t>18.</w:t>
        </w:r>
        <w:r>
          <w:rPr>
            <w:rFonts w:ascii="Calibri"/>
            <w:spacing w:val="-7"/>
            <w:sz w:val="20"/>
          </w:rPr>
          <w:t> </w:t>
        </w:r>
        <w:r>
          <w:rPr>
            <w:rFonts w:ascii="Calibri"/>
            <w:sz w:val="20"/>
          </w:rPr>
          <w:t>MEMBERSHIP</w:t>
        </w:r>
        <w:r>
          <w:rPr>
            <w:rFonts w:ascii="Calibri"/>
            <w:spacing w:val="-7"/>
            <w:sz w:val="20"/>
          </w:rPr>
          <w:t> </w:t>
        </w:r>
        <w:r>
          <w:rPr>
            <w:rFonts w:ascii="Calibri"/>
            <w:spacing w:val="-2"/>
            <w:sz w:val="20"/>
          </w:rPr>
          <w:t>OVERLAP</w:t>
        </w:r>
        <w:r>
          <w:rPr>
            <w:rFonts w:ascii="Calibri"/>
            <w:sz w:val="20"/>
          </w:rPr>
          <w:tab/>
        </w:r>
        <w:r>
          <w:rPr>
            <w:rFonts w:ascii="Calibri"/>
            <w:spacing w:val="-5"/>
            <w:sz w:val="20"/>
          </w:rPr>
          <w:t>219</w:t>
        </w:r>
      </w:hyperlink>
    </w:p>
    <w:p>
      <w:pPr>
        <w:tabs>
          <w:tab w:pos="9243" w:val="right" w:leader="dot"/>
        </w:tabs>
        <w:spacing w:before="126"/>
        <w:ind w:left="979" w:right="0" w:firstLine="0"/>
        <w:jc w:val="left"/>
        <w:rPr>
          <w:rFonts w:ascii="Calibri"/>
          <w:sz w:val="20"/>
        </w:rPr>
      </w:pPr>
      <w:hyperlink w:history="true" w:anchor="_bookmark59">
        <w:r>
          <w:rPr>
            <w:rFonts w:ascii="Calibri"/>
            <w:sz w:val="20"/>
          </w:rPr>
          <w:t>FIGURE</w:t>
        </w:r>
        <w:r>
          <w:rPr>
            <w:rFonts w:ascii="Calibri"/>
            <w:spacing w:val="-5"/>
            <w:sz w:val="20"/>
          </w:rPr>
          <w:t> </w:t>
        </w:r>
        <w:r>
          <w:rPr>
            <w:rFonts w:ascii="Calibri"/>
            <w:sz w:val="20"/>
          </w:rPr>
          <w:t>19.</w:t>
        </w:r>
        <w:r>
          <w:rPr>
            <w:rFonts w:ascii="Calibri"/>
            <w:spacing w:val="-7"/>
            <w:sz w:val="20"/>
          </w:rPr>
          <w:t> </w:t>
        </w:r>
        <w:r>
          <w:rPr>
            <w:rFonts w:ascii="Calibri"/>
            <w:sz w:val="20"/>
          </w:rPr>
          <w:t>FUZZY</w:t>
        </w:r>
        <w:r>
          <w:rPr>
            <w:rFonts w:ascii="Calibri"/>
            <w:spacing w:val="-5"/>
            <w:sz w:val="20"/>
          </w:rPr>
          <w:t> </w:t>
        </w:r>
        <w:r>
          <w:rPr>
            <w:rFonts w:ascii="Calibri"/>
            <w:sz w:val="20"/>
          </w:rPr>
          <w:t>SYSTEM</w:t>
        </w:r>
        <w:r>
          <w:rPr>
            <w:rFonts w:ascii="Calibri"/>
            <w:spacing w:val="-7"/>
            <w:sz w:val="20"/>
          </w:rPr>
          <w:t> </w:t>
        </w:r>
        <w:r>
          <w:rPr>
            <w:rFonts w:ascii="Calibri"/>
            <w:spacing w:val="-5"/>
            <w:sz w:val="20"/>
          </w:rPr>
          <w:t>MAP</w:t>
        </w:r>
        <w:r>
          <w:rPr>
            <w:rFonts w:ascii="Calibri"/>
            <w:sz w:val="20"/>
          </w:rPr>
          <w:tab/>
        </w:r>
        <w:r>
          <w:rPr>
            <w:rFonts w:ascii="Calibri"/>
            <w:spacing w:val="-5"/>
            <w:sz w:val="20"/>
          </w:rPr>
          <w:t>224</w:t>
        </w:r>
      </w:hyperlink>
    </w:p>
    <w:p>
      <w:pPr>
        <w:tabs>
          <w:tab w:pos="9243" w:val="right" w:leader="dot"/>
        </w:tabs>
        <w:spacing w:before="120"/>
        <w:ind w:left="979" w:right="0" w:firstLine="0"/>
        <w:jc w:val="left"/>
        <w:rPr>
          <w:rFonts w:ascii="Calibri"/>
          <w:sz w:val="20"/>
        </w:rPr>
      </w:pPr>
      <w:hyperlink w:history="true" w:anchor="_bookmark60">
        <w:r>
          <w:rPr>
            <w:rFonts w:ascii="Calibri"/>
            <w:sz w:val="20"/>
          </w:rPr>
          <w:t>FIGURE</w:t>
        </w:r>
        <w:r>
          <w:rPr>
            <w:rFonts w:ascii="Calibri"/>
            <w:spacing w:val="-6"/>
            <w:sz w:val="20"/>
          </w:rPr>
          <w:t> </w:t>
        </w:r>
        <w:r>
          <w:rPr>
            <w:rFonts w:ascii="Calibri"/>
            <w:sz w:val="20"/>
          </w:rPr>
          <w:t>20.</w:t>
        </w:r>
        <w:r>
          <w:rPr>
            <w:rFonts w:ascii="Calibri"/>
            <w:spacing w:val="-7"/>
            <w:sz w:val="20"/>
          </w:rPr>
          <w:t> </w:t>
        </w:r>
        <w:r>
          <w:rPr>
            <w:rFonts w:ascii="Calibri"/>
            <w:sz w:val="20"/>
          </w:rPr>
          <w:t>MAPPING</w:t>
        </w:r>
        <w:r>
          <w:rPr>
            <w:rFonts w:ascii="Calibri"/>
            <w:spacing w:val="-5"/>
            <w:sz w:val="20"/>
          </w:rPr>
          <w:t> </w:t>
        </w:r>
        <w:r>
          <w:rPr>
            <w:rFonts w:ascii="Calibri"/>
            <w:spacing w:val="-2"/>
            <w:sz w:val="20"/>
          </w:rPr>
          <w:t>RESULTS</w:t>
        </w:r>
        <w:r>
          <w:rPr>
            <w:rFonts w:ascii="Calibri"/>
            <w:sz w:val="20"/>
          </w:rPr>
          <w:tab/>
        </w:r>
        <w:r>
          <w:rPr>
            <w:rFonts w:ascii="Calibri"/>
            <w:spacing w:val="-5"/>
            <w:sz w:val="20"/>
          </w:rPr>
          <w:t>226</w:t>
        </w:r>
      </w:hyperlink>
    </w:p>
    <w:p>
      <w:pPr>
        <w:spacing w:after="0"/>
        <w:jc w:val="left"/>
        <w:rPr>
          <w:rFonts w:ascii="Calibri"/>
          <w:sz w:val="20"/>
        </w:rPr>
        <w:sectPr>
          <w:pgSz w:w="12240" w:h="15840"/>
          <w:pgMar w:top="1820" w:bottom="280" w:left="720" w:right="360"/>
        </w:sectPr>
      </w:pPr>
    </w:p>
    <w:p>
      <w:pPr>
        <w:spacing w:line="276" w:lineRule="auto" w:before="18"/>
        <w:ind w:left="979" w:right="4784" w:firstLine="0"/>
        <w:jc w:val="left"/>
        <w:rPr>
          <w:sz w:val="24"/>
        </w:rPr>
      </w:pPr>
      <w:r>
        <w:rPr>
          <w:spacing w:val="-2"/>
          <w:sz w:val="24"/>
        </w:rPr>
        <w:t>System</w:t>
      </w:r>
      <w:r>
        <w:rPr>
          <w:spacing w:val="-10"/>
          <w:sz w:val="24"/>
        </w:rPr>
        <w:t> </w:t>
      </w:r>
      <w:r>
        <w:rPr>
          <w:spacing w:val="-2"/>
          <w:sz w:val="24"/>
        </w:rPr>
        <w:t>Approach</w:t>
      </w:r>
      <w:r>
        <w:rPr>
          <w:spacing w:val="-4"/>
          <w:sz w:val="24"/>
        </w:rPr>
        <w:t> </w:t>
      </w:r>
      <w:r>
        <w:rPr>
          <w:spacing w:val="-2"/>
          <w:sz w:val="24"/>
        </w:rPr>
        <w:t>to</w:t>
      </w:r>
      <w:r>
        <w:rPr>
          <w:spacing w:val="-12"/>
          <w:sz w:val="24"/>
        </w:rPr>
        <w:t> </w:t>
      </w:r>
      <w:r>
        <w:rPr>
          <w:spacing w:val="-2"/>
          <w:sz w:val="24"/>
        </w:rPr>
        <w:t>the</w:t>
      </w:r>
      <w:r>
        <w:rPr>
          <w:spacing w:val="-5"/>
          <w:sz w:val="24"/>
        </w:rPr>
        <w:t> </w:t>
      </w:r>
      <w:r>
        <w:rPr>
          <w:spacing w:val="-2"/>
          <w:sz w:val="24"/>
        </w:rPr>
        <w:t>European</w:t>
      </w:r>
      <w:r>
        <w:rPr>
          <w:spacing w:val="-11"/>
          <w:sz w:val="24"/>
        </w:rPr>
        <w:t> </w:t>
      </w:r>
      <w:r>
        <w:rPr>
          <w:spacing w:val="-2"/>
          <w:sz w:val="24"/>
        </w:rPr>
        <w:t>Union</w:t>
      </w:r>
      <w:r>
        <w:rPr>
          <w:spacing w:val="-6"/>
          <w:sz w:val="24"/>
        </w:rPr>
        <w:t> </w:t>
      </w:r>
      <w:r>
        <w:rPr>
          <w:spacing w:val="-2"/>
          <w:sz w:val="24"/>
        </w:rPr>
        <w:t>Studies </w:t>
      </w:r>
      <w:r>
        <w:rPr>
          <w:sz w:val="24"/>
        </w:rPr>
        <w:t>Doctoral dissertation</w:t>
      </w:r>
    </w:p>
    <w:p>
      <w:pPr>
        <w:spacing w:line="314" w:lineRule="exact" w:before="0"/>
        <w:ind w:left="979" w:right="0" w:firstLine="0"/>
        <w:jc w:val="left"/>
        <w:rPr>
          <w:sz w:val="24"/>
        </w:rPr>
      </w:pPr>
      <w:r>
        <w:rPr>
          <w:sz w:val="24"/>
        </w:rPr>
        <w:t>Lasha</w:t>
      </w:r>
      <w:r>
        <w:rPr>
          <w:spacing w:val="3"/>
          <w:sz w:val="24"/>
        </w:rPr>
        <w:t> </w:t>
      </w:r>
      <w:r>
        <w:rPr>
          <w:spacing w:val="-2"/>
          <w:sz w:val="24"/>
        </w:rPr>
        <w:t>Markozashvili</w:t>
      </w:r>
    </w:p>
    <w:p>
      <w:pPr>
        <w:spacing w:line="276" w:lineRule="auto" w:before="40"/>
        <w:ind w:left="979" w:right="5506" w:firstLine="0"/>
        <w:jc w:val="left"/>
        <w:rPr>
          <w:sz w:val="24"/>
        </w:rPr>
      </w:pPr>
      <w:r>
        <w:rPr>
          <w:sz w:val="25"/>
        </w:rPr>
        <w:t>Adam</w:t>
      </w:r>
      <w:r>
        <w:rPr>
          <w:spacing w:val="-7"/>
          <w:sz w:val="25"/>
        </w:rPr>
        <w:t> </w:t>
      </w:r>
      <w:r>
        <w:rPr>
          <w:sz w:val="25"/>
        </w:rPr>
        <w:t>Mickiewicz</w:t>
      </w:r>
      <w:r>
        <w:rPr>
          <w:spacing w:val="-8"/>
          <w:sz w:val="25"/>
        </w:rPr>
        <w:t> </w:t>
      </w:r>
      <w:r>
        <w:rPr>
          <w:sz w:val="25"/>
        </w:rPr>
        <w:t>University</w:t>
      </w:r>
      <w:r>
        <w:rPr>
          <w:spacing w:val="-6"/>
          <w:sz w:val="25"/>
        </w:rPr>
        <w:t> </w:t>
      </w:r>
      <w:r>
        <w:rPr>
          <w:sz w:val="25"/>
        </w:rPr>
        <w:t>in</w:t>
      </w:r>
      <w:r>
        <w:rPr>
          <w:spacing w:val="-7"/>
          <w:sz w:val="25"/>
        </w:rPr>
        <w:t> </w:t>
      </w:r>
      <w:r>
        <w:rPr>
          <w:sz w:val="25"/>
        </w:rPr>
        <w:t>Poznan </w:t>
      </w:r>
      <w:r>
        <w:rPr>
          <w:sz w:val="24"/>
        </w:rPr>
        <w:t>Faculty</w:t>
      </w:r>
      <w:r>
        <w:rPr>
          <w:spacing w:val="-9"/>
          <w:sz w:val="24"/>
        </w:rPr>
        <w:t> </w:t>
      </w:r>
      <w:r>
        <w:rPr>
          <w:sz w:val="24"/>
        </w:rPr>
        <w:t>of</w:t>
      </w:r>
      <w:r>
        <w:rPr>
          <w:spacing w:val="-9"/>
          <w:sz w:val="24"/>
        </w:rPr>
        <w:t> </w:t>
      </w:r>
      <w:r>
        <w:rPr>
          <w:sz w:val="24"/>
        </w:rPr>
        <w:t>Political</w:t>
      </w:r>
      <w:r>
        <w:rPr>
          <w:spacing w:val="-11"/>
          <w:sz w:val="24"/>
        </w:rPr>
        <w:t> </w:t>
      </w:r>
      <w:r>
        <w:rPr>
          <w:sz w:val="24"/>
        </w:rPr>
        <w:t>Science</w:t>
      </w:r>
      <w:r>
        <w:rPr>
          <w:spacing w:val="-9"/>
          <w:sz w:val="24"/>
        </w:rPr>
        <w:t> </w:t>
      </w:r>
      <w:r>
        <w:rPr>
          <w:sz w:val="24"/>
        </w:rPr>
        <w:t>and</w:t>
      </w:r>
      <w:r>
        <w:rPr>
          <w:spacing w:val="-10"/>
          <w:sz w:val="24"/>
        </w:rPr>
        <w:t> </w:t>
      </w:r>
      <w:r>
        <w:rPr>
          <w:sz w:val="24"/>
        </w:rPr>
        <w:t>Journalism </w:t>
      </w:r>
      <w:r>
        <w:rPr>
          <w:spacing w:val="-4"/>
          <w:sz w:val="24"/>
        </w:rPr>
        <w:t>2016</w:t>
      </w:r>
    </w:p>
    <w:p>
      <w:pPr>
        <w:spacing w:after="0" w:line="276" w:lineRule="auto"/>
        <w:jc w:val="left"/>
        <w:rPr>
          <w:sz w:val="24"/>
        </w:rPr>
        <w:sectPr>
          <w:pgSz w:w="12240" w:h="15840"/>
          <w:pgMar w:top="1420" w:bottom="280" w:left="720" w:right="360"/>
        </w:sectPr>
      </w:pPr>
    </w:p>
    <w:p>
      <w:pPr>
        <w:pStyle w:val="Heading2"/>
      </w:pPr>
      <w:bookmarkStart w:name="_bookmark0" w:id="1"/>
      <w:bookmarkEnd w:id="1"/>
      <w:r>
        <w:rPr>
          <w:b w:val="0"/>
        </w:rPr>
      </w:r>
      <w:r>
        <w:rPr>
          <w:spacing w:val="-2"/>
        </w:rPr>
        <w:t>Introduction</w:t>
      </w:r>
    </w:p>
    <w:p>
      <w:pPr>
        <w:pStyle w:val="BodyText"/>
        <w:ind w:left="0"/>
        <w:jc w:val="left"/>
        <w:rPr>
          <w:rFonts w:ascii="Georgia"/>
          <w:b/>
          <w:sz w:val="20"/>
        </w:rPr>
      </w:pPr>
    </w:p>
    <w:p>
      <w:pPr>
        <w:pStyle w:val="BodyText"/>
        <w:spacing w:before="14"/>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589888">
                <wp:simplePos x="0" y="0"/>
                <wp:positionH relativeFrom="page">
                  <wp:posOffset>1078864</wp:posOffset>
                </wp:positionH>
                <wp:positionV relativeFrom="paragraph">
                  <wp:posOffset>169012</wp:posOffset>
                </wp:positionV>
                <wp:extent cx="5252085" cy="7620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5252085" cy="76200"/>
                        </a:xfrm>
                        <a:custGeom>
                          <a:avLst/>
                          <a:gdLst/>
                          <a:ahLst/>
                          <a:cxnLst/>
                          <a:rect l="l" t="t" r="r" b="b"/>
                          <a:pathLst>
                            <a:path w="5252085" h="76200">
                              <a:moveTo>
                                <a:pt x="5252085" y="0"/>
                              </a:moveTo>
                              <a:lnTo>
                                <a:pt x="0" y="0"/>
                              </a:lnTo>
                              <a:lnTo>
                                <a:pt x="0" y="76200"/>
                              </a:lnTo>
                              <a:lnTo>
                                <a:pt x="5252085" y="7620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3.308047pt;width:413.55pt;height:6pt;mso-position-horizontal-relative:page;mso-position-vertical-relative:paragraph;z-index:-15726592;mso-wrap-distance-left:0;mso-wrap-distance-right:0" id="docshape8"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ind w:left="0"/>
        <w:jc w:val="left"/>
        <w:rPr>
          <w:rFonts w:ascii="Georgia"/>
          <w:b/>
        </w:rPr>
      </w:pPr>
    </w:p>
    <w:p>
      <w:pPr>
        <w:pStyle w:val="BodyText"/>
        <w:spacing w:before="103"/>
        <w:ind w:left="0"/>
        <w:jc w:val="left"/>
        <w:rPr>
          <w:rFonts w:ascii="Georgia"/>
          <w:b/>
        </w:rPr>
      </w:pPr>
    </w:p>
    <w:p>
      <w:pPr>
        <w:pStyle w:val="BodyText"/>
        <w:spacing w:line="276" w:lineRule="auto"/>
        <w:ind w:right="1915" w:firstLine="720"/>
      </w:pPr>
      <w:r>
        <w:rPr/>
        <w:t>The purpose of this work is to give a systemic description of the European Union studies. Under the concept of “European Union Studies” we mean two main objects of research: a) the European Union as an organization/system and b) the process of the European integration as an invariant activity of the system.</w:t>
      </w:r>
    </w:p>
    <w:p>
      <w:pPr>
        <w:pStyle w:val="BodyText"/>
        <w:spacing w:line="276" w:lineRule="auto"/>
        <w:ind w:right="1908" w:firstLine="720"/>
      </w:pPr>
      <w:r>
        <w:rPr/>
        <w:t>The research consists of two key directions. The first aims to purpose a systemic epistemology applicable to the problem and the second, it attempts to utilize the proposed model to analyze the system of the EU. With the theoretical method we will try to claim for the scientific “no man’s land” – which is situated between two-variable ‘problems of simplicity’ and disorganized complexity, as </w:t>
      </w:r>
      <w:r>
        <w:rPr>
          <w:sz w:val="27"/>
        </w:rPr>
        <w:t>Warren Weaver </w:t>
      </w:r>
      <w:r>
        <w:rPr/>
        <w:t>has explained this middle region shows essential form of organization to which one can refer as “organized complexity.” (</w:t>
      </w:r>
      <w:hyperlink w:history="true" w:anchor="_bookmark423">
        <w:r>
          <w:rPr/>
          <w:t>1948, p. 4</w:t>
        </w:r>
      </w:hyperlink>
      <w:r>
        <w:rPr/>
        <w:t>)</w:t>
      </w:r>
    </w:p>
    <w:p>
      <w:pPr>
        <w:spacing w:line="266" w:lineRule="auto" w:before="0"/>
        <w:ind w:left="979" w:right="1907" w:firstLine="720"/>
        <w:jc w:val="both"/>
        <w:rPr>
          <w:sz w:val="26"/>
        </w:rPr>
      </w:pPr>
      <w:r>
        <w:rPr>
          <w:sz w:val="26"/>
        </w:rPr>
        <w:t>We believe that studies of the European Union have similar</w:t>
      </w:r>
      <w:r>
        <w:rPr>
          <w:spacing w:val="80"/>
          <w:sz w:val="26"/>
        </w:rPr>
        <w:t> </w:t>
      </w:r>
      <w:r>
        <w:rPr>
          <w:sz w:val="26"/>
        </w:rPr>
        <w:t>problems to sociology first ascertained by </w:t>
      </w:r>
      <w:r>
        <w:rPr>
          <w:sz w:val="27"/>
        </w:rPr>
        <w:t>Talcott Parsons </w:t>
      </w:r>
      <w:r>
        <w:rPr>
          <w:sz w:val="26"/>
        </w:rPr>
        <w:t>and later advanced by </w:t>
      </w:r>
      <w:r>
        <w:rPr>
          <w:sz w:val="27"/>
        </w:rPr>
        <w:t>Niklas Luhmann, </w:t>
      </w:r>
      <w:r>
        <w:rPr>
          <w:sz w:val="26"/>
        </w:rPr>
        <w:t>who argued that the field [sociology] gathered complexity with </w:t>
      </w:r>
      <w:r>
        <w:rPr>
          <w:sz w:val="27"/>
        </w:rPr>
        <w:t>no real direction. </w:t>
      </w:r>
      <w:r>
        <w:rPr>
          <w:sz w:val="26"/>
        </w:rPr>
        <w:t>(</w:t>
      </w:r>
      <w:hyperlink w:history="true" w:anchor="_bookmark268">
        <w:r>
          <w:rPr>
            <w:sz w:val="26"/>
          </w:rPr>
          <w:t>Luhmann, 2013</w:t>
        </w:r>
      </w:hyperlink>
      <w:r>
        <w:rPr>
          <w:sz w:val="26"/>
        </w:rPr>
        <w:t>)</w:t>
      </w:r>
    </w:p>
    <w:p>
      <w:pPr>
        <w:pStyle w:val="BodyText"/>
        <w:spacing w:line="273" w:lineRule="auto"/>
        <w:ind w:right="1904" w:firstLine="720"/>
      </w:pPr>
      <w:r>
        <w:rPr/>
        <w:t>The methodological worries were given by the researchers of the European Integration as well; for example, </w:t>
      </w:r>
      <w:r>
        <w:rPr>
          <w:sz w:val="27"/>
        </w:rPr>
        <w:t>Ben Rosamond </w:t>
      </w:r>
      <w:r>
        <w:rPr/>
        <w:t>states that the “EU and the process of European integration are just too complex to be captured by a single theoretical prospectus.” (</w:t>
      </w:r>
      <w:hyperlink w:history="true" w:anchor="_bookmark355">
        <w:r>
          <w:rPr/>
          <w:t>2000, p. 7</w:t>
        </w:r>
      </w:hyperlink>
      <w:r>
        <w:rPr/>
        <w:t>)</w:t>
      </w:r>
      <w:r>
        <w:rPr>
          <w:spacing w:val="80"/>
        </w:rPr>
        <w:t> </w:t>
      </w:r>
      <w:r>
        <w:rPr/>
        <w:t>The problem of</w:t>
      </w:r>
      <w:r>
        <w:rPr>
          <w:spacing w:val="40"/>
        </w:rPr>
        <w:t> </w:t>
      </w:r>
      <w:r>
        <w:rPr/>
        <w:t>the field as cited in the referred work is that “different theoretical perspectives produce and reproduce different types of knowledge” which never cross each other’s path. (</w:t>
      </w:r>
      <w:hyperlink w:history="true" w:anchor="_bookmark355">
        <w:r>
          <w:rPr/>
          <w:t>Rosamond, 2000, p. 7</w:t>
        </w:r>
      </w:hyperlink>
      <w:r>
        <w:rPr/>
        <w:t>) Scholars of the EU continue to argue about the epistemology of the field, while ontology has been</w:t>
      </w:r>
      <w:r>
        <w:rPr>
          <w:spacing w:val="35"/>
        </w:rPr>
        <w:t> </w:t>
      </w:r>
      <w:r>
        <w:rPr/>
        <w:t>yet</w:t>
      </w:r>
      <w:r>
        <w:rPr>
          <w:spacing w:val="33"/>
        </w:rPr>
        <w:t> </w:t>
      </w:r>
      <w:r>
        <w:rPr/>
        <w:t>undefined.</w:t>
      </w:r>
      <w:r>
        <w:rPr>
          <w:spacing w:val="29"/>
        </w:rPr>
        <w:t> </w:t>
      </w:r>
      <w:r>
        <w:rPr/>
        <w:t>This</w:t>
      </w:r>
      <w:r>
        <w:rPr>
          <w:spacing w:val="30"/>
        </w:rPr>
        <w:t> </w:t>
      </w:r>
      <w:r>
        <w:rPr/>
        <w:t>theoretical</w:t>
      </w:r>
      <w:r>
        <w:rPr>
          <w:spacing w:val="30"/>
        </w:rPr>
        <w:t> </w:t>
      </w:r>
      <w:r>
        <w:rPr/>
        <w:t>deficiency</w:t>
      </w:r>
      <w:r>
        <w:rPr>
          <w:spacing w:val="32"/>
        </w:rPr>
        <w:t> </w:t>
      </w:r>
      <w:r>
        <w:rPr/>
        <w:t>is</w:t>
      </w:r>
      <w:r>
        <w:rPr>
          <w:spacing w:val="35"/>
        </w:rPr>
        <w:t> </w:t>
      </w:r>
      <w:r>
        <w:rPr/>
        <w:t>often</w:t>
      </w:r>
      <w:r>
        <w:rPr>
          <w:spacing w:val="34"/>
        </w:rPr>
        <w:t> </w:t>
      </w:r>
      <w:r>
        <w:rPr/>
        <w:t>described</w:t>
      </w:r>
      <w:r>
        <w:rPr>
          <w:spacing w:val="34"/>
        </w:rPr>
        <w:t> </w:t>
      </w:r>
      <w:r>
        <w:rPr/>
        <w:t>using</w:t>
      </w:r>
      <w:r>
        <w:rPr>
          <w:spacing w:val="33"/>
        </w:rPr>
        <w:t> </w:t>
      </w:r>
      <w:r>
        <w:rPr/>
        <w:t>a</w:t>
      </w:r>
    </w:p>
    <w:p>
      <w:pPr>
        <w:pStyle w:val="BodyText"/>
        <w:spacing w:after="0" w:line="273" w:lineRule="auto"/>
        <w:sectPr>
          <w:headerReference w:type="default" r:id="rId18"/>
          <w:pgSz w:w="12240" w:h="15840"/>
          <w:pgMar w:header="1046" w:footer="0" w:top="1360" w:bottom="280" w:left="720" w:right="360"/>
          <w:pgNumType w:start="1"/>
        </w:sectPr>
      </w:pPr>
    </w:p>
    <w:p>
      <w:pPr>
        <w:pStyle w:val="BodyText"/>
        <w:spacing w:line="276" w:lineRule="auto" w:before="266"/>
        <w:ind w:right="1909"/>
      </w:pPr>
      <w:r>
        <w:rPr/>
        <w:t>well-known metaphor of the </w:t>
      </w:r>
      <w:r>
        <w:rPr>
          <w:sz w:val="27"/>
        </w:rPr>
        <w:t>blind men and the elephant; </w:t>
      </w:r>
      <w:r>
        <w:rPr/>
        <w:t>the blind men touched the different parts of the animal and drew different conclusions about the nature of the beast, the result was that “no man arrived at a very accurate description of the elephant.” (</w:t>
      </w:r>
      <w:hyperlink w:history="true" w:anchor="_bookmark346">
        <w:r>
          <w:rPr/>
          <w:t>Puchala, 1972, p. 267</w:t>
        </w:r>
      </w:hyperlink>
      <w:r>
        <w:rPr/>
        <w:t>)</w:t>
      </w:r>
    </w:p>
    <w:p>
      <w:pPr>
        <w:pStyle w:val="BodyText"/>
        <w:spacing w:line="271" w:lineRule="auto"/>
        <w:ind w:right="1901" w:firstLine="720"/>
      </w:pPr>
      <w:r>
        <w:rPr/>
        <w:t>To address this problem a primary task is to create a common research system, that would encourage the dialogues among the theoretical schools. Understanding the </w:t>
      </w:r>
      <w:r>
        <w:rPr>
          <w:sz w:val="27"/>
        </w:rPr>
        <w:t>nature of the beast </w:t>
      </w:r>
      <w:r>
        <w:rPr/>
        <w:t>is possible only if the ‘blind men’ start a rigorous exchange of ideas. The systems science has a good record</w:t>
      </w:r>
      <w:r>
        <w:rPr>
          <w:spacing w:val="-2"/>
        </w:rPr>
        <w:t> </w:t>
      </w:r>
      <w:r>
        <w:rPr/>
        <w:t>of</w:t>
      </w:r>
      <w:r>
        <w:rPr>
          <w:spacing w:val="-4"/>
        </w:rPr>
        <w:t> </w:t>
      </w:r>
      <w:r>
        <w:rPr/>
        <w:t>transdisciplinary</w:t>
      </w:r>
      <w:r>
        <w:rPr>
          <w:spacing w:val="-3"/>
        </w:rPr>
        <w:t> </w:t>
      </w:r>
      <w:r>
        <w:rPr/>
        <w:t>research;</w:t>
      </w:r>
      <w:r>
        <w:rPr>
          <w:spacing w:val="-2"/>
        </w:rPr>
        <w:t> </w:t>
      </w:r>
      <w:r>
        <w:rPr/>
        <w:t>the</w:t>
      </w:r>
      <w:r>
        <w:rPr>
          <w:spacing w:val="-3"/>
        </w:rPr>
        <w:t> </w:t>
      </w:r>
      <w:r>
        <w:rPr/>
        <w:t>systems</w:t>
      </w:r>
      <w:r>
        <w:rPr>
          <w:spacing w:val="-5"/>
        </w:rPr>
        <w:t> </w:t>
      </w:r>
      <w:r>
        <w:rPr/>
        <w:t>researchers</w:t>
      </w:r>
      <w:r>
        <w:rPr>
          <w:spacing w:val="-5"/>
        </w:rPr>
        <w:t> </w:t>
      </w:r>
      <w:r>
        <w:rPr/>
        <w:t>“look</w:t>
      </w:r>
      <w:r>
        <w:rPr>
          <w:spacing w:val="-3"/>
        </w:rPr>
        <w:t> </w:t>
      </w:r>
      <w:r>
        <w:rPr/>
        <w:t>at</w:t>
      </w:r>
      <w:r>
        <w:rPr>
          <w:spacing w:val="-3"/>
        </w:rPr>
        <w:t> </w:t>
      </w:r>
      <w:r>
        <w:rPr/>
        <w:t>science as an activity, and at knowledge as its product,” (</w:t>
      </w:r>
      <w:hyperlink w:history="true" w:anchor="_bookmark64">
        <w:r>
          <w:rPr/>
          <w:t>Ackoff, 1964, p. 51</w:t>
        </w:r>
      </w:hyperlink>
      <w:r>
        <w:rPr/>
        <w:t>) the scientific activity first of all means asking the questions </w:t>
      </w:r>
      <w:r>
        <w:rPr>
          <w:sz w:val="27"/>
        </w:rPr>
        <w:t>to </w:t>
      </w:r>
      <w:r>
        <w:rPr/>
        <w:t>and waiting</w:t>
      </w:r>
      <w:r>
        <w:rPr>
          <w:spacing w:val="40"/>
        </w:rPr>
        <w:t> </w:t>
      </w:r>
      <w:r>
        <w:rPr/>
        <w:t>the answers </w:t>
      </w:r>
      <w:r>
        <w:rPr>
          <w:sz w:val="27"/>
        </w:rPr>
        <w:t>from </w:t>
      </w:r>
      <w:r>
        <w:rPr/>
        <w:t>any relevant </w:t>
      </w:r>
      <w:r>
        <w:rPr>
          <w:sz w:val="27"/>
        </w:rPr>
        <w:t>other. </w:t>
      </w:r>
      <w:r>
        <w:rPr/>
        <w:t>The relevance derives not from the discipline, but from the problem.</w:t>
      </w:r>
    </w:p>
    <w:p>
      <w:pPr>
        <w:pStyle w:val="BodyText"/>
        <w:spacing w:line="273" w:lineRule="auto" w:before="12"/>
        <w:ind w:right="1902" w:firstLine="720"/>
      </w:pPr>
      <w:r>
        <w:rPr/>
        <w:t>The first task of this study is to show the systemic identity of the European Union. Systemic identity is not the same as the systemic</w:t>
      </w:r>
      <w:r>
        <w:rPr>
          <w:spacing w:val="40"/>
        </w:rPr>
        <w:t> </w:t>
      </w:r>
      <w:r>
        <w:rPr/>
        <w:t>structure. We often see the charts that illustrate the institutional arrangement of the Union; it is a common exercise to search the power center among the presented institutions, as if there has to be one. It is true that the most scholars acknowledge that the politics in</w:t>
      </w:r>
      <w:r>
        <w:rPr>
          <w:spacing w:val="32"/>
        </w:rPr>
        <w:t> </w:t>
      </w:r>
      <w:r>
        <w:rPr/>
        <w:t>the EU should not be understood as being relatively similar to the politics in the nation states. However, their “road not taken” quite often resembles the roads they try to avoid. (</w:t>
      </w:r>
      <w:hyperlink w:history="true" w:anchor="_bookmark222">
        <w:r>
          <w:rPr/>
          <w:t>S. Hix &amp; Høyland, 2011</w:t>
        </w:r>
      </w:hyperlink>
      <w:r>
        <w:rPr/>
        <w:t>) The structural generalizations, that duplicate</w:t>
      </w:r>
      <w:r>
        <w:rPr>
          <w:spacing w:val="-1"/>
        </w:rPr>
        <w:t> </w:t>
      </w:r>
      <w:r>
        <w:rPr/>
        <w:t>the state</w:t>
      </w:r>
      <w:r>
        <w:rPr>
          <w:spacing w:val="-1"/>
        </w:rPr>
        <w:t> </w:t>
      </w:r>
      <w:r>
        <w:rPr/>
        <w:t>related notions by introducing</w:t>
      </w:r>
      <w:r>
        <w:rPr>
          <w:spacing w:val="-1"/>
        </w:rPr>
        <w:t> </w:t>
      </w:r>
      <w:r>
        <w:rPr/>
        <w:t>the</w:t>
      </w:r>
      <w:r>
        <w:rPr>
          <w:spacing w:val="-1"/>
        </w:rPr>
        <w:t> </w:t>
      </w:r>
      <w:r>
        <w:rPr/>
        <w:t>EU</w:t>
      </w:r>
      <w:r>
        <w:rPr>
          <w:spacing w:val="-1"/>
        </w:rPr>
        <w:t> </w:t>
      </w:r>
      <w:r>
        <w:rPr/>
        <w:t>analogies of those, do not help to have a fresh look at the system. This research will try to</w:t>
      </w:r>
      <w:r>
        <w:rPr>
          <w:spacing w:val="40"/>
        </w:rPr>
        <w:t> </w:t>
      </w:r>
      <w:r>
        <w:rPr/>
        <w:t>show that the inquiries about the EU systemic identity, should include</w:t>
      </w:r>
      <w:r>
        <w:rPr>
          <w:spacing w:val="40"/>
        </w:rPr>
        <w:t> </w:t>
      </w:r>
      <w:r>
        <w:rPr/>
        <w:t>more questions that start with ‘how’ rather than with ‘what.’ Because the first describes the process, while the former presupposes the fixed meaning. For</w:t>
      </w:r>
      <w:r>
        <w:rPr>
          <w:spacing w:val="-4"/>
        </w:rPr>
        <w:t> </w:t>
      </w:r>
      <w:r>
        <w:rPr/>
        <w:t>instance,</w:t>
      </w:r>
      <w:r>
        <w:rPr>
          <w:spacing w:val="-3"/>
        </w:rPr>
        <w:t> </w:t>
      </w:r>
      <w:r>
        <w:rPr/>
        <w:t>if</w:t>
      </w:r>
      <w:r>
        <w:rPr>
          <w:spacing w:val="-4"/>
        </w:rPr>
        <w:t> </w:t>
      </w:r>
      <w:r>
        <w:rPr/>
        <w:t>we</w:t>
      </w:r>
      <w:r>
        <w:rPr>
          <w:spacing w:val="-5"/>
        </w:rPr>
        <w:t> </w:t>
      </w:r>
      <w:r>
        <w:rPr/>
        <w:t>ask,</w:t>
      </w:r>
      <w:r>
        <w:rPr>
          <w:spacing w:val="-3"/>
        </w:rPr>
        <w:t> </w:t>
      </w:r>
      <w:r>
        <w:rPr>
          <w:sz w:val="27"/>
        </w:rPr>
        <w:t>what</w:t>
      </w:r>
      <w:r>
        <w:rPr>
          <w:spacing w:val="-10"/>
          <w:sz w:val="27"/>
        </w:rPr>
        <w:t> </w:t>
      </w:r>
      <w:r>
        <w:rPr/>
        <w:t>are</w:t>
      </w:r>
      <w:r>
        <w:rPr>
          <w:spacing w:val="-5"/>
        </w:rPr>
        <w:t> </w:t>
      </w:r>
      <w:r>
        <w:rPr/>
        <w:t>the</w:t>
      </w:r>
      <w:r>
        <w:rPr>
          <w:spacing w:val="-5"/>
        </w:rPr>
        <w:t> </w:t>
      </w:r>
      <w:r>
        <w:rPr/>
        <w:t>EU</w:t>
      </w:r>
      <w:r>
        <w:rPr>
          <w:spacing w:val="-5"/>
        </w:rPr>
        <w:t> </w:t>
      </w:r>
      <w:r>
        <w:rPr/>
        <w:t>systemhood</w:t>
      </w:r>
      <w:r>
        <w:rPr>
          <w:spacing w:val="-3"/>
        </w:rPr>
        <w:t> </w:t>
      </w:r>
      <w:r>
        <w:rPr/>
        <w:t>properties? The</w:t>
      </w:r>
      <w:r>
        <w:rPr>
          <w:spacing w:val="-4"/>
        </w:rPr>
        <w:t> </w:t>
      </w:r>
      <w:r>
        <w:rPr/>
        <w:t>answer would describe the structure of the Union at a given moment. But if the question is, </w:t>
      </w:r>
      <w:r>
        <w:rPr>
          <w:sz w:val="27"/>
        </w:rPr>
        <w:t>how </w:t>
      </w:r>
      <w:r>
        <w:rPr/>
        <w:t>the EU maintains the systemhood properties? The answer would include a pattern of change. Describing the change is important for two</w:t>
      </w:r>
      <w:r>
        <w:rPr>
          <w:spacing w:val="61"/>
        </w:rPr>
        <w:t> </w:t>
      </w:r>
      <w:r>
        <w:rPr/>
        <w:t>reasons:</w:t>
      </w:r>
      <w:r>
        <w:rPr>
          <w:spacing w:val="65"/>
        </w:rPr>
        <w:t> </w:t>
      </w:r>
      <w:r>
        <w:rPr/>
        <w:t>a)</w:t>
      </w:r>
      <w:r>
        <w:rPr>
          <w:spacing w:val="65"/>
        </w:rPr>
        <w:t> </w:t>
      </w:r>
      <w:r>
        <w:rPr/>
        <w:t>the</w:t>
      </w:r>
      <w:r>
        <w:rPr>
          <w:spacing w:val="68"/>
        </w:rPr>
        <w:t> </w:t>
      </w:r>
      <w:r>
        <w:rPr>
          <w:sz w:val="27"/>
        </w:rPr>
        <w:t>process</w:t>
      </w:r>
      <w:r>
        <w:rPr>
          <w:spacing w:val="59"/>
          <w:sz w:val="27"/>
        </w:rPr>
        <w:t> </w:t>
      </w:r>
      <w:r>
        <w:rPr/>
        <w:t>of</w:t>
      </w:r>
      <w:r>
        <w:rPr>
          <w:spacing w:val="67"/>
        </w:rPr>
        <w:t> </w:t>
      </w:r>
      <w:r>
        <w:rPr/>
        <w:t>integration</w:t>
      </w:r>
      <w:r>
        <w:rPr>
          <w:spacing w:val="65"/>
        </w:rPr>
        <w:t> </w:t>
      </w:r>
      <w:r>
        <w:rPr/>
        <w:t>is</w:t>
      </w:r>
      <w:r>
        <w:rPr>
          <w:spacing w:val="61"/>
        </w:rPr>
        <w:t> </w:t>
      </w:r>
      <w:r>
        <w:rPr/>
        <w:t>a</w:t>
      </w:r>
      <w:r>
        <w:rPr>
          <w:spacing w:val="63"/>
        </w:rPr>
        <w:t> </w:t>
      </w:r>
      <w:r>
        <w:rPr/>
        <w:t>central</w:t>
      </w:r>
      <w:r>
        <w:rPr>
          <w:spacing w:val="61"/>
        </w:rPr>
        <w:t> </w:t>
      </w:r>
      <w:r>
        <w:rPr/>
        <w:t>problem</w:t>
      </w:r>
      <w:r>
        <w:rPr>
          <w:spacing w:val="61"/>
        </w:rPr>
        <w:t> </w:t>
      </w:r>
      <w:r>
        <w:rPr/>
        <w:t>for</w:t>
      </w:r>
      <w:r>
        <w:rPr>
          <w:spacing w:val="64"/>
        </w:rPr>
        <w:t> </w:t>
      </w:r>
      <w:r>
        <w:rPr/>
        <w:t>the</w:t>
      </w:r>
    </w:p>
    <w:p>
      <w:pPr>
        <w:pStyle w:val="BodyText"/>
        <w:spacing w:after="0" w:line="273" w:lineRule="auto"/>
        <w:sectPr>
          <w:pgSz w:w="12240" w:h="15840"/>
          <w:pgMar w:header="1046" w:footer="0" w:top="1360" w:bottom="280" w:left="720" w:right="360"/>
        </w:sectPr>
      </w:pPr>
    </w:p>
    <w:p>
      <w:pPr>
        <w:pStyle w:val="BodyText"/>
        <w:spacing w:line="276" w:lineRule="auto" w:before="276"/>
        <w:ind w:right="1927"/>
      </w:pPr>
      <w:r>
        <w:rPr/>
        <w:t>European Union studies, b) if the difference between the initial state and the current state of the system is identified, the invariant properties would describe the identity of the system.</w:t>
      </w:r>
    </w:p>
    <w:p>
      <w:pPr>
        <w:pStyle w:val="BodyText"/>
        <w:spacing w:line="273" w:lineRule="auto"/>
        <w:ind w:right="1907" w:firstLine="720"/>
      </w:pPr>
      <w:r>
        <w:rPr/>
        <w:t>The integration theories propose a large amount of ideas, that can be selectively used for the purposes of this research. But to utilize them properly, we need to have a general systemic framework. As </w:t>
      </w:r>
      <w:r>
        <w:rPr>
          <w:sz w:val="27"/>
        </w:rPr>
        <w:t>Klir </w:t>
      </w:r>
      <w:r>
        <w:rPr/>
        <w:t>argued: “Once we have the capability of distinguishing objects that are systems</w:t>
      </w:r>
      <w:r>
        <w:rPr>
          <w:spacing w:val="40"/>
        </w:rPr>
        <w:t> </w:t>
      </w:r>
      <w:r>
        <w:rPr/>
        <w:t>from those that are not, the proposed definition of systems science - a science whose objects of study are systems - becomes operational.” (</w:t>
      </w:r>
      <w:hyperlink w:history="true" w:anchor="_bookmark239">
        <w:r>
          <w:rPr/>
          <w:t>Klir,</w:t>
        </w:r>
      </w:hyperlink>
      <w:r>
        <w:rPr/>
        <w:t> </w:t>
      </w:r>
      <w:hyperlink w:history="true" w:anchor="_bookmark239">
        <w:r>
          <w:rPr/>
          <w:t>2001, p. 5</w:t>
        </w:r>
      </w:hyperlink>
      <w:r>
        <w:rPr/>
        <w:t>)</w:t>
      </w:r>
    </w:p>
    <w:p>
      <w:pPr>
        <w:pStyle w:val="BodyText"/>
        <w:spacing w:line="276" w:lineRule="auto" w:before="9"/>
        <w:ind w:right="1907" w:firstLine="720"/>
      </w:pPr>
      <w:r>
        <w:rPr/>
        <w:t>The European integration research is dominated by the reductionist approaches. They try to study the structural properties of the system and</w:t>
      </w:r>
      <w:r>
        <w:rPr>
          <w:spacing w:val="40"/>
        </w:rPr>
        <w:t> </w:t>
      </w:r>
      <w:r>
        <w:rPr/>
        <w:t>use</w:t>
      </w:r>
      <w:r>
        <w:rPr>
          <w:spacing w:val="-2"/>
        </w:rPr>
        <w:t> </w:t>
      </w:r>
      <w:r>
        <w:rPr/>
        <w:t>the</w:t>
      </w:r>
      <w:r>
        <w:rPr>
          <w:spacing w:val="-2"/>
        </w:rPr>
        <w:t> </w:t>
      </w:r>
      <w:r>
        <w:rPr/>
        <w:t>sum of</w:t>
      </w:r>
      <w:r>
        <w:rPr>
          <w:spacing w:val="-3"/>
        </w:rPr>
        <w:t> </w:t>
      </w:r>
      <w:r>
        <w:rPr/>
        <w:t>their</w:t>
      </w:r>
      <w:r>
        <w:rPr>
          <w:spacing w:val="-1"/>
        </w:rPr>
        <w:t> </w:t>
      </w:r>
      <w:r>
        <w:rPr/>
        <w:t>conclusions</w:t>
      </w:r>
      <w:r>
        <w:rPr>
          <w:spacing w:val="-4"/>
        </w:rPr>
        <w:t> </w:t>
      </w:r>
      <w:r>
        <w:rPr/>
        <w:t>for</w:t>
      </w:r>
      <w:r>
        <w:rPr>
          <w:spacing w:val="-1"/>
        </w:rPr>
        <w:t> </w:t>
      </w:r>
      <w:r>
        <w:rPr/>
        <w:t>proposing</w:t>
      </w:r>
      <w:r>
        <w:rPr>
          <w:spacing w:val="-2"/>
        </w:rPr>
        <w:t> </w:t>
      </w:r>
      <w:r>
        <w:rPr/>
        <w:t>the</w:t>
      </w:r>
      <w:r>
        <w:rPr>
          <w:spacing w:val="-2"/>
        </w:rPr>
        <w:t> </w:t>
      </w:r>
      <w:r>
        <w:rPr/>
        <w:t>generalized visions of</w:t>
      </w:r>
      <w:r>
        <w:rPr>
          <w:spacing w:val="-3"/>
        </w:rPr>
        <w:t> </w:t>
      </w:r>
      <w:r>
        <w:rPr/>
        <w:t>the EU</w:t>
      </w:r>
      <w:r>
        <w:rPr>
          <w:spacing w:val="-3"/>
        </w:rPr>
        <w:t> </w:t>
      </w:r>
      <w:r>
        <w:rPr/>
        <w:t>systemic</w:t>
      </w:r>
      <w:r>
        <w:rPr>
          <w:spacing w:val="-4"/>
        </w:rPr>
        <w:t> </w:t>
      </w:r>
      <w:r>
        <w:rPr/>
        <w:t>identity.</w:t>
      </w:r>
      <w:r>
        <w:rPr>
          <w:spacing w:val="-1"/>
        </w:rPr>
        <w:t> </w:t>
      </w:r>
      <w:r>
        <w:rPr/>
        <w:t>Simultaneously,</w:t>
      </w:r>
      <w:r>
        <w:rPr>
          <w:spacing w:val="-1"/>
        </w:rPr>
        <w:t> </w:t>
      </w:r>
      <w:r>
        <w:rPr/>
        <w:t>the</w:t>
      </w:r>
      <w:r>
        <w:rPr>
          <w:spacing w:val="-3"/>
        </w:rPr>
        <w:t> </w:t>
      </w:r>
      <w:r>
        <w:rPr/>
        <w:t>scholars</w:t>
      </w:r>
      <w:r>
        <w:rPr>
          <w:spacing w:val="-5"/>
        </w:rPr>
        <w:t> </w:t>
      </w:r>
      <w:r>
        <w:rPr/>
        <w:t>are</w:t>
      </w:r>
      <w:r>
        <w:rPr>
          <w:spacing w:val="-3"/>
        </w:rPr>
        <w:t> </w:t>
      </w:r>
      <w:r>
        <w:rPr/>
        <w:t>busy</w:t>
      </w:r>
      <w:r>
        <w:rPr>
          <w:spacing w:val="-3"/>
        </w:rPr>
        <w:t> </w:t>
      </w:r>
      <w:r>
        <w:rPr/>
        <w:t>criticizing</w:t>
      </w:r>
      <w:r>
        <w:rPr>
          <w:spacing w:val="-3"/>
        </w:rPr>
        <w:t> </w:t>
      </w:r>
      <w:r>
        <w:rPr/>
        <w:t>those colleagues,</w:t>
      </w:r>
      <w:r>
        <w:rPr>
          <w:spacing w:val="-2"/>
        </w:rPr>
        <w:t> </w:t>
      </w:r>
      <w:r>
        <w:rPr/>
        <w:t>who</w:t>
      </w:r>
      <w:r>
        <w:rPr>
          <w:spacing w:val="-6"/>
        </w:rPr>
        <w:t> </w:t>
      </w:r>
      <w:r>
        <w:rPr/>
        <w:t>study</w:t>
      </w:r>
      <w:r>
        <w:rPr>
          <w:spacing w:val="-3"/>
        </w:rPr>
        <w:t> </w:t>
      </w:r>
      <w:r>
        <w:rPr/>
        <w:t>different</w:t>
      </w:r>
      <w:r>
        <w:rPr>
          <w:spacing w:val="-3"/>
        </w:rPr>
        <w:t> </w:t>
      </w:r>
      <w:r>
        <w:rPr/>
        <w:t>properties</w:t>
      </w:r>
      <w:r>
        <w:rPr>
          <w:spacing w:val="-5"/>
        </w:rPr>
        <w:t> </w:t>
      </w:r>
      <w:r>
        <w:rPr/>
        <w:t>of</w:t>
      </w:r>
      <w:r>
        <w:rPr>
          <w:spacing w:val="-9"/>
        </w:rPr>
        <w:t> </w:t>
      </w:r>
      <w:r>
        <w:rPr/>
        <w:t>the</w:t>
      </w:r>
      <w:r>
        <w:rPr>
          <w:spacing w:val="-3"/>
        </w:rPr>
        <w:t> </w:t>
      </w:r>
      <w:r>
        <w:rPr/>
        <w:t>EU;</w:t>
      </w:r>
      <w:r>
        <w:rPr>
          <w:spacing w:val="-1"/>
        </w:rPr>
        <w:t> </w:t>
      </w:r>
      <w:r>
        <w:rPr/>
        <w:t>the</w:t>
      </w:r>
      <w:r>
        <w:rPr>
          <w:spacing w:val="-3"/>
        </w:rPr>
        <w:t> </w:t>
      </w:r>
      <w:r>
        <w:rPr/>
        <w:t>criticisms</w:t>
      </w:r>
      <w:r>
        <w:rPr>
          <w:spacing w:val="-5"/>
        </w:rPr>
        <w:t> </w:t>
      </w:r>
      <w:r>
        <w:rPr/>
        <w:t>are often relevant, but this relevance does not find a proper reflection in the suggested alternatives.</w:t>
      </w:r>
    </w:p>
    <w:p>
      <w:pPr>
        <w:pStyle w:val="BodyText"/>
        <w:spacing w:line="276" w:lineRule="auto"/>
        <w:ind w:right="1905" w:firstLine="787"/>
      </w:pPr>
      <w:r>
        <w:rPr/>
        <w:t>The structural properties of the system are time sensitive, they do not last forever; accordingly, the reductionist theories, which study those properties in separation have a limited lifespan. On the contrary, the systemic research is never static; it focuses on systemic relations and is responsive to new events; a systemic theory becomes useless only when the referent system ceases to exist.</w:t>
      </w:r>
    </w:p>
    <w:p>
      <w:pPr>
        <w:pStyle w:val="BodyText"/>
        <w:spacing w:line="273" w:lineRule="auto"/>
        <w:ind w:right="1906" w:firstLine="720"/>
      </w:pPr>
      <w:r>
        <w:rPr/>
        <w:t>Considering above mentioned problems, this work will try to answer several interconnected questions: How the EU maintains the </w:t>
      </w:r>
      <w:r>
        <w:rPr>
          <w:sz w:val="27"/>
        </w:rPr>
        <w:t>systemhood </w:t>
      </w:r>
      <w:r>
        <w:rPr/>
        <w:t>properties? What kind of system is the EU? How does the EU interact with the environment?</w:t>
      </w:r>
    </w:p>
    <w:p>
      <w:pPr>
        <w:pStyle w:val="BodyText"/>
        <w:spacing w:line="276" w:lineRule="auto" w:before="2"/>
        <w:ind w:right="1902" w:firstLine="720"/>
      </w:pPr>
      <w:r>
        <w:rPr/>
        <w:t>We hypothesize that the European Union is a self-referential system that consists of autonomous subsystems (variables). The environment is a</w:t>
      </w:r>
      <w:r>
        <w:rPr>
          <w:spacing w:val="40"/>
        </w:rPr>
        <w:t> </w:t>
      </w:r>
      <w:r>
        <w:rPr/>
        <w:t>set of elements that are structurally coupled with the EU. The identity of the organization is determined by the purpose that is fulfilled via the recursive communications between the systemic variables.</w:t>
      </w:r>
    </w:p>
    <w:p>
      <w:pPr>
        <w:pStyle w:val="BodyText"/>
        <w:spacing w:after="0" w:line="276" w:lineRule="auto"/>
        <w:sectPr>
          <w:pgSz w:w="12240" w:h="15840"/>
          <w:pgMar w:header="1046" w:footer="0" w:top="1360" w:bottom="280" w:left="720" w:right="360"/>
        </w:sectPr>
      </w:pPr>
    </w:p>
    <w:p>
      <w:pPr>
        <w:pStyle w:val="BodyText"/>
        <w:ind w:left="0"/>
        <w:jc w:val="left"/>
        <w:rPr>
          <w:sz w:val="32"/>
        </w:rPr>
      </w:pPr>
    </w:p>
    <w:p>
      <w:pPr>
        <w:pStyle w:val="BodyText"/>
        <w:spacing w:before="40"/>
        <w:ind w:left="0"/>
        <w:jc w:val="left"/>
        <w:rPr>
          <w:sz w:val="32"/>
        </w:rPr>
      </w:pPr>
    </w:p>
    <w:p>
      <w:pPr>
        <w:pStyle w:val="Heading4"/>
        <w:spacing w:before="1"/>
        <w:ind w:left="979" w:firstLine="0"/>
      </w:pPr>
      <w:bookmarkStart w:name="_bookmark1" w:id="2"/>
      <w:bookmarkEnd w:id="2"/>
      <w:r>
        <w:rPr>
          <w:b w:val="0"/>
        </w:rPr>
      </w:r>
      <w:r>
        <w:rPr>
          <w:spacing w:val="-2"/>
        </w:rPr>
        <w:t>Ontology</w:t>
      </w:r>
    </w:p>
    <w:p>
      <w:pPr>
        <w:pStyle w:val="BodyText"/>
        <w:spacing w:before="195"/>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590400">
                <wp:simplePos x="0" y="0"/>
                <wp:positionH relativeFrom="page">
                  <wp:posOffset>1078864</wp:posOffset>
                </wp:positionH>
                <wp:positionV relativeFrom="paragraph">
                  <wp:posOffset>283808</wp:posOffset>
                </wp:positionV>
                <wp:extent cx="5252085" cy="52069"/>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347109pt;width:413.55pt;height:4.1pt;mso-position-horizontal-relative:page;mso-position-vertical-relative:paragraph;z-index:-15726080;mso-wrap-distance-left:0;mso-wrap-distance-right:0" id="docshape9" filled="true" fillcolor="#000000" stroked="false">
                <v:fill type="solid"/>
                <w10:wrap type="topAndBottom"/>
              </v:rect>
            </w:pict>
          </mc:Fallback>
        </mc:AlternateContent>
      </w:r>
    </w:p>
    <w:p>
      <w:pPr>
        <w:pStyle w:val="BodyText"/>
        <w:spacing w:before="191"/>
        <w:ind w:left="0"/>
        <w:jc w:val="left"/>
        <w:rPr>
          <w:rFonts w:ascii="Georgia"/>
          <w:b/>
        </w:rPr>
      </w:pPr>
    </w:p>
    <w:p>
      <w:pPr>
        <w:pStyle w:val="BodyText"/>
        <w:spacing w:line="273" w:lineRule="auto" w:before="1"/>
        <w:ind w:right="1905" w:firstLine="720"/>
      </w:pPr>
      <w:r>
        <w:rPr/>
        <w:t>The Systemic ontology or </w:t>
      </w:r>
      <w:r>
        <w:rPr>
          <w:sz w:val="27"/>
        </w:rPr>
        <w:t>systemism</w:t>
      </w:r>
      <w:r>
        <w:rPr>
          <w:spacing w:val="40"/>
          <w:sz w:val="27"/>
        </w:rPr>
        <w:t> </w:t>
      </w:r>
      <w:r>
        <w:rPr/>
        <w:t>used in this research ‘must not be confused’ with separately taken systems theories or with the concepts utilized by those theories, because “they do not entail any methodological commitment to systems theories.” (</w:t>
      </w:r>
      <w:hyperlink w:history="true" w:anchor="_bookmark336">
        <w:r>
          <w:rPr/>
          <w:t>Pickel, 2006 p. 3</w:t>
        </w:r>
      </w:hyperlink>
      <w:r>
        <w:rPr/>
        <w:t>) Although, this ontology does impose an “indirect challenge” to the systemic theories from particular fields, (</w:t>
      </w:r>
      <w:hyperlink w:history="true" w:anchor="_bookmark336">
        <w:r>
          <w:rPr/>
          <w:t>2006 p. 9</w:t>
        </w:r>
      </w:hyperlink>
      <w:r>
        <w:rPr/>
        <w:t>) it does purpose general framework for approaching the systems as such, including the knowledge acquired by those disciplines separately. Our approach is not the same as classical systemic or holistic ontology based on </w:t>
      </w:r>
      <w:r>
        <w:rPr>
          <w:sz w:val="27"/>
        </w:rPr>
        <w:t>Aristotelian </w:t>
      </w:r>
      <w:r>
        <w:rPr/>
        <w:t>doctrine: </w:t>
      </w:r>
      <w:r>
        <w:rPr>
          <w:sz w:val="27"/>
        </w:rPr>
        <w:t>The whole is greater than the</w:t>
      </w:r>
      <w:r>
        <w:rPr>
          <w:spacing w:val="-1"/>
          <w:sz w:val="27"/>
        </w:rPr>
        <w:t> </w:t>
      </w:r>
      <w:r>
        <w:rPr>
          <w:sz w:val="27"/>
        </w:rPr>
        <w:t>sum of its parts</w:t>
      </w:r>
      <w:r>
        <w:rPr/>
        <w:t>, – as we try to avoid scientific antagonism between holism and individualism (reductionism).</w:t>
      </w:r>
    </w:p>
    <w:p>
      <w:pPr>
        <w:pStyle w:val="BodyText"/>
        <w:spacing w:line="271" w:lineRule="auto"/>
        <w:ind w:right="1908" w:firstLine="787"/>
      </w:pPr>
      <w:r>
        <w:rPr/>
        <w:t>The ontology presented here bases on </w:t>
      </w:r>
      <w:r>
        <w:rPr>
          <w:sz w:val="27"/>
        </w:rPr>
        <w:t>Arthur Koestler</w:t>
      </w:r>
      <w:r>
        <w:rPr/>
        <w:t>’s aspirations to reconcile reductionism and holism. He argued that every system is a subsystem of a bigger system and while having own its subsystems, simultaneously serves as a linking entity in-between micro and macro levels. (</w:t>
      </w:r>
      <w:hyperlink w:history="true" w:anchor="_bookmark241">
        <w:r>
          <w:rPr/>
          <w:t>Koestler, 1967</w:t>
        </w:r>
      </w:hyperlink>
      <w:r>
        <w:rPr/>
        <w:t>) This point of view is shared by </w:t>
      </w:r>
      <w:r>
        <w:rPr>
          <w:sz w:val="27"/>
        </w:rPr>
        <w:t>Mario Bunge </w:t>
      </w:r>
      <w:r>
        <w:rPr/>
        <w:t>who coined the term </w:t>
      </w:r>
      <w:r>
        <w:rPr>
          <w:sz w:val="27"/>
        </w:rPr>
        <w:t>systemism</w:t>
      </w:r>
      <w:r>
        <w:rPr/>
        <w:t>. According to </w:t>
      </w:r>
      <w:r>
        <w:rPr>
          <w:sz w:val="27"/>
        </w:rPr>
        <w:t>Bunge, </w:t>
      </w:r>
      <w:r>
        <w:rPr/>
        <w:t>neither individualism nor holism are adequate to describe the reality as such. (</w:t>
      </w:r>
      <w:hyperlink w:history="true" w:anchor="_bookmark121">
        <w:r>
          <w:rPr/>
          <w:t>2000, p. 147</w:t>
        </w:r>
      </w:hyperlink>
      <w:r>
        <w:rPr/>
        <w:t>)</w:t>
      </w:r>
    </w:p>
    <w:p>
      <w:pPr>
        <w:pStyle w:val="BodyText"/>
        <w:spacing w:line="276" w:lineRule="auto" w:before="5"/>
        <w:ind w:right="1913" w:firstLine="720"/>
      </w:pPr>
      <w:r>
        <w:rPr/>
        <w:t>We believe that approaching the complex system like EU without a systemic scope is similar to checking the time on</w:t>
      </w:r>
      <w:r>
        <w:rPr>
          <w:spacing w:val="40"/>
        </w:rPr>
        <w:t> </w:t>
      </w:r>
      <w:r>
        <w:rPr/>
        <w:t>a deconstructed clock; let us assume that we examined every single detail of the clock and subsequently assemble them together till the functioning state, can we tell the time?</w:t>
      </w:r>
      <w:r>
        <w:rPr>
          <w:spacing w:val="40"/>
        </w:rPr>
        <w:t> </w:t>
      </w:r>
      <w:r>
        <w:rPr/>
        <w:t>We cannot, because to do so, we will need to have another clock to set the current time.</w:t>
      </w:r>
      <w:r>
        <w:rPr>
          <w:spacing w:val="40"/>
        </w:rPr>
        <w:t> </w:t>
      </w:r>
      <w:r>
        <w:rPr/>
        <w:t>Now we can repeat this exercise, but with a precondition. Let us assume that we do not have a concept of ‘time’ in our mindset, in this case the working clock is just a set of details that fulfil a mechanical</w:t>
      </w:r>
      <w:r>
        <w:rPr>
          <w:spacing w:val="59"/>
        </w:rPr>
        <w:t> </w:t>
      </w:r>
      <w:r>
        <w:rPr/>
        <w:t>work.</w:t>
      </w:r>
      <w:r>
        <w:rPr>
          <w:spacing w:val="63"/>
        </w:rPr>
        <w:t> </w:t>
      </w:r>
      <w:r>
        <w:rPr/>
        <w:t>From</w:t>
      </w:r>
      <w:r>
        <w:rPr>
          <w:spacing w:val="59"/>
        </w:rPr>
        <w:t> </w:t>
      </w:r>
      <w:r>
        <w:rPr/>
        <w:t>these</w:t>
      </w:r>
      <w:r>
        <w:rPr>
          <w:spacing w:val="62"/>
        </w:rPr>
        <w:t> </w:t>
      </w:r>
      <w:r>
        <w:rPr/>
        <w:t>hypothetical</w:t>
      </w:r>
      <w:r>
        <w:rPr>
          <w:spacing w:val="59"/>
        </w:rPr>
        <w:t> </w:t>
      </w:r>
      <w:r>
        <w:rPr/>
        <w:t>scenarios</w:t>
      </w:r>
      <w:r>
        <w:rPr>
          <w:spacing w:val="59"/>
        </w:rPr>
        <w:t> </w:t>
      </w:r>
      <w:r>
        <w:rPr/>
        <w:t>we</w:t>
      </w:r>
      <w:r>
        <w:rPr>
          <w:spacing w:val="62"/>
        </w:rPr>
        <w:t> </w:t>
      </w:r>
      <w:r>
        <w:rPr/>
        <w:t>can</w:t>
      </w:r>
      <w:r>
        <w:rPr>
          <w:spacing w:val="63"/>
        </w:rPr>
        <w:t> </w:t>
      </w:r>
      <w:r>
        <w:rPr/>
        <w:t>learn</w:t>
      </w:r>
      <w:r>
        <w:rPr>
          <w:spacing w:val="63"/>
        </w:rPr>
        <w:t> </w:t>
      </w:r>
      <w:r>
        <w:rPr>
          <w:spacing w:val="-5"/>
        </w:rPr>
        <w:t>two</w:t>
      </w:r>
    </w:p>
    <w:p>
      <w:pPr>
        <w:pStyle w:val="BodyText"/>
        <w:spacing w:after="0" w:line="276" w:lineRule="auto"/>
        <w:sectPr>
          <w:pgSz w:w="12240" w:h="15840"/>
          <w:pgMar w:header="1046" w:footer="0" w:top="1360" w:bottom="280" w:left="720" w:right="360"/>
        </w:sectPr>
      </w:pPr>
    </w:p>
    <w:p>
      <w:pPr>
        <w:pStyle w:val="BodyText"/>
        <w:spacing w:line="276" w:lineRule="auto" w:before="276"/>
        <w:ind w:right="1923"/>
      </w:pPr>
      <w:r>
        <w:rPr/>
        <w:t>things:</w:t>
      </w:r>
      <w:r>
        <w:rPr>
          <w:spacing w:val="-2"/>
        </w:rPr>
        <w:t> </w:t>
      </w:r>
      <w:r>
        <w:rPr/>
        <w:t>a)</w:t>
      </w:r>
      <w:r>
        <w:rPr>
          <w:spacing w:val="-2"/>
        </w:rPr>
        <w:t> </w:t>
      </w:r>
      <w:r>
        <w:rPr/>
        <w:t>the</w:t>
      </w:r>
      <w:r>
        <w:rPr>
          <w:spacing w:val="-3"/>
        </w:rPr>
        <w:t> </w:t>
      </w:r>
      <w:r>
        <w:rPr/>
        <w:t>meaning</w:t>
      </w:r>
      <w:r>
        <w:rPr>
          <w:spacing w:val="-3"/>
        </w:rPr>
        <w:t> </w:t>
      </w:r>
      <w:r>
        <w:rPr/>
        <w:t>of</w:t>
      </w:r>
      <w:r>
        <w:rPr>
          <w:spacing w:val="-4"/>
        </w:rPr>
        <w:t> </w:t>
      </w:r>
      <w:r>
        <w:rPr/>
        <w:t>the</w:t>
      </w:r>
      <w:r>
        <w:rPr>
          <w:spacing w:val="-3"/>
        </w:rPr>
        <w:t> </w:t>
      </w:r>
      <w:r>
        <w:rPr/>
        <w:t>system</w:t>
      </w:r>
      <w:r>
        <w:rPr>
          <w:spacing w:val="-5"/>
        </w:rPr>
        <w:t> </w:t>
      </w:r>
      <w:r>
        <w:rPr/>
        <w:t>is</w:t>
      </w:r>
      <w:r>
        <w:rPr>
          <w:spacing w:val="-5"/>
        </w:rPr>
        <w:t> </w:t>
      </w:r>
      <w:r>
        <w:rPr/>
        <w:t>comparative,</w:t>
      </w:r>
      <w:r>
        <w:rPr>
          <w:spacing w:val="-2"/>
        </w:rPr>
        <w:t> </w:t>
      </w:r>
      <w:r>
        <w:rPr/>
        <w:t>b)</w:t>
      </w:r>
      <w:r>
        <w:rPr>
          <w:spacing w:val="-2"/>
        </w:rPr>
        <w:t> </w:t>
      </w:r>
      <w:r>
        <w:rPr/>
        <w:t>even</w:t>
      </w:r>
      <w:r>
        <w:rPr>
          <w:spacing w:val="-2"/>
        </w:rPr>
        <w:t> </w:t>
      </w:r>
      <w:r>
        <w:rPr/>
        <w:t>fully</w:t>
      </w:r>
      <w:r>
        <w:rPr>
          <w:spacing w:val="-3"/>
        </w:rPr>
        <w:t> </w:t>
      </w:r>
      <w:r>
        <w:rPr/>
        <w:t>functional mechanism is useless without a meaning attached to it.</w:t>
      </w:r>
    </w:p>
    <w:p>
      <w:pPr>
        <w:pStyle w:val="BodyText"/>
        <w:spacing w:line="273" w:lineRule="auto"/>
        <w:ind w:right="1902" w:firstLine="720"/>
      </w:pPr>
      <w:r>
        <w:rPr/>
        <w:t>Defining the ontology of the social systems in general, is not among the easiest tasks. Both above described problems are relevant in the European</w:t>
      </w:r>
      <w:r>
        <w:rPr>
          <w:spacing w:val="-1"/>
        </w:rPr>
        <w:t> </w:t>
      </w:r>
      <w:r>
        <w:rPr/>
        <w:t>Union</w:t>
      </w:r>
      <w:r>
        <w:rPr>
          <w:spacing w:val="-1"/>
        </w:rPr>
        <w:t> </w:t>
      </w:r>
      <w:r>
        <w:rPr/>
        <w:t>studies;</w:t>
      </w:r>
      <w:r>
        <w:rPr>
          <w:spacing w:val="-1"/>
        </w:rPr>
        <w:t> </w:t>
      </w:r>
      <w:r>
        <w:rPr/>
        <w:t>A)</w:t>
      </w:r>
      <w:r>
        <w:rPr>
          <w:spacing w:val="-1"/>
        </w:rPr>
        <w:t> </w:t>
      </w:r>
      <w:r>
        <w:rPr/>
        <w:t>quite</w:t>
      </w:r>
      <w:r>
        <w:rPr>
          <w:spacing w:val="-2"/>
        </w:rPr>
        <w:t> </w:t>
      </w:r>
      <w:r>
        <w:rPr/>
        <w:t>often</w:t>
      </w:r>
      <w:r>
        <w:rPr>
          <w:spacing w:val="-1"/>
        </w:rPr>
        <w:t> </w:t>
      </w:r>
      <w:r>
        <w:rPr/>
        <w:t>the</w:t>
      </w:r>
      <w:r>
        <w:rPr>
          <w:spacing w:val="-2"/>
        </w:rPr>
        <w:t> </w:t>
      </w:r>
      <w:r>
        <w:rPr/>
        <w:t>ontology</w:t>
      </w:r>
      <w:r>
        <w:rPr>
          <w:spacing w:val="-2"/>
        </w:rPr>
        <w:t> </w:t>
      </w:r>
      <w:r>
        <w:rPr/>
        <w:t>that</w:t>
      </w:r>
      <w:r>
        <w:rPr>
          <w:spacing w:val="-2"/>
        </w:rPr>
        <w:t> </w:t>
      </w:r>
      <w:r>
        <w:rPr/>
        <w:t>is</w:t>
      </w:r>
      <w:r>
        <w:rPr>
          <w:spacing w:val="-4"/>
        </w:rPr>
        <w:t> </w:t>
      </w:r>
      <w:r>
        <w:rPr/>
        <w:t>taken</w:t>
      </w:r>
      <w:r>
        <w:rPr>
          <w:spacing w:val="-1"/>
        </w:rPr>
        <w:t> </w:t>
      </w:r>
      <w:r>
        <w:rPr/>
        <w:t>by</w:t>
      </w:r>
      <w:r>
        <w:rPr>
          <w:spacing w:val="-2"/>
        </w:rPr>
        <w:t> </w:t>
      </w:r>
      <w:r>
        <w:rPr/>
        <w:t>the</w:t>
      </w:r>
      <w:r>
        <w:rPr>
          <w:spacing w:val="-2"/>
        </w:rPr>
        <w:t> </w:t>
      </w:r>
      <w:r>
        <w:rPr/>
        <w:t>EU scholars derives from the statist tradition. This tradition presupposes that the political entity consists of agents that form the structures; consequently it implies that the structures that limit the agent behavior are universally comparable. The domain of comparison is politics as understood in traditional terms. This politicization of the EU ontology is rather problematic, as it fixes the meaning of the entity by narrowing it to the political</w:t>
      </w:r>
      <w:r>
        <w:rPr>
          <w:spacing w:val="-1"/>
        </w:rPr>
        <w:t> </w:t>
      </w:r>
      <w:r>
        <w:rPr/>
        <w:t>relations. Simultaneously, this world view largely neglects the self- contained importance of the process of integration. Integration in this is a mere instrument for the agents to create the structures.</w:t>
      </w:r>
      <w:r>
        <w:rPr>
          <w:spacing w:val="40"/>
        </w:rPr>
        <w:t> </w:t>
      </w:r>
      <w:r>
        <w:rPr/>
        <w:t>B) The EU studies often ignore the independent organizational meaning attached to the system. By underlining this problem we do not overlook the studies done</w:t>
      </w:r>
      <w:r>
        <w:rPr>
          <w:spacing w:val="40"/>
        </w:rPr>
        <w:t> </w:t>
      </w:r>
      <w:r>
        <w:rPr/>
        <w:t>by the institutionalisms; we suggest instead that </w:t>
      </w:r>
      <w:r>
        <w:rPr>
          <w:sz w:val="27"/>
        </w:rPr>
        <w:t>Heideggerian </w:t>
      </w:r>
      <w:r>
        <w:rPr/>
        <w:t>precision is required to show the </w:t>
      </w:r>
      <w:r>
        <w:rPr>
          <w:sz w:val="27"/>
        </w:rPr>
        <w:t>ontological difference </w:t>
      </w:r>
      <w:r>
        <w:rPr/>
        <w:t>between the institutions as ‘beings’ and the EU as </w:t>
      </w:r>
      <w:r>
        <w:rPr>
          <w:sz w:val="27"/>
        </w:rPr>
        <w:t>Being</w:t>
      </w:r>
      <w:r>
        <w:rPr/>
        <w:t>. In this sense the EU what makes the institutions intelligible as beings. (</w:t>
      </w:r>
      <w:hyperlink w:history="true" w:anchor="_bookmark209">
        <w:r>
          <w:rPr/>
          <w:t>Heidegger, 1972</w:t>
        </w:r>
      </w:hyperlink>
      <w:r>
        <w:rPr/>
        <w:t>)</w:t>
      </w:r>
    </w:p>
    <w:p>
      <w:pPr>
        <w:pStyle w:val="BodyText"/>
        <w:spacing w:line="276" w:lineRule="auto" w:before="16"/>
        <w:ind w:right="1908" w:firstLine="787"/>
      </w:pPr>
      <w:r>
        <w:rPr/>
        <w:t>Ontology</w:t>
      </w:r>
      <w:r>
        <w:rPr>
          <w:spacing w:val="-4"/>
        </w:rPr>
        <w:t> </w:t>
      </w:r>
      <w:r>
        <w:rPr/>
        <w:t>we</w:t>
      </w:r>
      <w:r>
        <w:rPr>
          <w:spacing w:val="-4"/>
        </w:rPr>
        <w:t> </w:t>
      </w:r>
      <w:r>
        <w:rPr/>
        <w:t>have</w:t>
      </w:r>
      <w:r>
        <w:rPr>
          <w:spacing w:val="-4"/>
        </w:rPr>
        <w:t> </w:t>
      </w:r>
      <w:r>
        <w:rPr/>
        <w:t>in</w:t>
      </w:r>
      <w:r>
        <w:rPr>
          <w:spacing w:val="-3"/>
        </w:rPr>
        <w:t> </w:t>
      </w:r>
      <w:r>
        <w:rPr/>
        <w:t>mind</w:t>
      </w:r>
      <w:r>
        <w:rPr>
          <w:spacing w:val="-6"/>
        </w:rPr>
        <w:t> </w:t>
      </w:r>
      <w:r>
        <w:rPr/>
        <w:t>represents</w:t>
      </w:r>
      <w:r>
        <w:rPr>
          <w:spacing w:val="-6"/>
        </w:rPr>
        <w:t> </w:t>
      </w:r>
      <w:r>
        <w:rPr/>
        <w:t>a</w:t>
      </w:r>
      <w:r>
        <w:rPr>
          <w:spacing w:val="-4"/>
        </w:rPr>
        <w:t> </w:t>
      </w:r>
      <w:r>
        <w:rPr/>
        <w:t>set</w:t>
      </w:r>
      <w:r>
        <w:rPr>
          <w:spacing w:val="-4"/>
        </w:rPr>
        <w:t> </w:t>
      </w:r>
      <w:r>
        <w:rPr/>
        <w:t>of</w:t>
      </w:r>
      <w:r>
        <w:rPr>
          <w:spacing w:val="-5"/>
        </w:rPr>
        <w:t> </w:t>
      </w:r>
      <w:r>
        <w:rPr/>
        <w:t>interlinked</w:t>
      </w:r>
      <w:r>
        <w:rPr>
          <w:spacing w:val="-2"/>
        </w:rPr>
        <w:t> </w:t>
      </w:r>
      <w:r>
        <w:rPr/>
        <w:t>factors</w:t>
      </w:r>
      <w:r>
        <w:rPr>
          <w:spacing w:val="-6"/>
        </w:rPr>
        <w:t> </w:t>
      </w:r>
      <w:r>
        <w:rPr/>
        <w:t>that shape the systemic relations. Those relations have to be examined vis-à-vis the meaning they are subscribed to. Our argument rests on the basic</w:t>
      </w:r>
      <w:r>
        <w:rPr>
          <w:spacing w:val="40"/>
        </w:rPr>
        <w:t> </w:t>
      </w:r>
      <w:r>
        <w:rPr/>
        <w:t>notions of the organizational theories, which suggest that any social entity consists of political and apolitical relations and those relations are equally </w:t>
      </w:r>
      <w:r>
        <w:rPr>
          <w:spacing w:val="-2"/>
        </w:rPr>
        <w:t>important.</w:t>
      </w:r>
    </w:p>
    <w:p>
      <w:pPr>
        <w:pStyle w:val="BodyText"/>
        <w:spacing w:line="276" w:lineRule="auto" w:before="5"/>
        <w:ind w:right="1917" w:firstLine="720"/>
      </w:pPr>
      <w:r>
        <w:rPr/>
        <w:t>This conceptual framework brings to a starting point for our approach, we</w:t>
      </w:r>
      <w:r>
        <w:rPr>
          <w:spacing w:val="-2"/>
        </w:rPr>
        <w:t> </w:t>
      </w:r>
      <w:r>
        <w:rPr/>
        <w:t>may</w:t>
      </w:r>
      <w:r>
        <w:rPr>
          <w:spacing w:val="-2"/>
        </w:rPr>
        <w:t> </w:t>
      </w:r>
      <w:r>
        <w:rPr/>
        <w:t>call it</w:t>
      </w:r>
      <w:r>
        <w:rPr>
          <w:spacing w:val="-2"/>
        </w:rPr>
        <w:t> </w:t>
      </w:r>
      <w:r>
        <w:rPr/>
        <w:t>an an ontological</w:t>
      </w:r>
      <w:r>
        <w:rPr>
          <w:spacing w:val="-5"/>
        </w:rPr>
        <w:t> </w:t>
      </w:r>
      <w:r>
        <w:rPr/>
        <w:t>hierarchy. At</w:t>
      </w:r>
      <w:r>
        <w:rPr>
          <w:spacing w:val="-2"/>
        </w:rPr>
        <w:t> </w:t>
      </w:r>
      <w:r>
        <w:rPr/>
        <w:t>the</w:t>
      </w:r>
      <w:r>
        <w:rPr>
          <w:spacing w:val="-2"/>
        </w:rPr>
        <w:t> </w:t>
      </w:r>
      <w:r>
        <w:rPr/>
        <w:t>highest</w:t>
      </w:r>
      <w:r>
        <w:rPr>
          <w:spacing w:val="-2"/>
        </w:rPr>
        <w:t> </w:t>
      </w:r>
      <w:r>
        <w:rPr/>
        <w:t>level of reasoning, the EU is a social system; then it is a formal social organization. This organization has political, legal, economic and social dimensions; the first three dimensions presume subsequent systems that communicate with</w:t>
      </w:r>
    </w:p>
    <w:p>
      <w:pPr>
        <w:pStyle w:val="BodyText"/>
        <w:spacing w:after="0" w:line="276" w:lineRule="auto"/>
        <w:sectPr>
          <w:pgSz w:w="12240" w:h="15840"/>
          <w:pgMar w:header="1046" w:footer="0" w:top="1360" w:bottom="280" w:left="720" w:right="360"/>
        </w:sectPr>
      </w:pPr>
    </w:p>
    <w:p>
      <w:pPr>
        <w:pStyle w:val="BodyText"/>
        <w:spacing w:line="276" w:lineRule="auto" w:before="276"/>
        <w:ind w:right="1909"/>
        <w:jc w:val="left"/>
      </w:pPr>
      <w:r>
        <w:rPr/>
        <w:t>each other (political, legal, economic). The social dimension is an innately attached relation that limits and encourages the systems.</w:t>
      </w:r>
    </w:p>
    <w:p>
      <w:pPr>
        <w:pStyle w:val="BodyText"/>
        <w:ind w:left="0"/>
        <w:jc w:val="left"/>
      </w:pPr>
    </w:p>
    <w:p>
      <w:pPr>
        <w:pStyle w:val="BodyText"/>
        <w:ind w:left="0"/>
        <w:jc w:val="left"/>
      </w:pPr>
    </w:p>
    <w:p>
      <w:pPr>
        <w:pStyle w:val="BodyText"/>
        <w:ind w:left="0"/>
        <w:jc w:val="left"/>
      </w:pPr>
    </w:p>
    <w:p>
      <w:pPr>
        <w:pStyle w:val="BodyText"/>
        <w:spacing w:before="25"/>
        <w:ind w:left="0"/>
        <w:jc w:val="left"/>
      </w:pPr>
    </w:p>
    <w:p>
      <w:pPr>
        <w:pStyle w:val="Heading4"/>
        <w:ind w:left="979" w:firstLine="0"/>
      </w:pPr>
      <w:bookmarkStart w:name="_bookmark2" w:id="3"/>
      <w:bookmarkEnd w:id="3"/>
      <w:r>
        <w:rPr>
          <w:b w:val="0"/>
        </w:rPr>
      </w:r>
      <w:r>
        <w:rPr>
          <w:spacing w:val="-2"/>
        </w:rPr>
        <w:t>Epistemology</w:t>
      </w:r>
    </w:p>
    <w:p>
      <w:pPr>
        <w:pStyle w:val="BodyText"/>
        <w:spacing w:before="196"/>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590912">
                <wp:simplePos x="0" y="0"/>
                <wp:positionH relativeFrom="page">
                  <wp:posOffset>1078864</wp:posOffset>
                </wp:positionH>
                <wp:positionV relativeFrom="paragraph">
                  <wp:posOffset>284277</wp:posOffset>
                </wp:positionV>
                <wp:extent cx="5252085" cy="51435"/>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5252085" cy="51435"/>
                        </a:xfrm>
                        <a:custGeom>
                          <a:avLst/>
                          <a:gdLst/>
                          <a:ahLst/>
                          <a:cxnLst/>
                          <a:rect l="l" t="t" r="r" b="b"/>
                          <a:pathLst>
                            <a:path w="5252085" h="51435">
                              <a:moveTo>
                                <a:pt x="5252085" y="0"/>
                              </a:moveTo>
                              <a:lnTo>
                                <a:pt x="0" y="0"/>
                              </a:lnTo>
                              <a:lnTo>
                                <a:pt x="0" y="51434"/>
                              </a:lnTo>
                              <a:lnTo>
                                <a:pt x="5252085" y="51434"/>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384071pt;width:413.55pt;height:4.05pt;mso-position-horizontal-relative:page;mso-position-vertical-relative:paragraph;z-index:-15725568;mso-wrap-distance-left:0;mso-wrap-distance-right:0" id="docshape10" filled="true" fillcolor="#000000" stroked="false">
                <v:fill type="solid"/>
                <w10:wrap type="topAndBottom"/>
              </v:rect>
            </w:pict>
          </mc:Fallback>
        </mc:AlternateContent>
      </w:r>
    </w:p>
    <w:p>
      <w:pPr>
        <w:pStyle w:val="BodyText"/>
        <w:ind w:left="0"/>
        <w:jc w:val="left"/>
        <w:rPr>
          <w:rFonts w:ascii="Georgia"/>
          <w:b/>
        </w:rPr>
      </w:pPr>
    </w:p>
    <w:p>
      <w:pPr>
        <w:pStyle w:val="BodyText"/>
        <w:spacing w:before="291"/>
        <w:ind w:left="0"/>
        <w:jc w:val="left"/>
        <w:rPr>
          <w:rFonts w:ascii="Georgia"/>
          <w:b/>
        </w:rPr>
      </w:pPr>
    </w:p>
    <w:p>
      <w:pPr>
        <w:pStyle w:val="BodyText"/>
        <w:spacing w:line="276" w:lineRule="auto"/>
        <w:ind w:right="1906" w:firstLine="720"/>
      </w:pPr>
      <w:r>
        <w:rPr/>
        <w:t>Domain of our research is as </w:t>
      </w:r>
      <w:r>
        <w:rPr>
          <w:sz w:val="27"/>
        </w:rPr>
        <w:t>Barry Stroud </w:t>
      </w:r>
      <w:r>
        <w:rPr/>
        <w:t>calls it: “historically informed epistemology.” (</w:t>
      </w:r>
      <w:hyperlink w:history="true" w:anchor="_bookmark405">
        <w:r>
          <w:rPr/>
          <w:t>Stroud, 2011, p. 497</w:t>
        </w:r>
      </w:hyperlink>
      <w:r>
        <w:rPr/>
        <w:t>)</w:t>
      </w:r>
      <w:r>
        <w:rPr>
          <w:spacing w:val="40"/>
        </w:rPr>
        <w:t> </w:t>
      </w:r>
      <w:r>
        <w:rPr/>
        <w:t>The events, which create knowledge, do not stay in the past; they are not on the hidden background layer covered with new events. If in hard sciences, new discoveries can sometimes undermine essential aspects of earlier researches; in systems science, we always have to get back to the point where everything started. Considering a technical progress based on cybernetics, we may say that, when one talks about systems, one is oriented to the future. Nevertheless, those who are interested can easily observe that systems philosophy is</w:t>
      </w:r>
      <w:r>
        <w:rPr>
          <w:spacing w:val="40"/>
        </w:rPr>
        <w:t> </w:t>
      </w:r>
      <w:r>
        <w:rPr/>
        <w:t>easier to learn from its founding fathers. Our method of acquiring knowledge brings concepts from the past to explain the present and</w:t>
      </w:r>
      <w:r>
        <w:rPr>
          <w:spacing w:val="40"/>
        </w:rPr>
        <w:t> </w:t>
      </w:r>
      <w:r>
        <w:rPr/>
        <w:t>describe the possibilities for the future.</w:t>
      </w:r>
    </w:p>
    <w:p>
      <w:pPr>
        <w:spacing w:line="339" w:lineRule="exact" w:before="0"/>
        <w:ind w:left="1700" w:right="0" w:firstLine="0"/>
        <w:jc w:val="both"/>
        <w:rPr>
          <w:sz w:val="27"/>
        </w:rPr>
      </w:pPr>
      <w:r>
        <w:rPr>
          <w:sz w:val="26"/>
        </w:rPr>
        <w:t>Taking</w:t>
      </w:r>
      <w:r>
        <w:rPr>
          <w:spacing w:val="66"/>
          <w:sz w:val="26"/>
        </w:rPr>
        <w:t> </w:t>
      </w:r>
      <w:r>
        <w:rPr>
          <w:sz w:val="26"/>
        </w:rPr>
        <w:t>the</w:t>
      </w:r>
      <w:r>
        <w:rPr>
          <w:spacing w:val="67"/>
          <w:sz w:val="26"/>
        </w:rPr>
        <w:t> </w:t>
      </w:r>
      <w:r>
        <w:rPr>
          <w:sz w:val="26"/>
        </w:rPr>
        <w:t>systemic</w:t>
      </w:r>
      <w:r>
        <w:rPr>
          <w:spacing w:val="66"/>
          <w:sz w:val="26"/>
        </w:rPr>
        <w:t> </w:t>
      </w:r>
      <w:r>
        <w:rPr>
          <w:sz w:val="26"/>
        </w:rPr>
        <w:t>concepts</w:t>
      </w:r>
      <w:r>
        <w:rPr>
          <w:spacing w:val="65"/>
          <w:sz w:val="26"/>
        </w:rPr>
        <w:t> </w:t>
      </w:r>
      <w:r>
        <w:rPr>
          <w:sz w:val="26"/>
        </w:rPr>
        <w:t>straight</w:t>
      </w:r>
      <w:r>
        <w:rPr>
          <w:spacing w:val="67"/>
          <w:sz w:val="26"/>
        </w:rPr>
        <w:t> </w:t>
      </w:r>
      <w:r>
        <w:rPr>
          <w:sz w:val="26"/>
        </w:rPr>
        <w:t>from</w:t>
      </w:r>
      <w:r>
        <w:rPr>
          <w:spacing w:val="65"/>
          <w:sz w:val="26"/>
        </w:rPr>
        <w:t> </w:t>
      </w:r>
      <w:r>
        <w:rPr>
          <w:sz w:val="26"/>
        </w:rPr>
        <w:t>the</w:t>
      </w:r>
      <w:r>
        <w:rPr>
          <w:spacing w:val="74"/>
          <w:sz w:val="26"/>
        </w:rPr>
        <w:t> </w:t>
      </w:r>
      <w:r>
        <w:rPr>
          <w:sz w:val="27"/>
        </w:rPr>
        <w:t>General</w:t>
      </w:r>
      <w:r>
        <w:rPr>
          <w:spacing w:val="62"/>
          <w:sz w:val="27"/>
        </w:rPr>
        <w:t> </w:t>
      </w:r>
      <w:r>
        <w:rPr>
          <w:spacing w:val="-2"/>
          <w:sz w:val="27"/>
        </w:rPr>
        <w:t>Systems</w:t>
      </w:r>
    </w:p>
    <w:p>
      <w:pPr>
        <w:pStyle w:val="BodyText"/>
        <w:spacing w:line="273" w:lineRule="auto" w:before="39"/>
        <w:ind w:right="1904"/>
      </w:pPr>
      <w:r>
        <w:rPr>
          <w:sz w:val="27"/>
        </w:rPr>
        <w:t>Theory </w:t>
      </w:r>
      <w:r>
        <w:rPr/>
        <w:t>and </w:t>
      </w:r>
      <w:r>
        <w:rPr>
          <w:sz w:val="27"/>
        </w:rPr>
        <w:t>Cybernetics</w:t>
      </w:r>
      <w:r>
        <w:rPr>
          <w:spacing w:val="40"/>
          <w:sz w:val="27"/>
        </w:rPr>
        <w:t> </w:t>
      </w:r>
      <w:r>
        <w:rPr/>
        <w:t>is a hard task. A major difficulty is to avoid being too broad. The research has to grasp a particular systemic problem; certain field specific values should be preserved and utilized. As </w:t>
      </w:r>
      <w:r>
        <w:rPr>
          <w:sz w:val="27"/>
        </w:rPr>
        <w:t>Kenneth E. Boulding </w:t>
      </w:r>
      <w:r>
        <w:rPr/>
        <w:t>states, the systems scientist has to be an expert of one particular field and willing to expand the expertise to the higher systemic level. (Boulding, 1964, p. 30)</w:t>
      </w:r>
      <w:r>
        <w:rPr>
          <w:spacing w:val="40"/>
        </w:rPr>
        <w:t> </w:t>
      </w:r>
      <w:r>
        <w:rPr/>
        <w:t>This transition from the field to system level should start with drawing the boundaries between them. Mixing of the conceptual categories on different levels might cause several methodological errors.</w:t>
      </w:r>
    </w:p>
    <w:p>
      <w:pPr>
        <w:pStyle w:val="BodyText"/>
        <w:spacing w:after="0" w:line="273" w:lineRule="auto"/>
        <w:sectPr>
          <w:pgSz w:w="12240" w:h="15840"/>
          <w:pgMar w:header="1046" w:footer="0" w:top="1360" w:bottom="280" w:left="720" w:right="360"/>
        </w:sectPr>
      </w:pPr>
    </w:p>
    <w:p>
      <w:pPr>
        <w:pStyle w:val="BodyText"/>
        <w:spacing w:line="273" w:lineRule="auto" w:before="276"/>
        <w:ind w:right="1911" w:firstLine="787"/>
      </w:pPr>
      <w:r>
        <w:rPr/>
        <w:t>As we will see in the first chapter, even the eminent scholars like </w:t>
      </w:r>
      <w:r>
        <w:rPr>
          <w:sz w:val="27"/>
        </w:rPr>
        <w:t>David Easton </w:t>
      </w:r>
      <w:r>
        <w:rPr/>
        <w:t>and </w:t>
      </w:r>
      <w:r>
        <w:rPr>
          <w:sz w:val="27"/>
        </w:rPr>
        <w:t>Karl Deutsch </w:t>
      </w:r>
      <w:r>
        <w:rPr/>
        <w:t>were not able to propose fully satisfying models of systemic politics. The modest ambition of our work does not imply to build a grand systemic theory that would explain the nature of the EU. Instead,</w:t>
      </w:r>
      <w:r>
        <w:rPr>
          <w:spacing w:val="-1"/>
        </w:rPr>
        <w:t> </w:t>
      </w:r>
      <w:r>
        <w:rPr/>
        <w:t>we aim to propose a framework that can encourage the further systems researches in the field.</w:t>
      </w:r>
    </w:p>
    <w:p>
      <w:pPr>
        <w:pStyle w:val="BodyText"/>
        <w:spacing w:line="276" w:lineRule="auto"/>
        <w:ind w:right="1908" w:firstLine="720"/>
      </w:pPr>
      <w:r>
        <w:rPr/>
        <w:t>To achieve this task we have selected the </w:t>
      </w:r>
      <w:r>
        <w:rPr>
          <w:sz w:val="27"/>
        </w:rPr>
        <w:t>social systems theory </w:t>
      </w:r>
      <w:r>
        <w:rPr/>
        <w:t>developed by </w:t>
      </w:r>
      <w:r>
        <w:rPr>
          <w:sz w:val="27"/>
        </w:rPr>
        <w:t>Niclas Luhmann</w:t>
      </w:r>
      <w:r>
        <w:rPr/>
        <w:t>. The model will be explained in details in subsequent chapters, here we will give some reasons that determined our theoretical choice; a) the model is based on the centrality of recursive communication, therefore it does not presuppose a systemic finality, b) the theory was used for political analysis, (</w:t>
      </w:r>
      <w:hyperlink w:history="true" w:anchor="_bookmark265">
        <w:r>
          <w:rPr/>
          <w:t>Luhmann, 1990b</w:t>
        </w:r>
      </w:hyperlink>
      <w:r>
        <w:rPr/>
        <w:t>) legal studies, (</w:t>
      </w:r>
      <w:hyperlink w:history="true" w:anchor="_bookmark407">
        <w:r>
          <w:rPr/>
          <w:t>Teubner, 1984</w:t>
        </w:r>
      </w:hyperlink>
      <w:r>
        <w:rPr/>
        <w:t>) organizational studies. (Seidl, 2005) The studies have produced reference points on which we can build our reasoning; c) the theory is often criticized to be too abstract for the empirical analysis. In our case the abstract nature of the model is an opportunity, as it allows us to examine the reality we address by the tools proposed by the other disciplines. Other disciplines that play essential role in this work are: General Systems Theory, cybernetics and the theories of European </w:t>
      </w:r>
      <w:r>
        <w:rPr>
          <w:spacing w:val="-2"/>
        </w:rPr>
        <w:t>Integration.</w:t>
      </w:r>
    </w:p>
    <w:p>
      <w:pPr>
        <w:pStyle w:val="BodyText"/>
        <w:spacing w:line="321" w:lineRule="exact"/>
        <w:ind w:left="1503"/>
      </w:pPr>
      <w:r>
        <w:rPr/>
        <w:t>It</w:t>
      </w:r>
      <w:r>
        <w:rPr>
          <w:spacing w:val="13"/>
        </w:rPr>
        <w:t> </w:t>
      </w:r>
      <w:r>
        <w:rPr/>
        <w:t>is</w:t>
      </w:r>
      <w:r>
        <w:rPr>
          <w:spacing w:val="11"/>
        </w:rPr>
        <w:t> </w:t>
      </w:r>
      <w:r>
        <w:rPr/>
        <w:t>hard</w:t>
      </w:r>
      <w:r>
        <w:rPr>
          <w:spacing w:val="10"/>
        </w:rPr>
        <w:t> </w:t>
      </w:r>
      <w:r>
        <w:rPr/>
        <w:t>to</w:t>
      </w:r>
      <w:r>
        <w:rPr>
          <w:spacing w:val="11"/>
        </w:rPr>
        <w:t> </w:t>
      </w:r>
      <w:r>
        <w:rPr/>
        <w:t>label</w:t>
      </w:r>
      <w:r>
        <w:rPr>
          <w:spacing w:val="11"/>
        </w:rPr>
        <w:t> </w:t>
      </w:r>
      <w:r>
        <w:rPr/>
        <w:t>the</w:t>
      </w:r>
      <w:r>
        <w:rPr>
          <w:spacing w:val="13"/>
        </w:rPr>
        <w:t> </w:t>
      </w:r>
      <w:r>
        <w:rPr/>
        <w:t>proposed</w:t>
      </w:r>
      <w:r>
        <w:rPr>
          <w:spacing w:val="15"/>
        </w:rPr>
        <w:t> </w:t>
      </w:r>
      <w:r>
        <w:rPr/>
        <w:t>epistemology,</w:t>
      </w:r>
      <w:r>
        <w:rPr>
          <w:spacing w:val="15"/>
        </w:rPr>
        <w:t> </w:t>
      </w:r>
      <w:r>
        <w:rPr/>
        <w:t>nevertheless</w:t>
      </w:r>
      <w:r>
        <w:rPr>
          <w:spacing w:val="11"/>
        </w:rPr>
        <w:t> </w:t>
      </w:r>
      <w:r>
        <w:rPr/>
        <w:t>we</w:t>
      </w:r>
      <w:r>
        <w:rPr>
          <w:spacing w:val="13"/>
        </w:rPr>
        <w:t> </w:t>
      </w:r>
      <w:r>
        <w:rPr/>
        <w:t>can</w:t>
      </w:r>
      <w:r>
        <w:rPr>
          <w:spacing w:val="14"/>
        </w:rPr>
        <w:t> </w:t>
      </w:r>
      <w:r>
        <w:rPr>
          <w:spacing w:val="-5"/>
        </w:rPr>
        <w:t>say</w:t>
      </w:r>
    </w:p>
    <w:p>
      <w:pPr>
        <w:pStyle w:val="BodyText"/>
        <w:spacing w:before="47"/>
      </w:pPr>
      <w:r>
        <w:rPr/>
        <w:t>that</w:t>
      </w:r>
      <w:r>
        <w:rPr>
          <w:spacing w:val="-6"/>
        </w:rPr>
        <w:t> </w:t>
      </w:r>
      <w:r>
        <w:rPr/>
        <w:t>it</w:t>
      </w:r>
      <w:r>
        <w:rPr>
          <w:spacing w:val="-6"/>
        </w:rPr>
        <w:t> </w:t>
      </w:r>
      <w:r>
        <w:rPr/>
        <w:t>satisfies</w:t>
      </w:r>
      <w:r>
        <w:rPr>
          <w:spacing w:val="-7"/>
        </w:rPr>
        <w:t> </w:t>
      </w:r>
      <w:r>
        <w:rPr/>
        <w:t>the</w:t>
      </w:r>
      <w:r>
        <w:rPr>
          <w:spacing w:val="-6"/>
        </w:rPr>
        <w:t> </w:t>
      </w:r>
      <w:r>
        <w:rPr/>
        <w:t>qualities</w:t>
      </w:r>
      <w:r>
        <w:rPr>
          <w:spacing w:val="-7"/>
        </w:rPr>
        <w:t> </w:t>
      </w:r>
      <w:r>
        <w:rPr/>
        <w:t>of</w:t>
      </w:r>
      <w:r>
        <w:rPr>
          <w:spacing w:val="-7"/>
        </w:rPr>
        <w:t> </w:t>
      </w:r>
      <w:r>
        <w:rPr/>
        <w:t>the</w:t>
      </w:r>
      <w:r>
        <w:rPr>
          <w:spacing w:val="-6"/>
        </w:rPr>
        <w:t> </w:t>
      </w:r>
      <w:r>
        <w:rPr/>
        <w:t>post-</w:t>
      </w:r>
      <w:r>
        <w:rPr>
          <w:spacing w:val="-2"/>
        </w:rPr>
        <w:t>positivism.</w:t>
      </w:r>
    </w:p>
    <w:p>
      <w:pPr>
        <w:pStyle w:val="BodyText"/>
        <w:ind w:left="0"/>
        <w:jc w:val="left"/>
      </w:pPr>
    </w:p>
    <w:p>
      <w:pPr>
        <w:pStyle w:val="BodyText"/>
        <w:ind w:left="0"/>
        <w:jc w:val="left"/>
      </w:pPr>
    </w:p>
    <w:p>
      <w:pPr>
        <w:pStyle w:val="BodyText"/>
        <w:spacing w:before="25"/>
        <w:ind w:left="0"/>
        <w:jc w:val="left"/>
      </w:pPr>
    </w:p>
    <w:p>
      <w:pPr>
        <w:pStyle w:val="Heading4"/>
        <w:ind w:left="979" w:firstLine="0"/>
        <w:jc w:val="both"/>
      </w:pPr>
      <w:bookmarkStart w:name="_bookmark3" w:id="4"/>
      <w:bookmarkEnd w:id="4"/>
      <w:r>
        <w:rPr>
          <w:b w:val="0"/>
        </w:rPr>
      </w:r>
      <w:r>
        <w:rPr/>
        <w:t>The</w:t>
      </w:r>
      <w:r>
        <w:rPr>
          <w:spacing w:val="-13"/>
        </w:rPr>
        <w:t> </w:t>
      </w:r>
      <w:r>
        <w:rPr/>
        <w:t>Methods</w:t>
      </w:r>
      <w:r>
        <w:rPr>
          <w:spacing w:val="-16"/>
        </w:rPr>
        <w:t> </w:t>
      </w:r>
      <w:r>
        <w:rPr>
          <w:spacing w:val="-4"/>
        </w:rPr>
        <w:t>Used</w:t>
      </w:r>
    </w:p>
    <w:p>
      <w:pPr>
        <w:pStyle w:val="BodyText"/>
        <w:spacing w:before="6"/>
        <w:ind w:left="0"/>
        <w:jc w:val="left"/>
        <w:rPr>
          <w:rFonts w:ascii="Georgia"/>
          <w:b/>
          <w:sz w:val="17"/>
        </w:rPr>
      </w:pPr>
      <w:r>
        <w:rPr>
          <w:rFonts w:ascii="Georgia"/>
          <w:b/>
          <w:sz w:val="17"/>
        </w:rPr>
        <mc:AlternateContent>
          <mc:Choice Requires="wps">
            <w:drawing>
              <wp:anchor distT="0" distB="0" distL="0" distR="0" allowOverlap="1" layoutInCell="1" locked="0" behindDoc="1" simplePos="0" relativeHeight="487591424">
                <wp:simplePos x="0" y="0"/>
                <wp:positionH relativeFrom="page">
                  <wp:posOffset>1078864</wp:posOffset>
                </wp:positionH>
                <wp:positionV relativeFrom="paragraph">
                  <wp:posOffset>142205</wp:posOffset>
                </wp:positionV>
                <wp:extent cx="5252085" cy="52069"/>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5252085" cy="52069"/>
                        </a:xfrm>
                        <a:custGeom>
                          <a:avLst/>
                          <a:gdLst/>
                          <a:ahLst/>
                          <a:cxnLst/>
                          <a:rect l="l" t="t" r="r" b="b"/>
                          <a:pathLst>
                            <a:path w="5252085" h="52069">
                              <a:moveTo>
                                <a:pt x="5252085" y="0"/>
                              </a:moveTo>
                              <a:lnTo>
                                <a:pt x="0" y="0"/>
                              </a:lnTo>
                              <a:lnTo>
                                <a:pt x="0" y="52069"/>
                              </a:lnTo>
                              <a:lnTo>
                                <a:pt x="5252085" y="52069"/>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1.197253pt;width:413.55pt;height:4.1pt;mso-position-horizontal-relative:page;mso-position-vertical-relative:paragraph;z-index:-15725056;mso-wrap-distance-left:0;mso-wrap-distance-right:0" id="docshape11" filled="true" fillcolor="#000000" stroked="false">
                <v:fill type="solid"/>
                <w10:wrap type="topAndBottom"/>
              </v:rect>
            </w:pict>
          </mc:Fallback>
        </mc:AlternateContent>
      </w:r>
    </w:p>
    <w:p>
      <w:pPr>
        <w:pStyle w:val="BodyText"/>
        <w:spacing w:before="291"/>
        <w:ind w:left="0"/>
        <w:jc w:val="left"/>
        <w:rPr>
          <w:rFonts w:ascii="Georgia"/>
          <w:b/>
        </w:rPr>
      </w:pPr>
    </w:p>
    <w:p>
      <w:pPr>
        <w:pStyle w:val="BodyText"/>
        <w:spacing w:line="276" w:lineRule="auto"/>
        <w:ind w:right="1915" w:firstLine="720"/>
      </w:pPr>
      <w:r>
        <w:rPr/>
        <w:t>The nature of this research, obliges us to examine theoretical arguments from different perspectives; no single method can test all together: the systemic framework, theoretical application of the integration theories</w:t>
      </w:r>
      <w:r>
        <w:rPr>
          <w:spacing w:val="31"/>
        </w:rPr>
        <w:t> </w:t>
      </w:r>
      <w:r>
        <w:rPr/>
        <w:t>and</w:t>
      </w:r>
      <w:r>
        <w:rPr>
          <w:spacing w:val="36"/>
        </w:rPr>
        <w:t> </w:t>
      </w:r>
      <w:r>
        <w:rPr/>
        <w:t>feasibility</w:t>
      </w:r>
      <w:r>
        <w:rPr>
          <w:spacing w:val="33"/>
        </w:rPr>
        <w:t> </w:t>
      </w:r>
      <w:r>
        <w:rPr/>
        <w:t>of</w:t>
      </w:r>
      <w:r>
        <w:rPr>
          <w:spacing w:val="33"/>
        </w:rPr>
        <w:t> </w:t>
      </w:r>
      <w:r>
        <w:rPr/>
        <w:t>the</w:t>
      </w:r>
      <w:r>
        <w:rPr>
          <w:spacing w:val="35"/>
        </w:rPr>
        <w:t> </w:t>
      </w:r>
      <w:r>
        <w:rPr/>
        <w:t>empirical</w:t>
      </w:r>
      <w:r>
        <w:rPr>
          <w:spacing w:val="35"/>
        </w:rPr>
        <w:t> </w:t>
      </w:r>
      <w:r>
        <w:rPr/>
        <w:t>data.</w:t>
      </w:r>
      <w:r>
        <w:rPr>
          <w:spacing w:val="36"/>
        </w:rPr>
        <w:t> </w:t>
      </w:r>
      <w:r>
        <w:rPr/>
        <w:t>Accordingly,</w:t>
      </w:r>
      <w:r>
        <w:rPr>
          <w:spacing w:val="35"/>
        </w:rPr>
        <w:t> </w:t>
      </w:r>
      <w:r>
        <w:rPr/>
        <w:t>we</w:t>
      </w:r>
      <w:r>
        <w:rPr>
          <w:spacing w:val="35"/>
        </w:rPr>
        <w:t> </w:t>
      </w:r>
      <w:r>
        <w:rPr/>
        <w:t>use</w:t>
      </w:r>
      <w:r>
        <w:rPr>
          <w:spacing w:val="38"/>
        </w:rPr>
        <w:t> </w:t>
      </w:r>
      <w:r>
        <w:rPr>
          <w:spacing w:val="-2"/>
        </w:rPr>
        <w:t>mixed</w:t>
      </w:r>
    </w:p>
    <w:p>
      <w:pPr>
        <w:pStyle w:val="BodyText"/>
        <w:spacing w:after="0" w:line="276" w:lineRule="auto"/>
        <w:sectPr>
          <w:pgSz w:w="12240" w:h="15840"/>
          <w:pgMar w:header="1046" w:footer="0" w:top="1360" w:bottom="280" w:left="720" w:right="360"/>
        </w:sectPr>
      </w:pPr>
    </w:p>
    <w:p>
      <w:pPr>
        <w:pStyle w:val="BodyText"/>
        <w:spacing w:line="276" w:lineRule="auto" w:before="276"/>
        <w:ind w:right="1911"/>
      </w:pPr>
      <w:r>
        <w:rPr/>
        <w:t>methods. The main body of this work is based on qualitative systemic analysis, however secondary statistical data will be used to support the arguments. As we noted above, the research often moves back in time to explain</w:t>
      </w:r>
      <w:r>
        <w:rPr>
          <w:spacing w:val="-2"/>
        </w:rPr>
        <w:t> </w:t>
      </w:r>
      <w:r>
        <w:rPr/>
        <w:t>historical</w:t>
      </w:r>
      <w:r>
        <w:rPr>
          <w:spacing w:val="-6"/>
        </w:rPr>
        <w:t> </w:t>
      </w:r>
      <w:r>
        <w:rPr/>
        <w:t>events;</w:t>
      </w:r>
      <w:r>
        <w:rPr>
          <w:spacing w:val="-2"/>
        </w:rPr>
        <w:t> </w:t>
      </w:r>
      <w:r>
        <w:rPr/>
        <w:t>the</w:t>
      </w:r>
      <w:r>
        <w:rPr>
          <w:spacing w:val="-3"/>
        </w:rPr>
        <w:t> </w:t>
      </w:r>
      <w:r>
        <w:rPr/>
        <w:t>retrospective</w:t>
      </w:r>
      <w:r>
        <w:rPr>
          <w:spacing w:val="-3"/>
        </w:rPr>
        <w:t> </w:t>
      </w:r>
      <w:r>
        <w:rPr/>
        <w:t>inquiry</w:t>
      </w:r>
      <w:r>
        <w:rPr>
          <w:spacing w:val="-3"/>
        </w:rPr>
        <w:t> </w:t>
      </w:r>
      <w:r>
        <w:rPr/>
        <w:t>is</w:t>
      </w:r>
      <w:r>
        <w:rPr>
          <w:spacing w:val="-5"/>
        </w:rPr>
        <w:t> </w:t>
      </w:r>
      <w:r>
        <w:rPr/>
        <w:t>necessary</w:t>
      </w:r>
      <w:r>
        <w:rPr>
          <w:spacing w:val="-3"/>
        </w:rPr>
        <w:t> </w:t>
      </w:r>
      <w:r>
        <w:rPr/>
        <w:t>to</w:t>
      </w:r>
      <w:r>
        <w:rPr>
          <w:spacing w:val="-6"/>
        </w:rPr>
        <w:t> </w:t>
      </w:r>
      <w:r>
        <w:rPr/>
        <w:t>determine the roots of the present day developments. For the case studies we will use qualitative content analysis (mostly for the legal documents). To illustrate the theoretical propositions of the research we propose a fuzzy cognitive mapping model; the model will serve as a summarizing tool for this study.</w:t>
      </w: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spacing w:before="76"/>
        <w:ind w:left="0"/>
        <w:jc w:val="left"/>
      </w:pPr>
    </w:p>
    <w:p>
      <w:pPr>
        <w:pStyle w:val="Heading4"/>
        <w:ind w:left="979" w:firstLine="0"/>
        <w:jc w:val="both"/>
      </w:pPr>
      <w:bookmarkStart w:name="_bookmark4" w:id="5"/>
      <w:bookmarkEnd w:id="5"/>
      <w:r>
        <w:rPr>
          <w:b w:val="0"/>
        </w:rPr>
      </w:r>
      <w:r>
        <w:rPr>
          <w:spacing w:val="-5"/>
        </w:rPr>
        <w:t>Chapter</w:t>
      </w:r>
      <w:r>
        <w:rPr>
          <w:spacing w:val="-6"/>
        </w:rPr>
        <w:t> </w:t>
      </w:r>
      <w:r>
        <w:rPr>
          <w:spacing w:val="-2"/>
        </w:rPr>
        <w:t>Description</w:t>
      </w:r>
    </w:p>
    <w:p>
      <w:pPr>
        <w:pStyle w:val="BodyText"/>
        <w:spacing w:before="51"/>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591936">
                <wp:simplePos x="0" y="0"/>
                <wp:positionH relativeFrom="page">
                  <wp:posOffset>1078864</wp:posOffset>
                </wp:positionH>
                <wp:positionV relativeFrom="paragraph">
                  <wp:posOffset>192265</wp:posOffset>
                </wp:positionV>
                <wp:extent cx="5252085" cy="51435"/>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5252085" cy="51435"/>
                        </a:xfrm>
                        <a:custGeom>
                          <a:avLst/>
                          <a:gdLst/>
                          <a:ahLst/>
                          <a:cxnLst/>
                          <a:rect l="l" t="t" r="r" b="b"/>
                          <a:pathLst>
                            <a:path w="5252085" h="51435">
                              <a:moveTo>
                                <a:pt x="5252085" y="0"/>
                              </a:moveTo>
                              <a:lnTo>
                                <a:pt x="0" y="0"/>
                              </a:lnTo>
                              <a:lnTo>
                                <a:pt x="0" y="51435"/>
                              </a:lnTo>
                              <a:lnTo>
                                <a:pt x="5252085" y="51435"/>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5.139004pt;width:413.55pt;height:4.05pt;mso-position-horizontal-relative:page;mso-position-vertical-relative:paragraph;z-index:-15724544;mso-wrap-distance-left:0;mso-wrap-distance-right:0" id="docshape12"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spacing w:before="6"/>
        <w:ind w:left="0"/>
        <w:jc w:val="left"/>
        <w:rPr>
          <w:rFonts w:ascii="Georgia"/>
          <w:b/>
        </w:rPr>
      </w:pPr>
    </w:p>
    <w:p>
      <w:pPr>
        <w:pStyle w:val="BodyText"/>
        <w:spacing w:line="276" w:lineRule="auto"/>
        <w:ind w:right="1902" w:firstLine="720"/>
      </w:pPr>
      <w:r>
        <w:rPr/>
        <w:t>The classical review of the literature should include works that describe the current</w:t>
      </w:r>
      <w:r>
        <w:rPr>
          <w:spacing w:val="40"/>
        </w:rPr>
        <w:t> </w:t>
      </w:r>
      <w:r>
        <w:rPr/>
        <w:t>developments in the field of study. This was a challenging task for two reasons; a) there is no known systemic approach to European Union studies, b) the systems approaches in general might be an unknown domain for those who focus on the integration problems. The solution we propose is to divide the literature review into two parts: the</w:t>
      </w:r>
      <w:r>
        <w:rPr>
          <w:spacing w:val="40"/>
        </w:rPr>
        <w:t> </w:t>
      </w:r>
      <w:r>
        <w:rPr/>
        <w:t>first part will include some important works from the systems thinking, the second part will present the theoretical approaches of the European </w:t>
      </w:r>
      <w:r>
        <w:rPr>
          <w:spacing w:val="-2"/>
        </w:rPr>
        <w:t>Integration.</w:t>
      </w:r>
    </w:p>
    <w:p>
      <w:pPr>
        <w:pStyle w:val="BodyText"/>
        <w:spacing w:line="276" w:lineRule="auto"/>
        <w:ind w:right="1915" w:firstLine="720"/>
      </w:pPr>
      <w:r>
        <w:rPr/>
        <w:t>We tried to combine the review with critical notes, because the complexity of the research required more than just presenting a list of literature. The aim was to produce a clear theoretical background for the research. The precision, especially in the systems part, was essential for intelligibility of the study; the concepts that are not common in the</w:t>
      </w:r>
      <w:r>
        <w:rPr>
          <w:spacing w:val="40"/>
        </w:rPr>
        <w:t> </w:t>
      </w:r>
      <w:r>
        <w:rPr/>
        <w:t>political science can cause a confusion among the readers.</w:t>
      </w:r>
    </w:p>
    <w:p>
      <w:pPr>
        <w:pStyle w:val="BodyText"/>
        <w:spacing w:after="0" w:line="276" w:lineRule="auto"/>
        <w:sectPr>
          <w:pgSz w:w="12240" w:h="15840"/>
          <w:pgMar w:header="1046" w:footer="0" w:top="1360" w:bottom="280" w:left="720" w:right="360"/>
        </w:sectPr>
      </w:pPr>
    </w:p>
    <w:p>
      <w:pPr>
        <w:pStyle w:val="BodyText"/>
        <w:spacing w:line="273" w:lineRule="auto" w:before="266"/>
        <w:ind w:right="1906" w:firstLine="720"/>
      </w:pPr>
      <w:r>
        <w:rPr/>
        <w:t>The </w:t>
      </w:r>
      <w:r>
        <w:rPr>
          <w:sz w:val="27"/>
        </w:rPr>
        <w:t>first chapter </w:t>
      </w:r>
      <w:r>
        <w:rPr/>
        <w:t>starts with a short historical presentation that shows the roots of the systems thinking. The chapter includes the basic works and ideas generated in General Systems Theory, cybernetics,</w:t>
      </w:r>
      <w:r>
        <w:rPr>
          <w:spacing w:val="40"/>
        </w:rPr>
        <w:t> </w:t>
      </w:r>
      <w:r>
        <w:rPr>
          <w:sz w:val="27"/>
        </w:rPr>
        <w:t>holonics </w:t>
      </w:r>
      <w:r>
        <w:rPr/>
        <w:t>and the social systems theory. The concluding part pays the attention to the theories of political science, which were influenced by the systems approaches. The largest portion of this chapter is dedicated to </w:t>
      </w:r>
      <w:r>
        <w:rPr>
          <w:sz w:val="27"/>
        </w:rPr>
        <w:t>Niclas</w:t>
      </w:r>
      <w:r>
        <w:rPr>
          <w:spacing w:val="-1"/>
          <w:sz w:val="27"/>
        </w:rPr>
        <w:t> </w:t>
      </w:r>
      <w:r>
        <w:rPr>
          <w:sz w:val="27"/>
        </w:rPr>
        <w:t>Luhman </w:t>
      </w:r>
      <w:r>
        <w:rPr/>
        <w:t>and the concept of </w:t>
      </w:r>
      <w:r>
        <w:rPr>
          <w:sz w:val="27"/>
        </w:rPr>
        <w:t>autopoiesis</w:t>
      </w:r>
      <w:r>
        <w:rPr/>
        <w:t>.</w:t>
      </w:r>
    </w:p>
    <w:p>
      <w:pPr>
        <w:spacing w:line="334" w:lineRule="exact" w:before="0"/>
        <w:ind w:left="1700" w:right="0" w:firstLine="0"/>
        <w:jc w:val="both"/>
        <w:rPr>
          <w:sz w:val="26"/>
        </w:rPr>
      </w:pPr>
      <w:r>
        <w:rPr>
          <w:sz w:val="26"/>
        </w:rPr>
        <w:t>The</w:t>
      </w:r>
      <w:r>
        <w:rPr>
          <w:spacing w:val="-2"/>
          <w:sz w:val="26"/>
        </w:rPr>
        <w:t> </w:t>
      </w:r>
      <w:r>
        <w:rPr>
          <w:sz w:val="27"/>
        </w:rPr>
        <w:t>second</w:t>
      </w:r>
      <w:r>
        <w:rPr>
          <w:spacing w:val="-4"/>
          <w:sz w:val="27"/>
        </w:rPr>
        <w:t> </w:t>
      </w:r>
      <w:r>
        <w:rPr>
          <w:sz w:val="27"/>
        </w:rPr>
        <w:t>chapter</w:t>
      </w:r>
      <w:r>
        <w:rPr>
          <w:spacing w:val="33"/>
          <w:sz w:val="27"/>
        </w:rPr>
        <w:t> </w:t>
      </w:r>
      <w:r>
        <w:rPr>
          <w:sz w:val="26"/>
        </w:rPr>
        <w:t>includes</w:t>
      </w:r>
      <w:r>
        <w:rPr>
          <w:spacing w:val="65"/>
          <w:sz w:val="26"/>
        </w:rPr>
        <w:t>  </w:t>
      </w:r>
      <w:r>
        <w:rPr>
          <w:sz w:val="26"/>
        </w:rPr>
        <w:t>all</w:t>
      </w:r>
      <w:r>
        <w:rPr>
          <w:spacing w:val="65"/>
          <w:sz w:val="26"/>
        </w:rPr>
        <w:t>  </w:t>
      </w:r>
      <w:r>
        <w:rPr>
          <w:sz w:val="26"/>
        </w:rPr>
        <w:t>major</w:t>
      </w:r>
      <w:r>
        <w:rPr>
          <w:spacing w:val="67"/>
          <w:sz w:val="26"/>
        </w:rPr>
        <w:t>  </w:t>
      </w:r>
      <w:r>
        <w:rPr>
          <w:sz w:val="26"/>
        </w:rPr>
        <w:t>theories</w:t>
      </w:r>
      <w:r>
        <w:rPr>
          <w:spacing w:val="65"/>
          <w:sz w:val="26"/>
        </w:rPr>
        <w:t>  </w:t>
      </w:r>
      <w:r>
        <w:rPr>
          <w:sz w:val="26"/>
        </w:rPr>
        <w:t>of</w:t>
      </w:r>
      <w:r>
        <w:rPr>
          <w:spacing w:val="66"/>
          <w:sz w:val="26"/>
        </w:rPr>
        <w:t>  </w:t>
      </w:r>
      <w:r>
        <w:rPr>
          <w:spacing w:val="-2"/>
          <w:sz w:val="26"/>
        </w:rPr>
        <w:t>European</w:t>
      </w:r>
    </w:p>
    <w:p>
      <w:pPr>
        <w:pStyle w:val="BodyText"/>
        <w:spacing w:line="276" w:lineRule="auto" w:before="48"/>
        <w:ind w:right="1917"/>
      </w:pPr>
      <w:r>
        <w:rPr/>
        <w:t>Integration. We try to indicate a contrast between the need based approaches, represented by the functionalist schools and an interest based turn, taken by the intergovernmentalists. The chapter examines constructivism, governance theories and institutionalisms.</w:t>
      </w:r>
    </w:p>
    <w:p>
      <w:pPr>
        <w:pStyle w:val="BodyText"/>
        <w:spacing w:line="276" w:lineRule="auto"/>
        <w:ind w:right="1920" w:firstLine="720"/>
      </w:pPr>
      <w:r>
        <w:rPr/>
        <w:t>The </w:t>
      </w:r>
      <w:r>
        <w:rPr>
          <w:sz w:val="27"/>
        </w:rPr>
        <w:t>third chapter </w:t>
      </w:r>
      <w:r>
        <w:rPr/>
        <w:t>is divided into two conceptual parts; the first part gives the concise definitions of the concepts that will be utilized in the subsequent chapters; the second part shows the similarities and differences between the apolitical and political organizations.</w:t>
      </w:r>
    </w:p>
    <w:p>
      <w:pPr>
        <w:pStyle w:val="BodyText"/>
        <w:spacing w:line="276" w:lineRule="auto"/>
        <w:ind w:right="1907" w:firstLine="720"/>
      </w:pPr>
      <w:r>
        <w:rPr/>
        <w:t>The</w:t>
      </w:r>
      <w:r>
        <w:rPr>
          <w:spacing w:val="-4"/>
        </w:rPr>
        <w:t> </w:t>
      </w:r>
      <w:r>
        <w:rPr>
          <w:sz w:val="27"/>
        </w:rPr>
        <w:t>fourth</w:t>
      </w:r>
      <w:r>
        <w:rPr>
          <w:spacing w:val="-8"/>
          <w:sz w:val="27"/>
        </w:rPr>
        <w:t> </w:t>
      </w:r>
      <w:r>
        <w:rPr>
          <w:sz w:val="27"/>
        </w:rPr>
        <w:t>chapter,</w:t>
      </w:r>
      <w:r>
        <w:rPr>
          <w:spacing w:val="-9"/>
          <w:sz w:val="27"/>
        </w:rPr>
        <w:t> </w:t>
      </w:r>
      <w:r>
        <w:rPr/>
        <w:t>explains</w:t>
      </w:r>
      <w:r>
        <w:rPr>
          <w:spacing w:val="-6"/>
        </w:rPr>
        <w:t> </w:t>
      </w:r>
      <w:r>
        <w:rPr/>
        <w:t>the</w:t>
      </w:r>
      <w:r>
        <w:rPr>
          <w:spacing w:val="-5"/>
        </w:rPr>
        <w:t> </w:t>
      </w:r>
      <w:r>
        <w:rPr/>
        <w:t>purpose</w:t>
      </w:r>
      <w:r>
        <w:rPr>
          <w:spacing w:val="-5"/>
        </w:rPr>
        <w:t> </w:t>
      </w:r>
      <w:r>
        <w:rPr/>
        <w:t>of</w:t>
      </w:r>
      <w:r>
        <w:rPr>
          <w:spacing w:val="-5"/>
        </w:rPr>
        <w:t> </w:t>
      </w:r>
      <w:r>
        <w:rPr/>
        <w:t>the</w:t>
      </w:r>
      <w:r>
        <w:rPr>
          <w:spacing w:val="-5"/>
        </w:rPr>
        <w:t> </w:t>
      </w:r>
      <w:r>
        <w:rPr/>
        <w:t>European Union.</w:t>
      </w:r>
      <w:r>
        <w:rPr>
          <w:spacing w:val="-7"/>
        </w:rPr>
        <w:t> </w:t>
      </w:r>
      <w:r>
        <w:rPr/>
        <w:t>We analyze the ideological roots of the organization. By tackling the problems of the democratic deficit and institutional accountability, we attempt to determine the politicization level of the EU.</w:t>
      </w:r>
    </w:p>
    <w:p>
      <w:pPr>
        <w:pStyle w:val="BodyText"/>
        <w:spacing w:line="276" w:lineRule="auto"/>
        <w:ind w:right="1906" w:firstLine="720"/>
      </w:pPr>
      <w:r>
        <w:rPr/>
        <w:t>The </w:t>
      </w:r>
      <w:r>
        <w:rPr>
          <w:sz w:val="27"/>
        </w:rPr>
        <w:t>fifth chapter</w:t>
      </w:r>
      <w:r>
        <w:rPr>
          <w:spacing w:val="40"/>
          <w:sz w:val="27"/>
        </w:rPr>
        <w:t> </w:t>
      </w:r>
      <w:r>
        <w:rPr/>
        <w:t>is a concluding chapter, therefore gathers all the arguments of the study.</w:t>
      </w:r>
      <w:r>
        <w:rPr>
          <w:spacing w:val="-1"/>
        </w:rPr>
        <w:t> </w:t>
      </w:r>
      <w:r>
        <w:rPr/>
        <w:t>We show how the system of the European Union is enacted via the communications among the subsystems. The chapter investigates</w:t>
      </w:r>
      <w:r>
        <w:rPr>
          <w:spacing w:val="-3"/>
        </w:rPr>
        <w:t> </w:t>
      </w:r>
      <w:r>
        <w:rPr/>
        <w:t>the</w:t>
      </w:r>
      <w:r>
        <w:rPr>
          <w:spacing w:val="-3"/>
        </w:rPr>
        <w:t> </w:t>
      </w:r>
      <w:r>
        <w:rPr/>
        <w:t>functional</w:t>
      </w:r>
      <w:r>
        <w:rPr>
          <w:spacing w:val="-5"/>
        </w:rPr>
        <w:t> </w:t>
      </w:r>
      <w:r>
        <w:rPr/>
        <w:t>roles</w:t>
      </w:r>
      <w:r>
        <w:rPr>
          <w:spacing w:val="-5"/>
        </w:rPr>
        <w:t> </w:t>
      </w:r>
      <w:r>
        <w:rPr/>
        <w:t>of</w:t>
      </w:r>
      <w:r>
        <w:rPr>
          <w:spacing w:val="-4"/>
        </w:rPr>
        <w:t> </w:t>
      </w:r>
      <w:r>
        <w:rPr/>
        <w:t>the</w:t>
      </w:r>
      <w:r>
        <w:rPr>
          <w:spacing w:val="-3"/>
        </w:rPr>
        <w:t> </w:t>
      </w:r>
      <w:r>
        <w:rPr/>
        <w:t>political,</w:t>
      </w:r>
      <w:r>
        <w:rPr>
          <w:spacing w:val="-2"/>
        </w:rPr>
        <w:t> </w:t>
      </w:r>
      <w:r>
        <w:rPr/>
        <w:t>legal</w:t>
      </w:r>
      <w:r>
        <w:rPr>
          <w:spacing w:val="-5"/>
        </w:rPr>
        <w:t> </w:t>
      </w:r>
      <w:r>
        <w:rPr/>
        <w:t>and</w:t>
      </w:r>
      <w:r>
        <w:rPr>
          <w:spacing w:val="-6"/>
        </w:rPr>
        <w:t> </w:t>
      </w:r>
      <w:r>
        <w:rPr/>
        <w:t>economic</w:t>
      </w:r>
      <w:r>
        <w:rPr>
          <w:spacing w:val="-4"/>
        </w:rPr>
        <w:t> </w:t>
      </w:r>
      <w:r>
        <w:rPr/>
        <w:t>systems.</w:t>
      </w:r>
    </w:p>
    <w:p>
      <w:pPr>
        <w:pStyle w:val="BodyText"/>
        <w:spacing w:after="0" w:line="276" w:lineRule="auto"/>
        <w:sectPr>
          <w:pgSz w:w="12240" w:h="15840"/>
          <w:pgMar w:header="1046" w:footer="0" w:top="1360" w:bottom="280" w:left="720" w:right="360"/>
        </w:sectPr>
      </w:pPr>
    </w:p>
    <w:p>
      <w:pPr>
        <w:pStyle w:val="Heading1"/>
        <w:tabs>
          <w:tab w:pos="1697" w:val="left" w:leader="none"/>
        </w:tabs>
        <w:spacing w:before="696"/>
        <w:ind w:right="2108"/>
        <w:jc w:val="center"/>
        <w:rPr>
          <w:position w:val="2"/>
        </w:rPr>
      </w:pPr>
      <w:r>
        <w:rPr>
          <w:b w:val="0"/>
        </w:rPr>
        <w:drawing>
          <wp:inline distT="0" distB="0" distL="0" distR="0">
            <wp:extent cx="846118" cy="728650"/>
            <wp:effectExtent l="0" t="0" r="0" b="0"/>
            <wp:docPr id="14" name="Image 14"/>
            <wp:cNvGraphicFramePr>
              <a:graphicFrameLocks/>
            </wp:cNvGraphicFramePr>
            <a:graphic>
              <a:graphicData uri="http://schemas.openxmlformats.org/drawingml/2006/picture">
                <pic:pic>
                  <pic:nvPicPr>
                    <pic:cNvPr id="14" name="Image 14"/>
                    <pic:cNvPicPr/>
                  </pic:nvPicPr>
                  <pic:blipFill>
                    <a:blip r:embed="rId19" cstate="print"/>
                    <a:stretch>
                      <a:fillRect/>
                    </a:stretch>
                  </pic:blipFill>
                  <pic:spPr>
                    <a:xfrm>
                      <a:off x="0" y="0"/>
                      <a:ext cx="846118" cy="728650"/>
                    </a:xfrm>
                    <a:prstGeom prst="rect">
                      <a:avLst/>
                    </a:prstGeom>
                  </pic:spPr>
                </pic:pic>
              </a:graphicData>
            </a:graphic>
          </wp:inline>
        </w:drawing>
      </w:r>
      <w:r>
        <w:rPr>
          <w:b w:val="0"/>
        </w:rPr>
      </w:r>
      <w:r>
        <w:rPr>
          <w:rFonts w:ascii="Times New Roman"/>
          <w:b w:val="0"/>
          <w:position w:val="2"/>
          <w:sz w:val="20"/>
        </w:rPr>
        <w:tab/>
      </w:r>
      <w:bookmarkStart w:name="_bookmark5" w:id="6"/>
      <w:bookmarkEnd w:id="6"/>
      <w:r>
        <w:rPr>
          <w:rFonts w:ascii="Times New Roman"/>
          <w:b w:val="0"/>
          <w:position w:val="2"/>
          <w:sz w:val="20"/>
        </w:rPr>
      </w:r>
      <w:r>
        <w:rPr>
          <w:position w:val="2"/>
        </w:rPr>
        <w:t>CHAPTER</w:t>
      </w:r>
      <w:r>
        <w:rPr>
          <w:spacing w:val="-1"/>
          <w:position w:val="2"/>
        </w:rPr>
        <w:t> </w:t>
      </w:r>
      <w:r>
        <w:rPr>
          <w:spacing w:val="-5"/>
          <w:position w:val="2"/>
        </w:rPr>
        <w:t>ONE</w:t>
      </w:r>
    </w:p>
    <w:p>
      <w:pPr>
        <w:pStyle w:val="BodyText"/>
        <w:spacing w:before="77"/>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592448">
                <wp:simplePos x="0" y="0"/>
                <wp:positionH relativeFrom="page">
                  <wp:posOffset>1078864</wp:posOffset>
                </wp:positionH>
                <wp:positionV relativeFrom="paragraph">
                  <wp:posOffset>208974</wp:posOffset>
                </wp:positionV>
                <wp:extent cx="5252085" cy="76200"/>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5252085" cy="76200"/>
                        </a:xfrm>
                        <a:custGeom>
                          <a:avLst/>
                          <a:gdLst/>
                          <a:ahLst/>
                          <a:cxnLst/>
                          <a:rect l="l" t="t" r="r" b="b"/>
                          <a:pathLst>
                            <a:path w="5252085" h="76200">
                              <a:moveTo>
                                <a:pt x="5252085" y="0"/>
                              </a:moveTo>
                              <a:lnTo>
                                <a:pt x="0" y="0"/>
                              </a:lnTo>
                              <a:lnTo>
                                <a:pt x="0" y="76200"/>
                              </a:lnTo>
                              <a:lnTo>
                                <a:pt x="5252085" y="7620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6.454691pt;width:413.55pt;height:6pt;mso-position-horizontal-relative:page;mso-position-vertical-relative:paragraph;z-index:-15724032;mso-wrap-distance-left:0;mso-wrap-distance-right:0" id="docshape13" filled="true" fillcolor="#000000" stroked="false">
                <v:fill type="solid"/>
                <w10:wrap type="topAndBottom"/>
              </v:rect>
            </w:pict>
          </mc:Fallback>
        </mc:AlternateContent>
      </w:r>
    </w:p>
    <w:p>
      <w:pPr>
        <w:spacing w:before="112"/>
        <w:ind w:left="979" w:right="0" w:firstLine="0"/>
        <w:jc w:val="left"/>
        <w:rPr>
          <w:rFonts w:ascii="Georgia"/>
          <w:sz w:val="24"/>
        </w:rPr>
      </w:pPr>
      <w:r>
        <w:rPr>
          <w:rFonts w:ascii="Georgia"/>
          <w:sz w:val="24"/>
        </w:rPr>
        <w:t>System</w:t>
      </w:r>
      <w:r>
        <w:rPr>
          <w:rFonts w:ascii="Georgia"/>
          <w:spacing w:val="26"/>
          <w:sz w:val="24"/>
        </w:rPr>
        <w:t> </w:t>
      </w:r>
      <w:r>
        <w:rPr>
          <w:rFonts w:ascii="Georgia"/>
          <w:spacing w:val="-2"/>
          <w:sz w:val="24"/>
        </w:rPr>
        <w:t>Theories:</w:t>
      </w:r>
    </w:p>
    <w:p>
      <w:pPr>
        <w:spacing w:line="271" w:lineRule="auto" w:before="40"/>
        <w:ind w:left="979" w:right="1909" w:firstLine="0"/>
        <w:jc w:val="left"/>
        <w:rPr>
          <w:rFonts w:ascii="Georgia"/>
          <w:b/>
          <w:sz w:val="24"/>
        </w:rPr>
      </w:pPr>
      <w:r>
        <w:rPr>
          <w:rFonts w:ascii="Georgia"/>
          <w:b/>
          <w:spacing w:val="-4"/>
          <w:sz w:val="24"/>
        </w:rPr>
        <w:t>General</w:t>
      </w:r>
      <w:r>
        <w:rPr>
          <w:rFonts w:ascii="Georgia"/>
          <w:b/>
          <w:spacing w:val="2"/>
          <w:sz w:val="24"/>
        </w:rPr>
        <w:t> </w:t>
      </w:r>
      <w:r>
        <w:rPr>
          <w:rFonts w:ascii="Georgia"/>
          <w:b/>
          <w:spacing w:val="-4"/>
          <w:sz w:val="24"/>
        </w:rPr>
        <w:t>Systems</w:t>
      </w:r>
      <w:r>
        <w:rPr>
          <w:rFonts w:ascii="Georgia"/>
          <w:b/>
          <w:spacing w:val="3"/>
          <w:sz w:val="24"/>
        </w:rPr>
        <w:t> </w:t>
      </w:r>
      <w:r>
        <w:rPr>
          <w:rFonts w:ascii="Georgia"/>
          <w:b/>
          <w:spacing w:val="-4"/>
          <w:sz w:val="24"/>
        </w:rPr>
        <w:t>Theory,</w:t>
      </w:r>
      <w:r>
        <w:rPr>
          <w:rFonts w:ascii="Georgia"/>
          <w:b/>
          <w:spacing w:val="5"/>
          <w:sz w:val="24"/>
        </w:rPr>
        <w:t> </w:t>
      </w:r>
      <w:r>
        <w:rPr>
          <w:rFonts w:ascii="Georgia"/>
          <w:b/>
          <w:spacing w:val="-4"/>
          <w:sz w:val="24"/>
        </w:rPr>
        <w:t>Cybernetics,</w:t>
      </w:r>
      <w:r>
        <w:rPr>
          <w:rFonts w:ascii="Georgia"/>
          <w:b/>
          <w:spacing w:val="4"/>
          <w:sz w:val="24"/>
        </w:rPr>
        <w:t> </w:t>
      </w:r>
      <w:r>
        <w:rPr>
          <w:rFonts w:ascii="Georgia"/>
          <w:b/>
          <w:spacing w:val="-4"/>
          <w:sz w:val="24"/>
        </w:rPr>
        <w:t>Holonics,</w:t>
      </w:r>
      <w:r>
        <w:rPr>
          <w:rFonts w:ascii="Georgia"/>
          <w:b/>
          <w:spacing w:val="5"/>
          <w:sz w:val="24"/>
        </w:rPr>
        <w:t> </w:t>
      </w:r>
      <w:r>
        <w:rPr>
          <w:rFonts w:ascii="Georgia"/>
          <w:b/>
          <w:spacing w:val="-4"/>
          <w:sz w:val="24"/>
        </w:rPr>
        <w:t>Autopoisis,</w:t>
      </w:r>
      <w:r>
        <w:rPr>
          <w:rFonts w:ascii="Georgia"/>
          <w:b/>
          <w:spacing w:val="5"/>
          <w:sz w:val="24"/>
        </w:rPr>
        <w:t> </w:t>
      </w:r>
      <w:r>
        <w:rPr>
          <w:rFonts w:ascii="Georgia"/>
          <w:b/>
          <w:spacing w:val="-4"/>
          <w:sz w:val="24"/>
        </w:rPr>
        <w:t>Systems </w:t>
      </w:r>
      <w:r>
        <w:rPr>
          <w:rFonts w:ascii="Georgia"/>
          <w:b/>
          <w:sz w:val="24"/>
        </w:rPr>
        <w:t>approaches</w:t>
      </w:r>
      <w:r>
        <w:rPr>
          <w:rFonts w:ascii="Georgia"/>
          <w:b/>
          <w:spacing w:val="-13"/>
          <w:sz w:val="24"/>
        </w:rPr>
        <w:t> </w:t>
      </w:r>
      <w:r>
        <w:rPr>
          <w:rFonts w:ascii="Georgia"/>
          <w:b/>
          <w:sz w:val="24"/>
        </w:rPr>
        <w:t>in</w:t>
      </w:r>
      <w:r>
        <w:rPr>
          <w:rFonts w:ascii="Georgia"/>
          <w:b/>
          <w:spacing w:val="-13"/>
          <w:sz w:val="24"/>
        </w:rPr>
        <w:t> </w:t>
      </w:r>
      <w:r>
        <w:rPr>
          <w:rFonts w:ascii="Georgia"/>
          <w:b/>
          <w:sz w:val="24"/>
        </w:rPr>
        <w:t>political</w:t>
      </w:r>
      <w:r>
        <w:rPr>
          <w:rFonts w:ascii="Georgia"/>
          <w:b/>
          <w:spacing w:val="-12"/>
          <w:sz w:val="24"/>
        </w:rPr>
        <w:t> </w:t>
      </w:r>
      <w:r>
        <w:rPr>
          <w:rFonts w:ascii="Georgia"/>
          <w:b/>
          <w:sz w:val="24"/>
        </w:rPr>
        <w:t>science.</w:t>
      </w:r>
    </w:p>
    <w:p>
      <w:pPr>
        <w:pStyle w:val="BodyText"/>
        <w:ind w:left="0"/>
        <w:jc w:val="left"/>
        <w:rPr>
          <w:rFonts w:ascii="Georgia"/>
          <w:b/>
          <w:sz w:val="24"/>
        </w:rPr>
      </w:pPr>
    </w:p>
    <w:p>
      <w:pPr>
        <w:pStyle w:val="BodyText"/>
        <w:ind w:left="0"/>
        <w:jc w:val="left"/>
        <w:rPr>
          <w:rFonts w:ascii="Georgia"/>
          <w:b/>
          <w:sz w:val="24"/>
        </w:rPr>
      </w:pPr>
    </w:p>
    <w:p>
      <w:pPr>
        <w:pStyle w:val="BodyText"/>
        <w:ind w:left="0"/>
        <w:jc w:val="left"/>
        <w:rPr>
          <w:rFonts w:ascii="Georgia"/>
          <w:b/>
          <w:sz w:val="24"/>
        </w:rPr>
      </w:pPr>
    </w:p>
    <w:p>
      <w:pPr>
        <w:pStyle w:val="BodyText"/>
        <w:ind w:left="0"/>
        <w:jc w:val="left"/>
        <w:rPr>
          <w:rFonts w:ascii="Georgia"/>
          <w:b/>
          <w:sz w:val="24"/>
        </w:rPr>
      </w:pPr>
    </w:p>
    <w:p>
      <w:pPr>
        <w:pStyle w:val="BodyText"/>
        <w:ind w:left="0"/>
        <w:jc w:val="left"/>
        <w:rPr>
          <w:rFonts w:ascii="Georgia"/>
          <w:b/>
          <w:sz w:val="24"/>
        </w:rPr>
      </w:pPr>
    </w:p>
    <w:p>
      <w:pPr>
        <w:pStyle w:val="BodyText"/>
        <w:ind w:left="0"/>
        <w:jc w:val="left"/>
        <w:rPr>
          <w:rFonts w:ascii="Georgia"/>
          <w:b/>
          <w:sz w:val="24"/>
        </w:rPr>
      </w:pPr>
    </w:p>
    <w:p>
      <w:pPr>
        <w:pStyle w:val="BodyText"/>
        <w:ind w:left="0"/>
        <w:jc w:val="left"/>
        <w:rPr>
          <w:rFonts w:ascii="Georgia"/>
          <w:b/>
          <w:sz w:val="24"/>
        </w:rPr>
      </w:pPr>
    </w:p>
    <w:p>
      <w:pPr>
        <w:pStyle w:val="BodyText"/>
        <w:ind w:left="0"/>
        <w:jc w:val="left"/>
        <w:rPr>
          <w:rFonts w:ascii="Georgia"/>
          <w:b/>
          <w:sz w:val="24"/>
        </w:rPr>
      </w:pPr>
    </w:p>
    <w:p>
      <w:pPr>
        <w:pStyle w:val="BodyText"/>
        <w:spacing w:before="77"/>
        <w:ind w:left="0"/>
        <w:jc w:val="left"/>
        <w:rPr>
          <w:rFonts w:ascii="Georgia"/>
          <w:b/>
          <w:sz w:val="24"/>
        </w:rPr>
      </w:pPr>
    </w:p>
    <w:p>
      <w:pPr>
        <w:pStyle w:val="Heading4"/>
        <w:numPr>
          <w:ilvl w:val="1"/>
          <w:numId w:val="3"/>
        </w:numPr>
        <w:tabs>
          <w:tab w:pos="1695" w:val="left" w:leader="none"/>
        </w:tabs>
        <w:spacing w:line="240" w:lineRule="auto" w:before="0" w:after="0"/>
        <w:ind w:left="1695" w:right="0" w:hanging="716"/>
        <w:jc w:val="left"/>
      </w:pPr>
      <w:bookmarkStart w:name="_bookmark6" w:id="7"/>
      <w:bookmarkEnd w:id="7"/>
      <w:r>
        <w:rPr>
          <w:b w:val="0"/>
        </w:rPr>
      </w:r>
      <w:r>
        <w:rPr>
          <w:spacing w:val="-9"/>
        </w:rPr>
        <w:t>General</w:t>
      </w:r>
      <w:r>
        <w:rPr>
          <w:spacing w:val="-10"/>
        </w:rPr>
        <w:t> </w:t>
      </w:r>
      <w:r>
        <w:rPr>
          <w:spacing w:val="-2"/>
        </w:rPr>
        <w:t>Overview</w:t>
      </w:r>
    </w:p>
    <w:p>
      <w:pPr>
        <w:pStyle w:val="BodyText"/>
        <w:spacing w:before="50"/>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592960">
                <wp:simplePos x="0" y="0"/>
                <wp:positionH relativeFrom="page">
                  <wp:posOffset>1078864</wp:posOffset>
                </wp:positionH>
                <wp:positionV relativeFrom="paragraph">
                  <wp:posOffset>191872</wp:posOffset>
                </wp:positionV>
                <wp:extent cx="5252085" cy="52069"/>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5.108086pt;width:413.55pt;height:4.1pt;mso-position-horizontal-relative:page;mso-position-vertical-relative:paragraph;z-index:-15723520;mso-wrap-distance-left:0;mso-wrap-distance-right:0" id="docshape14" filled="true" fillcolor="#000000" stroked="false">
                <v:fill type="solid"/>
                <w10:wrap type="topAndBottom"/>
              </v:rect>
            </w:pict>
          </mc:Fallback>
        </mc:AlternateContent>
      </w:r>
    </w:p>
    <w:p>
      <w:pPr>
        <w:pStyle w:val="BodyText"/>
        <w:spacing w:before="208"/>
        <w:ind w:left="0"/>
        <w:jc w:val="left"/>
        <w:rPr>
          <w:rFonts w:ascii="Georgia"/>
          <w:b/>
        </w:rPr>
      </w:pPr>
    </w:p>
    <w:p>
      <w:pPr>
        <w:pStyle w:val="BodyText"/>
        <w:spacing w:line="276" w:lineRule="auto"/>
        <w:ind w:right="1921" w:firstLine="720"/>
      </w:pPr>
      <w:r>
        <w:rPr/>
        <w:t>The ‘systems part’ of the review has a double purpose. (1) Our aim is to</w:t>
      </w:r>
      <w:r>
        <w:rPr>
          <w:spacing w:val="16"/>
        </w:rPr>
        <w:t> </w:t>
      </w:r>
      <w:r>
        <w:rPr/>
        <w:t>present</w:t>
      </w:r>
      <w:r>
        <w:rPr>
          <w:spacing w:val="20"/>
        </w:rPr>
        <w:t> </w:t>
      </w:r>
      <w:r>
        <w:rPr/>
        <w:t>the</w:t>
      </w:r>
      <w:r>
        <w:rPr>
          <w:spacing w:val="19"/>
        </w:rPr>
        <w:t> </w:t>
      </w:r>
      <w:r>
        <w:rPr/>
        <w:t>ideas</w:t>
      </w:r>
      <w:r>
        <w:rPr>
          <w:spacing w:val="18"/>
        </w:rPr>
        <w:t> </w:t>
      </w:r>
      <w:r>
        <w:rPr/>
        <w:t>that</w:t>
      </w:r>
      <w:r>
        <w:rPr>
          <w:spacing w:val="25"/>
        </w:rPr>
        <w:t> </w:t>
      </w:r>
      <w:r>
        <w:rPr/>
        <w:t>were</w:t>
      </w:r>
      <w:r>
        <w:rPr>
          <w:spacing w:val="20"/>
        </w:rPr>
        <w:t> </w:t>
      </w:r>
      <w:r>
        <w:rPr/>
        <w:t>crucial</w:t>
      </w:r>
      <w:r>
        <w:rPr>
          <w:spacing w:val="16"/>
        </w:rPr>
        <w:t> </w:t>
      </w:r>
      <w:r>
        <w:rPr/>
        <w:t>for</w:t>
      </w:r>
      <w:r>
        <w:rPr>
          <w:spacing w:val="21"/>
        </w:rPr>
        <w:t> </w:t>
      </w:r>
      <w:r>
        <w:rPr/>
        <w:t>developing</w:t>
      </w:r>
      <w:r>
        <w:rPr>
          <w:spacing w:val="20"/>
        </w:rPr>
        <w:t> </w:t>
      </w:r>
      <w:r>
        <w:rPr/>
        <w:t>the</w:t>
      </w:r>
      <w:r>
        <w:rPr>
          <w:spacing w:val="20"/>
        </w:rPr>
        <w:t> </w:t>
      </w:r>
      <w:r>
        <w:rPr/>
        <w:t>systems</w:t>
      </w:r>
      <w:r>
        <w:rPr>
          <w:spacing w:val="17"/>
        </w:rPr>
        <w:t> </w:t>
      </w:r>
      <w:r>
        <w:rPr>
          <w:spacing w:val="-2"/>
        </w:rPr>
        <w:t>theories,</w:t>
      </w:r>
    </w:p>
    <w:p>
      <w:pPr>
        <w:pStyle w:val="BodyText"/>
        <w:spacing w:line="276" w:lineRule="auto"/>
        <w:ind w:right="1926"/>
      </w:pPr>
      <w:r>
        <w:rPr/>
        <w:t>(2) by doing so, we try to select those works that are the most relevant for our study.</w:t>
      </w:r>
    </w:p>
    <w:p>
      <w:pPr>
        <w:pStyle w:val="BodyText"/>
        <w:spacing w:line="276" w:lineRule="auto"/>
        <w:ind w:right="1909" w:firstLine="720"/>
      </w:pPr>
      <w:r>
        <w:rPr/>
        <w:t>Fulfilling this task is not the simplest one. We acknowledge that, modern systems sciences, are far too complex to be reviewed in a single work. As we have to stay in a domain of the political science, our selection will focus on those works that were utilized by the political scientists (or can be utilized in the future). This condition entails that the readers might notice the absence of some important systemic approaches developed in psychology, physics, biology, linguistics and chemistry.</w:t>
      </w:r>
    </w:p>
    <w:p>
      <w:pPr>
        <w:spacing w:line="271" w:lineRule="auto" w:before="0"/>
        <w:ind w:left="979" w:right="1904" w:firstLine="720"/>
        <w:jc w:val="both"/>
        <w:rPr>
          <w:sz w:val="26"/>
        </w:rPr>
      </w:pPr>
      <w:r>
        <w:rPr>
          <w:sz w:val="26"/>
        </w:rPr>
        <w:t>We start the review with the </w:t>
      </w:r>
      <w:r>
        <w:rPr>
          <w:sz w:val="27"/>
        </w:rPr>
        <w:t>General Systems Theory </w:t>
      </w:r>
      <w:r>
        <w:rPr>
          <w:sz w:val="26"/>
        </w:rPr>
        <w:t>(GST) (1.2). This section will cover basic ideas advanced by the founding father of the systems</w:t>
      </w:r>
      <w:r>
        <w:rPr>
          <w:spacing w:val="33"/>
          <w:sz w:val="26"/>
        </w:rPr>
        <w:t> </w:t>
      </w:r>
      <w:r>
        <w:rPr>
          <w:sz w:val="26"/>
        </w:rPr>
        <w:t>movement</w:t>
      </w:r>
      <w:r>
        <w:rPr>
          <w:spacing w:val="38"/>
          <w:sz w:val="26"/>
        </w:rPr>
        <w:t> </w:t>
      </w:r>
      <w:r>
        <w:rPr>
          <w:sz w:val="27"/>
        </w:rPr>
        <w:t>Karl</w:t>
      </w:r>
      <w:r>
        <w:rPr>
          <w:spacing w:val="29"/>
          <w:sz w:val="27"/>
        </w:rPr>
        <w:t> </w:t>
      </w:r>
      <w:r>
        <w:rPr>
          <w:sz w:val="27"/>
        </w:rPr>
        <w:t>Ludwig</w:t>
      </w:r>
      <w:r>
        <w:rPr>
          <w:spacing w:val="32"/>
          <w:sz w:val="27"/>
        </w:rPr>
        <w:t> </w:t>
      </w:r>
      <w:r>
        <w:rPr>
          <w:sz w:val="27"/>
        </w:rPr>
        <w:t>von</w:t>
      </w:r>
      <w:r>
        <w:rPr>
          <w:spacing w:val="33"/>
          <w:sz w:val="27"/>
        </w:rPr>
        <w:t> </w:t>
      </w:r>
      <w:r>
        <w:rPr>
          <w:sz w:val="27"/>
        </w:rPr>
        <w:t>Bertalanffy</w:t>
      </w:r>
      <w:r>
        <w:rPr>
          <w:sz w:val="26"/>
        </w:rPr>
        <w:t>.</w:t>
      </w:r>
      <w:r>
        <w:rPr>
          <w:spacing w:val="36"/>
          <w:sz w:val="26"/>
        </w:rPr>
        <w:t> </w:t>
      </w:r>
      <w:r>
        <w:rPr>
          <w:sz w:val="26"/>
        </w:rPr>
        <w:t>GST</w:t>
      </w:r>
      <w:r>
        <w:rPr>
          <w:spacing w:val="36"/>
          <w:sz w:val="26"/>
        </w:rPr>
        <w:t> </w:t>
      </w:r>
      <w:r>
        <w:rPr>
          <w:sz w:val="26"/>
        </w:rPr>
        <w:t>was</w:t>
      </w:r>
      <w:r>
        <w:rPr>
          <w:spacing w:val="33"/>
          <w:sz w:val="26"/>
        </w:rPr>
        <w:t> </w:t>
      </w:r>
      <w:r>
        <w:rPr>
          <w:sz w:val="26"/>
        </w:rPr>
        <w:t>a</w:t>
      </w:r>
      <w:r>
        <w:rPr>
          <w:spacing w:val="35"/>
          <w:sz w:val="26"/>
        </w:rPr>
        <w:t> </w:t>
      </w:r>
      <w:r>
        <w:rPr>
          <w:sz w:val="26"/>
        </w:rPr>
        <w:t>crucial</w:t>
      </w:r>
      <w:r>
        <w:rPr>
          <w:spacing w:val="32"/>
          <w:sz w:val="26"/>
        </w:rPr>
        <w:t> </w:t>
      </w:r>
      <w:r>
        <w:rPr>
          <w:sz w:val="26"/>
        </w:rPr>
        <w:t>step</w:t>
      </w:r>
    </w:p>
    <w:p>
      <w:pPr>
        <w:spacing w:after="0" w:line="271" w:lineRule="auto"/>
        <w:jc w:val="both"/>
        <w:rPr>
          <w:sz w:val="26"/>
        </w:rPr>
        <w:sectPr>
          <w:pgSz w:w="12240" w:h="15840"/>
          <w:pgMar w:header="1046" w:footer="0" w:top="1360" w:bottom="280" w:left="720" w:right="360"/>
        </w:sectPr>
      </w:pPr>
    </w:p>
    <w:p>
      <w:pPr>
        <w:pStyle w:val="BodyText"/>
        <w:spacing w:line="276" w:lineRule="auto" w:before="276"/>
        <w:ind w:right="1913"/>
      </w:pPr>
      <w:r>
        <w:rPr/>
        <w:t>taken by the scholars in transcending the interdisciplinary boundaries. The movement not only encouraged the dialogue among the scientific schools, but also showed the benefits of scientific co-evolution. The point of reference was acknowledging</w:t>
      </w:r>
      <w:r>
        <w:rPr>
          <w:spacing w:val="40"/>
        </w:rPr>
        <w:t> </w:t>
      </w:r>
      <w:r>
        <w:rPr/>
        <w:t>the fact that “disciplines do not constitute different parts of reality; they are different aspects of reality…the whole</w:t>
      </w:r>
      <w:r>
        <w:rPr>
          <w:spacing w:val="40"/>
        </w:rPr>
        <w:t> </w:t>
      </w:r>
      <w:r>
        <w:rPr/>
        <w:t>can be understood only by viewing it from all the perspectives simultaneously (</w:t>
      </w:r>
      <w:hyperlink w:history="true" w:anchor="_bookmark66">
        <w:r>
          <w:rPr/>
          <w:t>Ackoff, 1999a, p. 2</w:t>
        </w:r>
      </w:hyperlink>
      <w:r>
        <w:rPr/>
        <w:t>).”</w:t>
      </w:r>
    </w:p>
    <w:p>
      <w:pPr>
        <w:pStyle w:val="BodyText"/>
        <w:spacing w:line="271" w:lineRule="auto"/>
        <w:ind w:right="1907" w:firstLine="720"/>
      </w:pPr>
      <w:r>
        <w:rPr/>
        <w:t>The idea that the challenges in the modern world obliged the scholars from various fields to have at least a basic proficiency in </w:t>
      </w:r>
      <w:r>
        <w:rPr>
          <w:sz w:val="27"/>
        </w:rPr>
        <w:t>each other’s </w:t>
      </w:r>
      <w:r>
        <w:rPr/>
        <w:t>language, became more and more relevant with </w:t>
      </w:r>
      <w:r>
        <w:rPr>
          <w:sz w:val="27"/>
        </w:rPr>
        <w:t>cybernetics </w:t>
      </w:r>
      <w:r>
        <w:rPr/>
        <w:t>(1.3). More precisely, during the second World War, the military leadership of the United States, was searching the ways to create the most effective machinery that could give them a decisive advantage in the war.</w:t>
      </w:r>
      <w:r>
        <w:rPr>
          <w:spacing w:val="40"/>
        </w:rPr>
        <w:t> </w:t>
      </w:r>
      <w:r>
        <w:rPr/>
        <w:t>It was obvious from the beginning that the research group had to be interdisciplinary, as no single field could effectively fulfil the task at hand. However, the process had shown that even the most highly qualified scholars could fail to work in a team, if they did not understand a logic of each other’s reasoning (</w:t>
      </w:r>
      <w:hyperlink w:history="true" w:anchor="_bookmark89">
        <w:r>
          <w:rPr/>
          <w:t>Beer, 2002</w:t>
        </w:r>
      </w:hyperlink>
      <w:r>
        <w:rPr/>
        <w:t>). The founder of cybernetics </w:t>
      </w:r>
      <w:r>
        <w:rPr>
          <w:sz w:val="27"/>
        </w:rPr>
        <w:t>Norbert Wiener </w:t>
      </w:r>
      <w:r>
        <w:rPr/>
        <w:t>was among the scholars involved in a military research. Even though, later on he regretted to have a contribution in the military arms race, the</w:t>
      </w:r>
      <w:r>
        <w:rPr>
          <w:spacing w:val="-1"/>
        </w:rPr>
        <w:t> </w:t>
      </w:r>
      <w:r>
        <w:rPr/>
        <w:t>experience</w:t>
      </w:r>
      <w:r>
        <w:rPr>
          <w:spacing w:val="-1"/>
        </w:rPr>
        <w:t> </w:t>
      </w:r>
      <w:r>
        <w:rPr/>
        <w:t>he</w:t>
      </w:r>
      <w:r>
        <w:rPr>
          <w:spacing w:val="-1"/>
        </w:rPr>
        <w:t> </w:t>
      </w:r>
      <w:r>
        <w:rPr/>
        <w:t>took from</w:t>
      </w:r>
      <w:r>
        <w:rPr>
          <w:spacing w:val="-3"/>
        </w:rPr>
        <w:t> </w:t>
      </w:r>
      <w:r>
        <w:rPr/>
        <w:t>the</w:t>
      </w:r>
      <w:r>
        <w:rPr>
          <w:spacing w:val="-1"/>
        </w:rPr>
        <w:t> </w:t>
      </w:r>
      <w:r>
        <w:rPr/>
        <w:t>study</w:t>
      </w:r>
      <w:r>
        <w:rPr>
          <w:spacing w:val="-1"/>
        </w:rPr>
        <w:t> </w:t>
      </w:r>
      <w:r>
        <w:rPr/>
        <w:t>team</w:t>
      </w:r>
      <w:r>
        <w:rPr>
          <w:spacing w:val="-3"/>
        </w:rPr>
        <w:t> </w:t>
      </w:r>
      <w:r>
        <w:rPr/>
        <w:t>was</w:t>
      </w:r>
      <w:r>
        <w:rPr>
          <w:spacing w:val="-3"/>
        </w:rPr>
        <w:t> </w:t>
      </w:r>
      <w:r>
        <w:rPr/>
        <w:t>crucial</w:t>
      </w:r>
      <w:r>
        <w:rPr>
          <w:spacing w:val="-4"/>
        </w:rPr>
        <w:t> </w:t>
      </w:r>
      <w:r>
        <w:rPr/>
        <w:t>for developing his scientific theory. The first steps of the cybernetics were taken to understand the basic notions of the control and communication in the animals and machines; however, as the field gained the strength its domain had expanded. The initial signs of generalizing the mostly technical</w:t>
      </w:r>
      <w:r>
        <w:rPr>
          <w:spacing w:val="40"/>
        </w:rPr>
        <w:t> </w:t>
      </w:r>
      <w:r>
        <w:rPr/>
        <w:t>research can be observed in the works of </w:t>
      </w:r>
      <w:r>
        <w:rPr>
          <w:sz w:val="27"/>
        </w:rPr>
        <w:t>William Ross Ashby, </w:t>
      </w:r>
      <w:r>
        <w:rPr/>
        <w:t>who acknowledged the socially constructed part of the systemic organization.</w:t>
      </w:r>
      <w:r>
        <w:rPr>
          <w:spacing w:val="40"/>
        </w:rPr>
        <w:t> </w:t>
      </w:r>
      <w:r>
        <w:rPr/>
        <w:t>His ideas played</w:t>
      </w:r>
      <w:r>
        <w:rPr>
          <w:spacing w:val="40"/>
        </w:rPr>
        <w:t> </w:t>
      </w:r>
      <w:r>
        <w:rPr/>
        <w:t>a foundational role for the </w:t>
      </w:r>
      <w:r>
        <w:rPr>
          <w:sz w:val="27"/>
        </w:rPr>
        <w:t>Second Order Cybernetics</w:t>
      </w:r>
      <w:r>
        <w:rPr/>
        <w:t>. </w:t>
      </w:r>
      <w:r>
        <w:rPr>
          <w:sz w:val="27"/>
        </w:rPr>
        <w:t>Norbert</w:t>
      </w:r>
      <w:r>
        <w:rPr>
          <w:spacing w:val="-4"/>
          <w:sz w:val="27"/>
        </w:rPr>
        <w:t> </w:t>
      </w:r>
      <w:r>
        <w:rPr>
          <w:sz w:val="27"/>
        </w:rPr>
        <w:t>Wiener</w:t>
      </w:r>
      <w:r>
        <w:rPr>
          <w:spacing w:val="-3"/>
          <w:sz w:val="27"/>
        </w:rPr>
        <w:t> </w:t>
      </w:r>
      <w:r>
        <w:rPr/>
        <w:t>Himself</w:t>
      </w:r>
      <w:r>
        <w:rPr>
          <w:spacing w:val="-4"/>
        </w:rPr>
        <w:t> </w:t>
      </w:r>
      <w:r>
        <w:rPr/>
        <w:t>understood</w:t>
      </w:r>
      <w:r>
        <w:rPr>
          <w:spacing w:val="-2"/>
        </w:rPr>
        <w:t> </w:t>
      </w:r>
      <w:r>
        <w:rPr/>
        <w:t>the</w:t>
      </w:r>
      <w:r>
        <w:rPr>
          <w:spacing w:val="-2"/>
        </w:rPr>
        <w:t> </w:t>
      </w:r>
      <w:r>
        <w:rPr/>
        <w:t>philosopical-societal</w:t>
      </w:r>
      <w:r>
        <w:rPr>
          <w:spacing w:val="-5"/>
        </w:rPr>
        <w:t> </w:t>
      </w:r>
      <w:r>
        <w:rPr/>
        <w:t>ascpets</w:t>
      </w:r>
      <w:r>
        <w:rPr>
          <w:spacing w:val="-1"/>
        </w:rPr>
        <w:t> </w:t>
      </w:r>
      <w:r>
        <w:rPr/>
        <w:t>of</w:t>
      </w:r>
      <w:r>
        <w:rPr>
          <w:spacing w:val="-4"/>
        </w:rPr>
        <w:t> </w:t>
      </w:r>
      <w:r>
        <w:rPr/>
        <w:t>the cybernetics (</w:t>
      </w:r>
      <w:hyperlink w:history="true" w:anchor="_bookmark433">
        <w:r>
          <w:rPr/>
          <w:t>N. Wiener, 1950</w:t>
        </w:r>
      </w:hyperlink>
      <w:r>
        <w:rPr/>
        <w:t>, </w:t>
      </w:r>
      <w:hyperlink w:history="true" w:anchor="_bookmark436">
        <w:r>
          <w:rPr/>
          <w:t>1964</w:t>
        </w:r>
      </w:hyperlink>
      <w:r>
        <w:rPr/>
        <w:t>).</w:t>
      </w:r>
      <w:r>
        <w:rPr>
          <w:spacing w:val="40"/>
        </w:rPr>
        <w:t> </w:t>
      </w:r>
      <w:r>
        <w:rPr/>
        <w:t>Subsequently scholars like </w:t>
      </w:r>
      <w:r>
        <w:rPr>
          <w:sz w:val="27"/>
        </w:rPr>
        <w:t>Stafford Beer, Herbert Simon, Russell Ackoff </w:t>
      </w:r>
      <w:r>
        <w:rPr/>
        <w:t>and others started utilizing the approach in management.</w:t>
      </w:r>
    </w:p>
    <w:p>
      <w:pPr>
        <w:pStyle w:val="BodyText"/>
        <w:spacing w:after="0" w:line="271" w:lineRule="auto"/>
        <w:sectPr>
          <w:pgSz w:w="12240" w:h="15840"/>
          <w:pgMar w:header="1046" w:footer="0" w:top="1360" w:bottom="280" w:left="720" w:right="360"/>
        </w:sectPr>
      </w:pPr>
    </w:p>
    <w:p>
      <w:pPr>
        <w:pStyle w:val="BodyText"/>
        <w:spacing w:line="271" w:lineRule="auto" w:before="276"/>
        <w:ind w:right="1902" w:firstLine="720"/>
      </w:pPr>
      <w:r>
        <w:rPr/>
        <w:t>Systems thinking has another strand, the one that tries to find a common ground between the reductionism and holism (1.4). We have already mentioned </w:t>
      </w:r>
      <w:r>
        <w:rPr>
          <w:sz w:val="27"/>
        </w:rPr>
        <w:t>Mario Bunge </w:t>
      </w:r>
      <w:r>
        <w:rPr/>
        <w:t>and his concept of </w:t>
      </w:r>
      <w:r>
        <w:rPr>
          <w:sz w:val="27"/>
        </w:rPr>
        <w:t>systemism</w:t>
      </w:r>
      <w:r>
        <w:rPr/>
        <w:t>, in this chapter we will address the Holonic vision of </w:t>
      </w:r>
      <w:r>
        <w:rPr>
          <w:sz w:val="27"/>
        </w:rPr>
        <w:t>Arthur Koestler </w:t>
      </w:r>
      <w:r>
        <w:rPr/>
        <w:t>and </w:t>
      </w:r>
      <w:r>
        <w:rPr>
          <w:sz w:val="27"/>
        </w:rPr>
        <w:t>Ken Wilber</w:t>
      </w:r>
      <w:r>
        <w:rPr/>
        <w:t>. The approach focuses on the nodal functions of a system and incorporates some notions that are not common for the mainstream systemic theories. The theory indicates how an individual system-Holon connects to other systems and specifies the meaning of the whole of which it is part of.</w:t>
      </w:r>
    </w:p>
    <w:p>
      <w:pPr>
        <w:pStyle w:val="BodyText"/>
        <w:spacing w:line="276" w:lineRule="auto" w:before="17"/>
        <w:ind w:right="1907" w:firstLine="720"/>
      </w:pPr>
      <w:r>
        <w:rPr/>
        <w:t>In</w:t>
      </w:r>
      <w:r>
        <w:rPr>
          <w:spacing w:val="-1"/>
        </w:rPr>
        <w:t> </w:t>
      </w:r>
      <w:r>
        <w:rPr/>
        <w:t>the modern</w:t>
      </w:r>
      <w:r>
        <w:rPr>
          <w:spacing w:val="-1"/>
        </w:rPr>
        <w:t> </w:t>
      </w:r>
      <w:r>
        <w:rPr/>
        <w:t>sociology there</w:t>
      </w:r>
      <w:r>
        <w:rPr>
          <w:spacing w:val="-2"/>
        </w:rPr>
        <w:t> </w:t>
      </w:r>
      <w:r>
        <w:rPr/>
        <w:t>were</w:t>
      </w:r>
      <w:r>
        <w:rPr>
          <w:spacing w:val="-2"/>
        </w:rPr>
        <w:t> </w:t>
      </w:r>
      <w:r>
        <w:rPr/>
        <w:t>few</w:t>
      </w:r>
      <w:r>
        <w:rPr>
          <w:spacing w:val="-1"/>
        </w:rPr>
        <w:t> </w:t>
      </w:r>
      <w:r>
        <w:rPr/>
        <w:t>attempts to</w:t>
      </w:r>
      <w:r>
        <w:rPr>
          <w:spacing w:val="-5"/>
        </w:rPr>
        <w:t> </w:t>
      </w:r>
      <w:r>
        <w:rPr/>
        <w:t>establish</w:t>
      </w:r>
      <w:r>
        <w:rPr>
          <w:spacing w:val="-2"/>
        </w:rPr>
        <w:t> </w:t>
      </w:r>
      <w:r>
        <w:rPr/>
        <w:t>a</w:t>
      </w:r>
      <w:r>
        <w:rPr>
          <w:spacing w:val="-2"/>
        </w:rPr>
        <w:t> </w:t>
      </w:r>
      <w:r>
        <w:rPr/>
        <w:t>meta- systemic approach of social structures. The most important theories were developed by Talcott</w:t>
      </w:r>
      <w:r>
        <w:rPr>
          <w:spacing w:val="-1"/>
        </w:rPr>
        <w:t> </w:t>
      </w:r>
      <w:r>
        <w:rPr/>
        <w:t>Parsons [grand theory],</w:t>
      </w:r>
      <w:r>
        <w:rPr>
          <w:spacing w:val="-4"/>
        </w:rPr>
        <w:t> </w:t>
      </w:r>
      <w:r>
        <w:rPr/>
        <w:t>Robert</w:t>
      </w:r>
      <w:r>
        <w:rPr>
          <w:spacing w:val="-1"/>
        </w:rPr>
        <w:t> </w:t>
      </w:r>
      <w:r>
        <w:rPr/>
        <w:t>Merton [middle</w:t>
      </w:r>
      <w:r>
        <w:rPr>
          <w:spacing w:val="-1"/>
        </w:rPr>
        <w:t> </w:t>
      </w:r>
      <w:r>
        <w:rPr/>
        <w:t>range] and Niclas Luhmann [grand theory]. In this work we focus on Luhmann’s social systems theory (1.5). Even though, the approach was intended to solve theoretical challenges in modern sociology, the author and others, have extended its scope to other fields.</w:t>
      </w:r>
    </w:p>
    <w:p>
      <w:pPr>
        <w:pStyle w:val="BodyText"/>
        <w:spacing w:line="273" w:lineRule="auto"/>
        <w:ind w:right="1907" w:firstLine="720"/>
      </w:pPr>
      <w:r>
        <w:rPr/>
        <w:t>In the concluding part of this chapter we try to review the few applications of systemic theories in political science (1.6). The section</w:t>
      </w:r>
      <w:r>
        <w:rPr>
          <w:spacing w:val="40"/>
        </w:rPr>
        <w:t> </w:t>
      </w:r>
      <w:r>
        <w:rPr/>
        <w:t>covers </w:t>
      </w:r>
      <w:r>
        <w:rPr>
          <w:sz w:val="27"/>
        </w:rPr>
        <w:t>Karl Deutsch’s </w:t>
      </w:r>
      <w:r>
        <w:rPr/>
        <w:t>cybernetic approach to politics and David Easton’s political systems theory. Our aim is to show the strengths and the weaknesses of the approaches.</w:t>
      </w:r>
    </w:p>
    <w:p>
      <w:pPr>
        <w:pStyle w:val="BodyText"/>
        <w:spacing w:after="0" w:line="273" w:lineRule="auto"/>
        <w:sectPr>
          <w:pgSz w:w="12240" w:h="15840"/>
          <w:pgMar w:header="1046" w:footer="0" w:top="1360" w:bottom="280" w:left="720" w:right="360"/>
        </w:sectPr>
      </w:pPr>
    </w:p>
    <w:p>
      <w:pPr>
        <w:pStyle w:val="Heading4"/>
        <w:numPr>
          <w:ilvl w:val="1"/>
          <w:numId w:val="3"/>
        </w:numPr>
        <w:tabs>
          <w:tab w:pos="1582" w:val="left" w:leader="none"/>
        </w:tabs>
        <w:spacing w:line="240" w:lineRule="auto" w:before="288" w:after="0"/>
        <w:ind w:left="1582" w:right="0" w:hanging="603"/>
        <w:jc w:val="left"/>
      </w:pPr>
      <w:bookmarkStart w:name="_bookmark7" w:id="8"/>
      <w:bookmarkEnd w:id="8"/>
      <w:r>
        <w:rPr>
          <w:b w:val="0"/>
        </w:rPr>
      </w:r>
      <w:r>
        <w:rPr>
          <w:spacing w:val="-10"/>
        </w:rPr>
        <w:t>General</w:t>
      </w:r>
      <w:r>
        <w:rPr>
          <w:spacing w:val="2"/>
        </w:rPr>
        <w:t> </w:t>
      </w:r>
      <w:r>
        <w:rPr>
          <w:spacing w:val="-10"/>
        </w:rPr>
        <w:t>Systems</w:t>
      </w:r>
      <w:r>
        <w:rPr>
          <w:spacing w:val="-2"/>
        </w:rPr>
        <w:t> </w:t>
      </w:r>
      <w:r>
        <w:rPr>
          <w:spacing w:val="-10"/>
        </w:rPr>
        <w:t>Theory</w:t>
      </w:r>
    </w:p>
    <w:p>
      <w:pPr>
        <w:pStyle w:val="BodyText"/>
        <w:ind w:left="0"/>
        <w:jc w:val="left"/>
        <w:rPr>
          <w:rFonts w:ascii="Georgia"/>
          <w:b/>
          <w:sz w:val="20"/>
        </w:rPr>
      </w:pPr>
    </w:p>
    <w:p>
      <w:pPr>
        <w:pStyle w:val="BodyText"/>
        <w:spacing w:before="219"/>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593472">
                <wp:simplePos x="0" y="0"/>
                <wp:positionH relativeFrom="page">
                  <wp:posOffset>1078864</wp:posOffset>
                </wp:positionH>
                <wp:positionV relativeFrom="paragraph">
                  <wp:posOffset>298772</wp:posOffset>
                </wp:positionV>
                <wp:extent cx="5252085" cy="51435"/>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5252085" cy="51435"/>
                        </a:xfrm>
                        <a:custGeom>
                          <a:avLst/>
                          <a:gdLst/>
                          <a:ahLst/>
                          <a:cxnLst/>
                          <a:rect l="l" t="t" r="r" b="b"/>
                          <a:pathLst>
                            <a:path w="5252085" h="51435">
                              <a:moveTo>
                                <a:pt x="5252085" y="0"/>
                              </a:moveTo>
                              <a:lnTo>
                                <a:pt x="0" y="0"/>
                              </a:lnTo>
                              <a:lnTo>
                                <a:pt x="0" y="51434"/>
                              </a:lnTo>
                              <a:lnTo>
                                <a:pt x="5252085" y="51434"/>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3.525429pt;width:413.55pt;height:4.05pt;mso-position-horizontal-relative:page;mso-position-vertical-relative:paragraph;z-index:-15723008;mso-wrap-distance-left:0;mso-wrap-distance-right:0" id="docshape15" filled="true" fillcolor="#000000" stroked="false">
                <v:fill type="solid"/>
                <w10:wrap type="topAndBottom"/>
              </v:rect>
            </w:pict>
          </mc:Fallback>
        </mc:AlternateContent>
      </w:r>
    </w:p>
    <w:p>
      <w:pPr>
        <w:pStyle w:val="BodyText"/>
        <w:spacing w:before="104"/>
        <w:jc w:val="left"/>
      </w:pPr>
      <w:r>
        <w:rPr/>
        <w:t>Ludwig</w:t>
      </w:r>
      <w:r>
        <w:rPr>
          <w:spacing w:val="-9"/>
        </w:rPr>
        <w:t> </w:t>
      </w:r>
      <w:r>
        <w:rPr/>
        <w:t>von</w:t>
      </w:r>
      <w:r>
        <w:rPr>
          <w:spacing w:val="-7"/>
        </w:rPr>
        <w:t> </w:t>
      </w:r>
      <w:r>
        <w:rPr/>
        <w:t>Bertalanffy,</w:t>
      </w:r>
      <w:r>
        <w:rPr>
          <w:spacing w:val="-10"/>
        </w:rPr>
        <w:t> </w:t>
      </w:r>
      <w:r>
        <w:rPr/>
        <w:t>Kenneth</w:t>
      </w:r>
      <w:r>
        <w:rPr>
          <w:spacing w:val="-12"/>
        </w:rPr>
        <w:t> </w:t>
      </w:r>
      <w:r>
        <w:rPr>
          <w:spacing w:val="-2"/>
        </w:rPr>
        <w:t>Boulding</w:t>
      </w:r>
    </w:p>
    <w:p>
      <w:pPr>
        <w:pStyle w:val="BodyText"/>
        <w:ind w:left="0"/>
        <w:jc w:val="left"/>
      </w:pPr>
    </w:p>
    <w:p>
      <w:pPr>
        <w:pStyle w:val="BodyText"/>
        <w:ind w:left="0"/>
        <w:jc w:val="left"/>
      </w:pPr>
    </w:p>
    <w:p>
      <w:pPr>
        <w:pStyle w:val="BodyText"/>
        <w:spacing w:before="195"/>
        <w:ind w:left="0"/>
        <w:jc w:val="left"/>
      </w:pPr>
    </w:p>
    <w:p>
      <w:pPr>
        <w:pStyle w:val="BodyText"/>
        <w:spacing w:line="273" w:lineRule="auto"/>
        <w:ind w:right="1902" w:firstLine="720"/>
      </w:pPr>
      <w:r>
        <w:rPr/>
        <w:t>The idea of systems thinking dates back to </w:t>
      </w:r>
      <w:r>
        <w:rPr>
          <w:sz w:val="27"/>
        </w:rPr>
        <w:t>Aristotelian </w:t>
      </w:r>
      <w:r>
        <w:rPr/>
        <w:t>world view according to which: “The whole is more than the sum of its parts." This sentence summarizes the principle of </w:t>
      </w:r>
      <w:r>
        <w:rPr>
          <w:sz w:val="27"/>
        </w:rPr>
        <w:t>Holism. </w:t>
      </w:r>
      <w:r>
        <w:rPr/>
        <w:t>Holism has been re- established in various forms, in different fields, however, its common usage comes about as an opposite to </w:t>
      </w:r>
      <w:r>
        <w:rPr>
          <w:sz w:val="27"/>
        </w:rPr>
        <w:t>reductionism</w:t>
      </w:r>
      <w:r>
        <w:rPr/>
        <w:t>. The initial view of the principle can be considered as a radical meta-systemic form that rejects the meaning other than the systemic one. The views that appeared at the beginning of the 20</w:t>
      </w:r>
      <w:r>
        <w:rPr>
          <w:position w:val="7"/>
          <w:sz w:val="15"/>
        </w:rPr>
        <w:t>th</w:t>
      </w:r>
      <w:r>
        <w:rPr>
          <w:spacing w:val="40"/>
          <w:position w:val="7"/>
          <w:sz w:val="15"/>
        </w:rPr>
        <w:t> </w:t>
      </w:r>
      <w:r>
        <w:rPr/>
        <w:t>century, when the scientists attempted to leave the </w:t>
      </w:r>
      <w:r>
        <w:rPr>
          <w:sz w:val="27"/>
        </w:rPr>
        <w:t>world as chaos</w:t>
      </w:r>
      <w:r>
        <w:rPr>
          <w:spacing w:val="40"/>
          <w:sz w:val="27"/>
        </w:rPr>
        <w:t> </w:t>
      </w:r>
      <w:r>
        <w:rPr/>
        <w:t>and step into the </w:t>
      </w:r>
      <w:r>
        <w:rPr>
          <w:sz w:val="27"/>
        </w:rPr>
        <w:t>world as organization </w:t>
      </w:r>
      <w:r>
        <w:rPr/>
        <w:t>[system].(</w:t>
      </w:r>
      <w:hyperlink w:history="true" w:anchor="_bookmark253">
        <w:r>
          <w:rPr/>
          <w:t>Laszlo &amp;</w:t>
        </w:r>
      </w:hyperlink>
      <w:r>
        <w:rPr/>
        <w:t> </w:t>
      </w:r>
      <w:hyperlink w:history="true" w:anchor="_bookmark253">
        <w:r>
          <w:rPr/>
          <w:t>Krippner, 1997</w:t>
        </w:r>
      </w:hyperlink>
      <w:r>
        <w:rPr/>
        <w:t>) This change of the paradigm required more flexibility and scientific tolerance as the primary task was to construct the universally welcomed systemic epistemology.</w:t>
      </w:r>
    </w:p>
    <w:p>
      <w:pPr>
        <w:pStyle w:val="BodyText"/>
        <w:spacing w:line="271" w:lineRule="auto"/>
        <w:ind w:right="1907" w:firstLine="720"/>
      </w:pPr>
      <w:r>
        <w:rPr/>
        <w:t>This task</w:t>
      </w:r>
      <w:r>
        <w:rPr>
          <w:spacing w:val="40"/>
        </w:rPr>
        <w:t> </w:t>
      </w:r>
      <w:r>
        <w:rPr/>
        <w:t>involved the innate need of the dialogues with those, who did not share much of the Holistic views. Accordingly, the approach had to be</w:t>
      </w:r>
      <w:r>
        <w:rPr>
          <w:spacing w:val="40"/>
        </w:rPr>
        <w:t> </w:t>
      </w:r>
      <w:r>
        <w:rPr/>
        <w:t>a softer one. Probably the best example of this change was proposed by the Gestalt psychologist </w:t>
      </w:r>
      <w:r>
        <w:rPr>
          <w:sz w:val="27"/>
        </w:rPr>
        <w:t>Kurt Koffka, </w:t>
      </w:r>
      <w:r>
        <w:rPr/>
        <w:t>who argued that “the whole is </w:t>
      </w:r>
      <w:r>
        <w:rPr>
          <w:sz w:val="27"/>
        </w:rPr>
        <w:t>other </w:t>
      </w:r>
      <w:r>
        <w:rPr/>
        <w:t>[</w:t>
      </w:r>
      <w:r>
        <w:rPr>
          <w:sz w:val="27"/>
        </w:rPr>
        <w:t>not more</w:t>
      </w:r>
      <w:r>
        <w:rPr/>
        <w:t>] than the sum of the parts.”(</w:t>
      </w:r>
      <w:hyperlink w:history="true" w:anchor="_bookmark210">
        <w:r>
          <w:rPr/>
          <w:t>Heider, 1977</w:t>
        </w:r>
      </w:hyperlink>
      <w:r>
        <w:rPr/>
        <w:t>) In several contexts ‘other’ and ‘more’ was used as near synonyms. For instance, </w:t>
      </w:r>
      <w:r>
        <w:rPr>
          <w:sz w:val="27"/>
        </w:rPr>
        <w:t>Jan Smuts </w:t>
      </w:r>
      <w:r>
        <w:rPr/>
        <w:t>explained that a whole “has something internal, some inwardness of structure and function, some specific inner relations, some internality of character or nature, which constitutes that </w:t>
      </w:r>
      <w:r>
        <w:rPr>
          <w:sz w:val="27"/>
        </w:rPr>
        <w:t>more</w:t>
      </w:r>
      <w:r>
        <w:rPr/>
        <w:t>. And it is for us in this inquiry to try to elucidate what that </w:t>
      </w:r>
      <w:r>
        <w:rPr>
          <w:sz w:val="27"/>
        </w:rPr>
        <w:t>more </w:t>
      </w:r>
      <w:r>
        <w:rPr/>
        <w:t>is.” (</w:t>
      </w:r>
      <w:hyperlink w:history="true" w:anchor="_bookmark396">
        <w:r>
          <w:rPr/>
          <w:t>Smuts, 1927, p. 106</w:t>
        </w:r>
      </w:hyperlink>
      <w:r>
        <w:rPr/>
        <w:t>)</w:t>
      </w:r>
    </w:p>
    <w:p>
      <w:pPr>
        <w:pStyle w:val="BodyText"/>
        <w:spacing w:line="271" w:lineRule="auto"/>
        <w:ind w:right="1903" w:firstLine="720"/>
      </w:pPr>
      <w:r>
        <w:rPr/>
        <w:t>The inquiry to understand the ‘more’ had become a central task for the</w:t>
      </w:r>
      <w:r>
        <w:rPr>
          <w:spacing w:val="-9"/>
        </w:rPr>
        <w:t> </w:t>
      </w:r>
      <w:r>
        <w:rPr/>
        <w:t>systems</w:t>
      </w:r>
      <w:r>
        <w:rPr>
          <w:spacing w:val="-10"/>
        </w:rPr>
        <w:t> </w:t>
      </w:r>
      <w:r>
        <w:rPr/>
        <w:t>scientists</w:t>
      </w:r>
      <w:r>
        <w:rPr>
          <w:spacing w:val="-10"/>
        </w:rPr>
        <w:t> </w:t>
      </w:r>
      <w:r>
        <w:rPr/>
        <w:t>for</w:t>
      </w:r>
      <w:r>
        <w:rPr>
          <w:spacing w:val="-8"/>
        </w:rPr>
        <w:t> </w:t>
      </w:r>
      <w:r>
        <w:rPr/>
        <w:t>decades.</w:t>
      </w:r>
      <w:r>
        <w:rPr>
          <w:spacing w:val="40"/>
        </w:rPr>
        <w:t> </w:t>
      </w:r>
      <w:r>
        <w:rPr>
          <w:sz w:val="27"/>
        </w:rPr>
        <w:t>Karl</w:t>
      </w:r>
      <w:r>
        <w:rPr>
          <w:spacing w:val="-13"/>
          <w:sz w:val="27"/>
        </w:rPr>
        <w:t> </w:t>
      </w:r>
      <w:r>
        <w:rPr>
          <w:sz w:val="27"/>
        </w:rPr>
        <w:t>Ludwig</w:t>
      </w:r>
      <w:r>
        <w:rPr>
          <w:spacing w:val="-11"/>
          <w:sz w:val="27"/>
        </w:rPr>
        <w:t> </w:t>
      </w:r>
      <w:r>
        <w:rPr>
          <w:sz w:val="27"/>
        </w:rPr>
        <w:t>von</w:t>
      </w:r>
      <w:r>
        <w:rPr>
          <w:spacing w:val="-10"/>
          <w:sz w:val="27"/>
        </w:rPr>
        <w:t> </w:t>
      </w:r>
      <w:r>
        <w:rPr>
          <w:sz w:val="27"/>
        </w:rPr>
        <w:t>Bertalanffy</w:t>
      </w:r>
      <w:r>
        <w:rPr>
          <w:spacing w:val="-11"/>
          <w:sz w:val="27"/>
        </w:rPr>
        <w:t> </w:t>
      </w:r>
      <w:r>
        <w:rPr/>
        <w:t>the</w:t>
      </w:r>
      <w:r>
        <w:rPr>
          <w:spacing w:val="-13"/>
        </w:rPr>
        <w:t> </w:t>
      </w:r>
      <w:r>
        <w:rPr/>
        <w:t>founder of the General System Theory was a practicing biologist. His early works in</w:t>
      </w:r>
    </w:p>
    <w:p>
      <w:pPr>
        <w:pStyle w:val="BodyText"/>
        <w:spacing w:after="0" w:line="271" w:lineRule="auto"/>
        <w:sectPr>
          <w:pgSz w:w="12240" w:h="15840"/>
          <w:pgMar w:header="1046" w:footer="0" w:top="1360" w:bottom="280" w:left="720" w:right="360"/>
        </w:sectPr>
      </w:pPr>
    </w:p>
    <w:p>
      <w:pPr>
        <w:pStyle w:val="BodyText"/>
        <w:spacing w:line="273" w:lineRule="auto" w:before="276"/>
        <w:ind w:right="1906"/>
      </w:pPr>
      <w:r>
        <w:rPr/>
        <w:t>biology were foundational for his later works on the systems theory; in his “system theory of life,” </w:t>
      </w:r>
      <w:r>
        <w:rPr>
          <w:sz w:val="27"/>
        </w:rPr>
        <w:t>Bertalanffy </w:t>
      </w:r>
      <w:r>
        <w:rPr/>
        <w:t>argued that “The characteristic of life does not lie in a distinctiveness of single life processes [Lebensvorgänge],</w:t>
      </w:r>
      <w:r>
        <w:rPr>
          <w:spacing w:val="40"/>
        </w:rPr>
        <w:t> </w:t>
      </w:r>
      <w:r>
        <w:rPr/>
        <w:t>but rather in a certain order among all the processes (</w:t>
      </w:r>
      <w:hyperlink w:history="true" w:anchor="_bookmark162">
        <w:r>
          <w:rPr/>
          <w:t>in Drack, 2009</w:t>
        </w:r>
      </w:hyperlink>
      <w:r>
        <w:rPr/>
        <w:t>).” Elsewhere he maintained that “customary investigation of the single parts and processes cannot provide a complete explanation of the vital phenomena.”(</w:t>
      </w:r>
      <w:hyperlink w:history="true" w:anchor="_bookmark96">
        <w:r>
          <w:rPr/>
          <w:t>Bertalanffy, 1933, p. 64</w:t>
        </w:r>
      </w:hyperlink>
      <w:r>
        <w:rPr/>
        <w:t>).</w:t>
      </w:r>
    </w:p>
    <w:p>
      <w:pPr>
        <w:pStyle w:val="BodyText"/>
        <w:spacing w:line="276" w:lineRule="auto"/>
        <w:ind w:right="1912" w:firstLine="720"/>
      </w:pPr>
      <w:r>
        <w:rPr>
          <w:sz w:val="27"/>
        </w:rPr>
        <w:t>Bertalanffy </w:t>
      </w:r>
      <w:r>
        <w:rPr/>
        <w:t>believed that main characteristic of the living being, lies in its organization rather than in its specific parts taken separately. Following the very reasoning, it was obvious that every organization has to be built according to predetermined organizational logic. If “laws of the biological systems” became the “fundamental problem for modern biology” (</w:t>
      </w:r>
      <w:hyperlink w:history="true" w:anchor="_bookmark96">
        <w:r>
          <w:rPr/>
          <w:t>Bertalanffy, 1933</w:t>
        </w:r>
      </w:hyperlink>
      <w:r>
        <w:rPr/>
        <w:t>), the main duty for General Systems Theory was to identify universal systemic laws.</w:t>
      </w:r>
    </w:p>
    <w:p>
      <w:pPr>
        <w:pStyle w:val="BodyText"/>
        <w:spacing w:line="273" w:lineRule="auto"/>
        <w:ind w:right="1901" w:firstLine="720"/>
      </w:pPr>
      <w:r>
        <w:rPr/>
        <w:t>From this notion of systemic universality derived the concept of </w:t>
      </w:r>
      <w:r>
        <w:rPr>
          <w:sz w:val="27"/>
        </w:rPr>
        <w:t>isomorphism</w:t>
      </w:r>
      <w:r>
        <w:rPr/>
        <w:t>. The idea is that even those systems which have different qualities, differ in size, scale or substance “may also have significant subsets of such structures and processes that interlock.”(</w:t>
      </w:r>
      <w:hyperlink w:history="true" w:anchor="_bookmark444">
        <w:r>
          <w:rPr/>
          <w:t>Young, 1968</w:t>
        </w:r>
      </w:hyperlink>
      <w:r>
        <w:rPr/>
        <w:t>) The </w:t>
      </w:r>
      <w:r>
        <w:rPr>
          <w:sz w:val="27"/>
        </w:rPr>
        <w:t>isomorphism </w:t>
      </w:r>
      <w:r>
        <w:rPr/>
        <w:t>is defined as: “a one to one-to-one correspondence between objects in different systems, which preserves the relationship between two objects.” (</w:t>
      </w:r>
      <w:hyperlink w:history="true" w:anchor="_bookmark234">
        <w:r>
          <w:rPr/>
          <w:t>Johari, 1972, p. 46</w:t>
        </w:r>
      </w:hyperlink>
      <w:r>
        <w:rPr/>
        <w:t>)</w:t>
      </w:r>
    </w:p>
    <w:p>
      <w:pPr>
        <w:pStyle w:val="Heading6"/>
        <w:spacing w:line="339" w:lineRule="exact"/>
        <w:ind w:left="1700"/>
      </w:pPr>
      <w:r>
        <w:rPr>
          <w:sz w:val="26"/>
        </w:rPr>
        <w:t>“</w:t>
      </w:r>
      <w:r>
        <w:rPr/>
        <w:t>Modern</w:t>
      </w:r>
      <w:r>
        <w:rPr>
          <w:spacing w:val="37"/>
        </w:rPr>
        <w:t> </w:t>
      </w:r>
      <w:r>
        <w:rPr/>
        <w:t>theories</w:t>
      </w:r>
      <w:r>
        <w:rPr>
          <w:spacing w:val="38"/>
        </w:rPr>
        <w:t> </w:t>
      </w:r>
      <w:r>
        <w:rPr/>
        <w:t>of</w:t>
      </w:r>
      <w:r>
        <w:rPr>
          <w:spacing w:val="40"/>
        </w:rPr>
        <w:t> </w:t>
      </w:r>
      <w:r>
        <w:rPr/>
        <w:t>development;</w:t>
      </w:r>
      <w:r>
        <w:rPr>
          <w:spacing w:val="40"/>
        </w:rPr>
        <w:t> </w:t>
      </w:r>
      <w:r>
        <w:rPr/>
        <w:t>an</w:t>
      </w:r>
      <w:r>
        <w:rPr>
          <w:spacing w:val="42"/>
        </w:rPr>
        <w:t> </w:t>
      </w:r>
      <w:r>
        <w:rPr/>
        <w:t>introduction</w:t>
      </w:r>
      <w:r>
        <w:rPr>
          <w:spacing w:val="41"/>
        </w:rPr>
        <w:t> </w:t>
      </w:r>
      <w:r>
        <w:rPr/>
        <w:t>to</w:t>
      </w:r>
      <w:r>
        <w:rPr>
          <w:spacing w:val="38"/>
        </w:rPr>
        <w:t> </w:t>
      </w:r>
      <w:r>
        <w:rPr>
          <w:spacing w:val="-2"/>
        </w:rPr>
        <w:t>theoretical</w:t>
      </w:r>
    </w:p>
    <w:p>
      <w:pPr>
        <w:pStyle w:val="BodyText"/>
        <w:spacing w:line="273" w:lineRule="auto" w:before="31"/>
        <w:ind w:right="1910"/>
      </w:pPr>
      <w:r>
        <w:rPr>
          <w:sz w:val="27"/>
        </w:rPr>
        <w:t>biology</w:t>
      </w:r>
      <w:r>
        <w:rPr/>
        <w:t>” - was first published in German in 1928</w:t>
      </w:r>
      <w:r>
        <w:rPr>
          <w:position w:val="7"/>
          <w:sz w:val="15"/>
        </w:rPr>
        <w:t>1</w:t>
      </w:r>
      <w:r>
        <w:rPr>
          <w:spacing w:val="40"/>
          <w:position w:val="7"/>
          <w:sz w:val="15"/>
        </w:rPr>
        <w:t> </w:t>
      </w:r>
      <w:r>
        <w:rPr/>
        <w:t>and paved the path for the systems research. The core idea of the work was to introduce a new framework</w:t>
      </w:r>
      <w:r>
        <w:rPr>
          <w:spacing w:val="-1"/>
        </w:rPr>
        <w:t> </w:t>
      </w:r>
      <w:r>
        <w:rPr/>
        <w:t>for</w:t>
      </w:r>
      <w:r>
        <w:rPr>
          <w:spacing w:val="-2"/>
        </w:rPr>
        <w:t> </w:t>
      </w:r>
      <w:r>
        <w:rPr/>
        <w:t>the</w:t>
      </w:r>
      <w:r>
        <w:rPr>
          <w:spacing w:val="-2"/>
        </w:rPr>
        <w:t> </w:t>
      </w:r>
      <w:r>
        <w:rPr/>
        <w:t>organismic</w:t>
      </w:r>
      <w:r>
        <w:rPr>
          <w:spacing w:val="-3"/>
        </w:rPr>
        <w:t> </w:t>
      </w:r>
      <w:r>
        <w:rPr/>
        <w:t>analysis. </w:t>
      </w:r>
      <w:r>
        <w:rPr>
          <w:sz w:val="27"/>
        </w:rPr>
        <w:t>Bertalanffy</w:t>
      </w:r>
      <w:r>
        <w:rPr>
          <w:spacing w:val="-5"/>
          <w:sz w:val="27"/>
        </w:rPr>
        <w:t> </w:t>
      </w:r>
      <w:r>
        <w:rPr/>
        <w:t>believed</w:t>
      </w:r>
      <w:r>
        <w:rPr>
          <w:spacing w:val="-1"/>
        </w:rPr>
        <w:t> </w:t>
      </w:r>
      <w:r>
        <w:rPr/>
        <w:t>that</w:t>
      </w:r>
      <w:r>
        <w:rPr>
          <w:spacing w:val="-2"/>
        </w:rPr>
        <w:t> </w:t>
      </w:r>
      <w:r>
        <w:rPr/>
        <w:t>traditional reductionist approaches did not have a capacity to understand essential systemic problems. He argued that it is impossible to have a comprehensive knowledge about the organism, without acknowledging the importance of the the ‘natural totalities,’ as they show “phenomena which are so different from physical ones that physiology requires entirely new concepts to deal with them.”</w:t>
      </w:r>
      <w:r>
        <w:rPr>
          <w:spacing w:val="40"/>
        </w:rPr>
        <w:t> </w:t>
      </w:r>
      <w:r>
        <w:rPr/>
        <w:t>(</w:t>
      </w:r>
      <w:hyperlink w:history="true" w:anchor="_bookmark96">
        <w:r>
          <w:rPr/>
          <w:t>Bertalanffy, 1933, p. 52</w:t>
        </w:r>
      </w:hyperlink>
      <w:r>
        <w:rPr/>
        <w:t>)</w:t>
      </w:r>
    </w:p>
    <w:p>
      <w:pPr>
        <w:pStyle w:val="BodyText"/>
        <w:spacing w:before="1"/>
        <w:ind w:left="0"/>
        <w:jc w:val="left"/>
        <w:rPr>
          <w:sz w:val="13"/>
        </w:rPr>
      </w:pPr>
      <w:r>
        <w:rPr>
          <w:sz w:val="13"/>
        </w:rPr>
        <mc:AlternateContent>
          <mc:Choice Requires="wps">
            <w:drawing>
              <wp:anchor distT="0" distB="0" distL="0" distR="0" allowOverlap="1" layoutInCell="1" locked="0" behindDoc="1" simplePos="0" relativeHeight="487593984">
                <wp:simplePos x="0" y="0"/>
                <wp:positionH relativeFrom="page">
                  <wp:posOffset>1079296</wp:posOffset>
                </wp:positionH>
                <wp:positionV relativeFrom="paragraph">
                  <wp:posOffset>124594</wp:posOffset>
                </wp:positionV>
                <wp:extent cx="1830070" cy="9525"/>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9.810598pt;width:144.07pt;height:.72003pt;mso-position-horizontal-relative:page;mso-position-vertical-relative:paragraph;z-index:-15722496;mso-wrap-distance-left:0;mso-wrap-distance-right:0" id="docshape16" filled="true" fillcolor="#000000" stroked="false">
                <v:fill type="solid"/>
                <w10:wrap type="topAndBottom"/>
              </v:rect>
            </w:pict>
          </mc:Fallback>
        </mc:AlternateContent>
      </w:r>
    </w:p>
    <w:p>
      <w:pPr>
        <w:spacing w:before="103"/>
        <w:ind w:left="979" w:right="0" w:firstLine="0"/>
        <w:jc w:val="left"/>
        <w:rPr>
          <w:rFonts w:ascii="Calibri" w:hAnsi="Calibri"/>
          <w:sz w:val="20"/>
        </w:rPr>
      </w:pPr>
      <w:r>
        <w:rPr>
          <w:rFonts w:ascii="Calibri" w:hAnsi="Calibri"/>
          <w:sz w:val="20"/>
          <w:vertAlign w:val="superscript"/>
        </w:rPr>
        <w:t>1</w:t>
      </w:r>
      <w:r>
        <w:rPr>
          <w:rFonts w:ascii="Calibri" w:hAnsi="Calibri"/>
          <w:spacing w:val="-5"/>
          <w:sz w:val="20"/>
          <w:vertAlign w:val="baseline"/>
        </w:rPr>
        <w:t> </w:t>
      </w:r>
      <w:r>
        <w:rPr>
          <w:rFonts w:ascii="Calibri" w:hAnsi="Calibri"/>
          <w:sz w:val="20"/>
          <w:vertAlign w:val="baseline"/>
        </w:rPr>
        <w:t>German</w:t>
      </w:r>
      <w:r>
        <w:rPr>
          <w:rFonts w:ascii="Calibri" w:hAnsi="Calibri"/>
          <w:spacing w:val="-11"/>
          <w:sz w:val="20"/>
          <w:vertAlign w:val="baseline"/>
        </w:rPr>
        <w:t> </w:t>
      </w:r>
      <w:r>
        <w:rPr>
          <w:rFonts w:ascii="Calibri" w:hAnsi="Calibri"/>
          <w:sz w:val="20"/>
          <w:vertAlign w:val="baseline"/>
        </w:rPr>
        <w:t>original:”Kritische</w:t>
      </w:r>
      <w:r>
        <w:rPr>
          <w:rFonts w:ascii="Calibri" w:hAnsi="Calibri"/>
          <w:spacing w:val="-6"/>
          <w:sz w:val="20"/>
          <w:vertAlign w:val="baseline"/>
        </w:rPr>
        <w:t> </w:t>
      </w:r>
      <w:r>
        <w:rPr>
          <w:rFonts w:ascii="Calibri" w:hAnsi="Calibri"/>
          <w:sz w:val="20"/>
          <w:vertAlign w:val="baseline"/>
        </w:rPr>
        <w:t>Theorie</w:t>
      </w:r>
      <w:r>
        <w:rPr>
          <w:rFonts w:ascii="Calibri" w:hAnsi="Calibri"/>
          <w:spacing w:val="-9"/>
          <w:sz w:val="20"/>
          <w:vertAlign w:val="baseline"/>
        </w:rPr>
        <w:t> </w:t>
      </w:r>
      <w:r>
        <w:rPr>
          <w:rFonts w:ascii="Calibri" w:hAnsi="Calibri"/>
          <w:sz w:val="20"/>
          <w:vertAlign w:val="baseline"/>
        </w:rPr>
        <w:t>der</w:t>
      </w:r>
      <w:r>
        <w:rPr>
          <w:rFonts w:ascii="Calibri" w:hAnsi="Calibri"/>
          <w:spacing w:val="-5"/>
          <w:sz w:val="20"/>
          <w:vertAlign w:val="baseline"/>
        </w:rPr>
        <w:t> </w:t>
      </w:r>
      <w:r>
        <w:rPr>
          <w:rFonts w:ascii="Calibri" w:hAnsi="Calibri"/>
          <w:spacing w:val="-2"/>
          <w:sz w:val="20"/>
          <w:vertAlign w:val="baseline"/>
        </w:rPr>
        <w:t>Formbildung”</w:t>
      </w:r>
    </w:p>
    <w:p>
      <w:pPr>
        <w:spacing w:after="0"/>
        <w:jc w:val="left"/>
        <w:rPr>
          <w:rFonts w:ascii="Calibri" w:hAnsi="Calibri"/>
          <w:sz w:val="20"/>
        </w:rPr>
        <w:sectPr>
          <w:pgSz w:w="12240" w:h="15840"/>
          <w:pgMar w:header="1046" w:footer="0" w:top="1360" w:bottom="280" w:left="720" w:right="360"/>
        </w:sectPr>
      </w:pPr>
    </w:p>
    <w:p>
      <w:pPr>
        <w:pStyle w:val="BodyText"/>
        <w:spacing w:line="273" w:lineRule="auto" w:before="266"/>
        <w:ind w:right="1905" w:firstLine="720"/>
      </w:pPr>
      <w:r>
        <w:rPr>
          <w:sz w:val="27"/>
        </w:rPr>
        <w:t>Bertalanffy </w:t>
      </w:r>
      <w:r>
        <w:rPr/>
        <w:t>saw this new </w:t>
      </w:r>
      <w:r>
        <w:rPr>
          <w:sz w:val="27"/>
        </w:rPr>
        <w:t>organismic point of view </w:t>
      </w:r>
      <w:r>
        <w:rPr/>
        <w:t>as more feasible than the outlooks of traditional </w:t>
      </w:r>
      <w:r>
        <w:rPr>
          <w:sz w:val="27"/>
        </w:rPr>
        <w:t>mechanistic </w:t>
      </w:r>
      <w:r>
        <w:rPr/>
        <w:t>and </w:t>
      </w:r>
      <w:r>
        <w:rPr>
          <w:sz w:val="27"/>
        </w:rPr>
        <w:t>vitalistic </w:t>
      </w:r>
      <w:r>
        <w:rPr/>
        <w:t>theories.</w:t>
      </w:r>
      <w:r>
        <w:rPr>
          <w:position w:val="7"/>
          <w:sz w:val="15"/>
        </w:rPr>
        <w:t>2</w:t>
      </w:r>
      <w:r>
        <w:rPr>
          <w:spacing w:val="40"/>
          <w:position w:val="7"/>
          <w:sz w:val="15"/>
        </w:rPr>
        <w:t> </w:t>
      </w:r>
      <w:r>
        <w:rPr/>
        <w:t>He rejected the central view of the mechanistic theory that the system is nothing but a sum of independent functions. His argument against vitalistic theories implied that the vitalistic systems are nothing more than combinations</w:t>
      </w:r>
      <w:r>
        <w:rPr>
          <w:spacing w:val="-4"/>
        </w:rPr>
        <w:t> </w:t>
      </w:r>
      <w:r>
        <w:rPr/>
        <w:t>of</w:t>
      </w:r>
      <w:r>
        <w:rPr>
          <w:spacing w:val="-3"/>
        </w:rPr>
        <w:t> </w:t>
      </w:r>
      <w:r>
        <w:rPr/>
        <w:t>the mechanistic</w:t>
      </w:r>
      <w:r>
        <w:rPr>
          <w:spacing w:val="-3"/>
        </w:rPr>
        <w:t> </w:t>
      </w:r>
      <w:r>
        <w:rPr/>
        <w:t>characteristics,</w:t>
      </w:r>
      <w:r>
        <w:rPr>
          <w:spacing w:val="-1"/>
        </w:rPr>
        <w:t> </w:t>
      </w:r>
      <w:r>
        <w:rPr/>
        <w:t>plus</w:t>
      </w:r>
      <w:r>
        <w:rPr>
          <w:spacing w:val="-4"/>
        </w:rPr>
        <w:t> </w:t>
      </w:r>
      <w:r>
        <w:rPr/>
        <w:t>something immaterial. According</w:t>
      </w:r>
      <w:r>
        <w:rPr>
          <w:spacing w:val="-8"/>
        </w:rPr>
        <w:t> </w:t>
      </w:r>
      <w:r>
        <w:rPr/>
        <w:t>to</w:t>
      </w:r>
      <w:r>
        <w:rPr>
          <w:spacing w:val="-8"/>
        </w:rPr>
        <w:t> </w:t>
      </w:r>
      <w:r>
        <w:rPr>
          <w:sz w:val="27"/>
        </w:rPr>
        <w:t>Bertalanffy,</w:t>
      </w:r>
      <w:r>
        <w:rPr>
          <w:spacing w:val="-6"/>
          <w:sz w:val="27"/>
        </w:rPr>
        <w:t> </w:t>
      </w:r>
      <w:r>
        <w:rPr/>
        <w:t>both</w:t>
      </w:r>
      <w:r>
        <w:rPr>
          <w:spacing w:val="-8"/>
        </w:rPr>
        <w:t> </w:t>
      </w:r>
      <w:r>
        <w:rPr/>
        <w:t>approaches</w:t>
      </w:r>
      <w:r>
        <w:rPr>
          <w:spacing w:val="-6"/>
        </w:rPr>
        <w:t> </w:t>
      </w:r>
      <w:r>
        <w:rPr/>
        <w:t>are</w:t>
      </w:r>
      <w:r>
        <w:rPr>
          <w:spacing w:val="-8"/>
        </w:rPr>
        <w:t> </w:t>
      </w:r>
      <w:r>
        <w:rPr/>
        <w:t>hostile</w:t>
      </w:r>
      <w:r>
        <w:rPr>
          <w:spacing w:val="-8"/>
        </w:rPr>
        <w:t> </w:t>
      </w:r>
      <w:r>
        <w:rPr/>
        <w:t>to</w:t>
      </w:r>
      <w:r>
        <w:rPr>
          <w:spacing w:val="-6"/>
        </w:rPr>
        <w:t> </w:t>
      </w:r>
      <w:r>
        <w:rPr/>
        <w:t>organismic</w:t>
      </w:r>
      <w:r>
        <w:rPr>
          <w:spacing w:val="-9"/>
        </w:rPr>
        <w:t> </w:t>
      </w:r>
      <w:r>
        <w:rPr/>
        <w:t>totality, but the latter one “exhausts</w:t>
      </w:r>
      <w:r>
        <w:rPr>
          <w:spacing w:val="40"/>
        </w:rPr>
        <w:t> </w:t>
      </w:r>
      <w:r>
        <w:rPr/>
        <w:t>all</w:t>
      </w:r>
      <w:r>
        <w:rPr>
          <w:spacing w:val="40"/>
        </w:rPr>
        <w:t> </w:t>
      </w:r>
      <w:r>
        <w:rPr/>
        <w:t>logical</w:t>
      </w:r>
      <w:r>
        <w:rPr>
          <w:spacing w:val="40"/>
        </w:rPr>
        <w:t> </w:t>
      </w:r>
      <w:r>
        <w:rPr/>
        <w:t>possibilities.” Vitalistic theories are “explainable only be the action of soul-like factors hovering in the cell or the organism, which obviously was nothing less than a declaration of the bankruptcy of science.” (</w:t>
      </w:r>
      <w:hyperlink w:history="true" w:anchor="_bookmark124">
        <w:r>
          <w:rPr/>
          <w:t>Callender, 2007, p. 5</w:t>
        </w:r>
      </w:hyperlink>
      <w:r>
        <w:rPr/>
        <w:t>)</w:t>
      </w:r>
    </w:p>
    <w:p>
      <w:pPr>
        <w:pStyle w:val="BodyText"/>
        <w:spacing w:line="271" w:lineRule="auto" w:before="3"/>
        <w:ind w:right="1902" w:firstLine="720"/>
      </w:pPr>
      <w:r>
        <w:rPr/>
        <w:t>Differently from automatic, but chaotic vitalism, the organizmic theory has two basic laws, </w:t>
      </w:r>
      <w:r>
        <w:rPr>
          <w:sz w:val="27"/>
        </w:rPr>
        <w:t>biological maintenance </w:t>
      </w:r>
      <w:r>
        <w:rPr/>
        <w:t>and </w:t>
      </w:r>
      <w:r>
        <w:rPr>
          <w:sz w:val="27"/>
        </w:rPr>
        <w:t>hierarchical order</w:t>
      </w:r>
      <w:r>
        <w:rPr/>
        <w:t>. Based on these laws organism exists as a system and only as a system.</w:t>
      </w:r>
    </w:p>
    <w:p>
      <w:pPr>
        <w:pStyle w:val="BodyText"/>
        <w:spacing w:line="271" w:lineRule="auto"/>
        <w:ind w:right="1907" w:firstLine="720"/>
      </w:pPr>
      <w:r>
        <w:rPr/>
        <w:t>Together with the psychologist </w:t>
      </w:r>
      <w:r>
        <w:rPr>
          <w:sz w:val="27"/>
        </w:rPr>
        <w:t>Ralph Waldo</w:t>
      </w:r>
      <w:r>
        <w:rPr>
          <w:spacing w:val="-3"/>
          <w:sz w:val="27"/>
        </w:rPr>
        <w:t> </w:t>
      </w:r>
      <w:r>
        <w:rPr>
          <w:sz w:val="27"/>
        </w:rPr>
        <w:t>Gerard</w:t>
      </w:r>
      <w:r>
        <w:rPr/>
        <w:t>, the Economist </w:t>
      </w:r>
      <w:r>
        <w:rPr>
          <w:sz w:val="27"/>
        </w:rPr>
        <w:t>Kenneth Boulding </w:t>
      </w:r>
      <w:r>
        <w:rPr/>
        <w:t>and the mathematical psychologist </w:t>
      </w:r>
      <w:r>
        <w:rPr>
          <w:sz w:val="27"/>
        </w:rPr>
        <w:t>Anatol Rapoport</w:t>
      </w:r>
      <w:r>
        <w:rPr/>
        <w:t>, in 1954</w:t>
      </w:r>
      <w:r>
        <w:rPr>
          <w:spacing w:val="-5"/>
        </w:rPr>
        <w:t> </w:t>
      </w:r>
      <w:r>
        <w:rPr/>
        <w:t>Bertalanffy</w:t>
      </w:r>
      <w:r>
        <w:rPr>
          <w:spacing w:val="-5"/>
        </w:rPr>
        <w:t> </w:t>
      </w:r>
      <w:r>
        <w:rPr/>
        <w:t>started</w:t>
      </w:r>
      <w:r>
        <w:rPr>
          <w:spacing w:val="-3"/>
        </w:rPr>
        <w:t> </w:t>
      </w:r>
      <w:r>
        <w:rPr/>
        <w:t>Society</w:t>
      </w:r>
      <w:r>
        <w:rPr>
          <w:spacing w:val="-5"/>
        </w:rPr>
        <w:t> </w:t>
      </w:r>
      <w:r>
        <w:rPr/>
        <w:t>of</w:t>
      </w:r>
      <w:r>
        <w:rPr>
          <w:spacing w:val="-5"/>
        </w:rPr>
        <w:t> </w:t>
      </w:r>
      <w:r>
        <w:rPr/>
        <w:t>General</w:t>
      </w:r>
      <w:r>
        <w:rPr>
          <w:spacing w:val="-6"/>
        </w:rPr>
        <w:t> </w:t>
      </w:r>
      <w:r>
        <w:rPr/>
        <w:t>Systems</w:t>
      </w:r>
      <w:r>
        <w:rPr>
          <w:spacing w:val="-6"/>
        </w:rPr>
        <w:t> </w:t>
      </w:r>
      <w:r>
        <w:rPr/>
        <w:t>Research,</w:t>
      </w:r>
      <w:r>
        <w:rPr>
          <w:spacing w:val="-3"/>
        </w:rPr>
        <w:t> </w:t>
      </w:r>
      <w:r>
        <w:rPr/>
        <w:t>later</w:t>
      </w:r>
      <w:r>
        <w:rPr>
          <w:spacing w:val="-4"/>
        </w:rPr>
        <w:t> </w:t>
      </w:r>
      <w:r>
        <w:rPr/>
        <w:t>renamed International Society for the Systems Sciences. (</w:t>
      </w:r>
      <w:hyperlink w:history="true" w:anchor="_bookmark384">
        <w:r>
          <w:rPr/>
          <w:t>Schwaninger, 2007, p. 656</w:t>
        </w:r>
      </w:hyperlink>
      <w:r>
        <w:rPr/>
        <w:t>)</w:t>
      </w:r>
    </w:p>
    <w:p>
      <w:pPr>
        <w:spacing w:line="268" w:lineRule="auto" w:before="2"/>
        <w:ind w:left="979" w:right="1907" w:firstLine="720"/>
        <w:jc w:val="both"/>
        <w:rPr>
          <w:sz w:val="26"/>
        </w:rPr>
      </w:pPr>
      <w:r>
        <w:rPr>
          <w:sz w:val="26"/>
        </w:rPr>
        <w:t>The initial work was a crucial point for stepping into a new level of observations,</w:t>
      </w:r>
      <w:r>
        <w:rPr>
          <w:spacing w:val="-10"/>
          <w:sz w:val="26"/>
        </w:rPr>
        <w:t> </w:t>
      </w:r>
      <w:r>
        <w:rPr>
          <w:sz w:val="26"/>
        </w:rPr>
        <w:t>which</w:t>
      </w:r>
      <w:r>
        <w:rPr>
          <w:spacing w:val="-11"/>
          <w:sz w:val="26"/>
        </w:rPr>
        <w:t> </w:t>
      </w:r>
      <w:r>
        <w:rPr>
          <w:sz w:val="26"/>
        </w:rPr>
        <w:t>came</w:t>
      </w:r>
      <w:r>
        <w:rPr>
          <w:spacing w:val="-11"/>
          <w:sz w:val="26"/>
        </w:rPr>
        <w:t> </w:t>
      </w:r>
      <w:r>
        <w:rPr>
          <w:sz w:val="26"/>
        </w:rPr>
        <w:t>with</w:t>
      </w:r>
      <w:r>
        <w:rPr>
          <w:spacing w:val="-7"/>
          <w:sz w:val="26"/>
        </w:rPr>
        <w:t> </w:t>
      </w:r>
      <w:r>
        <w:rPr>
          <w:sz w:val="27"/>
        </w:rPr>
        <w:t>Bertalanffy’s</w:t>
      </w:r>
      <w:r>
        <w:rPr>
          <w:spacing w:val="-10"/>
          <w:sz w:val="27"/>
        </w:rPr>
        <w:t> </w:t>
      </w:r>
      <w:r>
        <w:rPr>
          <w:sz w:val="26"/>
        </w:rPr>
        <w:t>seminal</w:t>
      </w:r>
      <w:r>
        <w:rPr>
          <w:spacing w:val="-13"/>
          <w:sz w:val="26"/>
        </w:rPr>
        <w:t> </w:t>
      </w:r>
      <w:r>
        <w:rPr>
          <w:sz w:val="26"/>
        </w:rPr>
        <w:t>work</w:t>
      </w:r>
      <w:r>
        <w:rPr>
          <w:spacing w:val="-10"/>
          <w:sz w:val="26"/>
        </w:rPr>
        <w:t> </w:t>
      </w:r>
      <w:r>
        <w:rPr>
          <w:sz w:val="26"/>
        </w:rPr>
        <w:t>"</w:t>
      </w:r>
      <w:r>
        <w:rPr>
          <w:sz w:val="27"/>
        </w:rPr>
        <w:t>General</w:t>
      </w:r>
      <w:r>
        <w:rPr>
          <w:spacing w:val="-15"/>
          <w:sz w:val="27"/>
        </w:rPr>
        <w:t> </w:t>
      </w:r>
      <w:r>
        <w:rPr>
          <w:sz w:val="27"/>
        </w:rPr>
        <w:t>System </w:t>
      </w:r>
      <w:r>
        <w:rPr>
          <w:spacing w:val="-2"/>
          <w:sz w:val="27"/>
        </w:rPr>
        <w:t>theory:</w:t>
      </w:r>
      <w:r>
        <w:rPr>
          <w:spacing w:val="-15"/>
          <w:sz w:val="27"/>
        </w:rPr>
        <w:t> </w:t>
      </w:r>
      <w:r>
        <w:rPr>
          <w:spacing w:val="-2"/>
          <w:sz w:val="27"/>
        </w:rPr>
        <w:t>Foundations,</w:t>
      </w:r>
      <w:r>
        <w:rPr>
          <w:spacing w:val="-15"/>
          <w:sz w:val="27"/>
        </w:rPr>
        <w:t> </w:t>
      </w:r>
      <w:r>
        <w:rPr>
          <w:spacing w:val="-2"/>
          <w:sz w:val="27"/>
        </w:rPr>
        <w:t>Development,</w:t>
      </w:r>
      <w:r>
        <w:rPr>
          <w:spacing w:val="-15"/>
          <w:sz w:val="27"/>
        </w:rPr>
        <w:t> </w:t>
      </w:r>
      <w:r>
        <w:rPr>
          <w:spacing w:val="-2"/>
          <w:sz w:val="27"/>
        </w:rPr>
        <w:t>Applications"</w:t>
      </w:r>
      <w:r>
        <w:rPr>
          <w:spacing w:val="-9"/>
          <w:sz w:val="27"/>
        </w:rPr>
        <w:t> </w:t>
      </w:r>
      <w:r>
        <w:rPr>
          <w:spacing w:val="-2"/>
          <w:sz w:val="26"/>
        </w:rPr>
        <w:t>in</w:t>
      </w:r>
      <w:r>
        <w:rPr>
          <w:spacing w:val="-13"/>
          <w:sz w:val="26"/>
        </w:rPr>
        <w:t> </w:t>
      </w:r>
      <w:r>
        <w:rPr>
          <w:spacing w:val="-2"/>
          <w:sz w:val="26"/>
        </w:rPr>
        <w:t>1968.</w:t>
      </w:r>
      <w:r>
        <w:rPr>
          <w:spacing w:val="-13"/>
          <w:sz w:val="26"/>
        </w:rPr>
        <w:t> </w:t>
      </w:r>
      <w:r>
        <w:rPr>
          <w:spacing w:val="-2"/>
          <w:sz w:val="26"/>
        </w:rPr>
        <w:t>The</w:t>
      </w:r>
      <w:r>
        <w:rPr>
          <w:spacing w:val="-14"/>
          <w:sz w:val="26"/>
        </w:rPr>
        <w:t> </w:t>
      </w:r>
      <w:r>
        <w:rPr>
          <w:spacing w:val="-2"/>
          <w:sz w:val="26"/>
        </w:rPr>
        <w:t>book</w:t>
      </w:r>
      <w:r>
        <w:rPr>
          <w:spacing w:val="-13"/>
          <w:sz w:val="26"/>
        </w:rPr>
        <w:t> </w:t>
      </w:r>
      <w:r>
        <w:rPr>
          <w:spacing w:val="-2"/>
          <w:sz w:val="26"/>
        </w:rPr>
        <w:t>gathers </w:t>
      </w:r>
      <w:r>
        <w:rPr>
          <w:sz w:val="26"/>
        </w:rPr>
        <w:t>the basic arguments of systems thinking and its role in the future of the science in general. While in his previous works </w:t>
      </w:r>
      <w:r>
        <w:rPr>
          <w:sz w:val="27"/>
        </w:rPr>
        <w:t>Bertalanffy’s </w:t>
      </w:r>
      <w:r>
        <w:rPr>
          <w:sz w:val="26"/>
        </w:rPr>
        <w:t>focus was on describing the needs of the holistic understanding of the organisms, in 1968 he officially introduced </w:t>
      </w:r>
      <w:r>
        <w:rPr>
          <w:sz w:val="27"/>
        </w:rPr>
        <w:t>General Systems Theory </w:t>
      </w:r>
      <w:r>
        <w:rPr>
          <w:sz w:val="26"/>
        </w:rPr>
        <w:t>as a new discipline. The core idea of the GST lies in its universality, as </w:t>
      </w:r>
      <w:r>
        <w:rPr>
          <w:sz w:val="27"/>
        </w:rPr>
        <w:t>Bertalanffy </w:t>
      </w:r>
      <w:r>
        <w:rPr>
          <w:sz w:val="26"/>
        </w:rPr>
        <w:t>argues:</w:t>
      </w:r>
    </w:p>
    <w:p>
      <w:pPr>
        <w:pStyle w:val="BodyText"/>
        <w:spacing w:before="64"/>
        <w:ind w:left="0"/>
        <w:jc w:val="left"/>
      </w:pPr>
    </w:p>
    <w:p>
      <w:pPr>
        <w:pStyle w:val="BodyText"/>
        <w:spacing w:line="276" w:lineRule="auto"/>
        <w:ind w:left="2420" w:right="1909"/>
        <w:jc w:val="left"/>
      </w:pPr>
      <w:r>
        <w:rPr/>
        <mc:AlternateContent>
          <mc:Choice Requires="wps">
            <w:drawing>
              <wp:anchor distT="0" distB="0" distL="0" distR="0" allowOverlap="1" layoutInCell="1" locked="0" behindDoc="0" simplePos="0" relativeHeight="15735808">
                <wp:simplePos x="0" y="0"/>
                <wp:positionH relativeFrom="page">
                  <wp:posOffset>1923923</wp:posOffset>
                </wp:positionH>
                <wp:positionV relativeFrom="paragraph">
                  <wp:posOffset>-912</wp:posOffset>
                </wp:positionV>
                <wp:extent cx="1270" cy="50038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1270" cy="500380"/>
                        </a:xfrm>
                        <a:custGeom>
                          <a:avLst/>
                          <a:gdLst/>
                          <a:ahLst/>
                          <a:cxnLst/>
                          <a:rect l="l" t="t" r="r" b="b"/>
                          <a:pathLst>
                            <a:path w="0" h="500380">
                              <a:moveTo>
                                <a:pt x="0" y="0"/>
                              </a:moveTo>
                              <a:lnTo>
                                <a:pt x="0" y="250189"/>
                              </a:lnTo>
                            </a:path>
                            <a:path w="0" h="500380">
                              <a:moveTo>
                                <a:pt x="0" y="250189"/>
                              </a:moveTo>
                              <a:lnTo>
                                <a:pt x="0" y="500125"/>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71824pt;width:.1pt;height:39.4pt;mso-position-horizontal-relative:page;mso-position-vertical-relative:paragraph;z-index:15735808" id="docshape17" coordorigin="3030,-1" coordsize="0,788" path="m3030,-1l3030,393m3030,393l3030,786e" filled="false" stroked="true" strokeweight=".48pt" strokecolor="#000000">
                <v:path arrowok="t"/>
                <v:stroke dashstyle="shortdash"/>
                <w10:wrap type="none"/>
              </v:shape>
            </w:pict>
          </mc:Fallback>
        </mc:AlternateContent>
      </w:r>
      <w:r>
        <w:rPr/>
        <w:t>“There</w:t>
      </w:r>
      <w:r>
        <w:rPr>
          <w:spacing w:val="80"/>
        </w:rPr>
        <w:t> </w:t>
      </w:r>
      <w:r>
        <w:rPr/>
        <w:t>exist</w:t>
      </w:r>
      <w:r>
        <w:rPr>
          <w:spacing w:val="80"/>
        </w:rPr>
        <w:t> </w:t>
      </w:r>
      <w:r>
        <w:rPr/>
        <w:t>models,</w:t>
      </w:r>
      <w:r>
        <w:rPr>
          <w:spacing w:val="80"/>
        </w:rPr>
        <w:t> </w:t>
      </w:r>
      <w:r>
        <w:rPr/>
        <w:t>principles,</w:t>
      </w:r>
      <w:r>
        <w:rPr>
          <w:spacing w:val="80"/>
        </w:rPr>
        <w:t> </w:t>
      </w:r>
      <w:r>
        <w:rPr/>
        <w:t>and</w:t>
      </w:r>
      <w:r>
        <w:rPr>
          <w:spacing w:val="80"/>
        </w:rPr>
        <w:t> </w:t>
      </w:r>
      <w:r>
        <w:rPr/>
        <w:t>laws</w:t>
      </w:r>
      <w:r>
        <w:rPr>
          <w:spacing w:val="80"/>
          <w:w w:val="150"/>
        </w:rPr>
        <w:t> </w:t>
      </w:r>
      <w:r>
        <w:rPr/>
        <w:t>that</w:t>
      </w:r>
      <w:r>
        <w:rPr>
          <w:spacing w:val="80"/>
        </w:rPr>
        <w:t> </w:t>
      </w:r>
      <w:r>
        <w:rPr/>
        <w:t>apply</w:t>
      </w:r>
      <w:r>
        <w:rPr>
          <w:spacing w:val="80"/>
        </w:rPr>
        <w:t> </w:t>
      </w:r>
      <w:r>
        <w:rPr/>
        <w:t>to</w:t>
      </w:r>
      <w:r>
        <w:rPr>
          <w:spacing w:val="80"/>
        </w:rPr>
        <w:t> </w:t>
      </w:r>
      <w:r>
        <w:rPr/>
        <w:t>generalized</w:t>
      </w:r>
      <w:r>
        <w:rPr>
          <w:spacing w:val="43"/>
        </w:rPr>
        <w:t> </w:t>
      </w:r>
      <w:r>
        <w:rPr/>
        <w:t>systems</w:t>
      </w:r>
      <w:r>
        <w:rPr>
          <w:spacing w:val="44"/>
        </w:rPr>
        <w:t> </w:t>
      </w:r>
      <w:r>
        <w:rPr/>
        <w:t>or</w:t>
      </w:r>
      <w:r>
        <w:rPr>
          <w:spacing w:val="43"/>
        </w:rPr>
        <w:t> </w:t>
      </w:r>
      <w:r>
        <w:rPr/>
        <w:t>their</w:t>
      </w:r>
      <w:r>
        <w:rPr>
          <w:spacing w:val="44"/>
        </w:rPr>
        <w:t> </w:t>
      </w:r>
      <w:r>
        <w:rPr/>
        <w:t>subclasses,</w:t>
      </w:r>
      <w:r>
        <w:rPr>
          <w:spacing w:val="47"/>
        </w:rPr>
        <w:t> </w:t>
      </w:r>
      <w:r>
        <w:rPr/>
        <w:t>irrespective</w:t>
      </w:r>
      <w:r>
        <w:rPr>
          <w:spacing w:val="47"/>
        </w:rPr>
        <w:t> </w:t>
      </w:r>
      <w:r>
        <w:rPr/>
        <w:t>of</w:t>
      </w:r>
      <w:r>
        <w:rPr>
          <w:spacing w:val="42"/>
        </w:rPr>
        <w:t> </w:t>
      </w:r>
      <w:r>
        <w:rPr>
          <w:spacing w:val="-2"/>
        </w:rPr>
        <w:t>their</w:t>
      </w:r>
    </w:p>
    <w:p>
      <w:pPr>
        <w:pStyle w:val="BodyText"/>
        <w:spacing w:before="191"/>
        <w:ind w:left="0"/>
        <w:jc w:val="left"/>
        <w:rPr>
          <w:sz w:val="20"/>
        </w:rPr>
      </w:pPr>
      <w:r>
        <w:rPr>
          <w:sz w:val="20"/>
        </w:rPr>
        <mc:AlternateContent>
          <mc:Choice Requires="wps">
            <w:drawing>
              <wp:anchor distT="0" distB="0" distL="0" distR="0" allowOverlap="1" layoutInCell="1" locked="0" behindDoc="1" simplePos="0" relativeHeight="487594496">
                <wp:simplePos x="0" y="0"/>
                <wp:positionH relativeFrom="page">
                  <wp:posOffset>1079296</wp:posOffset>
                </wp:positionH>
                <wp:positionV relativeFrom="paragraph">
                  <wp:posOffset>303949</wp:posOffset>
                </wp:positionV>
                <wp:extent cx="1830070" cy="9525"/>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23.93306pt;width:144.07pt;height:.71997pt;mso-position-horizontal-relative:page;mso-position-vertical-relative:paragraph;z-index:-15721984;mso-wrap-distance-left:0;mso-wrap-distance-right:0" id="docshape18" filled="true" fillcolor="#000000" stroked="false">
                <v:fill type="solid"/>
                <w10:wrap type="topAndBottom"/>
              </v:rect>
            </w:pict>
          </mc:Fallback>
        </mc:AlternateContent>
      </w:r>
    </w:p>
    <w:p>
      <w:pPr>
        <w:spacing w:before="102"/>
        <w:ind w:left="979" w:right="1902" w:firstLine="0"/>
        <w:jc w:val="both"/>
        <w:rPr>
          <w:rFonts w:ascii="Calibri" w:hAnsi="Calibri"/>
          <w:sz w:val="20"/>
        </w:rPr>
      </w:pPr>
      <w:r>
        <w:rPr>
          <w:rFonts w:ascii="Calibri" w:hAnsi="Calibri"/>
          <w:sz w:val="20"/>
          <w:vertAlign w:val="superscript"/>
        </w:rPr>
        <w:t>2</w:t>
      </w:r>
      <w:r>
        <w:rPr>
          <w:rFonts w:ascii="Calibri" w:hAnsi="Calibri"/>
          <w:sz w:val="20"/>
          <w:vertAlign w:val="baseline"/>
        </w:rPr>
        <w:t> Mechanistic approach derives from Newtonian worldview, the method which was later applied by the French philosopher Rene Descartes to the human realm; he considered every organism as a ‘mechanical beast.’</w:t>
      </w:r>
    </w:p>
    <w:p>
      <w:pPr>
        <w:spacing w:after="0"/>
        <w:jc w:val="both"/>
        <w:rPr>
          <w:rFonts w:ascii="Calibri" w:hAnsi="Calibri"/>
          <w:sz w:val="20"/>
        </w:rPr>
        <w:sectPr>
          <w:pgSz w:w="12240" w:h="15840"/>
          <w:pgMar w:header="1046" w:footer="0" w:top="1360" w:bottom="280" w:left="720" w:right="360"/>
        </w:sectPr>
      </w:pPr>
    </w:p>
    <w:p>
      <w:pPr>
        <w:pStyle w:val="BodyText"/>
        <w:spacing w:line="276" w:lineRule="auto" w:before="276"/>
        <w:ind w:left="2420" w:right="1908"/>
      </w:pPr>
      <w:r>
        <w:rPr/>
        <mc:AlternateContent>
          <mc:Choice Requires="wps">
            <w:drawing>
              <wp:anchor distT="0" distB="0" distL="0" distR="0" allowOverlap="1" layoutInCell="1" locked="0" behindDoc="0" simplePos="0" relativeHeight="15736320">
                <wp:simplePos x="0" y="0"/>
                <wp:positionH relativeFrom="page">
                  <wp:posOffset>1923923</wp:posOffset>
                </wp:positionH>
                <wp:positionV relativeFrom="paragraph">
                  <wp:posOffset>174084</wp:posOffset>
                </wp:positionV>
                <wp:extent cx="1270" cy="10001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1270" cy="1000125"/>
                        </a:xfrm>
                        <a:custGeom>
                          <a:avLst/>
                          <a:gdLst/>
                          <a:ahLst/>
                          <a:cxnLst/>
                          <a:rect l="l" t="t" r="r" b="b"/>
                          <a:pathLst>
                            <a:path w="0" h="1000125">
                              <a:moveTo>
                                <a:pt x="0" y="0"/>
                              </a:moveTo>
                              <a:lnTo>
                                <a:pt x="0" y="249935"/>
                              </a:lnTo>
                            </a:path>
                            <a:path w="0" h="1000125">
                              <a:moveTo>
                                <a:pt x="0" y="249935"/>
                              </a:moveTo>
                              <a:lnTo>
                                <a:pt x="0" y="499872"/>
                              </a:lnTo>
                            </a:path>
                            <a:path w="0" h="1000125">
                              <a:moveTo>
                                <a:pt x="0" y="499872"/>
                              </a:moveTo>
                              <a:lnTo>
                                <a:pt x="0" y="750188"/>
                              </a:lnTo>
                            </a:path>
                            <a:path w="0" h="1000125">
                              <a:moveTo>
                                <a:pt x="0" y="750188"/>
                              </a:moveTo>
                              <a:lnTo>
                                <a:pt x="0" y="1000125"/>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13.707422pt;width:.1pt;height:78.75pt;mso-position-horizontal-relative:page;mso-position-vertical-relative:paragraph;z-index:15736320" id="docshape19" coordorigin="3030,274" coordsize="0,1575" path="m3030,274l3030,668m3030,668l3030,1061m3030,1061l3030,1456m3030,1456l3030,1849e" filled="false" stroked="true" strokeweight=".48pt" strokecolor="#000000">
                <v:path arrowok="t"/>
                <v:stroke dashstyle="shortdash"/>
                <w10:wrap type="none"/>
              </v:shape>
            </w:pict>
          </mc:Fallback>
        </mc:AlternateContent>
      </w:r>
      <w:r>
        <w:rPr/>
        <w:t>particular kind, the nature of their component elements, and the relations or “forces” between them. It seems legitimate to ask for a theory, not of systems of a more or less special kind, but of universal principles applying to systems in general.”</w:t>
      </w:r>
    </w:p>
    <w:p>
      <w:pPr>
        <w:pStyle w:val="BodyText"/>
        <w:ind w:left="7058"/>
      </w:pPr>
      <w:r>
        <w:rPr/>
        <w:t>(</w:t>
      </w:r>
      <w:hyperlink w:history="true" w:anchor="_bookmark98">
        <w:r>
          <w:rPr/>
          <w:t>Bertalanffy,</w:t>
        </w:r>
        <w:r>
          <w:rPr>
            <w:spacing w:val="-13"/>
          </w:rPr>
          <w:t> </w:t>
        </w:r>
        <w:r>
          <w:rPr>
            <w:spacing w:val="-4"/>
          </w:rPr>
          <w:t>1969</w:t>
        </w:r>
      </w:hyperlink>
      <w:r>
        <w:rPr>
          <w:spacing w:val="-4"/>
        </w:rPr>
        <w:t>)</w:t>
      </w:r>
    </w:p>
    <w:p>
      <w:pPr>
        <w:pStyle w:val="BodyText"/>
        <w:spacing w:before="103"/>
        <w:ind w:left="0"/>
        <w:jc w:val="left"/>
      </w:pPr>
    </w:p>
    <w:p>
      <w:pPr>
        <w:pStyle w:val="BodyText"/>
        <w:spacing w:line="276" w:lineRule="auto"/>
        <w:ind w:right="1910" w:firstLine="720"/>
      </w:pPr>
      <w:r>
        <w:rPr/>
        <w:t>The number of the definitions was set and appropriate terminology had been introduced to build a foundation for the systemic language. This generalization was based on preliminary studies of universal systemic </w:t>
      </w:r>
      <w:r>
        <w:rPr>
          <w:spacing w:val="-2"/>
        </w:rPr>
        <w:t>qualities.</w:t>
      </w:r>
    </w:p>
    <w:p>
      <w:pPr>
        <w:pStyle w:val="BodyText"/>
        <w:spacing w:line="273" w:lineRule="auto"/>
        <w:ind w:right="1908" w:firstLine="720"/>
      </w:pPr>
      <w:r>
        <w:rPr>
          <w:sz w:val="27"/>
        </w:rPr>
        <w:t>Bertalanffy </w:t>
      </w:r>
      <w:r>
        <w:rPr/>
        <w:t>believed that every living organism is an open system as far as it exchanges a matter with the environment.</w:t>
      </w:r>
      <w:r>
        <w:rPr>
          <w:spacing w:val="40"/>
        </w:rPr>
        <w:t> </w:t>
      </w:r>
      <w:r>
        <w:rPr/>
        <w:t>Systems are separated from other systems with the boundaries. The boundaries determine their existence in an environment. For example, living organisms can be distinguished with their forms, social organizations with</w:t>
      </w:r>
      <w:r>
        <w:rPr>
          <w:spacing w:val="40"/>
        </w:rPr>
        <w:t> </w:t>
      </w:r>
      <w:r>
        <w:rPr/>
        <w:t>their formal structure, languages with grammar and so on. In order to describe the logic of the structural</w:t>
      </w:r>
      <w:r>
        <w:rPr>
          <w:spacing w:val="-1"/>
        </w:rPr>
        <w:t> </w:t>
      </w:r>
      <w:r>
        <w:rPr/>
        <w:t>processes</w:t>
      </w:r>
      <w:r>
        <w:rPr>
          <w:spacing w:val="-1"/>
        </w:rPr>
        <w:t> </w:t>
      </w:r>
      <w:r>
        <w:rPr/>
        <w:t>within the system, instead of the broadly utilized concept of equilibrium</w:t>
      </w:r>
      <w:r>
        <w:rPr>
          <w:spacing w:val="40"/>
        </w:rPr>
        <w:t> </w:t>
      </w:r>
      <w:r>
        <w:rPr>
          <w:sz w:val="27"/>
        </w:rPr>
        <w:t>Bertalanffy </w:t>
      </w:r>
      <w:r>
        <w:rPr/>
        <w:t>introduced the idea of a </w:t>
      </w:r>
      <w:r>
        <w:rPr>
          <w:sz w:val="27"/>
        </w:rPr>
        <w:t>steady state </w:t>
      </w:r>
      <w:r>
        <w:rPr/>
        <w:t>of the</w:t>
      </w:r>
      <w:r>
        <w:rPr>
          <w:spacing w:val="-3"/>
        </w:rPr>
        <w:t> </w:t>
      </w:r>
      <w:r>
        <w:rPr/>
        <w:t>system.</w:t>
      </w:r>
      <w:r>
        <w:rPr>
          <w:spacing w:val="-2"/>
        </w:rPr>
        <w:t> </w:t>
      </w:r>
      <w:r>
        <w:rPr/>
        <w:t>He</w:t>
      </w:r>
      <w:r>
        <w:rPr>
          <w:spacing w:val="-3"/>
        </w:rPr>
        <w:t> </w:t>
      </w:r>
      <w:r>
        <w:rPr/>
        <w:t>argued</w:t>
      </w:r>
      <w:r>
        <w:rPr>
          <w:spacing w:val="-5"/>
        </w:rPr>
        <w:t> </w:t>
      </w:r>
      <w:r>
        <w:rPr/>
        <w:t>that:</w:t>
      </w:r>
      <w:r>
        <w:rPr>
          <w:spacing w:val="-5"/>
        </w:rPr>
        <w:t> </w:t>
      </w:r>
      <w:r>
        <w:rPr/>
        <w:t>“An</w:t>
      </w:r>
      <w:r>
        <w:rPr>
          <w:spacing w:val="-2"/>
        </w:rPr>
        <w:t> </w:t>
      </w:r>
      <w:r>
        <w:rPr/>
        <w:t>open</w:t>
      </w:r>
      <w:r>
        <w:rPr>
          <w:spacing w:val="-2"/>
        </w:rPr>
        <w:t> </w:t>
      </w:r>
      <w:r>
        <w:rPr/>
        <w:t>system</w:t>
      </w:r>
      <w:r>
        <w:rPr>
          <w:spacing w:val="-4"/>
        </w:rPr>
        <w:t> </w:t>
      </w:r>
      <w:r>
        <w:rPr/>
        <w:t>may</w:t>
      </w:r>
      <w:r>
        <w:rPr>
          <w:spacing w:val="-3"/>
        </w:rPr>
        <w:t> </w:t>
      </w:r>
      <w:r>
        <w:rPr/>
        <w:t>attain</w:t>
      </w:r>
      <w:r>
        <w:rPr>
          <w:spacing w:val="-2"/>
        </w:rPr>
        <w:t> </w:t>
      </w:r>
      <w:r>
        <w:rPr/>
        <w:t>a</w:t>
      </w:r>
      <w:r>
        <w:rPr>
          <w:spacing w:val="-3"/>
        </w:rPr>
        <w:t> </w:t>
      </w:r>
      <w:r>
        <w:rPr/>
        <w:t>time</w:t>
      </w:r>
      <w:r>
        <w:rPr>
          <w:spacing w:val="-3"/>
        </w:rPr>
        <w:t> </w:t>
      </w:r>
      <w:r>
        <w:rPr/>
        <w:t>independent state where the system remains constant as a whole and in its phases, though there is a continuous flow of components materials. This is called a steady state.” (</w:t>
      </w:r>
      <w:hyperlink w:history="true" w:anchor="_bookmark97">
        <w:r>
          <w:rPr/>
          <w:t>Bertalanffy, 1950, p. 23</w:t>
        </w:r>
      </w:hyperlink>
      <w:r>
        <w:rPr/>
        <w:t>)</w:t>
      </w:r>
    </w:p>
    <w:p>
      <w:pPr>
        <w:pStyle w:val="BodyText"/>
        <w:spacing w:line="276" w:lineRule="auto"/>
        <w:ind w:right="1907" w:firstLine="720"/>
      </w:pPr>
      <w:r>
        <w:rPr>
          <w:sz w:val="27"/>
        </w:rPr>
        <w:t>Bertalanffy </w:t>
      </w:r>
      <w:r>
        <w:rPr/>
        <w:t>observed that in order call the system functional, it should perform the work, but to do so it “must not be in equilibrium, but tending to attain it (</w:t>
      </w:r>
      <w:hyperlink w:history="true" w:anchor="_bookmark97">
        <w:r>
          <w:rPr/>
          <w:t>Bertalanffy, 1950, p. 23</w:t>
        </w:r>
      </w:hyperlink>
      <w:r>
        <w:rPr/>
        <w:t>).” The state of attainement which is constant and irreversible is a steady state.</w:t>
      </w:r>
    </w:p>
    <w:p>
      <w:pPr>
        <w:pStyle w:val="BodyText"/>
        <w:spacing w:line="273" w:lineRule="auto"/>
        <w:ind w:right="1911" w:firstLine="720"/>
      </w:pPr>
      <w:r>
        <w:rPr/>
        <w:t>Another</w:t>
      </w:r>
      <w:r>
        <w:rPr>
          <w:spacing w:val="-4"/>
        </w:rPr>
        <w:t> </w:t>
      </w:r>
      <w:r>
        <w:rPr/>
        <w:t>important</w:t>
      </w:r>
      <w:r>
        <w:rPr>
          <w:spacing w:val="-5"/>
        </w:rPr>
        <w:t> </w:t>
      </w:r>
      <w:r>
        <w:rPr/>
        <w:t>concept linked</w:t>
      </w:r>
      <w:r>
        <w:rPr>
          <w:spacing w:val="-4"/>
        </w:rPr>
        <w:t> </w:t>
      </w:r>
      <w:r>
        <w:rPr/>
        <w:t>with the researches</w:t>
      </w:r>
      <w:r>
        <w:rPr>
          <w:spacing w:val="-6"/>
        </w:rPr>
        <w:t> </w:t>
      </w:r>
      <w:r>
        <w:rPr/>
        <w:t>of</w:t>
      </w:r>
      <w:r>
        <w:rPr>
          <w:spacing w:val="-4"/>
        </w:rPr>
        <w:t> </w:t>
      </w:r>
      <w:r>
        <w:rPr>
          <w:sz w:val="27"/>
        </w:rPr>
        <w:t>Bertalanffy </w:t>
      </w:r>
      <w:r>
        <w:rPr/>
        <w:t>is </w:t>
      </w:r>
      <w:r>
        <w:rPr>
          <w:sz w:val="27"/>
        </w:rPr>
        <w:t>Equifinality</w:t>
      </w:r>
      <w:r>
        <w:rPr/>
        <w:t>. Unlike the phisycal systems, where the final state is determined by the initial conditions, argued he, in living systems “the final state may be reached from different initial conditions and in different ways.” (</w:t>
      </w:r>
      <w:hyperlink w:history="true" w:anchor="_bookmark97">
        <w:r>
          <w:rPr/>
          <w:t>Bertalanffy, 1950, p. 25</w:t>
        </w:r>
      </w:hyperlink>
      <w:r>
        <w:rPr/>
        <w:t>)</w:t>
      </w:r>
    </w:p>
    <w:p>
      <w:pPr>
        <w:pStyle w:val="BodyText"/>
        <w:spacing w:after="0" w:line="273" w:lineRule="auto"/>
        <w:sectPr>
          <w:pgSz w:w="12240" w:h="15840"/>
          <w:pgMar w:header="1046" w:footer="0" w:top="1360" w:bottom="280" w:left="720" w:right="360"/>
        </w:sectPr>
      </w:pPr>
    </w:p>
    <w:p>
      <w:pPr>
        <w:pStyle w:val="BodyText"/>
        <w:spacing w:line="276" w:lineRule="auto" w:before="266"/>
        <w:ind w:right="1903" w:firstLine="720"/>
      </w:pPr>
      <w:r>
        <w:rPr/>
        <w:t>With</w:t>
      </w:r>
      <w:r>
        <w:rPr>
          <w:spacing w:val="-1"/>
        </w:rPr>
        <w:t> </w:t>
      </w:r>
      <w:r>
        <w:rPr/>
        <w:t>the</w:t>
      </w:r>
      <w:r>
        <w:rPr>
          <w:spacing w:val="-1"/>
        </w:rPr>
        <w:t> </w:t>
      </w:r>
      <w:r>
        <w:rPr/>
        <w:t>idea</w:t>
      </w:r>
      <w:r>
        <w:rPr>
          <w:spacing w:val="-1"/>
        </w:rPr>
        <w:t> </w:t>
      </w:r>
      <w:r>
        <w:rPr/>
        <w:t>of</w:t>
      </w:r>
      <w:r>
        <w:rPr>
          <w:spacing w:val="-2"/>
        </w:rPr>
        <w:t> </w:t>
      </w:r>
      <w:r>
        <w:rPr/>
        <w:t>the</w:t>
      </w:r>
      <w:r>
        <w:rPr>
          <w:spacing w:val="-1"/>
        </w:rPr>
        <w:t> </w:t>
      </w:r>
      <w:r>
        <w:rPr/>
        <w:t>theorizing</w:t>
      </w:r>
      <w:r>
        <w:rPr>
          <w:spacing w:val="-1"/>
        </w:rPr>
        <w:t> </w:t>
      </w:r>
      <w:r>
        <w:rPr/>
        <w:t>the</w:t>
      </w:r>
      <w:r>
        <w:rPr>
          <w:spacing w:val="-1"/>
        </w:rPr>
        <w:t> </w:t>
      </w:r>
      <w:r>
        <w:rPr/>
        <w:t>systems thinking </w:t>
      </w:r>
      <w:r>
        <w:rPr>
          <w:sz w:val="27"/>
        </w:rPr>
        <w:t>Bertalanffy</w:t>
      </w:r>
      <w:r>
        <w:rPr>
          <w:spacing w:val="-2"/>
          <w:sz w:val="27"/>
        </w:rPr>
        <w:t> </w:t>
      </w:r>
      <w:r>
        <w:rPr/>
        <w:t>was not alone, several researches had been held even before his formative book was published in 1968. However, his role for the systems movement was of utmost importance.</w:t>
      </w:r>
    </w:p>
    <w:p>
      <w:pPr>
        <w:spacing w:line="340" w:lineRule="exact" w:before="0"/>
        <w:ind w:left="1700" w:right="0" w:firstLine="0"/>
        <w:jc w:val="both"/>
        <w:rPr>
          <w:sz w:val="26"/>
        </w:rPr>
      </w:pPr>
      <w:r>
        <w:rPr>
          <w:sz w:val="27"/>
        </w:rPr>
        <w:t>Kenneth</w:t>
      </w:r>
      <w:r>
        <w:rPr>
          <w:spacing w:val="47"/>
          <w:sz w:val="27"/>
        </w:rPr>
        <w:t> </w:t>
      </w:r>
      <w:r>
        <w:rPr>
          <w:sz w:val="27"/>
        </w:rPr>
        <w:t>E.</w:t>
      </w:r>
      <w:r>
        <w:rPr>
          <w:spacing w:val="49"/>
          <w:sz w:val="27"/>
        </w:rPr>
        <w:t> </w:t>
      </w:r>
      <w:r>
        <w:rPr>
          <w:sz w:val="27"/>
        </w:rPr>
        <w:t>Boulding</w:t>
      </w:r>
      <w:r>
        <w:rPr>
          <w:spacing w:val="50"/>
          <w:sz w:val="27"/>
        </w:rPr>
        <w:t>  </w:t>
      </w:r>
      <w:r>
        <w:rPr>
          <w:sz w:val="26"/>
        </w:rPr>
        <w:t>wrote</w:t>
      </w:r>
      <w:r>
        <w:rPr>
          <w:spacing w:val="52"/>
          <w:sz w:val="26"/>
        </w:rPr>
        <w:t> </w:t>
      </w:r>
      <w:r>
        <w:rPr>
          <w:sz w:val="26"/>
        </w:rPr>
        <w:t>a</w:t>
      </w:r>
      <w:r>
        <w:rPr>
          <w:spacing w:val="54"/>
          <w:sz w:val="26"/>
        </w:rPr>
        <w:t> </w:t>
      </w:r>
      <w:r>
        <w:rPr>
          <w:sz w:val="26"/>
        </w:rPr>
        <w:t>seminal</w:t>
      </w:r>
      <w:r>
        <w:rPr>
          <w:spacing w:val="53"/>
          <w:sz w:val="26"/>
        </w:rPr>
        <w:t> </w:t>
      </w:r>
      <w:r>
        <w:rPr>
          <w:sz w:val="26"/>
        </w:rPr>
        <w:t>article</w:t>
      </w:r>
      <w:r>
        <w:rPr>
          <w:spacing w:val="52"/>
          <w:sz w:val="26"/>
        </w:rPr>
        <w:t> </w:t>
      </w:r>
      <w:r>
        <w:rPr>
          <w:sz w:val="26"/>
        </w:rPr>
        <w:t>about</w:t>
      </w:r>
      <w:r>
        <w:rPr>
          <w:spacing w:val="54"/>
          <w:sz w:val="26"/>
        </w:rPr>
        <w:t> </w:t>
      </w:r>
      <w:r>
        <w:rPr>
          <w:sz w:val="26"/>
        </w:rPr>
        <w:t>the</w:t>
      </w:r>
      <w:r>
        <w:rPr>
          <w:spacing w:val="52"/>
          <w:sz w:val="26"/>
        </w:rPr>
        <w:t> </w:t>
      </w:r>
      <w:r>
        <w:rPr>
          <w:spacing w:val="-2"/>
          <w:sz w:val="26"/>
        </w:rPr>
        <w:t>General</w:t>
      </w:r>
    </w:p>
    <w:p>
      <w:pPr>
        <w:pStyle w:val="BodyText"/>
        <w:spacing w:line="276" w:lineRule="auto" w:before="38"/>
        <w:ind w:right="1905"/>
        <w:jc w:val="right"/>
      </w:pPr>
      <w:r>
        <w:rPr/>
        <w:t>Systems</w:t>
      </w:r>
      <w:r>
        <w:rPr>
          <w:spacing w:val="-13"/>
        </w:rPr>
        <w:t> </w:t>
      </w:r>
      <w:r>
        <w:rPr/>
        <w:t>Theory</w:t>
      </w:r>
      <w:r>
        <w:rPr>
          <w:spacing w:val="-9"/>
        </w:rPr>
        <w:t> </w:t>
      </w:r>
      <w:r>
        <w:rPr/>
        <w:t>–</w:t>
      </w:r>
      <w:r>
        <w:rPr>
          <w:spacing w:val="-11"/>
        </w:rPr>
        <w:t> </w:t>
      </w:r>
      <w:r>
        <w:rPr>
          <w:sz w:val="27"/>
        </w:rPr>
        <w:t>GST</w:t>
      </w:r>
      <w:r>
        <w:rPr>
          <w:spacing w:val="-13"/>
          <w:sz w:val="27"/>
        </w:rPr>
        <w:t> </w:t>
      </w:r>
      <w:r>
        <w:rPr>
          <w:sz w:val="27"/>
        </w:rPr>
        <w:t>the</w:t>
      </w:r>
      <w:r>
        <w:rPr>
          <w:spacing w:val="-12"/>
          <w:sz w:val="27"/>
        </w:rPr>
        <w:t> </w:t>
      </w:r>
      <w:r>
        <w:rPr>
          <w:sz w:val="27"/>
        </w:rPr>
        <w:t>skeleton</w:t>
      </w:r>
      <w:r>
        <w:rPr>
          <w:spacing w:val="-13"/>
          <w:sz w:val="27"/>
        </w:rPr>
        <w:t> </w:t>
      </w:r>
      <w:r>
        <w:rPr>
          <w:sz w:val="27"/>
        </w:rPr>
        <w:t>of</w:t>
      </w:r>
      <w:r>
        <w:rPr>
          <w:spacing w:val="-13"/>
          <w:sz w:val="27"/>
        </w:rPr>
        <w:t> </w:t>
      </w:r>
      <w:r>
        <w:rPr>
          <w:sz w:val="27"/>
        </w:rPr>
        <w:t>science.</w:t>
      </w:r>
      <w:r>
        <w:rPr>
          <w:spacing w:val="-12"/>
          <w:sz w:val="27"/>
        </w:rPr>
        <w:t> </w:t>
      </w:r>
      <w:r>
        <w:rPr/>
        <w:t>(Boulding,</w:t>
      </w:r>
      <w:r>
        <w:rPr>
          <w:spacing w:val="-11"/>
        </w:rPr>
        <w:t> </w:t>
      </w:r>
      <w:r>
        <w:rPr/>
        <w:t>1956)</w:t>
      </w:r>
      <w:r>
        <w:rPr>
          <w:spacing w:val="40"/>
        </w:rPr>
        <w:t> </w:t>
      </w:r>
      <w:r>
        <w:rPr/>
        <w:t>The</w:t>
      </w:r>
      <w:r>
        <w:rPr>
          <w:spacing w:val="-11"/>
        </w:rPr>
        <w:t> </w:t>
      </w:r>
      <w:r>
        <w:rPr/>
        <w:t>author attempted to present the epistemic framework of the universalized systems approach.</w:t>
      </w:r>
      <w:r>
        <w:rPr>
          <w:spacing w:val="79"/>
        </w:rPr>
        <w:t> </w:t>
      </w:r>
      <w:r>
        <w:rPr/>
        <w:t>He</w:t>
      </w:r>
      <w:r>
        <w:rPr>
          <w:spacing w:val="77"/>
        </w:rPr>
        <w:t> </w:t>
      </w:r>
      <w:r>
        <w:rPr/>
        <w:t>argued</w:t>
      </w:r>
      <w:r>
        <w:rPr>
          <w:spacing w:val="78"/>
        </w:rPr>
        <w:t> </w:t>
      </w:r>
      <w:r>
        <w:rPr/>
        <w:t>that</w:t>
      </w:r>
      <w:r>
        <w:rPr>
          <w:spacing w:val="77"/>
        </w:rPr>
        <w:t> </w:t>
      </w:r>
      <w:r>
        <w:rPr/>
        <w:t>the</w:t>
      </w:r>
      <w:r>
        <w:rPr>
          <w:spacing w:val="77"/>
        </w:rPr>
        <w:t> </w:t>
      </w:r>
      <w:r>
        <w:rPr/>
        <w:t>General</w:t>
      </w:r>
      <w:r>
        <w:rPr>
          <w:spacing w:val="75"/>
        </w:rPr>
        <w:t> </w:t>
      </w:r>
      <w:r>
        <w:rPr/>
        <w:t>Systems</w:t>
      </w:r>
      <w:r>
        <w:rPr>
          <w:spacing w:val="75"/>
        </w:rPr>
        <w:t> </w:t>
      </w:r>
      <w:r>
        <w:rPr/>
        <w:t>Theory</w:t>
      </w:r>
      <w:r>
        <w:rPr>
          <w:spacing w:val="80"/>
        </w:rPr>
        <w:t> </w:t>
      </w:r>
      <w:r>
        <w:rPr/>
        <w:t>was</w:t>
      </w:r>
      <w:r>
        <w:rPr>
          <w:spacing w:val="75"/>
        </w:rPr>
        <w:t> </w:t>
      </w:r>
      <w:r>
        <w:rPr/>
        <w:t>not</w:t>
      </w:r>
      <w:r>
        <w:rPr>
          <w:spacing w:val="77"/>
        </w:rPr>
        <w:t> </w:t>
      </w:r>
      <w:r>
        <w:rPr/>
        <w:t>to</w:t>
      </w:r>
      <w:r>
        <w:rPr>
          <w:spacing w:val="79"/>
        </w:rPr>
        <w:t> </w:t>
      </w:r>
      <w:r>
        <w:rPr/>
        <w:t>be confused</w:t>
      </w:r>
      <w:r>
        <w:rPr>
          <w:spacing w:val="-2"/>
        </w:rPr>
        <w:t> </w:t>
      </w:r>
      <w:r>
        <w:rPr/>
        <w:t>with</w:t>
      </w:r>
      <w:r>
        <w:rPr>
          <w:spacing w:val="-4"/>
        </w:rPr>
        <w:t> </w:t>
      </w:r>
      <w:r>
        <w:rPr/>
        <w:t>“general</w:t>
      </w:r>
      <w:r>
        <w:rPr>
          <w:spacing w:val="-6"/>
        </w:rPr>
        <w:t> </w:t>
      </w:r>
      <w:r>
        <w:rPr/>
        <w:t>theory</w:t>
      </w:r>
      <w:r>
        <w:rPr>
          <w:spacing w:val="-4"/>
        </w:rPr>
        <w:t> </w:t>
      </w:r>
      <w:r>
        <w:rPr/>
        <w:t>of</w:t>
      </w:r>
      <w:r>
        <w:rPr>
          <w:spacing w:val="-5"/>
        </w:rPr>
        <w:t> </w:t>
      </w:r>
      <w:r>
        <w:rPr/>
        <w:t>practically everything”</w:t>
      </w:r>
      <w:r>
        <w:rPr>
          <w:spacing w:val="-4"/>
        </w:rPr>
        <w:t> </w:t>
      </w:r>
      <w:r>
        <w:rPr/>
        <w:t>because</w:t>
      </w:r>
      <w:r>
        <w:rPr>
          <w:spacing w:val="-4"/>
        </w:rPr>
        <w:t> </w:t>
      </w:r>
      <w:r>
        <w:rPr/>
        <w:t>“practicaly everything</w:t>
      </w:r>
      <w:r>
        <w:rPr>
          <w:spacing w:val="-2"/>
        </w:rPr>
        <w:t> </w:t>
      </w:r>
      <w:r>
        <w:rPr/>
        <w:t>is</w:t>
      </w:r>
      <w:r>
        <w:rPr>
          <w:spacing w:val="-4"/>
        </w:rPr>
        <w:t> </w:t>
      </w:r>
      <w:r>
        <w:rPr/>
        <w:t>almost</w:t>
      </w:r>
      <w:r>
        <w:rPr>
          <w:spacing w:val="-2"/>
        </w:rPr>
        <w:t> </w:t>
      </w:r>
      <w:r>
        <w:rPr/>
        <w:t>nothing.”(</w:t>
      </w:r>
      <w:hyperlink w:history="true" w:anchor="_bookmark111">
        <w:r>
          <w:rPr/>
          <w:t>1956,</w:t>
        </w:r>
        <w:r>
          <w:rPr>
            <w:spacing w:val="-5"/>
          </w:rPr>
          <w:t> </w:t>
        </w:r>
        <w:r>
          <w:rPr/>
          <w:t>p.</w:t>
        </w:r>
        <w:r>
          <w:rPr>
            <w:spacing w:val="-1"/>
          </w:rPr>
          <w:t> </w:t>
        </w:r>
        <w:r>
          <w:rPr/>
          <w:t>197</w:t>
        </w:r>
      </w:hyperlink>
      <w:r>
        <w:rPr/>
        <w:t>)</w:t>
      </w:r>
      <w:r>
        <w:rPr>
          <w:spacing w:val="-10"/>
        </w:rPr>
        <w:t> </w:t>
      </w:r>
      <w:r>
        <w:rPr/>
        <w:t>Instead,</w:t>
      </w:r>
      <w:r>
        <w:rPr>
          <w:spacing w:val="-1"/>
        </w:rPr>
        <w:t> </w:t>
      </w:r>
      <w:r>
        <w:rPr/>
        <w:t>the</w:t>
      </w:r>
      <w:r>
        <w:rPr>
          <w:spacing w:val="-2"/>
        </w:rPr>
        <w:t> </w:t>
      </w:r>
      <w:r>
        <w:rPr/>
        <w:t>aim</w:t>
      </w:r>
      <w:r>
        <w:rPr>
          <w:spacing w:val="-4"/>
        </w:rPr>
        <w:t> </w:t>
      </w:r>
      <w:r>
        <w:rPr/>
        <w:t>of</w:t>
      </w:r>
      <w:r>
        <w:rPr>
          <w:spacing w:val="-3"/>
        </w:rPr>
        <w:t> </w:t>
      </w:r>
      <w:r>
        <w:rPr/>
        <w:t>the</w:t>
      </w:r>
      <w:r>
        <w:rPr>
          <w:spacing w:val="-2"/>
        </w:rPr>
        <w:t> </w:t>
      </w:r>
      <w:r>
        <w:rPr/>
        <w:t>GST</w:t>
      </w:r>
      <w:r>
        <w:rPr>
          <w:spacing w:val="-5"/>
        </w:rPr>
        <w:t> </w:t>
      </w:r>
      <w:r>
        <w:rPr/>
        <w:t>was to</w:t>
      </w:r>
      <w:r>
        <w:rPr>
          <w:spacing w:val="40"/>
        </w:rPr>
        <w:t> </w:t>
      </w:r>
      <w:r>
        <w:rPr/>
        <w:t>find</w:t>
      </w:r>
      <w:r>
        <w:rPr>
          <w:spacing w:val="40"/>
        </w:rPr>
        <w:t> </w:t>
      </w:r>
      <w:r>
        <w:rPr/>
        <w:t>an</w:t>
      </w:r>
      <w:r>
        <w:rPr>
          <w:spacing w:val="40"/>
        </w:rPr>
        <w:t> </w:t>
      </w:r>
      <w:r>
        <w:rPr/>
        <w:t>‘optimum</w:t>
      </w:r>
      <w:r>
        <w:rPr>
          <w:spacing w:val="40"/>
        </w:rPr>
        <w:t> </w:t>
      </w:r>
      <w:r>
        <w:rPr/>
        <w:t>degree</w:t>
      </w:r>
      <w:r>
        <w:rPr>
          <w:spacing w:val="40"/>
        </w:rPr>
        <w:t> </w:t>
      </w:r>
      <w:r>
        <w:rPr/>
        <w:t>of</w:t>
      </w:r>
      <w:r>
        <w:rPr>
          <w:spacing w:val="40"/>
        </w:rPr>
        <w:t> </w:t>
      </w:r>
      <w:r>
        <w:rPr/>
        <w:t>generality.’</w:t>
      </w:r>
      <w:r>
        <w:rPr>
          <w:spacing w:val="40"/>
        </w:rPr>
        <w:t> </w:t>
      </w:r>
      <w:r>
        <w:rPr/>
        <w:t>This</w:t>
      </w:r>
      <w:r>
        <w:rPr>
          <w:spacing w:val="40"/>
        </w:rPr>
        <w:t> </w:t>
      </w:r>
      <w:r>
        <w:rPr/>
        <w:t>‘generality’</w:t>
      </w:r>
      <w:r>
        <w:rPr>
          <w:spacing w:val="40"/>
        </w:rPr>
        <w:t> </w:t>
      </w:r>
      <w:r>
        <w:rPr/>
        <w:t>also</w:t>
      </w:r>
      <w:r>
        <w:rPr>
          <w:spacing w:val="40"/>
        </w:rPr>
        <w:t> </w:t>
      </w:r>
      <w:r>
        <w:rPr/>
        <w:t>meant</w:t>
      </w:r>
      <w:r>
        <w:rPr>
          <w:spacing w:val="80"/>
        </w:rPr>
        <w:t> </w:t>
      </w:r>
      <w:r>
        <w:rPr/>
        <w:t>developing</w:t>
      </w:r>
      <w:r>
        <w:rPr>
          <w:spacing w:val="40"/>
        </w:rPr>
        <w:t> </w:t>
      </w:r>
      <w:r>
        <w:rPr/>
        <w:t>the</w:t>
      </w:r>
      <w:r>
        <w:rPr>
          <w:spacing w:val="40"/>
        </w:rPr>
        <w:t> </w:t>
      </w:r>
      <w:r>
        <w:rPr/>
        <w:t>‘generalized</w:t>
      </w:r>
      <w:r>
        <w:rPr>
          <w:spacing w:val="40"/>
        </w:rPr>
        <w:t> </w:t>
      </w:r>
      <w:r>
        <w:rPr/>
        <w:t>ears’</w:t>
      </w:r>
      <w:r>
        <w:rPr>
          <w:spacing w:val="40"/>
        </w:rPr>
        <w:t> </w:t>
      </w:r>
      <w:r>
        <w:rPr/>
        <w:t>so</w:t>
      </w:r>
      <w:r>
        <w:rPr>
          <w:spacing w:val="40"/>
        </w:rPr>
        <w:t> </w:t>
      </w:r>
      <w:r>
        <w:rPr/>
        <w:t>that</w:t>
      </w:r>
      <w:r>
        <w:rPr>
          <w:spacing w:val="40"/>
        </w:rPr>
        <w:t> </w:t>
      </w:r>
      <w:r>
        <w:rPr/>
        <w:t>the</w:t>
      </w:r>
      <w:r>
        <w:rPr>
          <w:spacing w:val="40"/>
        </w:rPr>
        <w:t> </w:t>
      </w:r>
      <w:r>
        <w:rPr/>
        <w:t>scientists</w:t>
      </w:r>
      <w:r>
        <w:rPr>
          <w:spacing w:val="40"/>
        </w:rPr>
        <w:t> </w:t>
      </w:r>
      <w:r>
        <w:rPr/>
        <w:t>from</w:t>
      </w:r>
      <w:r>
        <w:rPr>
          <w:spacing w:val="40"/>
        </w:rPr>
        <w:t> </w:t>
      </w:r>
      <w:r>
        <w:rPr/>
        <w:t>the</w:t>
      </w:r>
      <w:r>
        <w:rPr>
          <w:spacing w:val="40"/>
        </w:rPr>
        <w:t> </w:t>
      </w:r>
      <w:r>
        <w:rPr/>
        <w:t>various fields could listen to</w:t>
      </w:r>
      <w:r>
        <w:rPr>
          <w:spacing w:val="-1"/>
        </w:rPr>
        <w:t> </w:t>
      </w:r>
      <w:r>
        <w:rPr/>
        <w:t>each other</w:t>
      </w:r>
      <w:r>
        <w:rPr>
          <w:spacing w:val="-2"/>
        </w:rPr>
        <w:t> </w:t>
      </w:r>
      <w:r>
        <w:rPr/>
        <w:t>and contribute to</w:t>
      </w:r>
      <w:r>
        <w:rPr>
          <w:spacing w:val="-1"/>
        </w:rPr>
        <w:t> </w:t>
      </w:r>
      <w:r>
        <w:rPr/>
        <w:t>the</w:t>
      </w:r>
      <w:r>
        <w:rPr>
          <w:spacing w:val="-3"/>
        </w:rPr>
        <w:t> </w:t>
      </w:r>
      <w:r>
        <w:rPr/>
        <w:t>growth</w:t>
      </w:r>
      <w:r>
        <w:rPr>
          <w:spacing w:val="-2"/>
        </w:rPr>
        <w:t> </w:t>
      </w:r>
      <w:r>
        <w:rPr/>
        <w:t>of knowledge.</w:t>
      </w:r>
    </w:p>
    <w:p>
      <w:pPr>
        <w:pStyle w:val="BodyText"/>
        <w:spacing w:line="340" w:lineRule="exact"/>
        <w:ind w:right="1905"/>
        <w:jc w:val="right"/>
      </w:pPr>
      <w:r>
        <w:rPr>
          <w:sz w:val="27"/>
        </w:rPr>
        <w:t>Boulding</w:t>
      </w:r>
      <w:r>
        <w:rPr>
          <w:spacing w:val="15"/>
          <w:sz w:val="27"/>
        </w:rPr>
        <w:t> </w:t>
      </w:r>
      <w:r>
        <w:rPr/>
        <w:t>proposed</w:t>
      </w:r>
      <w:r>
        <w:rPr>
          <w:spacing w:val="17"/>
        </w:rPr>
        <w:t> </w:t>
      </w:r>
      <w:r>
        <w:rPr/>
        <w:t>two</w:t>
      </w:r>
      <w:r>
        <w:rPr>
          <w:spacing w:val="13"/>
        </w:rPr>
        <w:t> </w:t>
      </w:r>
      <w:r>
        <w:rPr/>
        <w:t>directions</w:t>
      </w:r>
      <w:r>
        <w:rPr>
          <w:spacing w:val="14"/>
        </w:rPr>
        <w:t> </w:t>
      </w:r>
      <w:r>
        <w:rPr/>
        <w:t>that</w:t>
      </w:r>
      <w:r>
        <w:rPr>
          <w:spacing w:val="17"/>
        </w:rPr>
        <w:t> </w:t>
      </w:r>
      <w:r>
        <w:rPr/>
        <w:t>the</w:t>
      </w:r>
      <w:r>
        <w:rPr>
          <w:spacing w:val="15"/>
        </w:rPr>
        <w:t> </w:t>
      </w:r>
      <w:r>
        <w:rPr/>
        <w:t>GST</w:t>
      </w:r>
      <w:r>
        <w:rPr>
          <w:spacing w:val="18"/>
        </w:rPr>
        <w:t> </w:t>
      </w:r>
      <w:r>
        <w:rPr/>
        <w:t>could</w:t>
      </w:r>
      <w:r>
        <w:rPr>
          <w:spacing w:val="17"/>
        </w:rPr>
        <w:t> </w:t>
      </w:r>
      <w:r>
        <w:rPr/>
        <w:t>take;</w:t>
      </w:r>
      <w:r>
        <w:rPr>
          <w:spacing w:val="18"/>
        </w:rPr>
        <w:t> </w:t>
      </w:r>
      <w:r>
        <w:rPr/>
        <w:t>the</w:t>
      </w:r>
      <w:r>
        <w:rPr>
          <w:spacing w:val="15"/>
        </w:rPr>
        <w:t> </w:t>
      </w:r>
      <w:r>
        <w:rPr>
          <w:spacing w:val="-2"/>
        </w:rPr>
        <w:t>first</w:t>
      </w:r>
    </w:p>
    <w:p>
      <w:pPr>
        <w:pStyle w:val="BodyText"/>
        <w:spacing w:line="273" w:lineRule="auto" w:before="48"/>
        <w:ind w:right="1905"/>
      </w:pPr>
      <w:r>
        <w:rPr/>
        <w:t>one was to 'look over empirical universe and to pick out a certain general </w:t>
      </w:r>
      <w:r>
        <w:rPr>
          <w:sz w:val="27"/>
        </w:rPr>
        <w:t>phenomena</w:t>
      </w:r>
      <w:r>
        <w:rPr/>
        <w:t>.’ after doing so, the observer should attempt to build general theoretical models - relevant across the disciplines. For instance, if we decided to study the 'growth' phenomena, we would be able to find it’s materializations in living organisms and in social organizations. We could then compare those materializations against each other and find some universal elements, inscription of which, could give a basic model of universal concept.</w:t>
      </w:r>
    </w:p>
    <w:p>
      <w:pPr>
        <w:pStyle w:val="BodyText"/>
        <w:spacing w:line="271" w:lineRule="auto" w:before="12"/>
        <w:ind w:right="1903" w:firstLine="720"/>
      </w:pPr>
      <w:r>
        <w:rPr/>
        <w:t>The second approach implied placing the empirical fields in a "hierarchy of complexity of organization of their basic individual or unit behavior, and try to develop a level of abstraction appropriate to each.” (Boulding, 1956) This method creates the ‘system of systems.’ According to the author, we can identify nine hierarchical categories: 1) </w:t>
      </w:r>
      <w:r>
        <w:rPr>
          <w:sz w:val="27"/>
        </w:rPr>
        <w:t>Framework </w:t>
      </w:r>
      <w:r>
        <w:rPr/>
        <w:t>- descriptive level of the general structure of the system; 2) </w:t>
      </w:r>
      <w:r>
        <w:rPr>
          <w:sz w:val="27"/>
        </w:rPr>
        <w:t>Clockworks – </w:t>
      </w:r>
      <w:r>
        <w:rPr/>
        <w:t>or mechanical level, where the motion follows predetermined logic; 3) </w:t>
      </w:r>
      <w:r>
        <w:rPr>
          <w:sz w:val="27"/>
        </w:rPr>
        <w:t>Thermostat – </w:t>
      </w:r>
      <w:r>
        <w:rPr/>
        <w:t>serves for effective transmition and interpretation of the information,</w:t>
      </w:r>
      <w:r>
        <w:rPr>
          <w:spacing w:val="-1"/>
        </w:rPr>
        <w:t> </w:t>
      </w:r>
      <w:r>
        <w:rPr/>
        <w:t>and</w:t>
      </w:r>
      <w:r>
        <w:rPr>
          <w:spacing w:val="-1"/>
        </w:rPr>
        <w:t> </w:t>
      </w:r>
      <w:r>
        <w:rPr/>
        <w:t>keeps</w:t>
      </w:r>
      <w:r>
        <w:rPr>
          <w:spacing w:val="-4"/>
        </w:rPr>
        <w:t> </w:t>
      </w:r>
      <w:r>
        <w:rPr/>
        <w:t>temperature</w:t>
      </w:r>
      <w:r>
        <w:rPr>
          <w:spacing w:val="-2"/>
        </w:rPr>
        <w:t> </w:t>
      </w:r>
      <w:r>
        <w:rPr/>
        <w:t>on</w:t>
      </w:r>
      <w:r>
        <w:rPr>
          <w:spacing w:val="-1"/>
        </w:rPr>
        <w:t> </w:t>
      </w:r>
      <w:r>
        <w:rPr/>
        <w:t>acceptable level; 4) </w:t>
      </w:r>
      <w:r>
        <w:rPr>
          <w:sz w:val="27"/>
        </w:rPr>
        <w:t>Level</w:t>
      </w:r>
      <w:r>
        <w:rPr>
          <w:spacing w:val="-4"/>
          <w:sz w:val="27"/>
        </w:rPr>
        <w:t> </w:t>
      </w:r>
      <w:r>
        <w:rPr>
          <w:sz w:val="27"/>
        </w:rPr>
        <w:t>of</w:t>
      </w:r>
      <w:r>
        <w:rPr>
          <w:spacing w:val="-3"/>
          <w:sz w:val="27"/>
        </w:rPr>
        <w:t> </w:t>
      </w:r>
      <w:r>
        <w:rPr>
          <w:sz w:val="27"/>
        </w:rPr>
        <w:t>the</w:t>
      </w:r>
      <w:r>
        <w:rPr>
          <w:spacing w:val="-4"/>
          <w:sz w:val="27"/>
        </w:rPr>
        <w:t> </w:t>
      </w:r>
      <w:r>
        <w:rPr>
          <w:sz w:val="27"/>
        </w:rPr>
        <w:t>cell </w:t>
      </w:r>
      <w:r>
        <w:rPr/>
        <w:t>or </w:t>
      </w:r>
      <w:r>
        <w:rPr>
          <w:sz w:val="27"/>
        </w:rPr>
        <w:t>Open system </w:t>
      </w:r>
      <w:r>
        <w:rPr/>
        <w:t>level where life begins to differentiate itself with non-life,</w:t>
      </w:r>
    </w:p>
    <w:p>
      <w:pPr>
        <w:pStyle w:val="BodyText"/>
        <w:spacing w:after="0" w:line="271" w:lineRule="auto"/>
        <w:sectPr>
          <w:pgSz w:w="12240" w:h="15840"/>
          <w:pgMar w:header="1046" w:footer="0" w:top="1360" w:bottom="280" w:left="720" w:right="360"/>
        </w:sectPr>
      </w:pPr>
    </w:p>
    <w:p>
      <w:pPr>
        <w:spacing w:line="268" w:lineRule="auto" w:before="276"/>
        <w:ind w:left="979" w:right="1905" w:firstLine="0"/>
        <w:jc w:val="both"/>
        <w:rPr>
          <w:sz w:val="27"/>
        </w:rPr>
      </w:pPr>
      <w:r>
        <w:rPr>
          <w:sz w:val="26"/>
        </w:rPr>
        <w:t>cell includes two main characteristics, self-maintenance and self- reproduction; 5) </w:t>
      </w:r>
      <w:r>
        <w:rPr>
          <w:sz w:val="27"/>
        </w:rPr>
        <w:t>Genetic-societal level </w:t>
      </w:r>
      <w:r>
        <w:rPr>
          <w:sz w:val="26"/>
        </w:rPr>
        <w:t>can be observed in plants where we can find division of labor among cells; 6) </w:t>
      </w:r>
      <w:r>
        <w:rPr>
          <w:sz w:val="27"/>
        </w:rPr>
        <w:t>Animal Level – </w:t>
      </w:r>
      <w:r>
        <w:rPr>
          <w:sz w:val="26"/>
        </w:rPr>
        <w:t>which characterizes with increased mobility teleological behavior and self- awareness; 7) </w:t>
      </w:r>
      <w:r>
        <w:rPr>
          <w:sz w:val="27"/>
        </w:rPr>
        <w:t>Human Level </w:t>
      </w:r>
      <w:r>
        <w:rPr>
          <w:sz w:val="26"/>
        </w:rPr>
        <w:t>– includes animal characteristics plus consciousness which is more than just self-awareness; 8) level of </w:t>
      </w:r>
      <w:r>
        <w:rPr>
          <w:sz w:val="27"/>
        </w:rPr>
        <w:t>Social organizations</w:t>
      </w:r>
      <w:r>
        <w:rPr>
          <w:spacing w:val="-12"/>
          <w:sz w:val="27"/>
        </w:rPr>
        <w:t> </w:t>
      </w:r>
      <w:r>
        <w:rPr>
          <w:sz w:val="26"/>
        </w:rPr>
        <w:t>and</w:t>
      </w:r>
      <w:r>
        <w:rPr>
          <w:spacing w:val="-7"/>
          <w:sz w:val="26"/>
        </w:rPr>
        <w:t> </w:t>
      </w:r>
      <w:r>
        <w:rPr>
          <w:sz w:val="26"/>
        </w:rPr>
        <w:t>finally,</w:t>
      </w:r>
      <w:r>
        <w:rPr>
          <w:spacing w:val="-8"/>
          <w:sz w:val="26"/>
        </w:rPr>
        <w:t> </w:t>
      </w:r>
      <w:r>
        <w:rPr>
          <w:sz w:val="26"/>
        </w:rPr>
        <w:t>9)</w:t>
      </w:r>
      <w:r>
        <w:rPr>
          <w:spacing w:val="-6"/>
          <w:sz w:val="26"/>
        </w:rPr>
        <w:t> </w:t>
      </w:r>
      <w:r>
        <w:rPr>
          <w:sz w:val="27"/>
        </w:rPr>
        <w:t>transcendental</w:t>
      </w:r>
      <w:r>
        <w:rPr>
          <w:spacing w:val="-14"/>
          <w:sz w:val="27"/>
        </w:rPr>
        <w:t> </w:t>
      </w:r>
      <w:r>
        <w:rPr>
          <w:sz w:val="27"/>
        </w:rPr>
        <w:t>systemic</w:t>
      </w:r>
      <w:r>
        <w:rPr>
          <w:spacing w:val="-12"/>
          <w:sz w:val="27"/>
        </w:rPr>
        <w:t> </w:t>
      </w:r>
      <w:r>
        <w:rPr>
          <w:sz w:val="27"/>
        </w:rPr>
        <w:t>level.</w:t>
      </w:r>
    </w:p>
    <w:p>
      <w:pPr>
        <w:pStyle w:val="BodyText"/>
        <w:ind w:left="0"/>
        <w:jc w:val="left"/>
      </w:pPr>
    </w:p>
    <w:p>
      <w:pPr>
        <w:pStyle w:val="BodyText"/>
        <w:ind w:left="0"/>
        <w:jc w:val="left"/>
      </w:pPr>
    </w:p>
    <w:p>
      <w:pPr>
        <w:pStyle w:val="BodyText"/>
        <w:ind w:left="0"/>
        <w:jc w:val="left"/>
      </w:pPr>
    </w:p>
    <w:p>
      <w:pPr>
        <w:pStyle w:val="BodyText"/>
        <w:spacing w:before="23"/>
        <w:ind w:left="0"/>
        <w:jc w:val="left"/>
      </w:pPr>
    </w:p>
    <w:p>
      <w:pPr>
        <w:pStyle w:val="Heading4"/>
        <w:numPr>
          <w:ilvl w:val="1"/>
          <w:numId w:val="3"/>
        </w:numPr>
        <w:tabs>
          <w:tab w:pos="1577" w:val="left" w:leader="none"/>
        </w:tabs>
        <w:spacing w:line="240" w:lineRule="auto" w:before="0" w:after="0"/>
        <w:ind w:left="1577" w:right="0" w:hanging="598"/>
        <w:jc w:val="left"/>
      </w:pPr>
      <w:bookmarkStart w:name="_bookmark8" w:id="9"/>
      <w:bookmarkEnd w:id="9"/>
      <w:r>
        <w:rPr>
          <w:b w:val="0"/>
        </w:rPr>
      </w:r>
      <w:r>
        <w:rPr>
          <w:spacing w:val="-2"/>
        </w:rPr>
        <w:t>Cybernetics</w:t>
      </w:r>
    </w:p>
    <w:p>
      <w:pPr>
        <w:pStyle w:val="BodyText"/>
        <w:spacing w:before="51"/>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596032">
                <wp:simplePos x="0" y="0"/>
                <wp:positionH relativeFrom="page">
                  <wp:posOffset>1078864</wp:posOffset>
                </wp:positionH>
                <wp:positionV relativeFrom="paragraph">
                  <wp:posOffset>192456</wp:posOffset>
                </wp:positionV>
                <wp:extent cx="5252085" cy="51435"/>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5252085" cy="51435"/>
                        </a:xfrm>
                        <a:custGeom>
                          <a:avLst/>
                          <a:gdLst/>
                          <a:ahLst/>
                          <a:cxnLst/>
                          <a:rect l="l" t="t" r="r" b="b"/>
                          <a:pathLst>
                            <a:path w="5252085" h="51435">
                              <a:moveTo>
                                <a:pt x="5252085" y="0"/>
                              </a:moveTo>
                              <a:lnTo>
                                <a:pt x="0" y="0"/>
                              </a:lnTo>
                              <a:lnTo>
                                <a:pt x="0" y="51435"/>
                              </a:lnTo>
                              <a:lnTo>
                                <a:pt x="5252085" y="51435"/>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5.154023pt;width:413.55pt;height:4.05pt;mso-position-horizontal-relative:page;mso-position-vertical-relative:paragraph;z-index:-15720448;mso-wrap-distance-left:0;mso-wrap-distance-right:0" id="docshape20" filled="true" fillcolor="#000000" stroked="false">
                <v:fill type="solid"/>
                <w10:wrap type="topAndBottom"/>
              </v:rect>
            </w:pict>
          </mc:Fallback>
        </mc:AlternateContent>
      </w:r>
    </w:p>
    <w:p>
      <w:pPr>
        <w:pStyle w:val="BodyText"/>
        <w:spacing w:before="105"/>
        <w:jc w:val="left"/>
      </w:pPr>
      <w:r>
        <w:rPr/>
        <w:t>Norbert</w:t>
      </w:r>
      <w:r>
        <w:rPr>
          <w:spacing w:val="-11"/>
        </w:rPr>
        <w:t> </w:t>
      </w:r>
      <w:r>
        <w:rPr/>
        <w:t>Wiener,</w:t>
      </w:r>
      <w:r>
        <w:rPr>
          <w:spacing w:val="-10"/>
        </w:rPr>
        <w:t> </w:t>
      </w:r>
      <w:r>
        <w:rPr/>
        <w:t>William</w:t>
      </w:r>
      <w:r>
        <w:rPr>
          <w:spacing w:val="-13"/>
        </w:rPr>
        <w:t> </w:t>
      </w:r>
      <w:r>
        <w:rPr/>
        <w:t>Ross</w:t>
      </w:r>
      <w:r>
        <w:rPr>
          <w:spacing w:val="-12"/>
        </w:rPr>
        <w:t> </w:t>
      </w:r>
      <w:r>
        <w:rPr>
          <w:spacing w:val="-4"/>
        </w:rPr>
        <w:t>Ashby</w:t>
      </w:r>
    </w:p>
    <w:p>
      <w:pPr>
        <w:pStyle w:val="BodyText"/>
        <w:ind w:left="0"/>
        <w:jc w:val="left"/>
      </w:pPr>
    </w:p>
    <w:p>
      <w:pPr>
        <w:pStyle w:val="BodyText"/>
        <w:ind w:left="0"/>
        <w:jc w:val="left"/>
      </w:pPr>
    </w:p>
    <w:p>
      <w:pPr>
        <w:pStyle w:val="BodyText"/>
        <w:spacing w:before="205"/>
        <w:ind w:left="0"/>
        <w:jc w:val="left"/>
      </w:pPr>
    </w:p>
    <w:p>
      <w:pPr>
        <w:pStyle w:val="BodyText"/>
        <w:spacing w:line="271" w:lineRule="auto"/>
        <w:ind w:right="1908" w:firstLine="720"/>
      </w:pPr>
      <w:r>
        <w:rPr/>
        <w:t>Cybernetic theories of the systemic organization are based on three main pillars; first of all, the system is about </w:t>
      </w:r>
      <w:r>
        <w:rPr>
          <w:sz w:val="27"/>
        </w:rPr>
        <w:t>control and communication</w:t>
      </w:r>
      <w:r>
        <w:rPr/>
        <w:t>. According to the approach every functioning organization needs a certain amount of control in order to preserve the identity through the communication. Second, to achieve an effective control, the system should include mechanisms which provide </w:t>
      </w:r>
      <w:r>
        <w:rPr>
          <w:sz w:val="27"/>
        </w:rPr>
        <w:t>feedbacks </w:t>
      </w:r>
      <w:r>
        <w:rPr/>
        <w:t>for each crucial operation. Third, as far as the systems are some machines their routines are based on </w:t>
      </w:r>
      <w:r>
        <w:rPr>
          <w:sz w:val="27"/>
        </w:rPr>
        <w:t>input-output logic</w:t>
      </w:r>
      <w:r>
        <w:rPr/>
        <w:t>.</w:t>
      </w:r>
    </w:p>
    <w:p>
      <w:pPr>
        <w:pStyle w:val="BodyText"/>
        <w:spacing w:line="268" w:lineRule="auto"/>
        <w:ind w:right="1906" w:firstLine="720"/>
      </w:pPr>
      <w:r>
        <w:rPr/>
        <w:t>Modern cybernetics as a field was largely established by </w:t>
      </w:r>
      <w:r>
        <w:rPr>
          <w:sz w:val="27"/>
        </w:rPr>
        <w:t>Norbert Wiener</w:t>
      </w:r>
      <w:r>
        <w:rPr/>
        <w:t>. His definition of the core idea is broadly accepted in scientific circles.</w:t>
      </w:r>
      <w:r>
        <w:rPr>
          <w:spacing w:val="-1"/>
        </w:rPr>
        <w:t> </w:t>
      </w:r>
      <w:r>
        <w:rPr>
          <w:sz w:val="27"/>
        </w:rPr>
        <w:t>Wiener</w:t>
      </w:r>
      <w:r>
        <w:rPr>
          <w:spacing w:val="-4"/>
          <w:sz w:val="27"/>
        </w:rPr>
        <w:t> </w:t>
      </w:r>
      <w:r>
        <w:rPr/>
        <w:t>stated</w:t>
      </w:r>
      <w:r>
        <w:rPr>
          <w:spacing w:val="-2"/>
        </w:rPr>
        <w:t> </w:t>
      </w:r>
      <w:r>
        <w:rPr/>
        <w:t>that:</w:t>
      </w:r>
      <w:r>
        <w:rPr>
          <w:spacing w:val="-3"/>
        </w:rPr>
        <w:t> </w:t>
      </w:r>
      <w:r>
        <w:rPr/>
        <w:t>the</w:t>
      </w:r>
      <w:r>
        <w:rPr>
          <w:spacing w:val="-4"/>
        </w:rPr>
        <w:t> </w:t>
      </w:r>
      <w:r>
        <w:rPr/>
        <w:t>cybernetics</w:t>
      </w:r>
      <w:r>
        <w:rPr>
          <w:spacing w:val="-7"/>
        </w:rPr>
        <w:t> </w:t>
      </w:r>
      <w:r>
        <w:rPr/>
        <w:t>is</w:t>
      </w:r>
      <w:r>
        <w:rPr>
          <w:spacing w:val="-2"/>
        </w:rPr>
        <w:t> </w:t>
      </w:r>
      <w:r>
        <w:rPr/>
        <w:t>“the</w:t>
      </w:r>
      <w:r>
        <w:rPr>
          <w:spacing w:val="-4"/>
        </w:rPr>
        <w:t> </w:t>
      </w:r>
      <w:r>
        <w:rPr/>
        <w:t>scientific</w:t>
      </w:r>
      <w:r>
        <w:rPr>
          <w:spacing w:val="-5"/>
        </w:rPr>
        <w:t> </w:t>
      </w:r>
      <w:r>
        <w:rPr/>
        <w:t>study</w:t>
      </w:r>
      <w:r>
        <w:rPr>
          <w:spacing w:val="-4"/>
        </w:rPr>
        <w:t> </w:t>
      </w:r>
      <w:r>
        <w:rPr/>
        <w:t>of</w:t>
      </w:r>
      <w:r>
        <w:rPr>
          <w:spacing w:val="-1"/>
        </w:rPr>
        <w:t> </w:t>
      </w:r>
      <w:r>
        <w:rPr/>
        <w:t>control and communication in the animal and the machine.” (</w:t>
      </w:r>
      <w:hyperlink w:history="true" w:anchor="_bookmark435">
        <w:r>
          <w:rPr/>
          <w:t>N. Wiener, 1961</w:t>
        </w:r>
      </w:hyperlink>
      <w:r>
        <w:rPr/>
        <w:t>)</w:t>
      </w:r>
    </w:p>
    <w:p>
      <w:pPr>
        <w:pStyle w:val="BodyText"/>
        <w:spacing w:line="276" w:lineRule="auto" w:before="12"/>
        <w:ind w:left="2420" w:right="1903"/>
      </w:pPr>
      <w:r>
        <w:rPr/>
        <mc:AlternateContent>
          <mc:Choice Requires="wps">
            <w:drawing>
              <wp:anchor distT="0" distB="0" distL="0" distR="0" allowOverlap="1" layoutInCell="1" locked="0" behindDoc="0" simplePos="0" relativeHeight="15737344">
                <wp:simplePos x="0" y="0"/>
                <wp:positionH relativeFrom="page">
                  <wp:posOffset>1923923</wp:posOffset>
                </wp:positionH>
                <wp:positionV relativeFrom="paragraph">
                  <wp:posOffset>6090</wp:posOffset>
                </wp:positionV>
                <wp:extent cx="1270" cy="74993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1270" cy="749935"/>
                        </a:xfrm>
                        <a:custGeom>
                          <a:avLst/>
                          <a:gdLst/>
                          <a:ahLst/>
                          <a:cxnLst/>
                          <a:rect l="l" t="t" r="r" b="b"/>
                          <a:pathLst>
                            <a:path w="0" h="749935">
                              <a:moveTo>
                                <a:pt x="0" y="0"/>
                              </a:moveTo>
                              <a:lnTo>
                                <a:pt x="0" y="249935"/>
                              </a:lnTo>
                            </a:path>
                            <a:path w="0" h="749935">
                              <a:moveTo>
                                <a:pt x="0" y="249935"/>
                              </a:moveTo>
                              <a:lnTo>
                                <a:pt x="0" y="499871"/>
                              </a:lnTo>
                            </a:path>
                            <a:path w="0" h="749935">
                              <a:moveTo>
                                <a:pt x="0" y="499871"/>
                              </a:moveTo>
                              <a:lnTo>
                                <a:pt x="0" y="749833"/>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479583pt;width:.1pt;height:59.05pt;mso-position-horizontal-relative:page;mso-position-vertical-relative:paragraph;z-index:15737344" id="docshape21" coordorigin="3030,10" coordsize="0,1181" path="m3030,10l3030,403m3030,403l3030,797m3030,797l3030,1190e" filled="false" stroked="true" strokeweight=".48pt" strokecolor="#000000">
                <v:path arrowok="t"/>
                <v:stroke dashstyle="shortdash"/>
                <w10:wrap type="none"/>
              </v:shape>
            </w:pict>
          </mc:Fallback>
        </mc:AlternateContent>
      </w:r>
      <w:r>
        <w:rPr/>
        <w:t>“Cybernetics is based upon the recognition that certain information-related problems, such as some problems of communication</w:t>
      </w:r>
      <w:r>
        <w:rPr>
          <w:spacing w:val="79"/>
          <w:w w:val="150"/>
        </w:rPr>
        <w:t> </w:t>
      </w:r>
      <w:r>
        <w:rPr/>
        <w:t>and</w:t>
      </w:r>
      <w:r>
        <w:rPr>
          <w:spacing w:val="24"/>
        </w:rPr>
        <w:t>  </w:t>
      </w:r>
      <w:r>
        <w:rPr/>
        <w:t>control,</w:t>
      </w:r>
      <w:r>
        <w:rPr>
          <w:spacing w:val="24"/>
        </w:rPr>
        <w:t>  </w:t>
      </w:r>
      <w:r>
        <w:rPr/>
        <w:t>can</w:t>
      </w:r>
      <w:r>
        <w:rPr>
          <w:spacing w:val="79"/>
          <w:w w:val="150"/>
        </w:rPr>
        <w:t> </w:t>
      </w:r>
      <w:r>
        <w:rPr/>
        <w:t>be</w:t>
      </w:r>
      <w:r>
        <w:rPr>
          <w:spacing w:val="79"/>
          <w:w w:val="150"/>
        </w:rPr>
        <w:t> </w:t>
      </w:r>
      <w:r>
        <w:rPr/>
        <w:t>meaning-fully</w:t>
      </w:r>
      <w:r>
        <w:rPr>
          <w:spacing w:val="79"/>
          <w:w w:val="150"/>
        </w:rPr>
        <w:t>  </w:t>
      </w:r>
      <w:r>
        <w:rPr>
          <w:spacing w:val="-5"/>
        </w:rPr>
        <w:t>and</w:t>
      </w:r>
    </w:p>
    <w:p>
      <w:pPr>
        <w:pStyle w:val="BodyText"/>
        <w:spacing w:after="0" w:line="276" w:lineRule="auto"/>
        <w:sectPr>
          <w:pgSz w:w="12240" w:h="15840"/>
          <w:pgMar w:header="1046" w:footer="0" w:top="1360" w:bottom="280" w:left="720" w:right="360"/>
        </w:sectPr>
      </w:pPr>
    </w:p>
    <w:p>
      <w:pPr>
        <w:pStyle w:val="BodyText"/>
        <w:spacing w:line="276" w:lineRule="auto" w:before="276"/>
        <w:ind w:left="2420" w:right="1909"/>
        <w:jc w:val="left"/>
      </w:pPr>
      <w:r>
        <w:rPr/>
        <mc:AlternateContent>
          <mc:Choice Requires="wps">
            <w:drawing>
              <wp:anchor distT="0" distB="0" distL="0" distR="0" allowOverlap="1" layoutInCell="1" locked="0" behindDoc="0" simplePos="0" relativeHeight="15738368">
                <wp:simplePos x="0" y="0"/>
                <wp:positionH relativeFrom="page">
                  <wp:posOffset>1923923</wp:posOffset>
                </wp:positionH>
                <wp:positionV relativeFrom="paragraph">
                  <wp:posOffset>174084</wp:posOffset>
                </wp:positionV>
                <wp:extent cx="1270" cy="50038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1270" cy="500380"/>
                        </a:xfrm>
                        <a:custGeom>
                          <a:avLst/>
                          <a:gdLst/>
                          <a:ahLst/>
                          <a:cxnLst/>
                          <a:rect l="l" t="t" r="r" b="b"/>
                          <a:pathLst>
                            <a:path w="0" h="500380">
                              <a:moveTo>
                                <a:pt x="0" y="0"/>
                              </a:moveTo>
                              <a:lnTo>
                                <a:pt x="0" y="249935"/>
                              </a:lnTo>
                            </a:path>
                            <a:path w="0" h="500380">
                              <a:moveTo>
                                <a:pt x="0" y="249935"/>
                              </a:moveTo>
                              <a:lnTo>
                                <a:pt x="0" y="499872"/>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13.707422pt;width:.1pt;height:39.4pt;mso-position-horizontal-relative:page;mso-position-vertical-relative:paragraph;z-index:15738368" id="docshape22" coordorigin="3030,274" coordsize="0,788" path="m3030,274l3030,668m3030,668l3030,1061e" filled="false" stroked="true" strokeweight=".48pt" strokecolor="#000000">
                <v:path arrowok="t"/>
                <v:stroke dashstyle="shortdash"/>
                <w10:wrap type="none"/>
              </v:shape>
            </w:pict>
          </mc:Fallback>
        </mc:AlternateContent>
      </w:r>
      <w:r>
        <w:rPr/>
        <w:t>beneficially</w:t>
      </w:r>
      <w:r>
        <w:rPr>
          <w:spacing w:val="40"/>
        </w:rPr>
        <w:t> </w:t>
      </w:r>
      <w:r>
        <w:rPr/>
        <w:t>studied,</w:t>
      </w:r>
      <w:r>
        <w:rPr>
          <w:spacing w:val="40"/>
        </w:rPr>
        <w:t> </w:t>
      </w:r>
      <w:r>
        <w:rPr/>
        <w:t>to</w:t>
      </w:r>
      <w:r>
        <w:rPr>
          <w:spacing w:val="40"/>
        </w:rPr>
        <w:t> </w:t>
      </w:r>
      <w:r>
        <w:rPr/>
        <w:t>some</w:t>
      </w:r>
      <w:r>
        <w:rPr>
          <w:spacing w:val="40"/>
        </w:rPr>
        <w:t> </w:t>
      </w:r>
      <w:r>
        <w:rPr/>
        <w:t>extent,</w:t>
      </w:r>
      <w:r>
        <w:rPr>
          <w:spacing w:val="40"/>
        </w:rPr>
        <w:t> </w:t>
      </w:r>
      <w:r>
        <w:rPr/>
        <w:t>independently</w:t>
      </w:r>
      <w:r>
        <w:rPr>
          <w:spacing w:val="40"/>
        </w:rPr>
        <w:t> </w:t>
      </w:r>
      <w:r>
        <w:rPr/>
        <w:t>of any</w:t>
      </w:r>
      <w:r>
        <w:rPr>
          <w:spacing w:val="40"/>
        </w:rPr>
        <w:t> </w:t>
      </w:r>
      <w:r>
        <w:rPr/>
        <w:t>specific context.”</w:t>
      </w:r>
    </w:p>
    <w:p>
      <w:pPr>
        <w:pStyle w:val="BodyText"/>
        <w:ind w:left="6938"/>
      </w:pPr>
      <w:r>
        <w:rPr/>
        <w:t>(</w:t>
      </w:r>
      <w:hyperlink w:history="true" w:anchor="_bookmark239">
        <w:r>
          <w:rPr/>
          <w:t>Klir,</w:t>
        </w:r>
        <w:r>
          <w:rPr>
            <w:spacing w:val="-5"/>
          </w:rPr>
          <w:t> </w:t>
        </w:r>
        <w:r>
          <w:rPr/>
          <w:t>2001,</w:t>
        </w:r>
        <w:r>
          <w:rPr>
            <w:spacing w:val="-5"/>
          </w:rPr>
          <w:t> </w:t>
        </w:r>
        <w:r>
          <w:rPr/>
          <w:t>p.</w:t>
        </w:r>
        <w:r>
          <w:rPr>
            <w:spacing w:val="-5"/>
          </w:rPr>
          <w:t> </w:t>
        </w:r>
        <w:r>
          <w:rPr>
            <w:spacing w:val="-4"/>
          </w:rPr>
          <w:t>48</w:t>
        </w:r>
      </w:hyperlink>
      <w:r>
        <w:rPr>
          <w:spacing w:val="-4"/>
        </w:rPr>
        <w:t>).</w:t>
      </w:r>
    </w:p>
    <w:p>
      <w:pPr>
        <w:pStyle w:val="BodyText"/>
        <w:spacing w:line="271" w:lineRule="auto" w:before="42"/>
        <w:ind w:right="1903" w:firstLine="720"/>
      </w:pPr>
      <w:r>
        <w:rPr/>
        <w:t>The name cybernetics itself comes from the Greek </w:t>
      </w:r>
      <w:r>
        <w:rPr>
          <w:sz w:val="27"/>
        </w:rPr>
        <w:t>κυβερνήτης (kybernētēs) </w:t>
      </w:r>
      <w:r>
        <w:rPr/>
        <w:t>and means steersman. </w:t>
      </w:r>
      <w:r>
        <w:rPr>
          <w:sz w:val="27"/>
        </w:rPr>
        <w:t>Wiener </w:t>
      </w:r>
      <w:r>
        <w:rPr/>
        <w:t>stated that one of the key reasons for choosing the ‘artificial neo-Greek expression’ was to fill in the gaps between the terminology describing communication, control and statistical mechanics.</w:t>
      </w:r>
      <w:r>
        <w:rPr>
          <w:position w:val="7"/>
          <w:sz w:val="15"/>
        </w:rPr>
        <w:t>3</w:t>
      </w:r>
      <w:r>
        <w:rPr>
          <w:spacing w:val="40"/>
          <w:position w:val="7"/>
          <w:sz w:val="15"/>
        </w:rPr>
        <w:t> </w:t>
      </w:r>
      <w:r>
        <w:rPr>
          <w:sz w:val="27"/>
        </w:rPr>
        <w:t>Wiener</w:t>
      </w:r>
      <w:r>
        <w:rPr>
          <w:spacing w:val="40"/>
          <w:sz w:val="27"/>
        </w:rPr>
        <w:t> </w:t>
      </w:r>
      <w:r>
        <w:rPr/>
        <w:t>also mentioned the the fact that: ”steering engines of a ship were [are] indeed one of the earliest and best-developed forms of feedback mechanisms.”(</w:t>
      </w:r>
      <w:hyperlink w:history="true" w:anchor="_bookmark435">
        <w:r>
          <w:rPr/>
          <w:t>N. Wiener, 1961, p. 11</w:t>
        </w:r>
      </w:hyperlink>
      <w:r>
        <w:rPr/>
        <w:t>)</w:t>
      </w:r>
    </w:p>
    <w:p>
      <w:pPr>
        <w:pStyle w:val="BodyText"/>
        <w:spacing w:line="273" w:lineRule="auto" w:before="2"/>
        <w:ind w:right="1910" w:firstLine="720"/>
      </w:pPr>
      <w:r>
        <w:rPr>
          <w:sz w:val="27"/>
        </w:rPr>
        <w:t>Wiener </w:t>
      </w:r>
      <w:r>
        <w:rPr/>
        <w:t>was already accomplished mathematician in MIT when he got involved in the National Defense Research Committee, initiated by </w:t>
      </w:r>
      <w:r>
        <w:rPr>
          <w:sz w:val="27"/>
        </w:rPr>
        <w:t>Vannevar Bush</w:t>
      </w:r>
      <w:r>
        <w:rPr/>
        <w:t>. The committee’s primary task was to create a system, which would predict and track airplane trajectories, in order to achieve effective anti-air strike capabilities. The results of the research did not get much practical use, but it did help scientists to produce some important ideas about control. (</w:t>
      </w:r>
      <w:hyperlink w:history="true" w:anchor="_bookmark296">
        <w:r>
          <w:rPr/>
          <w:t>Mindel, 2000</w:t>
        </w:r>
      </w:hyperlink>
      <w:r>
        <w:rPr/>
        <w:t>)</w:t>
      </w:r>
    </w:p>
    <w:p>
      <w:pPr>
        <w:pStyle w:val="BodyText"/>
        <w:spacing w:line="271" w:lineRule="auto"/>
        <w:ind w:right="1902" w:firstLine="720"/>
      </w:pPr>
      <w:r>
        <w:rPr>
          <w:sz w:val="27"/>
        </w:rPr>
        <w:t>Wiener </w:t>
      </w:r>
      <w:r>
        <w:rPr/>
        <w:t>had left the military sphere, partially because of his negative attitudes toward the war machines, but also due to his growing interest in psychology. (</w:t>
      </w:r>
      <w:hyperlink w:history="true" w:anchor="_bookmark434">
        <w:r>
          <w:rPr/>
          <w:t>N. Wiener, 1954</w:t>
        </w:r>
      </w:hyperlink>
      <w:r>
        <w:rPr/>
        <w:t>) After leaving the army, he joined the meeting</w:t>
      </w:r>
      <w:r>
        <w:rPr>
          <w:spacing w:val="-6"/>
        </w:rPr>
        <w:t> </w:t>
      </w:r>
      <w:r>
        <w:rPr/>
        <w:t>group</w:t>
      </w:r>
      <w:r>
        <w:rPr>
          <w:spacing w:val="-3"/>
        </w:rPr>
        <w:t> </w:t>
      </w:r>
      <w:r>
        <w:rPr/>
        <w:t>of</w:t>
      </w:r>
      <w:r>
        <w:rPr>
          <w:spacing w:val="-7"/>
        </w:rPr>
        <w:t> </w:t>
      </w:r>
      <w:r>
        <w:rPr/>
        <w:t>scientists</w:t>
      </w:r>
      <w:r>
        <w:rPr>
          <w:spacing w:val="-7"/>
        </w:rPr>
        <w:t> </w:t>
      </w:r>
      <w:r>
        <w:rPr/>
        <w:t>gathered</w:t>
      </w:r>
      <w:r>
        <w:rPr>
          <w:spacing w:val="-5"/>
        </w:rPr>
        <w:t> </w:t>
      </w:r>
      <w:r>
        <w:rPr/>
        <w:t>by </w:t>
      </w:r>
      <w:r>
        <w:rPr>
          <w:sz w:val="27"/>
        </w:rPr>
        <w:t>Dr.</w:t>
      </w:r>
      <w:r>
        <w:rPr>
          <w:spacing w:val="-7"/>
          <w:sz w:val="27"/>
        </w:rPr>
        <w:t> </w:t>
      </w:r>
      <w:r>
        <w:rPr>
          <w:sz w:val="27"/>
        </w:rPr>
        <w:t>Arturo</w:t>
      </w:r>
      <w:r>
        <w:rPr>
          <w:spacing w:val="-10"/>
          <w:sz w:val="27"/>
        </w:rPr>
        <w:t> </w:t>
      </w:r>
      <w:r>
        <w:rPr>
          <w:sz w:val="27"/>
        </w:rPr>
        <w:t>Rosenblueth</w:t>
      </w:r>
      <w:r>
        <w:rPr/>
        <w:t>.</w:t>
      </w:r>
      <w:r>
        <w:rPr>
          <w:spacing w:val="-5"/>
        </w:rPr>
        <w:t> </w:t>
      </w:r>
      <w:r>
        <w:rPr/>
        <w:t>The</w:t>
      </w:r>
      <w:r>
        <w:rPr>
          <w:spacing w:val="-6"/>
        </w:rPr>
        <w:t> </w:t>
      </w:r>
      <w:r>
        <w:rPr/>
        <w:t>round table talks during the monthly gatherings as </w:t>
      </w:r>
      <w:r>
        <w:rPr>
          <w:sz w:val="27"/>
        </w:rPr>
        <w:t>Wiener </w:t>
      </w:r>
      <w:r>
        <w:rPr/>
        <w:t>remembers, “was a perfect</w:t>
      </w:r>
      <w:r>
        <w:rPr>
          <w:spacing w:val="-2"/>
        </w:rPr>
        <w:t> </w:t>
      </w:r>
      <w:r>
        <w:rPr/>
        <w:t>catharsis for</w:t>
      </w:r>
      <w:r>
        <w:rPr>
          <w:spacing w:val="-1"/>
        </w:rPr>
        <w:t> </w:t>
      </w:r>
      <w:r>
        <w:rPr/>
        <w:t>half-baked ideas, insufficient</w:t>
      </w:r>
      <w:r>
        <w:rPr>
          <w:spacing w:val="-2"/>
        </w:rPr>
        <w:t> </w:t>
      </w:r>
      <w:r>
        <w:rPr/>
        <w:t>self-criticism,</w:t>
      </w:r>
      <w:r>
        <w:rPr>
          <w:spacing w:val="-1"/>
        </w:rPr>
        <w:t> </w:t>
      </w:r>
      <w:r>
        <w:rPr/>
        <w:t>exaggerated self-confidence, and pomposity.” (</w:t>
      </w:r>
      <w:hyperlink w:history="true" w:anchor="_bookmark435">
        <w:r>
          <w:rPr/>
          <w:t>N. Wiener, 1961, p. 1</w:t>
        </w:r>
      </w:hyperlink>
      <w:r>
        <w:rPr/>
        <w:t>) Dr. </w:t>
      </w:r>
      <w:r>
        <w:rPr>
          <w:sz w:val="27"/>
        </w:rPr>
        <w:t>Rosenblueth </w:t>
      </w:r>
      <w:r>
        <w:rPr/>
        <w:t>and </w:t>
      </w:r>
      <w:r>
        <w:rPr>
          <w:sz w:val="27"/>
        </w:rPr>
        <w:t>Wiener </w:t>
      </w:r>
      <w:r>
        <w:rPr/>
        <w:t>shared the common belief that the science needed an interdisciplinary dialogue. Scholars from the different fields, who work together, need to understand each other’s language to achieve better results in research.</w:t>
      </w:r>
    </w:p>
    <w:p>
      <w:pPr>
        <w:pStyle w:val="BodyText"/>
        <w:spacing w:line="276" w:lineRule="auto" w:before="10"/>
        <w:ind w:left="2420" w:right="1909"/>
        <w:jc w:val="left"/>
      </w:pPr>
      <w:r>
        <w:rPr/>
        <mc:AlternateContent>
          <mc:Choice Requires="wps">
            <w:drawing>
              <wp:anchor distT="0" distB="0" distL="0" distR="0" allowOverlap="1" layoutInCell="1" locked="0" behindDoc="0" simplePos="0" relativeHeight="15738880">
                <wp:simplePos x="0" y="0"/>
                <wp:positionH relativeFrom="page">
                  <wp:posOffset>1923923</wp:posOffset>
                </wp:positionH>
                <wp:positionV relativeFrom="paragraph">
                  <wp:posOffset>4840</wp:posOffset>
                </wp:positionV>
                <wp:extent cx="1270" cy="50038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1270" cy="500380"/>
                        </a:xfrm>
                        <a:custGeom>
                          <a:avLst/>
                          <a:gdLst/>
                          <a:ahLst/>
                          <a:cxnLst/>
                          <a:rect l="l" t="t" r="r" b="b"/>
                          <a:pathLst>
                            <a:path w="0" h="500380">
                              <a:moveTo>
                                <a:pt x="0" y="0"/>
                              </a:moveTo>
                              <a:lnTo>
                                <a:pt x="0" y="249936"/>
                              </a:lnTo>
                            </a:path>
                            <a:path w="0" h="500380">
                              <a:moveTo>
                                <a:pt x="0" y="249936"/>
                              </a:moveTo>
                              <a:lnTo>
                                <a:pt x="0" y="499872"/>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381133pt;width:.1pt;height:39.4pt;mso-position-horizontal-relative:page;mso-position-vertical-relative:paragraph;z-index:15738880" id="docshape23" coordorigin="3030,8" coordsize="0,788" path="m3030,8l3030,401m3030,401l3030,795e" filled="false" stroked="true" strokeweight=".48pt" strokecolor="#000000">
                <v:path arrowok="t"/>
                <v:stroke dashstyle="shortdash"/>
                <w10:wrap type="none"/>
              </v:shape>
            </w:pict>
          </mc:Fallback>
        </mc:AlternateContent>
      </w:r>
      <w:r>
        <w:rPr/>
        <w:t>“Dr.</w:t>
      </w:r>
      <w:r>
        <w:rPr>
          <w:spacing w:val="40"/>
        </w:rPr>
        <w:t> </w:t>
      </w:r>
      <w:r>
        <w:rPr/>
        <w:t>Rosenblueth</w:t>
      </w:r>
      <w:r>
        <w:rPr>
          <w:spacing w:val="40"/>
        </w:rPr>
        <w:t> </w:t>
      </w:r>
      <w:r>
        <w:rPr/>
        <w:t>and</w:t>
      </w:r>
      <w:r>
        <w:rPr>
          <w:spacing w:val="40"/>
        </w:rPr>
        <w:t> </w:t>
      </w:r>
      <w:r>
        <w:rPr/>
        <w:t>I</w:t>
      </w:r>
      <w:r>
        <w:rPr>
          <w:spacing w:val="40"/>
        </w:rPr>
        <w:t> </w:t>
      </w:r>
      <w:r>
        <w:rPr/>
        <w:t>had</w:t>
      </w:r>
      <w:r>
        <w:rPr>
          <w:spacing w:val="40"/>
        </w:rPr>
        <w:t> </w:t>
      </w:r>
      <w:r>
        <w:rPr/>
        <w:t>shared</w:t>
      </w:r>
      <w:r>
        <w:rPr>
          <w:spacing w:val="40"/>
        </w:rPr>
        <w:t> </w:t>
      </w:r>
      <w:r>
        <w:rPr/>
        <w:t>the</w:t>
      </w:r>
      <w:r>
        <w:rPr>
          <w:spacing w:val="40"/>
        </w:rPr>
        <w:t> </w:t>
      </w:r>
      <w:r>
        <w:rPr/>
        <w:t>conviction</w:t>
      </w:r>
      <w:r>
        <w:rPr>
          <w:spacing w:val="40"/>
        </w:rPr>
        <w:t> </w:t>
      </w:r>
      <w:r>
        <w:rPr/>
        <w:t>that</w:t>
      </w:r>
      <w:r>
        <w:rPr>
          <w:spacing w:val="40"/>
        </w:rPr>
        <w:t> </w:t>
      </w:r>
      <w:r>
        <w:rPr/>
        <w:t>the most</w:t>
      </w:r>
      <w:r>
        <w:rPr>
          <w:spacing w:val="30"/>
        </w:rPr>
        <w:t> </w:t>
      </w:r>
      <w:r>
        <w:rPr/>
        <w:t>fruitful</w:t>
      </w:r>
      <w:r>
        <w:rPr>
          <w:spacing w:val="22"/>
        </w:rPr>
        <w:t> </w:t>
      </w:r>
      <w:r>
        <w:rPr/>
        <w:t>areas</w:t>
      </w:r>
      <w:r>
        <w:rPr>
          <w:spacing w:val="24"/>
        </w:rPr>
        <w:t> </w:t>
      </w:r>
      <w:r>
        <w:rPr/>
        <w:t>for</w:t>
      </w:r>
      <w:r>
        <w:rPr>
          <w:spacing w:val="25"/>
        </w:rPr>
        <w:t> </w:t>
      </w:r>
      <w:r>
        <w:rPr/>
        <w:t>the</w:t>
      </w:r>
      <w:r>
        <w:rPr>
          <w:spacing w:val="26"/>
        </w:rPr>
        <w:t> </w:t>
      </w:r>
      <w:r>
        <w:rPr/>
        <w:t>growth</w:t>
      </w:r>
      <w:r>
        <w:rPr>
          <w:spacing w:val="25"/>
        </w:rPr>
        <w:t> </w:t>
      </w:r>
      <w:r>
        <w:rPr/>
        <w:t>of</w:t>
      </w:r>
      <w:r>
        <w:rPr>
          <w:spacing w:val="24"/>
        </w:rPr>
        <w:t> </w:t>
      </w:r>
      <w:r>
        <w:rPr/>
        <w:t>the</w:t>
      </w:r>
      <w:r>
        <w:rPr>
          <w:spacing w:val="26"/>
        </w:rPr>
        <w:t> </w:t>
      </w:r>
      <w:r>
        <w:rPr/>
        <w:t>sciences</w:t>
      </w:r>
      <w:r>
        <w:rPr>
          <w:spacing w:val="23"/>
        </w:rPr>
        <w:t> </w:t>
      </w:r>
      <w:r>
        <w:rPr/>
        <w:t>were</w:t>
      </w:r>
      <w:r>
        <w:rPr>
          <w:spacing w:val="26"/>
        </w:rPr>
        <w:t> </w:t>
      </w:r>
      <w:r>
        <w:rPr>
          <w:spacing w:val="-2"/>
        </w:rPr>
        <w:t>those</w:t>
      </w:r>
    </w:p>
    <w:p>
      <w:pPr>
        <w:pStyle w:val="BodyText"/>
        <w:spacing w:before="41"/>
        <w:ind w:left="0"/>
        <w:jc w:val="left"/>
        <w:rPr>
          <w:sz w:val="20"/>
        </w:rPr>
      </w:pPr>
      <w:r>
        <w:rPr>
          <w:sz w:val="20"/>
        </w:rPr>
        <mc:AlternateContent>
          <mc:Choice Requires="wps">
            <w:drawing>
              <wp:anchor distT="0" distB="0" distL="0" distR="0" allowOverlap="1" layoutInCell="1" locked="0" behindDoc="1" simplePos="0" relativeHeight="487597056">
                <wp:simplePos x="0" y="0"/>
                <wp:positionH relativeFrom="page">
                  <wp:posOffset>1079296</wp:posOffset>
                </wp:positionH>
                <wp:positionV relativeFrom="paragraph">
                  <wp:posOffset>208610</wp:posOffset>
                </wp:positionV>
                <wp:extent cx="1830070" cy="9525"/>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16.426016pt;width:144.07pt;height:.71997pt;mso-position-horizontal-relative:page;mso-position-vertical-relative:paragraph;z-index:-15719424;mso-wrap-distance-left:0;mso-wrap-distance-right:0" id="docshape24" filled="true" fillcolor="#000000" stroked="false">
                <v:fill type="solid"/>
                <w10:wrap type="topAndBottom"/>
              </v:rect>
            </w:pict>
          </mc:Fallback>
        </mc:AlternateContent>
      </w:r>
    </w:p>
    <w:p>
      <w:pPr>
        <w:spacing w:before="102"/>
        <w:ind w:left="979" w:right="1909" w:firstLine="0"/>
        <w:jc w:val="left"/>
        <w:rPr>
          <w:rFonts w:ascii="Calibri" w:hAnsi="Calibri"/>
          <w:sz w:val="20"/>
        </w:rPr>
      </w:pPr>
      <w:r>
        <w:rPr>
          <w:rFonts w:ascii="Calibri" w:hAnsi="Calibri"/>
          <w:sz w:val="20"/>
          <w:vertAlign w:val="superscript"/>
        </w:rPr>
        <w:t>3</w:t>
      </w:r>
      <w:r>
        <w:rPr>
          <w:rFonts w:ascii="Calibri" w:hAnsi="Calibri"/>
          <w:sz w:val="20"/>
          <w:vertAlign w:val="baseline"/>
        </w:rPr>
        <w:t> “We were seriously hampered by the lack of unity of the literature concerning these problems, and by the absence of any common terminology, or even of a single name for the field.” –Wiener (1961)</w:t>
      </w:r>
    </w:p>
    <w:p>
      <w:pPr>
        <w:spacing w:after="0"/>
        <w:jc w:val="left"/>
        <w:rPr>
          <w:rFonts w:ascii="Calibri" w:hAnsi="Calibri"/>
          <w:sz w:val="20"/>
        </w:rPr>
        <w:sectPr>
          <w:pgSz w:w="12240" w:h="15840"/>
          <w:pgMar w:header="1046" w:footer="0" w:top="1360" w:bottom="280" w:left="720" w:right="360"/>
        </w:sectPr>
      </w:pPr>
    </w:p>
    <w:p>
      <w:pPr>
        <w:pStyle w:val="BodyText"/>
        <w:spacing w:line="276" w:lineRule="auto" w:before="276"/>
        <w:ind w:left="2420" w:right="1909"/>
        <w:jc w:val="left"/>
      </w:pPr>
      <w:r>
        <w:rPr/>
        <mc:AlternateContent>
          <mc:Choice Requires="wps">
            <w:drawing>
              <wp:anchor distT="0" distB="0" distL="0" distR="0" allowOverlap="1" layoutInCell="1" locked="0" behindDoc="0" simplePos="0" relativeHeight="15739904">
                <wp:simplePos x="0" y="0"/>
                <wp:positionH relativeFrom="page">
                  <wp:posOffset>1923923</wp:posOffset>
                </wp:positionH>
                <wp:positionV relativeFrom="paragraph">
                  <wp:posOffset>174084</wp:posOffset>
                </wp:positionV>
                <wp:extent cx="1270" cy="50038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1270" cy="500380"/>
                        </a:xfrm>
                        <a:custGeom>
                          <a:avLst/>
                          <a:gdLst/>
                          <a:ahLst/>
                          <a:cxnLst/>
                          <a:rect l="l" t="t" r="r" b="b"/>
                          <a:pathLst>
                            <a:path w="0" h="500380">
                              <a:moveTo>
                                <a:pt x="0" y="0"/>
                              </a:moveTo>
                              <a:lnTo>
                                <a:pt x="0" y="249935"/>
                              </a:lnTo>
                            </a:path>
                            <a:path w="0" h="500380">
                              <a:moveTo>
                                <a:pt x="0" y="249935"/>
                              </a:moveTo>
                              <a:lnTo>
                                <a:pt x="0" y="499872"/>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13.707422pt;width:.1pt;height:39.4pt;mso-position-horizontal-relative:page;mso-position-vertical-relative:paragraph;z-index:15739904" id="docshape25" coordorigin="3030,274" coordsize="0,788" path="m3030,274l3030,668m3030,668l3030,1061e" filled="false" stroked="true" strokeweight=".48pt" strokecolor="#000000">
                <v:path arrowok="t"/>
                <v:stroke dashstyle="shortdash"/>
                <w10:wrap type="none"/>
              </v:shape>
            </w:pict>
          </mc:Fallback>
        </mc:AlternateContent>
      </w:r>
      <w:r>
        <w:rPr/>
        <w:t>which</w:t>
      </w:r>
      <w:r>
        <w:rPr>
          <w:spacing w:val="40"/>
        </w:rPr>
        <w:t> </w:t>
      </w:r>
      <w:r>
        <w:rPr/>
        <w:t>had</w:t>
      </w:r>
      <w:r>
        <w:rPr>
          <w:spacing w:val="40"/>
        </w:rPr>
        <w:t> </w:t>
      </w:r>
      <w:r>
        <w:rPr/>
        <w:t>been</w:t>
      </w:r>
      <w:r>
        <w:rPr>
          <w:spacing w:val="40"/>
        </w:rPr>
        <w:t> </w:t>
      </w:r>
      <w:r>
        <w:rPr/>
        <w:t>neglected</w:t>
      </w:r>
      <w:r>
        <w:rPr>
          <w:spacing w:val="40"/>
        </w:rPr>
        <w:t> </w:t>
      </w:r>
      <w:r>
        <w:rPr/>
        <w:t>as</w:t>
      </w:r>
      <w:r>
        <w:rPr>
          <w:spacing w:val="40"/>
        </w:rPr>
        <w:t> </w:t>
      </w:r>
      <w:r>
        <w:rPr/>
        <w:t>a</w:t>
      </w:r>
      <w:r>
        <w:rPr>
          <w:spacing w:val="40"/>
        </w:rPr>
        <w:t> </w:t>
      </w:r>
      <w:r>
        <w:rPr/>
        <w:t>no-man's</w:t>
      </w:r>
      <w:r>
        <w:rPr>
          <w:spacing w:val="40"/>
        </w:rPr>
        <w:t> </w:t>
      </w:r>
      <w:r>
        <w:rPr/>
        <w:t>land</w:t>
      </w:r>
      <w:r>
        <w:rPr>
          <w:spacing w:val="40"/>
        </w:rPr>
        <w:t> </w:t>
      </w:r>
      <w:r>
        <w:rPr/>
        <w:t>between</w:t>
      </w:r>
      <w:r>
        <w:rPr>
          <w:spacing w:val="40"/>
        </w:rPr>
        <w:t> </w:t>
      </w:r>
      <w:r>
        <w:rPr/>
        <w:t>the various established fields.”</w:t>
      </w:r>
    </w:p>
    <w:p>
      <w:pPr>
        <w:pStyle w:val="BodyText"/>
        <w:spacing w:line="273" w:lineRule="auto"/>
        <w:ind w:right="1913" w:firstLine="5762"/>
        <w:jc w:val="right"/>
      </w:pPr>
      <w:r>
        <w:rPr/>
        <w:t>(</w:t>
      </w:r>
      <w:hyperlink w:history="true" w:anchor="_bookmark435">
        <w:r>
          <w:rPr/>
          <w:t>N.</w:t>
        </w:r>
        <w:r>
          <w:rPr>
            <w:spacing w:val="-9"/>
          </w:rPr>
          <w:t> </w:t>
        </w:r>
        <w:r>
          <w:rPr/>
          <w:t>Wiener,</w:t>
        </w:r>
        <w:r>
          <w:rPr>
            <w:spacing w:val="-6"/>
          </w:rPr>
          <w:t> </w:t>
        </w:r>
        <w:r>
          <w:rPr/>
          <w:t>1961,</w:t>
        </w:r>
        <w:r>
          <w:rPr>
            <w:spacing w:val="-9"/>
          </w:rPr>
          <w:t> </w:t>
        </w:r>
        <w:r>
          <w:rPr/>
          <w:t>p.</w:t>
        </w:r>
        <w:r>
          <w:rPr>
            <w:spacing w:val="-6"/>
          </w:rPr>
          <w:t> </w:t>
        </w:r>
        <w:r>
          <w:rPr/>
          <w:t>2</w:t>
        </w:r>
      </w:hyperlink>
      <w:r>
        <w:rPr/>
        <w:t>) This</w:t>
      </w:r>
      <w:r>
        <w:rPr>
          <w:spacing w:val="40"/>
        </w:rPr>
        <w:t> </w:t>
      </w:r>
      <w:r>
        <w:rPr/>
        <w:t>approach</w:t>
      </w:r>
      <w:r>
        <w:rPr>
          <w:spacing w:val="80"/>
        </w:rPr>
        <w:t> </w:t>
      </w:r>
      <w:r>
        <w:rPr/>
        <w:t>had</w:t>
      </w:r>
      <w:r>
        <w:rPr>
          <w:spacing w:val="80"/>
        </w:rPr>
        <w:t> </w:t>
      </w:r>
      <w:r>
        <w:rPr/>
        <w:t>shaped</w:t>
      </w:r>
      <w:r>
        <w:rPr>
          <w:spacing w:val="80"/>
        </w:rPr>
        <w:t> </w:t>
      </w:r>
      <w:r>
        <w:rPr>
          <w:sz w:val="27"/>
        </w:rPr>
        <w:t>Wiener</w:t>
      </w:r>
      <w:r>
        <w:rPr/>
        <w:t>’s</w:t>
      </w:r>
      <w:r>
        <w:rPr>
          <w:spacing w:val="40"/>
        </w:rPr>
        <w:t> </w:t>
      </w:r>
      <w:r>
        <w:rPr/>
        <w:t>general</w:t>
      </w:r>
      <w:r>
        <w:rPr>
          <w:spacing w:val="40"/>
        </w:rPr>
        <w:t> </w:t>
      </w:r>
      <w:r>
        <w:rPr/>
        <w:t>ideas</w:t>
      </w:r>
      <w:r>
        <w:rPr>
          <w:spacing w:val="40"/>
        </w:rPr>
        <w:t> </w:t>
      </w:r>
      <w:r>
        <w:rPr/>
        <w:t>about</w:t>
      </w:r>
      <w:r>
        <w:rPr>
          <w:spacing w:val="80"/>
        </w:rPr>
        <w:t> </w:t>
      </w:r>
      <w:r>
        <w:rPr/>
        <w:t>life</w:t>
      </w:r>
      <w:r>
        <w:rPr>
          <w:spacing w:val="80"/>
        </w:rPr>
        <w:t> </w:t>
      </w:r>
      <w:r>
        <w:rPr/>
        <w:t>and science.</w:t>
      </w:r>
      <w:r>
        <w:rPr>
          <w:spacing w:val="-2"/>
        </w:rPr>
        <w:t> </w:t>
      </w:r>
      <w:r>
        <w:rPr/>
        <w:t>The</w:t>
      </w:r>
      <w:r>
        <w:rPr>
          <w:spacing w:val="-3"/>
        </w:rPr>
        <w:t> </w:t>
      </w:r>
      <w:r>
        <w:rPr/>
        <w:t>interdisciplinary</w:t>
      </w:r>
      <w:r>
        <w:rPr>
          <w:spacing w:val="-3"/>
        </w:rPr>
        <w:t> </w:t>
      </w:r>
      <w:r>
        <w:rPr/>
        <w:t>aspirations</w:t>
      </w:r>
      <w:r>
        <w:rPr>
          <w:spacing w:val="-2"/>
        </w:rPr>
        <w:t> </w:t>
      </w:r>
      <w:r>
        <w:rPr/>
        <w:t>of</w:t>
      </w:r>
      <w:r>
        <w:rPr>
          <w:spacing w:val="-1"/>
        </w:rPr>
        <w:t> </w:t>
      </w:r>
      <w:r>
        <w:rPr/>
        <w:t>the</w:t>
      </w:r>
      <w:r>
        <w:rPr>
          <w:spacing w:val="-3"/>
        </w:rPr>
        <w:t> </w:t>
      </w:r>
      <w:r>
        <w:rPr/>
        <w:t>pioneer</w:t>
      </w:r>
      <w:r>
        <w:rPr>
          <w:spacing w:val="-2"/>
        </w:rPr>
        <w:t> </w:t>
      </w:r>
      <w:r>
        <w:rPr/>
        <w:t>cybernetician</w:t>
      </w:r>
      <w:r>
        <w:rPr>
          <w:spacing w:val="-2"/>
        </w:rPr>
        <w:t> </w:t>
      </w:r>
      <w:r>
        <w:rPr/>
        <w:t>could be recognized already in his military researches. Even though the purpose</w:t>
      </w:r>
      <w:r>
        <w:rPr>
          <w:spacing w:val="40"/>
        </w:rPr>
        <w:t> </w:t>
      </w:r>
      <w:r>
        <w:rPr/>
        <w:t>of the research was to generate a formula for understanding the machine’s trajectory (plane),</w:t>
      </w:r>
      <w:r>
        <w:rPr>
          <w:spacing w:val="-1"/>
        </w:rPr>
        <w:t> </w:t>
      </w:r>
      <w:r>
        <w:rPr/>
        <w:t>the human element</w:t>
      </w:r>
      <w:r>
        <w:rPr>
          <w:spacing w:val="-3"/>
        </w:rPr>
        <w:t> </w:t>
      </w:r>
      <w:r>
        <w:rPr/>
        <w:t>(pilot) was a primary concern for the scientists.</w:t>
      </w:r>
      <w:r>
        <w:rPr>
          <w:spacing w:val="31"/>
        </w:rPr>
        <w:t> </w:t>
      </w:r>
      <w:r>
        <w:rPr/>
        <w:t>Maneuvering</w:t>
      </w:r>
      <w:r>
        <w:rPr>
          <w:spacing w:val="30"/>
        </w:rPr>
        <w:t> </w:t>
      </w:r>
      <w:r>
        <w:rPr/>
        <w:t>capabilities</w:t>
      </w:r>
      <w:r>
        <w:rPr>
          <w:spacing w:val="32"/>
        </w:rPr>
        <w:t> </w:t>
      </w:r>
      <w:r>
        <w:rPr/>
        <w:t>of</w:t>
      </w:r>
      <w:r>
        <w:rPr>
          <w:spacing w:val="33"/>
        </w:rPr>
        <w:t> </w:t>
      </w:r>
      <w:r>
        <w:rPr/>
        <w:t>pilot</w:t>
      </w:r>
      <w:r>
        <w:rPr>
          <w:spacing w:val="35"/>
        </w:rPr>
        <w:t> </w:t>
      </w:r>
      <w:r>
        <w:rPr/>
        <w:t>minimized</w:t>
      </w:r>
      <w:r>
        <w:rPr>
          <w:spacing w:val="31"/>
        </w:rPr>
        <w:t> </w:t>
      </w:r>
      <w:r>
        <w:rPr/>
        <w:t>the</w:t>
      </w:r>
      <w:r>
        <w:rPr>
          <w:spacing w:val="30"/>
        </w:rPr>
        <w:t> </w:t>
      </w:r>
      <w:r>
        <w:rPr/>
        <w:t>significance</w:t>
      </w:r>
      <w:r>
        <w:rPr>
          <w:spacing w:val="30"/>
        </w:rPr>
        <w:t> </w:t>
      </w:r>
      <w:r>
        <w:rPr/>
        <w:t>of machine-centered</w:t>
      </w:r>
      <w:r>
        <w:rPr>
          <w:spacing w:val="69"/>
        </w:rPr>
        <w:t> </w:t>
      </w:r>
      <w:r>
        <w:rPr/>
        <w:t>research.</w:t>
      </w:r>
      <w:r>
        <w:rPr>
          <w:spacing w:val="66"/>
        </w:rPr>
        <w:t> </w:t>
      </w:r>
      <w:r>
        <w:rPr/>
        <w:t>To</w:t>
      </w:r>
      <w:r>
        <w:rPr>
          <w:spacing w:val="67"/>
        </w:rPr>
        <w:t> </w:t>
      </w:r>
      <w:r>
        <w:rPr/>
        <w:t>study</w:t>
      </w:r>
      <w:r>
        <w:rPr>
          <w:spacing w:val="67"/>
        </w:rPr>
        <w:t> </w:t>
      </w:r>
      <w:r>
        <w:rPr/>
        <w:t>an</w:t>
      </w:r>
      <w:r>
        <w:rPr>
          <w:spacing w:val="71"/>
        </w:rPr>
        <w:t> </w:t>
      </w:r>
      <w:r>
        <w:rPr/>
        <w:t>unpredictable</w:t>
      </w:r>
      <w:r>
        <w:rPr>
          <w:spacing w:val="69"/>
        </w:rPr>
        <w:t> </w:t>
      </w:r>
      <w:r>
        <w:rPr/>
        <w:t>behavior</w:t>
      </w:r>
      <w:r>
        <w:rPr>
          <w:spacing w:val="70"/>
        </w:rPr>
        <w:t> </w:t>
      </w:r>
      <w:r>
        <w:rPr/>
        <w:t>of</w:t>
      </w:r>
      <w:r>
        <w:rPr>
          <w:spacing w:val="68"/>
        </w:rPr>
        <w:t> </w:t>
      </w:r>
      <w:r>
        <w:rPr>
          <w:spacing w:val="-5"/>
        </w:rPr>
        <w:t>the</w:t>
      </w:r>
    </w:p>
    <w:p>
      <w:pPr>
        <w:pStyle w:val="BodyText"/>
        <w:spacing w:before="12"/>
      </w:pPr>
      <w:r>
        <w:rPr/>
        <w:t>human,</w:t>
      </w:r>
      <w:r>
        <w:rPr>
          <w:spacing w:val="-8"/>
        </w:rPr>
        <w:t> </w:t>
      </w:r>
      <w:r>
        <w:rPr/>
        <w:t>required</w:t>
      </w:r>
      <w:r>
        <w:rPr>
          <w:spacing w:val="-12"/>
        </w:rPr>
        <w:t> </w:t>
      </w:r>
      <w:r>
        <w:rPr/>
        <w:t>more</w:t>
      </w:r>
      <w:r>
        <w:rPr>
          <w:spacing w:val="-8"/>
        </w:rPr>
        <w:t> </w:t>
      </w:r>
      <w:r>
        <w:rPr/>
        <w:t>than</w:t>
      </w:r>
      <w:r>
        <w:rPr>
          <w:spacing w:val="-12"/>
        </w:rPr>
        <w:t> </w:t>
      </w:r>
      <w:r>
        <w:rPr/>
        <w:t>engineering</w:t>
      </w:r>
      <w:r>
        <w:rPr>
          <w:spacing w:val="-12"/>
        </w:rPr>
        <w:t> </w:t>
      </w:r>
      <w:r>
        <w:rPr>
          <w:spacing w:val="-2"/>
        </w:rPr>
        <w:t>expertise.</w:t>
      </w:r>
    </w:p>
    <w:p>
      <w:pPr>
        <w:pStyle w:val="BodyText"/>
        <w:spacing w:line="273" w:lineRule="auto" w:before="42"/>
        <w:ind w:right="1899" w:firstLine="720"/>
      </w:pPr>
      <w:r>
        <w:rPr/>
        <w:t>The military project helped to advance studies of </w:t>
      </w:r>
      <w:r>
        <w:rPr>
          <w:sz w:val="27"/>
        </w:rPr>
        <w:t>feedback</w:t>
      </w:r>
      <w:r>
        <w:rPr/>
        <w:t>. Two types</w:t>
      </w:r>
      <w:r>
        <w:rPr>
          <w:spacing w:val="-3"/>
        </w:rPr>
        <w:t> </w:t>
      </w:r>
      <w:r>
        <w:rPr/>
        <w:t>of feedback were identified, </w:t>
      </w:r>
      <w:r>
        <w:rPr>
          <w:sz w:val="27"/>
        </w:rPr>
        <w:t>negative</w:t>
      </w:r>
      <w:r>
        <w:rPr/>
        <w:t>, and </w:t>
      </w:r>
      <w:r>
        <w:rPr>
          <w:sz w:val="27"/>
        </w:rPr>
        <w:t>positive</w:t>
      </w:r>
      <w:r>
        <w:rPr/>
        <w:t>; negative feedback is used to keep the stability of the system. For example, if we have a desired temperature of the room, we program the heating system accordingly. As soon as desired temperature is reached, the mechanism will automatically turn off</w:t>
      </w:r>
      <w:r>
        <w:rPr>
          <w:spacing w:val="-2"/>
        </w:rPr>
        <w:t> </w:t>
      </w:r>
      <w:r>
        <w:rPr/>
        <w:t>the</w:t>
      </w:r>
      <w:r>
        <w:rPr>
          <w:spacing w:val="-1"/>
        </w:rPr>
        <w:t> </w:t>
      </w:r>
      <w:r>
        <w:rPr/>
        <w:t>machine. To</w:t>
      </w:r>
      <w:r>
        <w:rPr>
          <w:spacing w:val="-4"/>
        </w:rPr>
        <w:t> </w:t>
      </w:r>
      <w:r>
        <w:rPr/>
        <w:t>say</w:t>
      </w:r>
      <w:r>
        <w:rPr>
          <w:spacing w:val="-1"/>
        </w:rPr>
        <w:t> </w:t>
      </w:r>
      <w:r>
        <w:rPr/>
        <w:t>it</w:t>
      </w:r>
      <w:r>
        <w:rPr>
          <w:spacing w:val="-1"/>
        </w:rPr>
        <w:t> </w:t>
      </w:r>
      <w:r>
        <w:rPr/>
        <w:t>another way, negative</w:t>
      </w:r>
      <w:r>
        <w:rPr>
          <w:spacing w:val="-1"/>
        </w:rPr>
        <w:t> </w:t>
      </w:r>
      <w:r>
        <w:rPr/>
        <w:t>feedback stops</w:t>
      </w:r>
      <w:r>
        <w:rPr>
          <w:spacing w:val="-3"/>
        </w:rPr>
        <w:t> </w:t>
      </w:r>
      <w:r>
        <w:rPr/>
        <w:t>certain operation to keep the desired state of the system. Positive feedback encourages the operations enacted by the machine or organism, but after some time it causes instability of the system. For instance, if amplifier</w:t>
      </w:r>
      <w:r>
        <w:rPr>
          <w:spacing w:val="80"/>
        </w:rPr>
        <w:t> </w:t>
      </w:r>
      <w:r>
        <w:rPr/>
        <w:t>works on positive feedback, the volume will grow until the system breaks </w:t>
      </w:r>
      <w:r>
        <w:rPr>
          <w:spacing w:val="-2"/>
        </w:rPr>
        <w:t>down.</w:t>
      </w:r>
    </w:p>
    <w:p>
      <w:pPr>
        <w:pStyle w:val="BodyText"/>
        <w:spacing w:line="273" w:lineRule="auto" w:before="6"/>
        <w:ind w:right="1912" w:firstLine="720"/>
      </w:pPr>
      <w:r>
        <w:rPr>
          <w:sz w:val="27"/>
        </w:rPr>
        <w:t>Norbert Wiener </w:t>
      </w:r>
      <w:r>
        <w:rPr/>
        <w:t>is a founder of the discipline, however, there were other scholars who shaped the modern cybernetics.</w:t>
      </w:r>
    </w:p>
    <w:p>
      <w:pPr>
        <w:pStyle w:val="BodyText"/>
        <w:spacing w:line="271" w:lineRule="auto"/>
        <w:ind w:right="1903" w:firstLine="720"/>
      </w:pPr>
      <w:r>
        <w:rPr>
          <w:sz w:val="27"/>
        </w:rPr>
        <w:t>William Ross Ashby </w:t>
      </w:r>
      <w:r>
        <w:rPr/>
        <w:t>is</w:t>
      </w:r>
      <w:r>
        <w:rPr>
          <w:spacing w:val="-2"/>
        </w:rPr>
        <w:t> </w:t>
      </w:r>
      <w:r>
        <w:rPr/>
        <w:t>among the most influential</w:t>
      </w:r>
      <w:r>
        <w:rPr>
          <w:spacing w:val="-2"/>
        </w:rPr>
        <w:t> </w:t>
      </w:r>
      <w:r>
        <w:rPr/>
        <w:t>figures</w:t>
      </w:r>
      <w:r>
        <w:rPr>
          <w:spacing w:val="-2"/>
        </w:rPr>
        <w:t> </w:t>
      </w:r>
      <w:r>
        <w:rPr/>
        <w:t>of systems science.</w:t>
      </w:r>
      <w:r>
        <w:rPr>
          <w:spacing w:val="40"/>
        </w:rPr>
        <w:t> </w:t>
      </w:r>
      <w:r>
        <w:rPr/>
        <w:t>He was one of those authors who argued that cybernetics as a field of</w:t>
      </w:r>
      <w:r>
        <w:rPr>
          <w:spacing w:val="-2"/>
        </w:rPr>
        <w:t> </w:t>
      </w:r>
      <w:r>
        <w:rPr/>
        <w:t>study</w:t>
      </w:r>
      <w:r>
        <w:rPr>
          <w:spacing w:val="-1"/>
        </w:rPr>
        <w:t> </w:t>
      </w:r>
      <w:r>
        <w:rPr/>
        <w:t>had a</w:t>
      </w:r>
      <w:r>
        <w:rPr>
          <w:spacing w:val="-1"/>
        </w:rPr>
        <w:t> </w:t>
      </w:r>
      <w:r>
        <w:rPr/>
        <w:t>‘theoretical validity</w:t>
      </w:r>
      <w:r>
        <w:rPr>
          <w:spacing w:val="-1"/>
        </w:rPr>
        <w:t> </w:t>
      </w:r>
      <w:r>
        <w:rPr/>
        <w:t>in its</w:t>
      </w:r>
      <w:r>
        <w:rPr>
          <w:spacing w:val="-3"/>
        </w:rPr>
        <w:t> </w:t>
      </w:r>
      <w:r>
        <w:rPr/>
        <w:t>own right.’</w:t>
      </w:r>
      <w:r>
        <w:rPr>
          <w:spacing w:val="-2"/>
        </w:rPr>
        <w:t> </w:t>
      </w:r>
      <w:r>
        <w:rPr/>
        <w:t>(</w:t>
      </w:r>
      <w:hyperlink w:history="true" w:anchor="_bookmark348">
        <w:r>
          <w:rPr/>
          <w:t>Ramage</w:t>
        </w:r>
        <w:r>
          <w:rPr>
            <w:spacing w:val="-1"/>
          </w:rPr>
          <w:t> </w:t>
        </w:r>
        <w:r>
          <w:rPr/>
          <w:t>&amp;</w:t>
        </w:r>
        <w:r>
          <w:rPr>
            <w:spacing w:val="-3"/>
          </w:rPr>
          <w:t> </w:t>
        </w:r>
        <w:r>
          <w:rPr/>
          <w:t>Shipp, 2009,</w:t>
        </w:r>
      </w:hyperlink>
      <w:r>
        <w:rPr/>
        <w:t> </w:t>
      </w:r>
      <w:hyperlink w:history="true" w:anchor="_bookmark348">
        <w:r>
          <w:rPr/>
          <w:t>p. 47</w:t>
        </w:r>
      </w:hyperlink>
      <w:r>
        <w:rPr/>
        <w:t>) </w:t>
      </w:r>
      <w:r>
        <w:rPr>
          <w:sz w:val="27"/>
        </w:rPr>
        <w:t>Ashby</w:t>
      </w:r>
      <w:r>
        <w:rPr/>
        <w:t>’s ideas found a practical illustratuin in his “the thinking machine” – a </w:t>
      </w:r>
      <w:r>
        <w:rPr>
          <w:sz w:val="27"/>
        </w:rPr>
        <w:t>homeostat. </w:t>
      </w:r>
      <w:r>
        <w:rPr/>
        <w:t>The machine was able to preserve internal stability, using feedback mechanisms. The concept of self-regulation was summarized</w:t>
      </w:r>
      <w:r>
        <w:rPr>
          <w:spacing w:val="25"/>
        </w:rPr>
        <w:t> </w:t>
      </w:r>
      <w:r>
        <w:rPr/>
        <w:t>in</w:t>
      </w:r>
      <w:r>
        <w:rPr>
          <w:spacing w:val="26"/>
        </w:rPr>
        <w:t> </w:t>
      </w:r>
      <w:r>
        <w:rPr/>
        <w:t>two</w:t>
      </w:r>
      <w:r>
        <w:rPr>
          <w:spacing w:val="23"/>
        </w:rPr>
        <w:t> </w:t>
      </w:r>
      <w:r>
        <w:rPr/>
        <w:t>editions</w:t>
      </w:r>
      <w:r>
        <w:rPr>
          <w:spacing w:val="22"/>
        </w:rPr>
        <w:t> </w:t>
      </w:r>
      <w:r>
        <w:rPr/>
        <w:t>of</w:t>
      </w:r>
      <w:r>
        <w:rPr>
          <w:spacing w:val="23"/>
        </w:rPr>
        <w:t> </w:t>
      </w:r>
      <w:r>
        <w:rPr/>
        <w:t>the</w:t>
      </w:r>
      <w:r>
        <w:rPr>
          <w:spacing w:val="26"/>
        </w:rPr>
        <w:t> </w:t>
      </w:r>
      <w:r>
        <w:rPr/>
        <w:t>book</w:t>
      </w:r>
      <w:r>
        <w:rPr>
          <w:spacing w:val="33"/>
        </w:rPr>
        <w:t> </w:t>
      </w:r>
      <w:r>
        <w:rPr>
          <w:sz w:val="27"/>
        </w:rPr>
        <w:t>Design</w:t>
      </w:r>
      <w:r>
        <w:rPr>
          <w:spacing w:val="23"/>
          <w:sz w:val="27"/>
        </w:rPr>
        <w:t> </w:t>
      </w:r>
      <w:r>
        <w:rPr>
          <w:sz w:val="27"/>
        </w:rPr>
        <w:t>for</w:t>
      </w:r>
      <w:r>
        <w:rPr>
          <w:spacing w:val="22"/>
          <w:sz w:val="27"/>
        </w:rPr>
        <w:t> </w:t>
      </w:r>
      <w:r>
        <w:rPr>
          <w:sz w:val="27"/>
        </w:rPr>
        <w:t>Brain.</w:t>
      </w:r>
      <w:r>
        <w:rPr>
          <w:spacing w:val="22"/>
          <w:sz w:val="27"/>
        </w:rPr>
        <w:t> </w:t>
      </w:r>
      <w:r>
        <w:rPr>
          <w:position w:val="7"/>
          <w:sz w:val="15"/>
        </w:rPr>
        <w:t>4</w:t>
      </w:r>
      <w:r>
        <w:rPr>
          <w:spacing w:val="55"/>
          <w:position w:val="7"/>
          <w:sz w:val="15"/>
        </w:rPr>
        <w:t> </w:t>
      </w:r>
      <w:r>
        <w:rPr/>
        <w:t>The</w:t>
      </w:r>
      <w:r>
        <w:rPr>
          <w:spacing w:val="25"/>
        </w:rPr>
        <w:t> </w:t>
      </w:r>
      <w:r>
        <w:rPr/>
        <w:t>key</w:t>
      </w:r>
      <w:r>
        <w:rPr>
          <w:spacing w:val="24"/>
        </w:rPr>
        <w:t> </w:t>
      </w:r>
      <w:r>
        <w:rPr>
          <w:spacing w:val="-4"/>
        </w:rPr>
        <w:t>link</w:t>
      </w:r>
    </w:p>
    <w:p>
      <w:pPr>
        <w:pStyle w:val="BodyText"/>
        <w:spacing w:before="6"/>
        <w:ind w:left="0"/>
        <w:jc w:val="left"/>
        <w:rPr>
          <w:sz w:val="11"/>
        </w:rPr>
      </w:pPr>
      <w:r>
        <w:rPr>
          <w:sz w:val="11"/>
        </w:rPr>
        <mc:AlternateContent>
          <mc:Choice Requires="wps">
            <w:drawing>
              <wp:anchor distT="0" distB="0" distL="0" distR="0" allowOverlap="1" layoutInCell="1" locked="0" behindDoc="1" simplePos="0" relativeHeight="487598592">
                <wp:simplePos x="0" y="0"/>
                <wp:positionH relativeFrom="page">
                  <wp:posOffset>1079296</wp:posOffset>
                </wp:positionH>
                <wp:positionV relativeFrom="paragraph">
                  <wp:posOffset>111578</wp:posOffset>
                </wp:positionV>
                <wp:extent cx="1830070" cy="9525"/>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8.785734pt;width:144.07pt;height:.72003pt;mso-position-horizontal-relative:page;mso-position-vertical-relative:paragraph;z-index:-15717888;mso-wrap-distance-left:0;mso-wrap-distance-right:0" id="docshape26" filled="true" fillcolor="#000000" stroked="false">
                <v:fill type="solid"/>
                <w10:wrap type="topAndBottom"/>
              </v:rect>
            </w:pict>
          </mc:Fallback>
        </mc:AlternateContent>
      </w:r>
    </w:p>
    <w:p>
      <w:pPr>
        <w:spacing w:before="103"/>
        <w:ind w:left="979" w:right="0" w:firstLine="0"/>
        <w:jc w:val="left"/>
        <w:rPr>
          <w:rFonts w:ascii="Calibri"/>
          <w:sz w:val="20"/>
        </w:rPr>
      </w:pPr>
      <w:r>
        <w:rPr>
          <w:rFonts w:ascii="Calibri"/>
          <w:sz w:val="20"/>
          <w:vertAlign w:val="superscript"/>
        </w:rPr>
        <w:t>4</w:t>
      </w:r>
      <w:r>
        <w:rPr>
          <w:rFonts w:ascii="Calibri"/>
          <w:sz w:val="20"/>
          <w:vertAlign w:val="baseline"/>
        </w:rPr>
        <w:t> First</w:t>
      </w:r>
      <w:r>
        <w:rPr>
          <w:rFonts w:ascii="Calibri"/>
          <w:spacing w:val="-6"/>
          <w:sz w:val="20"/>
          <w:vertAlign w:val="baseline"/>
        </w:rPr>
        <w:t> </w:t>
      </w:r>
      <w:r>
        <w:rPr>
          <w:rFonts w:ascii="Calibri"/>
          <w:sz w:val="20"/>
          <w:vertAlign w:val="baseline"/>
        </w:rPr>
        <w:t>edition</w:t>
      </w:r>
      <w:r>
        <w:rPr>
          <w:rFonts w:ascii="Calibri"/>
          <w:spacing w:val="-6"/>
          <w:sz w:val="20"/>
          <w:vertAlign w:val="baseline"/>
        </w:rPr>
        <w:t> </w:t>
      </w:r>
      <w:r>
        <w:rPr>
          <w:rFonts w:ascii="Calibri"/>
          <w:sz w:val="20"/>
          <w:vertAlign w:val="baseline"/>
        </w:rPr>
        <w:t>1952,</w:t>
      </w:r>
      <w:r>
        <w:rPr>
          <w:rFonts w:ascii="Calibri"/>
          <w:spacing w:val="-4"/>
          <w:sz w:val="20"/>
          <w:vertAlign w:val="baseline"/>
        </w:rPr>
        <w:t> </w:t>
      </w:r>
      <w:r>
        <w:rPr>
          <w:rFonts w:ascii="Calibri"/>
          <w:sz w:val="20"/>
          <w:vertAlign w:val="baseline"/>
        </w:rPr>
        <w:t>Second,</w:t>
      </w:r>
      <w:r>
        <w:rPr>
          <w:rFonts w:ascii="Calibri"/>
          <w:spacing w:val="-4"/>
          <w:sz w:val="20"/>
          <w:vertAlign w:val="baseline"/>
        </w:rPr>
        <w:t> 1960</w:t>
      </w:r>
    </w:p>
    <w:p>
      <w:pPr>
        <w:spacing w:after="0"/>
        <w:jc w:val="left"/>
        <w:rPr>
          <w:rFonts w:ascii="Calibri"/>
          <w:sz w:val="20"/>
        </w:rPr>
        <w:sectPr>
          <w:pgSz w:w="12240" w:h="15840"/>
          <w:pgMar w:header="1046" w:footer="0" w:top="1360" w:bottom="280" w:left="720" w:right="360"/>
        </w:sectPr>
      </w:pPr>
    </w:p>
    <w:p>
      <w:pPr>
        <w:pStyle w:val="BodyText"/>
        <w:spacing w:line="271" w:lineRule="auto" w:before="276"/>
        <w:ind w:right="1909"/>
      </w:pPr>
      <w:r>
        <w:rPr/>
        <w:t>between the homeostat and the brain is adaptability, learning through the experience: “the burned kitten avoids the fire. According to </w:t>
      </w:r>
      <w:r>
        <w:rPr>
          <w:sz w:val="27"/>
        </w:rPr>
        <w:t>Ashby</w:t>
      </w:r>
      <w:r>
        <w:rPr/>
        <w:t>, kittens have no instinctive fear of fire.”(</w:t>
      </w:r>
      <w:hyperlink w:history="true" w:anchor="_bookmark337">
        <w:r>
          <w:rPr/>
          <w:t>Pickering, 2002, p. 5</w:t>
        </w:r>
      </w:hyperlink>
      <w:r>
        <w:rPr/>
        <w:t>)</w:t>
      </w:r>
    </w:p>
    <w:p>
      <w:pPr>
        <w:pStyle w:val="BodyText"/>
        <w:spacing w:line="276" w:lineRule="auto" w:before="6"/>
        <w:ind w:right="1905" w:firstLine="720"/>
      </w:pPr>
      <w:r>
        <w:rPr/>
        <w:t>Stability according to the approach is a quality of a whole system, “and cannot be assignet to no part of it.” (Ashby, 1960, p. 56) However, this condition does imply that the elements of the system [or subsystem] can be stable or unstabile on their own. When two systems A and B are joined to affect each other and shape the whole C: </w:t>
      </w:r>
      <w:r>
        <w:rPr>
          <w:rFonts w:ascii="Times New Roman" w:hAnsi="Times New Roman"/>
          <w:color w:val="1D2029"/>
          <w:sz w:val="24"/>
        </w:rPr>
        <w:t>“</w:t>
      </w:r>
      <w:r>
        <w:rPr/>
        <w:t>the values of some of B's parameters (perhaps one only) must become functions of (dependent on)</w:t>
      </w:r>
      <w:r>
        <w:rPr>
          <w:spacing w:val="40"/>
        </w:rPr>
        <w:t> </w:t>
      </w:r>
      <w:r>
        <w:rPr/>
        <w:t>the values of A's variables."</w:t>
      </w:r>
      <w:r>
        <w:rPr>
          <w:position w:val="7"/>
          <w:sz w:val="15"/>
        </w:rPr>
        <w:t>5</w:t>
      </w:r>
      <w:r>
        <w:rPr>
          <w:spacing w:val="40"/>
          <w:position w:val="7"/>
          <w:sz w:val="15"/>
        </w:rPr>
        <w:t> </w:t>
      </w:r>
      <w:r>
        <w:rPr/>
        <w:t>(</w:t>
      </w:r>
      <w:hyperlink w:history="true" w:anchor="_bookmark82">
        <w:r>
          <w:rPr/>
          <w:t>1960, p. 67</w:t>
        </w:r>
      </w:hyperlink>
      <w:r>
        <w:rPr/>
        <w:t>)</w:t>
      </w:r>
    </w:p>
    <w:p>
      <w:pPr>
        <w:pStyle w:val="BodyText"/>
        <w:spacing w:line="268" w:lineRule="auto"/>
        <w:ind w:right="1912" w:firstLine="720"/>
      </w:pPr>
      <w:r>
        <w:rPr>
          <w:sz w:val="27"/>
        </w:rPr>
        <w:t>Ashby </w:t>
      </w:r>
      <w:r>
        <w:rPr/>
        <w:t>argued that systems have two natures, </w:t>
      </w:r>
      <w:r>
        <w:rPr>
          <w:sz w:val="27"/>
        </w:rPr>
        <w:t>mechanistic </w:t>
      </w:r>
      <w:r>
        <w:rPr/>
        <w:t>and </w:t>
      </w:r>
      <w:r>
        <w:rPr>
          <w:sz w:val="27"/>
        </w:rPr>
        <w:t>adaptive</w:t>
      </w:r>
      <w:r>
        <w:rPr/>
        <w:t>.</w:t>
      </w:r>
      <w:r>
        <w:rPr>
          <w:spacing w:val="-5"/>
        </w:rPr>
        <w:t> </w:t>
      </w:r>
      <w:r>
        <w:rPr/>
        <w:t>The</w:t>
      </w:r>
      <w:r>
        <w:rPr>
          <w:spacing w:val="-6"/>
        </w:rPr>
        <w:t> </w:t>
      </w:r>
      <w:r>
        <w:rPr/>
        <w:t>structure</w:t>
      </w:r>
      <w:r>
        <w:rPr>
          <w:spacing w:val="-6"/>
        </w:rPr>
        <w:t> </w:t>
      </w:r>
      <w:r>
        <w:rPr/>
        <w:t>of</w:t>
      </w:r>
      <w:r>
        <w:rPr>
          <w:spacing w:val="-7"/>
        </w:rPr>
        <w:t> </w:t>
      </w:r>
      <w:r>
        <w:rPr/>
        <w:t>the</w:t>
      </w:r>
      <w:r>
        <w:rPr>
          <w:spacing w:val="-6"/>
        </w:rPr>
        <w:t> </w:t>
      </w:r>
      <w:r>
        <w:rPr/>
        <w:t>system</w:t>
      </w:r>
      <w:r>
        <w:rPr>
          <w:spacing w:val="-8"/>
        </w:rPr>
        <w:t> </w:t>
      </w:r>
      <w:r>
        <w:rPr/>
        <w:t>learns</w:t>
      </w:r>
      <w:r>
        <w:rPr>
          <w:spacing w:val="-8"/>
        </w:rPr>
        <w:t> </w:t>
      </w:r>
      <w:r>
        <w:rPr/>
        <w:t>from</w:t>
      </w:r>
      <w:r>
        <w:rPr>
          <w:spacing w:val="-8"/>
        </w:rPr>
        <w:t> </w:t>
      </w:r>
      <w:r>
        <w:rPr/>
        <w:t>the</w:t>
      </w:r>
      <w:r>
        <w:rPr>
          <w:spacing w:val="-6"/>
        </w:rPr>
        <w:t> </w:t>
      </w:r>
      <w:r>
        <w:rPr/>
        <w:t>experience</w:t>
      </w:r>
      <w:r>
        <w:rPr>
          <w:spacing w:val="-6"/>
        </w:rPr>
        <w:t> </w:t>
      </w:r>
      <w:r>
        <w:rPr/>
        <w:t>and</w:t>
      </w:r>
      <w:r>
        <w:rPr>
          <w:spacing w:val="-9"/>
        </w:rPr>
        <w:t> </w:t>
      </w:r>
      <w:r>
        <w:rPr/>
        <w:t>applies necessary procedures to answer new challenges. (Ashby, 1960, p. V)</w:t>
      </w:r>
    </w:p>
    <w:p>
      <w:pPr>
        <w:pStyle w:val="BodyText"/>
        <w:spacing w:line="276" w:lineRule="auto" w:before="1"/>
        <w:ind w:right="1904" w:firstLine="720"/>
      </w:pPr>
      <w:r>
        <w:rPr/>
        <w:t>Twofold understanding of the system is closely connected with </w:t>
      </w:r>
      <w:r>
        <w:rPr>
          <w:sz w:val="27"/>
        </w:rPr>
        <w:t>Ashby</w:t>
      </w:r>
      <w:r>
        <w:rPr/>
        <w:t>’s general idea of differentiating a system and a </w:t>
      </w:r>
      <w:r>
        <w:rPr>
          <w:sz w:val="27"/>
        </w:rPr>
        <w:t>separate object </w:t>
      </w:r>
      <w:r>
        <w:rPr/>
        <w:t>from each other. A researcher is free to assume that, if organizational behavior is observed, everything out there (which shows signs of organization) might be a system. However, from the practical point of view, observer should have the tools to distinguish system and non-system. This distinction has to be research specific. For example, when political scientist and geographer analyze the same map, they still operate in different fields. For the first mountains can be strategic locations, while for the second, they represent parts of a natural landscape. Scholars have to concentrate on relevant </w:t>
      </w:r>
      <w:r>
        <w:rPr>
          <w:spacing w:val="-2"/>
        </w:rPr>
        <w:t>variables.</w:t>
      </w:r>
    </w:p>
    <w:p>
      <w:pPr>
        <w:pStyle w:val="BodyText"/>
        <w:spacing w:line="278" w:lineRule="auto"/>
        <w:ind w:left="2420" w:right="1912"/>
      </w:pPr>
      <w:r>
        <w:rPr/>
        <mc:AlternateContent>
          <mc:Choice Requires="wps">
            <w:drawing>
              <wp:anchor distT="0" distB="0" distL="0" distR="0" allowOverlap="1" layoutInCell="1" locked="0" behindDoc="0" simplePos="0" relativeHeight="15740928">
                <wp:simplePos x="0" y="0"/>
                <wp:positionH relativeFrom="page">
                  <wp:posOffset>1923923</wp:posOffset>
                </wp:positionH>
                <wp:positionV relativeFrom="paragraph">
                  <wp:posOffset>-11208</wp:posOffset>
                </wp:positionV>
                <wp:extent cx="1270" cy="753110"/>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1270" cy="753110"/>
                        </a:xfrm>
                        <a:custGeom>
                          <a:avLst/>
                          <a:gdLst/>
                          <a:ahLst/>
                          <a:cxnLst/>
                          <a:rect l="l" t="t" r="r" b="b"/>
                          <a:pathLst>
                            <a:path w="0" h="753110">
                              <a:moveTo>
                                <a:pt x="0" y="0"/>
                              </a:moveTo>
                              <a:lnTo>
                                <a:pt x="0" y="252984"/>
                              </a:lnTo>
                            </a:path>
                            <a:path w="0" h="753110">
                              <a:moveTo>
                                <a:pt x="0" y="252984"/>
                              </a:moveTo>
                              <a:lnTo>
                                <a:pt x="0" y="502920"/>
                              </a:lnTo>
                            </a:path>
                            <a:path w="0" h="753110">
                              <a:moveTo>
                                <a:pt x="0" y="502920"/>
                              </a:moveTo>
                              <a:lnTo>
                                <a:pt x="0" y="752856"/>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882573pt;width:.1pt;height:59.3pt;mso-position-horizontal-relative:page;mso-position-vertical-relative:paragraph;z-index:15740928" id="docshape27" coordorigin="3030,-18" coordsize="0,1186" path="m3030,-18l3030,381m3030,381l3030,774m3030,774l3030,1168e" filled="false" stroked="true" strokeweight=".48pt" strokecolor="#000000">
                <v:path arrowok="t"/>
                <v:stroke dashstyle="shortdash"/>
                <w10:wrap type="none"/>
              </v:shape>
            </w:pict>
          </mc:Fallback>
        </mc:AlternateContent>
      </w:r>
      <w:r>
        <w:rPr/>
        <w:t>“Pick out and study the facts that are relevant to some main interest that is already given ... The system now means, not a thing, but a list of variables.”</w:t>
      </w:r>
    </w:p>
    <w:p>
      <w:pPr>
        <w:pStyle w:val="BodyText"/>
        <w:spacing w:line="321" w:lineRule="exact"/>
        <w:ind w:left="7063"/>
      </w:pPr>
      <w:r>
        <w:rPr/>
        <w:t>(</w:t>
      </w:r>
      <w:hyperlink w:history="true" w:anchor="_bookmark240">
        <w:r>
          <w:rPr/>
          <w:t>Klir,</w:t>
        </w:r>
        <w:r>
          <w:rPr>
            <w:spacing w:val="-5"/>
          </w:rPr>
          <w:t> </w:t>
        </w:r>
        <w:r>
          <w:rPr/>
          <w:t>2009,</w:t>
        </w:r>
        <w:r>
          <w:rPr>
            <w:spacing w:val="-5"/>
          </w:rPr>
          <w:t> </w:t>
        </w:r>
        <w:r>
          <w:rPr/>
          <w:t>p.</w:t>
        </w:r>
        <w:r>
          <w:rPr>
            <w:spacing w:val="-5"/>
          </w:rPr>
          <w:t> </w:t>
        </w:r>
        <w:r>
          <w:rPr>
            <w:spacing w:val="-4"/>
          </w:rPr>
          <w:t>176</w:t>
        </w:r>
      </w:hyperlink>
      <w:r>
        <w:rPr>
          <w:spacing w:val="-4"/>
        </w:rPr>
        <w:t>)</w:t>
      </w:r>
    </w:p>
    <w:p>
      <w:pPr>
        <w:pStyle w:val="BodyText"/>
        <w:spacing w:line="276" w:lineRule="auto" w:before="51"/>
        <w:ind w:right="1916" w:firstLine="720"/>
      </w:pPr>
      <w:r>
        <w:rPr/>
        <w:t>Complexity is a characteristic of the system, thing cannot be complex. Observer identifies the system, therefore it is up to him to decide whether</w:t>
      </w:r>
      <w:r>
        <w:rPr>
          <w:spacing w:val="-5"/>
        </w:rPr>
        <w:t> </w:t>
      </w:r>
      <w:r>
        <w:rPr/>
        <w:t>the</w:t>
      </w:r>
      <w:r>
        <w:rPr>
          <w:spacing w:val="-5"/>
        </w:rPr>
        <w:t> </w:t>
      </w:r>
      <w:r>
        <w:rPr/>
        <w:t>system</w:t>
      </w:r>
      <w:r>
        <w:rPr>
          <w:spacing w:val="-7"/>
        </w:rPr>
        <w:t> </w:t>
      </w:r>
      <w:r>
        <w:rPr/>
        <w:t>is</w:t>
      </w:r>
      <w:r>
        <w:rPr>
          <w:spacing w:val="-7"/>
        </w:rPr>
        <w:t> </w:t>
      </w:r>
      <w:r>
        <w:rPr/>
        <w:t>complex</w:t>
      </w:r>
      <w:r>
        <w:rPr>
          <w:spacing w:val="-7"/>
        </w:rPr>
        <w:t> </w:t>
      </w:r>
      <w:r>
        <w:rPr/>
        <w:t>or</w:t>
      </w:r>
      <w:r>
        <w:rPr>
          <w:spacing w:val="-5"/>
        </w:rPr>
        <w:t> </w:t>
      </w:r>
      <w:r>
        <w:rPr/>
        <w:t>not.</w:t>
      </w:r>
      <w:r>
        <w:rPr>
          <w:spacing w:val="-4"/>
        </w:rPr>
        <w:t> </w:t>
      </w:r>
      <w:r>
        <w:rPr/>
        <w:t>For</w:t>
      </w:r>
      <w:r>
        <w:rPr>
          <w:spacing w:val="-4"/>
        </w:rPr>
        <w:t> </w:t>
      </w:r>
      <w:r>
        <w:rPr/>
        <w:t>example</w:t>
      </w:r>
      <w:r>
        <w:rPr>
          <w:spacing w:val="-6"/>
        </w:rPr>
        <w:t> </w:t>
      </w:r>
      <w:r>
        <w:rPr/>
        <w:t>the</w:t>
      </w:r>
      <w:r>
        <w:rPr>
          <w:spacing w:val="-5"/>
        </w:rPr>
        <w:t> </w:t>
      </w:r>
      <w:r>
        <w:rPr/>
        <w:t>brain</w:t>
      </w:r>
      <w:r>
        <w:rPr>
          <w:spacing w:val="-4"/>
        </w:rPr>
        <w:t> </w:t>
      </w:r>
      <w:r>
        <w:rPr/>
        <w:t>for</w:t>
      </w:r>
      <w:r>
        <w:rPr>
          <w:spacing w:val="-5"/>
        </w:rPr>
        <w:t> </w:t>
      </w:r>
      <w:r>
        <w:rPr/>
        <w:t>the</w:t>
      </w:r>
      <w:r>
        <w:rPr>
          <w:spacing w:val="-5"/>
        </w:rPr>
        <w:t> </w:t>
      </w:r>
      <w:r>
        <w:rPr>
          <w:spacing w:val="-2"/>
        </w:rPr>
        <w:t>scholar</w:t>
      </w:r>
    </w:p>
    <w:p>
      <w:pPr>
        <w:pStyle w:val="BodyText"/>
        <w:spacing w:before="11"/>
        <w:ind w:left="0"/>
        <w:jc w:val="left"/>
        <w:rPr>
          <w:sz w:val="11"/>
        </w:rPr>
      </w:pPr>
      <w:r>
        <w:rPr>
          <w:sz w:val="11"/>
        </w:rPr>
        <mc:AlternateContent>
          <mc:Choice Requires="wps">
            <w:drawing>
              <wp:anchor distT="0" distB="0" distL="0" distR="0" allowOverlap="1" layoutInCell="1" locked="0" behindDoc="1" simplePos="0" relativeHeight="487599616">
                <wp:simplePos x="0" y="0"/>
                <wp:positionH relativeFrom="page">
                  <wp:posOffset>1079296</wp:posOffset>
                </wp:positionH>
                <wp:positionV relativeFrom="paragraph">
                  <wp:posOffset>114534</wp:posOffset>
                </wp:positionV>
                <wp:extent cx="1830070" cy="9525"/>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9.018496pt;width:144.07pt;height:.72003pt;mso-position-horizontal-relative:page;mso-position-vertical-relative:paragraph;z-index:-15716864;mso-wrap-distance-left:0;mso-wrap-distance-right:0" id="docshape28" filled="true" fillcolor="#000000" stroked="false">
                <v:fill type="solid"/>
                <w10:wrap type="topAndBottom"/>
              </v:rect>
            </w:pict>
          </mc:Fallback>
        </mc:AlternateContent>
      </w:r>
    </w:p>
    <w:p>
      <w:pPr>
        <w:spacing w:before="103"/>
        <w:ind w:left="979" w:right="0" w:firstLine="0"/>
        <w:jc w:val="left"/>
        <w:rPr>
          <w:rFonts w:ascii="Calibri"/>
          <w:sz w:val="20"/>
        </w:rPr>
      </w:pPr>
      <w:r>
        <w:rPr>
          <w:rFonts w:ascii="Calibri"/>
          <w:sz w:val="20"/>
          <w:vertAlign w:val="superscript"/>
        </w:rPr>
        <w:t>5</w:t>
      </w:r>
      <w:r>
        <w:rPr>
          <w:rFonts w:ascii="Calibri"/>
          <w:sz w:val="20"/>
          <w:vertAlign w:val="baseline"/>
        </w:rPr>
        <w:t> Variable</w:t>
      </w:r>
      <w:r>
        <w:rPr>
          <w:rFonts w:ascii="Calibri"/>
          <w:spacing w:val="-6"/>
          <w:sz w:val="20"/>
          <w:vertAlign w:val="baseline"/>
        </w:rPr>
        <w:t> </w:t>
      </w:r>
      <w:r>
        <w:rPr>
          <w:rFonts w:ascii="Calibri"/>
          <w:sz w:val="20"/>
          <w:vertAlign w:val="baseline"/>
        </w:rPr>
        <w:t>is</w:t>
      </w:r>
      <w:r>
        <w:rPr>
          <w:rFonts w:ascii="Calibri"/>
          <w:spacing w:val="-4"/>
          <w:sz w:val="20"/>
          <w:vertAlign w:val="baseline"/>
        </w:rPr>
        <w:t> </w:t>
      </w:r>
      <w:r>
        <w:rPr>
          <w:rFonts w:ascii="Calibri"/>
          <w:sz w:val="20"/>
          <w:vertAlign w:val="baseline"/>
        </w:rPr>
        <w:t>an</w:t>
      </w:r>
      <w:r>
        <w:rPr>
          <w:rFonts w:ascii="Calibri"/>
          <w:spacing w:val="-7"/>
          <w:sz w:val="20"/>
          <w:vertAlign w:val="baseline"/>
        </w:rPr>
        <w:t> </w:t>
      </w:r>
      <w:r>
        <w:rPr>
          <w:rFonts w:ascii="Calibri"/>
          <w:sz w:val="20"/>
          <w:vertAlign w:val="baseline"/>
        </w:rPr>
        <w:t>active</w:t>
      </w:r>
      <w:r>
        <w:rPr>
          <w:rFonts w:ascii="Calibri"/>
          <w:spacing w:val="-5"/>
          <w:sz w:val="20"/>
          <w:vertAlign w:val="baseline"/>
        </w:rPr>
        <w:t> </w:t>
      </w:r>
      <w:r>
        <w:rPr>
          <w:rFonts w:ascii="Calibri"/>
          <w:sz w:val="20"/>
          <w:vertAlign w:val="baseline"/>
        </w:rPr>
        <w:t>component</w:t>
      </w:r>
      <w:r>
        <w:rPr>
          <w:rFonts w:ascii="Calibri"/>
          <w:spacing w:val="-3"/>
          <w:sz w:val="20"/>
          <w:vertAlign w:val="baseline"/>
        </w:rPr>
        <w:t> </w:t>
      </w:r>
      <w:r>
        <w:rPr>
          <w:rFonts w:ascii="Calibri"/>
          <w:sz w:val="20"/>
          <w:vertAlign w:val="baseline"/>
        </w:rPr>
        <w:t>within</w:t>
      </w:r>
      <w:r>
        <w:rPr>
          <w:rFonts w:ascii="Calibri"/>
          <w:spacing w:val="-2"/>
          <w:sz w:val="20"/>
          <w:vertAlign w:val="baseline"/>
        </w:rPr>
        <w:t> </w:t>
      </w:r>
      <w:r>
        <w:rPr>
          <w:rFonts w:ascii="Calibri"/>
          <w:sz w:val="20"/>
          <w:vertAlign w:val="baseline"/>
        </w:rPr>
        <w:t>a</w:t>
      </w:r>
      <w:r>
        <w:rPr>
          <w:rFonts w:ascii="Calibri"/>
          <w:spacing w:val="-6"/>
          <w:sz w:val="20"/>
          <w:vertAlign w:val="baseline"/>
        </w:rPr>
        <w:t> </w:t>
      </w:r>
      <w:r>
        <w:rPr>
          <w:rFonts w:ascii="Calibri"/>
          <w:sz w:val="20"/>
          <w:vertAlign w:val="baseline"/>
        </w:rPr>
        <w:t>system,</w:t>
      </w:r>
      <w:r>
        <w:rPr>
          <w:rFonts w:ascii="Calibri"/>
          <w:spacing w:val="35"/>
          <w:sz w:val="20"/>
          <w:vertAlign w:val="baseline"/>
        </w:rPr>
        <w:t> </w:t>
      </w:r>
      <w:r>
        <w:rPr>
          <w:rFonts w:ascii="Calibri"/>
          <w:sz w:val="20"/>
          <w:vertAlign w:val="baseline"/>
        </w:rPr>
        <w:t>parameter</w:t>
      </w:r>
      <w:r>
        <w:rPr>
          <w:rFonts w:ascii="Calibri"/>
          <w:spacing w:val="78"/>
          <w:sz w:val="20"/>
          <w:vertAlign w:val="baseline"/>
        </w:rPr>
        <w:t> </w:t>
      </w:r>
      <w:r>
        <w:rPr>
          <w:rFonts w:ascii="Calibri"/>
          <w:sz w:val="20"/>
          <w:vertAlign w:val="baseline"/>
        </w:rPr>
        <w:t>is</w:t>
      </w:r>
      <w:r>
        <w:rPr>
          <w:rFonts w:ascii="Calibri"/>
          <w:spacing w:val="-4"/>
          <w:sz w:val="20"/>
          <w:vertAlign w:val="baseline"/>
        </w:rPr>
        <w:t> </w:t>
      </w:r>
      <w:r>
        <w:rPr>
          <w:rFonts w:ascii="Calibri"/>
          <w:sz w:val="20"/>
          <w:vertAlign w:val="baseline"/>
        </w:rPr>
        <w:t>a</w:t>
      </w:r>
      <w:r>
        <w:rPr>
          <w:rFonts w:ascii="Calibri"/>
          <w:spacing w:val="-6"/>
          <w:sz w:val="20"/>
          <w:vertAlign w:val="baseline"/>
        </w:rPr>
        <w:t> </w:t>
      </w:r>
      <w:r>
        <w:rPr>
          <w:rFonts w:ascii="Calibri"/>
          <w:sz w:val="20"/>
          <w:vertAlign w:val="baseline"/>
        </w:rPr>
        <w:t>variable</w:t>
      </w:r>
      <w:r>
        <w:rPr>
          <w:rFonts w:ascii="Calibri"/>
          <w:spacing w:val="-6"/>
          <w:sz w:val="20"/>
          <w:vertAlign w:val="baseline"/>
        </w:rPr>
        <w:t> </w:t>
      </w:r>
      <w:r>
        <w:rPr>
          <w:rFonts w:ascii="Calibri"/>
          <w:sz w:val="20"/>
          <w:vertAlign w:val="baseline"/>
        </w:rPr>
        <w:t>in</w:t>
      </w:r>
      <w:r>
        <w:rPr>
          <w:rFonts w:ascii="Calibri"/>
          <w:spacing w:val="-2"/>
          <w:sz w:val="20"/>
          <w:vertAlign w:val="baseline"/>
        </w:rPr>
        <w:t> </w:t>
      </w:r>
      <w:r>
        <w:rPr>
          <w:rFonts w:ascii="Calibri"/>
          <w:sz w:val="20"/>
          <w:vertAlign w:val="baseline"/>
        </w:rPr>
        <w:t>the</w:t>
      </w:r>
      <w:r>
        <w:rPr>
          <w:rFonts w:ascii="Calibri"/>
          <w:spacing w:val="-5"/>
          <w:sz w:val="20"/>
          <w:vertAlign w:val="baseline"/>
        </w:rPr>
        <w:t> </w:t>
      </w:r>
      <w:r>
        <w:rPr>
          <w:rFonts w:ascii="Calibri"/>
          <w:spacing w:val="-2"/>
          <w:sz w:val="20"/>
          <w:vertAlign w:val="baseline"/>
        </w:rPr>
        <w:t>environment.</w:t>
      </w:r>
    </w:p>
    <w:p>
      <w:pPr>
        <w:spacing w:after="0"/>
        <w:jc w:val="left"/>
        <w:rPr>
          <w:rFonts w:ascii="Calibri"/>
          <w:sz w:val="20"/>
        </w:rPr>
        <w:sectPr>
          <w:pgSz w:w="12240" w:h="15840"/>
          <w:pgMar w:header="1046" w:footer="0" w:top="1360" w:bottom="280" w:left="720" w:right="360"/>
        </w:sectPr>
      </w:pPr>
    </w:p>
    <w:p>
      <w:pPr>
        <w:pStyle w:val="BodyText"/>
        <w:spacing w:line="276" w:lineRule="auto" w:before="276"/>
        <w:ind w:right="1905"/>
      </w:pPr>
      <w:r>
        <w:rPr/>
        <w:t>who studies it, is extremely complex system, while for the butcher it is just one sort of the meat. (</w:t>
      </w:r>
      <w:hyperlink w:history="true" w:anchor="_bookmark240">
        <w:r>
          <w:rPr/>
          <w:t>Klir, 2009, p. 177</w:t>
        </w:r>
      </w:hyperlink>
      <w:r>
        <w:rPr/>
        <w:t>) The latter,</w:t>
      </w:r>
      <w:r>
        <w:rPr>
          <w:spacing w:val="40"/>
        </w:rPr>
        <w:t> </w:t>
      </w:r>
      <w:r>
        <w:rPr/>
        <w:t>is not interested in giving a systemic meaning to the thing.</w:t>
      </w:r>
    </w:p>
    <w:p>
      <w:pPr>
        <w:pStyle w:val="BodyText"/>
        <w:spacing w:line="271" w:lineRule="auto"/>
        <w:ind w:right="1901" w:firstLine="720"/>
      </w:pPr>
      <w:r>
        <w:rPr>
          <w:sz w:val="27"/>
        </w:rPr>
        <w:t>Ashby</w:t>
      </w:r>
      <w:r>
        <w:rPr/>
        <w:t>’s</w:t>
      </w:r>
      <w:r>
        <w:rPr>
          <w:spacing w:val="-5"/>
        </w:rPr>
        <w:t> </w:t>
      </w:r>
      <w:r>
        <w:rPr/>
        <w:t>well-known</w:t>
      </w:r>
      <w:r>
        <w:rPr>
          <w:spacing w:val="-1"/>
        </w:rPr>
        <w:t> </w:t>
      </w:r>
      <w:r>
        <w:rPr/>
        <w:t>work</w:t>
      </w:r>
      <w:r>
        <w:rPr>
          <w:spacing w:val="-1"/>
        </w:rPr>
        <w:t> </w:t>
      </w:r>
      <w:r>
        <w:rPr/>
        <w:t>is </w:t>
      </w:r>
      <w:r>
        <w:rPr>
          <w:sz w:val="27"/>
        </w:rPr>
        <w:t>Introduction</w:t>
      </w:r>
      <w:r>
        <w:rPr>
          <w:spacing w:val="-4"/>
          <w:sz w:val="27"/>
        </w:rPr>
        <w:t> </w:t>
      </w:r>
      <w:r>
        <w:rPr>
          <w:sz w:val="27"/>
        </w:rPr>
        <w:t>to</w:t>
      </w:r>
      <w:r>
        <w:rPr>
          <w:spacing w:val="-7"/>
          <w:sz w:val="27"/>
        </w:rPr>
        <w:t> </w:t>
      </w:r>
      <w:r>
        <w:rPr>
          <w:sz w:val="27"/>
        </w:rPr>
        <w:t>Cybernetics</w:t>
      </w:r>
      <w:r>
        <w:rPr>
          <w:spacing w:val="40"/>
          <w:sz w:val="27"/>
        </w:rPr>
        <w:t> </w:t>
      </w:r>
      <w:r>
        <w:rPr/>
        <w:t>had</w:t>
      </w:r>
      <w:r>
        <w:rPr>
          <w:spacing w:val="-1"/>
        </w:rPr>
        <w:t> </w:t>
      </w:r>
      <w:r>
        <w:rPr/>
        <w:t>‘wide and long lasting’ impact on the field. (</w:t>
      </w:r>
      <w:hyperlink w:history="true" w:anchor="_bookmark348">
        <w:r>
          <w:rPr/>
          <w:t>Ramage &amp; Shipp, 2009, p. 47</w:t>
        </w:r>
      </w:hyperlink>
      <w:r>
        <w:rPr/>
        <w:t>) </w:t>
      </w:r>
      <w:r>
        <w:rPr>
          <w:sz w:val="27"/>
        </w:rPr>
        <w:t>Ashby </w:t>
      </w:r>
      <w:r>
        <w:rPr/>
        <w:t>was a dedicated systems man, but here, his views contradicted the core aspect of </w:t>
      </w:r>
      <w:r>
        <w:rPr>
          <w:sz w:val="27"/>
        </w:rPr>
        <w:t>Bertalanffy</w:t>
      </w:r>
      <w:r>
        <w:rPr/>
        <w:t>’s approach of open systems. </w:t>
      </w:r>
      <w:r>
        <w:rPr>
          <w:sz w:val="27"/>
        </w:rPr>
        <w:t>Bertalanffy </w:t>
      </w:r>
      <w:r>
        <w:rPr/>
        <w:t>“objected to [Ashby’s] basic definition of a system as a ‘machine with input,’ because it only applied to closed system.” (</w:t>
      </w:r>
      <w:hyperlink w:history="true" w:anchor="_bookmark348">
        <w:r>
          <w:rPr/>
          <w:t>2009, p. 47</w:t>
        </w:r>
      </w:hyperlink>
      <w:r>
        <w:rPr/>
        <w:t>)</w:t>
      </w:r>
    </w:p>
    <w:p>
      <w:pPr>
        <w:pStyle w:val="BodyText"/>
        <w:spacing w:line="273" w:lineRule="auto"/>
        <w:ind w:right="1906" w:firstLine="720"/>
      </w:pPr>
      <w:r>
        <w:rPr>
          <w:sz w:val="27"/>
        </w:rPr>
        <w:t>Ashby</w:t>
      </w:r>
      <w:r>
        <w:rPr>
          <w:spacing w:val="-6"/>
          <w:sz w:val="27"/>
        </w:rPr>
        <w:t> </w:t>
      </w:r>
      <w:r>
        <w:rPr/>
        <w:t>distinguished two</w:t>
      </w:r>
      <w:r>
        <w:rPr>
          <w:spacing w:val="-5"/>
        </w:rPr>
        <w:t> </w:t>
      </w:r>
      <w:r>
        <w:rPr/>
        <w:t>models</w:t>
      </w:r>
      <w:r>
        <w:rPr>
          <w:spacing w:val="-4"/>
        </w:rPr>
        <w:t> </w:t>
      </w:r>
      <w:r>
        <w:rPr/>
        <w:t>of</w:t>
      </w:r>
      <w:r>
        <w:rPr>
          <w:spacing w:val="-4"/>
        </w:rPr>
        <w:t> </w:t>
      </w:r>
      <w:r>
        <w:rPr/>
        <w:t>systems</w:t>
      </w:r>
      <w:r>
        <w:rPr>
          <w:spacing w:val="-4"/>
        </w:rPr>
        <w:t> </w:t>
      </w:r>
      <w:r>
        <w:rPr/>
        <w:t>research; the</w:t>
      </w:r>
      <w:r>
        <w:rPr>
          <w:spacing w:val="-5"/>
        </w:rPr>
        <w:t> </w:t>
      </w:r>
      <w:r>
        <w:rPr/>
        <w:t>first</w:t>
      </w:r>
      <w:r>
        <w:rPr>
          <w:spacing w:val="-3"/>
        </w:rPr>
        <w:t> </w:t>
      </w:r>
      <w:r>
        <w:rPr/>
        <w:t>focuses on works produced by </w:t>
      </w:r>
      <w:r>
        <w:rPr>
          <w:sz w:val="27"/>
        </w:rPr>
        <w:t>von Bertalanffy </w:t>
      </w:r>
      <w:r>
        <w:rPr/>
        <w:t>and his fellow colleagues. This model studies various systems in separation and tries to identify universal regularities. The second method is not interested in peculiarities of individual systems at the first place; instead, it takes totality of the systems as a starting point. The model “considers the set of all conceivable systems and then reduces the set to a more reasonable size.”(</w:t>
      </w:r>
      <w:hyperlink w:history="true" w:anchor="_bookmark239">
        <w:r>
          <w:rPr/>
          <w:t>Klir, 2001, p. 250</w:t>
        </w:r>
      </w:hyperlink>
      <w:r>
        <w:rPr/>
        <w:t>) </w:t>
      </w:r>
      <w:r>
        <w:rPr>
          <w:sz w:val="27"/>
        </w:rPr>
        <w:t>Ashby </w:t>
      </w:r>
      <w:r>
        <w:rPr/>
        <w:t>believed that both methods are somehow useful, whilst the main difficulty usually lies in defining the system. Even though, systems</w:t>
      </w:r>
      <w:r>
        <w:rPr>
          <w:spacing w:val="40"/>
        </w:rPr>
        <w:t> </w:t>
      </w:r>
      <w:r>
        <w:rPr/>
        <w:t>approach usually tries to use some objectively generated empirical data for building the models, the very nature of the approach remains intersubjective. The scientist “is in fact highly selective in his choice of systems study.”(</w:t>
      </w:r>
      <w:hyperlink w:history="true" w:anchor="_bookmark239">
        <w:r>
          <w:rPr/>
          <w:t>Klir, 2001, p. 251</w:t>
        </w:r>
      </w:hyperlink>
      <w:r>
        <w:rPr/>
        <w:t>)</w:t>
      </w:r>
    </w:p>
    <w:p>
      <w:pPr>
        <w:pStyle w:val="BodyText"/>
        <w:spacing w:line="273" w:lineRule="auto"/>
        <w:ind w:right="1904" w:firstLine="787"/>
      </w:pPr>
      <w:r>
        <w:rPr>
          <w:sz w:val="27"/>
        </w:rPr>
        <w:t>Ashby </w:t>
      </w:r>
      <w:r>
        <w:rPr/>
        <w:t>advanced problem of the </w:t>
      </w:r>
      <w:r>
        <w:rPr>
          <w:sz w:val="27"/>
        </w:rPr>
        <w:t>‘black box’ </w:t>
      </w:r>
      <w:r>
        <w:rPr/>
        <w:t>as a practical demonstration of systemic approach. (</w:t>
      </w:r>
      <w:hyperlink w:history="true" w:anchor="_bookmark81">
        <w:r>
          <w:rPr/>
          <w:t>Ashby, 1956, p. 86</w:t>
        </w:r>
      </w:hyperlink>
      <w:r>
        <w:rPr/>
        <w:t>) The idea is that scientist should observe the processes in the </w:t>
      </w:r>
      <w:r>
        <w:rPr>
          <w:sz w:val="27"/>
        </w:rPr>
        <w:t>Black Box </w:t>
      </w:r>
      <w:r>
        <w:rPr/>
        <w:t>without opening it. The traditional reductionist method would not help in this case because parts are not observable. The observers do not have to study technical details</w:t>
      </w:r>
      <w:r>
        <w:rPr>
          <w:spacing w:val="-3"/>
        </w:rPr>
        <w:t> </w:t>
      </w:r>
      <w:r>
        <w:rPr/>
        <w:t>of</w:t>
      </w:r>
      <w:r>
        <w:rPr>
          <w:spacing w:val="-2"/>
        </w:rPr>
        <w:t> </w:t>
      </w:r>
      <w:r>
        <w:rPr/>
        <w:t>the</w:t>
      </w:r>
      <w:r>
        <w:rPr>
          <w:spacing w:val="-1"/>
        </w:rPr>
        <w:t> </w:t>
      </w:r>
      <w:r>
        <w:rPr/>
        <w:t>box. The</w:t>
      </w:r>
      <w:r>
        <w:rPr>
          <w:spacing w:val="-1"/>
        </w:rPr>
        <w:t> </w:t>
      </w:r>
      <w:r>
        <w:rPr/>
        <w:t>essential</w:t>
      </w:r>
      <w:r>
        <w:rPr>
          <w:spacing w:val="-3"/>
        </w:rPr>
        <w:t> </w:t>
      </w:r>
      <w:r>
        <w:rPr/>
        <w:t>part</w:t>
      </w:r>
      <w:r>
        <w:rPr>
          <w:spacing w:val="-1"/>
        </w:rPr>
        <w:t> </w:t>
      </w:r>
      <w:r>
        <w:rPr/>
        <w:t>of</w:t>
      </w:r>
      <w:r>
        <w:rPr>
          <w:spacing w:val="-2"/>
        </w:rPr>
        <w:t> </w:t>
      </w:r>
      <w:r>
        <w:rPr/>
        <w:t>the</w:t>
      </w:r>
      <w:r>
        <w:rPr>
          <w:spacing w:val="-1"/>
        </w:rPr>
        <w:t> </w:t>
      </w:r>
      <w:r>
        <w:rPr/>
        <w:t>research</w:t>
      </w:r>
      <w:r>
        <w:rPr>
          <w:spacing w:val="-1"/>
        </w:rPr>
        <w:t> </w:t>
      </w:r>
      <w:r>
        <w:rPr/>
        <w:t>deals</w:t>
      </w:r>
      <w:r>
        <w:rPr>
          <w:spacing w:val="-3"/>
        </w:rPr>
        <w:t> </w:t>
      </w:r>
      <w:r>
        <w:rPr/>
        <w:t>with</w:t>
      </w:r>
      <w:r>
        <w:rPr>
          <w:spacing w:val="-1"/>
        </w:rPr>
        <w:t> </w:t>
      </w:r>
      <w:r>
        <w:rPr/>
        <w:t>the </w:t>
      </w:r>
      <w:r>
        <w:rPr>
          <w:sz w:val="27"/>
        </w:rPr>
        <w:t>‘protocol of events’ </w:t>
      </w:r>
      <w:r>
        <w:rPr/>
        <w:t>which must be recorded and analyzed closely. If the research is accurate, the protocol can be viewed as a “message that contains</w:t>
      </w:r>
      <w:r>
        <w:rPr>
          <w:spacing w:val="40"/>
        </w:rPr>
        <w:t> </w:t>
      </w:r>
      <w:r>
        <w:rPr/>
        <w:t>information about the Box’s nature,”(</w:t>
      </w:r>
      <w:hyperlink w:history="true" w:anchor="_bookmark239">
        <w:r>
          <w:rPr/>
          <w:t>Klir, 2001, p. 253</w:t>
        </w:r>
      </w:hyperlink>
      <w:r>
        <w:rPr/>
        <w:t>) - the primary characterization</w:t>
      </w:r>
      <w:r>
        <w:rPr>
          <w:spacing w:val="37"/>
        </w:rPr>
        <w:t> </w:t>
      </w:r>
      <w:r>
        <w:rPr/>
        <w:t>of</w:t>
      </w:r>
      <w:r>
        <w:rPr>
          <w:spacing w:val="34"/>
        </w:rPr>
        <w:t> </w:t>
      </w:r>
      <w:r>
        <w:rPr/>
        <w:t>the</w:t>
      </w:r>
      <w:r>
        <w:rPr>
          <w:spacing w:val="36"/>
        </w:rPr>
        <w:t> </w:t>
      </w:r>
      <w:r>
        <w:rPr/>
        <w:t>black</w:t>
      </w:r>
      <w:r>
        <w:rPr>
          <w:spacing w:val="36"/>
        </w:rPr>
        <w:t> </w:t>
      </w:r>
      <w:r>
        <w:rPr/>
        <w:t>box</w:t>
      </w:r>
      <w:r>
        <w:rPr>
          <w:spacing w:val="34"/>
        </w:rPr>
        <w:t> </w:t>
      </w:r>
      <w:r>
        <w:rPr/>
        <w:t>will</w:t>
      </w:r>
      <w:r>
        <w:rPr>
          <w:spacing w:val="33"/>
        </w:rPr>
        <w:t> </w:t>
      </w:r>
      <w:r>
        <w:rPr/>
        <w:t>be</w:t>
      </w:r>
      <w:r>
        <w:rPr>
          <w:spacing w:val="36"/>
        </w:rPr>
        <w:t> </w:t>
      </w:r>
      <w:r>
        <w:rPr/>
        <w:t>the</w:t>
      </w:r>
      <w:r>
        <w:rPr>
          <w:spacing w:val="36"/>
        </w:rPr>
        <w:t> </w:t>
      </w:r>
      <w:r>
        <w:rPr/>
        <w:t>permanence</w:t>
      </w:r>
      <w:r>
        <w:rPr>
          <w:spacing w:val="36"/>
        </w:rPr>
        <w:t> </w:t>
      </w:r>
      <w:r>
        <w:rPr/>
        <w:t>of</w:t>
      </w:r>
      <w:r>
        <w:rPr>
          <w:spacing w:val="30"/>
        </w:rPr>
        <w:t> </w:t>
      </w:r>
      <w:r>
        <w:rPr/>
        <w:t>discoverable</w:t>
      </w:r>
    </w:p>
    <w:p>
      <w:pPr>
        <w:pStyle w:val="BodyText"/>
        <w:spacing w:after="0" w:line="273" w:lineRule="auto"/>
        <w:sectPr>
          <w:pgSz w:w="12240" w:h="15840"/>
          <w:pgMar w:header="1046" w:footer="0" w:top="1360" w:bottom="280" w:left="720" w:right="360"/>
        </w:sectPr>
      </w:pPr>
    </w:p>
    <w:p>
      <w:pPr>
        <w:pStyle w:val="BodyText"/>
        <w:spacing w:line="276" w:lineRule="auto" w:before="276"/>
        <w:ind w:right="1902"/>
        <w:rPr>
          <w:position w:val="7"/>
          <w:sz w:val="15"/>
        </w:rPr>
      </w:pPr>
      <w:r>
        <w:rPr/>
        <w:t>events. There are systems, which cannot be analyzed using a linear input- output model of the black box, because they are too complex. Even in case of the simple systems, as </w:t>
      </w:r>
      <w:r>
        <w:rPr>
          <w:sz w:val="27"/>
        </w:rPr>
        <w:t>Ashby </w:t>
      </w:r>
      <w:r>
        <w:rPr/>
        <w:t>argued, observer needs a precisely demarcated input and output. There might be indefinite amount of inputs and accordingly indefinite amount of outputs. The experimenter must have arbitrary tools to narrow down the systemic properties till the desired scheme is reached. (</w:t>
      </w:r>
      <w:hyperlink w:history="true" w:anchor="_bookmark81">
        <w:r>
          <w:rPr/>
          <w:t>Ashby, 1956, p. 87</w:t>
        </w:r>
      </w:hyperlink>
      <w:r>
        <w:rPr/>
        <w:t>) Intersubjective nature of the method is very important. At a time it was innovative, because it</w:t>
      </w:r>
      <w:r>
        <w:rPr>
          <w:spacing w:val="40"/>
        </w:rPr>
        <w:t> </w:t>
      </w:r>
      <w:r>
        <w:rPr/>
        <w:t>understood an observer, to be a creator of the system he/she observed. (</w:t>
      </w:r>
      <w:hyperlink w:history="true" w:anchor="_bookmark250">
        <w:r>
          <w:rPr/>
          <w:t>Krippendorff, 2009, p. 2</w:t>
        </w:r>
      </w:hyperlink>
      <w:r>
        <w:rPr/>
        <w:t>)</w:t>
      </w:r>
      <w:r>
        <w:rPr>
          <w:position w:val="7"/>
          <w:sz w:val="15"/>
        </w:rPr>
        <w:t>6</w:t>
      </w:r>
    </w:p>
    <w:p>
      <w:pPr>
        <w:spacing w:line="330" w:lineRule="exact" w:before="0"/>
        <w:ind w:left="1700" w:right="0" w:firstLine="0"/>
        <w:jc w:val="both"/>
        <w:rPr>
          <w:sz w:val="27"/>
        </w:rPr>
      </w:pPr>
      <w:r>
        <w:rPr>
          <w:sz w:val="26"/>
        </w:rPr>
        <w:t>Among</w:t>
      </w:r>
      <w:r>
        <w:rPr>
          <w:spacing w:val="-6"/>
          <w:sz w:val="26"/>
        </w:rPr>
        <w:t> </w:t>
      </w:r>
      <w:r>
        <w:rPr>
          <w:sz w:val="27"/>
        </w:rPr>
        <w:t>Ashby</w:t>
      </w:r>
      <w:r>
        <w:rPr>
          <w:sz w:val="26"/>
        </w:rPr>
        <w:t>’s</w:t>
      </w:r>
      <w:r>
        <w:rPr>
          <w:spacing w:val="-9"/>
          <w:sz w:val="26"/>
        </w:rPr>
        <w:t> </w:t>
      </w:r>
      <w:r>
        <w:rPr>
          <w:sz w:val="26"/>
        </w:rPr>
        <w:t>key</w:t>
      </w:r>
      <w:r>
        <w:rPr>
          <w:spacing w:val="-11"/>
          <w:sz w:val="26"/>
        </w:rPr>
        <w:t> </w:t>
      </w:r>
      <w:r>
        <w:rPr>
          <w:sz w:val="26"/>
        </w:rPr>
        <w:t>contributions</w:t>
      </w:r>
      <w:r>
        <w:rPr>
          <w:spacing w:val="-13"/>
          <w:sz w:val="26"/>
        </w:rPr>
        <w:t> </w:t>
      </w:r>
      <w:r>
        <w:rPr>
          <w:sz w:val="26"/>
        </w:rPr>
        <w:t>to</w:t>
      </w:r>
      <w:r>
        <w:rPr>
          <w:spacing w:val="-9"/>
          <w:sz w:val="26"/>
        </w:rPr>
        <w:t> </w:t>
      </w:r>
      <w:r>
        <w:rPr>
          <w:sz w:val="26"/>
        </w:rPr>
        <w:t>cybernetics,</w:t>
      </w:r>
      <w:r>
        <w:rPr>
          <w:spacing w:val="-10"/>
          <w:sz w:val="26"/>
        </w:rPr>
        <w:t> </w:t>
      </w:r>
      <w:r>
        <w:rPr>
          <w:sz w:val="26"/>
        </w:rPr>
        <w:t>the</w:t>
      </w:r>
      <w:r>
        <w:rPr>
          <w:spacing w:val="-3"/>
          <w:sz w:val="26"/>
        </w:rPr>
        <w:t> </w:t>
      </w:r>
      <w:r>
        <w:rPr>
          <w:sz w:val="27"/>
        </w:rPr>
        <w:t>law</w:t>
      </w:r>
      <w:r>
        <w:rPr>
          <w:spacing w:val="-8"/>
          <w:sz w:val="27"/>
        </w:rPr>
        <w:t> </w:t>
      </w:r>
      <w:r>
        <w:rPr>
          <w:sz w:val="27"/>
        </w:rPr>
        <w:t>of</w:t>
      </w:r>
      <w:r>
        <w:rPr>
          <w:spacing w:val="-14"/>
          <w:sz w:val="27"/>
        </w:rPr>
        <w:t> </w:t>
      </w:r>
      <w:r>
        <w:rPr>
          <w:spacing w:val="-2"/>
          <w:sz w:val="27"/>
        </w:rPr>
        <w:t>requisite</w:t>
      </w:r>
    </w:p>
    <w:p>
      <w:pPr>
        <w:pStyle w:val="BodyText"/>
        <w:spacing w:line="273" w:lineRule="auto" w:before="39"/>
        <w:ind w:right="1903"/>
      </w:pPr>
      <w:r>
        <w:rPr>
          <w:sz w:val="27"/>
        </w:rPr>
        <w:t>variety </w:t>
      </w:r>
      <w:r>
        <w:rPr/>
        <w:t>(Ashby’s law) holds central place. The main statement: “Only variety</w:t>
      </w:r>
      <w:r>
        <w:rPr>
          <w:spacing w:val="-2"/>
        </w:rPr>
        <w:t> </w:t>
      </w:r>
      <w:r>
        <w:rPr/>
        <w:t>can</w:t>
      </w:r>
      <w:r>
        <w:rPr>
          <w:spacing w:val="-1"/>
        </w:rPr>
        <w:t> </w:t>
      </w:r>
      <w:r>
        <w:rPr/>
        <w:t>absorb variety” - means</w:t>
      </w:r>
      <w:r>
        <w:rPr>
          <w:spacing w:val="-3"/>
        </w:rPr>
        <w:t> </w:t>
      </w:r>
      <w:r>
        <w:rPr/>
        <w:t>that</w:t>
      </w:r>
      <w:r>
        <w:rPr>
          <w:spacing w:val="-2"/>
        </w:rPr>
        <w:t> </w:t>
      </w:r>
      <w:r>
        <w:rPr/>
        <w:t>complex</w:t>
      </w:r>
      <w:r>
        <w:rPr>
          <w:spacing w:val="-3"/>
        </w:rPr>
        <w:t> </w:t>
      </w:r>
      <w:r>
        <w:rPr/>
        <w:t>challenges imposed on</w:t>
      </w:r>
      <w:r>
        <w:rPr>
          <w:spacing w:val="-1"/>
        </w:rPr>
        <w:t> </w:t>
      </w:r>
      <w:r>
        <w:rPr/>
        <w:t>the system can only be answered with complex operations by the system. (</w:t>
      </w:r>
      <w:hyperlink w:history="true" w:anchor="_bookmark81">
        <w:r>
          <w:rPr/>
          <w:t>Ashby, 1956, pp. 202-219</w:t>
        </w:r>
      </w:hyperlink>
      <w:r>
        <w:rPr/>
        <w:t>) If the thermostat was about dealing with unknown, the law of requisite variety is about controlling the unknown. The </w:t>
      </w:r>
      <w:r>
        <w:rPr>
          <w:sz w:val="27"/>
        </w:rPr>
        <w:t>Ashby’s Law </w:t>
      </w:r>
      <w:r>
        <w:rPr/>
        <w:t>was advanced and utilized in management by </w:t>
      </w:r>
      <w:r>
        <w:rPr>
          <w:sz w:val="27"/>
        </w:rPr>
        <w:t>Stafford Beer</w:t>
      </w:r>
      <w:r>
        <w:rPr/>
        <w:t>. The main task of his Viable System Model (VST) is to reduce the external variety by increasing the internal systemic complexity. As a result the organization can cope with disturbances and convert the information into energy. (</w:t>
      </w:r>
      <w:hyperlink w:history="true" w:anchor="_bookmark88">
        <w:r>
          <w:rPr/>
          <w:t>Beer, 1985</w:t>
        </w:r>
      </w:hyperlink>
      <w:r>
        <w:rPr/>
        <w:t>)</w:t>
      </w: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spacing w:before="183"/>
        <w:ind w:left="0"/>
        <w:jc w:val="left"/>
        <w:rPr>
          <w:sz w:val="20"/>
        </w:rPr>
      </w:pPr>
      <w:r>
        <w:rPr>
          <w:sz w:val="20"/>
        </w:rPr>
        <mc:AlternateContent>
          <mc:Choice Requires="wps">
            <w:drawing>
              <wp:anchor distT="0" distB="0" distL="0" distR="0" allowOverlap="1" layoutInCell="1" locked="0" behindDoc="1" simplePos="0" relativeHeight="487600640">
                <wp:simplePos x="0" y="0"/>
                <wp:positionH relativeFrom="page">
                  <wp:posOffset>1079296</wp:posOffset>
                </wp:positionH>
                <wp:positionV relativeFrom="paragraph">
                  <wp:posOffset>298700</wp:posOffset>
                </wp:positionV>
                <wp:extent cx="1830070" cy="9525"/>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23.519754pt;width:144.07pt;height:.71997pt;mso-position-horizontal-relative:page;mso-position-vertical-relative:paragraph;z-index:-15715840;mso-wrap-distance-left:0;mso-wrap-distance-right:0" id="docshape29" filled="true" fillcolor="#000000" stroked="false">
                <v:fill type="solid"/>
                <w10:wrap type="topAndBottom"/>
              </v:rect>
            </w:pict>
          </mc:Fallback>
        </mc:AlternateContent>
      </w:r>
    </w:p>
    <w:p>
      <w:pPr>
        <w:spacing w:before="102"/>
        <w:ind w:left="979" w:right="1903" w:firstLine="0"/>
        <w:jc w:val="both"/>
        <w:rPr>
          <w:rFonts w:ascii="Calibri"/>
          <w:sz w:val="20"/>
        </w:rPr>
      </w:pPr>
      <w:bookmarkStart w:name="_bookmark9" w:id="10"/>
      <w:bookmarkEnd w:id="10"/>
      <w:r>
        <w:rPr/>
      </w:r>
      <w:r>
        <w:rPr>
          <w:rFonts w:ascii="Calibri"/>
          <w:sz w:val="20"/>
          <w:vertAlign w:val="superscript"/>
        </w:rPr>
        <w:t>6</w:t>
      </w:r>
      <w:r>
        <w:rPr>
          <w:rFonts w:ascii="Calibri"/>
          <w:sz w:val="20"/>
          <w:vertAlign w:val="baseline"/>
        </w:rPr>
        <w:t> The approach is</w:t>
      </w:r>
      <w:r>
        <w:rPr>
          <w:rFonts w:ascii="Calibri"/>
          <w:spacing w:val="-1"/>
          <w:sz w:val="20"/>
          <w:vertAlign w:val="baseline"/>
        </w:rPr>
        <w:t> </w:t>
      </w:r>
      <w:r>
        <w:rPr>
          <w:rFonts w:ascii="Calibri"/>
          <w:sz w:val="20"/>
          <w:vertAlign w:val="baseline"/>
        </w:rPr>
        <w:t>innovative,</w:t>
      </w:r>
      <w:r>
        <w:rPr>
          <w:rFonts w:ascii="Calibri"/>
          <w:spacing w:val="-1"/>
          <w:sz w:val="20"/>
          <w:vertAlign w:val="baseline"/>
        </w:rPr>
        <w:t> </w:t>
      </w:r>
      <w:r>
        <w:rPr>
          <w:rFonts w:ascii="Calibri"/>
          <w:sz w:val="20"/>
          <w:vertAlign w:val="baseline"/>
        </w:rPr>
        <w:t>due to the fact that,</w:t>
      </w:r>
      <w:r>
        <w:rPr>
          <w:rFonts w:ascii="Calibri"/>
          <w:spacing w:val="-2"/>
          <w:sz w:val="20"/>
          <w:vertAlign w:val="baseline"/>
        </w:rPr>
        <w:t> </w:t>
      </w:r>
      <w:r>
        <w:rPr>
          <w:rFonts w:ascii="Calibri"/>
          <w:sz w:val="20"/>
          <w:vertAlign w:val="baseline"/>
        </w:rPr>
        <w:t>by the</w:t>
      </w:r>
      <w:r>
        <w:rPr>
          <w:rFonts w:ascii="Calibri"/>
          <w:spacing w:val="-4"/>
          <w:sz w:val="20"/>
          <w:vertAlign w:val="baseline"/>
        </w:rPr>
        <w:t> </w:t>
      </w:r>
      <w:r>
        <w:rPr>
          <w:rFonts w:ascii="Calibri"/>
          <w:sz w:val="20"/>
          <w:vertAlign w:val="baseline"/>
        </w:rPr>
        <w:t>time when Ashby</w:t>
      </w:r>
      <w:r>
        <w:rPr>
          <w:rFonts w:ascii="Calibri"/>
          <w:spacing w:val="-4"/>
          <w:sz w:val="20"/>
          <w:vertAlign w:val="baseline"/>
        </w:rPr>
        <w:t> </w:t>
      </w:r>
      <w:r>
        <w:rPr>
          <w:rFonts w:ascii="Calibri"/>
          <w:sz w:val="20"/>
          <w:vertAlign w:val="baseline"/>
        </w:rPr>
        <w:t>introduced the theory,</w:t>
      </w:r>
      <w:r>
        <w:rPr>
          <w:rFonts w:ascii="Calibri"/>
          <w:spacing w:val="-1"/>
          <w:sz w:val="20"/>
          <w:vertAlign w:val="baseline"/>
        </w:rPr>
        <w:t> </w:t>
      </w:r>
      <w:r>
        <w:rPr>
          <w:rFonts w:ascii="Calibri"/>
          <w:sz w:val="20"/>
          <w:vertAlign w:val="baseline"/>
        </w:rPr>
        <w:t>the second order cybernetics, which is concerned with relationship between the system and observer, was not yet developed.</w:t>
      </w:r>
    </w:p>
    <w:p>
      <w:pPr>
        <w:spacing w:after="0"/>
        <w:jc w:val="both"/>
        <w:rPr>
          <w:rFonts w:ascii="Calibri"/>
          <w:sz w:val="20"/>
        </w:rPr>
        <w:sectPr>
          <w:pgSz w:w="12240" w:h="15840"/>
          <w:pgMar w:header="1046" w:footer="0" w:top="1360" w:bottom="280" w:left="720" w:right="360"/>
        </w:sectPr>
      </w:pPr>
    </w:p>
    <w:p>
      <w:pPr>
        <w:pStyle w:val="Heading3"/>
        <w:numPr>
          <w:ilvl w:val="1"/>
          <w:numId w:val="3"/>
        </w:numPr>
        <w:tabs>
          <w:tab w:pos="1582" w:val="left" w:leader="none"/>
        </w:tabs>
        <w:spacing w:line="240" w:lineRule="auto" w:before="294" w:after="0"/>
        <w:ind w:left="1582" w:right="0" w:hanging="603"/>
        <w:jc w:val="left"/>
        <w:rPr>
          <w:sz w:val="32"/>
        </w:rPr>
      </w:pPr>
      <w:r>
        <w:rPr>
          <w:spacing w:val="-2"/>
        </w:rPr>
        <w:t>Holonics</w:t>
      </w:r>
    </w:p>
    <w:p>
      <w:pPr>
        <w:pStyle w:val="BodyText"/>
        <w:spacing w:before="59"/>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01152">
                <wp:simplePos x="0" y="0"/>
                <wp:positionH relativeFrom="page">
                  <wp:posOffset>1078864</wp:posOffset>
                </wp:positionH>
                <wp:positionV relativeFrom="paragraph">
                  <wp:posOffset>197043</wp:posOffset>
                </wp:positionV>
                <wp:extent cx="5252085" cy="51435"/>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5252085" cy="51435"/>
                        </a:xfrm>
                        <a:custGeom>
                          <a:avLst/>
                          <a:gdLst/>
                          <a:ahLst/>
                          <a:cxnLst/>
                          <a:rect l="l" t="t" r="r" b="b"/>
                          <a:pathLst>
                            <a:path w="5252085" h="51435">
                              <a:moveTo>
                                <a:pt x="5252085" y="0"/>
                              </a:moveTo>
                              <a:lnTo>
                                <a:pt x="0" y="0"/>
                              </a:lnTo>
                              <a:lnTo>
                                <a:pt x="0" y="51434"/>
                              </a:lnTo>
                              <a:lnTo>
                                <a:pt x="5252085" y="51434"/>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5.515273pt;width:413.55pt;height:4.05pt;mso-position-horizontal-relative:page;mso-position-vertical-relative:paragraph;z-index:-15715328;mso-wrap-distance-left:0;mso-wrap-distance-right:0" id="docshape30" filled="true" fillcolor="#000000" stroked="false">
                <v:fill type="solid"/>
                <w10:wrap type="topAndBottom"/>
              </v:rect>
            </w:pict>
          </mc:Fallback>
        </mc:AlternateContent>
      </w:r>
    </w:p>
    <w:p>
      <w:pPr>
        <w:pStyle w:val="BodyText"/>
        <w:spacing w:before="104"/>
        <w:jc w:val="left"/>
      </w:pPr>
      <w:r>
        <w:rPr/>
        <w:t>Arthur</w:t>
      </w:r>
      <w:r>
        <w:rPr>
          <w:spacing w:val="-8"/>
        </w:rPr>
        <w:t> </w:t>
      </w:r>
      <w:r>
        <w:rPr/>
        <w:t>Koestler,</w:t>
      </w:r>
      <w:r>
        <w:rPr>
          <w:spacing w:val="-8"/>
        </w:rPr>
        <w:t> </w:t>
      </w:r>
      <w:r>
        <w:rPr/>
        <w:t>Ken</w:t>
      </w:r>
      <w:r>
        <w:rPr>
          <w:spacing w:val="-7"/>
        </w:rPr>
        <w:t> </w:t>
      </w:r>
      <w:r>
        <w:rPr>
          <w:spacing w:val="-2"/>
        </w:rPr>
        <w:t>Wilber</w:t>
      </w:r>
    </w:p>
    <w:p>
      <w:pPr>
        <w:pStyle w:val="BodyText"/>
        <w:ind w:left="0"/>
        <w:jc w:val="left"/>
      </w:pPr>
    </w:p>
    <w:p>
      <w:pPr>
        <w:pStyle w:val="BodyText"/>
        <w:spacing w:before="143"/>
        <w:ind w:left="0"/>
        <w:jc w:val="left"/>
      </w:pPr>
    </w:p>
    <w:p>
      <w:pPr>
        <w:spacing w:line="271" w:lineRule="auto" w:before="0"/>
        <w:ind w:left="979" w:right="1907" w:firstLine="720"/>
        <w:jc w:val="both"/>
        <w:rPr>
          <w:sz w:val="26"/>
        </w:rPr>
      </w:pPr>
      <w:r>
        <w:rPr>
          <w:sz w:val="26"/>
        </w:rPr>
        <w:t>When </w:t>
      </w:r>
      <w:r>
        <w:rPr>
          <w:sz w:val="27"/>
        </w:rPr>
        <w:t>Ludwig von Bertalanffy </w:t>
      </w:r>
      <w:r>
        <w:rPr>
          <w:sz w:val="26"/>
        </w:rPr>
        <w:t>was working on General Systems Theory several other systemic attempts were under way. Among the important approaches is </w:t>
      </w:r>
      <w:r>
        <w:rPr>
          <w:sz w:val="27"/>
        </w:rPr>
        <w:t>Holonic Vision </w:t>
      </w:r>
      <w:r>
        <w:rPr>
          <w:sz w:val="26"/>
        </w:rPr>
        <w:t>of the world, developed by </w:t>
      </w:r>
      <w:r>
        <w:rPr>
          <w:sz w:val="27"/>
        </w:rPr>
        <w:t>Arthur </w:t>
      </w:r>
      <w:r>
        <w:rPr>
          <w:spacing w:val="-2"/>
          <w:sz w:val="27"/>
        </w:rPr>
        <w:t>Koestler</w:t>
      </w:r>
      <w:r>
        <w:rPr>
          <w:spacing w:val="-2"/>
          <w:sz w:val="26"/>
        </w:rPr>
        <w:t>.</w:t>
      </w:r>
    </w:p>
    <w:p>
      <w:pPr>
        <w:pStyle w:val="BodyText"/>
        <w:spacing w:line="271" w:lineRule="auto"/>
        <w:ind w:right="1902" w:firstLine="720"/>
      </w:pPr>
      <w:r>
        <w:rPr>
          <w:sz w:val="27"/>
        </w:rPr>
        <w:t>Koestlers </w:t>
      </w:r>
      <w:r>
        <w:rPr/>
        <w:t>ideas come directly from the traditional Greek holism, but the holon according to him is not “an object or concept but a way of connoting objects and concepts.” (</w:t>
      </w:r>
      <w:hyperlink w:history="true" w:anchor="_bookmark289">
        <w:r>
          <w:rPr/>
          <w:t>Mella, 2009, p. 1</w:t>
        </w:r>
      </w:hyperlink>
      <w:r>
        <w:rPr/>
        <w:t>) The holonic vision is developed</w:t>
      </w:r>
      <w:r>
        <w:rPr>
          <w:spacing w:val="-7"/>
        </w:rPr>
        <w:t> </w:t>
      </w:r>
      <w:r>
        <w:rPr/>
        <w:t>in</w:t>
      </w:r>
      <w:r>
        <w:rPr>
          <w:spacing w:val="-7"/>
        </w:rPr>
        <w:t> </w:t>
      </w:r>
      <w:r>
        <w:rPr/>
        <w:t>two</w:t>
      </w:r>
      <w:r>
        <w:rPr>
          <w:spacing w:val="-10"/>
        </w:rPr>
        <w:t> </w:t>
      </w:r>
      <w:r>
        <w:rPr/>
        <w:t>main</w:t>
      </w:r>
      <w:r>
        <w:rPr>
          <w:spacing w:val="-7"/>
        </w:rPr>
        <w:t> </w:t>
      </w:r>
      <w:r>
        <w:rPr/>
        <w:t>works:</w:t>
      </w:r>
      <w:r>
        <w:rPr>
          <w:spacing w:val="-2"/>
        </w:rPr>
        <w:t> </w:t>
      </w:r>
      <w:r>
        <w:rPr>
          <w:sz w:val="27"/>
        </w:rPr>
        <w:t>The</w:t>
      </w:r>
      <w:r>
        <w:rPr>
          <w:spacing w:val="-14"/>
          <w:sz w:val="27"/>
        </w:rPr>
        <w:t> </w:t>
      </w:r>
      <w:r>
        <w:rPr>
          <w:sz w:val="27"/>
        </w:rPr>
        <w:t>Ghost</w:t>
      </w:r>
      <w:r>
        <w:rPr>
          <w:spacing w:val="-11"/>
          <w:sz w:val="27"/>
        </w:rPr>
        <w:t> </w:t>
      </w:r>
      <w:r>
        <w:rPr>
          <w:sz w:val="27"/>
        </w:rPr>
        <w:t>in</w:t>
      </w:r>
      <w:r>
        <w:rPr>
          <w:spacing w:val="-9"/>
          <w:sz w:val="27"/>
        </w:rPr>
        <w:t> </w:t>
      </w:r>
      <w:r>
        <w:rPr>
          <w:sz w:val="27"/>
        </w:rPr>
        <w:t>the</w:t>
      </w:r>
      <w:r>
        <w:rPr>
          <w:spacing w:val="-10"/>
          <w:sz w:val="27"/>
        </w:rPr>
        <w:t> </w:t>
      </w:r>
      <w:r>
        <w:rPr>
          <w:sz w:val="27"/>
        </w:rPr>
        <w:t>Machine</w:t>
      </w:r>
      <w:r>
        <w:rPr>
          <w:spacing w:val="-6"/>
          <w:sz w:val="27"/>
        </w:rPr>
        <w:t> </w:t>
      </w:r>
      <w:r>
        <w:rPr/>
        <w:t>(</w:t>
      </w:r>
      <w:hyperlink w:history="true" w:anchor="_bookmark241">
        <w:r>
          <w:rPr/>
          <w:t>1967</w:t>
        </w:r>
      </w:hyperlink>
      <w:r>
        <w:rPr/>
        <w:t>)</w:t>
      </w:r>
      <w:r>
        <w:rPr>
          <w:spacing w:val="-11"/>
        </w:rPr>
        <w:t> </w:t>
      </w:r>
      <w:r>
        <w:rPr/>
        <w:t>and</w:t>
      </w:r>
      <w:r>
        <w:rPr>
          <w:spacing w:val="40"/>
        </w:rPr>
        <w:t> </w:t>
      </w:r>
      <w:r>
        <w:rPr>
          <w:sz w:val="27"/>
        </w:rPr>
        <w:t>Janus; a summing up. </w:t>
      </w:r>
      <w:r>
        <w:rPr/>
        <w:t>(</w:t>
      </w:r>
      <w:hyperlink w:history="true" w:anchor="_bookmark242">
        <w:r>
          <w:rPr/>
          <w:t>1978</w:t>
        </w:r>
      </w:hyperlink>
      <w:r>
        <w:rPr/>
        <w:t>)</w:t>
      </w:r>
    </w:p>
    <w:p>
      <w:pPr>
        <w:pStyle w:val="BodyText"/>
        <w:spacing w:line="271" w:lineRule="auto"/>
        <w:ind w:right="1908" w:firstLine="787"/>
      </w:pPr>
      <w:r>
        <w:rPr/>
        <w:t>Similarily to GST, </w:t>
      </w:r>
      <w:r>
        <w:rPr>
          <w:sz w:val="27"/>
        </w:rPr>
        <w:t>Koestler</w:t>
      </w:r>
      <w:r>
        <w:rPr/>
        <w:t>’s systemic approach is based on hierarchy. </w:t>
      </w:r>
      <w:r>
        <w:rPr>
          <w:sz w:val="27"/>
        </w:rPr>
        <w:t>Koestler </w:t>
      </w:r>
      <w:r>
        <w:rPr/>
        <w:t>believed in simplisity of holistic logic. He saw it as an universal</w:t>
      </w:r>
      <w:r>
        <w:rPr>
          <w:spacing w:val="-1"/>
        </w:rPr>
        <w:t> </w:t>
      </w:r>
      <w:r>
        <w:rPr/>
        <w:t>model</w:t>
      </w:r>
      <w:r>
        <w:rPr>
          <w:spacing w:val="-6"/>
        </w:rPr>
        <w:t> </w:t>
      </w:r>
      <w:r>
        <w:rPr/>
        <w:t>of</w:t>
      </w:r>
      <w:r>
        <w:rPr>
          <w:spacing w:val="-4"/>
        </w:rPr>
        <w:t> </w:t>
      </w:r>
      <w:r>
        <w:rPr/>
        <w:t>organization</w:t>
      </w:r>
      <w:r>
        <w:rPr>
          <w:spacing w:val="-2"/>
        </w:rPr>
        <w:t> </w:t>
      </w:r>
      <w:r>
        <w:rPr/>
        <w:t>and</w:t>
      </w:r>
      <w:r>
        <w:rPr>
          <w:spacing w:val="-1"/>
        </w:rPr>
        <w:t> </w:t>
      </w:r>
      <w:r>
        <w:rPr/>
        <w:t>stated: “We</w:t>
      </w:r>
      <w:r>
        <w:rPr>
          <w:spacing w:val="-3"/>
        </w:rPr>
        <w:t> </w:t>
      </w:r>
      <w:r>
        <w:rPr/>
        <w:t>do</w:t>
      </w:r>
      <w:r>
        <w:rPr>
          <w:spacing w:val="-6"/>
        </w:rPr>
        <w:t> </w:t>
      </w:r>
      <w:r>
        <w:rPr/>
        <w:t>not</w:t>
      </w:r>
      <w:r>
        <w:rPr>
          <w:spacing w:val="-3"/>
        </w:rPr>
        <w:t> </w:t>
      </w:r>
      <w:r>
        <w:rPr/>
        <w:t>know</w:t>
      </w:r>
      <w:r>
        <w:rPr>
          <w:spacing w:val="-2"/>
        </w:rPr>
        <w:t> </w:t>
      </w:r>
      <w:r>
        <w:rPr/>
        <w:t>what</w:t>
      </w:r>
      <w:r>
        <w:rPr>
          <w:spacing w:val="-3"/>
        </w:rPr>
        <w:t> </w:t>
      </w:r>
      <w:r>
        <w:rPr/>
        <w:t>forms</w:t>
      </w:r>
      <w:r>
        <w:rPr>
          <w:spacing w:val="-5"/>
        </w:rPr>
        <w:t> </w:t>
      </w:r>
      <w:r>
        <w:rPr/>
        <w:t>of life have evolved on other planets</w:t>
      </w:r>
      <w:r>
        <w:rPr>
          <w:spacing w:val="-2"/>
        </w:rPr>
        <w:t> </w:t>
      </w:r>
      <w:r>
        <w:rPr/>
        <w:t>in the universe, but we can safely assume that</w:t>
      </w:r>
      <w:r>
        <w:rPr>
          <w:spacing w:val="-17"/>
        </w:rPr>
        <w:t> </w:t>
      </w:r>
      <w:r>
        <w:rPr>
          <w:sz w:val="27"/>
        </w:rPr>
        <w:t>wherever</w:t>
      </w:r>
      <w:r>
        <w:rPr>
          <w:spacing w:val="-8"/>
          <w:sz w:val="27"/>
        </w:rPr>
        <w:t> </w:t>
      </w:r>
      <w:r>
        <w:rPr>
          <w:sz w:val="27"/>
        </w:rPr>
        <w:t>there</w:t>
      </w:r>
      <w:r>
        <w:rPr>
          <w:spacing w:val="-7"/>
          <w:sz w:val="27"/>
        </w:rPr>
        <w:t> </w:t>
      </w:r>
      <w:r>
        <w:rPr>
          <w:sz w:val="27"/>
        </w:rPr>
        <w:t>is</w:t>
      </w:r>
      <w:r>
        <w:rPr>
          <w:spacing w:val="-10"/>
          <w:sz w:val="27"/>
        </w:rPr>
        <w:t> </w:t>
      </w:r>
      <w:r>
        <w:rPr>
          <w:sz w:val="27"/>
        </w:rPr>
        <w:t>life,</w:t>
      </w:r>
      <w:r>
        <w:rPr>
          <w:spacing w:val="-6"/>
          <w:sz w:val="27"/>
        </w:rPr>
        <w:t> </w:t>
      </w:r>
      <w:r>
        <w:rPr>
          <w:sz w:val="27"/>
        </w:rPr>
        <w:t>it</w:t>
      </w:r>
      <w:r>
        <w:rPr>
          <w:spacing w:val="-4"/>
          <w:sz w:val="27"/>
        </w:rPr>
        <w:t> </w:t>
      </w:r>
      <w:r>
        <w:rPr>
          <w:sz w:val="27"/>
        </w:rPr>
        <w:t>must</w:t>
      </w:r>
      <w:r>
        <w:rPr>
          <w:spacing w:val="-4"/>
          <w:sz w:val="27"/>
        </w:rPr>
        <w:t> </w:t>
      </w:r>
      <w:r>
        <w:rPr>
          <w:sz w:val="27"/>
        </w:rPr>
        <w:t>be</w:t>
      </w:r>
      <w:r>
        <w:rPr>
          <w:spacing w:val="-7"/>
          <w:sz w:val="27"/>
        </w:rPr>
        <w:t> </w:t>
      </w:r>
      <w:r>
        <w:rPr>
          <w:sz w:val="27"/>
        </w:rPr>
        <w:t>hierarchically</w:t>
      </w:r>
      <w:r>
        <w:rPr>
          <w:spacing w:val="-4"/>
          <w:sz w:val="27"/>
        </w:rPr>
        <w:t> </w:t>
      </w:r>
      <w:r>
        <w:rPr>
          <w:sz w:val="27"/>
        </w:rPr>
        <w:t>organized.”</w:t>
      </w:r>
      <w:r>
        <w:rPr>
          <w:spacing w:val="-8"/>
          <w:sz w:val="27"/>
        </w:rPr>
        <w:t> </w:t>
      </w:r>
      <w:r>
        <w:rPr>
          <w:sz w:val="27"/>
        </w:rPr>
        <w:t>(</w:t>
      </w:r>
      <w:hyperlink w:history="true" w:anchor="_bookmark241">
        <w:r>
          <w:rPr>
            <w:sz w:val="27"/>
          </w:rPr>
          <w:t>Koestler,</w:t>
        </w:r>
      </w:hyperlink>
      <w:r>
        <w:rPr>
          <w:sz w:val="27"/>
        </w:rPr>
        <w:t> </w:t>
      </w:r>
      <w:hyperlink w:history="true" w:anchor="_bookmark241">
        <w:r>
          <w:rPr>
            <w:sz w:val="27"/>
          </w:rPr>
          <w:t>1967, p. 47</w:t>
        </w:r>
      </w:hyperlink>
      <w:r>
        <w:rPr>
          <w:sz w:val="27"/>
        </w:rPr>
        <w:t>) </w:t>
      </w:r>
      <w:r>
        <w:rPr/>
        <w:t>This hierarchic view of the world also includes the idea that organization as an entity cannot exist in complete isolation; every system is intrinsically open for interactions. Together with the environmental entities, they create open hierarchical systems or </w:t>
      </w:r>
      <w:r>
        <w:rPr>
          <w:sz w:val="27"/>
        </w:rPr>
        <w:t>holarchies</w:t>
      </w:r>
      <w:r>
        <w:rPr/>
        <w:t>.</w:t>
      </w:r>
    </w:p>
    <w:p>
      <w:pPr>
        <w:pStyle w:val="BodyText"/>
        <w:spacing w:line="276" w:lineRule="auto"/>
        <w:ind w:right="1908" w:firstLine="787"/>
      </w:pPr>
      <w:r>
        <w:rPr>
          <w:sz w:val="27"/>
        </w:rPr>
        <w:t>Koestler’s</w:t>
      </w:r>
      <w:r>
        <w:rPr>
          <w:spacing w:val="-4"/>
          <w:sz w:val="27"/>
        </w:rPr>
        <w:t> </w:t>
      </w:r>
      <w:r>
        <w:rPr/>
        <w:t>holons</w:t>
      </w:r>
      <w:r>
        <w:rPr>
          <w:spacing w:val="-2"/>
        </w:rPr>
        <w:t> </w:t>
      </w:r>
      <w:r>
        <w:rPr/>
        <w:t>are not just parts</w:t>
      </w:r>
      <w:r>
        <w:rPr>
          <w:spacing w:val="-2"/>
        </w:rPr>
        <w:t> </w:t>
      </w:r>
      <w:r>
        <w:rPr/>
        <w:t>of</w:t>
      </w:r>
      <w:r>
        <w:rPr>
          <w:spacing w:val="-1"/>
        </w:rPr>
        <w:t> </w:t>
      </w:r>
      <w:r>
        <w:rPr/>
        <w:t>a whole, at some level</w:t>
      </w:r>
      <w:r>
        <w:rPr>
          <w:spacing w:val="-3"/>
        </w:rPr>
        <w:t> </w:t>
      </w:r>
      <w:r>
        <w:rPr/>
        <w:t>they</w:t>
      </w:r>
      <w:r>
        <w:rPr>
          <w:spacing w:val="-1"/>
        </w:rPr>
        <w:t> </w:t>
      </w:r>
      <w:r>
        <w:rPr/>
        <w:t>are wholes of their own. The holons serve as nodal points between macro and supra</w:t>
      </w:r>
      <w:r>
        <w:rPr>
          <w:spacing w:val="-3"/>
        </w:rPr>
        <w:t> </w:t>
      </w:r>
      <w:r>
        <w:rPr/>
        <w:t>levels.</w:t>
      </w:r>
      <w:r>
        <w:rPr>
          <w:spacing w:val="-2"/>
        </w:rPr>
        <w:t> </w:t>
      </w:r>
      <w:r>
        <w:rPr/>
        <w:t>This</w:t>
      </w:r>
      <w:r>
        <w:rPr>
          <w:spacing w:val="-1"/>
        </w:rPr>
        <w:t> </w:t>
      </w:r>
      <w:r>
        <w:rPr/>
        <w:t>approach</w:t>
      </w:r>
      <w:r>
        <w:rPr>
          <w:spacing w:val="-3"/>
        </w:rPr>
        <w:t> </w:t>
      </w:r>
      <w:r>
        <w:rPr/>
        <w:t>endeavored</w:t>
      </w:r>
      <w:r>
        <w:rPr>
          <w:spacing w:val="-1"/>
        </w:rPr>
        <w:t> </w:t>
      </w:r>
      <w:r>
        <w:rPr/>
        <w:t>to</w:t>
      </w:r>
      <w:r>
        <w:rPr>
          <w:spacing w:val="-5"/>
        </w:rPr>
        <w:t> </w:t>
      </w:r>
      <w:r>
        <w:rPr/>
        <w:t>find</w:t>
      </w:r>
      <w:r>
        <w:rPr>
          <w:spacing w:val="-1"/>
        </w:rPr>
        <w:t> </w:t>
      </w:r>
      <w:r>
        <w:rPr/>
        <w:t>a</w:t>
      </w:r>
      <w:r>
        <w:rPr>
          <w:spacing w:val="-3"/>
        </w:rPr>
        <w:t> </w:t>
      </w:r>
      <w:r>
        <w:rPr/>
        <w:t>middle</w:t>
      </w:r>
      <w:r>
        <w:rPr>
          <w:spacing w:val="-3"/>
        </w:rPr>
        <w:t> </w:t>
      </w:r>
      <w:r>
        <w:rPr/>
        <w:t>path</w:t>
      </w:r>
      <w:r>
        <w:rPr>
          <w:spacing w:val="-3"/>
        </w:rPr>
        <w:t> </w:t>
      </w:r>
      <w:r>
        <w:rPr/>
        <w:t>in the</w:t>
      </w:r>
      <w:r>
        <w:rPr>
          <w:spacing w:val="-3"/>
        </w:rPr>
        <w:t> </w:t>
      </w:r>
      <w:r>
        <w:rPr/>
        <w:t>ongoing conflict between atomistic/reductionist and holistic/systemic schools. It states</w:t>
      </w:r>
      <w:r>
        <w:rPr>
          <w:spacing w:val="-3"/>
        </w:rPr>
        <w:t> </w:t>
      </w:r>
      <w:r>
        <w:rPr/>
        <w:t>that</w:t>
      </w:r>
      <w:r>
        <w:rPr>
          <w:spacing w:val="-1"/>
        </w:rPr>
        <w:t> </w:t>
      </w:r>
      <w:r>
        <w:rPr/>
        <w:t>“Parts</w:t>
      </w:r>
      <w:r>
        <w:rPr>
          <w:spacing w:val="-3"/>
        </w:rPr>
        <w:t> </w:t>
      </w:r>
      <w:r>
        <w:rPr/>
        <w:t>and wholes</w:t>
      </w:r>
      <w:r>
        <w:rPr>
          <w:spacing w:val="-3"/>
        </w:rPr>
        <w:t> </w:t>
      </w:r>
      <w:r>
        <w:rPr/>
        <w:t>in an absolute</w:t>
      </w:r>
      <w:r>
        <w:rPr>
          <w:spacing w:val="-1"/>
        </w:rPr>
        <w:t> </w:t>
      </w:r>
      <w:r>
        <w:rPr/>
        <w:t>sense</w:t>
      </w:r>
      <w:r>
        <w:rPr>
          <w:spacing w:val="-1"/>
        </w:rPr>
        <w:t> </w:t>
      </w:r>
      <w:r>
        <w:rPr/>
        <w:t>do</w:t>
      </w:r>
      <w:r>
        <w:rPr>
          <w:spacing w:val="-4"/>
        </w:rPr>
        <w:t> </w:t>
      </w:r>
      <w:r>
        <w:rPr/>
        <w:t>not</w:t>
      </w:r>
      <w:r>
        <w:rPr>
          <w:spacing w:val="-1"/>
        </w:rPr>
        <w:t> </w:t>
      </w:r>
      <w:r>
        <w:rPr/>
        <w:t>exist in the</w:t>
      </w:r>
      <w:r>
        <w:rPr>
          <w:spacing w:val="-1"/>
        </w:rPr>
        <w:t> </w:t>
      </w:r>
      <w:r>
        <w:rPr/>
        <w:t>domain of life.” (</w:t>
      </w:r>
      <w:hyperlink w:history="true" w:anchor="_bookmark241">
        <w:r>
          <w:rPr/>
          <w:t>Koestler, 1967</w:t>
        </w:r>
      </w:hyperlink>
      <w:r>
        <w:rPr/>
        <w:t>)</w:t>
      </w:r>
    </w:p>
    <w:p>
      <w:pPr>
        <w:pStyle w:val="BodyText"/>
        <w:spacing w:line="276" w:lineRule="auto"/>
        <w:ind w:right="1912" w:firstLine="720"/>
      </w:pPr>
      <w:r>
        <w:rPr/>
        <w:t>Different holons within the system have different functional capabilities. The ones on the higher level are more complex and flexible (and</w:t>
      </w:r>
      <w:r>
        <w:rPr>
          <w:spacing w:val="54"/>
        </w:rPr>
        <w:t> </w:t>
      </w:r>
      <w:r>
        <w:rPr/>
        <w:t>less</w:t>
      </w:r>
      <w:r>
        <w:rPr>
          <w:spacing w:val="50"/>
        </w:rPr>
        <w:t> </w:t>
      </w:r>
      <w:r>
        <w:rPr/>
        <w:t>predictable</w:t>
      </w:r>
      <w:r>
        <w:rPr>
          <w:spacing w:val="58"/>
        </w:rPr>
        <w:t> </w:t>
      </w:r>
      <w:r>
        <w:rPr/>
        <w:t>in</w:t>
      </w:r>
      <w:r>
        <w:rPr>
          <w:spacing w:val="54"/>
        </w:rPr>
        <w:t> </w:t>
      </w:r>
      <w:r>
        <w:rPr/>
        <w:t>behavior)</w:t>
      </w:r>
      <w:r>
        <w:rPr>
          <w:spacing w:val="54"/>
        </w:rPr>
        <w:t> </w:t>
      </w:r>
      <w:r>
        <w:rPr/>
        <w:t>than</w:t>
      </w:r>
      <w:r>
        <w:rPr>
          <w:spacing w:val="54"/>
        </w:rPr>
        <w:t> </w:t>
      </w:r>
      <w:r>
        <w:rPr/>
        <w:t>the</w:t>
      </w:r>
      <w:r>
        <w:rPr>
          <w:spacing w:val="53"/>
        </w:rPr>
        <w:t> </w:t>
      </w:r>
      <w:r>
        <w:rPr/>
        <w:t>ones</w:t>
      </w:r>
      <w:r>
        <w:rPr>
          <w:spacing w:val="55"/>
        </w:rPr>
        <w:t> </w:t>
      </w:r>
      <w:r>
        <w:rPr/>
        <w:t>on</w:t>
      </w:r>
      <w:r>
        <w:rPr>
          <w:spacing w:val="66"/>
        </w:rPr>
        <w:t> </w:t>
      </w:r>
      <w:r>
        <w:rPr/>
        <w:t>the</w:t>
      </w:r>
      <w:r>
        <w:rPr>
          <w:spacing w:val="58"/>
        </w:rPr>
        <w:t> </w:t>
      </w:r>
      <w:r>
        <w:rPr/>
        <w:t>lower</w:t>
      </w:r>
      <w:r>
        <w:rPr>
          <w:spacing w:val="53"/>
        </w:rPr>
        <w:t> </w:t>
      </w:r>
      <w:r>
        <w:rPr>
          <w:spacing w:val="-2"/>
        </w:rPr>
        <w:t>systemic</w:t>
      </w:r>
    </w:p>
    <w:p>
      <w:pPr>
        <w:pStyle w:val="BodyText"/>
        <w:spacing w:after="0" w:line="276" w:lineRule="auto"/>
        <w:sectPr>
          <w:pgSz w:w="12240" w:h="15840"/>
          <w:pgMar w:header="1046" w:footer="0" w:top="1360" w:bottom="280" w:left="720" w:right="360"/>
        </w:sectPr>
      </w:pPr>
    </w:p>
    <w:p>
      <w:pPr>
        <w:pStyle w:val="BodyText"/>
        <w:spacing w:line="276" w:lineRule="auto" w:before="276"/>
        <w:ind w:right="1909"/>
        <w:jc w:val="left"/>
      </w:pPr>
      <w:r>
        <w:rPr/>
        <w:t>levels. Holon needs to hold several characteristics in order to maintain its</w:t>
      </w:r>
      <w:r>
        <w:rPr>
          <w:spacing w:val="80"/>
        </w:rPr>
        <w:t> </w:t>
      </w:r>
      <w:r>
        <w:rPr/>
        <w:t>existence within hierarchy:</w:t>
      </w:r>
    </w:p>
    <w:p>
      <w:pPr>
        <w:pStyle w:val="BodyText"/>
        <w:spacing w:before="51"/>
        <w:ind w:left="0"/>
        <w:jc w:val="left"/>
      </w:pPr>
    </w:p>
    <w:p>
      <w:pPr>
        <w:pStyle w:val="BodyText"/>
        <w:spacing w:line="276" w:lineRule="auto" w:before="1"/>
        <w:ind w:left="2420" w:right="1908"/>
      </w:pPr>
      <w:r>
        <w:rPr/>
        <mc:AlternateContent>
          <mc:Choice Requires="wps">
            <w:drawing>
              <wp:anchor distT="0" distB="0" distL="0" distR="0" allowOverlap="1" layoutInCell="1" locked="0" behindDoc="0" simplePos="0" relativeHeight="15742464">
                <wp:simplePos x="0" y="0"/>
                <wp:positionH relativeFrom="page">
                  <wp:posOffset>1923923</wp:posOffset>
                </wp:positionH>
                <wp:positionV relativeFrom="paragraph">
                  <wp:posOffset>-855</wp:posOffset>
                </wp:positionV>
                <wp:extent cx="1270" cy="10001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1270" cy="1000125"/>
                        </a:xfrm>
                        <a:custGeom>
                          <a:avLst/>
                          <a:gdLst/>
                          <a:ahLst/>
                          <a:cxnLst/>
                          <a:rect l="l" t="t" r="r" b="b"/>
                          <a:pathLst>
                            <a:path w="0" h="1000125">
                              <a:moveTo>
                                <a:pt x="0" y="0"/>
                              </a:moveTo>
                              <a:lnTo>
                                <a:pt x="0" y="249936"/>
                              </a:lnTo>
                            </a:path>
                            <a:path w="0" h="1000125">
                              <a:moveTo>
                                <a:pt x="0" y="249936"/>
                              </a:moveTo>
                              <a:lnTo>
                                <a:pt x="0" y="499872"/>
                              </a:lnTo>
                            </a:path>
                            <a:path w="0" h="1000125">
                              <a:moveTo>
                                <a:pt x="0" y="499872"/>
                              </a:moveTo>
                              <a:lnTo>
                                <a:pt x="0" y="749808"/>
                              </a:lnTo>
                            </a:path>
                            <a:path w="0" h="1000125">
                              <a:moveTo>
                                <a:pt x="0" y="749808"/>
                              </a:moveTo>
                              <a:lnTo>
                                <a:pt x="0" y="999998"/>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67354pt;width:.1pt;height:78.75pt;mso-position-horizontal-relative:page;mso-position-vertical-relative:paragraph;z-index:15742464" id="docshape31" coordorigin="3030,-1" coordsize="0,1575" path="m3030,-1l3030,392m3030,392l3030,786m3030,786l3030,1179m3030,1179l3030,1573e" filled="false" stroked="true" strokeweight=".48pt" strokecolor="#000000">
                <v:path arrowok="t"/>
                <v:stroke dashstyle="shortdash"/>
                <w10:wrap type="none"/>
              </v:shape>
            </w:pict>
          </mc:Fallback>
        </mc:AlternateContent>
      </w:r>
      <w:r>
        <w:rPr/>
        <w:t>“In this observational context a holon is viewed as an entity that is at the same time autonomous, self-reliant and dependent; interactive vertically and characterized by rules of </w:t>
      </w:r>
      <w:r>
        <w:rPr>
          <w:spacing w:val="-2"/>
        </w:rPr>
        <w:t>behavior.”</w:t>
      </w:r>
    </w:p>
    <w:p>
      <w:pPr>
        <w:pStyle w:val="BodyText"/>
        <w:spacing w:line="271" w:lineRule="auto"/>
        <w:ind w:right="1906" w:firstLine="6285"/>
        <w:jc w:val="right"/>
      </w:pPr>
      <w:r>
        <w:rPr/>
        <w:t>(</w:t>
      </w:r>
      <w:hyperlink w:history="true" w:anchor="_bookmark289">
        <w:r>
          <w:rPr/>
          <w:t>Mella,</w:t>
        </w:r>
        <w:r>
          <w:rPr>
            <w:spacing w:val="-3"/>
          </w:rPr>
          <w:t> </w:t>
        </w:r>
        <w:r>
          <w:rPr/>
          <w:t>2009,</w:t>
        </w:r>
        <w:r>
          <w:rPr>
            <w:spacing w:val="-8"/>
          </w:rPr>
          <w:t> </w:t>
        </w:r>
        <w:r>
          <w:rPr/>
          <w:t>p.</w:t>
        </w:r>
        <w:r>
          <w:rPr>
            <w:spacing w:val="-4"/>
          </w:rPr>
          <w:t> </w:t>
        </w:r>
        <w:r>
          <w:rPr/>
          <w:t>4</w:t>
        </w:r>
      </w:hyperlink>
      <w:r>
        <w:rPr/>
        <w:t>) Holon’s</w:t>
      </w:r>
      <w:r>
        <w:rPr>
          <w:spacing w:val="80"/>
        </w:rPr>
        <w:t> </w:t>
      </w:r>
      <w:r>
        <w:rPr>
          <w:sz w:val="27"/>
        </w:rPr>
        <w:t>independence</w:t>
      </w:r>
      <w:r>
        <w:rPr>
          <w:spacing w:val="40"/>
          <w:sz w:val="27"/>
        </w:rPr>
        <w:t> </w:t>
      </w:r>
      <w:r>
        <w:rPr/>
        <w:t>is</w:t>
      </w:r>
      <w:r>
        <w:rPr>
          <w:spacing w:val="40"/>
        </w:rPr>
        <w:t> </w:t>
      </w:r>
      <w:r>
        <w:rPr/>
        <w:t>assured</w:t>
      </w:r>
      <w:r>
        <w:rPr>
          <w:spacing w:val="78"/>
        </w:rPr>
        <w:t> </w:t>
      </w:r>
      <w:r>
        <w:rPr/>
        <w:t>by</w:t>
      </w:r>
      <w:r>
        <w:rPr>
          <w:spacing w:val="80"/>
        </w:rPr>
        <w:t> </w:t>
      </w:r>
      <w:r>
        <w:rPr/>
        <w:t>its</w:t>
      </w:r>
      <w:r>
        <w:rPr>
          <w:spacing w:val="78"/>
        </w:rPr>
        <w:t> </w:t>
      </w:r>
      <w:r>
        <w:rPr/>
        <w:t>position,</w:t>
      </w:r>
      <w:r>
        <w:rPr>
          <w:spacing w:val="78"/>
        </w:rPr>
        <w:t> </w:t>
      </w:r>
      <w:r>
        <w:rPr/>
        <w:t>which</w:t>
      </w:r>
      <w:r>
        <w:rPr>
          <w:spacing w:val="80"/>
        </w:rPr>
        <w:t> </w:t>
      </w:r>
      <w:r>
        <w:rPr/>
        <w:t>is</w:t>
      </w:r>
      <w:r>
        <w:rPr>
          <w:spacing w:val="78"/>
        </w:rPr>
        <w:t> </w:t>
      </w:r>
      <w:r>
        <w:rPr/>
        <w:t>strong enough</w:t>
      </w:r>
      <w:r>
        <w:rPr>
          <w:spacing w:val="-11"/>
        </w:rPr>
        <w:t> </w:t>
      </w:r>
      <w:r>
        <w:rPr/>
        <w:t>to</w:t>
      </w:r>
      <w:r>
        <w:rPr>
          <w:spacing w:val="-13"/>
        </w:rPr>
        <w:t> </w:t>
      </w:r>
      <w:r>
        <w:rPr/>
        <w:t>maintain</w:t>
      </w:r>
      <w:r>
        <w:rPr>
          <w:spacing w:val="-10"/>
        </w:rPr>
        <w:t> </w:t>
      </w:r>
      <w:r>
        <w:rPr/>
        <w:t>the</w:t>
      </w:r>
      <w:r>
        <w:rPr>
          <w:spacing w:val="-11"/>
        </w:rPr>
        <w:t> </w:t>
      </w:r>
      <w:r>
        <w:rPr/>
        <w:t>form</w:t>
      </w:r>
      <w:r>
        <w:rPr>
          <w:spacing w:val="-12"/>
        </w:rPr>
        <w:t> </w:t>
      </w:r>
      <w:r>
        <w:rPr/>
        <w:t>and</w:t>
      </w:r>
      <w:r>
        <w:rPr>
          <w:spacing w:val="-9"/>
        </w:rPr>
        <w:t> </w:t>
      </w:r>
      <w:r>
        <w:rPr/>
        <w:t>minimize</w:t>
      </w:r>
      <w:r>
        <w:rPr>
          <w:spacing w:val="-11"/>
        </w:rPr>
        <w:t> </w:t>
      </w:r>
      <w:r>
        <w:rPr/>
        <w:t>outer</w:t>
      </w:r>
      <w:r>
        <w:rPr>
          <w:spacing w:val="-10"/>
        </w:rPr>
        <w:t> </w:t>
      </w:r>
      <w:r>
        <w:rPr/>
        <w:t>disturbances. </w:t>
      </w:r>
      <w:r>
        <w:rPr>
          <w:sz w:val="27"/>
        </w:rPr>
        <w:t>Self-reliance </w:t>
      </w:r>
      <w:r>
        <w:rPr/>
        <w:t>is a holon’s ability to sanction internal processes independently. For</w:t>
      </w:r>
      <w:r>
        <w:rPr>
          <w:spacing w:val="32"/>
        </w:rPr>
        <w:t> </w:t>
      </w:r>
      <w:r>
        <w:rPr/>
        <w:t>doing so, it does not seek an authorization from the superordinate units. Holon’s independence</w:t>
      </w:r>
      <w:r>
        <w:rPr>
          <w:spacing w:val="32"/>
        </w:rPr>
        <w:t> </w:t>
      </w:r>
      <w:r>
        <w:rPr/>
        <w:t>and</w:t>
      </w:r>
      <w:r>
        <w:rPr>
          <w:spacing w:val="34"/>
        </w:rPr>
        <w:t> </w:t>
      </w:r>
      <w:r>
        <w:rPr/>
        <w:t>self-reliance</w:t>
      </w:r>
      <w:r>
        <w:rPr>
          <w:spacing w:val="33"/>
        </w:rPr>
        <w:t> </w:t>
      </w:r>
      <w:r>
        <w:rPr/>
        <w:t>can</w:t>
      </w:r>
      <w:r>
        <w:rPr>
          <w:spacing w:val="34"/>
        </w:rPr>
        <w:t> </w:t>
      </w:r>
      <w:r>
        <w:rPr/>
        <w:t>be</w:t>
      </w:r>
      <w:r>
        <w:rPr>
          <w:spacing w:val="32"/>
        </w:rPr>
        <w:t> </w:t>
      </w:r>
      <w:r>
        <w:rPr/>
        <w:t>practiced</w:t>
      </w:r>
      <w:r>
        <w:rPr>
          <w:spacing w:val="34"/>
        </w:rPr>
        <w:t> </w:t>
      </w:r>
      <w:r>
        <w:rPr/>
        <w:t>only</w:t>
      </w:r>
      <w:r>
        <w:rPr>
          <w:spacing w:val="32"/>
        </w:rPr>
        <w:t> </w:t>
      </w:r>
      <w:r>
        <w:rPr/>
        <w:t>in</w:t>
      </w:r>
      <w:r>
        <w:rPr>
          <w:spacing w:val="34"/>
        </w:rPr>
        <w:t> </w:t>
      </w:r>
      <w:r>
        <w:rPr/>
        <w:t>accordance</w:t>
      </w:r>
      <w:r>
        <w:rPr>
          <w:spacing w:val="32"/>
        </w:rPr>
        <w:t> </w:t>
      </w:r>
      <w:r>
        <w:rPr>
          <w:spacing w:val="-4"/>
        </w:rPr>
        <w:t>with</w:t>
      </w:r>
    </w:p>
    <w:p>
      <w:pPr>
        <w:pStyle w:val="BodyText"/>
        <w:spacing w:before="10"/>
      </w:pPr>
      <w:r>
        <w:rPr/>
        <w:t>general</w:t>
      </w:r>
      <w:r>
        <w:rPr>
          <w:spacing w:val="-12"/>
        </w:rPr>
        <w:t> </w:t>
      </w:r>
      <w:r>
        <w:rPr/>
        <w:t>systemic</w:t>
      </w:r>
      <w:r>
        <w:rPr>
          <w:spacing w:val="-11"/>
        </w:rPr>
        <w:t> </w:t>
      </w:r>
      <w:r>
        <w:rPr>
          <w:spacing w:val="-2"/>
        </w:rPr>
        <w:t>rules.</w:t>
      </w:r>
    </w:p>
    <w:p>
      <w:pPr>
        <w:pStyle w:val="BodyText"/>
        <w:spacing w:line="268" w:lineRule="auto" w:before="42"/>
        <w:ind w:right="1905" w:firstLine="720"/>
      </w:pPr>
      <w:r>
        <w:rPr/>
        <w:t>Holonic approach was re-introduced by </w:t>
      </w:r>
      <w:r>
        <w:rPr>
          <w:sz w:val="27"/>
        </w:rPr>
        <w:t>Ken Wilber </w:t>
      </w:r>
      <w:r>
        <w:rPr/>
        <w:t>in his sophisticated</w:t>
      </w:r>
      <w:r>
        <w:rPr>
          <w:spacing w:val="-3"/>
        </w:rPr>
        <w:t> </w:t>
      </w:r>
      <w:r>
        <w:rPr/>
        <w:t>work</w:t>
      </w:r>
      <w:r>
        <w:rPr>
          <w:spacing w:val="-1"/>
        </w:rPr>
        <w:t> </w:t>
      </w:r>
      <w:r>
        <w:rPr/>
        <w:t>-</w:t>
      </w:r>
      <w:r>
        <w:rPr>
          <w:sz w:val="27"/>
        </w:rPr>
        <w:t>Sex,</w:t>
      </w:r>
      <w:r>
        <w:rPr>
          <w:spacing w:val="-6"/>
          <w:sz w:val="27"/>
        </w:rPr>
        <w:t> </w:t>
      </w:r>
      <w:r>
        <w:rPr>
          <w:sz w:val="27"/>
        </w:rPr>
        <w:t>Ecology,</w:t>
      </w:r>
      <w:r>
        <w:rPr>
          <w:spacing w:val="-5"/>
          <w:sz w:val="27"/>
        </w:rPr>
        <w:t> </w:t>
      </w:r>
      <w:r>
        <w:rPr>
          <w:sz w:val="27"/>
        </w:rPr>
        <w:t>Spirituality.</w:t>
      </w:r>
      <w:r>
        <w:rPr>
          <w:spacing w:val="-5"/>
          <w:sz w:val="27"/>
        </w:rPr>
        <w:t> </w:t>
      </w:r>
      <w:r>
        <w:rPr/>
        <w:t>(</w:t>
      </w:r>
      <w:hyperlink w:history="true" w:anchor="_bookmark437">
        <w:r>
          <w:rPr/>
          <w:t>2000</w:t>
        </w:r>
      </w:hyperlink>
      <w:r>
        <w:rPr/>
        <w:t>)</w:t>
      </w:r>
      <w:r>
        <w:rPr>
          <w:spacing w:val="40"/>
        </w:rPr>
        <w:t> </w:t>
      </w:r>
      <w:r>
        <w:rPr>
          <w:sz w:val="27"/>
        </w:rPr>
        <w:t>Wilber</w:t>
      </w:r>
      <w:r>
        <w:rPr/>
        <w:t>’s</w:t>
      </w:r>
      <w:r>
        <w:rPr>
          <w:spacing w:val="-6"/>
        </w:rPr>
        <w:t> </w:t>
      </w:r>
      <w:r>
        <w:rPr/>
        <w:t>theory</w:t>
      </w:r>
      <w:r>
        <w:rPr>
          <w:spacing w:val="-5"/>
        </w:rPr>
        <w:t> </w:t>
      </w:r>
      <w:r>
        <w:rPr/>
        <w:t>does not have to be purely scientific, as far as its domain is more philosophical- spiritual; however, the author proposes some important refinements to the </w:t>
      </w:r>
      <w:r>
        <w:rPr>
          <w:sz w:val="27"/>
        </w:rPr>
        <w:t>Koestler</w:t>
      </w:r>
      <w:r>
        <w:rPr/>
        <w:t>’s work. First important addition came after reviewing of the general nature of holons, </w:t>
      </w:r>
      <w:r>
        <w:rPr>
          <w:sz w:val="27"/>
        </w:rPr>
        <w:t>Wilber</w:t>
      </w:r>
      <w:r>
        <w:rPr/>
        <w:t>’s second tenant says:</w:t>
      </w:r>
    </w:p>
    <w:p>
      <w:pPr>
        <w:pStyle w:val="BodyText"/>
        <w:spacing w:line="276" w:lineRule="auto" w:before="12"/>
        <w:ind w:left="2420" w:right="1908"/>
      </w:pPr>
      <w:r>
        <w:rPr/>
        <mc:AlternateContent>
          <mc:Choice Requires="wps">
            <w:drawing>
              <wp:anchor distT="0" distB="0" distL="0" distR="0" allowOverlap="1" layoutInCell="1" locked="0" behindDoc="0" simplePos="0" relativeHeight="15742976">
                <wp:simplePos x="0" y="0"/>
                <wp:positionH relativeFrom="page">
                  <wp:posOffset>1923923</wp:posOffset>
                </wp:positionH>
                <wp:positionV relativeFrom="paragraph">
                  <wp:posOffset>6474</wp:posOffset>
                </wp:positionV>
                <wp:extent cx="1270" cy="749935"/>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1270" cy="749935"/>
                        </a:xfrm>
                        <a:custGeom>
                          <a:avLst/>
                          <a:gdLst/>
                          <a:ahLst/>
                          <a:cxnLst/>
                          <a:rect l="l" t="t" r="r" b="b"/>
                          <a:pathLst>
                            <a:path w="0" h="749935">
                              <a:moveTo>
                                <a:pt x="0" y="0"/>
                              </a:moveTo>
                              <a:lnTo>
                                <a:pt x="0" y="249936"/>
                              </a:lnTo>
                            </a:path>
                            <a:path w="0" h="749935">
                              <a:moveTo>
                                <a:pt x="0" y="249936"/>
                              </a:moveTo>
                              <a:lnTo>
                                <a:pt x="0" y="499872"/>
                              </a:lnTo>
                            </a:path>
                            <a:path w="0" h="749935">
                              <a:moveTo>
                                <a:pt x="0" y="499872"/>
                              </a:moveTo>
                              <a:lnTo>
                                <a:pt x="0" y="749808"/>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5098pt;width:.1pt;height:59.05pt;mso-position-horizontal-relative:page;mso-position-vertical-relative:paragraph;z-index:15742976" id="docshape32" coordorigin="3030,10" coordsize="0,1181" path="m3030,10l3030,404m3030,404l3030,797m3030,797l3030,1191e" filled="false" stroked="true" strokeweight=".48pt" strokecolor="#000000">
                <v:path arrowok="t"/>
                <v:stroke dashstyle="shortdash"/>
                <w10:wrap type="none"/>
              </v:shape>
            </w:pict>
          </mc:Fallback>
        </mc:AlternateContent>
      </w:r>
      <w:r>
        <w:rPr/>
        <w:t>“Holons</w:t>
      </w:r>
      <w:r>
        <w:rPr>
          <w:spacing w:val="-3"/>
        </w:rPr>
        <w:t> </w:t>
      </w:r>
      <w:r>
        <w:rPr/>
        <w:t>display</w:t>
      </w:r>
      <w:r>
        <w:rPr>
          <w:spacing w:val="-2"/>
        </w:rPr>
        <w:t> </w:t>
      </w:r>
      <w:r>
        <w:rPr/>
        <w:t>four</w:t>
      </w:r>
      <w:r>
        <w:rPr>
          <w:spacing w:val="-1"/>
        </w:rPr>
        <w:t> </w:t>
      </w:r>
      <w:r>
        <w:rPr/>
        <w:t>fundamental</w:t>
      </w:r>
      <w:r>
        <w:rPr>
          <w:spacing w:val="-4"/>
        </w:rPr>
        <w:t> </w:t>
      </w:r>
      <w:r>
        <w:rPr/>
        <w:t>capacities: self-preservation, self-adaptation, self-transcendence,</w:t>
      </w:r>
      <w:r>
        <w:rPr>
          <w:spacing w:val="-2"/>
        </w:rPr>
        <w:t> </w:t>
      </w:r>
      <w:r>
        <w:rPr/>
        <w:t>and self-dissolution. These are all very important, and we’ll take them one at a time.”</w:t>
      </w:r>
    </w:p>
    <w:p>
      <w:pPr>
        <w:pStyle w:val="BodyText"/>
        <w:ind w:left="1700" w:firstLine="5291"/>
      </w:pPr>
      <w:r>
        <w:rPr/>
        <w:t>(</w:t>
      </w:r>
      <w:hyperlink w:history="true" w:anchor="_bookmark437">
        <w:r>
          <w:rPr/>
          <w:t>Wilber,</w:t>
        </w:r>
        <w:r>
          <w:rPr>
            <w:spacing w:val="-6"/>
          </w:rPr>
          <w:t> </w:t>
        </w:r>
        <w:r>
          <w:rPr/>
          <w:t>2000,</w:t>
        </w:r>
        <w:r>
          <w:rPr>
            <w:spacing w:val="-8"/>
          </w:rPr>
          <w:t> </w:t>
        </w:r>
        <w:r>
          <w:rPr/>
          <w:t>p.</w:t>
        </w:r>
        <w:r>
          <w:rPr>
            <w:spacing w:val="-6"/>
          </w:rPr>
          <w:t> </w:t>
        </w:r>
        <w:r>
          <w:rPr>
            <w:spacing w:val="-5"/>
          </w:rPr>
          <w:t>48</w:t>
        </w:r>
      </w:hyperlink>
      <w:r>
        <w:rPr>
          <w:spacing w:val="-5"/>
        </w:rPr>
        <w:t>)</w:t>
      </w:r>
    </w:p>
    <w:p>
      <w:pPr>
        <w:spacing w:line="268" w:lineRule="auto" w:before="41"/>
        <w:ind w:left="979" w:right="1905" w:firstLine="720"/>
        <w:jc w:val="both"/>
        <w:rPr>
          <w:sz w:val="26"/>
        </w:rPr>
      </w:pPr>
      <w:r>
        <w:rPr>
          <w:sz w:val="26"/>
        </w:rPr>
        <w:t>First three are included in </w:t>
      </w:r>
      <w:r>
        <w:rPr>
          <w:sz w:val="27"/>
        </w:rPr>
        <w:t>Koestler</w:t>
      </w:r>
      <w:r>
        <w:rPr>
          <w:sz w:val="26"/>
        </w:rPr>
        <w:t>’s classification as well, but last two (self-transcendence and self-dissolution) were added by </w:t>
      </w:r>
      <w:r>
        <w:rPr>
          <w:sz w:val="27"/>
        </w:rPr>
        <w:t>Wilber</w:t>
      </w:r>
      <w:r>
        <w:rPr>
          <w:sz w:val="26"/>
        </w:rPr>
        <w:t>. He criticizes </w:t>
      </w:r>
      <w:r>
        <w:rPr>
          <w:sz w:val="27"/>
        </w:rPr>
        <w:t>Koestler </w:t>
      </w:r>
      <w:r>
        <w:rPr>
          <w:sz w:val="26"/>
        </w:rPr>
        <w:t>for using </w:t>
      </w:r>
      <w:r>
        <w:rPr>
          <w:sz w:val="27"/>
        </w:rPr>
        <w:t>self-transcendence </w:t>
      </w:r>
      <w:r>
        <w:rPr>
          <w:sz w:val="26"/>
        </w:rPr>
        <w:t>and </w:t>
      </w:r>
      <w:r>
        <w:rPr>
          <w:sz w:val="27"/>
        </w:rPr>
        <w:t>self-adaptation </w:t>
      </w:r>
      <w:r>
        <w:rPr>
          <w:spacing w:val="-2"/>
          <w:sz w:val="26"/>
        </w:rPr>
        <w:t>interchangeably:</w:t>
      </w:r>
    </w:p>
    <w:p>
      <w:pPr>
        <w:pStyle w:val="BodyText"/>
        <w:spacing w:line="276" w:lineRule="auto" w:before="12"/>
        <w:ind w:left="2420" w:right="1902"/>
      </w:pPr>
      <w:r>
        <w:rPr/>
        <mc:AlternateContent>
          <mc:Choice Requires="wps">
            <w:drawing>
              <wp:anchor distT="0" distB="0" distL="0" distR="0" allowOverlap="1" layoutInCell="1" locked="0" behindDoc="0" simplePos="0" relativeHeight="15743488">
                <wp:simplePos x="0" y="0"/>
                <wp:positionH relativeFrom="page">
                  <wp:posOffset>1923923</wp:posOffset>
                </wp:positionH>
                <wp:positionV relativeFrom="paragraph">
                  <wp:posOffset>6338</wp:posOffset>
                </wp:positionV>
                <wp:extent cx="1270" cy="1000125"/>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1270" cy="1000125"/>
                        </a:xfrm>
                        <a:custGeom>
                          <a:avLst/>
                          <a:gdLst/>
                          <a:ahLst/>
                          <a:cxnLst/>
                          <a:rect l="l" t="t" r="r" b="b"/>
                          <a:pathLst>
                            <a:path w="0" h="1000125">
                              <a:moveTo>
                                <a:pt x="0" y="0"/>
                              </a:moveTo>
                              <a:lnTo>
                                <a:pt x="0" y="249936"/>
                              </a:lnTo>
                            </a:path>
                            <a:path w="0" h="1000125">
                              <a:moveTo>
                                <a:pt x="0" y="249936"/>
                              </a:moveTo>
                              <a:lnTo>
                                <a:pt x="0" y="499872"/>
                              </a:lnTo>
                            </a:path>
                            <a:path w="0" h="1000125">
                              <a:moveTo>
                                <a:pt x="0" y="499872"/>
                              </a:moveTo>
                              <a:lnTo>
                                <a:pt x="0" y="749833"/>
                              </a:lnTo>
                            </a:path>
                            <a:path w="0" h="1000125">
                              <a:moveTo>
                                <a:pt x="0" y="749833"/>
                              </a:moveTo>
                              <a:lnTo>
                                <a:pt x="0" y="1000074"/>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499131pt;width:.1pt;height:78.75pt;mso-position-horizontal-relative:page;mso-position-vertical-relative:paragraph;z-index:15743488" id="docshape33" coordorigin="3030,10" coordsize="0,1575" path="m3030,10l3030,404m3030,404l3030,797m3030,797l3030,1191m3030,1191l3030,1585e" filled="false" stroked="true" strokeweight=".48pt" strokecolor="#000000">
                <v:path arrowok="t"/>
                <v:stroke dashstyle="shortdash"/>
                <w10:wrap type="none"/>
              </v:shape>
            </w:pict>
          </mc:Fallback>
        </mc:AlternateContent>
      </w:r>
      <w:r>
        <w:rPr/>
        <w:t>“in self-adaptation or communion, one finds oneself to be part of a larger whole; inself-transformation one becomes a new whole, which has its own new forms of agency and </w:t>
      </w:r>
      <w:r>
        <w:rPr>
          <w:spacing w:val="-2"/>
        </w:rPr>
        <w:t>communion”</w:t>
      </w:r>
    </w:p>
    <w:p>
      <w:pPr>
        <w:pStyle w:val="BodyText"/>
        <w:spacing w:after="0" w:line="276" w:lineRule="auto"/>
        <w:sectPr>
          <w:pgSz w:w="12240" w:h="15840"/>
          <w:pgMar w:header="1046" w:footer="0" w:top="1360" w:bottom="280" w:left="720" w:right="360"/>
        </w:sectPr>
      </w:pPr>
    </w:p>
    <w:p>
      <w:pPr>
        <w:pStyle w:val="BodyText"/>
        <w:spacing w:line="273" w:lineRule="auto" w:before="276"/>
        <w:ind w:right="1901" w:firstLine="6026"/>
        <w:jc w:val="right"/>
      </w:pPr>
      <w:r>
        <w:rPr/>
        <w:t>(</w:t>
      </w:r>
      <w:hyperlink w:history="true" w:anchor="_bookmark437">
        <w:r>
          <w:rPr/>
          <w:t>Wilber,</w:t>
        </w:r>
        <w:r>
          <w:rPr>
            <w:spacing w:val="-11"/>
          </w:rPr>
          <w:t> </w:t>
        </w:r>
        <w:r>
          <w:rPr/>
          <w:t>2000,</w:t>
        </w:r>
        <w:r>
          <w:rPr>
            <w:spacing w:val="-14"/>
          </w:rPr>
          <w:t> </w:t>
        </w:r>
        <w:r>
          <w:rPr/>
          <w:t>p.</w:t>
        </w:r>
        <w:r>
          <w:rPr>
            <w:spacing w:val="-11"/>
          </w:rPr>
          <w:t> </w:t>
        </w:r>
        <w:r>
          <w:rPr/>
          <w:t>50</w:t>
        </w:r>
      </w:hyperlink>
      <w:r>
        <w:rPr/>
        <w:t>) </w:t>
      </w:r>
      <w:r>
        <w:rPr>
          <w:sz w:val="27"/>
        </w:rPr>
        <w:t>Wilber</w:t>
      </w:r>
      <w:r>
        <w:rPr>
          <w:spacing w:val="40"/>
          <w:sz w:val="27"/>
        </w:rPr>
        <w:t> </w:t>
      </w:r>
      <w:r>
        <w:rPr/>
        <w:t>rightly</w:t>
      </w:r>
      <w:r>
        <w:rPr>
          <w:spacing w:val="40"/>
        </w:rPr>
        <w:t> </w:t>
      </w:r>
      <w:r>
        <w:rPr/>
        <w:t>emphasizes</w:t>
      </w:r>
      <w:r>
        <w:rPr>
          <w:spacing w:val="40"/>
        </w:rPr>
        <w:t> </w:t>
      </w:r>
      <w:r>
        <w:rPr/>
        <w:t>on</w:t>
      </w:r>
      <w:r>
        <w:rPr>
          <w:spacing w:val="40"/>
        </w:rPr>
        <w:t> </w:t>
      </w:r>
      <w:r>
        <w:rPr/>
        <w:t>“evolutionary</w:t>
      </w:r>
      <w:r>
        <w:rPr>
          <w:spacing w:val="40"/>
        </w:rPr>
        <w:t> </w:t>
      </w:r>
      <w:r>
        <w:rPr/>
        <w:t>transcendence.”</w:t>
      </w:r>
      <w:r>
        <w:rPr>
          <w:spacing w:val="40"/>
        </w:rPr>
        <w:t> </w:t>
      </w:r>
      <w:r>
        <w:rPr/>
        <w:t>The evolution happens not only due to the holon’s capabilities to adapt to new realities.</w:t>
      </w:r>
      <w:r>
        <w:rPr>
          <w:spacing w:val="40"/>
        </w:rPr>
        <w:t> </w:t>
      </w:r>
      <w:r>
        <w:rPr/>
        <w:t>The</w:t>
      </w:r>
      <w:r>
        <w:rPr>
          <w:spacing w:val="40"/>
        </w:rPr>
        <w:t> </w:t>
      </w:r>
      <w:r>
        <w:rPr/>
        <w:t>reason</w:t>
      </w:r>
      <w:r>
        <w:rPr>
          <w:spacing w:val="40"/>
        </w:rPr>
        <w:t> </w:t>
      </w:r>
      <w:r>
        <w:rPr/>
        <w:t>is</w:t>
      </w:r>
      <w:r>
        <w:rPr>
          <w:spacing w:val="40"/>
        </w:rPr>
        <w:t> </w:t>
      </w:r>
      <w:r>
        <w:rPr/>
        <w:t>that</w:t>
      </w:r>
      <w:r>
        <w:rPr>
          <w:spacing w:val="40"/>
        </w:rPr>
        <w:t> </w:t>
      </w:r>
      <w:r>
        <w:rPr/>
        <w:t>while</w:t>
      </w:r>
      <w:r>
        <w:rPr>
          <w:spacing w:val="40"/>
        </w:rPr>
        <w:t> </w:t>
      </w:r>
      <w:r>
        <w:rPr/>
        <w:t>adjusting</w:t>
      </w:r>
      <w:r>
        <w:rPr>
          <w:spacing w:val="40"/>
        </w:rPr>
        <w:t> </w:t>
      </w:r>
      <w:r>
        <w:rPr/>
        <w:t>to</w:t>
      </w:r>
      <w:r>
        <w:rPr>
          <w:spacing w:val="40"/>
        </w:rPr>
        <w:t> </w:t>
      </w:r>
      <w:r>
        <w:rPr/>
        <w:t>new</w:t>
      </w:r>
      <w:r>
        <w:rPr>
          <w:spacing w:val="40"/>
        </w:rPr>
        <w:t> </w:t>
      </w:r>
      <w:r>
        <w:rPr/>
        <w:t>conditions,</w:t>
      </w:r>
      <w:r>
        <w:rPr>
          <w:spacing w:val="40"/>
        </w:rPr>
        <w:t> </w:t>
      </w:r>
      <w:r>
        <w:rPr/>
        <w:t>holons</w:t>
      </w:r>
      <w:r>
        <w:rPr>
          <w:spacing w:val="80"/>
          <w:w w:val="150"/>
        </w:rPr>
        <w:t> </w:t>
      </w:r>
      <w:r>
        <w:rPr/>
        <w:t>transcend</w:t>
      </w:r>
      <w:r>
        <w:rPr>
          <w:spacing w:val="33"/>
        </w:rPr>
        <w:t> </w:t>
      </w:r>
      <w:r>
        <w:rPr/>
        <w:t>their</w:t>
      </w:r>
      <w:r>
        <w:rPr>
          <w:spacing w:val="32"/>
        </w:rPr>
        <w:t> </w:t>
      </w:r>
      <w:r>
        <w:rPr/>
        <w:t>identities to something</w:t>
      </w:r>
      <w:r>
        <w:rPr>
          <w:spacing w:val="32"/>
        </w:rPr>
        <w:t> </w:t>
      </w:r>
      <w:r>
        <w:rPr/>
        <w:t>new</w:t>
      </w:r>
      <w:r>
        <w:rPr>
          <w:spacing w:val="33"/>
        </w:rPr>
        <w:t> </w:t>
      </w:r>
      <w:r>
        <w:rPr/>
        <w:t>yet</w:t>
      </w:r>
      <w:r>
        <w:rPr>
          <w:spacing w:val="32"/>
        </w:rPr>
        <w:t> </w:t>
      </w:r>
      <w:r>
        <w:rPr/>
        <w:t>unknown</w:t>
      </w:r>
      <w:r>
        <w:rPr>
          <w:spacing w:val="33"/>
        </w:rPr>
        <w:t> </w:t>
      </w:r>
      <w:r>
        <w:rPr/>
        <w:t>identities.</w:t>
      </w:r>
      <w:r>
        <w:rPr>
          <w:spacing w:val="33"/>
        </w:rPr>
        <w:t> </w:t>
      </w:r>
      <w:r>
        <w:rPr/>
        <w:t>This transcendence</w:t>
      </w:r>
      <w:r>
        <w:rPr>
          <w:spacing w:val="47"/>
        </w:rPr>
        <w:t> </w:t>
      </w:r>
      <w:r>
        <w:rPr/>
        <w:t>is</w:t>
      </w:r>
      <w:r>
        <w:rPr>
          <w:spacing w:val="44"/>
        </w:rPr>
        <w:t> </w:t>
      </w:r>
      <w:r>
        <w:rPr/>
        <w:t>not</w:t>
      </w:r>
      <w:r>
        <w:rPr>
          <w:spacing w:val="47"/>
        </w:rPr>
        <w:t> </w:t>
      </w:r>
      <w:r>
        <w:rPr/>
        <w:t>necessarily</w:t>
      </w:r>
      <w:r>
        <w:rPr>
          <w:spacing w:val="50"/>
        </w:rPr>
        <w:t> </w:t>
      </w:r>
      <w:r>
        <w:rPr/>
        <w:t>positive</w:t>
      </w:r>
      <w:r>
        <w:rPr>
          <w:spacing w:val="47"/>
        </w:rPr>
        <w:t> </w:t>
      </w:r>
      <w:r>
        <w:rPr/>
        <w:t>one</w:t>
      </w:r>
      <w:r>
        <w:rPr>
          <w:spacing w:val="47"/>
        </w:rPr>
        <w:t> </w:t>
      </w:r>
      <w:r>
        <w:rPr/>
        <w:t>and</w:t>
      </w:r>
      <w:r>
        <w:rPr>
          <w:spacing w:val="48"/>
        </w:rPr>
        <w:t> </w:t>
      </w:r>
      <w:r>
        <w:rPr/>
        <w:t>it</w:t>
      </w:r>
      <w:r>
        <w:rPr>
          <w:spacing w:val="47"/>
        </w:rPr>
        <w:t> </w:t>
      </w:r>
      <w:r>
        <w:rPr/>
        <w:t>might</w:t>
      </w:r>
      <w:r>
        <w:rPr>
          <w:spacing w:val="47"/>
        </w:rPr>
        <w:t> </w:t>
      </w:r>
      <w:r>
        <w:rPr/>
        <w:t>cause</w:t>
      </w:r>
      <w:r>
        <w:rPr>
          <w:spacing w:val="47"/>
        </w:rPr>
        <w:t> </w:t>
      </w:r>
      <w:r>
        <w:rPr>
          <w:spacing w:val="-2"/>
        </w:rPr>
        <w:t>certain</w:t>
      </w:r>
    </w:p>
    <w:p>
      <w:pPr>
        <w:pStyle w:val="BodyText"/>
        <w:spacing w:before="6"/>
      </w:pPr>
      <w:r>
        <w:rPr/>
        <w:t>discontinuities</w:t>
      </w:r>
      <w:r>
        <w:rPr>
          <w:spacing w:val="-13"/>
        </w:rPr>
        <w:t> </w:t>
      </w:r>
      <w:r>
        <w:rPr/>
        <w:t>in</w:t>
      </w:r>
      <w:r>
        <w:rPr>
          <w:spacing w:val="-11"/>
        </w:rPr>
        <w:t> </w:t>
      </w:r>
      <w:r>
        <w:rPr>
          <w:spacing w:val="-2"/>
        </w:rPr>
        <w:t>evolution.</w:t>
      </w:r>
    </w:p>
    <w:p>
      <w:pPr>
        <w:pStyle w:val="BodyText"/>
        <w:spacing w:line="273" w:lineRule="auto" w:before="41"/>
        <w:ind w:right="1908" w:firstLine="720"/>
      </w:pPr>
      <w:r>
        <w:rPr>
          <w:sz w:val="27"/>
        </w:rPr>
        <w:t>Wilber </w:t>
      </w:r>
      <w:r>
        <w:rPr/>
        <w:t>recognizes that holons are not eternal entities they might emerge, but</w:t>
      </w:r>
      <w:r>
        <w:rPr>
          <w:spacing w:val="-1"/>
        </w:rPr>
        <w:t> </w:t>
      </w:r>
      <w:r>
        <w:rPr/>
        <w:t>also</w:t>
      </w:r>
      <w:r>
        <w:rPr>
          <w:spacing w:val="-2"/>
        </w:rPr>
        <w:t> </w:t>
      </w:r>
      <w:r>
        <w:rPr/>
        <w:t>can break down. The </w:t>
      </w:r>
      <w:r>
        <w:rPr>
          <w:sz w:val="27"/>
        </w:rPr>
        <w:t>self-dissolution </w:t>
      </w:r>
      <w:r>
        <w:rPr/>
        <w:t>of</w:t>
      </w:r>
      <w:r>
        <w:rPr>
          <w:spacing w:val="-1"/>
        </w:rPr>
        <w:t> </w:t>
      </w:r>
      <w:r>
        <w:rPr/>
        <w:t>holons</w:t>
      </w:r>
      <w:r>
        <w:rPr>
          <w:spacing w:val="-2"/>
        </w:rPr>
        <w:t> </w:t>
      </w:r>
      <w:r>
        <w:rPr/>
        <w:t>happens in the same vertical sequence in which they were built up. This means that with the termination of holon system might stop evolving. The process is held within the same operational framework as it was during the</w:t>
      </w:r>
      <w:r>
        <w:rPr>
          <w:spacing w:val="40"/>
        </w:rPr>
        <w:t> </w:t>
      </w:r>
      <w:r>
        <w:rPr/>
        <w:t>emergence of the very holon.</w:t>
      </w:r>
    </w:p>
    <w:p>
      <w:pPr>
        <w:pStyle w:val="BodyText"/>
        <w:spacing w:line="273" w:lineRule="auto"/>
        <w:ind w:right="1911" w:firstLine="720"/>
      </w:pPr>
      <w:r>
        <w:rPr/>
        <mc:AlternateContent>
          <mc:Choice Requires="wps">
            <w:drawing>
              <wp:anchor distT="0" distB="0" distL="0" distR="0" allowOverlap="1" layoutInCell="1" locked="0" behindDoc="0" simplePos="0" relativeHeight="15744000">
                <wp:simplePos x="0" y="0"/>
                <wp:positionH relativeFrom="page">
                  <wp:posOffset>1923923</wp:posOffset>
                </wp:positionH>
                <wp:positionV relativeFrom="paragraph">
                  <wp:posOffset>1748909</wp:posOffset>
                </wp:positionV>
                <wp:extent cx="1270" cy="1253490"/>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1270" cy="1253490"/>
                        </a:xfrm>
                        <a:custGeom>
                          <a:avLst/>
                          <a:gdLst/>
                          <a:ahLst/>
                          <a:cxnLst/>
                          <a:rect l="l" t="t" r="r" b="b"/>
                          <a:pathLst>
                            <a:path w="0" h="1253490">
                              <a:moveTo>
                                <a:pt x="0" y="0"/>
                              </a:moveTo>
                              <a:lnTo>
                                <a:pt x="0" y="249936"/>
                              </a:lnTo>
                            </a:path>
                            <a:path w="0" h="1253490">
                              <a:moveTo>
                                <a:pt x="0" y="249936"/>
                              </a:moveTo>
                              <a:lnTo>
                                <a:pt x="0" y="499872"/>
                              </a:lnTo>
                            </a:path>
                            <a:path w="0" h="1253490">
                              <a:moveTo>
                                <a:pt x="0" y="499872"/>
                              </a:moveTo>
                              <a:lnTo>
                                <a:pt x="0" y="749808"/>
                              </a:lnTo>
                            </a:path>
                            <a:path w="0" h="1253490">
                              <a:moveTo>
                                <a:pt x="0" y="749808"/>
                              </a:moveTo>
                              <a:lnTo>
                                <a:pt x="0" y="1000125"/>
                              </a:lnTo>
                            </a:path>
                            <a:path w="0" h="1253490">
                              <a:moveTo>
                                <a:pt x="0" y="1000125"/>
                              </a:moveTo>
                              <a:lnTo>
                                <a:pt x="0" y="1253108"/>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137.709381pt;width:.1pt;height:98.7pt;mso-position-horizontal-relative:page;mso-position-vertical-relative:paragraph;z-index:15744000" id="docshape34" coordorigin="3030,2754" coordsize="0,1974" path="m3030,2754l3030,3148m3030,3148l3030,3541m3030,3541l3030,3935m3030,3935l3030,4329m3030,4329l3030,4728e" filled="false" stroked="true" strokeweight=".48pt" strokecolor="#000000">
                <v:path arrowok="t"/>
                <v:stroke dashstyle="shortdash"/>
                <w10:wrap type="none"/>
              </v:shape>
            </w:pict>
          </mc:Fallback>
        </mc:AlternateContent>
      </w:r>
      <w:r>
        <w:rPr>
          <w:sz w:val="27"/>
        </w:rPr>
        <w:t>Wilber</w:t>
      </w:r>
      <w:r>
        <w:rPr>
          <w:spacing w:val="-9"/>
          <w:sz w:val="27"/>
        </w:rPr>
        <w:t> </w:t>
      </w:r>
      <w:r>
        <w:rPr/>
        <w:t>similarly</w:t>
      </w:r>
      <w:r>
        <w:rPr>
          <w:spacing w:val="-8"/>
        </w:rPr>
        <w:t> </w:t>
      </w:r>
      <w:r>
        <w:rPr/>
        <w:t>to</w:t>
      </w:r>
      <w:r>
        <w:rPr>
          <w:spacing w:val="-8"/>
        </w:rPr>
        <w:t> </w:t>
      </w:r>
      <w:r>
        <w:rPr>
          <w:sz w:val="27"/>
        </w:rPr>
        <w:t>Koestler</w:t>
      </w:r>
      <w:r>
        <w:rPr>
          <w:spacing w:val="-8"/>
          <w:sz w:val="27"/>
        </w:rPr>
        <w:t> </w:t>
      </w:r>
      <w:r>
        <w:rPr/>
        <w:t>pays</w:t>
      </w:r>
      <w:r>
        <w:rPr>
          <w:spacing w:val="-10"/>
        </w:rPr>
        <w:t> </w:t>
      </w:r>
      <w:r>
        <w:rPr/>
        <w:t>a</w:t>
      </w:r>
      <w:r>
        <w:rPr>
          <w:spacing w:val="-8"/>
        </w:rPr>
        <w:t> </w:t>
      </w:r>
      <w:r>
        <w:rPr/>
        <w:t>great</w:t>
      </w:r>
      <w:r>
        <w:rPr>
          <w:spacing w:val="-8"/>
        </w:rPr>
        <w:t> </w:t>
      </w:r>
      <w:r>
        <w:rPr/>
        <w:t>attention</w:t>
      </w:r>
      <w:r>
        <w:rPr>
          <w:spacing w:val="-7"/>
        </w:rPr>
        <w:t> </w:t>
      </w:r>
      <w:r>
        <w:rPr/>
        <w:t>to</w:t>
      </w:r>
      <w:r>
        <w:rPr>
          <w:spacing w:val="-11"/>
        </w:rPr>
        <w:t> </w:t>
      </w:r>
      <w:r>
        <w:rPr/>
        <w:t>the</w:t>
      </w:r>
      <w:r>
        <w:rPr>
          <w:spacing w:val="-8"/>
        </w:rPr>
        <w:t> </w:t>
      </w:r>
      <w:r>
        <w:rPr/>
        <w:t>hierarchy</w:t>
      </w:r>
      <w:r>
        <w:rPr>
          <w:spacing w:val="-8"/>
        </w:rPr>
        <w:t> </w:t>
      </w:r>
      <w:r>
        <w:rPr/>
        <w:t>of holons – or </w:t>
      </w:r>
      <w:r>
        <w:rPr>
          <w:sz w:val="27"/>
        </w:rPr>
        <w:t>holarchy</w:t>
      </w:r>
      <w:r>
        <w:rPr/>
        <w:t>. He criticizes</w:t>
      </w:r>
      <w:r>
        <w:rPr>
          <w:spacing w:val="40"/>
        </w:rPr>
        <w:t> </w:t>
      </w:r>
      <w:r>
        <w:rPr/>
        <w:t>scientists who consider hierarchy as intrinsically hegemonic, or despotic. Those scholars favor heterarchy as a non-ranking horizontal order in which every component has the same systemic value. This latter approach allows us to draw a pluralistic model of organization; however, in reality working mechanism cannot be entirely heterarchic. </w:t>
      </w:r>
      <w:r>
        <w:rPr>
          <w:sz w:val="27"/>
        </w:rPr>
        <w:t>Wilber </w:t>
      </w:r>
      <w:r>
        <w:rPr/>
        <w:t>argues that real hierarchy is a </w:t>
      </w:r>
      <w:r>
        <w:rPr>
          <w:sz w:val="27"/>
        </w:rPr>
        <w:t>holarchy</w:t>
      </w:r>
      <w:r>
        <w:rPr/>
        <w:t>:</w:t>
      </w:r>
    </w:p>
    <w:p>
      <w:pPr>
        <w:pStyle w:val="BodyText"/>
        <w:spacing w:line="276" w:lineRule="auto"/>
        <w:ind w:left="2420" w:right="1906"/>
      </w:pPr>
      <w:r>
        <w:rPr/>
        <w:t>“Normal hierarchy, then, is simply an order of increasing holons, representing an increase in wholeness… It doesn’t mean fascist domination; it means a higher (or deeper) commonality</w:t>
      </w:r>
      <w:r>
        <w:rPr>
          <w:spacing w:val="-2"/>
        </w:rPr>
        <w:t> </w:t>
      </w:r>
      <w:r>
        <w:rPr/>
        <w:t>that</w:t>
      </w:r>
      <w:r>
        <w:rPr>
          <w:spacing w:val="-2"/>
        </w:rPr>
        <w:t> </w:t>
      </w:r>
      <w:r>
        <w:rPr/>
        <w:t>joins</w:t>
      </w:r>
      <w:r>
        <w:rPr>
          <w:spacing w:val="-4"/>
        </w:rPr>
        <w:t> </w:t>
      </w:r>
      <w:r>
        <w:rPr/>
        <w:t>isolated strands</w:t>
      </w:r>
      <w:r>
        <w:rPr>
          <w:spacing w:val="-4"/>
        </w:rPr>
        <w:t> </w:t>
      </w:r>
      <w:r>
        <w:rPr/>
        <w:t>into</w:t>
      </w:r>
      <w:r>
        <w:rPr>
          <w:spacing w:val="-5"/>
        </w:rPr>
        <w:t> </w:t>
      </w:r>
      <w:r>
        <w:rPr/>
        <w:t>an actual</w:t>
      </w:r>
      <w:r>
        <w:rPr>
          <w:spacing w:val="-4"/>
        </w:rPr>
        <w:t> </w:t>
      </w:r>
      <w:r>
        <w:rPr/>
        <w:t>web</w:t>
      </w:r>
      <w:r>
        <w:rPr>
          <w:spacing w:val="-4"/>
        </w:rPr>
        <w:t> </w:t>
      </w:r>
      <w:r>
        <w:rPr/>
        <w:t>that joins molecules into a cell, or cells into an organism.”</w:t>
      </w:r>
    </w:p>
    <w:p>
      <w:pPr>
        <w:pStyle w:val="BodyText"/>
        <w:ind w:left="1700" w:firstLine="5301"/>
      </w:pPr>
      <w:r>
        <w:rPr/>
        <w:t>(</w:t>
      </w:r>
      <w:hyperlink w:history="true" w:anchor="_bookmark437">
        <w:r>
          <w:rPr/>
          <w:t>Wilber,</w:t>
        </w:r>
        <w:r>
          <w:rPr>
            <w:spacing w:val="-6"/>
          </w:rPr>
          <w:t> </w:t>
        </w:r>
        <w:r>
          <w:rPr/>
          <w:t>2000,</w:t>
        </w:r>
        <w:r>
          <w:rPr>
            <w:spacing w:val="-8"/>
          </w:rPr>
          <w:t> </w:t>
        </w:r>
        <w:r>
          <w:rPr/>
          <w:t>p.</w:t>
        </w:r>
        <w:r>
          <w:rPr>
            <w:spacing w:val="-6"/>
          </w:rPr>
          <w:t> </w:t>
        </w:r>
        <w:r>
          <w:rPr>
            <w:spacing w:val="-5"/>
          </w:rPr>
          <w:t>26</w:t>
        </w:r>
      </w:hyperlink>
      <w:r>
        <w:rPr>
          <w:spacing w:val="-5"/>
        </w:rPr>
        <w:t>)</w:t>
      </w:r>
    </w:p>
    <w:p>
      <w:pPr>
        <w:pStyle w:val="BodyText"/>
        <w:spacing w:line="276" w:lineRule="auto" w:before="35"/>
        <w:ind w:right="1909" w:firstLine="720"/>
      </w:pPr>
      <w:r>
        <w:rPr/>
        <w:t>When holons connect in a system they necessarily create structures that are more advanced, this is how the actual wholeness can be achieved. Heterarchy would acquire a significant value, if we leave the domain of radical</w:t>
      </w:r>
      <w:r>
        <w:rPr>
          <w:spacing w:val="-6"/>
        </w:rPr>
        <w:t> </w:t>
      </w:r>
      <w:r>
        <w:rPr/>
        <w:t>holism. Holons</w:t>
      </w:r>
      <w:r>
        <w:rPr>
          <w:spacing w:val="-5"/>
        </w:rPr>
        <w:t> </w:t>
      </w:r>
      <w:r>
        <w:rPr/>
        <w:t>can</w:t>
      </w:r>
      <w:r>
        <w:rPr>
          <w:spacing w:val="-2"/>
        </w:rPr>
        <w:t> </w:t>
      </w:r>
      <w:r>
        <w:rPr/>
        <w:t>be</w:t>
      </w:r>
      <w:r>
        <w:rPr>
          <w:spacing w:val="-3"/>
        </w:rPr>
        <w:t> </w:t>
      </w:r>
      <w:r>
        <w:rPr/>
        <w:t>horizontally organized</w:t>
      </w:r>
      <w:r>
        <w:rPr>
          <w:spacing w:val="-1"/>
        </w:rPr>
        <w:t> </w:t>
      </w:r>
      <w:r>
        <w:rPr/>
        <w:t>but</w:t>
      </w:r>
      <w:r>
        <w:rPr>
          <w:spacing w:val="-3"/>
        </w:rPr>
        <w:t> </w:t>
      </w:r>
      <w:r>
        <w:rPr/>
        <w:t>only</w:t>
      </w:r>
      <w:r>
        <w:rPr>
          <w:spacing w:val="-3"/>
        </w:rPr>
        <w:t> </w:t>
      </w:r>
      <w:r>
        <w:rPr/>
        <w:t>in separation. “Systems theorists tend to say: within each level, heterarchy; between each level, hierarchy.” (</w:t>
      </w:r>
      <w:hyperlink w:history="true" w:anchor="_bookmark437">
        <w:r>
          <w:rPr/>
          <w:t>Wilber, 2000, p. 28</w:t>
        </w:r>
      </w:hyperlink>
      <w:r>
        <w:rPr/>
        <w:t>)</w:t>
      </w:r>
    </w:p>
    <w:p>
      <w:pPr>
        <w:pStyle w:val="BodyText"/>
        <w:spacing w:after="0" w:line="276" w:lineRule="auto"/>
        <w:sectPr>
          <w:pgSz w:w="12240" w:h="15840"/>
          <w:pgMar w:header="1046" w:footer="0" w:top="1360" w:bottom="280" w:left="720" w:right="360"/>
        </w:sectPr>
      </w:pPr>
    </w:p>
    <w:p>
      <w:pPr>
        <w:pStyle w:val="Heading4"/>
        <w:numPr>
          <w:ilvl w:val="1"/>
          <w:numId w:val="3"/>
        </w:numPr>
        <w:tabs>
          <w:tab w:pos="1581" w:val="left" w:leader="none"/>
        </w:tabs>
        <w:spacing w:line="240" w:lineRule="auto" w:before="288" w:after="0"/>
        <w:ind w:left="1581" w:right="0" w:hanging="602"/>
        <w:jc w:val="left"/>
      </w:pPr>
      <w:bookmarkStart w:name="_bookmark10" w:id="11"/>
      <w:bookmarkEnd w:id="11"/>
      <w:r>
        <w:rPr>
          <w:b w:val="0"/>
        </w:rPr>
      </w:r>
      <w:r>
        <w:rPr>
          <w:spacing w:val="-2"/>
        </w:rPr>
        <w:t>Autopoiesis</w:t>
      </w:r>
    </w:p>
    <w:p>
      <w:pPr>
        <w:pStyle w:val="BodyText"/>
        <w:spacing w:before="52"/>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03712">
                <wp:simplePos x="0" y="0"/>
                <wp:positionH relativeFrom="page">
                  <wp:posOffset>1078864</wp:posOffset>
                </wp:positionH>
                <wp:positionV relativeFrom="paragraph">
                  <wp:posOffset>192884</wp:posOffset>
                </wp:positionV>
                <wp:extent cx="5252085" cy="52069"/>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5.187735pt;width:413.55pt;height:4.1pt;mso-position-horizontal-relative:page;mso-position-vertical-relative:paragraph;z-index:-15712768;mso-wrap-distance-left:0;mso-wrap-distance-right:0" id="docshape35" filled="true" fillcolor="#000000" stroked="false">
                <v:fill type="solid"/>
                <w10:wrap type="topAndBottom"/>
              </v:rect>
            </w:pict>
          </mc:Fallback>
        </mc:AlternateContent>
      </w:r>
    </w:p>
    <w:p>
      <w:pPr>
        <w:pStyle w:val="BodyText"/>
        <w:spacing w:before="103"/>
        <w:jc w:val="left"/>
      </w:pPr>
      <w:r>
        <w:rPr/>
        <w:t>Humberto</w:t>
      </w:r>
      <w:r>
        <w:rPr>
          <w:spacing w:val="-14"/>
        </w:rPr>
        <w:t> </w:t>
      </w:r>
      <w:r>
        <w:rPr/>
        <w:t>Maturana,</w:t>
      </w:r>
      <w:r>
        <w:rPr>
          <w:spacing w:val="-9"/>
        </w:rPr>
        <w:t> </w:t>
      </w:r>
      <w:r>
        <w:rPr/>
        <w:t>Fransisco</w:t>
      </w:r>
      <w:r>
        <w:rPr>
          <w:spacing w:val="-13"/>
        </w:rPr>
        <w:t> </w:t>
      </w:r>
      <w:r>
        <w:rPr/>
        <w:t>Varela,</w:t>
      </w:r>
      <w:r>
        <w:rPr>
          <w:spacing w:val="-9"/>
        </w:rPr>
        <w:t> </w:t>
      </w:r>
      <w:r>
        <w:rPr/>
        <w:t>Niclas</w:t>
      </w:r>
      <w:r>
        <w:rPr>
          <w:spacing w:val="-12"/>
        </w:rPr>
        <w:t> </w:t>
      </w:r>
      <w:r>
        <w:rPr>
          <w:spacing w:val="-2"/>
        </w:rPr>
        <w:t>Luhmann</w:t>
      </w:r>
    </w:p>
    <w:p>
      <w:pPr>
        <w:pStyle w:val="BodyText"/>
        <w:ind w:left="0"/>
        <w:jc w:val="left"/>
      </w:pPr>
    </w:p>
    <w:p>
      <w:pPr>
        <w:pStyle w:val="BodyText"/>
        <w:ind w:left="0"/>
        <w:jc w:val="left"/>
      </w:pPr>
    </w:p>
    <w:p>
      <w:pPr>
        <w:pStyle w:val="BodyText"/>
        <w:spacing w:before="195"/>
        <w:ind w:left="0"/>
        <w:jc w:val="left"/>
      </w:pPr>
    </w:p>
    <w:p>
      <w:pPr>
        <w:pStyle w:val="BodyText"/>
        <w:spacing w:line="268" w:lineRule="auto"/>
        <w:ind w:right="1908" w:firstLine="720"/>
      </w:pPr>
      <w:r>
        <w:rPr/>
        <w:t>The term </w:t>
      </w:r>
      <w:r>
        <w:rPr>
          <w:sz w:val="27"/>
        </w:rPr>
        <w:t>Autopoesis </w:t>
      </w:r>
      <w:r>
        <w:rPr/>
        <w:t>was coined by Chilean biologists </w:t>
      </w:r>
      <w:r>
        <w:rPr>
          <w:sz w:val="27"/>
        </w:rPr>
        <w:t>Humberto Maturana</w:t>
      </w:r>
      <w:r>
        <w:rPr>
          <w:spacing w:val="-17"/>
          <w:sz w:val="27"/>
        </w:rPr>
        <w:t> </w:t>
      </w:r>
      <w:r>
        <w:rPr/>
        <w:t>and</w:t>
      </w:r>
      <w:r>
        <w:rPr>
          <w:spacing w:val="-12"/>
        </w:rPr>
        <w:t> </w:t>
      </w:r>
      <w:r>
        <w:rPr>
          <w:sz w:val="27"/>
        </w:rPr>
        <w:t>Francisco</w:t>
      </w:r>
      <w:r>
        <w:rPr>
          <w:spacing w:val="-17"/>
          <w:sz w:val="27"/>
        </w:rPr>
        <w:t> </w:t>
      </w:r>
      <w:r>
        <w:rPr>
          <w:sz w:val="27"/>
        </w:rPr>
        <w:t>Varela</w:t>
      </w:r>
      <w:r>
        <w:rPr>
          <w:spacing w:val="-14"/>
          <w:sz w:val="27"/>
        </w:rPr>
        <w:t> </w:t>
      </w:r>
      <w:r>
        <w:rPr/>
        <w:t>in</w:t>
      </w:r>
      <w:r>
        <w:rPr>
          <w:spacing w:val="-13"/>
        </w:rPr>
        <w:t> </w:t>
      </w:r>
      <w:r>
        <w:rPr/>
        <w:t>the</w:t>
      </w:r>
      <w:r>
        <w:rPr>
          <w:spacing w:val="-14"/>
        </w:rPr>
        <w:t> </w:t>
      </w:r>
      <w:r>
        <w:rPr/>
        <w:t>work</w:t>
      </w:r>
      <w:r>
        <w:rPr>
          <w:spacing w:val="-13"/>
        </w:rPr>
        <w:t> </w:t>
      </w:r>
      <w:r>
        <w:rPr/>
        <w:t>“Autopoiesis</w:t>
      </w:r>
      <w:r>
        <w:rPr>
          <w:spacing w:val="-16"/>
        </w:rPr>
        <w:t> </w:t>
      </w:r>
      <w:r>
        <w:rPr/>
        <w:t>and</w:t>
      </w:r>
      <w:r>
        <w:rPr>
          <w:spacing w:val="-12"/>
        </w:rPr>
        <w:t> </w:t>
      </w:r>
      <w:r>
        <w:rPr/>
        <w:t>Cognition:</w:t>
      </w:r>
      <w:r>
        <w:rPr>
          <w:spacing w:val="-13"/>
        </w:rPr>
        <w:t> </w:t>
      </w:r>
      <w:r>
        <w:rPr/>
        <w:t>the Realization of the Living.”</w:t>
      </w:r>
      <w:r>
        <w:rPr>
          <w:position w:val="7"/>
          <w:sz w:val="15"/>
        </w:rPr>
        <w:t>7</w:t>
      </w:r>
      <w:r>
        <w:rPr>
          <w:spacing w:val="40"/>
          <w:position w:val="7"/>
          <w:sz w:val="15"/>
        </w:rPr>
        <w:t> </w:t>
      </w:r>
      <w:r>
        <w:rPr/>
        <w:t>The word autopoiesis as </w:t>
      </w:r>
      <w:r>
        <w:rPr>
          <w:sz w:val="27"/>
        </w:rPr>
        <w:t>Maturana </w:t>
      </w:r>
      <w:r>
        <w:rPr/>
        <w:t>remembers, had come to his mind while having a conversation with his friend about </w:t>
      </w:r>
      <w:r>
        <w:rPr>
          <w:sz w:val="27"/>
        </w:rPr>
        <w:t>Don Quixote’s </w:t>
      </w:r>
      <w:r>
        <w:rPr/>
        <w:t>dilemma, “whether to follow the path of arms (</w:t>
      </w:r>
      <w:r>
        <w:rPr>
          <w:sz w:val="27"/>
        </w:rPr>
        <w:t>praxis</w:t>
      </w:r>
      <w:r>
        <w:rPr/>
        <w:t>, action) or the path of letters (</w:t>
      </w:r>
      <w:r>
        <w:rPr>
          <w:sz w:val="27"/>
        </w:rPr>
        <w:t>poesis</w:t>
      </w:r>
      <w:r>
        <w:rPr/>
        <w:t>, creation, production). </w:t>
      </w:r>
      <w:r>
        <w:rPr>
          <w:sz w:val="27"/>
        </w:rPr>
        <w:t>Don Quixote </w:t>
      </w:r>
      <w:r>
        <w:rPr/>
        <w:t>went on with praxis, but </w:t>
      </w:r>
      <w:r>
        <w:rPr>
          <w:sz w:val="27"/>
        </w:rPr>
        <w:t>Maturana </w:t>
      </w:r>
      <w:r>
        <w:rPr/>
        <w:t>realized that the concept of </w:t>
      </w:r>
      <w:r>
        <w:rPr>
          <w:sz w:val="27"/>
        </w:rPr>
        <w:t>poesis </w:t>
      </w:r>
      <w:r>
        <w:rPr/>
        <w:t>in combination with auto was good to describe the autonomy of the living systems.” (</w:t>
      </w:r>
      <w:hyperlink w:history="true" w:anchor="_bookmark284">
        <w:r>
          <w:rPr/>
          <w:t>Maturana &amp; Varela, 1980, p. XVii</w:t>
        </w:r>
      </w:hyperlink>
      <w:r>
        <w:rPr/>
        <w:t>)</w:t>
      </w:r>
    </w:p>
    <w:p>
      <w:pPr>
        <w:pStyle w:val="BodyText"/>
        <w:spacing w:line="273" w:lineRule="auto" w:before="14"/>
        <w:ind w:right="1907" w:firstLine="720"/>
      </w:pPr>
      <w:r>
        <w:rPr/>
        <w:t>With the work “Autopoiesis and cognition: The realization of the living” (</w:t>
      </w:r>
      <w:hyperlink w:history="true" w:anchor="_bookmark284">
        <w:r>
          <w:rPr/>
          <w:t>1980</w:t>
        </w:r>
      </w:hyperlink>
      <w:r>
        <w:rPr/>
        <w:t>) </w:t>
      </w:r>
      <w:r>
        <w:rPr>
          <w:sz w:val="27"/>
        </w:rPr>
        <w:t>Maturana </w:t>
      </w:r>
      <w:r>
        <w:rPr/>
        <w:t>and </w:t>
      </w:r>
      <w:r>
        <w:rPr>
          <w:sz w:val="27"/>
        </w:rPr>
        <w:t>Varela </w:t>
      </w:r>
      <w:r>
        <w:rPr/>
        <w:t>tried to answer the question: what is life? They argue that life is nothing but cognition enacted via autopoietic operations of the organism.</w:t>
      </w:r>
      <w:r>
        <w:rPr>
          <w:spacing w:val="40"/>
        </w:rPr>
        <w:t> </w:t>
      </w:r>
      <w:r>
        <w:rPr/>
        <w:t>System is autopoietic if: (a) It has a semi- permeable</w:t>
      </w:r>
      <w:r>
        <w:rPr>
          <w:spacing w:val="-3"/>
        </w:rPr>
        <w:t> </w:t>
      </w:r>
      <w:r>
        <w:rPr/>
        <w:t>boundary, (b)</w:t>
      </w:r>
      <w:r>
        <w:rPr>
          <w:spacing w:val="-7"/>
        </w:rPr>
        <w:t> </w:t>
      </w:r>
      <w:r>
        <w:rPr/>
        <w:t>The</w:t>
      </w:r>
      <w:r>
        <w:rPr>
          <w:spacing w:val="-3"/>
        </w:rPr>
        <w:t> </w:t>
      </w:r>
      <w:r>
        <w:rPr/>
        <w:t>boundary</w:t>
      </w:r>
      <w:r>
        <w:rPr>
          <w:spacing w:val="-8"/>
        </w:rPr>
        <w:t> </w:t>
      </w:r>
      <w:r>
        <w:rPr/>
        <w:t>is</w:t>
      </w:r>
      <w:r>
        <w:rPr>
          <w:spacing w:val="-5"/>
        </w:rPr>
        <w:t> </w:t>
      </w:r>
      <w:r>
        <w:rPr/>
        <w:t>produced</w:t>
      </w:r>
      <w:r>
        <w:rPr>
          <w:spacing w:val="-1"/>
        </w:rPr>
        <w:t> </w:t>
      </w:r>
      <w:r>
        <w:rPr/>
        <w:t>from</w:t>
      </w:r>
      <w:r>
        <w:rPr>
          <w:spacing w:val="-5"/>
        </w:rPr>
        <w:t> </w:t>
      </w:r>
      <w:r>
        <w:rPr/>
        <w:t>within</w:t>
      </w:r>
      <w:r>
        <w:rPr>
          <w:spacing w:val="-2"/>
        </w:rPr>
        <w:t> </w:t>
      </w:r>
      <w:r>
        <w:rPr/>
        <w:t>the</w:t>
      </w:r>
      <w:r>
        <w:rPr>
          <w:spacing w:val="-3"/>
        </w:rPr>
        <w:t> </w:t>
      </w:r>
      <w:r>
        <w:rPr/>
        <w:t>system, and(c) It encompasses reactions that regenerate the components of the system.</w:t>
      </w:r>
      <w:r>
        <w:rPr>
          <w:spacing w:val="80"/>
          <w:w w:val="150"/>
        </w:rPr>
        <w:t> </w:t>
      </w:r>
      <w:r>
        <w:rPr/>
        <w:t>(</w:t>
      </w:r>
      <w:hyperlink w:history="true" w:anchor="_bookmark112">
        <w:r>
          <w:rPr/>
          <w:t>Bourgine &amp; Stewart, 2004, p. 329</w:t>
        </w:r>
      </w:hyperlink>
      <w:r>
        <w:rPr/>
        <w:t>)</w:t>
      </w:r>
    </w:p>
    <w:p>
      <w:pPr>
        <w:pStyle w:val="BodyText"/>
        <w:spacing w:line="273" w:lineRule="auto" w:before="3"/>
        <w:ind w:right="1906" w:firstLine="720"/>
      </w:pPr>
      <w:r>
        <w:rPr/>
        <w:t>For </w:t>
      </w:r>
      <w:r>
        <w:rPr>
          <w:sz w:val="27"/>
        </w:rPr>
        <w:t>Maturana </w:t>
      </w:r>
      <w:r>
        <w:rPr/>
        <w:t>the organism is a factory, which consists of networks of molecular productions, the environment does not take part in the production process, but it does provide the system with molecular flow</w:t>
      </w:r>
      <w:r>
        <w:rPr>
          <w:spacing w:val="40"/>
        </w:rPr>
        <w:t> </w:t>
      </w:r>
      <w:r>
        <w:rPr/>
        <w:t>from</w:t>
      </w:r>
      <w:r>
        <w:rPr>
          <w:spacing w:val="-2"/>
        </w:rPr>
        <w:t> </w:t>
      </w:r>
      <w:r>
        <w:rPr/>
        <w:t>the outside. Once the external</w:t>
      </w:r>
      <w:r>
        <w:rPr>
          <w:spacing w:val="-2"/>
        </w:rPr>
        <w:t> </w:t>
      </w:r>
      <w:r>
        <w:rPr/>
        <w:t>molecules</w:t>
      </w:r>
      <w:r>
        <w:rPr>
          <w:spacing w:val="-2"/>
        </w:rPr>
        <w:t> </w:t>
      </w:r>
      <w:r>
        <w:rPr/>
        <w:t>get into</w:t>
      </w:r>
      <w:r>
        <w:rPr>
          <w:spacing w:val="-3"/>
        </w:rPr>
        <w:t> </w:t>
      </w:r>
      <w:r>
        <w:rPr/>
        <w:t>the system, their full integration</w:t>
      </w:r>
      <w:r>
        <w:rPr>
          <w:spacing w:val="-4"/>
        </w:rPr>
        <w:t> </w:t>
      </w:r>
      <w:r>
        <w:rPr/>
        <w:t>happens. (</w:t>
      </w:r>
      <w:hyperlink w:history="true" w:anchor="_bookmark283">
        <w:r>
          <w:rPr/>
          <w:t>Maturana,</w:t>
        </w:r>
        <w:r>
          <w:rPr>
            <w:spacing w:val="-4"/>
          </w:rPr>
          <w:t> </w:t>
        </w:r>
        <w:r>
          <w:rPr/>
          <w:t>2002,</w:t>
        </w:r>
        <w:r>
          <w:rPr>
            <w:spacing w:val="-4"/>
          </w:rPr>
          <w:t> </w:t>
        </w:r>
        <w:r>
          <w:rPr/>
          <w:t>p.</w:t>
        </w:r>
        <w:r>
          <w:rPr>
            <w:spacing w:val="-4"/>
          </w:rPr>
          <w:t> </w:t>
        </w:r>
        <w:r>
          <w:rPr/>
          <w:t>7</w:t>
        </w:r>
      </w:hyperlink>
      <w:r>
        <w:rPr/>
        <w:t>)</w:t>
      </w:r>
      <w:r>
        <w:rPr>
          <w:spacing w:val="-8"/>
        </w:rPr>
        <w:t> </w:t>
      </w:r>
      <w:r>
        <w:rPr>
          <w:sz w:val="27"/>
        </w:rPr>
        <w:t>Maturana</w:t>
      </w:r>
      <w:r>
        <w:rPr>
          <w:spacing w:val="-6"/>
          <w:sz w:val="27"/>
        </w:rPr>
        <w:t> </w:t>
      </w:r>
      <w:r>
        <w:rPr/>
        <w:t>and</w:t>
      </w:r>
      <w:r>
        <w:rPr>
          <w:spacing w:val="-3"/>
        </w:rPr>
        <w:t> </w:t>
      </w:r>
      <w:r>
        <w:rPr>
          <w:sz w:val="27"/>
        </w:rPr>
        <w:t>Varela</w:t>
      </w:r>
      <w:r>
        <w:rPr>
          <w:spacing w:val="-7"/>
          <w:sz w:val="27"/>
        </w:rPr>
        <w:t> </w:t>
      </w:r>
      <w:r>
        <w:rPr/>
        <w:t>talk</w:t>
      </w:r>
      <w:r>
        <w:rPr>
          <w:spacing w:val="-4"/>
        </w:rPr>
        <w:t> </w:t>
      </w:r>
      <w:r>
        <w:rPr/>
        <w:t>about machines to describe the process of self-organization:</w:t>
      </w:r>
    </w:p>
    <w:p>
      <w:pPr>
        <w:pStyle w:val="BodyText"/>
        <w:spacing w:before="52"/>
        <w:ind w:left="0"/>
        <w:jc w:val="left"/>
      </w:pPr>
    </w:p>
    <w:p>
      <w:pPr>
        <w:pStyle w:val="BodyText"/>
        <w:spacing w:line="276" w:lineRule="auto"/>
        <w:ind w:left="2420" w:right="1909"/>
        <w:jc w:val="left"/>
      </w:pPr>
      <w:r>
        <w:rPr/>
        <mc:AlternateContent>
          <mc:Choice Requires="wps">
            <w:drawing>
              <wp:anchor distT="0" distB="0" distL="0" distR="0" allowOverlap="1" layoutInCell="1" locked="0" behindDoc="0" simplePos="0" relativeHeight="15745536">
                <wp:simplePos x="0" y="0"/>
                <wp:positionH relativeFrom="page">
                  <wp:posOffset>1923923</wp:posOffset>
                </wp:positionH>
                <wp:positionV relativeFrom="paragraph">
                  <wp:posOffset>-1188</wp:posOffset>
                </wp:positionV>
                <wp:extent cx="1270" cy="500380"/>
                <wp:effectExtent l="0" t="0" r="0" b="0"/>
                <wp:wrapNone/>
                <wp:docPr id="38" name="Graphic 38"/>
                <wp:cNvGraphicFramePr>
                  <a:graphicFrameLocks/>
                </wp:cNvGraphicFramePr>
                <a:graphic>
                  <a:graphicData uri="http://schemas.microsoft.com/office/word/2010/wordprocessingShape">
                    <wps:wsp>
                      <wps:cNvPr id="38" name="Graphic 38"/>
                      <wps:cNvSpPr/>
                      <wps:spPr>
                        <a:xfrm>
                          <a:off x="0" y="0"/>
                          <a:ext cx="1270" cy="500380"/>
                        </a:xfrm>
                        <a:custGeom>
                          <a:avLst/>
                          <a:gdLst/>
                          <a:ahLst/>
                          <a:cxnLst/>
                          <a:rect l="l" t="t" r="r" b="b"/>
                          <a:pathLst>
                            <a:path w="0" h="500380">
                              <a:moveTo>
                                <a:pt x="0" y="0"/>
                              </a:moveTo>
                              <a:lnTo>
                                <a:pt x="0" y="249936"/>
                              </a:lnTo>
                            </a:path>
                            <a:path w="0" h="500380">
                              <a:moveTo>
                                <a:pt x="0" y="249936"/>
                              </a:moveTo>
                              <a:lnTo>
                                <a:pt x="0" y="499897"/>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9356pt;width:.1pt;height:39.4pt;mso-position-horizontal-relative:page;mso-position-vertical-relative:paragraph;z-index:15745536" id="docshape36" coordorigin="3030,-2" coordsize="0,788" path="m3030,-2l3030,392m3030,392l3030,785e" filled="false" stroked="true" strokeweight=".48pt" strokecolor="#000000">
                <v:path arrowok="t"/>
                <v:stroke dashstyle="shortdash"/>
                <w10:wrap type="none"/>
              </v:shape>
            </w:pict>
          </mc:Fallback>
        </mc:AlternateContent>
      </w:r>
      <w:r>
        <w:rPr/>
        <w:t>“An autopoietic machine continuously generates and specifies its</w:t>
      </w:r>
      <w:r>
        <w:rPr>
          <w:spacing w:val="69"/>
        </w:rPr>
        <w:t> </w:t>
      </w:r>
      <w:r>
        <w:rPr/>
        <w:t>own</w:t>
      </w:r>
      <w:r>
        <w:rPr>
          <w:spacing w:val="73"/>
        </w:rPr>
        <w:t> </w:t>
      </w:r>
      <w:r>
        <w:rPr/>
        <w:t>organization</w:t>
      </w:r>
      <w:r>
        <w:rPr>
          <w:spacing w:val="73"/>
        </w:rPr>
        <w:t> </w:t>
      </w:r>
      <w:r>
        <w:rPr/>
        <w:t>through</w:t>
      </w:r>
      <w:r>
        <w:rPr>
          <w:spacing w:val="71"/>
        </w:rPr>
        <w:t> </w:t>
      </w:r>
      <w:r>
        <w:rPr/>
        <w:t>its</w:t>
      </w:r>
      <w:r>
        <w:rPr>
          <w:spacing w:val="70"/>
        </w:rPr>
        <w:t> </w:t>
      </w:r>
      <w:r>
        <w:rPr/>
        <w:t>operation</w:t>
      </w:r>
      <w:r>
        <w:rPr>
          <w:spacing w:val="73"/>
        </w:rPr>
        <w:t> </w:t>
      </w:r>
      <w:r>
        <w:rPr/>
        <w:t>as</w:t>
      </w:r>
      <w:r>
        <w:rPr>
          <w:spacing w:val="70"/>
        </w:rPr>
        <w:t> </w:t>
      </w:r>
      <w:r>
        <w:rPr/>
        <w:t>a</w:t>
      </w:r>
      <w:r>
        <w:rPr>
          <w:spacing w:val="71"/>
        </w:rPr>
        <w:t> </w:t>
      </w:r>
      <w:r>
        <w:rPr/>
        <w:t>system</w:t>
      </w:r>
      <w:r>
        <w:rPr>
          <w:spacing w:val="70"/>
        </w:rPr>
        <w:t> </w:t>
      </w:r>
      <w:r>
        <w:rPr>
          <w:spacing w:val="-5"/>
        </w:rPr>
        <w:t>of</w:t>
      </w:r>
    </w:p>
    <w:p>
      <w:pPr>
        <w:pStyle w:val="BodyText"/>
        <w:ind w:left="0"/>
        <w:jc w:val="left"/>
        <w:rPr>
          <w:sz w:val="6"/>
        </w:rPr>
      </w:pPr>
      <w:r>
        <w:rPr>
          <w:sz w:val="6"/>
        </w:rPr>
        <mc:AlternateContent>
          <mc:Choice Requires="wps">
            <w:drawing>
              <wp:anchor distT="0" distB="0" distL="0" distR="0" allowOverlap="1" layoutInCell="1" locked="0" behindDoc="1" simplePos="0" relativeHeight="487604224">
                <wp:simplePos x="0" y="0"/>
                <wp:positionH relativeFrom="page">
                  <wp:posOffset>1079296</wp:posOffset>
                </wp:positionH>
                <wp:positionV relativeFrom="paragraph">
                  <wp:posOffset>65700</wp:posOffset>
                </wp:positionV>
                <wp:extent cx="1830070" cy="9525"/>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5.173264pt;width:144.07pt;height:.72003pt;mso-position-horizontal-relative:page;mso-position-vertical-relative:paragraph;z-index:-15712256;mso-wrap-distance-left:0;mso-wrap-distance-right:0" id="docshape37" filled="true" fillcolor="#000000" stroked="false">
                <v:fill type="solid"/>
                <w10:wrap type="topAndBottom"/>
              </v:rect>
            </w:pict>
          </mc:Fallback>
        </mc:AlternateContent>
      </w:r>
    </w:p>
    <w:p>
      <w:pPr>
        <w:spacing w:before="103"/>
        <w:ind w:left="979" w:right="0" w:firstLine="0"/>
        <w:jc w:val="left"/>
        <w:rPr>
          <w:rFonts w:ascii="Calibri"/>
          <w:sz w:val="20"/>
        </w:rPr>
      </w:pPr>
      <w:r>
        <w:rPr>
          <w:rFonts w:ascii="Calibri"/>
          <w:sz w:val="20"/>
          <w:vertAlign w:val="superscript"/>
        </w:rPr>
        <w:t>7</w:t>
      </w:r>
      <w:r>
        <w:rPr>
          <w:rFonts w:ascii="Calibri"/>
          <w:spacing w:val="-2"/>
          <w:sz w:val="20"/>
          <w:vertAlign w:val="baseline"/>
        </w:rPr>
        <w:t> </w:t>
      </w:r>
      <w:r>
        <w:rPr>
          <w:rFonts w:ascii="Calibri"/>
          <w:sz w:val="20"/>
          <w:vertAlign w:val="baseline"/>
        </w:rPr>
        <w:t>First</w:t>
      </w:r>
      <w:r>
        <w:rPr>
          <w:rFonts w:ascii="Calibri"/>
          <w:spacing w:val="-8"/>
          <w:sz w:val="20"/>
          <w:vertAlign w:val="baseline"/>
        </w:rPr>
        <w:t> </w:t>
      </w:r>
      <w:r>
        <w:rPr>
          <w:rFonts w:ascii="Calibri"/>
          <w:sz w:val="20"/>
          <w:vertAlign w:val="baseline"/>
        </w:rPr>
        <w:t>edition</w:t>
      </w:r>
      <w:r>
        <w:rPr>
          <w:rFonts w:ascii="Calibri"/>
          <w:spacing w:val="-7"/>
          <w:sz w:val="20"/>
          <w:vertAlign w:val="baseline"/>
        </w:rPr>
        <w:t> </w:t>
      </w:r>
      <w:r>
        <w:rPr>
          <w:rFonts w:ascii="Calibri"/>
          <w:sz w:val="20"/>
          <w:vertAlign w:val="baseline"/>
        </w:rPr>
        <w:t>published</w:t>
      </w:r>
      <w:r>
        <w:rPr>
          <w:rFonts w:ascii="Calibri"/>
          <w:spacing w:val="-8"/>
          <w:sz w:val="20"/>
          <w:vertAlign w:val="baseline"/>
        </w:rPr>
        <w:t> </w:t>
      </w:r>
      <w:r>
        <w:rPr>
          <w:rFonts w:ascii="Calibri"/>
          <w:sz w:val="20"/>
          <w:vertAlign w:val="baseline"/>
        </w:rPr>
        <w:t>in</w:t>
      </w:r>
      <w:r>
        <w:rPr>
          <w:rFonts w:ascii="Calibri"/>
          <w:spacing w:val="-8"/>
          <w:sz w:val="20"/>
          <w:vertAlign w:val="baseline"/>
        </w:rPr>
        <w:t> </w:t>
      </w:r>
      <w:r>
        <w:rPr>
          <w:rFonts w:ascii="Calibri"/>
          <w:sz w:val="20"/>
          <w:vertAlign w:val="baseline"/>
        </w:rPr>
        <w:t>1973,</w:t>
      </w:r>
      <w:r>
        <w:rPr>
          <w:rFonts w:ascii="Calibri"/>
          <w:spacing w:val="-5"/>
          <w:sz w:val="20"/>
          <w:vertAlign w:val="baseline"/>
        </w:rPr>
        <w:t> </w:t>
      </w:r>
      <w:r>
        <w:rPr>
          <w:rFonts w:ascii="Calibri"/>
          <w:sz w:val="20"/>
          <w:vertAlign w:val="baseline"/>
        </w:rPr>
        <w:t>second,</w:t>
      </w:r>
      <w:r>
        <w:rPr>
          <w:rFonts w:ascii="Calibri"/>
          <w:spacing w:val="-6"/>
          <w:sz w:val="20"/>
          <w:vertAlign w:val="baseline"/>
        </w:rPr>
        <w:t> </w:t>
      </w:r>
      <w:r>
        <w:rPr>
          <w:rFonts w:ascii="Calibri"/>
          <w:sz w:val="20"/>
          <w:vertAlign w:val="baseline"/>
        </w:rPr>
        <w:t>1980.</w:t>
      </w:r>
      <w:r>
        <w:rPr>
          <w:rFonts w:ascii="Calibri"/>
          <w:spacing w:val="-6"/>
          <w:sz w:val="20"/>
          <w:vertAlign w:val="baseline"/>
        </w:rPr>
        <w:t> </w:t>
      </w:r>
      <w:r>
        <w:rPr>
          <w:rFonts w:ascii="Calibri"/>
          <w:sz w:val="20"/>
          <w:vertAlign w:val="baseline"/>
        </w:rPr>
        <w:t>In</w:t>
      </w:r>
      <w:r>
        <w:rPr>
          <w:rFonts w:ascii="Calibri"/>
          <w:spacing w:val="-3"/>
          <w:sz w:val="20"/>
          <w:vertAlign w:val="baseline"/>
        </w:rPr>
        <w:t> </w:t>
      </w:r>
      <w:r>
        <w:rPr>
          <w:rFonts w:ascii="Calibri"/>
          <w:sz w:val="20"/>
          <w:vertAlign w:val="baseline"/>
        </w:rPr>
        <w:t>this</w:t>
      </w:r>
      <w:r>
        <w:rPr>
          <w:rFonts w:ascii="Calibri"/>
          <w:spacing w:val="-5"/>
          <w:sz w:val="20"/>
          <w:vertAlign w:val="baseline"/>
        </w:rPr>
        <w:t> </w:t>
      </w:r>
      <w:r>
        <w:rPr>
          <w:rFonts w:ascii="Calibri"/>
          <w:sz w:val="20"/>
          <w:vertAlign w:val="baseline"/>
        </w:rPr>
        <w:t>work</w:t>
      </w:r>
      <w:r>
        <w:rPr>
          <w:rFonts w:ascii="Calibri"/>
          <w:spacing w:val="-8"/>
          <w:sz w:val="20"/>
          <w:vertAlign w:val="baseline"/>
        </w:rPr>
        <w:t> </w:t>
      </w:r>
      <w:r>
        <w:rPr>
          <w:rFonts w:ascii="Calibri"/>
          <w:sz w:val="20"/>
          <w:vertAlign w:val="baseline"/>
        </w:rPr>
        <w:t>we</w:t>
      </w:r>
      <w:r>
        <w:rPr>
          <w:rFonts w:ascii="Calibri"/>
          <w:spacing w:val="-2"/>
          <w:sz w:val="20"/>
          <w:vertAlign w:val="baseline"/>
        </w:rPr>
        <w:t> </w:t>
      </w:r>
      <w:r>
        <w:rPr>
          <w:rFonts w:ascii="Calibri"/>
          <w:sz w:val="20"/>
          <w:vertAlign w:val="baseline"/>
        </w:rPr>
        <w:t>will</w:t>
      </w:r>
      <w:r>
        <w:rPr>
          <w:rFonts w:ascii="Calibri"/>
          <w:spacing w:val="-6"/>
          <w:sz w:val="20"/>
          <w:vertAlign w:val="baseline"/>
        </w:rPr>
        <w:t> </w:t>
      </w:r>
      <w:r>
        <w:rPr>
          <w:rFonts w:ascii="Calibri"/>
          <w:sz w:val="20"/>
          <w:vertAlign w:val="baseline"/>
        </w:rPr>
        <w:t>refer</w:t>
      </w:r>
      <w:r>
        <w:rPr>
          <w:rFonts w:ascii="Calibri"/>
          <w:spacing w:val="-1"/>
          <w:sz w:val="20"/>
          <w:vertAlign w:val="baseline"/>
        </w:rPr>
        <w:t> </w:t>
      </w:r>
      <w:r>
        <w:rPr>
          <w:rFonts w:ascii="Calibri"/>
          <w:sz w:val="20"/>
          <w:vertAlign w:val="baseline"/>
        </w:rPr>
        <w:t>to</w:t>
      </w:r>
      <w:r>
        <w:rPr>
          <w:rFonts w:ascii="Calibri"/>
          <w:spacing w:val="-9"/>
          <w:sz w:val="20"/>
          <w:vertAlign w:val="baseline"/>
        </w:rPr>
        <w:t> </w:t>
      </w:r>
      <w:r>
        <w:rPr>
          <w:rFonts w:ascii="Calibri"/>
          <w:sz w:val="20"/>
          <w:vertAlign w:val="baseline"/>
        </w:rPr>
        <w:t>second</w:t>
      </w:r>
      <w:r>
        <w:rPr>
          <w:rFonts w:ascii="Calibri"/>
          <w:spacing w:val="-3"/>
          <w:sz w:val="20"/>
          <w:vertAlign w:val="baseline"/>
        </w:rPr>
        <w:t> </w:t>
      </w:r>
      <w:r>
        <w:rPr>
          <w:rFonts w:ascii="Calibri"/>
          <w:spacing w:val="-2"/>
          <w:sz w:val="20"/>
          <w:vertAlign w:val="baseline"/>
        </w:rPr>
        <w:t>edition</w:t>
      </w:r>
    </w:p>
    <w:p>
      <w:pPr>
        <w:spacing w:after="0"/>
        <w:jc w:val="left"/>
        <w:rPr>
          <w:rFonts w:ascii="Calibri"/>
          <w:sz w:val="20"/>
        </w:rPr>
        <w:sectPr>
          <w:pgSz w:w="12240" w:h="15840"/>
          <w:pgMar w:header="1046" w:footer="0" w:top="1360" w:bottom="280" w:left="720" w:right="360"/>
        </w:sectPr>
      </w:pPr>
    </w:p>
    <w:p>
      <w:pPr>
        <w:pStyle w:val="BodyText"/>
        <w:spacing w:line="276" w:lineRule="auto" w:before="276"/>
        <w:ind w:left="2420" w:right="1916"/>
      </w:pPr>
      <w:r>
        <w:rPr/>
        <mc:AlternateContent>
          <mc:Choice Requires="wps">
            <w:drawing>
              <wp:anchor distT="0" distB="0" distL="0" distR="0" allowOverlap="1" layoutInCell="1" locked="0" behindDoc="0" simplePos="0" relativeHeight="15746048">
                <wp:simplePos x="0" y="0"/>
                <wp:positionH relativeFrom="page">
                  <wp:posOffset>1923923</wp:posOffset>
                </wp:positionH>
                <wp:positionV relativeFrom="paragraph">
                  <wp:posOffset>174084</wp:posOffset>
                </wp:positionV>
                <wp:extent cx="1270" cy="750570"/>
                <wp:effectExtent l="0" t="0" r="0" b="0"/>
                <wp:wrapNone/>
                <wp:docPr id="40" name="Graphic 40"/>
                <wp:cNvGraphicFramePr>
                  <a:graphicFrameLocks/>
                </wp:cNvGraphicFramePr>
                <a:graphic>
                  <a:graphicData uri="http://schemas.microsoft.com/office/word/2010/wordprocessingShape">
                    <wps:wsp>
                      <wps:cNvPr id="40" name="Graphic 40"/>
                      <wps:cNvSpPr/>
                      <wps:spPr>
                        <a:xfrm>
                          <a:off x="0" y="0"/>
                          <a:ext cx="1270" cy="750570"/>
                        </a:xfrm>
                        <a:custGeom>
                          <a:avLst/>
                          <a:gdLst/>
                          <a:ahLst/>
                          <a:cxnLst/>
                          <a:rect l="l" t="t" r="r" b="b"/>
                          <a:pathLst>
                            <a:path w="0" h="750570">
                              <a:moveTo>
                                <a:pt x="0" y="0"/>
                              </a:moveTo>
                              <a:lnTo>
                                <a:pt x="0" y="249935"/>
                              </a:lnTo>
                            </a:path>
                            <a:path w="0" h="750570">
                              <a:moveTo>
                                <a:pt x="0" y="249935"/>
                              </a:moveTo>
                              <a:lnTo>
                                <a:pt x="0" y="499872"/>
                              </a:lnTo>
                            </a:path>
                            <a:path w="0" h="750570">
                              <a:moveTo>
                                <a:pt x="0" y="499872"/>
                              </a:moveTo>
                              <a:lnTo>
                                <a:pt x="0" y="750188"/>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13.707422pt;width:.1pt;height:59.1pt;mso-position-horizontal-relative:page;mso-position-vertical-relative:paragraph;z-index:15746048" id="docshape38" coordorigin="3030,274" coordsize="0,1182" path="m3030,274l3030,668m3030,668l3030,1061m3030,1061l3030,1456e" filled="false" stroked="true" strokeweight=".48pt" strokecolor="#000000">
                <v:path arrowok="t"/>
                <v:stroke dashstyle="shortdash"/>
                <w10:wrap type="none"/>
              </v:shape>
            </w:pict>
          </mc:Fallback>
        </mc:AlternateContent>
      </w:r>
      <w:r>
        <w:rPr/>
        <w:t>production its own components, and does this in an endless turnover under conditions of continuous perturbations and compensation of perturbations.”</w:t>
      </w:r>
    </w:p>
    <w:p>
      <w:pPr>
        <w:pStyle w:val="BodyText"/>
        <w:ind w:left="7856"/>
      </w:pPr>
      <w:r>
        <w:rPr/>
        <w:t>(</w:t>
      </w:r>
      <w:hyperlink w:history="true" w:anchor="_bookmark284">
        <w:r>
          <w:rPr/>
          <w:t>1980,</w:t>
        </w:r>
        <w:r>
          <w:rPr>
            <w:spacing w:val="-6"/>
          </w:rPr>
          <w:t> </w:t>
        </w:r>
        <w:r>
          <w:rPr/>
          <w:t>p.</w:t>
        </w:r>
        <w:r>
          <w:rPr>
            <w:spacing w:val="-1"/>
          </w:rPr>
          <w:t> </w:t>
        </w:r>
        <w:r>
          <w:rPr>
            <w:spacing w:val="-5"/>
          </w:rPr>
          <w:t>79</w:t>
        </w:r>
      </w:hyperlink>
      <w:r>
        <w:rPr>
          <w:spacing w:val="-5"/>
        </w:rPr>
        <w:t>)</w:t>
      </w:r>
    </w:p>
    <w:p>
      <w:pPr>
        <w:pStyle w:val="BodyText"/>
        <w:spacing w:line="276" w:lineRule="auto" w:before="41"/>
        <w:ind w:right="1907" w:firstLine="720"/>
      </w:pPr>
      <w:r>
        <w:rPr>
          <w:sz w:val="27"/>
        </w:rPr>
        <w:t>Operational closure </w:t>
      </w:r>
      <w:r>
        <w:rPr/>
        <w:t>is essential for autopoiesis. If the environment participates in processes held within a system, the system then becomes open rather than autopoietic. For example, a man-made car, cannot be an autopoietic machine because its components are not produced through the interaction of own components. They</w:t>
      </w:r>
      <w:r>
        <w:rPr>
          <w:spacing w:val="-1"/>
        </w:rPr>
        <w:t> </w:t>
      </w:r>
      <w:r>
        <w:rPr/>
        <w:t>are</w:t>
      </w:r>
      <w:r>
        <w:rPr>
          <w:spacing w:val="-1"/>
        </w:rPr>
        <w:t> </w:t>
      </w:r>
      <w:r>
        <w:rPr/>
        <w:t>produced independently</w:t>
      </w:r>
      <w:r>
        <w:rPr>
          <w:spacing w:val="-1"/>
        </w:rPr>
        <w:t> </w:t>
      </w:r>
      <w:r>
        <w:rPr/>
        <w:t>from</w:t>
      </w:r>
      <w:r>
        <w:rPr>
          <w:spacing w:val="-3"/>
        </w:rPr>
        <w:t> </w:t>
      </w:r>
      <w:r>
        <w:rPr/>
        <w:t>the system. Assembled car is a “kind of non-autopoietic dynamic system.” (</w:t>
      </w:r>
      <w:hyperlink w:history="true" w:anchor="_bookmark284">
        <w:r>
          <w:rPr/>
          <w:t>Maturana &amp; Varela, 1980, p. 79</w:t>
        </w:r>
      </w:hyperlink>
      <w:r>
        <w:rPr/>
        <w:t>)</w:t>
      </w:r>
    </w:p>
    <w:p>
      <w:pPr>
        <w:pStyle w:val="BodyText"/>
        <w:spacing w:line="273" w:lineRule="auto"/>
        <w:ind w:right="1908" w:firstLine="720"/>
      </w:pPr>
      <w:r>
        <w:rPr/>
        <w:t>Operation of distinction determines the </w:t>
      </w:r>
      <w:r>
        <w:rPr>
          <w:sz w:val="27"/>
        </w:rPr>
        <w:t>unity</w:t>
      </w:r>
      <w:r>
        <w:rPr/>
        <w:t>. It specifies how an entity differs from its </w:t>
      </w:r>
      <w:r>
        <w:rPr>
          <w:sz w:val="27"/>
        </w:rPr>
        <w:t>background </w:t>
      </w:r>
      <w:r>
        <w:rPr/>
        <w:t>and stipulates the separability of those two. A unity has a capability to interact with other unities in given space. (</w:t>
      </w:r>
      <w:hyperlink w:history="true" w:anchor="_bookmark284">
        <w:r>
          <w:rPr/>
          <w:t>Maturana &amp; Varela, 1980, p. XiX</w:t>
        </w:r>
      </w:hyperlink>
      <w:r>
        <w:rPr/>
        <w:t>) Even if the unity is complex, the</w:t>
      </w:r>
      <w:r>
        <w:rPr>
          <w:spacing w:val="40"/>
        </w:rPr>
        <w:t> </w:t>
      </w:r>
      <w:r>
        <w:rPr/>
        <w:t>observer can still treat it like a simple one, which “does not exist in the space of its components, but which exists in a space that it defines through the properties that characterize it as simple unity.” (</w:t>
      </w:r>
      <w:hyperlink w:history="true" w:anchor="_bookmark284">
        <w:r>
          <w:rPr/>
          <w:t>1980, p. XiX</w:t>
        </w:r>
      </w:hyperlink>
      <w:r>
        <w:rPr/>
        <w:t>)</w:t>
      </w:r>
    </w:p>
    <w:p>
      <w:pPr>
        <w:pStyle w:val="BodyText"/>
        <w:spacing w:line="276" w:lineRule="auto"/>
        <w:ind w:right="1912" w:firstLine="720"/>
      </w:pPr>
      <w:r>
        <w:rPr/>
        <w:t>Autopoietic unities are composite organizations (systems). They exist in the space ‘defined by their components.’ Self-defining of the system depends on the character of relations between its components. The components, which participate in system defining process, can only be realized in the context of the system.</w:t>
      </w:r>
    </w:p>
    <w:p>
      <w:pPr>
        <w:pStyle w:val="BodyText"/>
        <w:spacing w:line="273" w:lineRule="auto"/>
        <w:ind w:right="1901" w:firstLine="720"/>
      </w:pPr>
      <w:r>
        <w:rPr>
          <w:sz w:val="27"/>
        </w:rPr>
        <w:t>Maturana</w:t>
      </w:r>
      <w:r>
        <w:rPr>
          <w:spacing w:val="-17"/>
          <w:sz w:val="27"/>
        </w:rPr>
        <w:t> </w:t>
      </w:r>
      <w:r>
        <w:rPr/>
        <w:t>divides</w:t>
      </w:r>
      <w:r>
        <w:rPr>
          <w:spacing w:val="-17"/>
        </w:rPr>
        <w:t> </w:t>
      </w:r>
      <w:r>
        <w:rPr/>
        <w:t>the</w:t>
      </w:r>
      <w:r>
        <w:rPr>
          <w:spacing w:val="-12"/>
        </w:rPr>
        <w:t> </w:t>
      </w:r>
      <w:r>
        <w:rPr/>
        <w:t>system</w:t>
      </w:r>
      <w:r>
        <w:rPr>
          <w:spacing w:val="-15"/>
        </w:rPr>
        <w:t> </w:t>
      </w:r>
      <w:r>
        <w:rPr/>
        <w:t>into</w:t>
      </w:r>
      <w:r>
        <w:rPr>
          <w:spacing w:val="-11"/>
        </w:rPr>
        <w:t> </w:t>
      </w:r>
      <w:r>
        <w:rPr>
          <w:sz w:val="27"/>
        </w:rPr>
        <w:t>structure</w:t>
      </w:r>
      <w:r>
        <w:rPr>
          <w:spacing w:val="-17"/>
          <w:sz w:val="27"/>
        </w:rPr>
        <w:t> </w:t>
      </w:r>
      <w:r>
        <w:rPr/>
        <w:t>and</w:t>
      </w:r>
      <w:r>
        <w:rPr>
          <w:spacing w:val="-14"/>
        </w:rPr>
        <w:t> </w:t>
      </w:r>
      <w:r>
        <w:rPr>
          <w:sz w:val="27"/>
        </w:rPr>
        <w:t>organization</w:t>
      </w:r>
      <w:r>
        <w:rPr/>
        <w:t>.</w:t>
      </w:r>
      <w:r>
        <w:rPr>
          <w:spacing w:val="-15"/>
        </w:rPr>
        <w:t> </w:t>
      </w:r>
      <w:r>
        <w:rPr/>
        <w:t>He</w:t>
      </w:r>
      <w:r>
        <w:rPr>
          <w:spacing w:val="-12"/>
        </w:rPr>
        <w:t> </w:t>
      </w:r>
      <w:r>
        <w:rPr/>
        <w:t>uses term organization as a “configuration of relations between components that define the class identity of a composite system.” (</w:t>
      </w:r>
      <w:hyperlink w:history="true" w:anchor="_bookmark283">
        <w:r>
          <w:rPr/>
          <w:t>Maturana, 2002, p. 16</w:t>
        </w:r>
      </w:hyperlink>
      <w:r>
        <w:rPr/>
        <w:t>) Organization is a part of </w:t>
      </w:r>
      <w:r>
        <w:rPr>
          <w:sz w:val="27"/>
        </w:rPr>
        <w:t>structure </w:t>
      </w:r>
      <w:r>
        <w:rPr/>
        <w:t>which refers to: “components and the relations between them that realize a system or composite entity as a particular case of</w:t>
      </w:r>
      <w:r>
        <w:rPr>
          <w:spacing w:val="40"/>
        </w:rPr>
        <w:t> </w:t>
      </w:r>
      <w:r>
        <w:rPr/>
        <w:t>a particular class. (</w:t>
      </w:r>
      <w:hyperlink w:history="true" w:anchor="_bookmark283">
        <w:r>
          <w:rPr/>
          <w:t>Maturana, 2002, p. 16</w:t>
        </w:r>
      </w:hyperlink>
      <w:r>
        <w:rPr/>
        <w:t>) System conserves its identity only if organization is intact. ‘Any given organization may be realized through many different structures.’ but if the organization of</w:t>
      </w:r>
      <w:r>
        <w:rPr>
          <w:spacing w:val="36"/>
        </w:rPr>
        <w:t> </w:t>
      </w:r>
      <w:r>
        <w:rPr/>
        <w:t>the</w:t>
      </w:r>
      <w:r>
        <w:rPr>
          <w:spacing w:val="38"/>
        </w:rPr>
        <w:t> </w:t>
      </w:r>
      <w:r>
        <w:rPr/>
        <w:t>system</w:t>
      </w:r>
      <w:r>
        <w:rPr>
          <w:spacing w:val="36"/>
        </w:rPr>
        <w:t> </w:t>
      </w:r>
      <w:r>
        <w:rPr/>
        <w:t>changes,</w:t>
      </w:r>
      <w:r>
        <w:rPr>
          <w:spacing w:val="40"/>
        </w:rPr>
        <w:t> </w:t>
      </w:r>
      <w:r>
        <w:rPr/>
        <w:t>‘it</w:t>
      </w:r>
      <w:r>
        <w:rPr>
          <w:spacing w:val="38"/>
        </w:rPr>
        <w:t> </w:t>
      </w:r>
      <w:r>
        <w:rPr/>
        <w:t>becomes</w:t>
      </w:r>
      <w:r>
        <w:rPr>
          <w:spacing w:val="36"/>
        </w:rPr>
        <w:t> </w:t>
      </w:r>
      <w:r>
        <w:rPr/>
        <w:t>the</w:t>
      </w:r>
      <w:r>
        <w:rPr>
          <w:spacing w:val="38"/>
        </w:rPr>
        <w:t> </w:t>
      </w:r>
      <w:r>
        <w:rPr/>
        <w:t>unity</w:t>
      </w:r>
      <w:r>
        <w:rPr>
          <w:spacing w:val="38"/>
        </w:rPr>
        <w:t> </w:t>
      </w:r>
      <w:r>
        <w:rPr/>
        <w:t>of</w:t>
      </w:r>
      <w:r>
        <w:rPr>
          <w:spacing w:val="37"/>
        </w:rPr>
        <w:t> </w:t>
      </w:r>
      <w:r>
        <w:rPr/>
        <w:t>other</w:t>
      </w:r>
      <w:r>
        <w:rPr>
          <w:spacing w:val="39"/>
        </w:rPr>
        <w:t> </w:t>
      </w:r>
      <w:r>
        <w:rPr/>
        <w:t>kind.’(</w:t>
      </w:r>
      <w:hyperlink w:history="true" w:anchor="_bookmark284">
        <w:r>
          <w:rPr/>
          <w:t>Maturana</w:t>
        </w:r>
        <w:r>
          <w:rPr>
            <w:spacing w:val="38"/>
          </w:rPr>
          <w:t> </w:t>
        </w:r>
        <w:r>
          <w:rPr>
            <w:spacing w:val="-10"/>
          </w:rPr>
          <w:t>&amp;</w:t>
        </w:r>
      </w:hyperlink>
    </w:p>
    <w:p>
      <w:pPr>
        <w:pStyle w:val="BodyText"/>
        <w:spacing w:after="0" w:line="273" w:lineRule="auto"/>
        <w:sectPr>
          <w:pgSz w:w="12240" w:h="15840"/>
          <w:pgMar w:header="1046" w:footer="0" w:top="1360" w:bottom="280" w:left="720" w:right="360"/>
        </w:sectPr>
      </w:pPr>
    </w:p>
    <w:p>
      <w:pPr>
        <w:pStyle w:val="BodyText"/>
        <w:spacing w:line="276" w:lineRule="auto" w:before="276"/>
        <w:ind w:right="1920"/>
      </w:pPr>
      <w:hyperlink w:history="true" w:anchor="_bookmark284">
        <w:r>
          <w:rPr/>
          <w:t>Varela, 1980, p. XX</w:t>
        </w:r>
      </w:hyperlink>
      <w:r>
        <w:rPr/>
        <w:t>) There might be exceptions, if the organization itself</w:t>
      </w:r>
      <w:r>
        <w:rPr>
          <w:spacing w:val="40"/>
        </w:rPr>
        <w:t> </w:t>
      </w:r>
      <w:r>
        <w:rPr/>
        <w:t>has capabilities to determine limits of the change. This mechanism will allow changes, if new adjustments do not threaten systemic identity.</w:t>
      </w:r>
    </w:p>
    <w:p>
      <w:pPr>
        <w:pStyle w:val="BodyText"/>
        <w:spacing w:line="273" w:lineRule="auto"/>
        <w:ind w:right="1908" w:firstLine="720"/>
      </w:pPr>
      <w:r>
        <w:rPr/>
        <w:t>All changes to the structure are determined by the autopoiesis.</w:t>
      </w:r>
      <w:r>
        <w:rPr>
          <w:position w:val="7"/>
          <w:sz w:val="15"/>
        </w:rPr>
        <w:t>8</w:t>
      </w:r>
      <w:r>
        <w:rPr>
          <w:spacing w:val="40"/>
          <w:position w:val="7"/>
          <w:sz w:val="15"/>
        </w:rPr>
        <w:t> </w:t>
      </w:r>
      <w:r>
        <w:rPr/>
        <w:t>However the encounters with the medium defines course of subsequent changes. Relations between a system and its medium, cause reciprocal structural transformations; </w:t>
      </w:r>
      <w:r>
        <w:rPr>
          <w:sz w:val="27"/>
        </w:rPr>
        <w:t>Maturana </w:t>
      </w:r>
      <w:r>
        <w:rPr/>
        <w:t>argues that:</w:t>
      </w:r>
    </w:p>
    <w:p>
      <w:pPr>
        <w:pStyle w:val="BodyText"/>
        <w:spacing w:before="50"/>
        <w:ind w:left="0"/>
        <w:jc w:val="left"/>
      </w:pPr>
    </w:p>
    <w:p>
      <w:pPr>
        <w:pStyle w:val="BodyText"/>
        <w:spacing w:line="271" w:lineRule="auto"/>
        <w:ind w:left="2420" w:right="1901"/>
      </w:pPr>
      <w:r>
        <w:rPr/>
        <mc:AlternateContent>
          <mc:Choice Requires="wps">
            <w:drawing>
              <wp:anchor distT="0" distB="0" distL="0" distR="0" allowOverlap="1" layoutInCell="1" locked="0" behindDoc="0" simplePos="0" relativeHeight="15747072">
                <wp:simplePos x="0" y="0"/>
                <wp:positionH relativeFrom="page">
                  <wp:posOffset>1923923</wp:posOffset>
                </wp:positionH>
                <wp:positionV relativeFrom="paragraph">
                  <wp:posOffset>-1283</wp:posOffset>
                </wp:positionV>
                <wp:extent cx="1270" cy="1000125"/>
                <wp:effectExtent l="0" t="0" r="0" b="0"/>
                <wp:wrapNone/>
                <wp:docPr id="41" name="Graphic 41"/>
                <wp:cNvGraphicFramePr>
                  <a:graphicFrameLocks/>
                </wp:cNvGraphicFramePr>
                <a:graphic>
                  <a:graphicData uri="http://schemas.microsoft.com/office/word/2010/wordprocessingShape">
                    <wps:wsp>
                      <wps:cNvPr id="41" name="Graphic 41"/>
                      <wps:cNvSpPr/>
                      <wps:spPr>
                        <a:xfrm>
                          <a:off x="0" y="0"/>
                          <a:ext cx="1270" cy="1000125"/>
                        </a:xfrm>
                        <a:custGeom>
                          <a:avLst/>
                          <a:gdLst/>
                          <a:ahLst/>
                          <a:cxnLst/>
                          <a:rect l="l" t="t" r="r" b="b"/>
                          <a:pathLst>
                            <a:path w="0" h="1000125">
                              <a:moveTo>
                                <a:pt x="0" y="0"/>
                              </a:moveTo>
                              <a:lnTo>
                                <a:pt x="0" y="249935"/>
                              </a:lnTo>
                            </a:path>
                            <a:path w="0" h="1000125">
                              <a:moveTo>
                                <a:pt x="0" y="249935"/>
                              </a:moveTo>
                              <a:lnTo>
                                <a:pt x="0" y="499872"/>
                              </a:lnTo>
                            </a:path>
                            <a:path w="0" h="1000125">
                              <a:moveTo>
                                <a:pt x="0" y="499872"/>
                              </a:moveTo>
                              <a:lnTo>
                                <a:pt x="0" y="750188"/>
                              </a:lnTo>
                            </a:path>
                            <a:path w="0" h="1000125">
                              <a:moveTo>
                                <a:pt x="0" y="750188"/>
                              </a:moveTo>
                              <a:lnTo>
                                <a:pt x="0" y="1000124"/>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101064pt;width:.1pt;height:78.75pt;mso-position-horizontal-relative:page;mso-position-vertical-relative:paragraph;z-index:15747072" id="docshape39" coordorigin="3030,-2" coordsize="0,1575" path="m3030,-2l3030,392m3030,392l3030,785m3030,785l3030,1179m3030,1179l3030,1573e" filled="false" stroked="true" strokeweight=".48pt" strokecolor="#000000">
                <v:path arrowok="t"/>
                <v:stroke dashstyle="shortdash"/>
                <w10:wrap type="none"/>
              </v:shape>
            </w:pict>
          </mc:Fallback>
        </mc:AlternateContent>
      </w:r>
      <w:r>
        <w:rPr/>
        <w:t>“the dynamics of congruent structural changes that take place spontaneously between systems in recurrent interactions, as well</w:t>
      </w:r>
      <w:r>
        <w:rPr>
          <w:spacing w:val="-11"/>
        </w:rPr>
        <w:t> </w:t>
      </w:r>
      <w:r>
        <w:rPr/>
        <w:t>as</w:t>
      </w:r>
      <w:r>
        <w:rPr>
          <w:spacing w:val="40"/>
        </w:rPr>
        <w:t> </w:t>
      </w:r>
      <w:r>
        <w:rPr/>
        <w:t>the</w:t>
      </w:r>
      <w:r>
        <w:rPr>
          <w:spacing w:val="-8"/>
        </w:rPr>
        <w:t> </w:t>
      </w:r>
      <w:r>
        <w:rPr/>
        <w:t>coherent</w:t>
      </w:r>
      <w:r>
        <w:rPr>
          <w:spacing w:val="-12"/>
        </w:rPr>
        <w:t> </w:t>
      </w:r>
      <w:r>
        <w:rPr/>
        <w:t>structural</w:t>
      </w:r>
      <w:r>
        <w:rPr>
          <w:spacing w:val="-10"/>
        </w:rPr>
        <w:t> </w:t>
      </w:r>
      <w:r>
        <w:rPr/>
        <w:t>dynamics</w:t>
      </w:r>
      <w:r>
        <w:rPr>
          <w:spacing w:val="-11"/>
        </w:rPr>
        <w:t> </w:t>
      </w:r>
      <w:r>
        <w:rPr/>
        <w:t>that</w:t>
      </w:r>
      <w:r>
        <w:rPr>
          <w:spacing w:val="-8"/>
        </w:rPr>
        <w:t> </w:t>
      </w:r>
      <w:r>
        <w:rPr/>
        <w:t>result, </w:t>
      </w:r>
      <w:r>
        <w:rPr>
          <w:sz w:val="27"/>
        </w:rPr>
        <w:t>structural </w:t>
      </w:r>
      <w:r>
        <w:rPr>
          <w:spacing w:val="-2"/>
          <w:sz w:val="27"/>
        </w:rPr>
        <w:t>coupling</w:t>
      </w:r>
      <w:r>
        <w:rPr>
          <w:spacing w:val="-2"/>
        </w:rPr>
        <w:t>.”</w:t>
      </w:r>
    </w:p>
    <w:p>
      <w:pPr>
        <w:spacing w:line="268" w:lineRule="auto" w:before="0"/>
        <w:ind w:left="1700" w:right="1911" w:firstLine="4647"/>
        <w:jc w:val="both"/>
        <w:rPr>
          <w:sz w:val="26"/>
        </w:rPr>
      </w:pPr>
      <w:r>
        <w:rPr>
          <w:sz w:val="26"/>
        </w:rPr>
        <w:t>(</w:t>
      </w:r>
      <w:hyperlink w:history="true" w:anchor="_bookmark283">
        <w:r>
          <w:rPr>
            <w:sz w:val="26"/>
          </w:rPr>
          <w:t>Maturana, 2002, p. 17</w:t>
        </w:r>
      </w:hyperlink>
      <w:r>
        <w:rPr>
          <w:sz w:val="26"/>
        </w:rPr>
        <w:t>) The</w:t>
      </w:r>
      <w:r>
        <w:rPr>
          <w:spacing w:val="58"/>
          <w:sz w:val="26"/>
        </w:rPr>
        <w:t> </w:t>
      </w:r>
      <w:r>
        <w:rPr>
          <w:sz w:val="27"/>
        </w:rPr>
        <w:t>structural</w:t>
      </w:r>
      <w:r>
        <w:rPr>
          <w:spacing w:val="53"/>
          <w:sz w:val="27"/>
        </w:rPr>
        <w:t> </w:t>
      </w:r>
      <w:r>
        <w:rPr>
          <w:sz w:val="27"/>
        </w:rPr>
        <w:t>coupling</w:t>
      </w:r>
      <w:r>
        <w:rPr>
          <w:spacing w:val="58"/>
          <w:sz w:val="27"/>
        </w:rPr>
        <w:t> </w:t>
      </w:r>
      <w:r>
        <w:rPr>
          <w:sz w:val="26"/>
        </w:rPr>
        <w:t>happens</w:t>
      </w:r>
      <w:r>
        <w:rPr>
          <w:spacing w:val="59"/>
          <w:sz w:val="26"/>
        </w:rPr>
        <w:t> </w:t>
      </w:r>
      <w:r>
        <w:rPr>
          <w:sz w:val="26"/>
        </w:rPr>
        <w:t>independently</w:t>
      </w:r>
      <w:r>
        <w:rPr>
          <w:spacing w:val="57"/>
          <w:sz w:val="26"/>
        </w:rPr>
        <w:t> </w:t>
      </w:r>
      <w:r>
        <w:rPr>
          <w:sz w:val="26"/>
        </w:rPr>
        <w:t>from</w:t>
      </w:r>
      <w:r>
        <w:rPr>
          <w:spacing w:val="60"/>
          <w:sz w:val="26"/>
        </w:rPr>
        <w:t> </w:t>
      </w:r>
      <w:r>
        <w:rPr>
          <w:spacing w:val="-2"/>
          <w:sz w:val="27"/>
        </w:rPr>
        <w:t>autopoiesis</w:t>
      </w:r>
      <w:r>
        <w:rPr>
          <w:spacing w:val="-2"/>
          <w:sz w:val="26"/>
        </w:rPr>
        <w:t>.</w:t>
      </w:r>
    </w:p>
    <w:p>
      <w:pPr>
        <w:pStyle w:val="BodyText"/>
        <w:spacing w:line="276" w:lineRule="auto" w:before="3"/>
        <w:ind w:right="1926"/>
      </w:pPr>
      <w:r>
        <w:rPr/>
        <w:t>The environment is coupled with the structure, not with the organization</w:t>
      </w:r>
      <w:r>
        <w:rPr>
          <w:spacing w:val="40"/>
        </w:rPr>
        <w:t> </w:t>
      </w:r>
      <w:r>
        <w:rPr/>
        <w:t>of system.</w:t>
      </w:r>
    </w:p>
    <w:p>
      <w:pPr>
        <w:pStyle w:val="BodyText"/>
        <w:spacing w:line="276" w:lineRule="auto"/>
        <w:ind w:right="1920" w:firstLine="720"/>
      </w:pPr>
      <w:r>
        <w:rPr/>
        <w:t>The adaptability of the system increases with the complexity it gains through the autopoiesis: “the more complex</w:t>
      </w:r>
      <w:r>
        <w:rPr>
          <w:spacing w:val="40"/>
        </w:rPr>
        <w:t> </w:t>
      </w:r>
      <w:r>
        <w:rPr/>
        <w:t>the</w:t>
      </w:r>
      <w:r>
        <w:rPr>
          <w:spacing w:val="40"/>
        </w:rPr>
        <w:t> </w:t>
      </w:r>
      <w:r>
        <w:rPr/>
        <w:t>organism,</w:t>
      </w:r>
      <w:r>
        <w:rPr>
          <w:spacing w:val="40"/>
        </w:rPr>
        <w:t> </w:t>
      </w:r>
      <w:r>
        <w:rPr/>
        <w:t>the</w:t>
      </w:r>
      <w:r>
        <w:rPr>
          <w:spacing w:val="40"/>
        </w:rPr>
        <w:t> </w:t>
      </w:r>
      <w:r>
        <w:rPr/>
        <w:t>more ‘structurally plastic’</w:t>
      </w:r>
      <w:r>
        <w:rPr>
          <w:spacing w:val="40"/>
        </w:rPr>
        <w:t> </w:t>
      </w:r>
      <w:r>
        <w:rPr/>
        <w:t>it</w:t>
      </w:r>
      <w:r>
        <w:rPr>
          <w:spacing w:val="40"/>
        </w:rPr>
        <w:t> </w:t>
      </w:r>
      <w:r>
        <w:rPr/>
        <w:t>is</w:t>
      </w:r>
      <w:r>
        <w:rPr>
          <w:spacing w:val="40"/>
        </w:rPr>
        <w:t> </w:t>
      </w:r>
      <w:r>
        <w:rPr/>
        <w:t>deemed</w:t>
      </w:r>
      <w:r>
        <w:rPr>
          <w:spacing w:val="40"/>
        </w:rPr>
        <w:t> </w:t>
      </w:r>
      <w:r>
        <w:rPr/>
        <w:t>to</w:t>
      </w:r>
      <w:r>
        <w:rPr>
          <w:spacing w:val="40"/>
        </w:rPr>
        <w:t> </w:t>
      </w:r>
      <w:r>
        <w:rPr/>
        <w:t>be.” (</w:t>
      </w:r>
      <w:hyperlink w:history="true" w:anchor="_bookmark258">
        <w:r>
          <w:rPr/>
          <w:t>Leyland, 1988, p. 361</w:t>
        </w:r>
      </w:hyperlink>
      <w:r>
        <w:rPr/>
        <w:t>)</w:t>
      </w:r>
    </w:p>
    <w:p>
      <w:pPr>
        <w:pStyle w:val="BodyText"/>
        <w:spacing w:line="276" w:lineRule="auto"/>
        <w:ind w:right="1909" w:firstLine="720"/>
      </w:pPr>
      <w:r>
        <w:rPr/>
        <w:t>Maturana and Varela argue that physical system “if autopoietic, is living… [And] autopoiesis is necessary and sufficient to characterize the organization of living systems.” The authors point out the qualities of autopoietic machines:</w:t>
      </w:r>
    </w:p>
    <w:p>
      <w:pPr>
        <w:pStyle w:val="ListParagraph"/>
        <w:numPr>
          <w:ilvl w:val="2"/>
          <w:numId w:val="3"/>
        </w:numPr>
        <w:tabs>
          <w:tab w:pos="2420" w:val="left" w:leader="none"/>
        </w:tabs>
        <w:spacing w:line="240" w:lineRule="auto" w:before="0" w:after="0"/>
        <w:ind w:left="2420" w:right="0" w:hanging="519"/>
        <w:jc w:val="left"/>
        <w:rPr>
          <w:sz w:val="26"/>
        </w:rPr>
      </w:pPr>
      <w:r>
        <w:rPr>
          <w:sz w:val="26"/>
        </w:rPr>
        <w:t>Autopoietic</w:t>
      </w:r>
      <w:r>
        <w:rPr>
          <w:spacing w:val="-12"/>
          <w:sz w:val="26"/>
        </w:rPr>
        <w:t> </w:t>
      </w:r>
      <w:r>
        <w:rPr>
          <w:sz w:val="26"/>
        </w:rPr>
        <w:t>machines</w:t>
      </w:r>
      <w:r>
        <w:rPr>
          <w:spacing w:val="-12"/>
          <w:sz w:val="26"/>
        </w:rPr>
        <w:t> </w:t>
      </w:r>
      <w:r>
        <w:rPr>
          <w:sz w:val="26"/>
        </w:rPr>
        <w:t>are</w:t>
      </w:r>
      <w:r>
        <w:rPr>
          <w:spacing w:val="-11"/>
          <w:sz w:val="26"/>
        </w:rPr>
        <w:t> </w:t>
      </w:r>
      <w:r>
        <w:rPr>
          <w:spacing w:val="-2"/>
          <w:sz w:val="26"/>
        </w:rPr>
        <w:t>autonomous.</w:t>
      </w:r>
    </w:p>
    <w:p>
      <w:pPr>
        <w:pStyle w:val="ListParagraph"/>
        <w:numPr>
          <w:ilvl w:val="2"/>
          <w:numId w:val="3"/>
        </w:numPr>
        <w:tabs>
          <w:tab w:pos="2420" w:val="left" w:leader="none"/>
        </w:tabs>
        <w:spacing w:line="240" w:lineRule="auto" w:before="51" w:after="0"/>
        <w:ind w:left="2420" w:right="0" w:hanging="610"/>
        <w:jc w:val="left"/>
        <w:rPr>
          <w:sz w:val="26"/>
        </w:rPr>
      </w:pPr>
      <w:r>
        <w:rPr>
          <w:sz w:val="26"/>
        </w:rPr>
        <w:t>Autopoietic</w:t>
      </w:r>
      <w:r>
        <w:rPr>
          <w:spacing w:val="-14"/>
          <w:sz w:val="26"/>
        </w:rPr>
        <w:t> </w:t>
      </w:r>
      <w:r>
        <w:rPr>
          <w:sz w:val="26"/>
        </w:rPr>
        <w:t>machines</w:t>
      </w:r>
      <w:r>
        <w:rPr>
          <w:spacing w:val="-13"/>
          <w:sz w:val="26"/>
        </w:rPr>
        <w:t> </w:t>
      </w:r>
      <w:r>
        <w:rPr>
          <w:sz w:val="26"/>
        </w:rPr>
        <w:t>have</w:t>
      </w:r>
      <w:r>
        <w:rPr>
          <w:spacing w:val="-13"/>
          <w:sz w:val="26"/>
        </w:rPr>
        <w:t> </w:t>
      </w:r>
      <w:r>
        <w:rPr>
          <w:spacing w:val="-2"/>
          <w:sz w:val="26"/>
        </w:rPr>
        <w:t>individuality.</w:t>
      </w:r>
    </w:p>
    <w:p>
      <w:pPr>
        <w:pStyle w:val="ListParagraph"/>
        <w:numPr>
          <w:ilvl w:val="2"/>
          <w:numId w:val="3"/>
        </w:numPr>
        <w:tabs>
          <w:tab w:pos="2420" w:val="left" w:leader="none"/>
        </w:tabs>
        <w:spacing w:line="240" w:lineRule="auto" w:before="56" w:after="0"/>
        <w:ind w:left="2420" w:right="0" w:hanging="701"/>
        <w:jc w:val="left"/>
        <w:rPr>
          <w:sz w:val="26"/>
        </w:rPr>
      </w:pPr>
      <w:r>
        <w:rPr>
          <w:sz w:val="26"/>
        </w:rPr>
        <w:t>Autopoietic</w:t>
      </w:r>
      <w:r>
        <w:rPr>
          <w:spacing w:val="-12"/>
          <w:sz w:val="26"/>
        </w:rPr>
        <w:t> </w:t>
      </w:r>
      <w:r>
        <w:rPr>
          <w:sz w:val="26"/>
        </w:rPr>
        <w:t>machines</w:t>
      </w:r>
      <w:r>
        <w:rPr>
          <w:spacing w:val="-12"/>
          <w:sz w:val="26"/>
        </w:rPr>
        <w:t> </w:t>
      </w:r>
      <w:r>
        <w:rPr>
          <w:sz w:val="26"/>
        </w:rPr>
        <w:t>are</w:t>
      </w:r>
      <w:r>
        <w:rPr>
          <w:spacing w:val="-11"/>
          <w:sz w:val="26"/>
        </w:rPr>
        <w:t> </w:t>
      </w:r>
      <w:r>
        <w:rPr>
          <w:spacing w:val="-2"/>
          <w:sz w:val="26"/>
        </w:rPr>
        <w:t>unities.</w:t>
      </w:r>
    </w:p>
    <w:p>
      <w:pPr>
        <w:pStyle w:val="ListParagraph"/>
        <w:numPr>
          <w:ilvl w:val="2"/>
          <w:numId w:val="3"/>
        </w:numPr>
        <w:tabs>
          <w:tab w:pos="2420" w:val="left" w:leader="none"/>
        </w:tabs>
        <w:spacing w:line="240" w:lineRule="auto" w:before="51" w:after="0"/>
        <w:ind w:left="2420" w:right="0" w:hanging="701"/>
        <w:jc w:val="left"/>
        <w:rPr>
          <w:sz w:val="26"/>
        </w:rPr>
      </w:pPr>
      <w:r>
        <w:rPr>
          <w:sz w:val="26"/>
        </w:rPr>
        <w:t>Autopoietic</w:t>
      </w:r>
      <w:r>
        <w:rPr>
          <w:spacing w:val="-9"/>
          <w:sz w:val="26"/>
        </w:rPr>
        <w:t> </w:t>
      </w:r>
      <w:r>
        <w:rPr>
          <w:sz w:val="26"/>
        </w:rPr>
        <w:t>machines</w:t>
      </w:r>
      <w:r>
        <w:rPr>
          <w:spacing w:val="-9"/>
          <w:sz w:val="26"/>
        </w:rPr>
        <w:t> </w:t>
      </w:r>
      <w:r>
        <w:rPr>
          <w:sz w:val="26"/>
        </w:rPr>
        <w:t>do</w:t>
      </w:r>
      <w:r>
        <w:rPr>
          <w:spacing w:val="-10"/>
          <w:sz w:val="26"/>
        </w:rPr>
        <w:t> </w:t>
      </w:r>
      <w:r>
        <w:rPr>
          <w:sz w:val="26"/>
        </w:rPr>
        <w:t>not</w:t>
      </w:r>
      <w:r>
        <w:rPr>
          <w:spacing w:val="-7"/>
          <w:sz w:val="26"/>
        </w:rPr>
        <w:t> </w:t>
      </w:r>
      <w:r>
        <w:rPr>
          <w:sz w:val="26"/>
        </w:rPr>
        <w:t>have</w:t>
      </w:r>
      <w:r>
        <w:rPr>
          <w:spacing w:val="-8"/>
          <w:sz w:val="26"/>
        </w:rPr>
        <w:t> </w:t>
      </w:r>
      <w:r>
        <w:rPr>
          <w:sz w:val="26"/>
        </w:rPr>
        <w:t>inputs</w:t>
      </w:r>
      <w:r>
        <w:rPr>
          <w:spacing w:val="-9"/>
          <w:sz w:val="26"/>
        </w:rPr>
        <w:t> </w:t>
      </w:r>
      <w:r>
        <w:rPr>
          <w:sz w:val="26"/>
        </w:rPr>
        <w:t>or</w:t>
      </w:r>
      <w:r>
        <w:rPr>
          <w:spacing w:val="-6"/>
          <w:sz w:val="26"/>
        </w:rPr>
        <w:t> </w:t>
      </w:r>
      <w:r>
        <w:rPr>
          <w:spacing w:val="-2"/>
          <w:sz w:val="26"/>
        </w:rPr>
        <w:t>outputs.</w:t>
      </w:r>
    </w:p>
    <w:p>
      <w:pPr>
        <w:pStyle w:val="BodyText"/>
        <w:spacing w:before="52"/>
        <w:ind w:left="4557"/>
        <w:jc w:val="left"/>
      </w:pPr>
      <w:r>
        <w:rPr/>
        <w:t>(</w:t>
      </w:r>
      <w:hyperlink w:history="true" w:anchor="_bookmark284">
        <w:r>
          <w:rPr/>
          <w:t>Maturana</w:t>
        </w:r>
        <w:r>
          <w:rPr>
            <w:spacing w:val="-14"/>
          </w:rPr>
          <w:t> </w:t>
        </w:r>
        <w:r>
          <w:rPr/>
          <w:t>&amp;</w:t>
        </w:r>
        <w:r>
          <w:rPr>
            <w:spacing w:val="-9"/>
          </w:rPr>
          <w:t> </w:t>
        </w:r>
        <w:r>
          <w:rPr/>
          <w:t>Varela,</w:t>
        </w:r>
        <w:r>
          <w:rPr>
            <w:spacing w:val="-4"/>
          </w:rPr>
          <w:t> </w:t>
        </w:r>
        <w:r>
          <w:rPr/>
          <w:t>1980,</w:t>
        </w:r>
        <w:r>
          <w:rPr>
            <w:spacing w:val="-4"/>
          </w:rPr>
          <w:t> </w:t>
        </w:r>
        <w:r>
          <w:rPr/>
          <w:t>pp.</w:t>
        </w:r>
        <w:r>
          <w:rPr>
            <w:spacing w:val="-5"/>
          </w:rPr>
          <w:t> </w:t>
        </w:r>
        <w:r>
          <w:rPr/>
          <w:t>80-</w:t>
        </w:r>
        <w:r>
          <w:rPr>
            <w:spacing w:val="-5"/>
          </w:rPr>
          <w:t>81</w:t>
        </w:r>
      </w:hyperlink>
      <w:r>
        <w:rPr>
          <w:spacing w:val="-5"/>
        </w:rPr>
        <w:t>)</w:t>
      </w:r>
    </w:p>
    <w:p>
      <w:pPr>
        <w:pStyle w:val="BodyText"/>
        <w:spacing w:line="266" w:lineRule="auto" w:before="41"/>
        <w:ind w:right="1907" w:firstLine="720"/>
      </w:pPr>
      <w:r>
        <w:rPr>
          <w:sz w:val="27"/>
        </w:rPr>
        <w:t>Autopoietic </w:t>
      </w:r>
      <w:r>
        <w:rPr/>
        <w:t>organization according to the authors embed a ‘closed domain of relations’ those relations define </w:t>
      </w:r>
      <w:r>
        <w:rPr>
          <w:sz w:val="27"/>
        </w:rPr>
        <w:t>constitution</w:t>
      </w:r>
      <w:r>
        <w:rPr/>
        <w:t>, </w:t>
      </w:r>
      <w:r>
        <w:rPr>
          <w:sz w:val="27"/>
        </w:rPr>
        <w:t>specificity </w:t>
      </w:r>
      <w:r>
        <w:rPr/>
        <w:t>and </w:t>
      </w:r>
      <w:r>
        <w:rPr>
          <w:sz w:val="27"/>
        </w:rPr>
        <w:t>order </w:t>
      </w:r>
      <w:r>
        <w:rPr/>
        <w:t>of the unity. Constitution of the organization emphasizes not only on</w:t>
      </w:r>
    </w:p>
    <w:p>
      <w:pPr>
        <w:pStyle w:val="BodyText"/>
        <w:spacing w:before="5"/>
        <w:ind w:left="0"/>
        <w:jc w:val="left"/>
        <w:rPr>
          <w:sz w:val="12"/>
        </w:rPr>
      </w:pPr>
      <w:r>
        <w:rPr>
          <w:sz w:val="12"/>
        </w:rPr>
        <mc:AlternateContent>
          <mc:Choice Requires="wps">
            <w:drawing>
              <wp:anchor distT="0" distB="0" distL="0" distR="0" allowOverlap="1" layoutInCell="1" locked="0" behindDoc="1" simplePos="0" relativeHeight="487605760">
                <wp:simplePos x="0" y="0"/>
                <wp:positionH relativeFrom="page">
                  <wp:posOffset>1079296</wp:posOffset>
                </wp:positionH>
                <wp:positionV relativeFrom="paragraph">
                  <wp:posOffset>119117</wp:posOffset>
                </wp:positionV>
                <wp:extent cx="1830070" cy="9525"/>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9.379365pt;width:144.07pt;height:.72003pt;mso-position-horizontal-relative:page;mso-position-vertical-relative:paragraph;z-index:-15710720;mso-wrap-distance-left:0;mso-wrap-distance-right:0" id="docshape40" filled="true" fillcolor="#000000" stroked="false">
                <v:fill type="solid"/>
                <w10:wrap type="topAndBottom"/>
              </v:rect>
            </w:pict>
          </mc:Fallback>
        </mc:AlternateContent>
      </w:r>
    </w:p>
    <w:p>
      <w:pPr>
        <w:spacing w:before="103"/>
        <w:ind w:left="979" w:right="0" w:firstLine="0"/>
        <w:jc w:val="left"/>
        <w:rPr>
          <w:rFonts w:ascii="Calibri"/>
          <w:sz w:val="20"/>
        </w:rPr>
      </w:pPr>
      <w:r>
        <w:rPr>
          <w:rFonts w:ascii="Calibri"/>
          <w:sz w:val="20"/>
          <w:vertAlign w:val="superscript"/>
        </w:rPr>
        <w:t>8</w:t>
      </w:r>
      <w:r>
        <w:rPr>
          <w:rFonts w:ascii="Calibri"/>
          <w:spacing w:val="-1"/>
          <w:sz w:val="20"/>
          <w:vertAlign w:val="baseline"/>
        </w:rPr>
        <w:t> </w:t>
      </w:r>
      <w:r>
        <w:rPr>
          <w:rFonts w:ascii="Calibri"/>
          <w:sz w:val="20"/>
          <w:vertAlign w:val="baseline"/>
        </w:rPr>
        <w:t>Structural</w:t>
      </w:r>
      <w:r>
        <w:rPr>
          <w:rFonts w:ascii="Calibri"/>
          <w:spacing w:val="-1"/>
          <w:sz w:val="20"/>
          <w:vertAlign w:val="baseline"/>
        </w:rPr>
        <w:t> </w:t>
      </w:r>
      <w:r>
        <w:rPr>
          <w:rFonts w:ascii="Calibri"/>
          <w:sz w:val="20"/>
          <w:vertAlign w:val="baseline"/>
        </w:rPr>
        <w:t>determinism</w:t>
      </w:r>
      <w:r>
        <w:rPr>
          <w:rFonts w:ascii="Calibri"/>
          <w:spacing w:val="-5"/>
          <w:sz w:val="20"/>
          <w:vertAlign w:val="baseline"/>
        </w:rPr>
        <w:t> </w:t>
      </w:r>
      <w:r>
        <w:rPr>
          <w:rFonts w:ascii="Calibri"/>
          <w:sz w:val="20"/>
          <w:vertAlign w:val="baseline"/>
        </w:rPr>
        <w:t>is</w:t>
      </w:r>
      <w:r>
        <w:rPr>
          <w:rFonts w:ascii="Calibri"/>
          <w:spacing w:val="-8"/>
          <w:sz w:val="20"/>
          <w:vertAlign w:val="baseline"/>
        </w:rPr>
        <w:t> </w:t>
      </w:r>
      <w:r>
        <w:rPr>
          <w:rFonts w:ascii="Calibri"/>
          <w:sz w:val="20"/>
          <w:vertAlign w:val="baseline"/>
        </w:rPr>
        <w:t>a</w:t>
      </w:r>
      <w:r>
        <w:rPr>
          <w:rFonts w:ascii="Calibri"/>
          <w:spacing w:val="-7"/>
          <w:sz w:val="20"/>
          <w:vertAlign w:val="baseline"/>
        </w:rPr>
        <w:t> </w:t>
      </w:r>
      <w:r>
        <w:rPr>
          <w:rFonts w:ascii="Calibri"/>
          <w:sz w:val="20"/>
          <w:vertAlign w:val="baseline"/>
        </w:rPr>
        <w:t>central</w:t>
      </w:r>
      <w:r>
        <w:rPr>
          <w:rFonts w:ascii="Calibri"/>
          <w:spacing w:val="-6"/>
          <w:sz w:val="20"/>
          <w:vertAlign w:val="baseline"/>
        </w:rPr>
        <w:t> </w:t>
      </w:r>
      <w:r>
        <w:rPr>
          <w:rFonts w:ascii="Calibri"/>
          <w:sz w:val="20"/>
          <w:vertAlign w:val="baseline"/>
        </w:rPr>
        <w:t>argument</w:t>
      </w:r>
      <w:r>
        <w:rPr>
          <w:rFonts w:ascii="Calibri"/>
          <w:spacing w:val="-7"/>
          <w:sz w:val="20"/>
          <w:vertAlign w:val="baseline"/>
        </w:rPr>
        <w:t> </w:t>
      </w:r>
      <w:r>
        <w:rPr>
          <w:rFonts w:ascii="Calibri"/>
          <w:sz w:val="20"/>
          <w:vertAlign w:val="baseline"/>
        </w:rPr>
        <w:t>for</w:t>
      </w:r>
      <w:r>
        <w:rPr>
          <w:rFonts w:ascii="Calibri"/>
          <w:spacing w:val="-5"/>
          <w:sz w:val="20"/>
          <w:vertAlign w:val="baseline"/>
        </w:rPr>
        <w:t> </w:t>
      </w:r>
      <w:r>
        <w:rPr>
          <w:rFonts w:ascii="Calibri"/>
          <w:sz w:val="20"/>
          <w:vertAlign w:val="baseline"/>
        </w:rPr>
        <w:t>the</w:t>
      </w:r>
      <w:r>
        <w:rPr>
          <w:rFonts w:ascii="Calibri"/>
          <w:spacing w:val="-7"/>
          <w:sz w:val="20"/>
          <w:vertAlign w:val="baseline"/>
        </w:rPr>
        <w:t> </w:t>
      </w:r>
      <w:r>
        <w:rPr>
          <w:rFonts w:ascii="Calibri"/>
          <w:spacing w:val="-2"/>
          <w:sz w:val="20"/>
          <w:vertAlign w:val="baseline"/>
        </w:rPr>
        <w:t>theory</w:t>
      </w:r>
    </w:p>
    <w:p>
      <w:pPr>
        <w:spacing w:after="0"/>
        <w:jc w:val="left"/>
        <w:rPr>
          <w:rFonts w:ascii="Calibri"/>
          <w:sz w:val="20"/>
        </w:rPr>
        <w:sectPr>
          <w:pgSz w:w="12240" w:h="15840"/>
          <w:pgMar w:header="1046" w:footer="0" w:top="1360" w:bottom="280" w:left="720" w:right="360"/>
        </w:sectPr>
      </w:pPr>
    </w:p>
    <w:p>
      <w:pPr>
        <w:pStyle w:val="BodyText"/>
        <w:spacing w:line="276" w:lineRule="auto" w:before="276"/>
        <w:ind w:right="1912"/>
      </w:pPr>
      <w:r>
        <w:rPr/>
        <w:t>the structure of the components, but also on their particular characteristics. Those characteristic produce possibilities for the components to participate in autopoietic processes. Specification and order as argued are ‘referential </w:t>
      </w:r>
      <w:r>
        <w:rPr>
          <w:spacing w:val="-2"/>
        </w:rPr>
        <w:t>notions,’</w:t>
      </w:r>
    </w:p>
    <w:p>
      <w:pPr>
        <w:pStyle w:val="BodyText"/>
        <w:spacing w:line="276" w:lineRule="auto"/>
        <w:ind w:left="2420" w:right="1914"/>
      </w:pPr>
      <w:r>
        <w:rPr/>
        <mc:AlternateContent>
          <mc:Choice Requires="wps">
            <w:drawing>
              <wp:anchor distT="0" distB="0" distL="0" distR="0" allowOverlap="1" layoutInCell="1" locked="0" behindDoc="0" simplePos="0" relativeHeight="15747584">
                <wp:simplePos x="0" y="0"/>
                <wp:positionH relativeFrom="page">
                  <wp:posOffset>1923923</wp:posOffset>
                </wp:positionH>
                <wp:positionV relativeFrom="paragraph">
                  <wp:posOffset>-1179</wp:posOffset>
                </wp:positionV>
                <wp:extent cx="1270" cy="750570"/>
                <wp:effectExtent l="0" t="0" r="0" b="0"/>
                <wp:wrapNone/>
                <wp:docPr id="43" name="Graphic 43"/>
                <wp:cNvGraphicFramePr>
                  <a:graphicFrameLocks/>
                </wp:cNvGraphicFramePr>
                <a:graphic>
                  <a:graphicData uri="http://schemas.microsoft.com/office/word/2010/wordprocessingShape">
                    <wps:wsp>
                      <wps:cNvPr id="43" name="Graphic 43"/>
                      <wps:cNvSpPr/>
                      <wps:spPr>
                        <a:xfrm>
                          <a:off x="0" y="0"/>
                          <a:ext cx="1270" cy="750570"/>
                        </a:xfrm>
                        <a:custGeom>
                          <a:avLst/>
                          <a:gdLst/>
                          <a:ahLst/>
                          <a:cxnLst/>
                          <a:rect l="l" t="t" r="r" b="b"/>
                          <a:pathLst>
                            <a:path w="0" h="750570">
                              <a:moveTo>
                                <a:pt x="0" y="0"/>
                              </a:moveTo>
                              <a:lnTo>
                                <a:pt x="0" y="249935"/>
                              </a:lnTo>
                            </a:path>
                            <a:path w="0" h="750570">
                              <a:moveTo>
                                <a:pt x="0" y="249935"/>
                              </a:moveTo>
                              <a:lnTo>
                                <a:pt x="0" y="499872"/>
                              </a:lnTo>
                            </a:path>
                            <a:path w="0" h="750570">
                              <a:moveTo>
                                <a:pt x="0" y="499872"/>
                              </a:moveTo>
                              <a:lnTo>
                                <a:pt x="0" y="750061"/>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92871pt;width:.1pt;height:59.1pt;mso-position-horizontal-relative:page;mso-position-vertical-relative:paragraph;z-index:15747584" id="docshape41" coordorigin="3030,-2" coordsize="0,1182" path="m3030,-2l3030,392m3030,392l3030,785m3030,785l3030,1179e" filled="false" stroked="true" strokeweight=".48pt" strokecolor="#000000">
                <v:path arrowok="t"/>
                <v:stroke dashstyle="shortdash"/>
                <w10:wrap type="none"/>
              </v:shape>
            </w:pict>
          </mc:Fallback>
        </mc:AlternateContent>
      </w:r>
      <w:r>
        <w:rPr/>
        <w:t>“When we speak about relations of specification we refer to the specification of components in the context of that which defines the system as autopoietic.”</w:t>
      </w:r>
    </w:p>
    <w:p>
      <w:pPr>
        <w:pStyle w:val="Heading6"/>
        <w:spacing w:line="345" w:lineRule="exact"/>
        <w:ind w:left="4840"/>
      </w:pPr>
      <w:r>
        <w:rPr>
          <w:spacing w:val="-4"/>
        </w:rPr>
        <w:t>(</w:t>
      </w:r>
      <w:hyperlink w:history="true" w:anchor="_bookmark284">
        <w:r>
          <w:rPr>
            <w:spacing w:val="-4"/>
          </w:rPr>
          <w:t>Maturana</w:t>
        </w:r>
        <w:r>
          <w:rPr>
            <w:spacing w:val="-7"/>
          </w:rPr>
          <w:t> </w:t>
        </w:r>
        <w:r>
          <w:rPr>
            <w:spacing w:val="-4"/>
          </w:rPr>
          <w:t>&amp;</w:t>
        </w:r>
        <w:r>
          <w:rPr>
            <w:spacing w:val="-11"/>
          </w:rPr>
          <w:t> </w:t>
        </w:r>
        <w:r>
          <w:rPr>
            <w:spacing w:val="-4"/>
          </w:rPr>
          <w:t>Varela,</w:t>
        </w:r>
        <w:r>
          <w:rPr>
            <w:spacing w:val="-7"/>
          </w:rPr>
          <w:t> </w:t>
        </w:r>
        <w:r>
          <w:rPr>
            <w:spacing w:val="-4"/>
          </w:rPr>
          <w:t>1980,</w:t>
        </w:r>
        <w:r>
          <w:rPr>
            <w:spacing w:val="-7"/>
          </w:rPr>
          <w:t> </w:t>
        </w:r>
        <w:r>
          <w:rPr>
            <w:spacing w:val="-4"/>
          </w:rPr>
          <w:t>p.</w:t>
        </w:r>
        <w:r>
          <w:rPr>
            <w:spacing w:val="-10"/>
          </w:rPr>
          <w:t> </w:t>
        </w:r>
        <w:r>
          <w:rPr>
            <w:spacing w:val="-5"/>
          </w:rPr>
          <w:t>89</w:t>
        </w:r>
      </w:hyperlink>
      <w:r>
        <w:rPr>
          <w:spacing w:val="-5"/>
        </w:rPr>
        <w:t>)</w:t>
      </w:r>
    </w:p>
    <w:p>
      <w:pPr>
        <w:pStyle w:val="BodyText"/>
        <w:spacing w:line="273" w:lineRule="auto" w:before="38"/>
        <w:ind w:right="1920" w:firstLine="720"/>
      </w:pPr>
      <w:r>
        <w:rPr/>
        <w:t>Relations of </w:t>
      </w:r>
      <w:r>
        <w:rPr>
          <w:sz w:val="27"/>
        </w:rPr>
        <w:t>order </w:t>
      </w:r>
      <w:r>
        <w:rPr/>
        <w:t>are relevant only in context of autopoiesis. These relations arrange components and make them available for the autopoietic </w:t>
      </w:r>
      <w:r>
        <w:rPr>
          <w:spacing w:val="-2"/>
        </w:rPr>
        <w:t>system.</w:t>
      </w:r>
    </w:p>
    <w:p>
      <w:pPr>
        <w:pStyle w:val="BodyText"/>
        <w:spacing w:line="273" w:lineRule="auto"/>
        <w:ind w:right="1906" w:firstLine="720"/>
      </w:pPr>
      <w:r>
        <w:rPr/>
        <w:t>In the concluding part of the work, </w:t>
      </w:r>
      <w:r>
        <w:rPr>
          <w:sz w:val="27"/>
        </w:rPr>
        <w:t>Maturana </w:t>
      </w:r>
      <w:r>
        <w:rPr/>
        <w:t>and </w:t>
      </w:r>
      <w:r>
        <w:rPr>
          <w:sz w:val="27"/>
        </w:rPr>
        <w:t>Varela </w:t>
      </w:r>
      <w:r>
        <w:rPr/>
        <w:t>talk about actual biological examples of autopoiesis. Even though the original work</w:t>
      </w:r>
      <w:r>
        <w:rPr>
          <w:spacing w:val="80"/>
        </w:rPr>
        <w:t> </w:t>
      </w:r>
      <w:r>
        <w:rPr/>
        <w:t>has not left the domain of biology, in later works </w:t>
      </w:r>
      <w:r>
        <w:rPr>
          <w:sz w:val="27"/>
        </w:rPr>
        <w:t>Varela </w:t>
      </w:r>
      <w:r>
        <w:rPr/>
        <w:t>alluded about possibilities to spread the concept on other domains of life as well, like language, social systems etc. (</w:t>
      </w:r>
      <w:hyperlink w:history="true" w:anchor="_bookmark297">
        <w:r>
          <w:rPr/>
          <w:t>Moeller, 2006, p. 13</w:t>
        </w:r>
      </w:hyperlink>
      <w:r>
        <w:rPr/>
        <w:t>).</w:t>
      </w:r>
    </w:p>
    <w:p>
      <w:pPr>
        <w:pStyle w:val="BodyText"/>
        <w:spacing w:line="276" w:lineRule="auto"/>
        <w:ind w:right="1913" w:firstLine="720"/>
      </w:pPr>
      <w:r>
        <w:rPr/>
        <w:t>German sociologist </w:t>
      </w:r>
      <w:r>
        <w:rPr>
          <w:sz w:val="27"/>
        </w:rPr>
        <w:t>Niklas</w:t>
      </w:r>
      <w:r>
        <w:rPr>
          <w:spacing w:val="-2"/>
          <w:sz w:val="27"/>
        </w:rPr>
        <w:t> </w:t>
      </w:r>
      <w:r>
        <w:rPr>
          <w:sz w:val="27"/>
        </w:rPr>
        <w:t>Luhmann </w:t>
      </w:r>
      <w:r>
        <w:rPr/>
        <w:t>was very enthusiastic about the concept introduced by Chilean scholars. His social systems theory borrows autopoiesis, operational closure and the notion of structural coupling with some modifications. (</w:t>
      </w:r>
      <w:hyperlink w:history="true" w:anchor="_bookmark297">
        <w:r>
          <w:rPr/>
          <w:t>Moeller, 2006, p. 15</w:t>
        </w:r>
      </w:hyperlink>
      <w:r>
        <w:rPr/>
        <w:t>)</w:t>
      </w:r>
    </w:p>
    <w:p>
      <w:pPr>
        <w:pStyle w:val="BodyText"/>
        <w:spacing w:line="340" w:lineRule="exact"/>
        <w:ind w:left="1700"/>
      </w:pPr>
      <w:r>
        <w:rPr>
          <w:sz w:val="27"/>
        </w:rPr>
        <w:t>Luhmann</w:t>
      </w:r>
      <w:r>
        <w:rPr>
          <w:spacing w:val="27"/>
          <w:sz w:val="27"/>
        </w:rPr>
        <w:t>  </w:t>
      </w:r>
      <w:r>
        <w:rPr/>
        <w:t>acknowledged</w:t>
      </w:r>
      <w:r>
        <w:rPr>
          <w:spacing w:val="29"/>
        </w:rPr>
        <w:t>  </w:t>
      </w:r>
      <w:r>
        <w:rPr/>
        <w:t>the</w:t>
      </w:r>
      <w:r>
        <w:rPr>
          <w:spacing w:val="28"/>
        </w:rPr>
        <w:t>  </w:t>
      </w:r>
      <w:r>
        <w:rPr/>
        <w:t>importance</w:t>
      </w:r>
      <w:r>
        <w:rPr>
          <w:spacing w:val="28"/>
        </w:rPr>
        <w:t>  </w:t>
      </w:r>
      <w:r>
        <w:rPr/>
        <w:t>of</w:t>
      </w:r>
      <w:r>
        <w:rPr>
          <w:spacing w:val="30"/>
        </w:rPr>
        <w:t>  </w:t>
      </w:r>
      <w:r>
        <w:rPr/>
        <w:t>the</w:t>
      </w:r>
      <w:r>
        <w:rPr>
          <w:spacing w:val="28"/>
        </w:rPr>
        <w:t>  </w:t>
      </w:r>
      <w:r>
        <w:rPr/>
        <w:t>circularity</w:t>
      </w:r>
      <w:r>
        <w:rPr>
          <w:spacing w:val="31"/>
        </w:rPr>
        <w:t>  </w:t>
      </w:r>
      <w:r>
        <w:rPr>
          <w:spacing w:val="-5"/>
        </w:rPr>
        <w:t>in</w:t>
      </w:r>
    </w:p>
    <w:p>
      <w:pPr>
        <w:pStyle w:val="BodyText"/>
        <w:spacing w:line="273" w:lineRule="auto" w:before="20"/>
        <w:ind w:right="1906"/>
      </w:pPr>
      <w:r>
        <w:rPr/>
        <w:t>organismic operations presented by </w:t>
      </w:r>
      <w:r>
        <w:rPr>
          <w:sz w:val="27"/>
        </w:rPr>
        <w:t>Maturana. </w:t>
      </w:r>
      <w:r>
        <w:rPr/>
        <w:t>However</w:t>
      </w:r>
      <w:r>
        <w:rPr>
          <w:sz w:val="27"/>
        </w:rPr>
        <w:t>, </w:t>
      </w:r>
      <w:r>
        <w:rPr/>
        <w:t>he understood that applying of the biologic concepts straight to the social domain would not be useful. </w:t>
      </w:r>
      <w:r>
        <w:rPr>
          <w:sz w:val="27"/>
        </w:rPr>
        <w:t>Luhmann</w:t>
      </w:r>
      <w:r>
        <w:rPr/>
        <w:t>’s argument stated that there are non-living autopoietic systems and only generalized version of the approach could include them together with living systems in the common framework. (</w:t>
      </w:r>
      <w:hyperlink w:history="true" w:anchor="_bookmark266">
        <w:r>
          <w:rPr/>
          <w:t>Luhmann, 1990a, p. 2</w:t>
        </w:r>
      </w:hyperlink>
      <w:r>
        <w:rPr/>
        <w:t>)</w:t>
      </w:r>
    </w:p>
    <w:p>
      <w:pPr>
        <w:spacing w:line="271" w:lineRule="auto" w:before="0"/>
        <w:ind w:left="979" w:right="1909" w:firstLine="720"/>
        <w:jc w:val="both"/>
        <w:rPr>
          <w:sz w:val="26"/>
        </w:rPr>
      </w:pPr>
      <w:r>
        <w:rPr>
          <w:sz w:val="27"/>
        </w:rPr>
        <w:t>Luhmann</w:t>
      </w:r>
      <w:r>
        <w:rPr>
          <w:spacing w:val="-6"/>
          <w:sz w:val="27"/>
        </w:rPr>
        <w:t> </w:t>
      </w:r>
      <w:r>
        <w:rPr>
          <w:sz w:val="26"/>
        </w:rPr>
        <w:t>separated</w:t>
      </w:r>
      <w:r>
        <w:rPr>
          <w:spacing w:val="-5"/>
          <w:sz w:val="26"/>
        </w:rPr>
        <w:t> </w:t>
      </w:r>
      <w:r>
        <w:rPr>
          <w:sz w:val="26"/>
        </w:rPr>
        <w:t>three</w:t>
      </w:r>
      <w:r>
        <w:rPr>
          <w:spacing w:val="-6"/>
          <w:sz w:val="26"/>
        </w:rPr>
        <w:t> </w:t>
      </w:r>
      <w:r>
        <w:rPr>
          <w:sz w:val="26"/>
        </w:rPr>
        <w:t>basic</w:t>
      </w:r>
      <w:r>
        <w:rPr>
          <w:spacing w:val="-7"/>
          <w:sz w:val="26"/>
        </w:rPr>
        <w:t> </w:t>
      </w:r>
      <w:r>
        <w:rPr>
          <w:sz w:val="26"/>
        </w:rPr>
        <w:t>system</w:t>
      </w:r>
      <w:r>
        <w:rPr>
          <w:spacing w:val="-8"/>
          <w:sz w:val="26"/>
        </w:rPr>
        <w:t> </w:t>
      </w:r>
      <w:r>
        <w:rPr>
          <w:sz w:val="26"/>
        </w:rPr>
        <w:t>types: </w:t>
      </w:r>
      <w:r>
        <w:rPr>
          <w:sz w:val="27"/>
        </w:rPr>
        <w:t>living</w:t>
      </w:r>
      <w:r>
        <w:rPr>
          <w:spacing w:val="-9"/>
          <w:sz w:val="27"/>
        </w:rPr>
        <w:t> </w:t>
      </w:r>
      <w:r>
        <w:rPr>
          <w:sz w:val="27"/>
        </w:rPr>
        <w:t>systems</w:t>
      </w:r>
      <w:r>
        <w:rPr>
          <w:sz w:val="26"/>
        </w:rPr>
        <w:t>,</w:t>
      </w:r>
      <w:r>
        <w:rPr>
          <w:spacing w:val="-4"/>
          <w:sz w:val="26"/>
        </w:rPr>
        <w:t> </w:t>
      </w:r>
      <w:r>
        <w:rPr>
          <w:sz w:val="27"/>
        </w:rPr>
        <w:t>psychic systems </w:t>
      </w:r>
      <w:r>
        <w:rPr>
          <w:sz w:val="26"/>
        </w:rPr>
        <w:t>and </w:t>
      </w:r>
      <w:r>
        <w:rPr>
          <w:sz w:val="27"/>
        </w:rPr>
        <w:t>social systems</w:t>
      </w:r>
      <w:r>
        <w:rPr>
          <w:sz w:val="26"/>
        </w:rPr>
        <w:t>. Living system included categories like, cells, brains, organisms etc. Social systems were spread in forms of societies, organizations, and interactions:</w:t>
      </w:r>
    </w:p>
    <w:p>
      <w:pPr>
        <w:spacing w:after="0" w:line="271" w:lineRule="auto"/>
        <w:jc w:val="both"/>
        <w:rPr>
          <w:sz w:val="26"/>
        </w:rPr>
        <w:sectPr>
          <w:pgSz w:w="12240" w:h="15840"/>
          <w:pgMar w:header="1046" w:footer="0" w:top="1360" w:bottom="280" w:left="720" w:right="360"/>
        </w:sectPr>
      </w:pPr>
    </w:p>
    <w:p>
      <w:pPr>
        <w:pStyle w:val="BodyText"/>
        <w:spacing w:before="33"/>
        <w:ind w:left="0"/>
        <w:jc w:val="left"/>
        <w:rPr>
          <w:sz w:val="18"/>
        </w:rPr>
      </w:pPr>
    </w:p>
    <w:p>
      <w:pPr>
        <w:spacing w:before="0"/>
        <w:ind w:left="979" w:right="0" w:firstLine="0"/>
        <w:jc w:val="left"/>
        <w:rPr>
          <w:rFonts w:ascii="Calibri"/>
          <w:b/>
          <w:sz w:val="18"/>
        </w:rPr>
      </w:pPr>
      <w:bookmarkStart w:name="_bookmark11" w:id="12"/>
      <w:bookmarkEnd w:id="12"/>
      <w:r>
        <w:rPr/>
      </w:r>
      <w:r>
        <w:rPr>
          <w:rFonts w:ascii="Calibri"/>
          <w:b/>
          <w:color w:val="4F81BC"/>
          <w:sz w:val="18"/>
        </w:rPr>
        <w:t>Figure</w:t>
      </w:r>
      <w:r>
        <w:rPr>
          <w:rFonts w:ascii="Calibri"/>
          <w:b/>
          <w:color w:val="4F81BC"/>
          <w:spacing w:val="-2"/>
          <w:sz w:val="18"/>
        </w:rPr>
        <w:t> </w:t>
      </w:r>
      <w:r>
        <w:rPr>
          <w:rFonts w:ascii="Calibri"/>
          <w:b/>
          <w:color w:val="4F81BC"/>
          <w:sz w:val="18"/>
        </w:rPr>
        <w:t>1.</w:t>
      </w:r>
      <w:r>
        <w:rPr>
          <w:rFonts w:ascii="Calibri"/>
          <w:b/>
          <w:color w:val="4F81BC"/>
          <w:spacing w:val="-6"/>
          <w:sz w:val="18"/>
        </w:rPr>
        <w:t> </w:t>
      </w:r>
      <w:r>
        <w:rPr>
          <w:rFonts w:ascii="Calibri"/>
          <w:b/>
          <w:color w:val="4F81BC"/>
          <w:sz w:val="18"/>
        </w:rPr>
        <w:t>Autopoietic</w:t>
      </w:r>
      <w:r>
        <w:rPr>
          <w:rFonts w:ascii="Calibri"/>
          <w:b/>
          <w:color w:val="4F81BC"/>
          <w:spacing w:val="-2"/>
          <w:sz w:val="18"/>
        </w:rPr>
        <w:t> Systems</w:t>
      </w:r>
    </w:p>
    <w:p>
      <w:pPr>
        <w:pStyle w:val="BodyText"/>
        <w:ind w:left="0"/>
        <w:jc w:val="left"/>
        <w:rPr>
          <w:rFonts w:ascii="Calibri"/>
          <w:b/>
          <w:sz w:val="20"/>
        </w:rPr>
      </w:pPr>
    </w:p>
    <w:p>
      <w:pPr>
        <w:pStyle w:val="BodyText"/>
        <w:ind w:left="0"/>
        <w:jc w:val="left"/>
        <w:rPr>
          <w:rFonts w:ascii="Calibri"/>
          <w:b/>
          <w:sz w:val="20"/>
        </w:rPr>
      </w:pPr>
    </w:p>
    <w:p>
      <w:pPr>
        <w:pStyle w:val="BodyText"/>
        <w:ind w:left="0"/>
        <w:jc w:val="left"/>
        <w:rPr>
          <w:rFonts w:ascii="Calibri"/>
          <w:b/>
          <w:sz w:val="20"/>
        </w:rPr>
      </w:pPr>
    </w:p>
    <w:p>
      <w:pPr>
        <w:pStyle w:val="BodyText"/>
        <w:spacing w:before="180"/>
        <w:ind w:left="0"/>
        <w:jc w:val="left"/>
        <w:rPr>
          <w:rFonts w:ascii="Calibri"/>
          <w:b/>
          <w:sz w:val="20"/>
        </w:rPr>
      </w:pPr>
    </w:p>
    <w:tbl>
      <w:tblPr>
        <w:tblW w:w="0" w:type="auto"/>
        <w:jc w:val="left"/>
        <w:tblInd w:w="172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2086"/>
        <w:gridCol w:w="209"/>
        <w:gridCol w:w="209"/>
        <w:gridCol w:w="2086"/>
        <w:gridCol w:w="417"/>
        <w:gridCol w:w="2086"/>
      </w:tblGrid>
      <w:tr>
        <w:trPr>
          <w:trHeight w:val="273" w:hRule="atLeast"/>
        </w:trPr>
        <w:tc>
          <w:tcPr>
            <w:tcW w:w="2504" w:type="dxa"/>
            <w:gridSpan w:val="3"/>
            <w:tcBorders>
              <w:top w:val="nil"/>
              <w:left w:val="nil"/>
              <w:bottom w:val="nil"/>
            </w:tcBorders>
          </w:tcPr>
          <w:p>
            <w:pPr>
              <w:pStyle w:val="TableParagraph"/>
              <w:rPr>
                <w:rFonts w:ascii="Times New Roman"/>
                <w:sz w:val="20"/>
              </w:rPr>
            </w:pPr>
          </w:p>
        </w:tc>
        <w:tc>
          <w:tcPr>
            <w:tcW w:w="2086" w:type="dxa"/>
            <w:vMerge w:val="restart"/>
          </w:tcPr>
          <w:p>
            <w:pPr>
              <w:pStyle w:val="TableParagraph"/>
              <w:spacing w:before="164"/>
              <w:ind w:left="459"/>
              <w:rPr>
                <w:rFonts w:ascii="Calibri"/>
                <w:sz w:val="20"/>
              </w:rPr>
            </w:pPr>
            <w:r>
              <w:rPr>
                <w:rFonts w:ascii="Calibri"/>
                <w:sz w:val="20"/>
              </w:rPr>
              <mc:AlternateContent>
                <mc:Choice Requires="wps">
                  <w:drawing>
                    <wp:anchor distT="0" distB="0" distL="0" distR="0" allowOverlap="1" layoutInCell="1" locked="0" behindDoc="1" simplePos="0" relativeHeight="485015552">
                      <wp:simplePos x="0" y="0"/>
                      <wp:positionH relativeFrom="column">
                        <wp:posOffset>0</wp:posOffset>
                      </wp:positionH>
                      <wp:positionV relativeFrom="paragraph">
                        <wp:posOffset>-14433</wp:posOffset>
                      </wp:positionV>
                      <wp:extent cx="1324610" cy="404495"/>
                      <wp:effectExtent l="0" t="0" r="0" b="0"/>
                      <wp:wrapNone/>
                      <wp:docPr id="44" name="Group 44"/>
                      <wp:cNvGraphicFramePr>
                        <a:graphicFrameLocks/>
                      </wp:cNvGraphicFramePr>
                      <a:graphic>
                        <a:graphicData uri="http://schemas.microsoft.com/office/word/2010/wordprocessingGroup">
                          <wpg:wgp>
                            <wpg:cNvPr id="44" name="Group 44"/>
                            <wpg:cNvGrpSpPr/>
                            <wpg:grpSpPr>
                              <a:xfrm>
                                <a:off x="0" y="0"/>
                                <a:ext cx="1324610" cy="404495"/>
                                <a:chExt cx="1324610" cy="404495"/>
                              </a:xfrm>
                            </wpg:grpSpPr>
                            <wps:wsp>
                              <wps:cNvPr id="45" name="Graphic 45"/>
                              <wps:cNvSpPr/>
                              <wps:spPr>
                                <a:xfrm>
                                  <a:off x="0" y="0"/>
                                  <a:ext cx="1324610" cy="404495"/>
                                </a:xfrm>
                                <a:custGeom>
                                  <a:avLst/>
                                  <a:gdLst/>
                                  <a:ahLst/>
                                  <a:cxnLst/>
                                  <a:rect l="l" t="t" r="r" b="b"/>
                                  <a:pathLst>
                                    <a:path w="1324610" h="404495">
                                      <a:moveTo>
                                        <a:pt x="1324483" y="0"/>
                                      </a:moveTo>
                                      <a:lnTo>
                                        <a:pt x="0" y="0"/>
                                      </a:lnTo>
                                      <a:lnTo>
                                        <a:pt x="0" y="403961"/>
                                      </a:lnTo>
                                      <a:lnTo>
                                        <a:pt x="1324483" y="403961"/>
                                      </a:lnTo>
                                      <a:lnTo>
                                        <a:pt x="1324483"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0pt;margin-top:-1.136513pt;width:104.3pt;height:31.85pt;mso-position-horizontal-relative:column;mso-position-vertical-relative:paragraph;z-index:-18300928" id="docshapegroup42" coordorigin="0,-23" coordsize="2086,637">
                      <v:rect style="position:absolute;left:0;top:-23;width:2086;height:637" id="docshape43" filled="true" fillcolor="#ffffff" stroked="false">
                        <v:fill type="solid"/>
                      </v:rect>
                      <w10:wrap type="none"/>
                    </v:group>
                  </w:pict>
                </mc:Fallback>
              </mc:AlternateContent>
            </w:r>
            <w:r>
              <w:rPr>
                <w:rFonts w:ascii="Calibri"/>
                <w:sz w:val="20"/>
              </w:rPr>
              <w:t>Living</w:t>
            </w:r>
            <w:r>
              <w:rPr>
                <w:rFonts w:ascii="Calibri"/>
                <w:spacing w:val="-10"/>
                <w:sz w:val="20"/>
              </w:rPr>
              <w:t> </w:t>
            </w:r>
            <w:r>
              <w:rPr>
                <w:rFonts w:ascii="Calibri"/>
                <w:spacing w:val="-2"/>
                <w:sz w:val="20"/>
              </w:rPr>
              <w:t>systems</w:t>
            </w:r>
          </w:p>
        </w:tc>
        <w:tc>
          <w:tcPr>
            <w:tcW w:w="417" w:type="dxa"/>
            <w:tcBorders>
              <w:top w:val="nil"/>
            </w:tcBorders>
          </w:tcPr>
          <w:p>
            <w:pPr>
              <w:pStyle w:val="TableParagraph"/>
              <w:rPr>
                <w:rFonts w:ascii="Times New Roman"/>
                <w:sz w:val="20"/>
              </w:rPr>
            </w:pPr>
          </w:p>
        </w:tc>
        <w:tc>
          <w:tcPr>
            <w:tcW w:w="2086" w:type="dxa"/>
            <w:vMerge w:val="restart"/>
          </w:tcPr>
          <w:p>
            <w:pPr>
              <w:pStyle w:val="TableParagraph"/>
              <w:spacing w:line="213" w:lineRule="auto" w:before="75"/>
              <w:ind w:left="887" w:hanging="817"/>
              <w:rPr>
                <w:rFonts w:ascii="Calibri"/>
                <w:sz w:val="20"/>
              </w:rPr>
            </w:pPr>
            <w:r>
              <w:rPr>
                <w:rFonts w:ascii="Calibri"/>
                <w:sz w:val="20"/>
              </w:rPr>
              <w:t>cells,</w:t>
            </w:r>
            <w:r>
              <w:rPr>
                <w:rFonts w:ascii="Calibri"/>
                <w:spacing w:val="-12"/>
                <w:sz w:val="20"/>
              </w:rPr>
              <w:t> </w:t>
            </w:r>
            <w:r>
              <w:rPr>
                <w:rFonts w:ascii="Calibri"/>
                <w:sz w:val="20"/>
              </w:rPr>
              <w:t>brains,</w:t>
            </w:r>
            <w:r>
              <w:rPr>
                <w:rFonts w:ascii="Calibri"/>
                <w:spacing w:val="-11"/>
                <w:sz w:val="20"/>
              </w:rPr>
              <w:t> </w:t>
            </w:r>
            <w:r>
              <w:rPr>
                <w:rFonts w:ascii="Calibri"/>
                <w:sz w:val="20"/>
              </w:rPr>
              <w:t>organisms, </w:t>
            </w:r>
            <w:r>
              <w:rPr>
                <w:rFonts w:ascii="Calibri"/>
                <w:spacing w:val="-4"/>
                <w:sz w:val="20"/>
              </w:rPr>
              <w:t>etc.</w:t>
            </w:r>
          </w:p>
        </w:tc>
      </w:tr>
      <w:tr>
        <w:trPr>
          <w:trHeight w:val="272" w:hRule="atLeast"/>
        </w:trPr>
        <w:tc>
          <w:tcPr>
            <w:tcW w:w="2295" w:type="dxa"/>
            <w:gridSpan w:val="2"/>
            <w:vMerge w:val="restart"/>
            <w:tcBorders>
              <w:top w:val="nil"/>
              <w:left w:val="nil"/>
            </w:tcBorders>
          </w:tcPr>
          <w:p>
            <w:pPr>
              <w:pStyle w:val="TableParagraph"/>
              <w:rPr>
                <w:rFonts w:ascii="Times New Roman"/>
                <w:sz w:val="24"/>
              </w:rPr>
            </w:pPr>
          </w:p>
        </w:tc>
        <w:tc>
          <w:tcPr>
            <w:tcW w:w="209" w:type="dxa"/>
            <w:tcBorders>
              <w:bottom w:val="nil"/>
            </w:tcBorders>
          </w:tcPr>
          <w:p>
            <w:pPr>
              <w:pStyle w:val="TableParagraph"/>
              <w:rPr>
                <w:rFonts w:ascii="Times New Roman"/>
                <w:sz w:val="20"/>
              </w:rPr>
            </w:pPr>
          </w:p>
        </w:tc>
        <w:tc>
          <w:tcPr>
            <w:tcW w:w="2086" w:type="dxa"/>
            <w:vMerge/>
            <w:tcBorders>
              <w:top w:val="nil"/>
            </w:tcBorders>
          </w:tcPr>
          <w:p>
            <w:pPr>
              <w:rPr>
                <w:sz w:val="2"/>
                <w:szCs w:val="2"/>
              </w:rPr>
            </w:pPr>
          </w:p>
        </w:tc>
        <w:tc>
          <w:tcPr>
            <w:tcW w:w="417" w:type="dxa"/>
            <w:tcBorders>
              <w:bottom w:val="nil"/>
            </w:tcBorders>
          </w:tcPr>
          <w:p>
            <w:pPr>
              <w:pStyle w:val="TableParagraph"/>
              <w:rPr>
                <w:rFonts w:ascii="Times New Roman"/>
                <w:sz w:val="20"/>
              </w:rPr>
            </w:pPr>
          </w:p>
        </w:tc>
        <w:tc>
          <w:tcPr>
            <w:tcW w:w="2086" w:type="dxa"/>
            <w:vMerge/>
            <w:tcBorders>
              <w:top w:val="nil"/>
            </w:tcBorders>
          </w:tcPr>
          <w:p>
            <w:pPr>
              <w:rPr>
                <w:sz w:val="2"/>
                <w:szCs w:val="2"/>
              </w:rPr>
            </w:pPr>
          </w:p>
        </w:tc>
      </w:tr>
      <w:tr>
        <w:trPr>
          <w:trHeight w:val="215" w:hRule="atLeast"/>
        </w:trPr>
        <w:tc>
          <w:tcPr>
            <w:tcW w:w="2295" w:type="dxa"/>
            <w:gridSpan w:val="2"/>
            <w:vMerge/>
            <w:tcBorders>
              <w:top w:val="nil"/>
              <w:left w:val="nil"/>
            </w:tcBorders>
          </w:tcPr>
          <w:p>
            <w:pPr>
              <w:rPr>
                <w:sz w:val="2"/>
                <w:szCs w:val="2"/>
              </w:rPr>
            </w:pPr>
          </w:p>
        </w:tc>
        <w:tc>
          <w:tcPr>
            <w:tcW w:w="4798" w:type="dxa"/>
            <w:gridSpan w:val="4"/>
            <w:tcBorders>
              <w:top w:val="nil"/>
              <w:bottom w:val="nil"/>
              <w:right w:val="nil"/>
            </w:tcBorders>
          </w:tcPr>
          <w:p>
            <w:pPr>
              <w:pStyle w:val="TableParagraph"/>
              <w:rPr>
                <w:rFonts w:ascii="Times New Roman"/>
                <w:sz w:val="14"/>
              </w:rPr>
            </w:pPr>
          </w:p>
        </w:tc>
      </w:tr>
      <w:tr>
        <w:trPr>
          <w:trHeight w:val="272" w:hRule="atLeast"/>
        </w:trPr>
        <w:tc>
          <w:tcPr>
            <w:tcW w:w="2086" w:type="dxa"/>
            <w:vMerge w:val="restart"/>
          </w:tcPr>
          <w:p>
            <w:pPr>
              <w:pStyle w:val="TableParagraph"/>
              <w:spacing w:line="230" w:lineRule="exact" w:before="55"/>
              <w:ind w:left="38"/>
              <w:jc w:val="center"/>
              <w:rPr>
                <w:rFonts w:ascii="Calibri"/>
                <w:sz w:val="20"/>
              </w:rPr>
            </w:pPr>
            <w:r>
              <w:rPr>
                <w:rFonts w:ascii="Calibri"/>
                <w:sz w:val="20"/>
              </w:rPr>
              <w:t>self-</w:t>
            </w:r>
            <w:r>
              <w:rPr>
                <w:rFonts w:ascii="Calibri"/>
                <w:spacing w:val="-2"/>
                <w:sz w:val="20"/>
              </w:rPr>
              <w:t>referential</w:t>
            </w:r>
          </w:p>
          <w:p>
            <w:pPr>
              <w:pStyle w:val="TableParagraph"/>
              <w:spacing w:line="230" w:lineRule="exact"/>
              <w:ind w:left="38" w:right="2"/>
              <w:jc w:val="center"/>
              <w:rPr>
                <w:rFonts w:ascii="Calibri"/>
                <w:sz w:val="20"/>
              </w:rPr>
            </w:pPr>
            <w:r>
              <w:rPr>
                <w:rFonts w:ascii="Calibri"/>
                <w:sz w:val="20"/>
              </w:rPr>
              <mc:AlternateContent>
                <mc:Choice Requires="wps">
                  <w:drawing>
                    <wp:anchor distT="0" distB="0" distL="0" distR="0" allowOverlap="1" layoutInCell="1" locked="0" behindDoc="1" simplePos="0" relativeHeight="485015040">
                      <wp:simplePos x="0" y="0"/>
                      <wp:positionH relativeFrom="column">
                        <wp:posOffset>0</wp:posOffset>
                      </wp:positionH>
                      <wp:positionV relativeFrom="paragraph">
                        <wp:posOffset>-195199</wp:posOffset>
                      </wp:positionV>
                      <wp:extent cx="1324610" cy="404495"/>
                      <wp:effectExtent l="0" t="0" r="0" b="0"/>
                      <wp:wrapNone/>
                      <wp:docPr id="46" name="Group 46"/>
                      <wp:cNvGraphicFramePr>
                        <a:graphicFrameLocks/>
                      </wp:cNvGraphicFramePr>
                      <a:graphic>
                        <a:graphicData uri="http://schemas.microsoft.com/office/word/2010/wordprocessingGroup">
                          <wpg:wgp>
                            <wpg:cNvPr id="46" name="Group 46"/>
                            <wpg:cNvGrpSpPr/>
                            <wpg:grpSpPr>
                              <a:xfrm>
                                <a:off x="0" y="0"/>
                                <a:ext cx="1324610" cy="404495"/>
                                <a:chExt cx="1324610" cy="404495"/>
                              </a:xfrm>
                            </wpg:grpSpPr>
                            <wps:wsp>
                              <wps:cNvPr id="47" name="Graphic 47"/>
                              <wps:cNvSpPr/>
                              <wps:spPr>
                                <a:xfrm>
                                  <a:off x="0" y="0"/>
                                  <a:ext cx="1324610" cy="404495"/>
                                </a:xfrm>
                                <a:custGeom>
                                  <a:avLst/>
                                  <a:gdLst/>
                                  <a:ahLst/>
                                  <a:cxnLst/>
                                  <a:rect l="l" t="t" r="r" b="b"/>
                                  <a:pathLst>
                                    <a:path w="1324610" h="404495">
                                      <a:moveTo>
                                        <a:pt x="1324483" y="0"/>
                                      </a:moveTo>
                                      <a:lnTo>
                                        <a:pt x="0" y="0"/>
                                      </a:lnTo>
                                      <a:lnTo>
                                        <a:pt x="0" y="403961"/>
                                      </a:lnTo>
                                      <a:lnTo>
                                        <a:pt x="1324483" y="403961"/>
                                      </a:lnTo>
                                      <a:lnTo>
                                        <a:pt x="1324483"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0pt;margin-top:-15.370028pt;width:104.3pt;height:31.85pt;mso-position-horizontal-relative:column;mso-position-vertical-relative:paragraph;z-index:-18301440" id="docshapegroup44" coordorigin="0,-307" coordsize="2086,637">
                      <v:rect style="position:absolute;left:0;top:-308;width:2086;height:637" id="docshape45" filled="true" fillcolor="#ffffff" stroked="false">
                        <v:fill type="solid"/>
                      </v:rect>
                      <w10:wrap type="none"/>
                    </v:group>
                  </w:pict>
                </mc:Fallback>
              </mc:AlternateContent>
            </w:r>
            <w:r>
              <w:rPr>
                <w:rFonts w:ascii="Calibri"/>
                <w:sz w:val="20"/>
              </w:rPr>
              <w:t>autopoietic</w:t>
            </w:r>
            <w:r>
              <w:rPr>
                <w:rFonts w:ascii="Calibri"/>
                <w:spacing w:val="-11"/>
                <w:sz w:val="20"/>
              </w:rPr>
              <w:t> </w:t>
            </w:r>
            <w:r>
              <w:rPr>
                <w:rFonts w:ascii="Calibri"/>
                <w:spacing w:val="-2"/>
                <w:sz w:val="20"/>
              </w:rPr>
              <w:t>systems</w:t>
            </w:r>
          </w:p>
        </w:tc>
        <w:tc>
          <w:tcPr>
            <w:tcW w:w="209" w:type="dxa"/>
            <w:tcBorders>
              <w:top w:val="nil"/>
            </w:tcBorders>
          </w:tcPr>
          <w:p>
            <w:pPr>
              <w:pStyle w:val="TableParagraph"/>
              <w:rPr>
                <w:rFonts w:ascii="Times New Roman"/>
                <w:sz w:val="20"/>
              </w:rPr>
            </w:pPr>
          </w:p>
        </w:tc>
        <w:tc>
          <w:tcPr>
            <w:tcW w:w="209" w:type="dxa"/>
            <w:tcBorders>
              <w:top w:val="nil"/>
            </w:tcBorders>
          </w:tcPr>
          <w:p>
            <w:pPr>
              <w:pStyle w:val="TableParagraph"/>
              <w:rPr>
                <w:rFonts w:ascii="Times New Roman"/>
                <w:sz w:val="20"/>
              </w:rPr>
            </w:pPr>
          </w:p>
        </w:tc>
        <w:tc>
          <w:tcPr>
            <w:tcW w:w="2086" w:type="dxa"/>
            <w:vMerge w:val="restart"/>
          </w:tcPr>
          <w:p>
            <w:pPr>
              <w:pStyle w:val="TableParagraph"/>
              <w:spacing w:before="164"/>
              <w:ind w:left="392"/>
              <w:rPr>
                <w:rFonts w:ascii="Calibri"/>
                <w:sz w:val="20"/>
              </w:rPr>
            </w:pPr>
            <w:r>
              <w:rPr>
                <w:rFonts w:ascii="Calibri"/>
                <w:sz w:val="20"/>
              </w:rPr>
              <mc:AlternateContent>
                <mc:Choice Requires="wps">
                  <w:drawing>
                    <wp:anchor distT="0" distB="0" distL="0" distR="0" allowOverlap="1" layoutInCell="1" locked="0" behindDoc="1" simplePos="0" relativeHeight="485016064">
                      <wp:simplePos x="0" y="0"/>
                      <wp:positionH relativeFrom="column">
                        <wp:posOffset>0</wp:posOffset>
                      </wp:positionH>
                      <wp:positionV relativeFrom="paragraph">
                        <wp:posOffset>-14433</wp:posOffset>
                      </wp:positionV>
                      <wp:extent cx="1324610" cy="404495"/>
                      <wp:effectExtent l="0" t="0" r="0" b="0"/>
                      <wp:wrapNone/>
                      <wp:docPr id="48" name="Group 48"/>
                      <wp:cNvGraphicFramePr>
                        <a:graphicFrameLocks/>
                      </wp:cNvGraphicFramePr>
                      <a:graphic>
                        <a:graphicData uri="http://schemas.microsoft.com/office/word/2010/wordprocessingGroup">
                          <wpg:wgp>
                            <wpg:cNvPr id="48" name="Group 48"/>
                            <wpg:cNvGrpSpPr/>
                            <wpg:grpSpPr>
                              <a:xfrm>
                                <a:off x="0" y="0"/>
                                <a:ext cx="1324610" cy="404495"/>
                                <a:chExt cx="1324610" cy="404495"/>
                              </a:xfrm>
                            </wpg:grpSpPr>
                            <wps:wsp>
                              <wps:cNvPr id="49" name="Graphic 49"/>
                              <wps:cNvSpPr/>
                              <wps:spPr>
                                <a:xfrm>
                                  <a:off x="0" y="0"/>
                                  <a:ext cx="1324610" cy="404495"/>
                                </a:xfrm>
                                <a:custGeom>
                                  <a:avLst/>
                                  <a:gdLst/>
                                  <a:ahLst/>
                                  <a:cxnLst/>
                                  <a:rect l="l" t="t" r="r" b="b"/>
                                  <a:pathLst>
                                    <a:path w="1324610" h="404495">
                                      <a:moveTo>
                                        <a:pt x="1324483" y="0"/>
                                      </a:moveTo>
                                      <a:lnTo>
                                        <a:pt x="0" y="0"/>
                                      </a:lnTo>
                                      <a:lnTo>
                                        <a:pt x="0" y="403961"/>
                                      </a:lnTo>
                                      <a:lnTo>
                                        <a:pt x="1324483" y="403961"/>
                                      </a:lnTo>
                                      <a:lnTo>
                                        <a:pt x="1324483"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0pt;margin-top:-1.136489pt;width:104.3pt;height:31.85pt;mso-position-horizontal-relative:column;mso-position-vertical-relative:paragraph;z-index:-18300416" id="docshapegroup46" coordorigin="0,-23" coordsize="2086,637">
                      <v:rect style="position:absolute;left:0;top:-23;width:2086;height:637" id="docshape47" filled="true" fillcolor="#ffffff" stroked="false">
                        <v:fill type="solid"/>
                      </v:rect>
                      <w10:wrap type="none"/>
                    </v:group>
                  </w:pict>
                </mc:Fallback>
              </mc:AlternateContent>
            </w:r>
            <w:r>
              <w:rPr>
                <w:rFonts w:ascii="Calibri"/>
                <w:sz w:val="20"/>
              </w:rPr>
              <w:t>Psychic</w:t>
            </w:r>
            <w:r>
              <w:rPr>
                <w:rFonts w:ascii="Calibri"/>
                <w:spacing w:val="-7"/>
                <w:sz w:val="20"/>
              </w:rPr>
              <w:t> </w:t>
            </w:r>
            <w:r>
              <w:rPr>
                <w:rFonts w:ascii="Calibri"/>
                <w:spacing w:val="-2"/>
                <w:sz w:val="20"/>
              </w:rPr>
              <w:t>systems</w:t>
            </w:r>
          </w:p>
        </w:tc>
        <w:tc>
          <w:tcPr>
            <w:tcW w:w="2503" w:type="dxa"/>
            <w:gridSpan w:val="2"/>
            <w:vMerge w:val="restart"/>
            <w:tcBorders>
              <w:top w:val="nil"/>
              <w:bottom w:val="nil"/>
              <w:right w:val="nil"/>
            </w:tcBorders>
          </w:tcPr>
          <w:p>
            <w:pPr>
              <w:pStyle w:val="TableParagraph"/>
              <w:rPr>
                <w:rFonts w:ascii="Times New Roman"/>
                <w:sz w:val="24"/>
              </w:rPr>
            </w:pPr>
          </w:p>
        </w:tc>
      </w:tr>
      <w:tr>
        <w:trPr>
          <w:trHeight w:val="273" w:hRule="atLeast"/>
        </w:trPr>
        <w:tc>
          <w:tcPr>
            <w:tcW w:w="2086" w:type="dxa"/>
            <w:vMerge/>
            <w:tcBorders>
              <w:top w:val="nil"/>
            </w:tcBorders>
          </w:tcPr>
          <w:p>
            <w:pPr>
              <w:rPr>
                <w:sz w:val="2"/>
                <w:szCs w:val="2"/>
              </w:rPr>
            </w:pPr>
          </w:p>
        </w:tc>
        <w:tc>
          <w:tcPr>
            <w:tcW w:w="209" w:type="dxa"/>
            <w:tcBorders>
              <w:bottom w:val="nil"/>
            </w:tcBorders>
          </w:tcPr>
          <w:p>
            <w:pPr>
              <w:pStyle w:val="TableParagraph"/>
              <w:rPr>
                <w:rFonts w:ascii="Times New Roman"/>
                <w:sz w:val="20"/>
              </w:rPr>
            </w:pPr>
          </w:p>
        </w:tc>
        <w:tc>
          <w:tcPr>
            <w:tcW w:w="209" w:type="dxa"/>
            <w:tcBorders>
              <w:bottom w:val="nil"/>
            </w:tcBorders>
          </w:tcPr>
          <w:p>
            <w:pPr>
              <w:pStyle w:val="TableParagraph"/>
              <w:rPr>
                <w:rFonts w:ascii="Times New Roman"/>
                <w:sz w:val="20"/>
              </w:rPr>
            </w:pPr>
          </w:p>
        </w:tc>
        <w:tc>
          <w:tcPr>
            <w:tcW w:w="2086" w:type="dxa"/>
            <w:vMerge/>
            <w:tcBorders>
              <w:top w:val="nil"/>
            </w:tcBorders>
          </w:tcPr>
          <w:p>
            <w:pPr>
              <w:rPr>
                <w:sz w:val="2"/>
                <w:szCs w:val="2"/>
              </w:rPr>
            </w:pPr>
          </w:p>
        </w:tc>
        <w:tc>
          <w:tcPr>
            <w:tcW w:w="2503" w:type="dxa"/>
            <w:gridSpan w:val="2"/>
            <w:vMerge/>
            <w:tcBorders>
              <w:top w:val="nil"/>
              <w:bottom w:val="nil"/>
              <w:right w:val="nil"/>
            </w:tcBorders>
          </w:tcPr>
          <w:p>
            <w:pPr>
              <w:rPr>
                <w:sz w:val="2"/>
                <w:szCs w:val="2"/>
              </w:rPr>
            </w:pPr>
          </w:p>
        </w:tc>
      </w:tr>
      <w:tr>
        <w:trPr>
          <w:trHeight w:val="215" w:hRule="atLeast"/>
        </w:trPr>
        <w:tc>
          <w:tcPr>
            <w:tcW w:w="2295" w:type="dxa"/>
            <w:gridSpan w:val="2"/>
            <w:vMerge w:val="restart"/>
            <w:tcBorders>
              <w:top w:val="nil"/>
              <w:left w:val="nil"/>
              <w:bottom w:val="nil"/>
            </w:tcBorders>
          </w:tcPr>
          <w:p>
            <w:pPr>
              <w:pStyle w:val="TableParagraph"/>
              <w:rPr>
                <w:rFonts w:ascii="Times New Roman"/>
                <w:sz w:val="24"/>
              </w:rPr>
            </w:pPr>
          </w:p>
        </w:tc>
        <w:tc>
          <w:tcPr>
            <w:tcW w:w="4798" w:type="dxa"/>
            <w:gridSpan w:val="4"/>
            <w:tcBorders>
              <w:top w:val="nil"/>
              <w:bottom w:val="nil"/>
              <w:right w:val="nil"/>
            </w:tcBorders>
          </w:tcPr>
          <w:p>
            <w:pPr>
              <w:pStyle w:val="TableParagraph"/>
              <w:rPr>
                <w:rFonts w:ascii="Times New Roman"/>
                <w:sz w:val="14"/>
              </w:rPr>
            </w:pPr>
          </w:p>
        </w:tc>
      </w:tr>
      <w:tr>
        <w:trPr>
          <w:trHeight w:val="273" w:hRule="atLeast"/>
        </w:trPr>
        <w:tc>
          <w:tcPr>
            <w:tcW w:w="2295" w:type="dxa"/>
            <w:gridSpan w:val="2"/>
            <w:vMerge/>
            <w:tcBorders>
              <w:top w:val="nil"/>
              <w:left w:val="nil"/>
              <w:bottom w:val="nil"/>
            </w:tcBorders>
          </w:tcPr>
          <w:p>
            <w:pPr>
              <w:rPr>
                <w:sz w:val="2"/>
                <w:szCs w:val="2"/>
              </w:rPr>
            </w:pPr>
          </w:p>
        </w:tc>
        <w:tc>
          <w:tcPr>
            <w:tcW w:w="209" w:type="dxa"/>
            <w:tcBorders>
              <w:top w:val="nil"/>
            </w:tcBorders>
          </w:tcPr>
          <w:p>
            <w:pPr>
              <w:pStyle w:val="TableParagraph"/>
              <w:rPr>
                <w:rFonts w:ascii="Times New Roman"/>
                <w:sz w:val="20"/>
              </w:rPr>
            </w:pPr>
          </w:p>
        </w:tc>
        <w:tc>
          <w:tcPr>
            <w:tcW w:w="2086" w:type="dxa"/>
            <w:vMerge w:val="restart"/>
          </w:tcPr>
          <w:p>
            <w:pPr>
              <w:pStyle w:val="TableParagraph"/>
              <w:spacing w:before="164"/>
              <w:ind w:left="454"/>
              <w:rPr>
                <w:rFonts w:ascii="Calibri"/>
                <w:sz w:val="20"/>
              </w:rPr>
            </w:pPr>
            <w:r>
              <w:rPr>
                <w:rFonts w:ascii="Calibri"/>
                <w:sz w:val="20"/>
              </w:rPr>
              <mc:AlternateContent>
                <mc:Choice Requires="wps">
                  <w:drawing>
                    <wp:anchor distT="0" distB="0" distL="0" distR="0" allowOverlap="1" layoutInCell="1" locked="0" behindDoc="1" simplePos="0" relativeHeight="485016576">
                      <wp:simplePos x="0" y="0"/>
                      <wp:positionH relativeFrom="column">
                        <wp:posOffset>0</wp:posOffset>
                      </wp:positionH>
                      <wp:positionV relativeFrom="paragraph">
                        <wp:posOffset>-14687</wp:posOffset>
                      </wp:positionV>
                      <wp:extent cx="1324610" cy="404495"/>
                      <wp:effectExtent l="0" t="0" r="0" b="0"/>
                      <wp:wrapNone/>
                      <wp:docPr id="50" name="Group 50"/>
                      <wp:cNvGraphicFramePr>
                        <a:graphicFrameLocks/>
                      </wp:cNvGraphicFramePr>
                      <a:graphic>
                        <a:graphicData uri="http://schemas.microsoft.com/office/word/2010/wordprocessingGroup">
                          <wpg:wgp>
                            <wpg:cNvPr id="50" name="Group 50"/>
                            <wpg:cNvGrpSpPr/>
                            <wpg:grpSpPr>
                              <a:xfrm>
                                <a:off x="0" y="0"/>
                                <a:ext cx="1324610" cy="404495"/>
                                <a:chExt cx="1324610" cy="404495"/>
                              </a:xfrm>
                            </wpg:grpSpPr>
                            <wps:wsp>
                              <wps:cNvPr id="51" name="Graphic 51"/>
                              <wps:cNvSpPr/>
                              <wps:spPr>
                                <a:xfrm>
                                  <a:off x="0" y="0"/>
                                  <a:ext cx="1324610" cy="404495"/>
                                </a:xfrm>
                                <a:custGeom>
                                  <a:avLst/>
                                  <a:gdLst/>
                                  <a:ahLst/>
                                  <a:cxnLst/>
                                  <a:rect l="l" t="t" r="r" b="b"/>
                                  <a:pathLst>
                                    <a:path w="1324610" h="404495">
                                      <a:moveTo>
                                        <a:pt x="1324483" y="0"/>
                                      </a:moveTo>
                                      <a:lnTo>
                                        <a:pt x="0" y="0"/>
                                      </a:lnTo>
                                      <a:lnTo>
                                        <a:pt x="0" y="403961"/>
                                      </a:lnTo>
                                      <a:lnTo>
                                        <a:pt x="1324483" y="403961"/>
                                      </a:lnTo>
                                      <a:lnTo>
                                        <a:pt x="1324483"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0pt;margin-top:-1.156535pt;width:104.3pt;height:31.85pt;mso-position-horizontal-relative:column;mso-position-vertical-relative:paragraph;z-index:-18299904" id="docshapegroup48" coordorigin="0,-23" coordsize="2086,637">
                      <v:rect style="position:absolute;left:0;top:-24;width:2086;height:637" id="docshape49" filled="true" fillcolor="#ffffff" stroked="false">
                        <v:fill type="solid"/>
                      </v:rect>
                      <w10:wrap type="none"/>
                    </v:group>
                  </w:pict>
                </mc:Fallback>
              </mc:AlternateContent>
            </w:r>
            <w:r>
              <w:rPr>
                <w:rFonts w:ascii="Calibri"/>
                <w:sz w:val="20"/>
              </w:rPr>
              <w:t>Social</w:t>
            </w:r>
            <w:r>
              <w:rPr>
                <w:rFonts w:ascii="Calibri"/>
                <w:spacing w:val="-7"/>
                <w:sz w:val="20"/>
              </w:rPr>
              <w:t> </w:t>
            </w:r>
            <w:r>
              <w:rPr>
                <w:rFonts w:ascii="Calibri"/>
                <w:spacing w:val="-2"/>
                <w:sz w:val="20"/>
              </w:rPr>
              <w:t>systems</w:t>
            </w:r>
          </w:p>
        </w:tc>
        <w:tc>
          <w:tcPr>
            <w:tcW w:w="417" w:type="dxa"/>
            <w:tcBorders>
              <w:top w:val="nil"/>
            </w:tcBorders>
          </w:tcPr>
          <w:p>
            <w:pPr>
              <w:pStyle w:val="TableParagraph"/>
              <w:rPr>
                <w:rFonts w:ascii="Times New Roman"/>
                <w:sz w:val="20"/>
              </w:rPr>
            </w:pPr>
          </w:p>
        </w:tc>
        <w:tc>
          <w:tcPr>
            <w:tcW w:w="2086" w:type="dxa"/>
            <w:vMerge w:val="restart"/>
          </w:tcPr>
          <w:p>
            <w:pPr>
              <w:pStyle w:val="TableParagraph"/>
              <w:spacing w:line="230" w:lineRule="exact" w:before="55"/>
              <w:ind w:left="44" w:right="6"/>
              <w:jc w:val="center"/>
              <w:rPr>
                <w:rFonts w:ascii="Calibri"/>
                <w:sz w:val="20"/>
              </w:rPr>
            </w:pPr>
            <w:r>
              <w:rPr>
                <w:rFonts w:ascii="Calibri"/>
                <w:sz w:val="20"/>
              </w:rPr>
              <w:t>societies,</w:t>
            </w:r>
            <w:r>
              <w:rPr>
                <w:rFonts w:ascii="Calibri"/>
                <w:spacing w:val="-4"/>
                <w:sz w:val="20"/>
              </w:rPr>
              <w:t> </w:t>
            </w:r>
            <w:r>
              <w:rPr>
                <w:rFonts w:ascii="Calibri"/>
                <w:spacing w:val="-2"/>
                <w:sz w:val="20"/>
              </w:rPr>
              <w:t>organizations,</w:t>
            </w:r>
          </w:p>
          <w:p>
            <w:pPr>
              <w:pStyle w:val="TableParagraph"/>
              <w:spacing w:line="230" w:lineRule="exact"/>
              <w:ind w:left="44"/>
              <w:jc w:val="center"/>
              <w:rPr>
                <w:rFonts w:ascii="Calibri"/>
                <w:sz w:val="20"/>
              </w:rPr>
            </w:pPr>
            <w:r>
              <w:rPr>
                <w:rFonts w:ascii="Calibri"/>
                <w:spacing w:val="-2"/>
                <w:sz w:val="20"/>
              </w:rPr>
              <w:t>interactions</w:t>
            </w:r>
          </w:p>
        </w:tc>
      </w:tr>
      <w:tr>
        <w:trPr>
          <w:trHeight w:val="273" w:hRule="atLeast"/>
        </w:trPr>
        <w:tc>
          <w:tcPr>
            <w:tcW w:w="2504" w:type="dxa"/>
            <w:gridSpan w:val="3"/>
            <w:tcBorders>
              <w:top w:val="nil"/>
              <w:left w:val="nil"/>
              <w:bottom w:val="nil"/>
            </w:tcBorders>
          </w:tcPr>
          <w:p>
            <w:pPr>
              <w:pStyle w:val="TableParagraph"/>
              <w:rPr>
                <w:rFonts w:ascii="Times New Roman"/>
                <w:sz w:val="20"/>
              </w:rPr>
            </w:pPr>
          </w:p>
        </w:tc>
        <w:tc>
          <w:tcPr>
            <w:tcW w:w="2086" w:type="dxa"/>
            <w:vMerge/>
            <w:tcBorders>
              <w:top w:val="nil"/>
            </w:tcBorders>
          </w:tcPr>
          <w:p>
            <w:pPr>
              <w:rPr>
                <w:sz w:val="2"/>
                <w:szCs w:val="2"/>
              </w:rPr>
            </w:pPr>
          </w:p>
        </w:tc>
        <w:tc>
          <w:tcPr>
            <w:tcW w:w="417" w:type="dxa"/>
            <w:tcBorders>
              <w:bottom w:val="nil"/>
            </w:tcBorders>
          </w:tcPr>
          <w:p>
            <w:pPr>
              <w:pStyle w:val="TableParagraph"/>
              <w:rPr>
                <w:rFonts w:ascii="Times New Roman"/>
                <w:sz w:val="20"/>
              </w:rPr>
            </w:pPr>
          </w:p>
        </w:tc>
        <w:tc>
          <w:tcPr>
            <w:tcW w:w="2086" w:type="dxa"/>
            <w:vMerge/>
            <w:tcBorders>
              <w:top w:val="nil"/>
            </w:tcBorders>
          </w:tcPr>
          <w:p>
            <w:pPr>
              <w:rPr>
                <w:sz w:val="2"/>
                <w:szCs w:val="2"/>
              </w:rPr>
            </w:pPr>
          </w:p>
        </w:tc>
      </w:tr>
    </w:tbl>
    <w:p>
      <w:pPr>
        <w:pStyle w:val="BodyText"/>
        <w:ind w:left="0"/>
        <w:jc w:val="left"/>
        <w:rPr>
          <w:rFonts w:ascii="Calibri"/>
          <w:b/>
          <w:sz w:val="18"/>
        </w:rPr>
      </w:pPr>
    </w:p>
    <w:p>
      <w:pPr>
        <w:pStyle w:val="BodyText"/>
        <w:ind w:left="0"/>
        <w:jc w:val="left"/>
        <w:rPr>
          <w:rFonts w:ascii="Calibri"/>
          <w:b/>
          <w:sz w:val="18"/>
        </w:rPr>
      </w:pPr>
    </w:p>
    <w:p>
      <w:pPr>
        <w:pStyle w:val="BodyText"/>
        <w:ind w:left="0"/>
        <w:jc w:val="left"/>
        <w:rPr>
          <w:rFonts w:ascii="Calibri"/>
          <w:b/>
          <w:sz w:val="18"/>
        </w:rPr>
      </w:pPr>
    </w:p>
    <w:p>
      <w:pPr>
        <w:pStyle w:val="BodyText"/>
        <w:spacing w:before="110"/>
        <w:ind w:left="0"/>
        <w:jc w:val="left"/>
        <w:rPr>
          <w:rFonts w:ascii="Calibri"/>
          <w:b/>
          <w:sz w:val="18"/>
        </w:rPr>
      </w:pPr>
    </w:p>
    <w:p>
      <w:pPr>
        <w:pStyle w:val="BodyText"/>
        <w:spacing w:line="271" w:lineRule="auto"/>
        <w:ind w:right="1902" w:firstLine="720"/>
      </w:pPr>
      <w:r>
        <w:rPr/>
        <w:t>We focus on social systems. </w:t>
      </w:r>
      <w:r>
        <w:rPr>
          <w:sz w:val="27"/>
        </w:rPr>
        <w:t>Luhmann </w:t>
      </w:r>
      <w:r>
        <w:rPr/>
        <w:t>proposes a concept of ‘communication’ as a particular model of autopoietic reproduction. Communications within the system are elements that “are recursively produced and reproduced by a</w:t>
      </w:r>
      <w:r>
        <w:rPr>
          <w:spacing w:val="-2"/>
        </w:rPr>
        <w:t> </w:t>
      </w:r>
      <w:r>
        <w:rPr/>
        <w:t>network of communications and that cannot exist outside of such networks.”(</w:t>
      </w:r>
      <w:hyperlink w:history="true" w:anchor="_bookmark266">
        <w:r>
          <w:rPr/>
          <w:t>Luhmann, 1990a, p. 3</w:t>
        </w:r>
      </w:hyperlink>
      <w:r>
        <w:rPr/>
        <w:t>) Communication needs three components on place to exist: </w:t>
      </w:r>
      <w:r>
        <w:rPr>
          <w:sz w:val="27"/>
        </w:rPr>
        <w:t>information, utterance </w:t>
      </w:r>
      <w:r>
        <w:rPr/>
        <w:t>and </w:t>
      </w:r>
      <w:r>
        <w:rPr>
          <w:sz w:val="27"/>
        </w:rPr>
        <w:t>understanding</w:t>
      </w:r>
      <w:r>
        <w:rPr/>
        <w:t>. None of those components exist independently of the system. Even information, argues </w:t>
      </w:r>
      <w:r>
        <w:rPr>
          <w:sz w:val="27"/>
        </w:rPr>
        <w:t>Luhmann, is not something that system takes</w:t>
      </w:r>
      <w:r>
        <w:rPr>
          <w:spacing w:val="-9"/>
          <w:sz w:val="27"/>
        </w:rPr>
        <w:t> </w:t>
      </w:r>
      <w:r>
        <w:rPr>
          <w:sz w:val="27"/>
        </w:rPr>
        <w:t>from</w:t>
      </w:r>
      <w:r>
        <w:rPr>
          <w:spacing w:val="-9"/>
          <w:sz w:val="27"/>
        </w:rPr>
        <w:t> </w:t>
      </w:r>
      <w:r>
        <w:rPr>
          <w:sz w:val="27"/>
        </w:rPr>
        <w:t>the</w:t>
      </w:r>
      <w:r>
        <w:rPr>
          <w:spacing w:val="-8"/>
          <w:sz w:val="27"/>
        </w:rPr>
        <w:t> </w:t>
      </w:r>
      <w:r>
        <w:rPr>
          <w:sz w:val="27"/>
        </w:rPr>
        <w:t>environment,</w:t>
      </w:r>
      <w:r>
        <w:rPr>
          <w:spacing w:val="-1"/>
          <w:sz w:val="27"/>
        </w:rPr>
        <w:t> </w:t>
      </w:r>
      <w:r>
        <w:rPr/>
        <w:t>system</w:t>
      </w:r>
      <w:r>
        <w:rPr>
          <w:spacing w:val="-3"/>
        </w:rPr>
        <w:t> </w:t>
      </w:r>
      <w:r>
        <w:rPr/>
        <w:t>selects</w:t>
      </w:r>
      <w:r>
        <w:rPr>
          <w:spacing w:val="-3"/>
        </w:rPr>
        <w:t> </w:t>
      </w:r>
      <w:r>
        <w:rPr/>
        <w:t>particular information,</w:t>
      </w:r>
      <w:r>
        <w:rPr>
          <w:spacing w:val="-4"/>
        </w:rPr>
        <w:t> </w:t>
      </w:r>
      <w:r>
        <w:rPr/>
        <w:t>from</w:t>
      </w:r>
      <w:r>
        <w:rPr>
          <w:spacing w:val="-7"/>
        </w:rPr>
        <w:t> </w:t>
      </w:r>
      <w:r>
        <w:rPr/>
        <w:t>all the possibilities, which could have been selected.</w:t>
      </w:r>
    </w:p>
    <w:p>
      <w:pPr>
        <w:pStyle w:val="BodyText"/>
        <w:spacing w:line="276" w:lineRule="auto" w:before="3"/>
        <w:ind w:right="1913" w:firstLine="720"/>
      </w:pPr>
      <w:r>
        <w:rPr/>
        <w:t>Selection and distinction are the basic operations which make communication possible, when we try to select a behavior to communicate, the behavior represents nothing but drawing the distinction between the information and utterance. (</w:t>
      </w:r>
      <w:hyperlink w:history="true" w:anchor="_bookmark269">
        <w:r>
          <w:rPr/>
          <w:t>Luhmann, 1995, p. 140</w:t>
        </w:r>
      </w:hyperlink>
      <w:r>
        <w:rPr/>
        <w:t>)</w:t>
      </w:r>
    </w:p>
    <w:p>
      <w:pPr>
        <w:pStyle w:val="BodyText"/>
        <w:spacing w:line="276" w:lineRule="auto"/>
        <w:ind w:right="1904" w:firstLine="720"/>
      </w:pPr>
      <w:r>
        <w:rPr/>
        <w:t>Here the utterance deals with ‘how’ and ‘why’ aspects of communication. A single individual cannot establish communication. Only understanding of uttered information, makes the act complete.</w:t>
      </w:r>
    </w:p>
    <w:p>
      <w:pPr>
        <w:pStyle w:val="BodyText"/>
        <w:spacing w:line="266" w:lineRule="auto"/>
        <w:ind w:right="1902" w:firstLine="720"/>
        <w:rPr>
          <w:sz w:val="27"/>
        </w:rPr>
      </w:pPr>
      <w:r>
        <w:rPr/>
        <w:t>Societies, as defined by </w:t>
      </w:r>
      <w:r>
        <w:rPr>
          <w:sz w:val="27"/>
        </w:rPr>
        <w:t>Luhmann </w:t>
      </w:r>
      <w:r>
        <w:rPr/>
        <w:t>are encompassing systems because “they include all </w:t>
      </w:r>
      <w:r>
        <w:rPr>
          <w:sz w:val="27"/>
        </w:rPr>
        <w:t>events </w:t>
      </w:r>
      <w:r>
        <w:rPr/>
        <w:t>that for them have quality of communication.” (</w:t>
      </w:r>
      <w:hyperlink w:history="true" w:anchor="_bookmark266">
        <w:r>
          <w:rPr/>
          <w:t>Luhmann,</w:t>
        </w:r>
        <w:r>
          <w:rPr>
            <w:spacing w:val="15"/>
          </w:rPr>
          <w:t> </w:t>
        </w:r>
        <w:r>
          <w:rPr/>
          <w:t>1990a,</w:t>
        </w:r>
        <w:r>
          <w:rPr>
            <w:spacing w:val="11"/>
          </w:rPr>
          <w:t> </w:t>
        </w:r>
        <w:r>
          <w:rPr/>
          <w:t>p.</w:t>
        </w:r>
        <w:r>
          <w:rPr>
            <w:spacing w:val="15"/>
          </w:rPr>
          <w:t> </w:t>
        </w:r>
        <w:r>
          <w:rPr/>
          <w:t>5</w:t>
        </w:r>
      </w:hyperlink>
      <w:r>
        <w:rPr/>
        <w:t>)</w:t>
      </w:r>
      <w:r>
        <w:rPr>
          <w:spacing w:val="16"/>
        </w:rPr>
        <w:t> </w:t>
      </w:r>
      <w:r>
        <w:rPr/>
        <w:t>The</w:t>
      </w:r>
      <w:r>
        <w:rPr>
          <w:spacing w:val="13"/>
        </w:rPr>
        <w:t> </w:t>
      </w:r>
      <w:r>
        <w:rPr/>
        <w:t>concept</w:t>
      </w:r>
      <w:r>
        <w:rPr>
          <w:spacing w:val="14"/>
        </w:rPr>
        <w:t> </w:t>
      </w:r>
      <w:r>
        <w:rPr/>
        <w:t>of</w:t>
      </w:r>
      <w:r>
        <w:rPr>
          <w:spacing w:val="12"/>
        </w:rPr>
        <w:t> </w:t>
      </w:r>
      <w:r>
        <w:rPr/>
        <w:t>event</w:t>
      </w:r>
      <w:r>
        <w:rPr>
          <w:spacing w:val="14"/>
        </w:rPr>
        <w:t> </w:t>
      </w:r>
      <w:r>
        <w:rPr/>
        <w:t>was</w:t>
      </w:r>
      <w:r>
        <w:rPr>
          <w:spacing w:val="12"/>
        </w:rPr>
        <w:t> </w:t>
      </w:r>
      <w:r>
        <w:rPr/>
        <w:t>introduced</w:t>
      </w:r>
      <w:r>
        <w:rPr>
          <w:spacing w:val="12"/>
        </w:rPr>
        <w:t> </w:t>
      </w:r>
      <w:r>
        <w:rPr/>
        <w:t>by</w:t>
      </w:r>
      <w:r>
        <w:rPr>
          <w:spacing w:val="19"/>
        </w:rPr>
        <w:t> </w:t>
      </w:r>
      <w:r>
        <w:rPr>
          <w:spacing w:val="-2"/>
          <w:sz w:val="27"/>
        </w:rPr>
        <w:t>Luhmann</w:t>
      </w:r>
    </w:p>
    <w:p>
      <w:pPr>
        <w:pStyle w:val="BodyText"/>
        <w:spacing w:after="0" w:line="266" w:lineRule="auto"/>
        <w:rPr>
          <w:sz w:val="27"/>
        </w:rPr>
        <w:sectPr>
          <w:pgSz w:w="12240" w:h="15840"/>
          <w:pgMar w:header="1046" w:footer="0" w:top="1360" w:bottom="280" w:left="720" w:right="360"/>
        </w:sectPr>
      </w:pPr>
    </w:p>
    <w:p>
      <w:pPr>
        <w:pStyle w:val="BodyText"/>
        <w:spacing w:line="271" w:lineRule="auto" w:before="276"/>
        <w:ind w:right="1900"/>
      </w:pPr>
      <w:r>
        <w:rPr/>
        <w:t>as</w:t>
      </w:r>
      <w:r>
        <w:rPr>
          <w:spacing w:val="-3"/>
        </w:rPr>
        <w:t> </w:t>
      </w:r>
      <w:r>
        <w:rPr/>
        <w:t>he</w:t>
      </w:r>
      <w:r>
        <w:rPr>
          <w:spacing w:val="-1"/>
        </w:rPr>
        <w:t> </w:t>
      </w:r>
      <w:r>
        <w:rPr/>
        <w:t>had radicalized a</w:t>
      </w:r>
      <w:r>
        <w:rPr>
          <w:spacing w:val="-1"/>
        </w:rPr>
        <w:t> </w:t>
      </w:r>
      <w:r>
        <w:rPr/>
        <w:t>temporal</w:t>
      </w:r>
      <w:r>
        <w:rPr>
          <w:spacing w:val="-3"/>
        </w:rPr>
        <w:t> </w:t>
      </w:r>
      <w:r>
        <w:rPr/>
        <w:t>aspect</w:t>
      </w:r>
      <w:r>
        <w:rPr>
          <w:spacing w:val="-1"/>
        </w:rPr>
        <w:t> </w:t>
      </w:r>
      <w:r>
        <w:rPr/>
        <w:t>of</w:t>
      </w:r>
      <w:r>
        <w:rPr>
          <w:spacing w:val="-2"/>
        </w:rPr>
        <w:t> </w:t>
      </w:r>
      <w:r>
        <w:rPr/>
        <w:t>autopoiesis. (</w:t>
      </w:r>
      <w:hyperlink w:history="true" w:anchor="_bookmark387">
        <w:r>
          <w:rPr/>
          <w:t>David</w:t>
        </w:r>
        <w:r>
          <w:rPr>
            <w:spacing w:val="40"/>
          </w:rPr>
          <w:t> </w:t>
        </w:r>
        <w:r>
          <w:rPr/>
          <w:t>Seidl, 2004, p.</w:t>
        </w:r>
      </w:hyperlink>
      <w:r>
        <w:rPr/>
        <w:t> </w:t>
      </w:r>
      <w:hyperlink w:history="true" w:anchor="_bookmark387">
        <w:r>
          <w:rPr/>
          <w:t>6</w:t>
        </w:r>
      </w:hyperlink>
      <w:r>
        <w:rPr/>
        <w:t>) </w:t>
      </w:r>
      <w:r>
        <w:rPr>
          <w:sz w:val="27"/>
        </w:rPr>
        <w:t>Maturana </w:t>
      </w:r>
      <w:r>
        <w:rPr/>
        <w:t>and </w:t>
      </w:r>
      <w:r>
        <w:rPr>
          <w:sz w:val="27"/>
        </w:rPr>
        <w:t>Varela </w:t>
      </w:r>
      <w:r>
        <w:rPr/>
        <w:t>do not look at happenings in organism as sudden events; the autopoiesis happens constantly and relations take place in a gradual manner “minute after minute.” For </w:t>
      </w:r>
      <w:r>
        <w:rPr>
          <w:sz w:val="27"/>
        </w:rPr>
        <w:t>Luhmann </w:t>
      </w:r>
      <w:r>
        <w:rPr/>
        <w:t>however, the events are momentary they happen and pass away.</w:t>
      </w:r>
    </w:p>
    <w:p>
      <w:pPr>
        <w:pStyle w:val="BodyText"/>
        <w:spacing w:line="271" w:lineRule="auto" w:before="4"/>
        <w:ind w:right="1907" w:firstLine="720"/>
      </w:pPr>
      <w:r>
        <w:rPr/>
        <w:t>To the contrary, to classical analyses of the society, which focus on human as a central object of research, </w:t>
      </w:r>
      <w:r>
        <w:rPr>
          <w:sz w:val="27"/>
        </w:rPr>
        <w:t>Luhmann</w:t>
      </w:r>
      <w:r>
        <w:rPr/>
        <w:t>’s approach is event- </w:t>
      </w:r>
      <w:r>
        <w:rPr>
          <w:spacing w:val="-2"/>
        </w:rPr>
        <w:t>oriented:</w:t>
      </w:r>
    </w:p>
    <w:p>
      <w:pPr>
        <w:pStyle w:val="BodyText"/>
        <w:spacing w:line="276" w:lineRule="auto" w:before="6"/>
        <w:ind w:left="2420" w:right="1906"/>
      </w:pPr>
      <w:r>
        <w:rPr/>
        <mc:AlternateContent>
          <mc:Choice Requires="wps">
            <w:drawing>
              <wp:anchor distT="0" distB="0" distL="0" distR="0" allowOverlap="1" layoutInCell="1" locked="0" behindDoc="0" simplePos="0" relativeHeight="15750656">
                <wp:simplePos x="0" y="0"/>
                <wp:positionH relativeFrom="page">
                  <wp:posOffset>1923923</wp:posOffset>
                </wp:positionH>
                <wp:positionV relativeFrom="paragraph">
                  <wp:posOffset>2588</wp:posOffset>
                </wp:positionV>
                <wp:extent cx="1270" cy="1250315"/>
                <wp:effectExtent l="0" t="0" r="0" b="0"/>
                <wp:wrapNone/>
                <wp:docPr id="52" name="Graphic 52"/>
                <wp:cNvGraphicFramePr>
                  <a:graphicFrameLocks/>
                </wp:cNvGraphicFramePr>
                <a:graphic>
                  <a:graphicData uri="http://schemas.microsoft.com/office/word/2010/wordprocessingShape">
                    <wps:wsp>
                      <wps:cNvPr id="52" name="Graphic 52"/>
                      <wps:cNvSpPr/>
                      <wps:spPr>
                        <a:xfrm>
                          <a:off x="0" y="0"/>
                          <a:ext cx="1270" cy="1250315"/>
                        </a:xfrm>
                        <a:custGeom>
                          <a:avLst/>
                          <a:gdLst/>
                          <a:ahLst/>
                          <a:cxnLst/>
                          <a:rect l="l" t="t" r="r" b="b"/>
                          <a:pathLst>
                            <a:path w="0" h="1250315">
                              <a:moveTo>
                                <a:pt x="0" y="0"/>
                              </a:moveTo>
                              <a:lnTo>
                                <a:pt x="0" y="249935"/>
                              </a:lnTo>
                            </a:path>
                            <a:path w="0" h="1250315">
                              <a:moveTo>
                                <a:pt x="0" y="249935"/>
                              </a:moveTo>
                              <a:lnTo>
                                <a:pt x="0" y="499872"/>
                              </a:lnTo>
                            </a:path>
                            <a:path w="0" h="1250315">
                              <a:moveTo>
                                <a:pt x="0" y="499872"/>
                              </a:moveTo>
                              <a:lnTo>
                                <a:pt x="0" y="750188"/>
                              </a:lnTo>
                            </a:path>
                            <a:path w="0" h="1250315">
                              <a:moveTo>
                                <a:pt x="0" y="750188"/>
                              </a:moveTo>
                              <a:lnTo>
                                <a:pt x="0" y="1000124"/>
                              </a:lnTo>
                            </a:path>
                            <a:path w="0" h="1250315">
                              <a:moveTo>
                                <a:pt x="0" y="1000124"/>
                              </a:moveTo>
                              <a:lnTo>
                                <a:pt x="0" y="1250060"/>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20384pt;width:.1pt;height:98.45pt;mso-position-horizontal-relative:page;mso-position-vertical-relative:paragraph;z-index:15750656" id="docshape50" coordorigin="3030,4" coordsize="0,1969" path="m3030,4l3030,398m3030,398l3030,791m3030,791l3030,1185m3030,1185l3030,1579m3030,1579l3030,1973e" filled="false" stroked="true" strokeweight=".48pt" strokecolor="#000000">
                <v:path arrowok="t"/>
                <v:stroke dashstyle="shortdash"/>
                <w10:wrap type="none"/>
              </v:shape>
            </w:pict>
          </mc:Fallback>
        </mc:AlternateContent>
      </w:r>
      <w:r>
        <w:rPr/>
        <w:t>“As opposed to the traditional Old European attempt to describe society on the basis of its members (that is: a group of people or a community), systems theory tries to describe society on the basis of its events: it looks at what actually </w:t>
      </w:r>
      <w:r>
        <w:rPr>
          <w:spacing w:val="-2"/>
        </w:rPr>
        <w:t>happens.”</w:t>
      </w:r>
    </w:p>
    <w:p>
      <w:pPr>
        <w:pStyle w:val="BodyText"/>
        <w:ind w:left="1700" w:firstLine="5305"/>
      </w:pPr>
      <w:r>
        <w:rPr/>
        <w:t>(</w:t>
      </w:r>
      <w:hyperlink w:history="true" w:anchor="_bookmark297">
        <w:r>
          <w:rPr/>
          <w:t>Moeller,</w:t>
        </w:r>
        <w:r>
          <w:rPr>
            <w:spacing w:val="-6"/>
          </w:rPr>
          <w:t> </w:t>
        </w:r>
        <w:r>
          <w:rPr/>
          <w:t>2006,</w:t>
        </w:r>
        <w:r>
          <w:rPr>
            <w:spacing w:val="-10"/>
          </w:rPr>
          <w:t> </w:t>
        </w:r>
        <w:r>
          <w:rPr/>
          <w:t>p.</w:t>
        </w:r>
        <w:r>
          <w:rPr>
            <w:spacing w:val="-5"/>
          </w:rPr>
          <w:t> 6</w:t>
        </w:r>
      </w:hyperlink>
      <w:r>
        <w:rPr>
          <w:spacing w:val="-5"/>
        </w:rPr>
        <w:t>)</w:t>
      </w:r>
    </w:p>
    <w:p>
      <w:pPr>
        <w:pStyle w:val="BodyText"/>
        <w:spacing w:line="276" w:lineRule="auto" w:before="41"/>
        <w:ind w:right="1903" w:firstLine="720"/>
      </w:pPr>
      <w:r>
        <w:rPr/>
        <w:t>Central paradigm of the Systems theory as described by </w:t>
      </w:r>
      <w:r>
        <w:rPr>
          <w:sz w:val="27"/>
        </w:rPr>
        <w:t>Luhmann </w:t>
      </w:r>
      <w:r>
        <w:rPr/>
        <w:t>is not a system, but rather relations between the system and environment.</w:t>
      </w:r>
      <w:r>
        <w:rPr>
          <w:spacing w:val="40"/>
        </w:rPr>
        <w:t> </w:t>
      </w:r>
      <w:r>
        <w:rPr/>
        <w:t>The most important descriptive category here is concept of difference: “All functional analyses lies in the difference between system and</w:t>
      </w:r>
      <w:r>
        <w:rPr>
          <w:spacing w:val="80"/>
        </w:rPr>
        <w:t> </w:t>
      </w:r>
      <w:r>
        <w:rPr/>
        <w:t>environment.” (</w:t>
      </w:r>
      <w:hyperlink w:history="true" w:anchor="_bookmark269">
        <w:r>
          <w:rPr/>
          <w:t>Luhmann, 1995, p. 176</w:t>
        </w:r>
      </w:hyperlink>
      <w:r>
        <w:rPr/>
        <w:t>) self-referential systems shape own identities only after acknowledging the difference between themselves and the environments. They draw the distinction using internal operations:</w:t>
      </w:r>
      <w:r>
        <w:rPr>
          <w:spacing w:val="40"/>
        </w:rPr>
        <w:t> </w:t>
      </w:r>
      <w:r>
        <w:rPr/>
        <w:t>“The difference between system and environment arises merely because an operation produces a subsequent operation of the same type.” (</w:t>
      </w:r>
      <w:hyperlink w:history="true" w:anchor="_bookmark270">
        <w:r>
          <w:rPr/>
          <w:t>Luhmann,</w:t>
        </w:r>
      </w:hyperlink>
      <w:r>
        <w:rPr/>
        <w:t> </w:t>
      </w:r>
      <w:hyperlink w:history="true" w:anchor="_bookmark270">
        <w:r>
          <w:rPr/>
          <w:t>Baecker, &amp; Gilgen, 2013, p. 52</w:t>
        </w:r>
      </w:hyperlink>
      <w:r>
        <w:rPr/>
        <w:t>)</w:t>
      </w:r>
    </w:p>
    <w:p>
      <w:pPr>
        <w:pStyle w:val="BodyText"/>
        <w:spacing w:line="340" w:lineRule="exact"/>
        <w:ind w:left="1700"/>
      </w:pPr>
      <w:r>
        <w:rPr>
          <w:sz w:val="27"/>
        </w:rPr>
        <w:t>Luhmann</w:t>
      </w:r>
      <w:r>
        <w:rPr>
          <w:spacing w:val="17"/>
          <w:sz w:val="27"/>
        </w:rPr>
        <w:t> </w:t>
      </w:r>
      <w:r>
        <w:rPr/>
        <w:t>proposes</w:t>
      </w:r>
      <w:r>
        <w:rPr>
          <w:spacing w:val="19"/>
        </w:rPr>
        <w:t> </w:t>
      </w:r>
      <w:r>
        <w:rPr/>
        <w:t>an</w:t>
      </w:r>
      <w:r>
        <w:rPr>
          <w:spacing w:val="20"/>
        </w:rPr>
        <w:t> </w:t>
      </w:r>
      <w:r>
        <w:rPr/>
        <w:t>important</w:t>
      </w:r>
      <w:r>
        <w:rPr>
          <w:spacing w:val="17"/>
        </w:rPr>
        <w:t> </w:t>
      </w:r>
      <w:r>
        <w:rPr/>
        <w:t>statement</w:t>
      </w:r>
      <w:r>
        <w:rPr>
          <w:spacing w:val="23"/>
        </w:rPr>
        <w:t> </w:t>
      </w:r>
      <w:r>
        <w:rPr/>
        <w:t>for</w:t>
      </w:r>
      <w:r>
        <w:rPr>
          <w:spacing w:val="17"/>
        </w:rPr>
        <w:t> </w:t>
      </w:r>
      <w:r>
        <w:rPr/>
        <w:t>the</w:t>
      </w:r>
      <w:r>
        <w:rPr>
          <w:spacing w:val="18"/>
        </w:rPr>
        <w:t> </w:t>
      </w:r>
      <w:r>
        <w:rPr/>
        <w:t>further</w:t>
      </w:r>
      <w:r>
        <w:rPr>
          <w:spacing w:val="18"/>
        </w:rPr>
        <w:t> </w:t>
      </w:r>
      <w:r>
        <w:rPr>
          <w:spacing w:val="-2"/>
        </w:rPr>
        <w:t>analysis:</w:t>
      </w:r>
    </w:p>
    <w:p>
      <w:pPr>
        <w:pStyle w:val="BodyText"/>
        <w:spacing w:line="273" w:lineRule="auto" w:before="53"/>
        <w:ind w:right="1903"/>
      </w:pPr>
      <w:r>
        <w:rPr/>
        <w:t>“the environment is always more complex than the system itself.” (</w:t>
      </w:r>
      <w:hyperlink w:history="true" w:anchor="_bookmark269">
        <w:r>
          <w:rPr/>
          <w:t>Luhmann, 1995, p. 182</w:t>
        </w:r>
      </w:hyperlink>
      <w:r>
        <w:rPr/>
        <w:t>) He argues that society will never be able to meet environmental</w:t>
      </w:r>
      <w:r>
        <w:rPr>
          <w:spacing w:val="-12"/>
        </w:rPr>
        <w:t> </w:t>
      </w:r>
      <w:r>
        <w:rPr/>
        <w:t>variety</w:t>
      </w:r>
      <w:r>
        <w:rPr>
          <w:spacing w:val="-10"/>
        </w:rPr>
        <w:t> </w:t>
      </w:r>
      <w:r>
        <w:rPr/>
        <w:t>with</w:t>
      </w:r>
      <w:r>
        <w:rPr>
          <w:spacing w:val="-10"/>
        </w:rPr>
        <w:t> </w:t>
      </w:r>
      <w:r>
        <w:rPr/>
        <w:t>desired</w:t>
      </w:r>
      <w:r>
        <w:rPr>
          <w:spacing w:val="-3"/>
        </w:rPr>
        <w:t> </w:t>
      </w:r>
      <w:r>
        <w:rPr>
          <w:sz w:val="27"/>
        </w:rPr>
        <w:t>requisite</w:t>
      </w:r>
      <w:r>
        <w:rPr>
          <w:spacing w:val="-9"/>
          <w:sz w:val="27"/>
        </w:rPr>
        <w:t> </w:t>
      </w:r>
      <w:r>
        <w:rPr>
          <w:sz w:val="27"/>
        </w:rPr>
        <w:t>variety,</w:t>
      </w:r>
      <w:r>
        <w:rPr>
          <w:position w:val="7"/>
          <w:sz w:val="15"/>
        </w:rPr>
        <w:t>9</w:t>
      </w:r>
      <w:r>
        <w:rPr>
          <w:spacing w:val="19"/>
          <w:position w:val="7"/>
          <w:sz w:val="15"/>
        </w:rPr>
        <w:t> </w:t>
      </w:r>
      <w:r>
        <w:rPr/>
        <w:t>that’s</w:t>
      </w:r>
      <w:r>
        <w:rPr>
          <w:spacing w:val="-12"/>
        </w:rPr>
        <w:t> </w:t>
      </w:r>
      <w:r>
        <w:rPr/>
        <w:t>why</w:t>
      </w:r>
      <w:r>
        <w:rPr>
          <w:spacing w:val="-10"/>
        </w:rPr>
        <w:t> </w:t>
      </w:r>
      <w:r>
        <w:rPr/>
        <w:t>the</w:t>
      </w:r>
      <w:r>
        <w:rPr>
          <w:spacing w:val="-10"/>
        </w:rPr>
        <w:t> </w:t>
      </w:r>
      <w:r>
        <w:rPr/>
        <w:t>system should compensate its inferiority by “superior order.”</w:t>
      </w:r>
    </w:p>
    <w:p>
      <w:pPr>
        <w:pStyle w:val="BodyText"/>
        <w:spacing w:line="276" w:lineRule="auto"/>
        <w:ind w:right="1910" w:firstLine="720"/>
      </w:pPr>
      <w:r>
        <w:rPr/>
        <w:t>Operations that create and reproduce the system are distinct from</w:t>
      </w:r>
      <w:r>
        <w:rPr>
          <w:spacing w:val="40"/>
        </w:rPr>
        <w:t> </w:t>
      </w:r>
      <w:r>
        <w:rPr/>
        <w:t>the</w:t>
      </w:r>
      <w:r>
        <w:rPr>
          <w:spacing w:val="52"/>
          <w:w w:val="150"/>
        </w:rPr>
        <w:t> </w:t>
      </w:r>
      <w:r>
        <w:rPr/>
        <w:t>causality</w:t>
      </w:r>
      <w:r>
        <w:rPr>
          <w:spacing w:val="52"/>
          <w:w w:val="150"/>
        </w:rPr>
        <w:t> </w:t>
      </w:r>
      <w:r>
        <w:rPr/>
        <w:t>the</w:t>
      </w:r>
      <w:r>
        <w:rPr>
          <w:spacing w:val="53"/>
          <w:w w:val="150"/>
        </w:rPr>
        <w:t> </w:t>
      </w:r>
      <w:r>
        <w:rPr/>
        <w:t>observer</w:t>
      </w:r>
      <w:r>
        <w:rPr>
          <w:spacing w:val="53"/>
          <w:w w:val="150"/>
        </w:rPr>
        <w:t> </w:t>
      </w:r>
      <w:r>
        <w:rPr/>
        <w:t>ascribes</w:t>
      </w:r>
      <w:r>
        <w:rPr>
          <w:spacing w:val="51"/>
          <w:w w:val="150"/>
        </w:rPr>
        <w:t> </w:t>
      </w:r>
      <w:r>
        <w:rPr/>
        <w:t>to</w:t>
      </w:r>
      <w:r>
        <w:rPr>
          <w:spacing w:val="50"/>
          <w:w w:val="150"/>
        </w:rPr>
        <w:t> </w:t>
      </w:r>
      <w:r>
        <w:rPr/>
        <w:t>the</w:t>
      </w:r>
      <w:r>
        <w:rPr>
          <w:spacing w:val="52"/>
          <w:w w:val="150"/>
        </w:rPr>
        <w:t> </w:t>
      </w:r>
      <w:r>
        <w:rPr/>
        <w:t>system.</w:t>
      </w:r>
      <w:r>
        <w:rPr>
          <w:spacing w:val="64"/>
          <w:w w:val="150"/>
        </w:rPr>
        <w:t> </w:t>
      </w:r>
      <w:r>
        <w:rPr/>
        <w:t>Externally</w:t>
      </w:r>
      <w:r>
        <w:rPr>
          <w:spacing w:val="53"/>
          <w:w w:val="150"/>
        </w:rPr>
        <w:t> </w:t>
      </w:r>
      <w:r>
        <w:rPr>
          <w:spacing w:val="-2"/>
        </w:rPr>
        <w:t>imposed</w:t>
      </w:r>
    </w:p>
    <w:p>
      <w:pPr>
        <w:pStyle w:val="BodyText"/>
        <w:spacing w:before="9"/>
        <w:ind w:left="0"/>
        <w:jc w:val="left"/>
        <w:rPr>
          <w:sz w:val="11"/>
        </w:rPr>
      </w:pPr>
      <w:r>
        <w:rPr>
          <w:sz w:val="11"/>
        </w:rPr>
        <mc:AlternateContent>
          <mc:Choice Requires="wps">
            <w:drawing>
              <wp:anchor distT="0" distB="0" distL="0" distR="0" allowOverlap="1" layoutInCell="1" locked="0" behindDoc="1" simplePos="0" relativeHeight="487609344">
                <wp:simplePos x="0" y="0"/>
                <wp:positionH relativeFrom="page">
                  <wp:posOffset>1079296</wp:posOffset>
                </wp:positionH>
                <wp:positionV relativeFrom="paragraph">
                  <wp:posOffset>113397</wp:posOffset>
                </wp:positionV>
                <wp:extent cx="1830070" cy="9525"/>
                <wp:effectExtent l="0" t="0" r="0" b="0"/>
                <wp:wrapTopAndBottom/>
                <wp:docPr id="53" name="Graphic 53"/>
                <wp:cNvGraphicFramePr>
                  <a:graphicFrameLocks/>
                </wp:cNvGraphicFramePr>
                <a:graphic>
                  <a:graphicData uri="http://schemas.microsoft.com/office/word/2010/wordprocessingShape">
                    <wps:wsp>
                      <wps:cNvPr id="53" name="Graphic 53"/>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8.928975pt;width:144.07pt;height:.72003pt;mso-position-horizontal-relative:page;mso-position-vertical-relative:paragraph;z-index:-15707136;mso-wrap-distance-left:0;mso-wrap-distance-right:0" id="docshape51" filled="true" fillcolor="#000000" stroked="false">
                <v:fill type="solid"/>
                <w10:wrap type="topAndBottom"/>
              </v:rect>
            </w:pict>
          </mc:Fallback>
        </mc:AlternateContent>
      </w:r>
    </w:p>
    <w:p>
      <w:pPr>
        <w:spacing w:before="103"/>
        <w:ind w:left="979" w:right="0" w:firstLine="0"/>
        <w:jc w:val="left"/>
        <w:rPr>
          <w:rFonts w:ascii="Calibri"/>
          <w:sz w:val="20"/>
        </w:rPr>
      </w:pPr>
      <w:r>
        <w:rPr>
          <w:rFonts w:ascii="Calibri"/>
          <w:sz w:val="20"/>
          <w:vertAlign w:val="superscript"/>
        </w:rPr>
        <w:t>9</w:t>
      </w:r>
      <w:r>
        <w:rPr>
          <w:rFonts w:ascii="Calibri"/>
          <w:spacing w:val="-1"/>
          <w:sz w:val="20"/>
          <w:vertAlign w:val="baseline"/>
        </w:rPr>
        <w:t> </w:t>
      </w:r>
      <w:r>
        <w:rPr>
          <w:rFonts w:ascii="Calibri"/>
          <w:sz w:val="20"/>
          <w:vertAlign w:val="baseline"/>
        </w:rPr>
        <w:t>See</w:t>
      </w:r>
      <w:r>
        <w:rPr>
          <w:rFonts w:ascii="Calibri"/>
          <w:spacing w:val="-6"/>
          <w:sz w:val="20"/>
          <w:vertAlign w:val="baseline"/>
        </w:rPr>
        <w:t> </w:t>
      </w:r>
      <w:r>
        <w:rPr>
          <w:rFonts w:ascii="Calibri"/>
          <w:sz w:val="20"/>
          <w:vertAlign w:val="baseline"/>
        </w:rPr>
        <w:t>Law</w:t>
      </w:r>
      <w:r>
        <w:rPr>
          <w:rFonts w:ascii="Calibri"/>
          <w:spacing w:val="-7"/>
          <w:sz w:val="20"/>
          <w:vertAlign w:val="baseline"/>
        </w:rPr>
        <w:t> </w:t>
      </w:r>
      <w:r>
        <w:rPr>
          <w:rFonts w:ascii="Calibri"/>
          <w:sz w:val="20"/>
          <w:vertAlign w:val="baseline"/>
        </w:rPr>
        <w:t>of</w:t>
      </w:r>
      <w:r>
        <w:rPr>
          <w:rFonts w:ascii="Calibri"/>
          <w:spacing w:val="-5"/>
          <w:sz w:val="20"/>
          <w:vertAlign w:val="baseline"/>
        </w:rPr>
        <w:t> </w:t>
      </w:r>
      <w:r>
        <w:rPr>
          <w:rFonts w:ascii="Calibri"/>
          <w:sz w:val="20"/>
          <w:vertAlign w:val="baseline"/>
        </w:rPr>
        <w:t>requisite</w:t>
      </w:r>
      <w:r>
        <w:rPr>
          <w:rFonts w:ascii="Calibri"/>
          <w:spacing w:val="-2"/>
          <w:sz w:val="20"/>
          <w:vertAlign w:val="baseline"/>
        </w:rPr>
        <w:t> </w:t>
      </w:r>
      <w:r>
        <w:rPr>
          <w:rFonts w:ascii="Calibri"/>
          <w:sz w:val="20"/>
          <w:vertAlign w:val="baseline"/>
        </w:rPr>
        <w:t>variety,</w:t>
      </w:r>
      <w:r>
        <w:rPr>
          <w:rFonts w:ascii="Calibri"/>
          <w:spacing w:val="-4"/>
          <w:sz w:val="20"/>
          <w:vertAlign w:val="baseline"/>
        </w:rPr>
        <w:t> </w:t>
      </w:r>
      <w:r>
        <w:rPr>
          <w:rFonts w:ascii="Calibri"/>
          <w:sz w:val="20"/>
          <w:vertAlign w:val="baseline"/>
        </w:rPr>
        <w:t>this</w:t>
      </w:r>
      <w:r>
        <w:rPr>
          <w:rFonts w:ascii="Calibri"/>
          <w:spacing w:val="-4"/>
          <w:sz w:val="20"/>
          <w:vertAlign w:val="baseline"/>
        </w:rPr>
        <w:t> </w:t>
      </w:r>
      <w:r>
        <w:rPr>
          <w:rFonts w:ascii="Calibri"/>
          <w:sz w:val="20"/>
          <w:vertAlign w:val="baseline"/>
        </w:rPr>
        <w:t>chapter</w:t>
      </w:r>
      <w:r>
        <w:rPr>
          <w:rFonts w:ascii="Calibri"/>
          <w:spacing w:val="-6"/>
          <w:sz w:val="20"/>
          <w:vertAlign w:val="baseline"/>
        </w:rPr>
        <w:t> </w:t>
      </w:r>
      <w:r>
        <w:rPr>
          <w:rFonts w:ascii="Calibri"/>
          <w:sz w:val="20"/>
          <w:vertAlign w:val="baseline"/>
        </w:rPr>
        <w:t>W.R</w:t>
      </w:r>
      <w:r>
        <w:rPr>
          <w:rFonts w:ascii="Calibri"/>
          <w:spacing w:val="-1"/>
          <w:sz w:val="20"/>
          <w:vertAlign w:val="baseline"/>
        </w:rPr>
        <w:t> </w:t>
      </w:r>
      <w:r>
        <w:rPr>
          <w:rFonts w:ascii="Calibri"/>
          <w:spacing w:val="-2"/>
          <w:sz w:val="20"/>
          <w:vertAlign w:val="baseline"/>
        </w:rPr>
        <w:t>Ashby</w:t>
      </w:r>
    </w:p>
    <w:p>
      <w:pPr>
        <w:spacing w:after="0"/>
        <w:jc w:val="left"/>
        <w:rPr>
          <w:rFonts w:ascii="Calibri"/>
          <w:sz w:val="20"/>
        </w:rPr>
        <w:sectPr>
          <w:pgSz w:w="12240" w:h="15840"/>
          <w:pgMar w:header="1046" w:footer="0" w:top="1360" w:bottom="280" w:left="720" w:right="360"/>
        </w:sectPr>
      </w:pPr>
    </w:p>
    <w:p>
      <w:pPr>
        <w:pStyle w:val="BodyText"/>
        <w:spacing w:line="276" w:lineRule="auto" w:before="276"/>
        <w:ind w:right="1919"/>
      </w:pPr>
      <w:r>
        <w:rPr/>
        <w:t>causality is based selective reasoning, while autopoietic operation is objectively determined by the system itself.</w:t>
      </w:r>
    </w:p>
    <w:p>
      <w:pPr>
        <w:pStyle w:val="BodyText"/>
        <w:spacing w:line="273" w:lineRule="auto"/>
        <w:ind w:right="1911" w:firstLine="720"/>
      </w:pPr>
      <w:r>
        <w:rPr/>
        <w:t>From this perspective, as </w:t>
      </w:r>
      <w:r>
        <w:rPr>
          <w:sz w:val="27"/>
        </w:rPr>
        <w:t>Luhmann </w:t>
      </w:r>
      <w:r>
        <w:rPr/>
        <w:t>argues that two sorts of unities can be identified: meaning systems</w:t>
      </w:r>
      <w:r>
        <w:rPr>
          <w:position w:val="7"/>
          <w:sz w:val="15"/>
        </w:rPr>
        <w:t>10</w:t>
      </w:r>
      <w:r>
        <w:rPr>
          <w:spacing w:val="32"/>
          <w:position w:val="7"/>
          <w:sz w:val="15"/>
        </w:rPr>
        <w:t> </w:t>
      </w:r>
      <w:r>
        <w:rPr/>
        <w:t>and technical systems. This distinction produces</w:t>
      </w:r>
      <w:r>
        <w:rPr>
          <w:spacing w:val="40"/>
        </w:rPr>
        <w:t> </w:t>
      </w:r>
      <w:r>
        <w:rPr/>
        <w:t>a</w:t>
      </w:r>
      <w:r>
        <w:rPr>
          <w:spacing w:val="-3"/>
        </w:rPr>
        <w:t> </w:t>
      </w:r>
      <w:r>
        <w:rPr/>
        <w:t>difference</w:t>
      </w:r>
      <w:r>
        <w:rPr>
          <w:spacing w:val="-3"/>
        </w:rPr>
        <w:t> </w:t>
      </w:r>
      <w:r>
        <w:rPr/>
        <w:t>between</w:t>
      </w:r>
      <w:r>
        <w:rPr>
          <w:spacing w:val="-2"/>
        </w:rPr>
        <w:t> </w:t>
      </w:r>
      <w:r>
        <w:rPr/>
        <w:t>technical</w:t>
      </w:r>
      <w:r>
        <w:rPr>
          <w:spacing w:val="-6"/>
        </w:rPr>
        <w:t> </w:t>
      </w:r>
      <w:r>
        <w:rPr/>
        <w:t>or</w:t>
      </w:r>
      <w:r>
        <w:rPr>
          <w:spacing w:val="-2"/>
        </w:rPr>
        <w:t> </w:t>
      </w:r>
      <w:r>
        <w:rPr/>
        <w:t>causal</w:t>
      </w:r>
      <w:r>
        <w:rPr>
          <w:spacing w:val="-5"/>
        </w:rPr>
        <w:t> </w:t>
      </w:r>
      <w:r>
        <w:rPr/>
        <w:t>closure</w:t>
      </w:r>
      <w:r>
        <w:rPr>
          <w:spacing w:val="-3"/>
        </w:rPr>
        <w:t> </w:t>
      </w:r>
      <w:r>
        <w:rPr/>
        <w:t>of</w:t>
      </w:r>
      <w:r>
        <w:rPr>
          <w:spacing w:val="-4"/>
        </w:rPr>
        <w:t> </w:t>
      </w:r>
      <w:r>
        <w:rPr/>
        <w:t>the</w:t>
      </w:r>
      <w:r>
        <w:rPr>
          <w:spacing w:val="-3"/>
        </w:rPr>
        <w:t> </w:t>
      </w:r>
      <w:r>
        <w:rPr/>
        <w:t>second</w:t>
      </w:r>
      <w:r>
        <w:rPr>
          <w:spacing w:val="-1"/>
        </w:rPr>
        <w:t> </w:t>
      </w:r>
      <w:r>
        <w:rPr/>
        <w:t>and meaning related openness of the first. (</w:t>
      </w:r>
      <w:hyperlink w:history="true" w:anchor="_bookmark270">
        <w:r>
          <w:rPr/>
          <w:t>Luhmann et al., 2013, p. 66</w:t>
        </w:r>
      </w:hyperlink>
      <w:r>
        <w:rPr/>
        <w:t>)</w:t>
      </w:r>
    </w:p>
    <w:p>
      <w:pPr>
        <w:pStyle w:val="BodyText"/>
        <w:spacing w:line="276" w:lineRule="auto"/>
        <w:ind w:right="1902" w:firstLine="720"/>
      </w:pPr>
      <w:r>
        <w:rPr/>
        <w:t>Technical systems are causally closed; their interaction with environment is very limited, like providing the mechanism with electricity from the external source of energy. In this sort of closure, it is easier to determine systemic errors,</w:t>
      </w:r>
      <w:r>
        <w:rPr>
          <w:position w:val="7"/>
          <w:sz w:val="15"/>
        </w:rPr>
        <w:t>11</w:t>
      </w:r>
      <w:r>
        <w:rPr>
          <w:spacing w:val="40"/>
          <w:position w:val="7"/>
          <w:sz w:val="15"/>
        </w:rPr>
        <w:t> </w:t>
      </w:r>
      <w:r>
        <w:rPr/>
        <w:t>than in system with operational closure. They are planned from the outside. Operationally closed systems cannot refer to the environment via the operations but they can do it by the means of meaning. (</w:t>
      </w:r>
      <w:hyperlink w:history="true" w:anchor="_bookmark270">
        <w:r>
          <w:rPr/>
          <w:t>Luhmann et al., 2013</w:t>
        </w:r>
      </w:hyperlink>
      <w:r>
        <w:rPr/>
        <w:t>)</w:t>
      </w:r>
    </w:p>
    <w:p>
      <w:pPr>
        <w:pStyle w:val="BodyText"/>
        <w:spacing w:line="271" w:lineRule="auto"/>
        <w:ind w:right="1905" w:firstLine="720"/>
      </w:pPr>
      <w:r>
        <w:rPr/>
        <w:t>Structural coupling in </w:t>
      </w:r>
      <w:r>
        <w:rPr>
          <w:sz w:val="27"/>
        </w:rPr>
        <w:t>Luhmann</w:t>
      </w:r>
      <w:r>
        <w:rPr/>
        <w:t>’s work is connected with the forms of distinction made to describe environment and system. The concept of ‘form’ as such was taken from </w:t>
      </w:r>
      <w:r>
        <w:rPr>
          <w:sz w:val="27"/>
        </w:rPr>
        <w:t>George Spencer-Brown</w:t>
      </w:r>
      <w:r>
        <w:rPr/>
        <w:t>’s well-known calculus; (</w:t>
      </w:r>
      <w:hyperlink w:history="true" w:anchor="_bookmark397">
        <w:r>
          <w:rPr/>
          <w:t>1969</w:t>
        </w:r>
      </w:hyperlink>
      <w:r>
        <w:rPr/>
        <w:t>) the initial </w:t>
      </w:r>
      <w:r>
        <w:rPr>
          <w:sz w:val="27"/>
        </w:rPr>
        <w:t>mark of distinction </w:t>
      </w:r>
      <w:r>
        <w:rPr/>
        <w:t>there, includes both distinction and indication. “Once a distinction is drawn, the spaces, states, or contents on each side of the boundary, being distinct, can be indicated.” (</w:t>
      </w:r>
      <w:hyperlink w:history="true" w:anchor="_bookmark397">
        <w:r>
          <w:rPr/>
          <w:t>Spencer-Brown, 1969, p. 1</w:t>
        </w:r>
      </w:hyperlink>
      <w:r>
        <w:rPr/>
        <w:t>)</w:t>
      </w:r>
    </w:p>
    <w:p>
      <w:pPr>
        <w:pStyle w:val="BodyText"/>
        <w:spacing w:line="273" w:lineRule="auto" w:before="1"/>
        <w:ind w:right="1909" w:firstLine="720"/>
      </w:pPr>
      <w:r>
        <w:rPr/>
        <w:t>Distinctions are made to divide the whole into distinguishable parts. For example, if we draw a line on the paper, the line will serve as a border between two individual parts of the paper. Indication is an operation necessary for the observer to see, which part of the distinction is to be observed as a system and which as an environment. "We take the form of distinction for the form" – states </w:t>
      </w:r>
      <w:r>
        <w:rPr>
          <w:sz w:val="27"/>
        </w:rPr>
        <w:t>Spencer-Brown</w:t>
      </w:r>
      <w:r>
        <w:rPr/>
        <w:t>. This statement is a starting point of the structural coupling:</w:t>
      </w:r>
    </w:p>
    <w:p>
      <w:pPr>
        <w:pStyle w:val="BodyText"/>
        <w:spacing w:line="276" w:lineRule="auto" w:before="14"/>
        <w:ind w:left="2420" w:right="1917"/>
      </w:pPr>
      <w:r>
        <w:rPr/>
        <mc:AlternateContent>
          <mc:Choice Requires="wps">
            <w:drawing>
              <wp:anchor distT="0" distB="0" distL="0" distR="0" allowOverlap="1" layoutInCell="1" locked="0" behindDoc="0" simplePos="0" relativeHeight="15751680">
                <wp:simplePos x="0" y="0"/>
                <wp:positionH relativeFrom="page">
                  <wp:posOffset>1923923</wp:posOffset>
                </wp:positionH>
                <wp:positionV relativeFrom="paragraph">
                  <wp:posOffset>7486</wp:posOffset>
                </wp:positionV>
                <wp:extent cx="1270" cy="500380"/>
                <wp:effectExtent l="0" t="0" r="0" b="0"/>
                <wp:wrapNone/>
                <wp:docPr id="54" name="Graphic 54"/>
                <wp:cNvGraphicFramePr>
                  <a:graphicFrameLocks/>
                </wp:cNvGraphicFramePr>
                <a:graphic>
                  <a:graphicData uri="http://schemas.microsoft.com/office/word/2010/wordprocessingShape">
                    <wps:wsp>
                      <wps:cNvPr id="54" name="Graphic 54"/>
                      <wps:cNvSpPr/>
                      <wps:spPr>
                        <a:xfrm>
                          <a:off x="0" y="0"/>
                          <a:ext cx="1270" cy="500380"/>
                        </a:xfrm>
                        <a:custGeom>
                          <a:avLst/>
                          <a:gdLst/>
                          <a:ahLst/>
                          <a:cxnLst/>
                          <a:rect l="l" t="t" r="r" b="b"/>
                          <a:pathLst>
                            <a:path w="0" h="500380">
                              <a:moveTo>
                                <a:pt x="0" y="0"/>
                              </a:moveTo>
                              <a:lnTo>
                                <a:pt x="0" y="250189"/>
                              </a:lnTo>
                            </a:path>
                            <a:path w="0" h="500380">
                              <a:moveTo>
                                <a:pt x="0" y="250189"/>
                              </a:moveTo>
                              <a:lnTo>
                                <a:pt x="0" y="500125"/>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589456pt;width:.1pt;height:39.4pt;mso-position-horizontal-relative:page;mso-position-vertical-relative:paragraph;z-index:15751680" id="docshape52" coordorigin="3030,12" coordsize="0,788" path="m3030,12l3030,406m3030,406l3030,799e" filled="false" stroked="true" strokeweight=".48pt" strokecolor="#000000">
                <v:path arrowok="t"/>
                <v:stroke dashstyle="shortdash"/>
                <w10:wrap type="none"/>
              </v:shape>
            </w:pict>
          </mc:Fallback>
        </mc:AlternateContent>
      </w:r>
      <w:r>
        <w:rPr/>
        <w:t>“[two sided] form does not refer to the entire environment, since</w:t>
      </w:r>
      <w:r>
        <w:rPr>
          <w:spacing w:val="40"/>
        </w:rPr>
        <w:t> </w:t>
      </w:r>
      <w:r>
        <w:rPr/>
        <w:t>not</w:t>
      </w:r>
      <w:r>
        <w:rPr>
          <w:spacing w:val="40"/>
        </w:rPr>
        <w:t> </w:t>
      </w:r>
      <w:r>
        <w:rPr/>
        <w:t>everything</w:t>
      </w:r>
      <w:r>
        <w:rPr>
          <w:spacing w:val="41"/>
        </w:rPr>
        <w:t> </w:t>
      </w:r>
      <w:r>
        <w:rPr/>
        <w:t>that</w:t>
      </w:r>
      <w:r>
        <w:rPr>
          <w:spacing w:val="40"/>
        </w:rPr>
        <w:t> </w:t>
      </w:r>
      <w:r>
        <w:rPr/>
        <w:t>exists</w:t>
      </w:r>
      <w:r>
        <w:rPr>
          <w:spacing w:val="39"/>
        </w:rPr>
        <w:t> </w:t>
      </w:r>
      <w:r>
        <w:rPr/>
        <w:t>is</w:t>
      </w:r>
      <w:r>
        <w:rPr>
          <w:spacing w:val="39"/>
        </w:rPr>
        <w:t> </w:t>
      </w:r>
      <w:r>
        <w:rPr/>
        <w:t>structurally</w:t>
      </w:r>
      <w:r>
        <w:rPr>
          <w:spacing w:val="40"/>
        </w:rPr>
        <w:t> </w:t>
      </w:r>
      <w:r>
        <w:rPr/>
        <w:t>coupled</w:t>
      </w:r>
      <w:r>
        <w:rPr>
          <w:spacing w:val="41"/>
        </w:rPr>
        <w:t> </w:t>
      </w:r>
      <w:r>
        <w:rPr>
          <w:spacing w:val="-4"/>
        </w:rPr>
        <w:t>with</w:t>
      </w:r>
    </w:p>
    <w:p>
      <w:pPr>
        <w:pStyle w:val="BodyText"/>
        <w:ind w:left="0"/>
        <w:jc w:val="left"/>
        <w:rPr>
          <w:sz w:val="20"/>
        </w:rPr>
      </w:pPr>
    </w:p>
    <w:p>
      <w:pPr>
        <w:pStyle w:val="BodyText"/>
        <w:spacing w:before="171"/>
        <w:ind w:left="0"/>
        <w:jc w:val="left"/>
        <w:rPr>
          <w:sz w:val="20"/>
        </w:rPr>
      </w:pPr>
      <w:r>
        <w:rPr>
          <w:sz w:val="20"/>
        </w:rPr>
        <mc:AlternateContent>
          <mc:Choice Requires="wps">
            <w:drawing>
              <wp:anchor distT="0" distB="0" distL="0" distR="0" allowOverlap="1" layoutInCell="1" locked="0" behindDoc="1" simplePos="0" relativeHeight="487610368">
                <wp:simplePos x="0" y="0"/>
                <wp:positionH relativeFrom="page">
                  <wp:posOffset>1079296</wp:posOffset>
                </wp:positionH>
                <wp:positionV relativeFrom="paragraph">
                  <wp:posOffset>291660</wp:posOffset>
                </wp:positionV>
                <wp:extent cx="1830070" cy="9525"/>
                <wp:effectExtent l="0" t="0" r="0" b="0"/>
                <wp:wrapTopAndBottom/>
                <wp:docPr id="55" name="Graphic 55"/>
                <wp:cNvGraphicFramePr>
                  <a:graphicFrameLocks/>
                </wp:cNvGraphicFramePr>
                <a:graphic>
                  <a:graphicData uri="http://schemas.microsoft.com/office/word/2010/wordprocessingShape">
                    <wps:wsp>
                      <wps:cNvPr id="55" name="Graphic 55"/>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22.965393pt;width:144.07pt;height:.71997pt;mso-position-horizontal-relative:page;mso-position-vertical-relative:paragraph;z-index:-15706112;mso-wrap-distance-left:0;mso-wrap-distance-right:0" id="docshape53" filled="true" fillcolor="#000000" stroked="false">
                <v:fill type="solid"/>
                <w10:wrap type="topAndBottom"/>
              </v:rect>
            </w:pict>
          </mc:Fallback>
        </mc:AlternateContent>
      </w:r>
    </w:p>
    <w:p>
      <w:pPr>
        <w:spacing w:before="102"/>
        <w:ind w:left="979" w:right="0" w:firstLine="0"/>
        <w:jc w:val="left"/>
        <w:rPr>
          <w:rFonts w:ascii="Calibri"/>
          <w:sz w:val="20"/>
        </w:rPr>
      </w:pPr>
      <w:r>
        <w:rPr>
          <w:rFonts w:ascii="Calibri"/>
          <w:sz w:val="20"/>
          <w:vertAlign w:val="superscript"/>
        </w:rPr>
        <w:t>10</w:t>
      </w:r>
      <w:r>
        <w:rPr>
          <w:rFonts w:ascii="Calibri"/>
          <w:spacing w:val="-3"/>
          <w:sz w:val="20"/>
          <w:vertAlign w:val="baseline"/>
        </w:rPr>
        <w:t> </w:t>
      </w:r>
      <w:r>
        <w:rPr>
          <w:rFonts w:ascii="Calibri"/>
          <w:sz w:val="20"/>
          <w:vertAlign w:val="baseline"/>
        </w:rPr>
        <w:t>Operationally</w:t>
      </w:r>
      <w:r>
        <w:rPr>
          <w:rFonts w:ascii="Calibri"/>
          <w:spacing w:val="-7"/>
          <w:sz w:val="20"/>
          <w:vertAlign w:val="baseline"/>
        </w:rPr>
        <w:t> </w:t>
      </w:r>
      <w:r>
        <w:rPr>
          <w:rFonts w:ascii="Calibri"/>
          <w:sz w:val="20"/>
          <w:vertAlign w:val="baseline"/>
        </w:rPr>
        <w:t>closed</w:t>
      </w:r>
      <w:r>
        <w:rPr>
          <w:rFonts w:ascii="Calibri"/>
          <w:spacing w:val="-9"/>
          <w:sz w:val="20"/>
          <w:vertAlign w:val="baseline"/>
        </w:rPr>
        <w:t> </w:t>
      </w:r>
      <w:r>
        <w:rPr>
          <w:rFonts w:ascii="Calibri"/>
          <w:spacing w:val="-2"/>
          <w:sz w:val="20"/>
          <w:vertAlign w:val="baseline"/>
        </w:rPr>
        <w:t>systems</w:t>
      </w:r>
    </w:p>
    <w:p>
      <w:pPr>
        <w:spacing w:before="1"/>
        <w:ind w:left="979" w:right="0" w:firstLine="0"/>
        <w:jc w:val="left"/>
        <w:rPr>
          <w:rFonts w:ascii="Calibri"/>
          <w:sz w:val="20"/>
        </w:rPr>
      </w:pPr>
      <w:r>
        <w:rPr>
          <w:rFonts w:ascii="Calibri"/>
          <w:sz w:val="20"/>
          <w:vertAlign w:val="superscript"/>
        </w:rPr>
        <w:t>11</w:t>
      </w:r>
      <w:r>
        <w:rPr>
          <w:rFonts w:ascii="Calibri"/>
          <w:spacing w:val="-1"/>
          <w:sz w:val="20"/>
          <w:vertAlign w:val="baseline"/>
        </w:rPr>
        <w:t> </w:t>
      </w:r>
      <w:r>
        <w:rPr>
          <w:rFonts w:ascii="Calibri"/>
          <w:sz w:val="20"/>
          <w:vertAlign w:val="baseline"/>
        </w:rPr>
        <w:t>But</w:t>
      </w:r>
      <w:r>
        <w:rPr>
          <w:rFonts w:ascii="Calibri"/>
          <w:spacing w:val="-7"/>
          <w:sz w:val="20"/>
          <w:vertAlign w:val="baseline"/>
        </w:rPr>
        <w:t> </w:t>
      </w:r>
      <w:r>
        <w:rPr>
          <w:rFonts w:ascii="Calibri"/>
          <w:sz w:val="20"/>
          <w:vertAlign w:val="baseline"/>
        </w:rPr>
        <w:t>finding</w:t>
      </w:r>
      <w:r>
        <w:rPr>
          <w:rFonts w:ascii="Calibri"/>
          <w:spacing w:val="-1"/>
          <w:sz w:val="20"/>
          <w:vertAlign w:val="baseline"/>
        </w:rPr>
        <w:t> </w:t>
      </w:r>
      <w:r>
        <w:rPr>
          <w:rFonts w:ascii="Calibri"/>
          <w:sz w:val="20"/>
          <w:vertAlign w:val="baseline"/>
        </w:rPr>
        <w:t>the</w:t>
      </w:r>
      <w:r>
        <w:rPr>
          <w:rFonts w:ascii="Calibri"/>
          <w:spacing w:val="-2"/>
          <w:sz w:val="20"/>
          <w:vertAlign w:val="baseline"/>
        </w:rPr>
        <w:t> </w:t>
      </w:r>
      <w:r>
        <w:rPr>
          <w:rFonts w:ascii="Calibri"/>
          <w:sz w:val="20"/>
          <w:vertAlign w:val="baseline"/>
        </w:rPr>
        <w:t>error</w:t>
      </w:r>
      <w:r>
        <w:rPr>
          <w:rFonts w:ascii="Calibri"/>
          <w:spacing w:val="-5"/>
          <w:sz w:val="20"/>
          <w:vertAlign w:val="baseline"/>
        </w:rPr>
        <w:t> </w:t>
      </w:r>
      <w:r>
        <w:rPr>
          <w:rFonts w:ascii="Calibri"/>
          <w:sz w:val="20"/>
          <w:vertAlign w:val="baseline"/>
        </w:rPr>
        <w:t>does</w:t>
      </w:r>
      <w:r>
        <w:rPr>
          <w:rFonts w:ascii="Calibri"/>
          <w:spacing w:val="-4"/>
          <w:sz w:val="20"/>
          <w:vertAlign w:val="baseline"/>
        </w:rPr>
        <w:t> </w:t>
      </w:r>
      <w:r>
        <w:rPr>
          <w:rFonts w:ascii="Calibri"/>
          <w:sz w:val="20"/>
          <w:vertAlign w:val="baseline"/>
        </w:rPr>
        <w:t>not</w:t>
      </w:r>
      <w:r>
        <w:rPr>
          <w:rFonts w:ascii="Calibri"/>
          <w:spacing w:val="-11"/>
          <w:sz w:val="20"/>
          <w:vertAlign w:val="baseline"/>
        </w:rPr>
        <w:t> </w:t>
      </w:r>
      <w:r>
        <w:rPr>
          <w:rFonts w:ascii="Calibri"/>
          <w:sz w:val="20"/>
          <w:vertAlign w:val="baseline"/>
        </w:rPr>
        <w:t>mean</w:t>
      </w:r>
      <w:r>
        <w:rPr>
          <w:rFonts w:ascii="Calibri"/>
          <w:spacing w:val="-7"/>
          <w:sz w:val="20"/>
          <w:vertAlign w:val="baseline"/>
        </w:rPr>
        <w:t> </w:t>
      </w:r>
      <w:r>
        <w:rPr>
          <w:rFonts w:ascii="Calibri"/>
          <w:sz w:val="20"/>
          <w:vertAlign w:val="baseline"/>
        </w:rPr>
        <w:t>that</w:t>
      </w:r>
      <w:r>
        <w:rPr>
          <w:rFonts w:ascii="Calibri"/>
          <w:spacing w:val="-7"/>
          <w:sz w:val="20"/>
          <w:vertAlign w:val="baseline"/>
        </w:rPr>
        <w:t> </w:t>
      </w:r>
      <w:r>
        <w:rPr>
          <w:rFonts w:ascii="Calibri"/>
          <w:sz w:val="20"/>
          <w:vertAlign w:val="baseline"/>
        </w:rPr>
        <w:t>a</w:t>
      </w:r>
      <w:r>
        <w:rPr>
          <w:rFonts w:ascii="Calibri"/>
          <w:spacing w:val="-3"/>
          <w:sz w:val="20"/>
          <w:vertAlign w:val="baseline"/>
        </w:rPr>
        <w:t> </w:t>
      </w:r>
      <w:r>
        <w:rPr>
          <w:rFonts w:ascii="Calibri"/>
          <w:sz w:val="20"/>
          <w:vertAlign w:val="baseline"/>
        </w:rPr>
        <w:t>necessary</w:t>
      </w:r>
      <w:r>
        <w:rPr>
          <w:rFonts w:ascii="Calibri"/>
          <w:spacing w:val="-7"/>
          <w:sz w:val="20"/>
          <w:vertAlign w:val="baseline"/>
        </w:rPr>
        <w:t> </w:t>
      </w:r>
      <w:r>
        <w:rPr>
          <w:rFonts w:ascii="Calibri"/>
          <w:sz w:val="20"/>
          <w:vertAlign w:val="baseline"/>
        </w:rPr>
        <w:t>fix</w:t>
      </w:r>
      <w:r>
        <w:rPr>
          <w:rFonts w:ascii="Calibri"/>
          <w:spacing w:val="-3"/>
          <w:sz w:val="20"/>
          <w:vertAlign w:val="baseline"/>
        </w:rPr>
        <w:t> </w:t>
      </w:r>
      <w:r>
        <w:rPr>
          <w:rFonts w:ascii="Calibri"/>
          <w:sz w:val="20"/>
          <w:vertAlign w:val="baseline"/>
        </w:rPr>
        <w:t>will</w:t>
      </w:r>
      <w:r>
        <w:rPr>
          <w:rFonts w:ascii="Calibri"/>
          <w:spacing w:val="-5"/>
          <w:sz w:val="20"/>
          <w:vertAlign w:val="baseline"/>
        </w:rPr>
        <w:t> </w:t>
      </w:r>
      <w:r>
        <w:rPr>
          <w:rFonts w:ascii="Calibri"/>
          <w:sz w:val="20"/>
          <w:vertAlign w:val="baseline"/>
        </w:rPr>
        <w:t>follow</w:t>
      </w:r>
      <w:r>
        <w:rPr>
          <w:rFonts w:ascii="Calibri"/>
          <w:spacing w:val="-7"/>
          <w:sz w:val="20"/>
          <w:vertAlign w:val="baseline"/>
        </w:rPr>
        <w:t> </w:t>
      </w:r>
      <w:r>
        <w:rPr>
          <w:rFonts w:ascii="Calibri"/>
          <w:sz w:val="20"/>
          <w:vertAlign w:val="baseline"/>
        </w:rPr>
        <w:t>from</w:t>
      </w:r>
      <w:r>
        <w:rPr>
          <w:rFonts w:ascii="Calibri"/>
          <w:spacing w:val="-5"/>
          <w:sz w:val="20"/>
          <w:vertAlign w:val="baseline"/>
        </w:rPr>
        <w:t> </w:t>
      </w:r>
      <w:r>
        <w:rPr>
          <w:rFonts w:ascii="Calibri"/>
          <w:sz w:val="20"/>
          <w:vertAlign w:val="baseline"/>
        </w:rPr>
        <w:t>the</w:t>
      </w:r>
      <w:r>
        <w:rPr>
          <w:rFonts w:ascii="Calibri"/>
          <w:spacing w:val="-7"/>
          <w:sz w:val="20"/>
          <w:vertAlign w:val="baseline"/>
        </w:rPr>
        <w:t> </w:t>
      </w:r>
      <w:r>
        <w:rPr>
          <w:rFonts w:ascii="Calibri"/>
          <w:spacing w:val="-2"/>
          <w:sz w:val="20"/>
          <w:vertAlign w:val="baseline"/>
        </w:rPr>
        <w:t>outside.</w:t>
      </w:r>
    </w:p>
    <w:p>
      <w:pPr>
        <w:spacing w:after="0"/>
        <w:jc w:val="left"/>
        <w:rPr>
          <w:rFonts w:ascii="Calibri"/>
          <w:sz w:val="20"/>
        </w:rPr>
        <w:sectPr>
          <w:pgSz w:w="12240" w:h="15840"/>
          <w:pgMar w:header="1046" w:footer="0" w:top="1360" w:bottom="280" w:left="720" w:right="360"/>
        </w:sectPr>
      </w:pPr>
    </w:p>
    <w:p>
      <w:pPr>
        <w:pStyle w:val="BodyText"/>
        <w:spacing w:line="276" w:lineRule="auto" w:before="276"/>
        <w:ind w:left="2420" w:right="1922"/>
        <w:jc w:val="left"/>
      </w:pPr>
      <w:r>
        <w:rPr/>
        <mc:AlternateContent>
          <mc:Choice Requires="wps">
            <w:drawing>
              <wp:anchor distT="0" distB="0" distL="0" distR="0" allowOverlap="1" layoutInCell="1" locked="0" behindDoc="0" simplePos="0" relativeHeight="15752704">
                <wp:simplePos x="0" y="0"/>
                <wp:positionH relativeFrom="page">
                  <wp:posOffset>1923923</wp:posOffset>
                </wp:positionH>
                <wp:positionV relativeFrom="paragraph">
                  <wp:posOffset>174084</wp:posOffset>
                </wp:positionV>
                <wp:extent cx="1270" cy="500380"/>
                <wp:effectExtent l="0" t="0" r="0" b="0"/>
                <wp:wrapNone/>
                <wp:docPr id="56" name="Graphic 56"/>
                <wp:cNvGraphicFramePr>
                  <a:graphicFrameLocks/>
                </wp:cNvGraphicFramePr>
                <a:graphic>
                  <a:graphicData uri="http://schemas.microsoft.com/office/word/2010/wordprocessingShape">
                    <wps:wsp>
                      <wps:cNvPr id="56" name="Graphic 56"/>
                      <wps:cNvSpPr/>
                      <wps:spPr>
                        <a:xfrm>
                          <a:off x="0" y="0"/>
                          <a:ext cx="1270" cy="500380"/>
                        </a:xfrm>
                        <a:custGeom>
                          <a:avLst/>
                          <a:gdLst/>
                          <a:ahLst/>
                          <a:cxnLst/>
                          <a:rect l="l" t="t" r="r" b="b"/>
                          <a:pathLst>
                            <a:path w="0" h="500380">
                              <a:moveTo>
                                <a:pt x="0" y="0"/>
                              </a:moveTo>
                              <a:lnTo>
                                <a:pt x="0" y="249935"/>
                              </a:lnTo>
                            </a:path>
                            <a:path w="0" h="500380">
                              <a:moveTo>
                                <a:pt x="0" y="249935"/>
                              </a:moveTo>
                              <a:lnTo>
                                <a:pt x="0" y="499872"/>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13.707422pt;width:.1pt;height:39.4pt;mso-position-horizontal-relative:page;mso-position-vertical-relative:paragraph;z-index:15752704" id="docshape54" coordorigin="3030,274" coordsize="0,788" path="m3030,274l3030,668m3030,668l3030,1061e" filled="false" stroked="true" strokeweight=".48pt" strokecolor="#000000">
                <v:path arrowok="t"/>
                <v:stroke dashstyle="shortdash"/>
                <w10:wrap type="none"/>
              </v:shape>
            </w:pict>
          </mc:Fallback>
        </mc:AlternateContent>
      </w:r>
      <w:r>
        <w:rPr/>
        <w:t>the system. Rather, couplings are highly selective. Something is included and something else is excluded.”</w:t>
      </w:r>
    </w:p>
    <w:p>
      <w:pPr>
        <w:pStyle w:val="BodyText"/>
        <w:ind w:left="6016"/>
        <w:jc w:val="left"/>
      </w:pPr>
      <w:r>
        <w:rPr/>
        <w:t>(</w:t>
      </w:r>
      <w:hyperlink w:history="true" w:anchor="_bookmark270">
        <w:r>
          <w:rPr/>
          <w:t>Luhmann</w:t>
        </w:r>
        <w:r>
          <w:rPr>
            <w:spacing w:val="20"/>
          </w:rPr>
          <w:t> </w:t>
        </w:r>
        <w:r>
          <w:rPr/>
          <w:t>et</w:t>
        </w:r>
        <w:r>
          <w:rPr>
            <w:spacing w:val="16"/>
          </w:rPr>
          <w:t> </w:t>
        </w:r>
        <w:r>
          <w:rPr/>
          <w:t>al.,</w:t>
        </w:r>
        <w:r>
          <w:rPr>
            <w:spacing w:val="16"/>
          </w:rPr>
          <w:t> </w:t>
        </w:r>
        <w:r>
          <w:rPr/>
          <w:t>2013,</w:t>
        </w:r>
        <w:r>
          <w:rPr>
            <w:spacing w:val="21"/>
          </w:rPr>
          <w:t> </w:t>
        </w:r>
        <w:r>
          <w:rPr/>
          <w:t>p.</w:t>
        </w:r>
        <w:r>
          <w:rPr>
            <w:spacing w:val="17"/>
          </w:rPr>
          <w:t> </w:t>
        </w:r>
        <w:r>
          <w:rPr>
            <w:spacing w:val="-5"/>
          </w:rPr>
          <w:t>85</w:t>
        </w:r>
      </w:hyperlink>
      <w:r>
        <w:rPr>
          <w:spacing w:val="-5"/>
        </w:rPr>
        <w:t>)</w:t>
      </w:r>
    </w:p>
    <w:p>
      <w:pPr>
        <w:pStyle w:val="BodyText"/>
        <w:spacing w:before="103"/>
        <w:ind w:left="0"/>
        <w:jc w:val="left"/>
      </w:pPr>
    </w:p>
    <w:p>
      <w:pPr>
        <w:pStyle w:val="BodyText"/>
        <w:spacing w:line="276" w:lineRule="auto"/>
        <w:ind w:right="1915" w:firstLine="720"/>
      </w:pPr>
      <w:r>
        <w:rPr/>
        <w:t>This selectiveness makes possible to exclude ‘a mass of events’ from the environment, to avoid their negative effect on the system. In order to reduce external complexity the system has to increase own complexities.</w:t>
      </w:r>
    </w:p>
    <w:p>
      <w:pPr>
        <w:pStyle w:val="BodyText"/>
        <w:spacing w:line="273" w:lineRule="auto"/>
        <w:ind w:right="1918" w:firstLine="720"/>
      </w:pPr>
      <w:r>
        <w:rPr>
          <w:sz w:val="27"/>
        </w:rPr>
        <w:t>Luhmann </w:t>
      </w:r>
      <w:r>
        <w:rPr/>
        <w:t>wrote numerous works on autopoiesis and systemic understanding of society. Here we have included only basic aspects, necessary for developing our arguments in following chapters.</w:t>
      </w: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spacing w:before="85"/>
        <w:ind w:left="0"/>
        <w:jc w:val="left"/>
      </w:pPr>
    </w:p>
    <w:p>
      <w:pPr>
        <w:pStyle w:val="Heading4"/>
        <w:numPr>
          <w:ilvl w:val="1"/>
          <w:numId w:val="3"/>
        </w:numPr>
        <w:tabs>
          <w:tab w:pos="1544" w:val="left" w:leader="none"/>
        </w:tabs>
        <w:spacing w:line="240" w:lineRule="auto" w:before="1" w:after="0"/>
        <w:ind w:left="1544" w:right="0" w:hanging="565"/>
        <w:jc w:val="left"/>
        <w:rPr>
          <w:b w:val="0"/>
        </w:rPr>
      </w:pPr>
      <w:bookmarkStart w:name="_bookmark12" w:id="13"/>
      <w:bookmarkEnd w:id="13"/>
      <w:r>
        <w:rPr>
          <w:b w:val="0"/>
        </w:rPr>
      </w:r>
      <w:r>
        <w:rPr>
          <w:spacing w:val="-8"/>
        </w:rPr>
        <w:t>Systems</w:t>
      </w:r>
      <w:r>
        <w:rPr>
          <w:spacing w:val="-12"/>
        </w:rPr>
        <w:t> </w:t>
      </w:r>
      <w:r>
        <w:rPr>
          <w:spacing w:val="-8"/>
        </w:rPr>
        <w:t>Approaches</w:t>
      </w:r>
      <w:r>
        <w:rPr>
          <w:spacing w:val="-11"/>
        </w:rPr>
        <w:t> </w:t>
      </w:r>
      <w:r>
        <w:rPr>
          <w:spacing w:val="-8"/>
        </w:rPr>
        <w:t>In</w:t>
      </w:r>
      <w:r>
        <w:rPr>
          <w:spacing w:val="-10"/>
        </w:rPr>
        <w:t> </w:t>
      </w:r>
      <w:r>
        <w:rPr>
          <w:spacing w:val="-8"/>
        </w:rPr>
        <w:t>Political</w:t>
      </w:r>
      <w:r>
        <w:rPr>
          <w:spacing w:val="-7"/>
        </w:rPr>
        <w:t> </w:t>
      </w:r>
      <w:r>
        <w:rPr>
          <w:spacing w:val="-8"/>
        </w:rPr>
        <w:t>Science</w:t>
      </w:r>
    </w:p>
    <w:p>
      <w:pPr>
        <w:pStyle w:val="BodyText"/>
        <w:spacing w:before="199"/>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11392">
                <wp:simplePos x="0" y="0"/>
                <wp:positionH relativeFrom="page">
                  <wp:posOffset>1078864</wp:posOffset>
                </wp:positionH>
                <wp:positionV relativeFrom="paragraph">
                  <wp:posOffset>285911</wp:posOffset>
                </wp:positionV>
                <wp:extent cx="5252085" cy="52069"/>
                <wp:effectExtent l="0" t="0" r="0" b="0"/>
                <wp:wrapTopAndBottom/>
                <wp:docPr id="57" name="Graphic 57"/>
                <wp:cNvGraphicFramePr>
                  <a:graphicFrameLocks/>
                </wp:cNvGraphicFramePr>
                <a:graphic>
                  <a:graphicData uri="http://schemas.microsoft.com/office/word/2010/wordprocessingShape">
                    <wps:wsp>
                      <wps:cNvPr id="57" name="Graphic 57"/>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512705pt;width:413.55pt;height:4.1pt;mso-position-horizontal-relative:page;mso-position-vertical-relative:paragraph;z-index:-15705088;mso-wrap-distance-left:0;mso-wrap-distance-right:0" id="docshape55" filled="true" fillcolor="#000000" stroked="false">
                <v:fill type="solid"/>
                <w10:wrap type="topAndBottom"/>
              </v:rect>
            </w:pict>
          </mc:Fallback>
        </mc:AlternateContent>
      </w:r>
    </w:p>
    <w:p>
      <w:pPr>
        <w:pStyle w:val="BodyText"/>
        <w:spacing w:before="105"/>
        <w:jc w:val="left"/>
      </w:pPr>
      <w:r>
        <w:rPr/>
        <w:t>David</w:t>
      </w:r>
      <w:r>
        <w:rPr>
          <w:spacing w:val="-5"/>
        </w:rPr>
        <w:t> </w:t>
      </w:r>
      <w:r>
        <w:rPr/>
        <w:t>Easton,</w:t>
      </w:r>
      <w:r>
        <w:rPr>
          <w:spacing w:val="-6"/>
        </w:rPr>
        <w:t> </w:t>
      </w:r>
      <w:r>
        <w:rPr/>
        <w:t>Karl</w:t>
      </w:r>
      <w:r>
        <w:rPr>
          <w:spacing w:val="-8"/>
        </w:rPr>
        <w:t> </w:t>
      </w:r>
      <w:r>
        <w:rPr>
          <w:spacing w:val="-2"/>
        </w:rPr>
        <w:t>Deutsch</w:t>
      </w:r>
    </w:p>
    <w:p>
      <w:pPr>
        <w:pStyle w:val="BodyText"/>
        <w:ind w:left="0"/>
        <w:jc w:val="left"/>
      </w:pPr>
    </w:p>
    <w:p>
      <w:pPr>
        <w:pStyle w:val="BodyText"/>
        <w:spacing w:before="144"/>
        <w:ind w:left="0"/>
        <w:jc w:val="left"/>
      </w:pPr>
    </w:p>
    <w:p>
      <w:pPr>
        <w:pStyle w:val="BodyText"/>
        <w:spacing w:line="273" w:lineRule="auto"/>
        <w:ind w:right="1908" w:firstLine="720"/>
      </w:pPr>
      <w:r>
        <w:rPr>
          <w:sz w:val="27"/>
        </w:rPr>
        <w:t>David</w:t>
      </w:r>
      <w:r>
        <w:rPr>
          <w:spacing w:val="-8"/>
          <w:sz w:val="27"/>
        </w:rPr>
        <w:t> </w:t>
      </w:r>
      <w:r>
        <w:rPr>
          <w:sz w:val="27"/>
        </w:rPr>
        <w:t>Easton</w:t>
      </w:r>
      <w:r>
        <w:rPr>
          <w:spacing w:val="-7"/>
          <w:sz w:val="27"/>
        </w:rPr>
        <w:t> </w:t>
      </w:r>
      <w:r>
        <w:rPr/>
        <w:t>was</w:t>
      </w:r>
      <w:r>
        <w:rPr>
          <w:spacing w:val="-9"/>
        </w:rPr>
        <w:t> </w:t>
      </w:r>
      <w:r>
        <w:rPr/>
        <w:t>among</w:t>
      </w:r>
      <w:r>
        <w:rPr>
          <w:spacing w:val="-7"/>
        </w:rPr>
        <w:t> </w:t>
      </w:r>
      <w:r>
        <w:rPr/>
        <w:t>the</w:t>
      </w:r>
      <w:r>
        <w:rPr>
          <w:spacing w:val="-7"/>
        </w:rPr>
        <w:t> </w:t>
      </w:r>
      <w:r>
        <w:rPr/>
        <w:t>scholars</w:t>
      </w:r>
      <w:r>
        <w:rPr>
          <w:spacing w:val="-9"/>
        </w:rPr>
        <w:t> </w:t>
      </w:r>
      <w:r>
        <w:rPr/>
        <w:t>who</w:t>
      </w:r>
      <w:r>
        <w:rPr>
          <w:spacing w:val="-10"/>
        </w:rPr>
        <w:t> </w:t>
      </w:r>
      <w:r>
        <w:rPr/>
        <w:t>shaped</w:t>
      </w:r>
      <w:r>
        <w:rPr>
          <w:spacing w:val="-5"/>
        </w:rPr>
        <w:t> </w:t>
      </w:r>
      <w:r>
        <w:rPr/>
        <w:t>the</w:t>
      </w:r>
      <w:r>
        <w:rPr>
          <w:spacing w:val="-7"/>
        </w:rPr>
        <w:t> </w:t>
      </w:r>
      <w:r>
        <w:rPr/>
        <w:t>face</w:t>
      </w:r>
      <w:r>
        <w:rPr>
          <w:spacing w:val="-7"/>
        </w:rPr>
        <w:t> </w:t>
      </w:r>
      <w:r>
        <w:rPr/>
        <w:t>of</w:t>
      </w:r>
      <w:r>
        <w:rPr>
          <w:spacing w:val="-8"/>
        </w:rPr>
        <w:t> </w:t>
      </w:r>
      <w:r>
        <w:rPr/>
        <w:t>modern political</w:t>
      </w:r>
      <w:r>
        <w:rPr>
          <w:spacing w:val="-4"/>
        </w:rPr>
        <w:t> </w:t>
      </w:r>
      <w:r>
        <w:rPr/>
        <w:t>science. At</w:t>
      </w:r>
      <w:r>
        <w:rPr>
          <w:spacing w:val="-1"/>
        </w:rPr>
        <w:t> </w:t>
      </w:r>
      <w:r>
        <w:rPr/>
        <w:t>the</w:t>
      </w:r>
      <w:r>
        <w:rPr>
          <w:spacing w:val="-1"/>
        </w:rPr>
        <w:t> </w:t>
      </w:r>
      <w:r>
        <w:rPr/>
        <w:t>beginning</w:t>
      </w:r>
      <w:r>
        <w:rPr>
          <w:spacing w:val="-1"/>
        </w:rPr>
        <w:t> </w:t>
      </w:r>
      <w:r>
        <w:rPr/>
        <w:t>of the</w:t>
      </w:r>
      <w:r>
        <w:rPr>
          <w:spacing w:val="-1"/>
        </w:rPr>
        <w:t> </w:t>
      </w:r>
      <w:r>
        <w:rPr/>
        <w:t>20</w:t>
      </w:r>
      <w:r>
        <w:rPr>
          <w:position w:val="7"/>
          <w:sz w:val="15"/>
        </w:rPr>
        <w:t>th</w:t>
      </w:r>
      <w:r>
        <w:rPr>
          <w:spacing w:val="31"/>
          <w:position w:val="7"/>
          <w:sz w:val="15"/>
        </w:rPr>
        <w:t> </w:t>
      </w:r>
      <w:r>
        <w:rPr/>
        <w:t>century, many</w:t>
      </w:r>
      <w:r>
        <w:rPr>
          <w:spacing w:val="-1"/>
        </w:rPr>
        <w:t> </w:t>
      </w:r>
      <w:r>
        <w:rPr/>
        <w:t>social scientists were asking the questions about the political science as an independent discipline. The revolutionary changes within the field helped to answer those</w:t>
      </w:r>
      <w:r>
        <w:rPr>
          <w:spacing w:val="-2"/>
        </w:rPr>
        <w:t> </w:t>
      </w:r>
      <w:r>
        <w:rPr/>
        <w:t>questions.</w:t>
      </w:r>
      <w:r>
        <w:rPr>
          <w:spacing w:val="-1"/>
        </w:rPr>
        <w:t> </w:t>
      </w:r>
      <w:r>
        <w:rPr/>
        <w:t>Easton observed that</w:t>
      </w:r>
      <w:r>
        <w:rPr>
          <w:spacing w:val="-2"/>
        </w:rPr>
        <w:t> </w:t>
      </w:r>
      <w:r>
        <w:rPr/>
        <w:t>the</w:t>
      </w:r>
      <w:r>
        <w:rPr>
          <w:spacing w:val="-2"/>
        </w:rPr>
        <w:t> </w:t>
      </w:r>
      <w:r>
        <w:rPr/>
        <w:t>skepticism</w:t>
      </w:r>
      <w:r>
        <w:rPr>
          <w:spacing w:val="-4"/>
        </w:rPr>
        <w:t> </w:t>
      </w:r>
      <w:r>
        <w:rPr/>
        <w:t>had a</w:t>
      </w:r>
      <w:r>
        <w:rPr>
          <w:spacing w:val="-2"/>
        </w:rPr>
        <w:t> </w:t>
      </w:r>
      <w:r>
        <w:rPr/>
        <w:t>solid basis,</w:t>
      </w:r>
      <w:r>
        <w:rPr>
          <w:spacing w:val="-1"/>
        </w:rPr>
        <w:t> </w:t>
      </w:r>
      <w:r>
        <w:rPr/>
        <w:t>as the political</w:t>
      </w:r>
      <w:r>
        <w:rPr>
          <w:spacing w:val="-3"/>
        </w:rPr>
        <w:t> </w:t>
      </w:r>
      <w:r>
        <w:rPr/>
        <w:t>scientists</w:t>
      </w:r>
      <w:r>
        <w:rPr>
          <w:spacing w:val="-2"/>
        </w:rPr>
        <w:t> </w:t>
      </w:r>
      <w:r>
        <w:rPr/>
        <w:t>were “buried in the myth</w:t>
      </w:r>
      <w:r>
        <w:rPr>
          <w:spacing w:val="-5"/>
        </w:rPr>
        <w:t> </w:t>
      </w:r>
      <w:r>
        <w:rPr/>
        <w:t>of</w:t>
      </w:r>
      <w:r>
        <w:rPr>
          <w:spacing w:val="-1"/>
        </w:rPr>
        <w:t> </w:t>
      </w:r>
      <w:r>
        <w:rPr/>
        <w:t>methodology.”</w:t>
      </w:r>
      <w:r>
        <w:rPr>
          <w:spacing w:val="40"/>
        </w:rPr>
        <w:t> </w:t>
      </w:r>
      <w:r>
        <w:rPr/>
        <w:t>In the </w:t>
      </w:r>
      <w:r>
        <w:rPr>
          <w:sz w:val="27"/>
        </w:rPr>
        <w:t>initial state </w:t>
      </w:r>
      <w:r>
        <w:rPr/>
        <w:t>of the development the overemphasizing on the methodological analysis was dragging the political theory into a closed cycle of searching methods and collecting the hard data, while this process was not accompanied</w:t>
      </w:r>
      <w:r>
        <w:rPr>
          <w:spacing w:val="-2"/>
        </w:rPr>
        <w:t> </w:t>
      </w:r>
      <w:r>
        <w:rPr/>
        <w:t>with</w:t>
      </w:r>
      <w:r>
        <w:rPr>
          <w:spacing w:val="-4"/>
        </w:rPr>
        <w:t> </w:t>
      </w:r>
      <w:r>
        <w:rPr/>
        <w:t>the</w:t>
      </w:r>
      <w:r>
        <w:rPr>
          <w:spacing w:val="-8"/>
        </w:rPr>
        <w:t> </w:t>
      </w:r>
      <w:r>
        <w:rPr/>
        <w:t>substantive</w:t>
      </w:r>
      <w:r>
        <w:rPr>
          <w:spacing w:val="-4"/>
        </w:rPr>
        <w:t> </w:t>
      </w:r>
      <w:r>
        <w:rPr/>
        <w:t>theoretical</w:t>
      </w:r>
      <w:r>
        <w:rPr>
          <w:spacing w:val="40"/>
        </w:rPr>
        <w:t> </w:t>
      </w:r>
      <w:r>
        <w:rPr/>
        <w:t>examination</w:t>
      </w:r>
      <w:r>
        <w:rPr>
          <w:spacing w:val="-3"/>
        </w:rPr>
        <w:t> </w:t>
      </w:r>
      <w:r>
        <w:rPr/>
        <w:t>the</w:t>
      </w:r>
      <w:r>
        <w:rPr>
          <w:spacing w:val="-4"/>
        </w:rPr>
        <w:t> </w:t>
      </w:r>
      <w:r>
        <w:rPr/>
        <w:t>gap</w:t>
      </w:r>
      <w:r>
        <w:rPr>
          <w:spacing w:val="-5"/>
        </w:rPr>
        <w:t> </w:t>
      </w:r>
      <w:r>
        <w:rPr/>
        <w:t>between the</w:t>
      </w:r>
      <w:r>
        <w:rPr>
          <w:spacing w:val="-1"/>
        </w:rPr>
        <w:t> </w:t>
      </w:r>
      <w:r>
        <w:rPr/>
        <w:t>method and thought</w:t>
      </w:r>
      <w:r>
        <w:rPr>
          <w:spacing w:val="-1"/>
        </w:rPr>
        <w:t> </w:t>
      </w:r>
      <w:r>
        <w:rPr/>
        <w:t>was</w:t>
      </w:r>
      <w:r>
        <w:rPr>
          <w:spacing w:val="-3"/>
        </w:rPr>
        <w:t> </w:t>
      </w:r>
      <w:r>
        <w:rPr/>
        <w:t>increasing. This</w:t>
      </w:r>
      <w:r>
        <w:rPr>
          <w:spacing w:val="-3"/>
        </w:rPr>
        <w:t> </w:t>
      </w:r>
      <w:r>
        <w:rPr/>
        <w:t>problem can be</w:t>
      </w:r>
      <w:r>
        <w:rPr>
          <w:spacing w:val="-1"/>
        </w:rPr>
        <w:t> </w:t>
      </w:r>
      <w:r>
        <w:rPr/>
        <w:t>best</w:t>
      </w:r>
      <w:r>
        <w:rPr>
          <w:spacing w:val="-1"/>
        </w:rPr>
        <w:t> </w:t>
      </w:r>
      <w:r>
        <w:rPr/>
        <w:t>described with </w:t>
      </w:r>
      <w:r>
        <w:rPr>
          <w:sz w:val="27"/>
        </w:rPr>
        <w:t>Searle</w:t>
      </w:r>
      <w:r>
        <w:rPr/>
        <w:t>’s words who observed that: “the meaning of</w:t>
      </w:r>
      <w:r>
        <w:rPr>
          <w:spacing w:val="19"/>
        </w:rPr>
        <w:t> </w:t>
      </w:r>
      <w:r>
        <w:rPr/>
        <w:t>the proposition is</w:t>
      </w:r>
    </w:p>
    <w:p>
      <w:pPr>
        <w:pStyle w:val="BodyText"/>
        <w:spacing w:after="0" w:line="273" w:lineRule="auto"/>
        <w:sectPr>
          <w:pgSz w:w="12240" w:h="15840"/>
          <w:pgMar w:header="1046" w:footer="0" w:top="1360" w:bottom="280" w:left="720" w:right="360"/>
        </w:sectPr>
      </w:pPr>
    </w:p>
    <w:p>
      <w:pPr>
        <w:pStyle w:val="BodyText"/>
        <w:spacing w:line="273" w:lineRule="auto" w:before="276"/>
        <w:ind w:right="1912"/>
      </w:pPr>
      <w:r>
        <w:rPr/>
        <w:t>just its method of verification.” (</w:t>
      </w:r>
      <w:hyperlink w:history="true" w:anchor="_bookmark385">
        <w:r>
          <w:rPr/>
          <w:t>Searle, 1991, p. 143</w:t>
        </w:r>
      </w:hyperlink>
      <w:r>
        <w:rPr/>
        <w:t>)</w:t>
      </w:r>
      <w:r>
        <w:rPr>
          <w:spacing w:val="40"/>
        </w:rPr>
        <w:t> </w:t>
      </w:r>
      <w:r>
        <w:rPr/>
        <w:t>This condition was like a troubled conversation of a philosopher [theory] and a sociologist [facts], where each gained some knowledge, but could not share it with the other. The </w:t>
      </w:r>
      <w:r>
        <w:rPr>
          <w:sz w:val="27"/>
        </w:rPr>
        <w:t>transitional state </w:t>
      </w:r>
      <w:r>
        <w:rPr/>
        <w:t>opened the field to the scientific method. The proper theoretical framework was tested against the empirical evidence, with experience-based methodological improvements. In the formative state, political science started to integrate the knowledge from other disciplines. (</w:t>
      </w:r>
      <w:hyperlink w:history="true" w:anchor="_bookmark169">
        <w:r>
          <w:rPr/>
          <w:t>Easton, 1966a, pp. 3-9</w:t>
        </w:r>
      </w:hyperlink>
      <w:r>
        <w:rPr/>
        <w:t>)</w:t>
      </w:r>
    </w:p>
    <w:p>
      <w:pPr>
        <w:spacing w:line="273" w:lineRule="auto" w:before="12"/>
        <w:ind w:left="979" w:right="1913" w:firstLine="720"/>
        <w:jc w:val="both"/>
        <w:rPr>
          <w:sz w:val="26"/>
        </w:rPr>
      </w:pPr>
      <w:r>
        <w:rPr>
          <w:sz w:val="26"/>
        </w:rPr>
        <w:t>This is a period when the GST was gaining strength and the cybernetic studies of the social organizations were becoming more and</w:t>
      </w:r>
      <w:r>
        <w:rPr>
          <w:spacing w:val="40"/>
          <w:sz w:val="26"/>
        </w:rPr>
        <w:t> </w:t>
      </w:r>
      <w:r>
        <w:rPr>
          <w:sz w:val="26"/>
        </w:rPr>
        <w:t>more applicable. Easton himself, while being the author of the political systems theory was closely collaborating with the prominent systems thinkers like: </w:t>
      </w:r>
      <w:r>
        <w:rPr>
          <w:sz w:val="27"/>
        </w:rPr>
        <w:t>Herbert A. Simon, James M. Buchanan, James G. March, Anatol</w:t>
      </w:r>
      <w:r>
        <w:rPr>
          <w:spacing w:val="-7"/>
          <w:sz w:val="27"/>
        </w:rPr>
        <w:t> </w:t>
      </w:r>
      <w:r>
        <w:rPr>
          <w:sz w:val="27"/>
        </w:rPr>
        <w:t>Rapoport,</w:t>
      </w:r>
      <w:r>
        <w:rPr>
          <w:spacing w:val="-3"/>
          <w:sz w:val="27"/>
        </w:rPr>
        <w:t> </w:t>
      </w:r>
      <w:r>
        <w:rPr>
          <w:sz w:val="27"/>
        </w:rPr>
        <w:t>Talcott</w:t>
      </w:r>
      <w:r>
        <w:rPr>
          <w:spacing w:val="-5"/>
          <w:sz w:val="27"/>
        </w:rPr>
        <w:t> </w:t>
      </w:r>
      <w:r>
        <w:rPr>
          <w:sz w:val="27"/>
        </w:rPr>
        <w:t>Parsons</w:t>
      </w:r>
      <w:r>
        <w:rPr>
          <w:spacing w:val="-7"/>
          <w:sz w:val="27"/>
        </w:rPr>
        <w:t> </w:t>
      </w:r>
      <w:r>
        <w:rPr>
          <w:sz w:val="27"/>
        </w:rPr>
        <w:t>and </w:t>
      </w:r>
      <w:r>
        <w:rPr>
          <w:sz w:val="26"/>
        </w:rPr>
        <w:t>others.</w:t>
      </w:r>
    </w:p>
    <w:p>
      <w:pPr>
        <w:pStyle w:val="BodyText"/>
        <w:spacing w:line="336" w:lineRule="exact"/>
        <w:ind w:left="1700"/>
      </w:pPr>
      <w:r>
        <w:rPr>
          <w:sz w:val="27"/>
        </w:rPr>
        <w:t>Easton</w:t>
      </w:r>
      <w:r>
        <w:rPr>
          <w:spacing w:val="14"/>
          <w:sz w:val="27"/>
        </w:rPr>
        <w:t> </w:t>
      </w:r>
      <w:r>
        <w:rPr/>
        <w:t>has</w:t>
      </w:r>
      <w:r>
        <w:rPr>
          <w:spacing w:val="13"/>
        </w:rPr>
        <w:t> </w:t>
      </w:r>
      <w:r>
        <w:rPr/>
        <w:t>pointed</w:t>
      </w:r>
      <w:r>
        <w:rPr>
          <w:spacing w:val="17"/>
        </w:rPr>
        <w:t> </w:t>
      </w:r>
      <w:r>
        <w:rPr/>
        <w:t>out</w:t>
      </w:r>
      <w:r>
        <w:rPr>
          <w:spacing w:val="15"/>
        </w:rPr>
        <w:t> </w:t>
      </w:r>
      <w:r>
        <w:rPr/>
        <w:t>the</w:t>
      </w:r>
      <w:r>
        <w:rPr>
          <w:spacing w:val="14"/>
        </w:rPr>
        <w:t> </w:t>
      </w:r>
      <w:r>
        <w:rPr/>
        <w:t>similar</w:t>
      </w:r>
      <w:r>
        <w:rPr>
          <w:spacing w:val="16"/>
        </w:rPr>
        <w:t> </w:t>
      </w:r>
      <w:r>
        <w:rPr/>
        <w:t>problems</w:t>
      </w:r>
      <w:r>
        <w:rPr>
          <w:spacing w:val="13"/>
        </w:rPr>
        <w:t> </w:t>
      </w:r>
      <w:r>
        <w:rPr/>
        <w:t>that</w:t>
      </w:r>
      <w:r>
        <w:rPr>
          <w:spacing w:val="16"/>
        </w:rPr>
        <w:t> </w:t>
      </w:r>
      <w:r>
        <w:rPr/>
        <w:t>were</w:t>
      </w:r>
      <w:r>
        <w:rPr>
          <w:spacing w:val="10"/>
        </w:rPr>
        <w:t> </w:t>
      </w:r>
      <w:r>
        <w:rPr/>
        <w:t>described</w:t>
      </w:r>
      <w:r>
        <w:rPr>
          <w:spacing w:val="17"/>
        </w:rPr>
        <w:t> </w:t>
      </w:r>
      <w:r>
        <w:rPr>
          <w:spacing w:val="-5"/>
        </w:rPr>
        <w:t>by</w:t>
      </w:r>
    </w:p>
    <w:p>
      <w:pPr>
        <w:pStyle w:val="BodyText"/>
        <w:spacing w:line="276" w:lineRule="auto" w:before="49"/>
        <w:ind w:right="1908"/>
      </w:pPr>
      <w:r>
        <w:rPr/>
        <w:t>the General Systems Theory and Cybernetics; the world according to him was stuck in the trap of ‘specialization,’ this meant a divided knowledge; The humanity has broken down the observable world into tiny parts and the individual disciplines have been attempting to assemble those parts largely the own way (Humpty Dumpty problem). The task of the contemporary science was then to look at the world not from the isolated perspectives, but do so using the common scope. The problem cannot be solved simply by acknowledging it. The primary task was to to carry credible conversations among the disciplines to overcome the problems of the interdisciplinary understanding. (</w:t>
      </w:r>
      <w:hyperlink w:history="true" w:anchor="_bookmark172">
        <w:r>
          <w:rPr/>
          <w:t>Easton, 1991, pp. 7-37</w:t>
        </w:r>
      </w:hyperlink>
      <w:r>
        <w:rPr/>
        <w:t>)</w:t>
      </w:r>
    </w:p>
    <w:p>
      <w:pPr>
        <w:pStyle w:val="BodyText"/>
        <w:spacing w:line="276" w:lineRule="auto"/>
        <w:ind w:right="1903" w:firstLine="720"/>
      </w:pPr>
      <w:r>
        <w:rPr/>
        <w:t>Considering the mentioned theoretical challenges, </w:t>
      </w:r>
      <w:r>
        <w:rPr>
          <w:sz w:val="27"/>
        </w:rPr>
        <w:t>Easton </w:t>
      </w:r>
      <w:r>
        <w:rPr/>
        <w:t>attempted to create a general theory of politics, the objectives of which were threeforld: “a) to establish criteria for identifying the important variables requiring investigation in all systems, b) to specify the relationships among those variables, c) to achieve those goals through the set of generalizations that hang together with greater rather than lesser logical coherence and interdependence.” (</w:t>
      </w:r>
      <w:hyperlink w:history="true" w:anchor="_bookmark168">
        <w:r>
          <w:rPr/>
          <w:t>Easton, 1965, p. 8</w:t>
        </w:r>
      </w:hyperlink>
      <w:r>
        <w:rPr/>
        <w:t>)</w:t>
      </w:r>
    </w:p>
    <w:p>
      <w:pPr>
        <w:pStyle w:val="BodyText"/>
        <w:spacing w:after="0" w:line="276" w:lineRule="auto"/>
        <w:sectPr>
          <w:pgSz w:w="12240" w:h="15840"/>
          <w:pgMar w:header="1046" w:footer="0" w:top="1360" w:bottom="280" w:left="720" w:right="360"/>
        </w:sectPr>
      </w:pPr>
    </w:p>
    <w:p>
      <w:pPr>
        <w:pStyle w:val="BodyText"/>
        <w:spacing w:line="273" w:lineRule="auto" w:before="266"/>
        <w:ind w:right="1906" w:firstLine="720"/>
      </w:pPr>
      <w:r>
        <w:rPr>
          <w:sz w:val="27"/>
        </w:rPr>
        <w:t>Easton </w:t>
      </w:r>
      <w:r>
        <w:rPr/>
        <w:t>was aware that building a full-scale deductive theory was impossible ‘over-night,’ however, his aim was to build a framework for future</w:t>
      </w:r>
      <w:r>
        <w:rPr>
          <w:spacing w:val="-2"/>
        </w:rPr>
        <w:t> </w:t>
      </w:r>
      <w:r>
        <w:rPr/>
        <w:t>analysis.</w:t>
      </w:r>
      <w:r>
        <w:rPr>
          <w:spacing w:val="-1"/>
        </w:rPr>
        <w:t> </w:t>
      </w:r>
      <w:r>
        <w:rPr/>
        <w:t>The</w:t>
      </w:r>
      <w:r>
        <w:rPr>
          <w:spacing w:val="-2"/>
        </w:rPr>
        <w:t> </w:t>
      </w:r>
      <w:r>
        <w:rPr/>
        <w:t>author</w:t>
      </w:r>
      <w:r>
        <w:rPr>
          <w:spacing w:val="-1"/>
        </w:rPr>
        <w:t> </w:t>
      </w:r>
      <w:r>
        <w:rPr/>
        <w:t>believed that</w:t>
      </w:r>
      <w:r>
        <w:rPr>
          <w:spacing w:val="-2"/>
        </w:rPr>
        <w:t> </w:t>
      </w:r>
      <w:r>
        <w:rPr/>
        <w:t>‘awareness</w:t>
      </w:r>
      <w:r>
        <w:rPr>
          <w:spacing w:val="-4"/>
        </w:rPr>
        <w:t> </w:t>
      </w:r>
      <w:r>
        <w:rPr/>
        <w:t>of</w:t>
      </w:r>
      <w:r>
        <w:rPr>
          <w:spacing w:val="-3"/>
        </w:rPr>
        <w:t> </w:t>
      </w:r>
      <w:r>
        <w:rPr/>
        <w:t>the</w:t>
      </w:r>
      <w:r>
        <w:rPr>
          <w:spacing w:val="-2"/>
        </w:rPr>
        <w:t> </w:t>
      </w:r>
      <w:r>
        <w:rPr/>
        <w:t>existence</w:t>
      </w:r>
      <w:r>
        <w:rPr>
          <w:spacing w:val="-2"/>
        </w:rPr>
        <w:t> </w:t>
      </w:r>
      <w:r>
        <w:rPr/>
        <w:t>of</w:t>
      </w:r>
      <w:r>
        <w:rPr>
          <w:spacing w:val="-3"/>
        </w:rPr>
        <w:t> </w:t>
      </w:r>
      <w:r>
        <w:rPr/>
        <w:t>even improbable ideal’ could serve as a reference point, a ‘juncture in the evolution</w:t>
      </w:r>
      <w:r>
        <w:rPr>
          <w:spacing w:val="-1"/>
        </w:rPr>
        <w:t> </w:t>
      </w:r>
      <w:r>
        <w:rPr/>
        <w:t>of</w:t>
      </w:r>
      <w:r>
        <w:rPr>
          <w:spacing w:val="-3"/>
        </w:rPr>
        <w:t> </w:t>
      </w:r>
      <w:r>
        <w:rPr/>
        <w:t>political</w:t>
      </w:r>
      <w:r>
        <w:rPr>
          <w:spacing w:val="-5"/>
        </w:rPr>
        <w:t> </w:t>
      </w:r>
      <w:r>
        <w:rPr/>
        <w:t>science.’(</w:t>
      </w:r>
      <w:hyperlink w:history="true" w:anchor="_bookmark168">
        <w:r>
          <w:rPr/>
          <w:t>1965,</w:t>
        </w:r>
        <w:r>
          <w:rPr>
            <w:spacing w:val="-1"/>
          </w:rPr>
          <w:t> </w:t>
        </w:r>
        <w:r>
          <w:rPr/>
          <w:t>p.</w:t>
        </w:r>
        <w:r>
          <w:rPr>
            <w:spacing w:val="-1"/>
          </w:rPr>
          <w:t> </w:t>
        </w:r>
        <w:r>
          <w:rPr/>
          <w:t>9</w:t>
        </w:r>
      </w:hyperlink>
      <w:r>
        <w:rPr/>
        <w:t>)</w:t>
      </w:r>
      <w:r>
        <w:rPr>
          <w:spacing w:val="-1"/>
        </w:rPr>
        <w:t> </w:t>
      </w:r>
      <w:r>
        <w:rPr/>
        <w:t>During</w:t>
      </w:r>
      <w:r>
        <w:rPr>
          <w:spacing w:val="-2"/>
        </w:rPr>
        <w:t> </w:t>
      </w:r>
      <w:r>
        <w:rPr/>
        <w:t>the</w:t>
      </w:r>
      <w:r>
        <w:rPr>
          <w:spacing w:val="-2"/>
        </w:rPr>
        <w:t> </w:t>
      </w:r>
      <w:r>
        <w:rPr/>
        <w:t>early</w:t>
      </w:r>
      <w:r>
        <w:rPr>
          <w:spacing w:val="-2"/>
        </w:rPr>
        <w:t> </w:t>
      </w:r>
      <w:r>
        <w:rPr/>
        <w:t>days</w:t>
      </w:r>
      <w:r>
        <w:rPr>
          <w:spacing w:val="-4"/>
        </w:rPr>
        <w:t> </w:t>
      </w:r>
      <w:r>
        <w:rPr/>
        <w:t>of</w:t>
      </w:r>
      <w:r>
        <w:rPr>
          <w:spacing w:val="-3"/>
        </w:rPr>
        <w:t> </w:t>
      </w:r>
      <w:r>
        <w:rPr/>
        <w:t>his</w:t>
      </w:r>
      <w:r>
        <w:rPr>
          <w:spacing w:val="-4"/>
        </w:rPr>
        <w:t> </w:t>
      </w:r>
      <w:r>
        <w:rPr/>
        <w:t>career </w:t>
      </w:r>
      <w:r>
        <w:rPr>
          <w:sz w:val="27"/>
        </w:rPr>
        <w:t>Easton </w:t>
      </w:r>
      <w:r>
        <w:rPr/>
        <w:t>had focused on preparing the epistemic proposals; he suggested to synthesize</w:t>
      </w:r>
      <w:r>
        <w:rPr>
          <w:spacing w:val="-2"/>
        </w:rPr>
        <w:t> </w:t>
      </w:r>
      <w:r>
        <w:rPr/>
        <w:t>the</w:t>
      </w:r>
      <w:r>
        <w:rPr>
          <w:spacing w:val="-2"/>
        </w:rPr>
        <w:t> </w:t>
      </w:r>
      <w:r>
        <w:rPr/>
        <w:t>‘causal theory’</w:t>
      </w:r>
      <w:r>
        <w:rPr>
          <w:spacing w:val="-3"/>
        </w:rPr>
        <w:t> </w:t>
      </w:r>
      <w:r>
        <w:rPr/>
        <w:t>with the</w:t>
      </w:r>
      <w:r>
        <w:rPr>
          <w:spacing w:val="-2"/>
        </w:rPr>
        <w:t> </w:t>
      </w:r>
      <w:r>
        <w:rPr/>
        <w:t>‘value theory.’</w:t>
      </w:r>
      <w:r>
        <w:rPr>
          <w:spacing w:val="-4"/>
        </w:rPr>
        <w:t> </w:t>
      </w:r>
      <w:r>
        <w:rPr/>
        <w:t>The</w:t>
      </w:r>
      <w:r>
        <w:rPr>
          <w:spacing w:val="-2"/>
        </w:rPr>
        <w:t> </w:t>
      </w:r>
      <w:r>
        <w:rPr/>
        <w:t>causal</w:t>
      </w:r>
      <w:r>
        <w:rPr>
          <w:spacing w:val="-4"/>
        </w:rPr>
        <w:t> </w:t>
      </w:r>
      <w:r>
        <w:rPr/>
        <w:t>theory</w:t>
      </w:r>
      <w:r>
        <w:rPr>
          <w:spacing w:val="-2"/>
        </w:rPr>
        <w:t> </w:t>
      </w:r>
      <w:r>
        <w:rPr/>
        <w:t>had to describe the facts and relations among the facts. The value theory was a product of subjective scientific reasoning, by which the researcher was proposing a sophisticated system of values, that would “help men in</w:t>
      </w:r>
      <w:r>
        <w:rPr>
          <w:spacing w:val="40"/>
        </w:rPr>
        <w:t> </w:t>
      </w:r>
      <w:r>
        <w:rPr/>
        <w:t>political</w:t>
      </w:r>
      <w:r>
        <w:rPr>
          <w:spacing w:val="-3"/>
        </w:rPr>
        <w:t> </w:t>
      </w:r>
      <w:r>
        <w:rPr/>
        <w:t>life</w:t>
      </w:r>
      <w:r>
        <w:rPr>
          <w:spacing w:val="-2"/>
        </w:rPr>
        <w:t> </w:t>
      </w:r>
      <w:r>
        <w:rPr/>
        <w:t>to</w:t>
      </w:r>
      <w:r>
        <w:rPr>
          <w:spacing w:val="-5"/>
        </w:rPr>
        <w:t> </w:t>
      </w:r>
      <w:r>
        <w:rPr/>
        <w:t>define</w:t>
      </w:r>
      <w:r>
        <w:rPr>
          <w:spacing w:val="-2"/>
        </w:rPr>
        <w:t> </w:t>
      </w:r>
      <w:r>
        <w:rPr/>
        <w:t>their</w:t>
      </w:r>
      <w:r>
        <w:rPr>
          <w:spacing w:val="-1"/>
        </w:rPr>
        <w:t> </w:t>
      </w:r>
      <w:r>
        <w:rPr/>
        <w:t>situation</w:t>
      </w:r>
      <w:r>
        <w:rPr>
          <w:spacing w:val="-1"/>
        </w:rPr>
        <w:t> </w:t>
      </w:r>
      <w:r>
        <w:rPr/>
        <w:t>in</w:t>
      </w:r>
      <w:r>
        <w:rPr>
          <w:spacing w:val="-1"/>
        </w:rPr>
        <w:t> </w:t>
      </w:r>
      <w:r>
        <w:rPr/>
        <w:t>evaluational</w:t>
      </w:r>
      <w:r>
        <w:rPr>
          <w:spacing w:val="-4"/>
        </w:rPr>
        <w:t> </w:t>
      </w:r>
      <w:r>
        <w:rPr/>
        <w:t>terms.”</w:t>
      </w:r>
      <w:r>
        <w:rPr>
          <w:spacing w:val="-1"/>
        </w:rPr>
        <w:t> </w:t>
      </w:r>
      <w:r>
        <w:rPr/>
        <w:t>(</w:t>
      </w:r>
      <w:hyperlink w:history="true" w:anchor="_bookmark292">
        <w:r>
          <w:rPr/>
          <w:t>Miller,</w:t>
        </w:r>
        <w:r>
          <w:rPr>
            <w:spacing w:val="-1"/>
          </w:rPr>
          <w:t> </w:t>
        </w:r>
        <w:r>
          <w:rPr/>
          <w:t>1971,</w:t>
        </w:r>
        <w:r>
          <w:rPr>
            <w:spacing w:val="-1"/>
          </w:rPr>
          <w:t> </w:t>
        </w:r>
        <w:r>
          <w:rPr/>
          <w:t>p.</w:t>
        </w:r>
      </w:hyperlink>
      <w:r>
        <w:rPr/>
        <w:t> </w:t>
      </w:r>
      <w:hyperlink w:history="true" w:anchor="_bookmark292">
        <w:r>
          <w:rPr/>
          <w:t>188</w:t>
        </w:r>
      </w:hyperlink>
      <w:r>
        <w:rPr/>
        <w:t>) </w:t>
      </w:r>
      <w:r>
        <w:rPr>
          <w:sz w:val="27"/>
        </w:rPr>
        <w:t>Easton </w:t>
      </w:r>
      <w:r>
        <w:rPr/>
        <w:t>acknowledged the subjective values of the scientist could influence the research, however, simultaneously believed that “when the social scientist raises his values to the level of consciousness, appraises them critically, and holds them up for public inspection.” (</w:t>
      </w:r>
      <w:hyperlink w:history="true" w:anchor="_bookmark292">
        <w:r>
          <w:rPr/>
          <w:t>1971, p. 189</w:t>
        </w:r>
      </w:hyperlink>
      <w:r>
        <w:rPr/>
        <w:t>)</w:t>
      </w:r>
    </w:p>
    <w:p>
      <w:pPr>
        <w:pStyle w:val="BodyText"/>
        <w:spacing w:line="273" w:lineRule="auto" w:before="6"/>
        <w:ind w:right="1902" w:firstLine="720"/>
      </w:pPr>
      <w:r>
        <w:rPr/>
        <w:t>The political interaction is a </w:t>
      </w:r>
      <w:r>
        <w:rPr>
          <w:sz w:val="27"/>
        </w:rPr>
        <w:t>system</w:t>
      </w:r>
      <w:r>
        <w:rPr>
          <w:spacing w:val="40"/>
          <w:sz w:val="27"/>
        </w:rPr>
        <w:t> </w:t>
      </w:r>
      <w:r>
        <w:rPr/>
        <w:t>of behavior, the observer has to analytically</w:t>
      </w:r>
      <w:r>
        <w:rPr>
          <w:spacing w:val="-11"/>
        </w:rPr>
        <w:t> </w:t>
      </w:r>
      <w:r>
        <w:rPr/>
        <w:t>isolate</w:t>
      </w:r>
      <w:r>
        <w:rPr>
          <w:spacing w:val="-11"/>
        </w:rPr>
        <w:t> </w:t>
      </w:r>
      <w:r>
        <w:rPr/>
        <w:t>the</w:t>
      </w:r>
      <w:r>
        <w:rPr>
          <w:spacing w:val="-11"/>
        </w:rPr>
        <w:t> </w:t>
      </w:r>
      <w:r>
        <w:rPr/>
        <w:t>political</w:t>
      </w:r>
      <w:r>
        <w:rPr>
          <w:spacing w:val="-13"/>
        </w:rPr>
        <w:t> </w:t>
      </w:r>
      <w:r>
        <w:rPr/>
        <w:t>life</w:t>
      </w:r>
      <w:r>
        <w:rPr>
          <w:spacing w:val="-11"/>
        </w:rPr>
        <w:t> </w:t>
      </w:r>
      <w:r>
        <w:rPr/>
        <w:t>from</w:t>
      </w:r>
      <w:r>
        <w:rPr>
          <w:spacing w:val="-12"/>
        </w:rPr>
        <w:t> </w:t>
      </w:r>
      <w:r>
        <w:rPr/>
        <w:t>its</w:t>
      </w:r>
      <w:r>
        <w:rPr>
          <w:spacing w:val="-8"/>
        </w:rPr>
        <w:t> </w:t>
      </w:r>
      <w:r>
        <w:rPr/>
        <w:t>surroundings</w:t>
      </w:r>
      <w:r>
        <w:rPr>
          <w:spacing w:val="-12"/>
        </w:rPr>
        <w:t> </w:t>
      </w:r>
      <w:r>
        <w:rPr/>
        <w:t>the </w:t>
      </w:r>
      <w:r>
        <w:rPr>
          <w:sz w:val="27"/>
        </w:rPr>
        <w:t>environments. </w:t>
      </w:r>
      <w:r>
        <w:rPr/>
        <w:t>Political life forms an </w:t>
      </w:r>
      <w:r>
        <w:rPr>
          <w:sz w:val="27"/>
        </w:rPr>
        <w:t>open system </w:t>
      </w:r>
      <w:r>
        <w:rPr/>
        <w:t>and has a capacity to </w:t>
      </w:r>
      <w:r>
        <w:rPr>
          <w:sz w:val="27"/>
        </w:rPr>
        <w:t>respond </w:t>
      </w:r>
      <w:r>
        <w:rPr/>
        <w:t>disturbances and adapt to new conditions. Easton’s approach is does not tolerate using the idea of equilibrium for political analysis for several reasons: a) It is misleading to assume that the only purpose of the political system is to return to equilibrium in case of disturbances, b) consequently,</w:t>
      </w:r>
      <w:r>
        <w:rPr>
          <w:spacing w:val="40"/>
        </w:rPr>
        <w:t> </w:t>
      </w:r>
      <w:r>
        <w:rPr/>
        <w:t>it is hard to understand political life, if the objectives or the form of the responses are taken for granted, c) the system can cope with disturbances</w:t>
      </w:r>
      <w:r>
        <w:rPr>
          <w:spacing w:val="80"/>
        </w:rPr>
        <w:t> </w:t>
      </w:r>
      <w:r>
        <w:rPr/>
        <w:t>by changing the environment, d) for the social systems adaptation is much more complex process than the equilibrium approach can contain. (</w:t>
      </w:r>
      <w:hyperlink w:history="true" w:anchor="_bookmark168">
        <w:r>
          <w:rPr/>
          <w:t>Easton,</w:t>
        </w:r>
      </w:hyperlink>
      <w:r>
        <w:rPr/>
        <w:t> </w:t>
      </w:r>
      <w:hyperlink w:history="true" w:anchor="_bookmark168">
        <w:r>
          <w:rPr/>
          <w:t>1965, pp. 17-21</w:t>
        </w:r>
      </w:hyperlink>
      <w:r>
        <w:rPr/>
        <w:t>)</w:t>
      </w:r>
    </w:p>
    <w:p>
      <w:pPr>
        <w:pStyle w:val="BodyText"/>
        <w:spacing w:line="276" w:lineRule="auto"/>
        <w:ind w:right="1913" w:firstLine="720"/>
      </w:pPr>
      <w:r>
        <w:rPr/>
        <w:t>According to </w:t>
      </w:r>
      <w:r>
        <w:rPr>
          <w:sz w:val="27"/>
        </w:rPr>
        <w:t>Easton</w:t>
      </w:r>
      <w:r>
        <w:rPr/>
        <w:t>, “a political system can be designated as those interactions through which values are authoritatively allocated for a society.” (</w:t>
      </w:r>
      <w:hyperlink w:history="true" w:anchor="_bookmark168">
        <w:r>
          <w:rPr/>
          <w:t>Easton, 1965, p. 21</w:t>
        </w:r>
      </w:hyperlink>
      <w:r>
        <w:rPr/>
        <w:t>) The author distinguishes between two types of environments: 1) intra-societal environment includes the economy, culture,</w:t>
      </w:r>
      <w:r>
        <w:rPr>
          <w:spacing w:val="40"/>
        </w:rPr>
        <w:t> </w:t>
      </w:r>
      <w:r>
        <w:rPr/>
        <w:t>social</w:t>
      </w:r>
      <w:r>
        <w:rPr>
          <w:spacing w:val="40"/>
        </w:rPr>
        <w:t> </w:t>
      </w:r>
      <w:r>
        <w:rPr/>
        <w:t>structure</w:t>
      </w:r>
      <w:r>
        <w:rPr>
          <w:spacing w:val="40"/>
        </w:rPr>
        <w:t> </w:t>
      </w:r>
      <w:r>
        <w:rPr/>
        <w:t>and</w:t>
      </w:r>
      <w:r>
        <w:rPr>
          <w:spacing w:val="40"/>
        </w:rPr>
        <w:t> </w:t>
      </w:r>
      <w:r>
        <w:rPr/>
        <w:t>personalities.</w:t>
      </w:r>
      <w:r>
        <w:rPr>
          <w:spacing w:val="40"/>
        </w:rPr>
        <w:t> </w:t>
      </w:r>
      <w:r>
        <w:rPr/>
        <w:t>These</w:t>
      </w:r>
      <w:r>
        <w:rPr>
          <w:spacing w:val="40"/>
        </w:rPr>
        <w:t> </w:t>
      </w:r>
      <w:r>
        <w:rPr/>
        <w:t>systems</w:t>
      </w:r>
      <w:r>
        <w:rPr>
          <w:spacing w:val="40"/>
        </w:rPr>
        <w:t> </w:t>
      </w:r>
      <w:r>
        <w:rPr/>
        <w:t>are</w:t>
      </w:r>
      <w:r>
        <w:rPr>
          <w:spacing w:val="40"/>
        </w:rPr>
        <w:t> </w:t>
      </w:r>
      <w:r>
        <w:rPr/>
        <w:t>part</w:t>
      </w:r>
      <w:r>
        <w:rPr>
          <w:spacing w:val="40"/>
        </w:rPr>
        <w:t> </w:t>
      </w:r>
      <w:r>
        <w:rPr/>
        <w:t>of</w:t>
      </w:r>
      <w:r>
        <w:rPr>
          <w:spacing w:val="40"/>
        </w:rPr>
        <w:t> </w:t>
      </w:r>
      <w:r>
        <w:rPr/>
        <w:t>the</w:t>
      </w:r>
    </w:p>
    <w:p>
      <w:pPr>
        <w:pStyle w:val="BodyText"/>
        <w:spacing w:after="0" w:line="276" w:lineRule="auto"/>
        <w:sectPr>
          <w:pgSz w:w="12240" w:h="15840"/>
          <w:pgMar w:header="1046" w:footer="0" w:top="1360" w:bottom="280" w:left="720" w:right="360"/>
        </w:sectPr>
      </w:pPr>
    </w:p>
    <w:p>
      <w:pPr>
        <w:pStyle w:val="BodyText"/>
        <w:spacing w:line="276" w:lineRule="auto" w:before="276"/>
        <w:ind w:right="1920"/>
      </w:pPr>
      <w:r>
        <w:rPr/>
        <w:t>societal structure that is in direct interaction with the political system. 2) The extra societal envirionent includes “all those systems that lie outside</w:t>
      </w:r>
      <w:r>
        <w:rPr>
          <w:spacing w:val="40"/>
        </w:rPr>
        <w:t> </w:t>
      </w:r>
      <w:r>
        <w:rPr/>
        <w:t>the given society.” (</w:t>
      </w:r>
      <w:hyperlink w:history="true" w:anchor="_bookmark168">
        <w:r>
          <w:rPr/>
          <w:t>1965, p. 22</w:t>
        </w:r>
      </w:hyperlink>
      <w:r>
        <w:rPr/>
        <w:t>)</w:t>
      </w:r>
    </w:p>
    <w:p>
      <w:pPr>
        <w:pStyle w:val="BodyText"/>
        <w:spacing w:line="273" w:lineRule="auto"/>
        <w:ind w:right="1907" w:firstLine="720"/>
      </w:pPr>
      <w:r>
        <w:rPr/>
        <w:t>The political system was a major unit for analysis that could be treated</w:t>
      </w:r>
      <w:r>
        <w:rPr>
          <w:spacing w:val="-4"/>
        </w:rPr>
        <w:t> </w:t>
      </w:r>
      <w:r>
        <w:rPr/>
        <w:t>as</w:t>
      </w:r>
      <w:r>
        <w:rPr>
          <w:spacing w:val="-8"/>
        </w:rPr>
        <w:t> </w:t>
      </w:r>
      <w:r>
        <w:rPr/>
        <w:t>a</w:t>
      </w:r>
      <w:r>
        <w:rPr>
          <w:spacing w:val="-6"/>
        </w:rPr>
        <w:t> </w:t>
      </w:r>
      <w:r>
        <w:rPr/>
        <w:t>social</w:t>
      </w:r>
      <w:r>
        <w:rPr>
          <w:spacing w:val="-4"/>
        </w:rPr>
        <w:t> </w:t>
      </w:r>
      <w:r>
        <w:rPr/>
        <w:t>system. </w:t>
      </w:r>
      <w:r>
        <w:rPr>
          <w:sz w:val="27"/>
        </w:rPr>
        <w:t>Easton</w:t>
      </w:r>
      <w:r>
        <w:rPr>
          <w:spacing w:val="-6"/>
          <w:sz w:val="27"/>
        </w:rPr>
        <w:t> </w:t>
      </w:r>
      <w:r>
        <w:rPr/>
        <w:t>argued</w:t>
      </w:r>
      <w:r>
        <w:rPr>
          <w:spacing w:val="-3"/>
        </w:rPr>
        <w:t> </w:t>
      </w:r>
      <w:r>
        <w:rPr/>
        <w:t>against</w:t>
      </w:r>
      <w:r>
        <w:rPr>
          <w:spacing w:val="-6"/>
        </w:rPr>
        <w:t> </w:t>
      </w:r>
      <w:r>
        <w:rPr/>
        <w:t>the</w:t>
      </w:r>
      <w:r>
        <w:rPr>
          <w:spacing w:val="-6"/>
        </w:rPr>
        <w:t> </w:t>
      </w:r>
      <w:r>
        <w:rPr/>
        <w:t>mainstream</w:t>
      </w:r>
      <w:r>
        <w:rPr>
          <w:spacing w:val="-8"/>
        </w:rPr>
        <w:t> </w:t>
      </w:r>
      <w:r>
        <w:rPr/>
        <w:t>sociological views of that time, that the social system could not be portrayed as an aggregate of the individual persons, instead, “all social systems are com- posed of</w:t>
      </w:r>
      <w:r>
        <w:rPr>
          <w:spacing w:val="-3"/>
        </w:rPr>
        <w:t> </w:t>
      </w:r>
      <w:r>
        <w:rPr/>
        <w:t>the interactions</w:t>
      </w:r>
      <w:r>
        <w:rPr>
          <w:spacing w:val="-4"/>
        </w:rPr>
        <w:t> </w:t>
      </w:r>
      <w:r>
        <w:rPr/>
        <w:t>among</w:t>
      </w:r>
      <w:r>
        <w:rPr>
          <w:spacing w:val="-2"/>
        </w:rPr>
        <w:t> </w:t>
      </w:r>
      <w:r>
        <w:rPr/>
        <w:t>persons</w:t>
      </w:r>
      <w:r>
        <w:rPr>
          <w:spacing w:val="-4"/>
        </w:rPr>
        <w:t> </w:t>
      </w:r>
      <w:r>
        <w:rPr/>
        <w:t>and that</w:t>
      </w:r>
      <w:r>
        <w:rPr>
          <w:spacing w:val="-2"/>
        </w:rPr>
        <w:t> </w:t>
      </w:r>
      <w:r>
        <w:rPr/>
        <w:t>such</w:t>
      </w:r>
      <w:r>
        <w:rPr>
          <w:spacing w:val="-2"/>
        </w:rPr>
        <w:t> </w:t>
      </w:r>
      <w:r>
        <w:rPr/>
        <w:t>interactions form</w:t>
      </w:r>
      <w:r>
        <w:rPr>
          <w:spacing w:val="-4"/>
        </w:rPr>
        <w:t> </w:t>
      </w:r>
      <w:r>
        <w:rPr/>
        <w:t>the basic units of these systems.” (</w:t>
      </w:r>
      <w:hyperlink w:history="true" w:anchor="_bookmark292">
        <w:r>
          <w:rPr/>
          <w:t>in Miller, 1971, p. 197</w:t>
        </w:r>
      </w:hyperlink>
      <w:r>
        <w:rPr/>
        <w:t>)</w:t>
      </w:r>
    </w:p>
    <w:p>
      <w:pPr>
        <w:pStyle w:val="BodyText"/>
        <w:spacing w:before="51"/>
        <w:ind w:left="0"/>
        <w:jc w:val="left"/>
      </w:pPr>
    </w:p>
    <w:p>
      <w:pPr>
        <w:spacing w:before="0"/>
        <w:ind w:left="979" w:right="0" w:firstLine="0"/>
        <w:jc w:val="both"/>
        <w:rPr>
          <w:rFonts w:ascii="Calibri"/>
          <w:b/>
          <w:sz w:val="18"/>
        </w:rPr>
      </w:pPr>
      <w:bookmarkStart w:name="_bookmark13" w:id="14"/>
      <w:bookmarkEnd w:id="14"/>
      <w:r>
        <w:rPr/>
      </w:r>
      <w:r>
        <w:rPr>
          <w:rFonts w:ascii="Calibri"/>
          <w:b/>
          <w:color w:val="4F81BC"/>
          <w:sz w:val="18"/>
        </w:rPr>
        <w:t>Figure 2</w:t>
      </w:r>
      <w:r>
        <w:rPr>
          <w:rFonts w:ascii="Calibri"/>
          <w:b/>
          <w:color w:val="4F81BC"/>
          <w:spacing w:val="-5"/>
          <w:sz w:val="18"/>
        </w:rPr>
        <w:t> </w:t>
      </w:r>
      <w:r>
        <w:rPr>
          <w:rFonts w:ascii="Calibri"/>
          <w:b/>
          <w:color w:val="4F81BC"/>
          <w:sz w:val="18"/>
        </w:rPr>
        <w:t>David</w:t>
      </w:r>
      <w:r>
        <w:rPr>
          <w:rFonts w:ascii="Calibri"/>
          <w:b/>
          <w:color w:val="4F81BC"/>
          <w:spacing w:val="-6"/>
          <w:sz w:val="18"/>
        </w:rPr>
        <w:t> </w:t>
      </w:r>
      <w:r>
        <w:rPr>
          <w:rFonts w:ascii="Calibri"/>
          <w:b/>
          <w:color w:val="4F81BC"/>
          <w:sz w:val="18"/>
        </w:rPr>
        <w:t>Easton's</w:t>
      </w:r>
      <w:r>
        <w:rPr>
          <w:rFonts w:ascii="Calibri"/>
          <w:b/>
          <w:color w:val="4F81BC"/>
          <w:spacing w:val="-5"/>
          <w:sz w:val="18"/>
        </w:rPr>
        <w:t> </w:t>
      </w:r>
      <w:r>
        <w:rPr>
          <w:rFonts w:ascii="Calibri"/>
          <w:b/>
          <w:color w:val="4F81BC"/>
          <w:sz w:val="18"/>
        </w:rPr>
        <w:t>Political</w:t>
      </w:r>
      <w:r>
        <w:rPr>
          <w:rFonts w:ascii="Calibri"/>
          <w:b/>
          <w:color w:val="4F81BC"/>
          <w:spacing w:val="-2"/>
          <w:sz w:val="18"/>
        </w:rPr>
        <w:t> Process</w:t>
      </w:r>
    </w:p>
    <w:p>
      <w:pPr>
        <w:pStyle w:val="BodyText"/>
        <w:spacing w:before="7"/>
        <w:ind w:left="0"/>
        <w:jc w:val="left"/>
        <w:rPr>
          <w:rFonts w:ascii="Calibri"/>
          <w:b/>
          <w:sz w:val="14"/>
        </w:rPr>
      </w:pPr>
      <w:r>
        <w:rPr>
          <w:rFonts w:ascii="Calibri"/>
          <w:b/>
          <w:sz w:val="14"/>
        </w:rPr>
        <w:drawing>
          <wp:anchor distT="0" distB="0" distL="0" distR="0" allowOverlap="1" layoutInCell="1" locked="0" behindDoc="1" simplePos="0" relativeHeight="487612416">
            <wp:simplePos x="0" y="0"/>
            <wp:positionH relativeFrom="page">
              <wp:posOffset>1080135</wp:posOffset>
            </wp:positionH>
            <wp:positionV relativeFrom="paragraph">
              <wp:posOffset>128522</wp:posOffset>
            </wp:positionV>
            <wp:extent cx="5350868" cy="2029968"/>
            <wp:effectExtent l="0" t="0" r="0" b="0"/>
            <wp:wrapTopAndBottom/>
            <wp:docPr id="58" name="Image 58" descr="C:\Users\user\Desktop\diagrams\EASTON.png"/>
            <wp:cNvGraphicFramePr>
              <a:graphicFrameLocks/>
            </wp:cNvGraphicFramePr>
            <a:graphic>
              <a:graphicData uri="http://schemas.openxmlformats.org/drawingml/2006/picture">
                <pic:pic>
                  <pic:nvPicPr>
                    <pic:cNvPr id="58" name="Image 58" descr="C:\Users\user\Desktop\diagrams\EASTON.png"/>
                    <pic:cNvPicPr/>
                  </pic:nvPicPr>
                  <pic:blipFill>
                    <a:blip r:embed="rId20" cstate="print"/>
                    <a:stretch>
                      <a:fillRect/>
                    </a:stretch>
                  </pic:blipFill>
                  <pic:spPr>
                    <a:xfrm>
                      <a:off x="0" y="0"/>
                      <a:ext cx="5350868" cy="2029968"/>
                    </a:xfrm>
                    <a:prstGeom prst="rect">
                      <a:avLst/>
                    </a:prstGeom>
                  </pic:spPr>
                </pic:pic>
              </a:graphicData>
            </a:graphic>
          </wp:anchor>
        </w:drawing>
      </w:r>
    </w:p>
    <w:p>
      <w:pPr>
        <w:pStyle w:val="BodyText"/>
        <w:ind w:left="0"/>
        <w:jc w:val="left"/>
        <w:rPr>
          <w:rFonts w:ascii="Calibri"/>
          <w:b/>
          <w:sz w:val="18"/>
        </w:rPr>
      </w:pPr>
    </w:p>
    <w:p>
      <w:pPr>
        <w:pStyle w:val="BodyText"/>
        <w:spacing w:before="14"/>
        <w:ind w:left="0"/>
        <w:jc w:val="left"/>
        <w:rPr>
          <w:rFonts w:ascii="Calibri"/>
          <w:b/>
          <w:sz w:val="18"/>
        </w:rPr>
      </w:pPr>
    </w:p>
    <w:p>
      <w:pPr>
        <w:pStyle w:val="BodyText"/>
        <w:spacing w:line="276" w:lineRule="auto"/>
        <w:ind w:right="1902" w:firstLine="720"/>
      </w:pPr>
      <w:r>
        <w:rPr/>
        <w:t>The political actions compose the political system; the boundary of a political system is drawn by those actions that are related to the making of binding decisions for society. The system does not develop an entropy if it receives the energy via input mechanism. (</w:t>
      </w:r>
      <w:hyperlink w:history="true" w:anchor="_bookmark167">
        <w:r>
          <w:rPr/>
          <w:t>Easton, 1957, p. 385</w:t>
        </w:r>
      </w:hyperlink>
      <w:r>
        <w:rPr/>
        <w:t>) There are two types of input: support and demand.</w:t>
      </w:r>
    </w:p>
    <w:p>
      <w:pPr>
        <w:pStyle w:val="BodyText"/>
        <w:spacing w:line="271" w:lineRule="auto"/>
        <w:ind w:right="1905" w:firstLine="720"/>
      </w:pPr>
      <w:r>
        <w:rPr/>
        <w:t>The </w:t>
      </w:r>
      <w:r>
        <w:rPr>
          <w:sz w:val="27"/>
        </w:rPr>
        <w:t>support </w:t>
      </w:r>
      <w:r>
        <w:rPr/>
        <w:t>subsequently has a double connotation; a) “a </w:t>
      </w:r>
      <w:r>
        <w:rPr>
          <w:sz w:val="27"/>
        </w:rPr>
        <w:t>specific support</w:t>
      </w:r>
      <w:r>
        <w:rPr>
          <w:spacing w:val="40"/>
          <w:sz w:val="27"/>
        </w:rPr>
        <w:t> </w:t>
      </w:r>
      <w:r>
        <w:rPr/>
        <w:t>is a response to the authorities; it is only indirectly relevant, if at all, to the input of support for the regime or political community,”(</w:t>
      </w:r>
      <w:hyperlink w:history="true" w:anchor="_bookmark171">
        <w:r>
          <w:rPr/>
          <w:t>Easton,</w:t>
        </w:r>
      </w:hyperlink>
      <w:r>
        <w:rPr/>
        <w:t> </w:t>
      </w:r>
      <w:hyperlink w:history="true" w:anchor="_bookmark171">
        <w:r>
          <w:rPr/>
          <w:t>1975, p. 437</w:t>
        </w:r>
      </w:hyperlink>
      <w:r>
        <w:rPr/>
        <w:t>) b) “</w:t>
      </w:r>
      <w:r>
        <w:rPr>
          <w:sz w:val="27"/>
        </w:rPr>
        <w:t>diffuse</w:t>
      </w:r>
      <w:r>
        <w:rPr>
          <w:spacing w:val="-3"/>
          <w:sz w:val="27"/>
        </w:rPr>
        <w:t> </w:t>
      </w:r>
      <w:r>
        <w:rPr>
          <w:sz w:val="27"/>
        </w:rPr>
        <w:t>support</w:t>
      </w:r>
      <w:r>
        <w:rPr>
          <w:spacing w:val="-2"/>
          <w:sz w:val="27"/>
        </w:rPr>
        <w:t> </w:t>
      </w:r>
      <w:r>
        <w:rPr/>
        <w:t>refers</w:t>
      </w:r>
      <w:r>
        <w:rPr>
          <w:spacing w:val="-3"/>
        </w:rPr>
        <w:t> </w:t>
      </w:r>
      <w:r>
        <w:rPr/>
        <w:t>to</w:t>
      </w:r>
      <w:r>
        <w:rPr>
          <w:spacing w:val="-4"/>
        </w:rPr>
        <w:t> </w:t>
      </w:r>
      <w:r>
        <w:rPr/>
        <w:t>evaluations</w:t>
      </w:r>
      <w:r>
        <w:rPr>
          <w:spacing w:val="-3"/>
        </w:rPr>
        <w:t> </w:t>
      </w:r>
      <w:r>
        <w:rPr/>
        <w:t>of</w:t>
      </w:r>
      <w:r>
        <w:rPr>
          <w:spacing w:val="-2"/>
        </w:rPr>
        <w:t> </w:t>
      </w:r>
      <w:r>
        <w:rPr/>
        <w:t>what</w:t>
      </w:r>
      <w:r>
        <w:rPr>
          <w:spacing w:val="-1"/>
        </w:rPr>
        <w:t> </w:t>
      </w:r>
      <w:r>
        <w:rPr/>
        <w:t>an object</w:t>
      </w:r>
      <w:r>
        <w:rPr>
          <w:spacing w:val="-1"/>
        </w:rPr>
        <w:t> </w:t>
      </w:r>
      <w:r>
        <w:rPr/>
        <w:t>is</w:t>
      </w:r>
      <w:r>
        <w:rPr>
          <w:spacing w:val="-3"/>
        </w:rPr>
        <w:t> </w:t>
      </w:r>
      <w:r>
        <w:rPr/>
        <w:t>or represents</w:t>
      </w:r>
      <w:r>
        <w:rPr>
          <w:spacing w:val="-2"/>
        </w:rPr>
        <w:t> </w:t>
      </w:r>
      <w:r>
        <w:rPr/>
        <w:t>-</w:t>
      </w:r>
      <w:r>
        <w:rPr>
          <w:spacing w:val="-4"/>
        </w:rPr>
        <w:t> </w:t>
      </w:r>
      <w:r>
        <w:rPr/>
        <w:t>to</w:t>
      </w:r>
      <w:r>
        <w:rPr>
          <w:spacing w:val="-4"/>
        </w:rPr>
        <w:t> </w:t>
      </w:r>
      <w:r>
        <w:rPr/>
        <w:t>the</w:t>
      </w:r>
      <w:r>
        <w:rPr>
          <w:spacing w:val="-5"/>
        </w:rPr>
        <w:t> </w:t>
      </w:r>
      <w:r>
        <w:rPr/>
        <w:t>general</w:t>
      </w:r>
      <w:r>
        <w:rPr>
          <w:spacing w:val="-3"/>
        </w:rPr>
        <w:t> </w:t>
      </w:r>
      <w:r>
        <w:rPr/>
        <w:t>meaning</w:t>
      </w:r>
      <w:r>
        <w:rPr>
          <w:spacing w:val="-2"/>
        </w:rPr>
        <w:t> </w:t>
      </w:r>
      <w:r>
        <w:rPr/>
        <w:t>it</w:t>
      </w:r>
      <w:r>
        <w:rPr>
          <w:spacing w:val="-2"/>
        </w:rPr>
        <w:t> </w:t>
      </w:r>
      <w:r>
        <w:rPr/>
        <w:t>has</w:t>
      </w:r>
      <w:r>
        <w:rPr>
          <w:spacing w:val="-3"/>
        </w:rPr>
        <w:t> </w:t>
      </w:r>
      <w:r>
        <w:rPr/>
        <w:t>for</w:t>
      </w:r>
      <w:r>
        <w:rPr>
          <w:spacing w:val="-5"/>
        </w:rPr>
        <w:t> </w:t>
      </w:r>
      <w:r>
        <w:rPr/>
        <w:t>a person -</w:t>
      </w:r>
      <w:r>
        <w:rPr>
          <w:spacing w:val="-4"/>
        </w:rPr>
        <w:t> </w:t>
      </w:r>
      <w:r>
        <w:rPr/>
        <w:t>not</w:t>
      </w:r>
      <w:r>
        <w:rPr>
          <w:spacing w:val="-2"/>
        </w:rPr>
        <w:t> </w:t>
      </w:r>
      <w:r>
        <w:rPr/>
        <w:t>of</w:t>
      </w:r>
      <w:r>
        <w:rPr>
          <w:spacing w:val="-3"/>
        </w:rPr>
        <w:t> </w:t>
      </w:r>
      <w:r>
        <w:rPr/>
        <w:t>what</w:t>
      </w:r>
      <w:r>
        <w:rPr>
          <w:spacing w:val="-5"/>
        </w:rPr>
        <w:t> </w:t>
      </w:r>
      <w:r>
        <w:rPr/>
        <w:t>it</w:t>
      </w:r>
      <w:r>
        <w:rPr>
          <w:spacing w:val="-2"/>
        </w:rPr>
        <w:t> </w:t>
      </w:r>
      <w:r>
        <w:rPr/>
        <w:t>does.” (</w:t>
      </w:r>
      <w:hyperlink w:history="true" w:anchor="_bookmark171">
        <w:r>
          <w:rPr/>
          <w:t>1975, p. 444</w:t>
        </w:r>
      </w:hyperlink>
      <w:r>
        <w:rPr/>
        <w:t>)</w:t>
      </w:r>
    </w:p>
    <w:p>
      <w:pPr>
        <w:pStyle w:val="BodyText"/>
        <w:spacing w:after="0" w:line="271" w:lineRule="auto"/>
        <w:sectPr>
          <w:pgSz w:w="12240" w:h="15840"/>
          <w:pgMar w:header="1046" w:footer="0" w:top="1360" w:bottom="280" w:left="720" w:right="360"/>
        </w:sectPr>
      </w:pPr>
    </w:p>
    <w:p>
      <w:pPr>
        <w:pStyle w:val="BodyText"/>
        <w:spacing w:line="276" w:lineRule="auto" w:before="266"/>
        <w:ind w:right="1897" w:firstLine="720"/>
      </w:pPr>
      <w:r>
        <w:rPr/>
        <w:t>The </w:t>
      </w:r>
      <w:r>
        <w:rPr>
          <w:sz w:val="27"/>
        </w:rPr>
        <w:t>demand </w:t>
      </w:r>
      <w:r>
        <w:rPr/>
        <w:t>is “an expression of opinion that an authoritative allocation with</w:t>
      </w:r>
      <w:r>
        <w:rPr>
          <w:spacing w:val="-1"/>
        </w:rPr>
        <w:t> </w:t>
      </w:r>
      <w:r>
        <w:rPr/>
        <w:t>regard to</w:t>
      </w:r>
      <w:r>
        <w:rPr>
          <w:spacing w:val="-4"/>
        </w:rPr>
        <w:t> </w:t>
      </w:r>
      <w:r>
        <w:rPr/>
        <w:t>a</w:t>
      </w:r>
      <w:r>
        <w:rPr>
          <w:spacing w:val="-1"/>
        </w:rPr>
        <w:t> </w:t>
      </w:r>
      <w:r>
        <w:rPr/>
        <w:t>particular subject matter should or should not be made by those responsible for doing so.” (</w:t>
      </w:r>
      <w:hyperlink w:history="true" w:anchor="_bookmark168">
        <w:r>
          <w:rPr/>
          <w:t>Easton, 1965, p. 38</w:t>
        </w:r>
      </w:hyperlink>
      <w:r>
        <w:rPr/>
        <w:t>)</w:t>
      </w:r>
      <w:r>
        <w:rPr>
          <w:spacing w:val="40"/>
        </w:rPr>
        <w:t> </w:t>
      </w:r>
      <w:r>
        <w:rPr/>
        <w:t>The demands are directed to the authorities. The conflicts over demands are essential for the political system, without them there would be “no occasion to undertake the making of binding decisions for the society.” (</w:t>
      </w:r>
      <w:hyperlink w:history="true" w:anchor="_bookmark168">
        <w:r>
          <w:rPr/>
          <w:t>1965, p. 48</w:t>
        </w:r>
      </w:hyperlink>
      <w:r>
        <w:rPr/>
        <w:t>) Demands can be internal or external. The internal demands emerge from the</w:t>
      </w:r>
      <w:r>
        <w:rPr>
          <w:spacing w:val="-1"/>
        </w:rPr>
        <w:t> </w:t>
      </w:r>
      <w:r>
        <w:rPr/>
        <w:t>political</w:t>
      </w:r>
      <w:r>
        <w:rPr>
          <w:spacing w:val="-4"/>
        </w:rPr>
        <w:t> </w:t>
      </w:r>
      <w:r>
        <w:rPr/>
        <w:t>relationships</w:t>
      </w:r>
      <w:r>
        <w:rPr>
          <w:spacing w:val="-3"/>
        </w:rPr>
        <w:t> </w:t>
      </w:r>
      <w:r>
        <w:rPr/>
        <w:t>among</w:t>
      </w:r>
      <w:r>
        <w:rPr>
          <w:spacing w:val="-1"/>
        </w:rPr>
        <w:t> </w:t>
      </w:r>
      <w:r>
        <w:rPr/>
        <w:t>the</w:t>
      </w:r>
      <w:r>
        <w:rPr>
          <w:spacing w:val="-1"/>
        </w:rPr>
        <w:t> </w:t>
      </w:r>
      <w:r>
        <w:rPr/>
        <w:t>members</w:t>
      </w:r>
      <w:r>
        <w:rPr>
          <w:spacing w:val="-3"/>
        </w:rPr>
        <w:t> </w:t>
      </w:r>
      <w:r>
        <w:rPr/>
        <w:t>of</w:t>
      </w:r>
      <w:r>
        <w:rPr>
          <w:spacing w:val="-2"/>
        </w:rPr>
        <w:t> </w:t>
      </w:r>
      <w:r>
        <w:rPr/>
        <w:t>the</w:t>
      </w:r>
      <w:r>
        <w:rPr>
          <w:spacing w:val="-1"/>
        </w:rPr>
        <w:t> </w:t>
      </w:r>
      <w:r>
        <w:rPr/>
        <w:t>society, they</w:t>
      </w:r>
      <w:r>
        <w:rPr>
          <w:spacing w:val="-1"/>
        </w:rPr>
        <w:t> </w:t>
      </w:r>
      <w:r>
        <w:rPr/>
        <w:t>are</w:t>
      </w:r>
      <w:r>
        <w:rPr>
          <w:spacing w:val="-1"/>
        </w:rPr>
        <w:t> </w:t>
      </w:r>
      <w:r>
        <w:rPr/>
        <w:t>intra- societal demands. The exernal demands penetrate into the political system from the environmental systems like culture, ecology, economy etc.</w:t>
      </w:r>
      <w:r>
        <w:rPr>
          <w:spacing w:val="40"/>
        </w:rPr>
        <w:t> </w:t>
      </w:r>
      <w:r>
        <w:rPr/>
        <w:t>(</w:t>
      </w:r>
      <w:hyperlink w:history="true" w:anchor="_bookmark167">
        <w:r>
          <w:rPr/>
          <w:t>Easton, 1957, p. 388</w:t>
        </w:r>
      </w:hyperlink>
      <w:r>
        <w:rPr/>
        <w:t>) The demands become politically relevant issues only when they are politicized.</w:t>
      </w:r>
    </w:p>
    <w:p>
      <w:pPr>
        <w:pStyle w:val="BodyText"/>
        <w:spacing w:line="276" w:lineRule="auto"/>
        <w:ind w:right="1917" w:firstLine="720"/>
      </w:pPr>
      <w:r>
        <w:rPr/>
        <w:t>A</w:t>
      </w:r>
      <w:r>
        <w:rPr>
          <w:spacing w:val="-5"/>
        </w:rPr>
        <w:t> </w:t>
      </w:r>
      <w:r>
        <w:rPr/>
        <w:t>political</w:t>
      </w:r>
      <w:r>
        <w:rPr>
          <w:spacing w:val="-5"/>
        </w:rPr>
        <w:t> </w:t>
      </w:r>
      <w:r>
        <w:rPr/>
        <w:t>system</w:t>
      </w:r>
      <w:r>
        <w:rPr>
          <w:spacing w:val="-5"/>
        </w:rPr>
        <w:t> </w:t>
      </w:r>
      <w:r>
        <w:rPr/>
        <w:t>functions</w:t>
      </w:r>
      <w:r>
        <w:rPr>
          <w:spacing w:val="-5"/>
        </w:rPr>
        <w:t> </w:t>
      </w:r>
      <w:r>
        <w:rPr/>
        <w:t>as</w:t>
      </w:r>
      <w:r>
        <w:rPr>
          <w:spacing w:val="-5"/>
        </w:rPr>
        <w:t> </w:t>
      </w:r>
      <w:r>
        <w:rPr/>
        <w:t>a simple</w:t>
      </w:r>
      <w:r>
        <w:rPr>
          <w:spacing w:val="-3"/>
        </w:rPr>
        <w:t> </w:t>
      </w:r>
      <w:r>
        <w:rPr/>
        <w:t>feedback</w:t>
      </w:r>
      <w:r>
        <w:rPr>
          <w:spacing w:val="-2"/>
        </w:rPr>
        <w:t> </w:t>
      </w:r>
      <w:r>
        <w:rPr/>
        <w:t>loop.</w:t>
      </w:r>
      <w:r>
        <w:rPr>
          <w:spacing w:val="-2"/>
        </w:rPr>
        <w:t> </w:t>
      </w:r>
      <w:r>
        <w:rPr/>
        <w:t>It</w:t>
      </w:r>
      <w:r>
        <w:rPr>
          <w:spacing w:val="-3"/>
        </w:rPr>
        <w:t> </w:t>
      </w:r>
      <w:r>
        <w:rPr/>
        <w:t>converts</w:t>
      </w:r>
      <w:r>
        <w:rPr>
          <w:spacing w:val="-5"/>
        </w:rPr>
        <w:t> </w:t>
      </w:r>
      <w:r>
        <w:rPr/>
        <w:t>the input (demands, support) into output (decisions, policies) and generates the conditions for the new input (figure 2).</w:t>
      </w:r>
    </w:p>
    <w:p>
      <w:pPr>
        <w:pStyle w:val="BodyText"/>
        <w:spacing w:line="273" w:lineRule="auto"/>
        <w:ind w:right="1916" w:firstLine="720"/>
      </w:pPr>
      <w:r>
        <w:rPr>
          <w:sz w:val="27"/>
        </w:rPr>
        <w:t>Karl Deutsch </w:t>
      </w:r>
      <w:r>
        <w:rPr/>
        <w:t>was another prominent scholar who attempted to use systems theories to analyze government and politics. His approach is based on</w:t>
      </w:r>
      <w:r>
        <w:rPr>
          <w:spacing w:val="-1"/>
        </w:rPr>
        <w:t> </w:t>
      </w:r>
      <w:r>
        <w:rPr/>
        <w:t>Wiener’s</w:t>
      </w:r>
      <w:r>
        <w:rPr>
          <w:spacing w:val="-4"/>
        </w:rPr>
        <w:t> </w:t>
      </w:r>
      <w:r>
        <w:rPr/>
        <w:t>cybernetic</w:t>
      </w:r>
      <w:r>
        <w:rPr>
          <w:spacing w:val="-3"/>
        </w:rPr>
        <w:t> </w:t>
      </w:r>
      <w:r>
        <w:rPr/>
        <w:t>theory</w:t>
      </w:r>
      <w:r>
        <w:rPr>
          <w:spacing w:val="-2"/>
        </w:rPr>
        <w:t> </w:t>
      </w:r>
      <w:r>
        <w:rPr/>
        <w:t>and its</w:t>
      </w:r>
      <w:r>
        <w:rPr>
          <w:spacing w:val="-4"/>
        </w:rPr>
        <w:t> </w:t>
      </w:r>
      <w:r>
        <w:rPr/>
        <w:t>conceptualizations</w:t>
      </w:r>
      <w:r>
        <w:rPr>
          <w:spacing w:val="-4"/>
        </w:rPr>
        <w:t> </w:t>
      </w:r>
      <w:r>
        <w:rPr/>
        <w:t>of</w:t>
      </w:r>
      <w:r>
        <w:rPr>
          <w:spacing w:val="-3"/>
        </w:rPr>
        <w:t> </w:t>
      </w:r>
      <w:r>
        <w:rPr/>
        <w:t>communication and control.</w:t>
      </w:r>
    </w:p>
    <w:p>
      <w:pPr>
        <w:pStyle w:val="BodyText"/>
        <w:spacing w:line="271" w:lineRule="auto"/>
        <w:ind w:right="1908" w:firstLine="720"/>
      </w:pPr>
      <w:r>
        <w:rPr/>
        <w:t>The Nerves of Government starts with a review of the knowledge models in the social science. </w:t>
      </w:r>
      <w:r>
        <w:rPr>
          <w:sz w:val="27"/>
        </w:rPr>
        <w:t>Deutsch </w:t>
      </w:r>
      <w:r>
        <w:rPr/>
        <w:t>argued that the complexity of the modern world and the increased quantity of data and a wide variety of methods to collect the data, had increased the importance of a scientific selection. The researcher had to ask the questions, getting answers on</w:t>
      </w:r>
      <w:r>
        <w:rPr>
          <w:spacing w:val="40"/>
        </w:rPr>
        <w:t> </w:t>
      </w:r>
      <w:r>
        <w:rPr/>
        <w:t>which are worth the effort. Based on this need </w:t>
      </w:r>
      <w:r>
        <w:rPr>
          <w:sz w:val="27"/>
        </w:rPr>
        <w:t>Deutsch </w:t>
      </w:r>
      <w:r>
        <w:rPr/>
        <w:t>proposed a concise review of the symbolic models that could serve for the political analysis. In this review he included: the model of mechanism, the concept of organism, concept-based historical models. The models have several universal functions: a) a </w:t>
      </w:r>
      <w:r>
        <w:rPr>
          <w:sz w:val="27"/>
        </w:rPr>
        <w:t>mapping function </w:t>
      </w:r>
      <w:r>
        <w:rPr/>
        <w:t>serves to </w:t>
      </w:r>
      <w:r>
        <w:rPr>
          <w:sz w:val="27"/>
        </w:rPr>
        <w:t>summarize </w:t>
      </w:r>
      <w:r>
        <w:rPr/>
        <w:t>the existing knowledge and help to </w:t>
      </w:r>
      <w:r>
        <w:rPr>
          <w:sz w:val="27"/>
        </w:rPr>
        <w:t>predict </w:t>
      </w:r>
      <w:r>
        <w:rPr/>
        <w:t>the developments</w:t>
      </w:r>
      <w:r>
        <w:rPr>
          <w:spacing w:val="-1"/>
        </w:rPr>
        <w:t> </w:t>
      </w:r>
      <w:r>
        <w:rPr/>
        <w:t>by ‘examining the pattern of distribution of a set of known data;’ b)</w:t>
      </w:r>
      <w:r>
        <w:rPr>
          <w:spacing w:val="40"/>
        </w:rPr>
        <w:t> </w:t>
      </w:r>
      <w:r>
        <w:rPr/>
        <w:t>the </w:t>
      </w:r>
      <w:r>
        <w:rPr>
          <w:sz w:val="27"/>
        </w:rPr>
        <w:t>organizing</w:t>
      </w:r>
      <w:r>
        <w:rPr>
          <w:spacing w:val="40"/>
          <w:sz w:val="27"/>
        </w:rPr>
        <w:t> </w:t>
      </w:r>
      <w:r>
        <w:rPr/>
        <w:t>function helps to “order</w:t>
      </w:r>
      <w:r>
        <w:rPr>
          <w:spacing w:val="40"/>
        </w:rPr>
        <w:t> </w:t>
      </w:r>
      <w:r>
        <w:rPr/>
        <w:t>and</w:t>
      </w:r>
      <w:r>
        <w:rPr>
          <w:spacing w:val="40"/>
        </w:rPr>
        <w:t> </w:t>
      </w:r>
      <w:r>
        <w:rPr/>
        <w:t>relate</w:t>
      </w:r>
      <w:r>
        <w:rPr>
          <w:spacing w:val="40"/>
        </w:rPr>
        <w:t> </w:t>
      </w:r>
      <w:r>
        <w:rPr/>
        <w:t>disjoined</w:t>
      </w:r>
      <w:r>
        <w:rPr>
          <w:spacing w:val="40"/>
        </w:rPr>
        <w:t> </w:t>
      </w:r>
      <w:r>
        <w:rPr/>
        <w:t>data,</w:t>
      </w:r>
      <w:r>
        <w:rPr>
          <w:spacing w:val="40"/>
        </w:rPr>
        <w:t> </w:t>
      </w:r>
      <w:r>
        <w:rPr/>
        <w:t>and</w:t>
      </w:r>
      <w:r>
        <w:rPr>
          <w:spacing w:val="40"/>
        </w:rPr>
        <w:t> </w:t>
      </w:r>
      <w:r>
        <w:rPr/>
        <w:t>to</w:t>
      </w:r>
      <w:r>
        <w:rPr>
          <w:spacing w:val="40"/>
        </w:rPr>
        <w:t> </w:t>
      </w:r>
      <w:r>
        <w:rPr/>
        <w:t>show</w:t>
      </w:r>
      <w:r>
        <w:rPr>
          <w:spacing w:val="40"/>
        </w:rPr>
        <w:t> </w:t>
      </w:r>
      <w:r>
        <w:rPr/>
        <w:t>similarities</w:t>
      </w:r>
      <w:r>
        <w:rPr>
          <w:spacing w:val="40"/>
        </w:rPr>
        <w:t> </w:t>
      </w:r>
      <w:r>
        <w:rPr/>
        <w:t>or</w:t>
      </w:r>
      <w:r>
        <w:rPr>
          <w:spacing w:val="40"/>
        </w:rPr>
        <w:t> </w:t>
      </w:r>
      <w:r>
        <w:rPr/>
        <w:t>connections</w:t>
      </w:r>
    </w:p>
    <w:p>
      <w:pPr>
        <w:pStyle w:val="BodyText"/>
        <w:spacing w:after="0" w:line="271" w:lineRule="auto"/>
        <w:sectPr>
          <w:pgSz w:w="12240" w:h="15840"/>
          <w:pgMar w:header="1046" w:footer="0" w:top="1360" w:bottom="280" w:left="720" w:right="360"/>
        </w:sectPr>
      </w:pPr>
    </w:p>
    <w:p>
      <w:pPr>
        <w:pStyle w:val="BodyText"/>
        <w:spacing w:line="271" w:lineRule="auto" w:before="276"/>
        <w:ind w:right="1905"/>
      </w:pPr>
      <w:r>
        <w:rPr/>
        <w:t>between them that previously remained unperceived;” c) when he model organizes knowledge about ‘unfamiliar processes’ it fulfills an </w:t>
      </w:r>
      <w:r>
        <w:rPr>
          <w:sz w:val="27"/>
        </w:rPr>
        <w:t>explanatory function</w:t>
      </w:r>
      <w:r>
        <w:rPr/>
        <w:t>; d) models can serve</w:t>
      </w:r>
      <w:r>
        <w:rPr>
          <w:spacing w:val="40"/>
        </w:rPr>
        <w:t> </w:t>
      </w:r>
      <w:r>
        <w:rPr/>
        <w:t>as </w:t>
      </w:r>
      <w:r>
        <w:rPr>
          <w:sz w:val="27"/>
        </w:rPr>
        <w:t>heuristic devices </w:t>
      </w:r>
      <w:r>
        <w:rPr/>
        <w:t>by leading to discovery new facts a methods; and finally, e) the models have measuring functions. (</w:t>
      </w:r>
      <w:hyperlink w:history="true" w:anchor="_bookmark158">
        <w:r>
          <w:rPr/>
          <w:t>Deutsch, 1963, pp. 5-9</w:t>
        </w:r>
      </w:hyperlink>
      <w:r>
        <w:rPr/>
        <w:t>)</w:t>
      </w:r>
    </w:p>
    <w:p>
      <w:pPr>
        <w:pStyle w:val="BodyText"/>
        <w:spacing w:line="273" w:lineRule="auto"/>
        <w:ind w:right="1903" w:firstLine="720"/>
      </w:pPr>
      <w:r>
        <w:rPr>
          <w:sz w:val="27"/>
        </w:rPr>
        <w:t>Deutsch </w:t>
      </w:r>
      <w:r>
        <w:rPr/>
        <w:t>argued that the political science had a need to find a proper model that could explain behavior of whole decision systems. He suggested that the model for the political analysis should be realistic (empirically testable) and economical (efficient). The predictive performance and the organizing capacity are essential for political modeling. Additionally, the model for the politics had to have a certain </w:t>
      </w:r>
      <w:r>
        <w:rPr>
          <w:sz w:val="27"/>
        </w:rPr>
        <w:t>combinational richness </w:t>
      </w:r>
      <w:r>
        <w:rPr/>
        <w:t>“measured by the range of combinations or patterns that can be generated from it.” (</w:t>
      </w:r>
      <w:hyperlink w:history="true" w:anchor="_bookmark158">
        <w:r>
          <w:rPr/>
          <w:t>Deutsch, 1963, p. 17</w:t>
        </w:r>
      </w:hyperlink>
      <w:r>
        <w:rPr/>
        <w:t>) The advices about the model building is useful, however, </w:t>
      </w:r>
      <w:r>
        <w:rPr>
          <w:sz w:val="27"/>
        </w:rPr>
        <w:t>Deutsch </w:t>
      </w:r>
      <w:r>
        <w:rPr/>
        <w:t>is often criticized that “in his own system the model becomes so complex that it tends to move away from being a</w:t>
      </w:r>
      <w:r>
        <w:rPr>
          <w:spacing w:val="40"/>
        </w:rPr>
        <w:t> </w:t>
      </w:r>
      <w:r>
        <w:rPr/>
        <w:t>working model and toward becoming a schema.” (</w:t>
      </w:r>
      <w:hyperlink w:history="true" w:anchor="_bookmark444">
        <w:r>
          <w:rPr/>
          <w:t>Young, 1968, p. 61</w:t>
        </w:r>
      </w:hyperlink>
      <w:r>
        <w:rPr/>
        <w:t>) This criticism is</w:t>
      </w:r>
      <w:r>
        <w:rPr>
          <w:spacing w:val="-3"/>
        </w:rPr>
        <w:t> </w:t>
      </w:r>
      <w:r>
        <w:rPr/>
        <w:t>not out</w:t>
      </w:r>
      <w:r>
        <w:rPr>
          <w:spacing w:val="-1"/>
        </w:rPr>
        <w:t> </w:t>
      </w:r>
      <w:r>
        <w:rPr/>
        <w:t>of</w:t>
      </w:r>
      <w:r>
        <w:rPr>
          <w:spacing w:val="-2"/>
        </w:rPr>
        <w:t> </w:t>
      </w:r>
      <w:r>
        <w:rPr/>
        <w:t>scope; a</w:t>
      </w:r>
      <w:r>
        <w:rPr>
          <w:spacing w:val="-1"/>
        </w:rPr>
        <w:t> </w:t>
      </w:r>
      <w:r>
        <w:rPr/>
        <w:t>large</w:t>
      </w:r>
      <w:r>
        <w:rPr>
          <w:spacing w:val="-1"/>
        </w:rPr>
        <w:t> </w:t>
      </w:r>
      <w:r>
        <w:rPr/>
        <w:t>load of</w:t>
      </w:r>
      <w:r>
        <w:rPr>
          <w:spacing w:val="-2"/>
        </w:rPr>
        <w:t> </w:t>
      </w:r>
      <w:r>
        <w:rPr/>
        <w:t>concepts</w:t>
      </w:r>
      <w:r>
        <w:rPr>
          <w:spacing w:val="-3"/>
        </w:rPr>
        <w:t> </w:t>
      </w:r>
      <w:r>
        <w:rPr/>
        <w:t>gathered in The</w:t>
      </w:r>
      <w:r>
        <w:rPr>
          <w:spacing w:val="-1"/>
        </w:rPr>
        <w:t> </w:t>
      </w:r>
      <w:r>
        <w:rPr/>
        <w:t>Nerves of Government, make it hard to see the relation between the processes described and the outcomes pre-supposed by the model.</w:t>
      </w:r>
    </w:p>
    <w:p>
      <w:pPr>
        <w:pStyle w:val="BodyText"/>
        <w:spacing w:line="271" w:lineRule="auto"/>
        <w:ind w:right="1903" w:firstLine="720"/>
      </w:pPr>
      <w:r>
        <w:rPr>
          <w:sz w:val="27"/>
        </w:rPr>
        <w:t>Karl Deutsch </w:t>
      </w:r>
      <w:r>
        <w:rPr/>
        <w:t>was a good friend of </w:t>
      </w:r>
      <w:r>
        <w:rPr>
          <w:sz w:val="27"/>
        </w:rPr>
        <w:t>Norbert Wiener. Wiener’s </w:t>
      </w:r>
      <w:r>
        <w:rPr/>
        <w:t>formulations of communication and consequent applications of a </w:t>
      </w:r>
      <w:r>
        <w:rPr>
          <w:sz w:val="27"/>
        </w:rPr>
        <w:t>steering </w:t>
      </w:r>
      <w:r>
        <w:rPr/>
        <w:t>function, opened up a new perspective to look at political process. Deutsch agued that, it would be “profitable to look upon government somewhat less as a problem of power and somewhat more as a problem of steering.” (</w:t>
      </w:r>
      <w:hyperlink w:history="true" w:anchor="_bookmark158">
        <w:r>
          <w:rPr/>
          <w:t>Deutsch, 1963</w:t>
        </w:r>
      </w:hyperlink>
      <w:r>
        <w:rPr/>
        <w:t>)</w:t>
      </w:r>
      <w:r>
        <w:rPr>
          <w:spacing w:val="40"/>
        </w:rPr>
        <w:t> </w:t>
      </w:r>
      <w:r>
        <w:rPr/>
        <w:t>His study, even though, it</w:t>
      </w:r>
      <w:r>
        <w:rPr>
          <w:spacing w:val="-1"/>
        </w:rPr>
        <w:t> </w:t>
      </w:r>
      <w:r>
        <w:rPr/>
        <w:t>was</w:t>
      </w:r>
      <w:r>
        <w:rPr>
          <w:spacing w:val="-3"/>
        </w:rPr>
        <w:t> </w:t>
      </w:r>
      <w:r>
        <w:rPr/>
        <w:t>just</w:t>
      </w:r>
      <w:r>
        <w:rPr>
          <w:spacing w:val="-1"/>
        </w:rPr>
        <w:t> </w:t>
      </w:r>
      <w:r>
        <w:rPr/>
        <w:t>an ‘interim</w:t>
      </w:r>
      <w:r>
        <w:rPr>
          <w:spacing w:val="-3"/>
        </w:rPr>
        <w:t> </w:t>
      </w:r>
      <w:r>
        <w:rPr/>
        <w:t>report’</w:t>
      </w:r>
      <w:r>
        <w:rPr>
          <w:spacing w:val="-3"/>
        </w:rPr>
        <w:t> </w:t>
      </w:r>
      <w:r>
        <w:rPr/>
        <w:t>not</w:t>
      </w:r>
      <w:r>
        <w:rPr>
          <w:spacing w:val="-1"/>
        </w:rPr>
        <w:t> </w:t>
      </w:r>
      <w:r>
        <w:rPr/>
        <w:t>a complete theory, was intended to serve this purpose. </w:t>
      </w:r>
      <w:r>
        <w:rPr>
          <w:sz w:val="27"/>
        </w:rPr>
        <w:t>Deutsch </w:t>
      </w:r>
      <w:r>
        <w:rPr/>
        <w:t>gathered the the systems theories and examined their applicability in the political</w:t>
      </w:r>
      <w:r>
        <w:rPr>
          <w:spacing w:val="40"/>
        </w:rPr>
        <w:t> </w:t>
      </w:r>
      <w:r>
        <w:rPr/>
        <w:t>studies.</w:t>
      </w:r>
      <w:r>
        <w:rPr>
          <w:spacing w:val="-5"/>
        </w:rPr>
        <w:t> </w:t>
      </w:r>
      <w:r>
        <w:rPr/>
        <w:t>The</w:t>
      </w:r>
      <w:r>
        <w:rPr>
          <w:spacing w:val="-6"/>
        </w:rPr>
        <w:t> </w:t>
      </w:r>
      <w:r>
        <w:rPr/>
        <w:t>approach</w:t>
      </w:r>
      <w:r>
        <w:rPr>
          <w:spacing w:val="-1"/>
        </w:rPr>
        <w:t> </w:t>
      </w:r>
      <w:r>
        <w:rPr/>
        <w:t>was</w:t>
      </w:r>
      <w:r>
        <w:rPr>
          <w:spacing w:val="-7"/>
        </w:rPr>
        <w:t> </w:t>
      </w:r>
      <w:r>
        <w:rPr/>
        <w:t>similar</w:t>
      </w:r>
      <w:r>
        <w:rPr>
          <w:spacing w:val="-5"/>
        </w:rPr>
        <w:t> </w:t>
      </w:r>
      <w:r>
        <w:rPr/>
        <w:t>to</w:t>
      </w:r>
      <w:r>
        <w:rPr>
          <w:spacing w:val="-8"/>
        </w:rPr>
        <w:t> </w:t>
      </w:r>
      <w:r>
        <w:rPr/>
        <w:t>“generalize</w:t>
      </w:r>
      <w:r>
        <w:rPr>
          <w:spacing w:val="-6"/>
        </w:rPr>
        <w:t> </w:t>
      </w:r>
      <w:r>
        <w:rPr/>
        <w:t>ears”</w:t>
      </w:r>
      <w:r>
        <w:rPr>
          <w:spacing w:val="-6"/>
        </w:rPr>
        <w:t> </w:t>
      </w:r>
      <w:r>
        <w:rPr/>
        <w:t>suggested</w:t>
      </w:r>
      <w:r>
        <w:rPr>
          <w:spacing w:val="-4"/>
        </w:rPr>
        <w:t> </w:t>
      </w:r>
      <w:r>
        <w:rPr/>
        <w:t>by </w:t>
      </w:r>
      <w:r>
        <w:rPr>
          <w:sz w:val="27"/>
        </w:rPr>
        <w:t>Kenneth Boulding. </w:t>
      </w:r>
      <w:r>
        <w:rPr/>
        <w:t>(</w:t>
      </w:r>
      <w:hyperlink w:history="true" w:anchor="_bookmark116">
        <w:r>
          <w:rPr/>
          <w:t>Bryen, 1971, p. 2</w:t>
        </w:r>
      </w:hyperlink>
      <w:r>
        <w:rPr/>
        <w:t>)</w:t>
      </w:r>
    </w:p>
    <w:p>
      <w:pPr>
        <w:spacing w:line="271" w:lineRule="auto" w:before="5"/>
        <w:ind w:left="979" w:right="1902" w:firstLine="720"/>
        <w:jc w:val="both"/>
        <w:rPr>
          <w:sz w:val="26"/>
        </w:rPr>
      </w:pPr>
      <w:r>
        <w:rPr>
          <w:sz w:val="26"/>
        </w:rPr>
        <w:t>The</w:t>
      </w:r>
      <w:r>
        <w:rPr>
          <w:spacing w:val="-1"/>
          <w:sz w:val="26"/>
        </w:rPr>
        <w:t> </w:t>
      </w:r>
      <w:r>
        <w:rPr>
          <w:sz w:val="26"/>
        </w:rPr>
        <w:t>athor advised to use</w:t>
      </w:r>
      <w:r>
        <w:rPr>
          <w:spacing w:val="-1"/>
          <w:sz w:val="26"/>
        </w:rPr>
        <w:t> </w:t>
      </w:r>
      <w:r>
        <w:rPr>
          <w:sz w:val="26"/>
        </w:rPr>
        <w:t>his model in close consideration with</w:t>
      </w:r>
      <w:r>
        <w:rPr>
          <w:spacing w:val="-1"/>
          <w:sz w:val="26"/>
        </w:rPr>
        <w:t> </w:t>
      </w:r>
      <w:r>
        <w:rPr>
          <w:sz w:val="26"/>
        </w:rPr>
        <w:t>classic political theories, especially with those, developed in international politics </w:t>
      </w:r>
      <w:r>
        <w:rPr>
          <w:spacing w:val="-2"/>
          <w:sz w:val="26"/>
        </w:rPr>
        <w:t>by</w:t>
      </w:r>
      <w:r>
        <w:rPr>
          <w:spacing w:val="-15"/>
          <w:sz w:val="26"/>
        </w:rPr>
        <w:t> </w:t>
      </w:r>
      <w:r>
        <w:rPr>
          <w:spacing w:val="-2"/>
          <w:sz w:val="27"/>
        </w:rPr>
        <w:t>Hans</w:t>
      </w:r>
      <w:r>
        <w:rPr>
          <w:spacing w:val="-15"/>
          <w:sz w:val="27"/>
        </w:rPr>
        <w:t> </w:t>
      </w:r>
      <w:r>
        <w:rPr>
          <w:spacing w:val="-2"/>
          <w:sz w:val="27"/>
        </w:rPr>
        <w:t>Morgenthau,</w:t>
      </w:r>
      <w:r>
        <w:rPr>
          <w:spacing w:val="-14"/>
          <w:sz w:val="27"/>
        </w:rPr>
        <w:t> </w:t>
      </w:r>
      <w:r>
        <w:rPr>
          <w:spacing w:val="-2"/>
          <w:sz w:val="27"/>
        </w:rPr>
        <w:t>George</w:t>
      </w:r>
      <w:r>
        <w:rPr>
          <w:spacing w:val="-15"/>
          <w:sz w:val="27"/>
        </w:rPr>
        <w:t> </w:t>
      </w:r>
      <w:r>
        <w:rPr>
          <w:spacing w:val="-2"/>
          <w:sz w:val="27"/>
        </w:rPr>
        <w:t>Kennan,</w:t>
      </w:r>
      <w:r>
        <w:rPr>
          <w:spacing w:val="-15"/>
          <w:sz w:val="27"/>
        </w:rPr>
        <w:t> </w:t>
      </w:r>
      <w:r>
        <w:rPr>
          <w:spacing w:val="-2"/>
          <w:sz w:val="27"/>
        </w:rPr>
        <w:t>and</w:t>
      </w:r>
      <w:r>
        <w:rPr>
          <w:spacing w:val="-15"/>
          <w:sz w:val="27"/>
        </w:rPr>
        <w:t> </w:t>
      </w:r>
      <w:r>
        <w:rPr>
          <w:spacing w:val="-2"/>
          <w:sz w:val="27"/>
        </w:rPr>
        <w:t>William</w:t>
      </w:r>
      <w:r>
        <w:rPr>
          <w:spacing w:val="-15"/>
          <w:sz w:val="27"/>
        </w:rPr>
        <w:t> </w:t>
      </w:r>
      <w:r>
        <w:rPr>
          <w:spacing w:val="-2"/>
          <w:sz w:val="27"/>
        </w:rPr>
        <w:t>T.</w:t>
      </w:r>
      <w:r>
        <w:rPr>
          <w:spacing w:val="-15"/>
          <w:sz w:val="27"/>
        </w:rPr>
        <w:t> </w:t>
      </w:r>
      <w:r>
        <w:rPr>
          <w:spacing w:val="-2"/>
          <w:sz w:val="27"/>
        </w:rPr>
        <w:t>R.</w:t>
      </w:r>
      <w:r>
        <w:rPr>
          <w:spacing w:val="-15"/>
          <w:sz w:val="27"/>
        </w:rPr>
        <w:t> </w:t>
      </w:r>
      <w:r>
        <w:rPr>
          <w:spacing w:val="-2"/>
          <w:sz w:val="27"/>
        </w:rPr>
        <w:t>Fox.</w:t>
      </w:r>
      <w:r>
        <w:rPr>
          <w:spacing w:val="-14"/>
          <w:sz w:val="27"/>
        </w:rPr>
        <w:t> </w:t>
      </w:r>
      <w:r>
        <w:rPr>
          <w:spacing w:val="-2"/>
          <w:sz w:val="26"/>
        </w:rPr>
        <w:t>The</w:t>
      </w:r>
      <w:r>
        <w:rPr>
          <w:spacing w:val="-13"/>
          <w:sz w:val="26"/>
        </w:rPr>
        <w:t> </w:t>
      </w:r>
      <w:r>
        <w:rPr>
          <w:spacing w:val="-2"/>
          <w:sz w:val="26"/>
        </w:rPr>
        <w:t>structure</w:t>
      </w:r>
    </w:p>
    <w:p>
      <w:pPr>
        <w:spacing w:after="0" w:line="271" w:lineRule="auto"/>
        <w:jc w:val="both"/>
        <w:rPr>
          <w:sz w:val="26"/>
        </w:rPr>
        <w:sectPr>
          <w:pgSz w:w="12240" w:h="15840"/>
          <w:pgMar w:header="1046" w:footer="0" w:top="1360" w:bottom="280" w:left="720" w:right="360"/>
        </w:sectPr>
      </w:pPr>
    </w:p>
    <w:p>
      <w:pPr>
        <w:pStyle w:val="BodyText"/>
        <w:spacing w:line="276" w:lineRule="auto" w:before="276"/>
        <w:ind w:right="1902"/>
      </w:pPr>
      <w:r>
        <w:rPr/>
        <w:t>of the approach was built on a viewpoint that “all organizations are alike in certain fundamental characteristics and that every organization is held together by the communication.” (</w:t>
      </w:r>
      <w:hyperlink w:history="true" w:anchor="_bookmark158">
        <w:r>
          <w:rPr/>
          <w:t>Deutsch, 1963, p. 77</w:t>
        </w:r>
      </w:hyperlink>
      <w:r>
        <w:rPr/>
        <w:t>) Politics is enacted by a ‘constant steering or manipulation of human behavior.’ It has to be studied from the perspective of “autonomy, steering performance, resourcefulness and power, learning capacity and self-preservation.”</w:t>
      </w:r>
      <w:r>
        <w:rPr>
          <w:spacing w:val="40"/>
        </w:rPr>
        <w:t> </w:t>
      </w:r>
      <w:r>
        <w:rPr/>
        <w:t>(</w:t>
      </w:r>
      <w:hyperlink w:history="true" w:anchor="_bookmark158">
        <w:r>
          <w:rPr/>
          <w:t>1963,</w:t>
        </w:r>
      </w:hyperlink>
      <w:r>
        <w:rPr/>
        <w:t> </w:t>
      </w:r>
      <w:hyperlink w:history="true" w:anchor="_bookmark158">
        <w:r>
          <w:rPr/>
          <w:t>p. 243</w:t>
        </w:r>
      </w:hyperlink>
      <w:r>
        <w:rPr/>
        <w:t>)</w:t>
      </w:r>
    </w:p>
    <w:p>
      <w:pPr>
        <w:pStyle w:val="BodyText"/>
        <w:spacing w:line="276" w:lineRule="auto"/>
        <w:ind w:right="1903" w:firstLine="720"/>
      </w:pPr>
      <w:r>
        <w:rPr/>
        <w:t>Autonomy is a self-steering that is typical for those organizations</w:t>
      </w:r>
      <w:r>
        <w:rPr>
          <w:spacing w:val="80"/>
        </w:rPr>
        <w:t> </w:t>
      </w:r>
      <w:r>
        <w:rPr/>
        <w:t>that are guided by “by a loop sequence of decisions that feeds back upon itself.” (</w:t>
      </w:r>
      <w:hyperlink w:history="true" w:anchor="_bookmark158">
        <w:r>
          <w:rPr/>
          <w:t>Deutsch, 1963, p. 219</w:t>
        </w:r>
      </w:hyperlink>
      <w:r>
        <w:rPr/>
        <w:t>) The social organizations, according to the approach, are open systems that can receive an information from the environment (intake). They can detect the goals and utilize internal mechanisms to attain the objectives. For effective self-steerning the organization has to have a stored data from the past and conduct the behavior according the learned patterns generated via recursive feedback- loops (memory). Deutsch identified six groups of the failures or pathologies that the autonomous organization can develop: 1) the loss of power, 2) the loss of intake, 3) the loss of steering capacity, 4) the loss of depth of memory, 5) the loss of capacity for partial inner rearrangement, 6) the loss of capacity for comprehensive or fundamental rearrangement. (</w:t>
      </w:r>
      <w:hyperlink w:history="true" w:anchor="_bookmark158">
        <w:r>
          <w:rPr/>
          <w:t>Deutsch,</w:t>
        </w:r>
      </w:hyperlink>
      <w:r>
        <w:rPr/>
        <w:t> </w:t>
      </w:r>
      <w:hyperlink w:history="true" w:anchor="_bookmark158">
        <w:r>
          <w:rPr>
            <w:spacing w:val="-2"/>
          </w:rPr>
          <w:t>1963</w:t>
        </w:r>
      </w:hyperlink>
      <w:r>
        <w:rPr>
          <w:spacing w:val="-2"/>
        </w:rPr>
        <w:t>)</w:t>
      </w:r>
    </w:p>
    <w:p>
      <w:pPr>
        <w:pStyle w:val="BodyText"/>
        <w:spacing w:line="276" w:lineRule="auto"/>
        <w:ind w:right="1906" w:firstLine="720"/>
      </w:pPr>
      <w:r>
        <w:rPr/>
        <w:t>Capacity of inner rearrangement combined with the organizational memory and the steering determine the nature of a systemic growth. Growth can be negative or positive. Positive growth is closely related with the concept of survival. In terms of probability of survival </w:t>
      </w:r>
      <w:r>
        <w:rPr>
          <w:sz w:val="27"/>
        </w:rPr>
        <w:t>Deutsch </w:t>
      </w:r>
      <w:r>
        <w:rPr/>
        <w:t>divided political organizations into four categories: a) self-destroying systems</w:t>
      </w:r>
      <w:r>
        <w:rPr>
          <w:spacing w:val="40"/>
        </w:rPr>
        <w:t> </w:t>
      </w:r>
      <w:r>
        <w:rPr/>
        <w:t>can break down even</w:t>
      </w:r>
      <w:r>
        <w:rPr>
          <w:spacing w:val="-1"/>
        </w:rPr>
        <w:t> </w:t>
      </w:r>
      <w:r>
        <w:rPr/>
        <w:t>In relatively favorable environment, b) nonviable systems that would not survive the environmental disturbances, c) viable systems can deal with a variety of environmental challenges, d) self-developing or self-enhancing systems are able to increase their chances for survival over an</w:t>
      </w:r>
      <w:r>
        <w:rPr>
          <w:spacing w:val="-8"/>
        </w:rPr>
        <w:t> </w:t>
      </w:r>
      <w:r>
        <w:rPr/>
        <w:t>increasing</w:t>
      </w:r>
      <w:r>
        <w:rPr>
          <w:spacing w:val="-9"/>
        </w:rPr>
        <w:t> </w:t>
      </w:r>
      <w:r>
        <w:rPr/>
        <w:t>variety</w:t>
      </w:r>
      <w:r>
        <w:rPr>
          <w:spacing w:val="-9"/>
        </w:rPr>
        <w:t> </w:t>
      </w:r>
      <w:r>
        <w:rPr/>
        <w:t>of</w:t>
      </w:r>
      <w:r>
        <w:rPr>
          <w:spacing w:val="-10"/>
        </w:rPr>
        <w:t> </w:t>
      </w:r>
      <w:r>
        <w:rPr/>
        <w:t>environmental</w:t>
      </w:r>
      <w:r>
        <w:rPr>
          <w:spacing w:val="-11"/>
        </w:rPr>
        <w:t> </w:t>
      </w:r>
      <w:r>
        <w:rPr/>
        <w:t>disturbances. (</w:t>
      </w:r>
      <w:hyperlink w:history="true" w:anchor="_bookmark158">
        <w:r>
          <w:rPr/>
          <w:t>Deutsch,</w:t>
        </w:r>
        <w:r>
          <w:rPr>
            <w:spacing w:val="-7"/>
          </w:rPr>
          <w:t> </w:t>
        </w:r>
        <w:r>
          <w:rPr/>
          <w:t>1963,</w:t>
        </w:r>
        <w:r>
          <w:rPr>
            <w:spacing w:val="-8"/>
          </w:rPr>
          <w:t> </w:t>
        </w:r>
        <w:r>
          <w:rPr/>
          <w:t>p.</w:t>
        </w:r>
        <w:r>
          <w:rPr>
            <w:spacing w:val="-9"/>
          </w:rPr>
          <w:t> </w:t>
        </w:r>
        <w:r>
          <w:rPr>
            <w:spacing w:val="-4"/>
          </w:rPr>
          <w:t>249</w:t>
        </w:r>
      </w:hyperlink>
      <w:r>
        <w:rPr>
          <w:spacing w:val="-4"/>
        </w:rPr>
        <w:t>)</w:t>
      </w:r>
    </w:p>
    <w:p>
      <w:pPr>
        <w:pStyle w:val="BodyText"/>
        <w:spacing w:after="0" w:line="276" w:lineRule="auto"/>
        <w:sectPr>
          <w:pgSz w:w="12240" w:h="15840"/>
          <w:pgMar w:header="1046" w:footer="0" w:top="1360" w:bottom="280" w:left="720" w:right="360"/>
        </w:sectPr>
      </w:pPr>
    </w:p>
    <w:p>
      <w:pPr>
        <w:pStyle w:val="BodyText"/>
        <w:spacing w:line="276" w:lineRule="auto" w:before="276"/>
        <w:ind w:right="1908" w:firstLine="720"/>
      </w:pPr>
      <w:r>
        <w:rPr/>
        <w:t>Deutsch’s analysis of the government includes several categories that direct the organismic logic of the work. The first category identifies the ‘receptors’ of the system; they deal with the reception and distribution of information. A second category deals with the flows and the processes and embeds</w:t>
      </w:r>
      <w:r>
        <w:rPr>
          <w:spacing w:val="-2"/>
        </w:rPr>
        <w:t> </w:t>
      </w:r>
      <w:r>
        <w:rPr/>
        <w:t>the concepts like: channels</w:t>
      </w:r>
      <w:r>
        <w:rPr>
          <w:spacing w:val="-2"/>
        </w:rPr>
        <w:t> </w:t>
      </w:r>
      <w:r>
        <w:rPr/>
        <w:t>and loads.</w:t>
      </w:r>
      <w:r>
        <w:rPr>
          <w:position w:val="7"/>
          <w:sz w:val="15"/>
        </w:rPr>
        <w:t>12</w:t>
      </w:r>
      <w:r>
        <w:rPr>
          <w:spacing w:val="29"/>
          <w:position w:val="7"/>
          <w:sz w:val="15"/>
        </w:rPr>
        <w:t> </w:t>
      </w:r>
      <w:r>
        <w:rPr/>
        <w:t>A</w:t>
      </w:r>
      <w:r>
        <w:rPr>
          <w:spacing w:val="-2"/>
        </w:rPr>
        <w:t> </w:t>
      </w:r>
      <w:r>
        <w:rPr/>
        <w:t>third category gathers</w:t>
      </w:r>
      <w:r>
        <w:rPr>
          <w:spacing w:val="-2"/>
        </w:rPr>
        <w:t> </w:t>
      </w:r>
      <w:r>
        <w:rPr/>
        <w:t>the ideas about the results and consequenes of systemic action. (</w:t>
      </w:r>
      <w:hyperlink w:history="true" w:anchor="_bookmark444">
        <w:r>
          <w:rPr/>
          <w:t>Young, 1968,</w:t>
        </w:r>
      </w:hyperlink>
      <w:r>
        <w:rPr/>
        <w:t> </w:t>
      </w:r>
      <w:hyperlink w:history="true" w:anchor="_bookmark444">
        <w:r>
          <w:rPr/>
          <w:t>pp. 51-53</w:t>
        </w:r>
      </w:hyperlink>
      <w:r>
        <w:rPr/>
        <w:t>)</w:t>
      </w:r>
    </w:p>
    <w:p>
      <w:pPr>
        <w:pStyle w:val="BodyText"/>
        <w:spacing w:line="273" w:lineRule="auto"/>
        <w:ind w:right="1911" w:firstLine="720"/>
      </w:pPr>
      <w:r>
        <w:rPr/>
        <w:t>Undoubtedly, </w:t>
      </w:r>
      <w:r>
        <w:rPr>
          <w:sz w:val="27"/>
        </w:rPr>
        <w:t>Karl Deutsch’s </w:t>
      </w:r>
      <w:r>
        <w:rPr/>
        <w:t>other works are more appreciated by the scientific community than his attempt to create a systemic model for political</w:t>
      </w:r>
      <w:r>
        <w:rPr>
          <w:spacing w:val="-1"/>
        </w:rPr>
        <w:t> </w:t>
      </w:r>
      <w:r>
        <w:rPr/>
        <w:t>analysis. Nevertheless, the study is a good reference</w:t>
      </w:r>
      <w:r>
        <w:rPr>
          <w:spacing w:val="-3"/>
        </w:rPr>
        <w:t> </w:t>
      </w:r>
      <w:r>
        <w:rPr/>
        <w:t>point for those who are willing to propose a gestalt view of political life.</w:t>
      </w: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spacing w:before="132"/>
        <w:ind w:left="0"/>
        <w:jc w:val="left"/>
        <w:rPr>
          <w:sz w:val="20"/>
        </w:rPr>
      </w:pPr>
      <w:r>
        <w:rPr>
          <w:sz w:val="20"/>
        </w:rPr>
        <mc:AlternateContent>
          <mc:Choice Requires="wps">
            <w:drawing>
              <wp:anchor distT="0" distB="0" distL="0" distR="0" allowOverlap="1" layoutInCell="1" locked="0" behindDoc="1" simplePos="0" relativeHeight="487612928">
                <wp:simplePos x="0" y="0"/>
                <wp:positionH relativeFrom="page">
                  <wp:posOffset>1079296</wp:posOffset>
                </wp:positionH>
                <wp:positionV relativeFrom="paragraph">
                  <wp:posOffset>266583</wp:posOffset>
                </wp:positionV>
                <wp:extent cx="1830070" cy="9525"/>
                <wp:effectExtent l="0" t="0" r="0" b="0"/>
                <wp:wrapTopAndBottom/>
                <wp:docPr id="59" name="Graphic 59"/>
                <wp:cNvGraphicFramePr>
                  <a:graphicFrameLocks/>
                </wp:cNvGraphicFramePr>
                <a:graphic>
                  <a:graphicData uri="http://schemas.microsoft.com/office/word/2010/wordprocessingShape">
                    <wps:wsp>
                      <wps:cNvPr id="59" name="Graphic 59"/>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20.990828pt;width:144.07pt;height:.72003pt;mso-position-horizontal-relative:page;mso-position-vertical-relative:paragraph;z-index:-15703552;mso-wrap-distance-left:0;mso-wrap-distance-right:0" id="docshape56" filled="true" fillcolor="#000000" stroked="false">
                <v:fill type="solid"/>
                <w10:wrap type="topAndBottom"/>
              </v:rect>
            </w:pict>
          </mc:Fallback>
        </mc:AlternateContent>
      </w:r>
    </w:p>
    <w:p>
      <w:pPr>
        <w:spacing w:before="103"/>
        <w:ind w:left="979" w:right="0" w:firstLine="0"/>
        <w:jc w:val="left"/>
        <w:rPr>
          <w:rFonts w:ascii="Calibri" w:hAnsi="Calibri"/>
          <w:sz w:val="20"/>
        </w:rPr>
      </w:pPr>
      <w:r>
        <w:rPr>
          <w:rFonts w:ascii="Calibri" w:hAnsi="Calibri"/>
          <w:sz w:val="20"/>
          <w:vertAlign w:val="superscript"/>
        </w:rPr>
        <w:t>12</w:t>
      </w:r>
      <w:r>
        <w:rPr>
          <w:rFonts w:ascii="Calibri" w:hAnsi="Calibri"/>
          <w:spacing w:val="-1"/>
          <w:sz w:val="20"/>
          <w:vertAlign w:val="baseline"/>
        </w:rPr>
        <w:t> </w:t>
      </w:r>
      <w:r>
        <w:rPr>
          <w:rFonts w:ascii="Calibri" w:hAnsi="Calibri"/>
          <w:sz w:val="20"/>
          <w:vertAlign w:val="baseline"/>
        </w:rPr>
        <w:t>Load-</w:t>
      </w:r>
      <w:r>
        <w:rPr>
          <w:rFonts w:ascii="Calibri" w:hAnsi="Calibri"/>
          <w:spacing w:val="-7"/>
          <w:sz w:val="20"/>
          <w:vertAlign w:val="baseline"/>
        </w:rPr>
        <w:t> </w:t>
      </w:r>
      <w:r>
        <w:rPr>
          <w:rFonts w:ascii="Calibri" w:hAnsi="Calibri"/>
          <w:sz w:val="20"/>
          <w:vertAlign w:val="baseline"/>
        </w:rPr>
        <w:t>“overall</w:t>
      </w:r>
      <w:r>
        <w:rPr>
          <w:rFonts w:ascii="Calibri" w:hAnsi="Calibri"/>
          <w:spacing w:val="-5"/>
          <w:sz w:val="20"/>
          <w:vertAlign w:val="baseline"/>
        </w:rPr>
        <w:t> </w:t>
      </w:r>
      <w:r>
        <w:rPr>
          <w:rFonts w:ascii="Calibri" w:hAnsi="Calibri"/>
          <w:sz w:val="20"/>
          <w:vertAlign w:val="baseline"/>
        </w:rPr>
        <w:t>intake</w:t>
      </w:r>
      <w:r>
        <w:rPr>
          <w:rFonts w:ascii="Calibri" w:hAnsi="Calibri"/>
          <w:spacing w:val="-7"/>
          <w:sz w:val="20"/>
          <w:vertAlign w:val="baseline"/>
        </w:rPr>
        <w:t> </w:t>
      </w:r>
      <w:r>
        <w:rPr>
          <w:rFonts w:ascii="Calibri" w:hAnsi="Calibri"/>
          <w:sz w:val="20"/>
          <w:vertAlign w:val="baseline"/>
        </w:rPr>
        <w:t>of</w:t>
      </w:r>
      <w:r>
        <w:rPr>
          <w:rFonts w:ascii="Calibri" w:hAnsi="Calibri"/>
          <w:spacing w:val="-6"/>
          <w:sz w:val="20"/>
          <w:vertAlign w:val="baseline"/>
        </w:rPr>
        <w:t> </w:t>
      </w:r>
      <w:r>
        <w:rPr>
          <w:rFonts w:ascii="Calibri" w:hAnsi="Calibri"/>
          <w:sz w:val="20"/>
          <w:vertAlign w:val="baseline"/>
        </w:rPr>
        <w:t>information</w:t>
      </w:r>
      <w:r>
        <w:rPr>
          <w:rFonts w:ascii="Calibri" w:hAnsi="Calibri"/>
          <w:spacing w:val="-7"/>
          <w:sz w:val="20"/>
          <w:vertAlign w:val="baseline"/>
        </w:rPr>
        <w:t> </w:t>
      </w:r>
      <w:r>
        <w:rPr>
          <w:rFonts w:ascii="Calibri" w:hAnsi="Calibri"/>
          <w:sz w:val="20"/>
          <w:vertAlign w:val="baseline"/>
        </w:rPr>
        <w:t>at</w:t>
      </w:r>
      <w:r>
        <w:rPr>
          <w:rFonts w:ascii="Calibri" w:hAnsi="Calibri"/>
          <w:spacing w:val="-8"/>
          <w:sz w:val="20"/>
          <w:vertAlign w:val="baseline"/>
        </w:rPr>
        <w:t> </w:t>
      </w:r>
      <w:r>
        <w:rPr>
          <w:rFonts w:ascii="Calibri" w:hAnsi="Calibri"/>
          <w:sz w:val="20"/>
          <w:vertAlign w:val="baseline"/>
        </w:rPr>
        <w:t>any</w:t>
      </w:r>
      <w:r>
        <w:rPr>
          <w:rFonts w:ascii="Calibri" w:hAnsi="Calibri"/>
          <w:spacing w:val="-7"/>
          <w:sz w:val="20"/>
          <w:vertAlign w:val="baseline"/>
        </w:rPr>
        <w:t> </w:t>
      </w:r>
      <w:r>
        <w:rPr>
          <w:rFonts w:ascii="Calibri" w:hAnsi="Calibri"/>
          <w:sz w:val="20"/>
          <w:vertAlign w:val="baseline"/>
        </w:rPr>
        <w:t>given</w:t>
      </w:r>
      <w:r>
        <w:rPr>
          <w:rFonts w:ascii="Calibri" w:hAnsi="Calibri"/>
          <w:spacing w:val="-2"/>
          <w:sz w:val="20"/>
          <w:vertAlign w:val="baseline"/>
        </w:rPr>
        <w:t> </w:t>
      </w:r>
      <w:r>
        <w:rPr>
          <w:rFonts w:ascii="Calibri" w:hAnsi="Calibri"/>
          <w:sz w:val="20"/>
          <w:vertAlign w:val="baseline"/>
        </w:rPr>
        <w:t>time.”</w:t>
      </w:r>
      <w:r>
        <w:rPr>
          <w:rFonts w:ascii="Calibri" w:hAnsi="Calibri"/>
          <w:spacing w:val="-5"/>
          <w:sz w:val="20"/>
          <w:vertAlign w:val="baseline"/>
        </w:rPr>
        <w:t> </w:t>
      </w:r>
      <w:r>
        <w:rPr>
          <w:rFonts w:ascii="Calibri" w:hAnsi="Calibri"/>
          <w:sz w:val="20"/>
          <w:vertAlign w:val="baseline"/>
        </w:rPr>
        <w:t>see</w:t>
      </w:r>
      <w:r>
        <w:rPr>
          <w:rFonts w:ascii="Calibri" w:hAnsi="Calibri"/>
          <w:spacing w:val="-7"/>
          <w:sz w:val="20"/>
          <w:vertAlign w:val="baseline"/>
        </w:rPr>
        <w:t> </w:t>
      </w:r>
      <w:r>
        <w:rPr>
          <w:rFonts w:ascii="Calibri" w:hAnsi="Calibri"/>
          <w:sz w:val="20"/>
          <w:vertAlign w:val="baseline"/>
        </w:rPr>
        <w:t>reffered</w:t>
      </w:r>
      <w:r>
        <w:rPr>
          <w:rFonts w:ascii="Calibri" w:hAnsi="Calibri"/>
          <w:spacing w:val="-7"/>
          <w:sz w:val="20"/>
          <w:vertAlign w:val="baseline"/>
        </w:rPr>
        <w:t> </w:t>
      </w:r>
      <w:r>
        <w:rPr>
          <w:rFonts w:ascii="Calibri" w:hAnsi="Calibri"/>
          <w:spacing w:val="-4"/>
          <w:sz w:val="20"/>
          <w:vertAlign w:val="baseline"/>
        </w:rPr>
        <w:t>work</w:t>
      </w:r>
    </w:p>
    <w:p>
      <w:pPr>
        <w:spacing w:after="0"/>
        <w:jc w:val="left"/>
        <w:rPr>
          <w:rFonts w:ascii="Calibri" w:hAnsi="Calibri"/>
          <w:sz w:val="20"/>
        </w:rPr>
        <w:sectPr>
          <w:pgSz w:w="12240" w:h="15840"/>
          <w:pgMar w:header="1046" w:footer="0" w:top="1360" w:bottom="280" w:left="720" w:right="360"/>
        </w:sectPr>
      </w:pPr>
    </w:p>
    <w:p>
      <w:pPr>
        <w:pStyle w:val="BodyText"/>
        <w:spacing w:before="628"/>
        <w:ind w:left="0"/>
        <w:jc w:val="left"/>
        <w:rPr>
          <w:rFonts w:ascii="Calibri"/>
          <w:sz w:val="56"/>
        </w:rPr>
      </w:pPr>
    </w:p>
    <w:p>
      <w:pPr>
        <w:pStyle w:val="Heading1"/>
        <w:ind w:left="2205" w:right="2108"/>
        <w:jc w:val="center"/>
      </w:pPr>
      <w:r>
        <w:rPr/>
        <w:drawing>
          <wp:anchor distT="0" distB="0" distL="0" distR="0" allowOverlap="1" layoutInCell="1" locked="0" behindDoc="0" simplePos="0" relativeHeight="15755264">
            <wp:simplePos x="0" y="0"/>
            <wp:positionH relativeFrom="page">
              <wp:posOffset>1363110</wp:posOffset>
            </wp:positionH>
            <wp:positionV relativeFrom="paragraph">
              <wp:posOffset>-408704</wp:posOffset>
            </wp:positionV>
            <wp:extent cx="856790" cy="746943"/>
            <wp:effectExtent l="0" t="0" r="0" b="0"/>
            <wp:wrapNone/>
            <wp:docPr id="60" name="Image 60"/>
            <wp:cNvGraphicFramePr>
              <a:graphicFrameLocks/>
            </wp:cNvGraphicFramePr>
            <a:graphic>
              <a:graphicData uri="http://schemas.openxmlformats.org/drawingml/2006/picture">
                <pic:pic>
                  <pic:nvPicPr>
                    <pic:cNvPr id="60" name="Image 60"/>
                    <pic:cNvPicPr/>
                  </pic:nvPicPr>
                  <pic:blipFill>
                    <a:blip r:embed="rId21" cstate="print"/>
                    <a:stretch>
                      <a:fillRect/>
                    </a:stretch>
                  </pic:blipFill>
                  <pic:spPr>
                    <a:xfrm>
                      <a:off x="0" y="0"/>
                      <a:ext cx="856790" cy="746943"/>
                    </a:xfrm>
                    <a:prstGeom prst="rect">
                      <a:avLst/>
                    </a:prstGeom>
                  </pic:spPr>
                </pic:pic>
              </a:graphicData>
            </a:graphic>
          </wp:anchor>
        </w:drawing>
      </w:r>
      <w:bookmarkStart w:name="_bookmark14" w:id="15"/>
      <w:bookmarkEnd w:id="15"/>
      <w:r>
        <w:rPr>
          <w:b w:val="0"/>
        </w:rPr>
      </w:r>
      <w:r>
        <w:rPr/>
        <w:t>CHAPTER</w:t>
      </w:r>
      <w:r>
        <w:rPr>
          <w:spacing w:val="-5"/>
        </w:rPr>
        <w:t> TWO</w:t>
      </w:r>
    </w:p>
    <w:p>
      <w:pPr>
        <w:pStyle w:val="BodyText"/>
        <w:spacing w:before="10"/>
        <w:ind w:left="0"/>
        <w:jc w:val="left"/>
        <w:rPr>
          <w:rFonts w:ascii="Georgia"/>
          <w:b/>
          <w:sz w:val="19"/>
        </w:rPr>
      </w:pPr>
      <w:r>
        <w:rPr>
          <w:rFonts w:ascii="Georgia"/>
          <w:b/>
          <w:sz w:val="19"/>
        </w:rPr>
        <mc:AlternateContent>
          <mc:Choice Requires="wps">
            <w:drawing>
              <wp:anchor distT="0" distB="0" distL="0" distR="0" allowOverlap="1" layoutInCell="1" locked="0" behindDoc="1" simplePos="0" relativeHeight="487613440">
                <wp:simplePos x="0" y="0"/>
                <wp:positionH relativeFrom="page">
                  <wp:posOffset>1078864</wp:posOffset>
                </wp:positionH>
                <wp:positionV relativeFrom="paragraph">
                  <wp:posOffset>159045</wp:posOffset>
                </wp:positionV>
                <wp:extent cx="5252085" cy="76200"/>
                <wp:effectExtent l="0" t="0" r="0" b="0"/>
                <wp:wrapTopAndBottom/>
                <wp:docPr id="61" name="Graphic 61"/>
                <wp:cNvGraphicFramePr>
                  <a:graphicFrameLocks/>
                </wp:cNvGraphicFramePr>
                <a:graphic>
                  <a:graphicData uri="http://schemas.microsoft.com/office/word/2010/wordprocessingShape">
                    <wps:wsp>
                      <wps:cNvPr id="61" name="Graphic 61"/>
                      <wps:cNvSpPr/>
                      <wps:spPr>
                        <a:xfrm>
                          <a:off x="0" y="0"/>
                          <a:ext cx="5252085" cy="76200"/>
                        </a:xfrm>
                        <a:custGeom>
                          <a:avLst/>
                          <a:gdLst/>
                          <a:ahLst/>
                          <a:cxnLst/>
                          <a:rect l="l" t="t" r="r" b="b"/>
                          <a:pathLst>
                            <a:path w="5252085" h="76200">
                              <a:moveTo>
                                <a:pt x="5252085" y="0"/>
                              </a:moveTo>
                              <a:lnTo>
                                <a:pt x="0" y="0"/>
                              </a:lnTo>
                              <a:lnTo>
                                <a:pt x="0" y="76200"/>
                              </a:lnTo>
                              <a:lnTo>
                                <a:pt x="5252085" y="7620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2.523281pt;width:413.55pt;height:6pt;mso-position-horizontal-relative:page;mso-position-vertical-relative:paragraph;z-index:-15703040;mso-wrap-distance-left:0;mso-wrap-distance-right:0" id="docshape57" filled="true" fillcolor="#000000" stroked="false">
                <v:fill type="solid"/>
                <w10:wrap type="topAndBottom"/>
              </v:rect>
            </w:pict>
          </mc:Fallback>
        </mc:AlternateContent>
      </w:r>
    </w:p>
    <w:p>
      <w:pPr>
        <w:spacing w:before="198"/>
        <w:ind w:left="979" w:right="0" w:firstLine="0"/>
        <w:jc w:val="left"/>
        <w:rPr>
          <w:rFonts w:ascii="Georgia"/>
          <w:sz w:val="24"/>
        </w:rPr>
      </w:pPr>
      <w:r>
        <w:rPr>
          <w:rFonts w:ascii="Georgia"/>
          <w:sz w:val="24"/>
        </w:rPr>
        <w:t>Theories</w:t>
      </w:r>
      <w:r>
        <w:rPr>
          <w:rFonts w:ascii="Georgia"/>
          <w:spacing w:val="13"/>
          <w:sz w:val="24"/>
        </w:rPr>
        <w:t> </w:t>
      </w:r>
      <w:r>
        <w:rPr>
          <w:rFonts w:ascii="Georgia"/>
          <w:sz w:val="24"/>
        </w:rPr>
        <w:t>of</w:t>
      </w:r>
      <w:r>
        <w:rPr>
          <w:rFonts w:ascii="Georgia"/>
          <w:spacing w:val="15"/>
          <w:sz w:val="24"/>
        </w:rPr>
        <w:t> </w:t>
      </w:r>
      <w:r>
        <w:rPr>
          <w:rFonts w:ascii="Georgia"/>
          <w:sz w:val="24"/>
        </w:rPr>
        <w:t>European</w:t>
      </w:r>
      <w:r>
        <w:rPr>
          <w:rFonts w:ascii="Georgia"/>
          <w:spacing w:val="15"/>
          <w:sz w:val="24"/>
        </w:rPr>
        <w:t> </w:t>
      </w:r>
      <w:r>
        <w:rPr>
          <w:rFonts w:ascii="Georgia"/>
          <w:spacing w:val="-2"/>
          <w:sz w:val="24"/>
        </w:rPr>
        <w:t>Integration</w:t>
      </w:r>
    </w:p>
    <w:p>
      <w:pPr>
        <w:spacing w:before="189"/>
        <w:ind w:left="979" w:right="0" w:firstLine="0"/>
        <w:jc w:val="left"/>
        <w:rPr>
          <w:rFonts w:ascii="Georgia"/>
          <w:sz w:val="24"/>
        </w:rPr>
      </w:pPr>
      <w:r>
        <w:rPr>
          <w:rFonts w:ascii="Georgia"/>
          <w:sz w:val="24"/>
        </w:rPr>
        <w:t>Neo-functionalism,</w:t>
      </w:r>
      <w:r>
        <w:rPr>
          <w:rFonts w:ascii="Georgia"/>
          <w:spacing w:val="21"/>
          <w:sz w:val="24"/>
        </w:rPr>
        <w:t> </w:t>
      </w:r>
      <w:r>
        <w:rPr>
          <w:rFonts w:ascii="Georgia"/>
          <w:sz w:val="24"/>
        </w:rPr>
        <w:t>Liberal</w:t>
      </w:r>
      <w:r>
        <w:rPr>
          <w:rFonts w:ascii="Georgia"/>
          <w:spacing w:val="19"/>
          <w:sz w:val="24"/>
        </w:rPr>
        <w:t> </w:t>
      </w:r>
      <w:r>
        <w:rPr>
          <w:rFonts w:ascii="Georgia"/>
          <w:spacing w:val="-2"/>
          <w:sz w:val="24"/>
        </w:rPr>
        <w:t>Intergovernmentalism,</w:t>
      </w:r>
    </w:p>
    <w:p>
      <w:pPr>
        <w:pStyle w:val="BodyText"/>
        <w:ind w:left="0"/>
        <w:jc w:val="left"/>
        <w:rPr>
          <w:rFonts w:ascii="Georgia"/>
          <w:sz w:val="24"/>
        </w:rPr>
      </w:pPr>
    </w:p>
    <w:p>
      <w:pPr>
        <w:pStyle w:val="BodyText"/>
        <w:ind w:left="0"/>
        <w:jc w:val="left"/>
        <w:rPr>
          <w:rFonts w:ascii="Georgia"/>
          <w:sz w:val="24"/>
        </w:rPr>
      </w:pPr>
    </w:p>
    <w:p>
      <w:pPr>
        <w:pStyle w:val="BodyText"/>
        <w:ind w:left="0"/>
        <w:jc w:val="left"/>
        <w:rPr>
          <w:rFonts w:ascii="Georgia"/>
          <w:sz w:val="24"/>
        </w:rPr>
      </w:pPr>
    </w:p>
    <w:p>
      <w:pPr>
        <w:pStyle w:val="BodyText"/>
        <w:spacing w:before="109"/>
        <w:ind w:left="0"/>
        <w:jc w:val="left"/>
        <w:rPr>
          <w:rFonts w:ascii="Georgia"/>
          <w:sz w:val="24"/>
        </w:rPr>
      </w:pPr>
    </w:p>
    <w:p>
      <w:pPr>
        <w:pStyle w:val="Heading4"/>
        <w:numPr>
          <w:ilvl w:val="1"/>
          <w:numId w:val="4"/>
        </w:numPr>
        <w:tabs>
          <w:tab w:pos="1581" w:val="left" w:leader="none"/>
        </w:tabs>
        <w:spacing w:line="240" w:lineRule="auto" w:before="0" w:after="0"/>
        <w:ind w:left="1581" w:right="0" w:hanging="602"/>
        <w:jc w:val="left"/>
      </w:pPr>
      <w:bookmarkStart w:name="_bookmark15" w:id="16"/>
      <w:bookmarkEnd w:id="16"/>
      <w:r>
        <w:rPr>
          <w:b w:val="0"/>
        </w:rPr>
      </w:r>
      <w:r>
        <w:rPr>
          <w:spacing w:val="-10"/>
        </w:rPr>
        <w:t>General</w:t>
      </w:r>
      <w:r>
        <w:rPr>
          <w:spacing w:val="-4"/>
        </w:rPr>
        <w:t> </w:t>
      </w:r>
      <w:r>
        <w:rPr>
          <w:spacing w:val="-2"/>
        </w:rPr>
        <w:t>Overview</w:t>
      </w:r>
    </w:p>
    <w:p>
      <w:pPr>
        <w:pStyle w:val="BodyText"/>
        <w:spacing w:before="9"/>
        <w:ind w:left="0"/>
        <w:jc w:val="left"/>
        <w:rPr>
          <w:rFonts w:ascii="Georgia"/>
          <w:b/>
          <w:sz w:val="17"/>
        </w:rPr>
      </w:pPr>
      <w:r>
        <w:rPr>
          <w:rFonts w:ascii="Georgia"/>
          <w:b/>
          <w:sz w:val="17"/>
        </w:rPr>
        <mc:AlternateContent>
          <mc:Choice Requires="wps">
            <w:drawing>
              <wp:anchor distT="0" distB="0" distL="0" distR="0" allowOverlap="1" layoutInCell="1" locked="0" behindDoc="1" simplePos="0" relativeHeight="487613952">
                <wp:simplePos x="0" y="0"/>
                <wp:positionH relativeFrom="page">
                  <wp:posOffset>1078864</wp:posOffset>
                </wp:positionH>
                <wp:positionV relativeFrom="paragraph">
                  <wp:posOffset>143658</wp:posOffset>
                </wp:positionV>
                <wp:extent cx="5252085" cy="51435"/>
                <wp:effectExtent l="0" t="0" r="0" b="0"/>
                <wp:wrapTopAndBottom/>
                <wp:docPr id="62" name="Graphic 62"/>
                <wp:cNvGraphicFramePr>
                  <a:graphicFrameLocks/>
                </wp:cNvGraphicFramePr>
                <a:graphic>
                  <a:graphicData uri="http://schemas.microsoft.com/office/word/2010/wordprocessingShape">
                    <wps:wsp>
                      <wps:cNvPr id="62" name="Graphic 62"/>
                      <wps:cNvSpPr/>
                      <wps:spPr>
                        <a:xfrm>
                          <a:off x="0" y="0"/>
                          <a:ext cx="5252085" cy="51435"/>
                        </a:xfrm>
                        <a:custGeom>
                          <a:avLst/>
                          <a:gdLst/>
                          <a:ahLst/>
                          <a:cxnLst/>
                          <a:rect l="l" t="t" r="r" b="b"/>
                          <a:pathLst>
                            <a:path w="5252085" h="51435">
                              <a:moveTo>
                                <a:pt x="5252085" y="0"/>
                              </a:moveTo>
                              <a:lnTo>
                                <a:pt x="0" y="0"/>
                              </a:lnTo>
                              <a:lnTo>
                                <a:pt x="0" y="51435"/>
                              </a:lnTo>
                              <a:lnTo>
                                <a:pt x="5252085" y="51435"/>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1.311719pt;width:413.55pt;height:4.05pt;mso-position-horizontal-relative:page;mso-position-vertical-relative:paragraph;z-index:-15702528;mso-wrap-distance-left:0;mso-wrap-distance-right:0" id="docshape58"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spacing w:before="93"/>
        <w:ind w:left="0"/>
        <w:jc w:val="left"/>
        <w:rPr>
          <w:rFonts w:ascii="Georgia"/>
          <w:b/>
        </w:rPr>
      </w:pPr>
    </w:p>
    <w:p>
      <w:pPr>
        <w:pStyle w:val="BodyText"/>
        <w:spacing w:line="276" w:lineRule="auto"/>
        <w:ind w:right="1899" w:firstLine="720"/>
      </w:pPr>
      <w:r>
        <w:rPr/>
        <w:t>Theories</w:t>
      </w:r>
      <w:r>
        <w:rPr>
          <w:spacing w:val="-4"/>
        </w:rPr>
        <w:t> </w:t>
      </w:r>
      <w:r>
        <w:rPr/>
        <w:t>of</w:t>
      </w:r>
      <w:r>
        <w:rPr>
          <w:spacing w:val="-4"/>
        </w:rPr>
        <w:t> </w:t>
      </w:r>
      <w:r>
        <w:rPr/>
        <w:t>European</w:t>
      </w:r>
      <w:r>
        <w:rPr>
          <w:spacing w:val="-1"/>
        </w:rPr>
        <w:t> </w:t>
      </w:r>
      <w:r>
        <w:rPr/>
        <w:t>integration</w:t>
      </w:r>
      <w:r>
        <w:rPr>
          <w:spacing w:val="-2"/>
        </w:rPr>
        <w:t> </w:t>
      </w:r>
      <w:r>
        <w:rPr/>
        <w:t>are</w:t>
      </w:r>
      <w:r>
        <w:rPr>
          <w:spacing w:val="-3"/>
        </w:rPr>
        <w:t> </w:t>
      </w:r>
      <w:r>
        <w:rPr/>
        <w:t>primary</w:t>
      </w:r>
      <w:r>
        <w:rPr>
          <w:spacing w:val="-3"/>
        </w:rPr>
        <w:t> </w:t>
      </w:r>
      <w:r>
        <w:rPr/>
        <w:t>conceptual</w:t>
      </w:r>
      <w:r>
        <w:rPr>
          <w:spacing w:val="-5"/>
        </w:rPr>
        <w:t> </w:t>
      </w:r>
      <w:r>
        <w:rPr/>
        <w:t>frameworks for studying the European Union, but the approaches produced within the field are more likely to be various approaches to the various problems connected with the EU. Accordingly, as we understood the process, no single theory can fully grasp the nature of the integration in depth. To clarify this statement, we can categorize the theories and arrange them hierarchically, with grand theories on the top and others positioned according to the range of their scope (mostly middle-range theories).</w:t>
      </w:r>
    </w:p>
    <w:p>
      <w:pPr>
        <w:pStyle w:val="BodyText"/>
        <w:spacing w:line="276" w:lineRule="auto"/>
        <w:ind w:right="1902" w:firstLine="787"/>
      </w:pPr>
      <w:r>
        <w:rPr/>
        <w:t>Neo-functionalism (NF) and Liberal Intergovernmentalism (LI) are probably the most influential grand approaches; they both have an</w:t>
      </w:r>
      <w:r>
        <w:rPr>
          <w:spacing w:val="80"/>
        </w:rPr>
        <w:t> </w:t>
      </w:r>
      <w:r>
        <w:rPr/>
        <w:t>ambition to explain the whole of the processes, while believing that approach they produce can work with other than EU contexts as well. Constructivism</w:t>
      </w:r>
      <w:r>
        <w:rPr>
          <w:spacing w:val="-5"/>
        </w:rPr>
        <w:t> </w:t>
      </w:r>
      <w:r>
        <w:rPr/>
        <w:t>can</w:t>
      </w:r>
      <w:r>
        <w:rPr>
          <w:spacing w:val="-2"/>
        </w:rPr>
        <w:t> </w:t>
      </w:r>
      <w:r>
        <w:rPr/>
        <w:t>also</w:t>
      </w:r>
      <w:r>
        <w:rPr>
          <w:spacing w:val="-6"/>
        </w:rPr>
        <w:t> </w:t>
      </w:r>
      <w:r>
        <w:rPr/>
        <w:t>be</w:t>
      </w:r>
      <w:r>
        <w:rPr>
          <w:spacing w:val="-3"/>
        </w:rPr>
        <w:t> </w:t>
      </w:r>
      <w:r>
        <w:rPr/>
        <w:t>considered</w:t>
      </w:r>
      <w:r>
        <w:rPr>
          <w:spacing w:val="-1"/>
        </w:rPr>
        <w:t> </w:t>
      </w:r>
      <w:r>
        <w:rPr/>
        <w:t>among</w:t>
      </w:r>
      <w:r>
        <w:rPr>
          <w:spacing w:val="-3"/>
        </w:rPr>
        <w:t> </w:t>
      </w:r>
      <w:r>
        <w:rPr/>
        <w:t>grand</w:t>
      </w:r>
      <w:r>
        <w:rPr>
          <w:spacing w:val="-6"/>
        </w:rPr>
        <w:t> </w:t>
      </w:r>
      <w:r>
        <w:rPr/>
        <w:t>theories,</w:t>
      </w:r>
      <w:r>
        <w:rPr>
          <w:spacing w:val="-2"/>
        </w:rPr>
        <w:t> </w:t>
      </w:r>
      <w:r>
        <w:rPr/>
        <w:t>but</w:t>
      </w:r>
      <w:r>
        <w:rPr>
          <w:spacing w:val="-3"/>
        </w:rPr>
        <w:t> </w:t>
      </w:r>
      <w:r>
        <w:rPr/>
        <w:t>scholars</w:t>
      </w:r>
      <w:r>
        <w:rPr>
          <w:spacing w:val="-5"/>
        </w:rPr>
        <w:t> </w:t>
      </w:r>
      <w:r>
        <w:rPr/>
        <w:t>of European Integration usually use the theory as a tool rather than the main theoretical framework. For example, sociological-constructivist, institutionalism bases its arguments on constructivist ideas, but it still remains within the conceptual area of the Institutionalism.</w:t>
      </w:r>
    </w:p>
    <w:p>
      <w:pPr>
        <w:pStyle w:val="BodyText"/>
        <w:spacing w:after="0" w:line="276" w:lineRule="auto"/>
        <w:sectPr>
          <w:pgSz w:w="12240" w:h="15840"/>
          <w:pgMar w:header="1046" w:footer="0" w:top="1360" w:bottom="280" w:left="720" w:right="360"/>
        </w:sectPr>
      </w:pPr>
    </w:p>
    <w:p>
      <w:pPr>
        <w:pStyle w:val="BodyText"/>
        <w:spacing w:line="273" w:lineRule="auto" w:before="276"/>
        <w:ind w:right="1903" w:firstLine="720"/>
      </w:pPr>
      <w:r>
        <w:rPr/>
        <w:t>The designs of European integration appeared before the actual integration took place. In this sense, the early 20</w:t>
      </w:r>
      <w:r>
        <w:rPr>
          <w:position w:val="7"/>
          <w:sz w:val="15"/>
        </w:rPr>
        <w:t>th</w:t>
      </w:r>
      <w:r>
        <w:rPr>
          <w:spacing w:val="40"/>
          <w:position w:val="7"/>
          <w:sz w:val="15"/>
        </w:rPr>
        <w:t> </w:t>
      </w:r>
      <w:r>
        <w:rPr/>
        <w:t>century had been the richest period, as several conceptual texts were produced. Those texts were mainly from the Federalists, who saw the federated Europe as the only way to secure the peace on the continent. Among those texts probably the most influential</w:t>
      </w:r>
      <w:r>
        <w:rPr>
          <w:spacing w:val="-3"/>
        </w:rPr>
        <w:t> </w:t>
      </w:r>
      <w:r>
        <w:rPr/>
        <w:t>one</w:t>
      </w:r>
      <w:r>
        <w:rPr>
          <w:spacing w:val="-4"/>
        </w:rPr>
        <w:t> </w:t>
      </w:r>
      <w:r>
        <w:rPr/>
        <w:t>was </w:t>
      </w:r>
      <w:r>
        <w:rPr>
          <w:sz w:val="27"/>
        </w:rPr>
        <w:t>Richard</w:t>
      </w:r>
      <w:r>
        <w:rPr>
          <w:spacing w:val="-6"/>
          <w:sz w:val="27"/>
        </w:rPr>
        <w:t> </w:t>
      </w:r>
      <w:r>
        <w:rPr>
          <w:sz w:val="27"/>
        </w:rPr>
        <w:t>von</w:t>
      </w:r>
      <w:r>
        <w:rPr>
          <w:spacing w:val="-7"/>
          <w:sz w:val="27"/>
        </w:rPr>
        <w:t> </w:t>
      </w:r>
      <w:r>
        <w:rPr>
          <w:sz w:val="27"/>
        </w:rPr>
        <w:t>Coudenhove-Calergi</w:t>
      </w:r>
      <w:r>
        <w:rPr/>
        <w:t>’s</w:t>
      </w:r>
      <w:r>
        <w:rPr>
          <w:spacing w:val="-3"/>
        </w:rPr>
        <w:t> </w:t>
      </w:r>
      <w:r>
        <w:rPr/>
        <w:t>‘Pan</w:t>
      </w:r>
      <w:r>
        <w:rPr>
          <w:spacing w:val="-4"/>
        </w:rPr>
        <w:t> </w:t>
      </w:r>
      <w:r>
        <w:rPr/>
        <w:t>Europa’-</w:t>
      </w:r>
      <w:r>
        <w:rPr>
          <w:spacing w:val="-7"/>
        </w:rPr>
        <w:t> </w:t>
      </w:r>
      <w:r>
        <w:rPr/>
        <w:t>1923, the author argued that the problems in Europe were caused by the severe political crises, which could only be overcome if the states agree to</w:t>
      </w:r>
      <w:r>
        <w:rPr>
          <w:spacing w:val="40"/>
        </w:rPr>
        <w:t> </w:t>
      </w:r>
      <w:r>
        <w:rPr/>
        <w:t>integrate in one super state, with common economic and security policies. Similar aspirations can be observed in Ventotene Manifesto, a political statement written by </w:t>
      </w:r>
      <w:r>
        <w:rPr>
          <w:sz w:val="27"/>
        </w:rPr>
        <w:t>Altiero Spinelli </w:t>
      </w:r>
      <w:r>
        <w:rPr/>
        <w:t>and </w:t>
      </w:r>
      <w:r>
        <w:rPr>
          <w:sz w:val="27"/>
        </w:rPr>
        <w:t>Ernesto Rossi </w:t>
      </w:r>
      <w:r>
        <w:rPr/>
        <w:t>during the Second World War (1941). They believed that the Europe was in a situation where nations were to decide to choose between the old order of securing the national power and a new way of internationalization, or federalization of the</w:t>
      </w:r>
      <w:r>
        <w:rPr>
          <w:spacing w:val="-1"/>
        </w:rPr>
        <w:t> </w:t>
      </w:r>
      <w:r>
        <w:rPr/>
        <w:t>Europe. There</w:t>
      </w:r>
      <w:r>
        <w:rPr>
          <w:spacing w:val="-1"/>
        </w:rPr>
        <w:t> </w:t>
      </w:r>
      <w:r>
        <w:rPr/>
        <w:t>were</w:t>
      </w:r>
      <w:r>
        <w:rPr>
          <w:spacing w:val="-1"/>
        </w:rPr>
        <w:t> </w:t>
      </w:r>
      <w:r>
        <w:rPr/>
        <w:t>several</w:t>
      </w:r>
      <w:r>
        <w:rPr>
          <w:spacing w:val="-2"/>
        </w:rPr>
        <w:t> </w:t>
      </w:r>
      <w:r>
        <w:rPr/>
        <w:t>other approaches</w:t>
      </w:r>
      <w:r>
        <w:rPr>
          <w:spacing w:val="-2"/>
        </w:rPr>
        <w:t> </w:t>
      </w:r>
      <w:r>
        <w:rPr/>
        <w:t>as</w:t>
      </w:r>
      <w:r>
        <w:rPr>
          <w:spacing w:val="-2"/>
        </w:rPr>
        <w:t> </w:t>
      </w:r>
      <w:r>
        <w:rPr/>
        <w:t>well, but</w:t>
      </w:r>
      <w:r>
        <w:rPr>
          <w:spacing w:val="-1"/>
        </w:rPr>
        <w:t> </w:t>
      </w:r>
      <w:r>
        <w:rPr/>
        <w:t>federalist</w:t>
      </w:r>
      <w:r>
        <w:rPr>
          <w:spacing w:val="-1"/>
        </w:rPr>
        <w:t> </w:t>
      </w:r>
      <w:r>
        <w:rPr/>
        <w:t>ones were more successful in achieving certain social-and political goals.</w:t>
      </w:r>
    </w:p>
    <w:p>
      <w:pPr>
        <w:pStyle w:val="BodyText"/>
        <w:spacing w:line="273" w:lineRule="auto" w:before="24"/>
        <w:ind w:right="1905" w:firstLine="720"/>
      </w:pPr>
      <w:r>
        <w:rPr/>
        <w:t>In the same period another important theoretical work emerges, which gives a rather strong impetus to early functionalism. </w:t>
      </w:r>
      <w:r>
        <w:rPr>
          <w:sz w:val="27"/>
        </w:rPr>
        <w:t>David Mitrany</w:t>
      </w:r>
      <w:r>
        <w:rPr/>
        <w:t>, was among the first scholars who introduced a scientific approach for integration, his </w:t>
      </w:r>
      <w:r>
        <w:rPr>
          <w:sz w:val="27"/>
        </w:rPr>
        <w:t>Working Peace System </w:t>
      </w:r>
      <w:r>
        <w:rPr/>
        <w:t>was published in 1943 and soon gained popularity among the scholarly circles. </w:t>
      </w:r>
      <w:r>
        <w:rPr>
          <w:sz w:val="27"/>
        </w:rPr>
        <w:t>Mitrany </w:t>
      </w:r>
      <w:r>
        <w:rPr/>
        <w:t>rejected interwar idealism, functionally interconnected societies was an aim instead of an ideal international society, portrayed by the earlier idealist works. (</w:t>
      </w:r>
      <w:hyperlink w:history="true" w:anchor="_bookmark355">
        <w:r>
          <w:rPr/>
          <w:t>Rosamond, 2000, p. 32</w:t>
        </w:r>
      </w:hyperlink>
      <w:r>
        <w:rPr/>
        <w:t>) The functionalists were disappointed in state’s capabilities to achieve peace and welfare for the citizens. They proposed a new form of the government, which would bring together actors, closely interconnected</w:t>
      </w:r>
      <w:r>
        <w:rPr>
          <w:spacing w:val="-5"/>
        </w:rPr>
        <w:t> </w:t>
      </w:r>
      <w:r>
        <w:rPr/>
        <w:t>due</w:t>
      </w:r>
      <w:r>
        <w:rPr>
          <w:spacing w:val="-2"/>
        </w:rPr>
        <w:t> </w:t>
      </w:r>
      <w:r>
        <w:rPr/>
        <w:t>to</w:t>
      </w:r>
      <w:r>
        <w:rPr>
          <w:spacing w:val="-5"/>
        </w:rPr>
        <w:t> </w:t>
      </w:r>
      <w:r>
        <w:rPr/>
        <w:t>the</w:t>
      </w:r>
      <w:r>
        <w:rPr>
          <w:spacing w:val="-2"/>
        </w:rPr>
        <w:t> </w:t>
      </w:r>
      <w:r>
        <w:rPr/>
        <w:t>merging</w:t>
      </w:r>
      <w:r>
        <w:rPr>
          <w:spacing w:val="-6"/>
        </w:rPr>
        <w:t> </w:t>
      </w:r>
      <w:r>
        <w:rPr/>
        <w:t>functions.</w:t>
      </w:r>
      <w:r>
        <w:rPr>
          <w:spacing w:val="-1"/>
        </w:rPr>
        <w:t> </w:t>
      </w:r>
      <w:r>
        <w:rPr/>
        <w:t>The</w:t>
      </w:r>
      <w:r>
        <w:rPr>
          <w:spacing w:val="-2"/>
        </w:rPr>
        <w:t> </w:t>
      </w:r>
      <w:r>
        <w:rPr/>
        <w:t>connections</w:t>
      </w:r>
      <w:r>
        <w:rPr>
          <w:spacing w:val="-4"/>
        </w:rPr>
        <w:t> </w:t>
      </w:r>
      <w:r>
        <w:rPr/>
        <w:t>would create the working system as a new way of governing.</w:t>
      </w:r>
      <w:r>
        <w:rPr>
          <w:spacing w:val="40"/>
        </w:rPr>
        <w:t> </w:t>
      </w:r>
      <w:r>
        <w:rPr>
          <w:sz w:val="27"/>
        </w:rPr>
        <w:t>Mitrany </w:t>
      </w:r>
      <w:r>
        <w:rPr/>
        <w:t>believed this approach could efficiently replace the old form of the society with new, functionalist one. Mitrany himself was greatly influenced by the organization studies. He argued that managing of the state can be no much different from managing the transnational corporation (</w:t>
      </w:r>
      <w:hyperlink w:history="true" w:anchor="_bookmark343">
        <w:r>
          <w:rPr/>
          <w:t>Popoviciu, 2010, p.</w:t>
        </w:r>
      </w:hyperlink>
    </w:p>
    <w:p>
      <w:pPr>
        <w:pStyle w:val="BodyText"/>
        <w:spacing w:after="0" w:line="273" w:lineRule="auto"/>
        <w:sectPr>
          <w:pgSz w:w="12240" w:h="15840"/>
          <w:pgMar w:header="1046" w:footer="0" w:top="1360" w:bottom="280" w:left="720" w:right="360"/>
        </w:sectPr>
      </w:pPr>
    </w:p>
    <w:p>
      <w:pPr>
        <w:pStyle w:val="BodyText"/>
        <w:spacing w:line="276" w:lineRule="auto" w:before="276"/>
        <w:ind w:right="1912"/>
      </w:pPr>
      <w:hyperlink w:history="true" w:anchor="_bookmark343">
        <w:r>
          <w:rPr/>
          <w:t>165</w:t>
        </w:r>
      </w:hyperlink>
      <w:r>
        <w:rPr/>
        <w:t>). That new form of organization leaves no room for the politics, which is [according to Mitrany] ‘intrinsically evil.’</w:t>
      </w:r>
    </w:p>
    <w:p>
      <w:pPr>
        <w:pStyle w:val="BodyText"/>
        <w:spacing w:line="273" w:lineRule="auto"/>
        <w:ind w:right="1901" w:firstLine="720"/>
      </w:pPr>
      <w:r>
        <w:rPr/>
        <mc:AlternateContent>
          <mc:Choice Requires="wps">
            <w:drawing>
              <wp:anchor distT="0" distB="0" distL="0" distR="0" allowOverlap="1" layoutInCell="1" locked="0" behindDoc="0" simplePos="0" relativeHeight="15756800">
                <wp:simplePos x="0" y="0"/>
                <wp:positionH relativeFrom="page">
                  <wp:posOffset>3640582</wp:posOffset>
                </wp:positionH>
                <wp:positionV relativeFrom="paragraph">
                  <wp:posOffset>3838349</wp:posOffset>
                </wp:positionV>
                <wp:extent cx="2976880" cy="2209165"/>
                <wp:effectExtent l="0" t="0" r="0" b="0"/>
                <wp:wrapNone/>
                <wp:docPr id="63" name="Group 63"/>
                <wp:cNvGraphicFramePr>
                  <a:graphicFrameLocks/>
                </wp:cNvGraphicFramePr>
                <a:graphic>
                  <a:graphicData uri="http://schemas.microsoft.com/office/word/2010/wordprocessingGroup">
                    <wpg:wgp>
                      <wpg:cNvPr id="63" name="Group 63"/>
                      <wpg:cNvGrpSpPr/>
                      <wpg:grpSpPr>
                        <a:xfrm>
                          <a:off x="0" y="0"/>
                          <a:ext cx="2976880" cy="2209165"/>
                          <a:chExt cx="2976880" cy="2209165"/>
                        </a:xfrm>
                      </wpg:grpSpPr>
                      <wps:wsp>
                        <wps:cNvPr id="64" name="Graphic 64"/>
                        <wps:cNvSpPr/>
                        <wps:spPr>
                          <a:xfrm>
                            <a:off x="12700" y="12700"/>
                            <a:ext cx="2951480" cy="2183765"/>
                          </a:xfrm>
                          <a:custGeom>
                            <a:avLst/>
                            <a:gdLst/>
                            <a:ahLst/>
                            <a:cxnLst/>
                            <a:rect l="l" t="t" r="r" b="b"/>
                            <a:pathLst>
                              <a:path w="2951480" h="2183765">
                                <a:moveTo>
                                  <a:pt x="0" y="2183765"/>
                                </a:moveTo>
                                <a:lnTo>
                                  <a:pt x="2951352" y="2183765"/>
                                </a:lnTo>
                                <a:lnTo>
                                  <a:pt x="2951352" y="0"/>
                                </a:lnTo>
                                <a:lnTo>
                                  <a:pt x="0" y="0"/>
                                </a:lnTo>
                                <a:lnTo>
                                  <a:pt x="0" y="2183765"/>
                                </a:lnTo>
                                <a:close/>
                              </a:path>
                            </a:pathLst>
                          </a:custGeom>
                          <a:ln w="25400">
                            <a:solidFill>
                              <a:srgbClr val="000000"/>
                            </a:solidFill>
                            <a:prstDash val="solid"/>
                          </a:ln>
                        </wps:spPr>
                        <wps:bodyPr wrap="square" lIns="0" tIns="0" rIns="0" bIns="0" rtlCol="0">
                          <a:prstTxWarp prst="textNoShape">
                            <a:avLst/>
                          </a:prstTxWarp>
                          <a:noAutofit/>
                        </wps:bodyPr>
                      </wps:wsp>
                      <wps:wsp>
                        <wps:cNvPr id="65" name="Textbox 65"/>
                        <wps:cNvSpPr txBox="1"/>
                        <wps:spPr>
                          <a:xfrm>
                            <a:off x="119126" y="102562"/>
                            <a:ext cx="640080" cy="118110"/>
                          </a:xfrm>
                          <a:prstGeom prst="rect">
                            <a:avLst/>
                          </a:prstGeom>
                        </wps:spPr>
                        <wps:txbx>
                          <w:txbxContent>
                            <w:p>
                              <w:pPr>
                                <w:spacing w:line="186" w:lineRule="exact" w:before="0"/>
                                <w:ind w:left="0" w:right="0" w:firstLine="0"/>
                                <w:jc w:val="left"/>
                                <w:rPr>
                                  <w:sz w:val="18"/>
                                </w:rPr>
                              </w:pPr>
                              <w:r>
                                <w:rPr>
                                  <w:sz w:val="18"/>
                                </w:rPr>
                                <w:t>T</w:t>
                              </w:r>
                              <w:r>
                                <w:rPr>
                                  <w:spacing w:val="4"/>
                                  <w:sz w:val="18"/>
                                </w:rPr>
                                <w:t> </w:t>
                              </w:r>
                              <w:r>
                                <w:rPr>
                                  <w:spacing w:val="-2"/>
                                  <w:sz w:val="18"/>
                                </w:rPr>
                                <w:t>=Technical</w:t>
                              </w:r>
                            </w:p>
                          </w:txbxContent>
                        </wps:txbx>
                        <wps:bodyPr wrap="square" lIns="0" tIns="0" rIns="0" bIns="0" rtlCol="0">
                          <a:noAutofit/>
                        </wps:bodyPr>
                      </wps:wsp>
                      <wps:wsp>
                        <wps:cNvPr id="66" name="Textbox 66"/>
                        <wps:cNvSpPr txBox="1"/>
                        <wps:spPr>
                          <a:xfrm>
                            <a:off x="1323339" y="102562"/>
                            <a:ext cx="484505" cy="118110"/>
                          </a:xfrm>
                          <a:prstGeom prst="rect">
                            <a:avLst/>
                          </a:prstGeom>
                        </wps:spPr>
                        <wps:txbx>
                          <w:txbxContent>
                            <w:p>
                              <w:pPr>
                                <w:spacing w:line="186" w:lineRule="exact" w:before="0"/>
                                <w:ind w:left="0" w:right="0" w:firstLine="0"/>
                                <w:jc w:val="left"/>
                                <w:rPr>
                                  <w:sz w:val="18"/>
                                </w:rPr>
                              </w:pPr>
                              <w:r>
                                <w:rPr>
                                  <w:spacing w:val="-2"/>
                                  <w:sz w:val="18"/>
                                </w:rPr>
                                <w:t>F=Federal</w:t>
                              </w:r>
                            </w:p>
                          </w:txbxContent>
                        </wps:txbx>
                        <wps:bodyPr wrap="square" lIns="0" tIns="0" rIns="0" bIns="0" rtlCol="0">
                          <a:noAutofit/>
                        </wps:bodyPr>
                      </wps:wsp>
                      <wps:wsp>
                        <wps:cNvPr id="67" name="Textbox 67"/>
                        <wps:cNvSpPr txBox="1"/>
                        <wps:spPr>
                          <a:xfrm>
                            <a:off x="119126" y="328114"/>
                            <a:ext cx="584835" cy="118110"/>
                          </a:xfrm>
                          <a:prstGeom prst="rect">
                            <a:avLst/>
                          </a:prstGeom>
                        </wps:spPr>
                        <wps:txbx>
                          <w:txbxContent>
                            <w:p>
                              <w:pPr>
                                <w:spacing w:line="186" w:lineRule="exact" w:before="0"/>
                                <w:ind w:left="0" w:right="0" w:firstLine="0"/>
                                <w:jc w:val="left"/>
                                <w:rPr>
                                  <w:sz w:val="18"/>
                                </w:rPr>
                              </w:pPr>
                              <w:r>
                                <w:rPr>
                                  <w:sz w:val="18"/>
                                </w:rPr>
                                <w:t>P</w:t>
                              </w:r>
                              <w:r>
                                <w:rPr>
                                  <w:spacing w:val="1"/>
                                  <w:sz w:val="18"/>
                                </w:rPr>
                                <w:t> </w:t>
                              </w:r>
                              <w:r>
                                <w:rPr>
                                  <w:sz w:val="18"/>
                                </w:rPr>
                                <w:t>=</w:t>
                              </w:r>
                              <w:r>
                                <w:rPr>
                                  <w:spacing w:val="-2"/>
                                  <w:sz w:val="18"/>
                                </w:rPr>
                                <w:t> political</w:t>
                              </w:r>
                            </w:p>
                          </w:txbxContent>
                        </wps:txbx>
                        <wps:bodyPr wrap="square" lIns="0" tIns="0" rIns="0" bIns="0" rtlCol="0">
                          <a:noAutofit/>
                        </wps:bodyPr>
                      </wps:wsp>
                      <wps:wsp>
                        <wps:cNvPr id="68" name="Textbox 68"/>
                        <wps:cNvSpPr txBox="1"/>
                        <wps:spPr>
                          <a:xfrm>
                            <a:off x="1323339" y="328114"/>
                            <a:ext cx="358775" cy="118110"/>
                          </a:xfrm>
                          <a:prstGeom prst="rect">
                            <a:avLst/>
                          </a:prstGeom>
                        </wps:spPr>
                        <wps:txbx>
                          <w:txbxContent>
                            <w:p>
                              <w:pPr>
                                <w:spacing w:line="186" w:lineRule="exact" w:before="0"/>
                                <w:ind w:left="0" w:right="0" w:firstLine="0"/>
                                <w:jc w:val="left"/>
                                <w:rPr>
                                  <w:sz w:val="18"/>
                                </w:rPr>
                              </w:pPr>
                              <w:r>
                                <w:rPr>
                                  <w:spacing w:val="-2"/>
                                  <w:sz w:val="18"/>
                                </w:rPr>
                                <w:t>S=State</w:t>
                              </w:r>
                            </w:p>
                          </w:txbxContent>
                        </wps:txbx>
                        <wps:bodyPr wrap="square" lIns="0" tIns="0" rIns="0" bIns="0" rtlCol="0">
                          <a:noAutofit/>
                        </wps:bodyPr>
                      </wps:wsp>
                      <wps:wsp>
                        <wps:cNvPr id="69" name="Textbox 69"/>
                        <wps:cNvSpPr txBox="1"/>
                        <wps:spPr>
                          <a:xfrm>
                            <a:off x="119126" y="553920"/>
                            <a:ext cx="2749550" cy="1478280"/>
                          </a:xfrm>
                          <a:prstGeom prst="rect">
                            <a:avLst/>
                          </a:prstGeom>
                        </wps:spPr>
                        <wps:txbx>
                          <w:txbxContent>
                            <w:p>
                              <w:pPr>
                                <w:spacing w:line="190" w:lineRule="exact" w:before="0"/>
                                <w:ind w:left="0" w:right="0" w:firstLine="0"/>
                                <w:jc w:val="left"/>
                                <w:rPr>
                                  <w:sz w:val="18"/>
                                </w:rPr>
                              </w:pPr>
                              <w:r>
                                <w:rPr>
                                  <w:sz w:val="18"/>
                                </w:rPr>
                                <w:t>STP</w:t>
                              </w:r>
                              <w:r>
                                <w:rPr>
                                  <w:spacing w:val="-9"/>
                                  <w:sz w:val="18"/>
                                </w:rPr>
                                <w:t> </w:t>
                              </w:r>
                              <w:r>
                                <w:rPr>
                                  <w:sz w:val="18"/>
                                </w:rPr>
                                <w:t>=</w:t>
                              </w:r>
                              <w:r>
                                <w:rPr>
                                  <w:spacing w:val="-6"/>
                                  <w:sz w:val="18"/>
                                </w:rPr>
                                <w:t> </w:t>
                              </w:r>
                              <w:r>
                                <w:rPr>
                                  <w:sz w:val="18"/>
                                </w:rPr>
                                <w:t>Functionalisttriangle</w:t>
                              </w:r>
                              <w:r>
                                <w:rPr>
                                  <w:spacing w:val="-5"/>
                                  <w:sz w:val="18"/>
                                </w:rPr>
                                <w:t> </w:t>
                              </w:r>
                              <w:r>
                                <w:rPr>
                                  <w:sz w:val="18"/>
                                </w:rPr>
                                <w:t>more</w:t>
                              </w:r>
                              <w:r>
                                <w:rPr>
                                  <w:spacing w:val="-9"/>
                                  <w:sz w:val="18"/>
                                </w:rPr>
                                <w:t> </w:t>
                              </w:r>
                              <w:r>
                                <w:rPr>
                                  <w:sz w:val="18"/>
                                </w:rPr>
                                <w:t>integration</w:t>
                              </w:r>
                              <w:r>
                                <w:rPr>
                                  <w:spacing w:val="-4"/>
                                  <w:sz w:val="18"/>
                                </w:rPr>
                                <w:t> </w:t>
                              </w:r>
                              <w:r>
                                <w:rPr>
                                  <w:sz w:val="18"/>
                                </w:rPr>
                                <w:t>brings</w:t>
                              </w:r>
                              <w:r>
                                <w:rPr>
                                  <w:spacing w:val="-6"/>
                                  <w:sz w:val="18"/>
                                </w:rPr>
                                <w:t> </w:t>
                              </w:r>
                              <w:r>
                                <w:rPr>
                                  <w:spacing w:val="-5"/>
                                  <w:sz w:val="18"/>
                                </w:rPr>
                                <w:t>to</w:t>
                              </w:r>
                            </w:p>
                            <w:p>
                              <w:pPr>
                                <w:spacing w:line="362" w:lineRule="auto" w:before="118"/>
                                <w:ind w:left="0" w:right="31" w:firstLine="0"/>
                                <w:jc w:val="left"/>
                                <w:rPr>
                                  <w:sz w:val="18"/>
                                </w:rPr>
                              </w:pPr>
                              <w:r>
                                <w:rPr>
                                  <w:sz w:val="18"/>
                                </w:rPr>
                                <w:t>more technicality VS. Low level of Politics PSF=Federalist</w:t>
                              </w:r>
                              <w:r>
                                <w:rPr>
                                  <w:spacing w:val="-9"/>
                                  <w:sz w:val="18"/>
                                </w:rPr>
                                <w:t> </w:t>
                              </w:r>
                              <w:r>
                                <w:rPr>
                                  <w:sz w:val="18"/>
                                </w:rPr>
                                <w:t>triangle,</w:t>
                              </w:r>
                              <w:r>
                                <w:rPr>
                                  <w:spacing w:val="-8"/>
                                  <w:sz w:val="18"/>
                                </w:rPr>
                                <w:t> </w:t>
                              </w:r>
                              <w:r>
                                <w:rPr>
                                  <w:sz w:val="18"/>
                                </w:rPr>
                                <w:t>more</w:t>
                              </w:r>
                              <w:r>
                                <w:rPr>
                                  <w:spacing w:val="-12"/>
                                  <w:sz w:val="18"/>
                                </w:rPr>
                                <w:t> </w:t>
                              </w:r>
                              <w:r>
                                <w:rPr>
                                  <w:sz w:val="18"/>
                                </w:rPr>
                                <w:t>political</w:t>
                              </w:r>
                              <w:r>
                                <w:rPr>
                                  <w:spacing w:val="-9"/>
                                  <w:sz w:val="18"/>
                                </w:rPr>
                                <w:t> </w:t>
                              </w:r>
                              <w:r>
                                <w:rPr>
                                  <w:sz w:val="18"/>
                                </w:rPr>
                                <w:t>integration</w:t>
                              </w:r>
                              <w:r>
                                <w:rPr>
                                  <w:spacing w:val="-8"/>
                                  <w:sz w:val="18"/>
                                </w:rPr>
                                <w:t> </w:t>
                              </w:r>
                              <w:r>
                                <w:rPr>
                                  <w:sz w:val="18"/>
                                </w:rPr>
                                <w:t>higher supranational level, low state level.</w:t>
                              </w:r>
                            </w:p>
                            <w:p>
                              <w:pPr>
                                <w:spacing w:line="360" w:lineRule="auto" w:before="0"/>
                                <w:ind w:left="0" w:right="0" w:firstLine="0"/>
                                <w:jc w:val="left"/>
                                <w:rPr>
                                  <w:sz w:val="18"/>
                                </w:rPr>
                              </w:pPr>
                              <w:r>
                                <w:rPr>
                                  <w:sz w:val="18"/>
                                </w:rPr>
                                <w:t>PTF=Neo-functionalist</w:t>
                              </w:r>
                              <w:r>
                                <w:rPr>
                                  <w:spacing w:val="-2"/>
                                  <w:sz w:val="18"/>
                                </w:rPr>
                                <w:t> </w:t>
                              </w:r>
                              <w:r>
                                <w:rPr>
                                  <w:sz w:val="18"/>
                                </w:rPr>
                                <w:t>Triangle, where</w:t>
                              </w:r>
                              <w:r>
                                <w:rPr>
                                  <w:spacing w:val="-7"/>
                                  <w:sz w:val="18"/>
                                </w:rPr>
                                <w:t> </w:t>
                              </w:r>
                              <w:r>
                                <w:rPr>
                                  <w:sz w:val="18"/>
                                </w:rPr>
                                <w:t>political will</w:t>
                              </w:r>
                              <w:r>
                                <w:rPr>
                                  <w:spacing w:val="-4"/>
                                  <w:sz w:val="18"/>
                                </w:rPr>
                                <w:t> </w:t>
                              </w:r>
                              <w:r>
                                <w:rPr>
                                  <w:sz w:val="18"/>
                                </w:rPr>
                                <w:t>and functional</w:t>
                              </w:r>
                              <w:r>
                                <w:rPr>
                                  <w:spacing w:val="-6"/>
                                  <w:sz w:val="18"/>
                                </w:rPr>
                                <w:t> </w:t>
                              </w:r>
                              <w:r>
                                <w:rPr>
                                  <w:sz w:val="18"/>
                                </w:rPr>
                                <w:t>(technical)</w:t>
                              </w:r>
                              <w:r>
                                <w:rPr>
                                  <w:spacing w:val="-7"/>
                                  <w:sz w:val="18"/>
                                </w:rPr>
                                <w:t> </w:t>
                              </w:r>
                              <w:r>
                                <w:rPr>
                                  <w:sz w:val="18"/>
                                </w:rPr>
                                <w:t>integration</w:t>
                              </w:r>
                              <w:r>
                                <w:rPr>
                                  <w:spacing w:val="-3"/>
                                  <w:sz w:val="18"/>
                                </w:rPr>
                                <w:t> </w:t>
                              </w:r>
                              <w:r>
                                <w:rPr>
                                  <w:sz w:val="18"/>
                                </w:rPr>
                                <w:t>bring</w:t>
                              </w:r>
                              <w:r>
                                <w:rPr>
                                  <w:spacing w:val="-11"/>
                                  <w:sz w:val="18"/>
                                </w:rPr>
                                <w:t> </w:t>
                              </w:r>
                              <w:r>
                                <w:rPr>
                                  <w:sz w:val="18"/>
                                </w:rPr>
                                <w:t>to</w:t>
                              </w:r>
                              <w:r>
                                <w:rPr>
                                  <w:spacing w:val="-2"/>
                                  <w:sz w:val="18"/>
                                </w:rPr>
                                <w:t> </w:t>
                              </w:r>
                              <w:r>
                                <w:rPr>
                                  <w:sz w:val="18"/>
                                </w:rPr>
                                <w:t>gradual</w:t>
                              </w:r>
                              <w:r>
                                <w:rPr>
                                  <w:spacing w:val="-5"/>
                                  <w:sz w:val="18"/>
                                </w:rPr>
                                <w:t> </w:t>
                              </w:r>
                              <w:r>
                                <w:rPr>
                                  <w:spacing w:val="-2"/>
                                  <w:sz w:val="18"/>
                                </w:rPr>
                                <w:t>federal</w:t>
                              </w:r>
                            </w:p>
                            <w:p>
                              <w:pPr>
                                <w:spacing w:line="233" w:lineRule="exact" w:before="1"/>
                                <w:ind w:left="0" w:right="0" w:firstLine="0"/>
                                <w:jc w:val="left"/>
                                <w:rPr>
                                  <w:sz w:val="18"/>
                                </w:rPr>
                              </w:pPr>
                              <w:r>
                                <w:rPr>
                                  <w:spacing w:val="-2"/>
                                  <w:sz w:val="18"/>
                                </w:rPr>
                                <w:t>state.</w:t>
                              </w:r>
                            </w:p>
                          </w:txbxContent>
                        </wps:txbx>
                        <wps:bodyPr wrap="square" lIns="0" tIns="0" rIns="0" bIns="0" rtlCol="0">
                          <a:noAutofit/>
                        </wps:bodyPr>
                      </wps:wsp>
                    </wpg:wgp>
                  </a:graphicData>
                </a:graphic>
              </wp:anchor>
            </w:drawing>
          </mc:Choice>
          <mc:Fallback>
            <w:pict>
              <v:group style="position:absolute;margin-left:286.660004pt;margin-top:302.232269pt;width:234.4pt;height:173.95pt;mso-position-horizontal-relative:page;mso-position-vertical-relative:paragraph;z-index:15756800" id="docshapegroup59" coordorigin="5733,6045" coordsize="4688,3479">
                <v:rect style="position:absolute;left:5753;top:6064;width:4648;height:3439" id="docshape60" filled="false" stroked="true" strokeweight="2pt" strokecolor="#000000">
                  <v:stroke dashstyle="solid"/>
                </v:rect>
                <v:shape style="position:absolute;left:5920;top:6206;width:1008;height:186" type="#_x0000_t202" id="docshape61" filled="false" stroked="false">
                  <v:textbox inset="0,0,0,0">
                    <w:txbxContent>
                      <w:p>
                        <w:pPr>
                          <w:spacing w:line="186" w:lineRule="exact" w:before="0"/>
                          <w:ind w:left="0" w:right="0" w:firstLine="0"/>
                          <w:jc w:val="left"/>
                          <w:rPr>
                            <w:sz w:val="18"/>
                          </w:rPr>
                        </w:pPr>
                        <w:r>
                          <w:rPr>
                            <w:sz w:val="18"/>
                          </w:rPr>
                          <w:t>T</w:t>
                        </w:r>
                        <w:r>
                          <w:rPr>
                            <w:spacing w:val="4"/>
                            <w:sz w:val="18"/>
                          </w:rPr>
                          <w:t> </w:t>
                        </w:r>
                        <w:r>
                          <w:rPr>
                            <w:spacing w:val="-2"/>
                            <w:sz w:val="18"/>
                          </w:rPr>
                          <w:t>=Technical</w:t>
                        </w:r>
                      </w:p>
                    </w:txbxContent>
                  </v:textbox>
                  <w10:wrap type="none"/>
                </v:shape>
                <v:shape style="position:absolute;left:7817;top:6206;width:763;height:186" type="#_x0000_t202" id="docshape62" filled="false" stroked="false">
                  <v:textbox inset="0,0,0,0">
                    <w:txbxContent>
                      <w:p>
                        <w:pPr>
                          <w:spacing w:line="186" w:lineRule="exact" w:before="0"/>
                          <w:ind w:left="0" w:right="0" w:firstLine="0"/>
                          <w:jc w:val="left"/>
                          <w:rPr>
                            <w:sz w:val="18"/>
                          </w:rPr>
                        </w:pPr>
                        <w:r>
                          <w:rPr>
                            <w:spacing w:val="-2"/>
                            <w:sz w:val="18"/>
                          </w:rPr>
                          <w:t>F=Federal</w:t>
                        </w:r>
                      </w:p>
                    </w:txbxContent>
                  </v:textbox>
                  <w10:wrap type="none"/>
                </v:shape>
                <v:shape style="position:absolute;left:5920;top:6561;width:921;height:186" type="#_x0000_t202" id="docshape63" filled="false" stroked="false">
                  <v:textbox inset="0,0,0,0">
                    <w:txbxContent>
                      <w:p>
                        <w:pPr>
                          <w:spacing w:line="186" w:lineRule="exact" w:before="0"/>
                          <w:ind w:left="0" w:right="0" w:firstLine="0"/>
                          <w:jc w:val="left"/>
                          <w:rPr>
                            <w:sz w:val="18"/>
                          </w:rPr>
                        </w:pPr>
                        <w:r>
                          <w:rPr>
                            <w:sz w:val="18"/>
                          </w:rPr>
                          <w:t>P</w:t>
                        </w:r>
                        <w:r>
                          <w:rPr>
                            <w:spacing w:val="1"/>
                            <w:sz w:val="18"/>
                          </w:rPr>
                          <w:t> </w:t>
                        </w:r>
                        <w:r>
                          <w:rPr>
                            <w:sz w:val="18"/>
                          </w:rPr>
                          <w:t>=</w:t>
                        </w:r>
                        <w:r>
                          <w:rPr>
                            <w:spacing w:val="-2"/>
                            <w:sz w:val="18"/>
                          </w:rPr>
                          <w:t> political</w:t>
                        </w:r>
                      </w:p>
                    </w:txbxContent>
                  </v:textbox>
                  <w10:wrap type="none"/>
                </v:shape>
                <v:shape style="position:absolute;left:7817;top:6561;width:565;height:186" type="#_x0000_t202" id="docshape64" filled="false" stroked="false">
                  <v:textbox inset="0,0,0,0">
                    <w:txbxContent>
                      <w:p>
                        <w:pPr>
                          <w:spacing w:line="186" w:lineRule="exact" w:before="0"/>
                          <w:ind w:left="0" w:right="0" w:firstLine="0"/>
                          <w:jc w:val="left"/>
                          <w:rPr>
                            <w:sz w:val="18"/>
                          </w:rPr>
                        </w:pPr>
                        <w:r>
                          <w:rPr>
                            <w:spacing w:val="-2"/>
                            <w:sz w:val="18"/>
                          </w:rPr>
                          <w:t>S=State</w:t>
                        </w:r>
                      </w:p>
                    </w:txbxContent>
                  </v:textbox>
                  <w10:wrap type="none"/>
                </v:shape>
                <v:shape style="position:absolute;left:5920;top:6916;width:4330;height:2328" type="#_x0000_t202" id="docshape65" filled="false" stroked="false">
                  <v:textbox inset="0,0,0,0">
                    <w:txbxContent>
                      <w:p>
                        <w:pPr>
                          <w:spacing w:line="190" w:lineRule="exact" w:before="0"/>
                          <w:ind w:left="0" w:right="0" w:firstLine="0"/>
                          <w:jc w:val="left"/>
                          <w:rPr>
                            <w:sz w:val="18"/>
                          </w:rPr>
                        </w:pPr>
                        <w:r>
                          <w:rPr>
                            <w:sz w:val="18"/>
                          </w:rPr>
                          <w:t>STP</w:t>
                        </w:r>
                        <w:r>
                          <w:rPr>
                            <w:spacing w:val="-9"/>
                            <w:sz w:val="18"/>
                          </w:rPr>
                          <w:t> </w:t>
                        </w:r>
                        <w:r>
                          <w:rPr>
                            <w:sz w:val="18"/>
                          </w:rPr>
                          <w:t>=</w:t>
                        </w:r>
                        <w:r>
                          <w:rPr>
                            <w:spacing w:val="-6"/>
                            <w:sz w:val="18"/>
                          </w:rPr>
                          <w:t> </w:t>
                        </w:r>
                        <w:r>
                          <w:rPr>
                            <w:sz w:val="18"/>
                          </w:rPr>
                          <w:t>Functionalisttriangle</w:t>
                        </w:r>
                        <w:r>
                          <w:rPr>
                            <w:spacing w:val="-5"/>
                            <w:sz w:val="18"/>
                          </w:rPr>
                          <w:t> </w:t>
                        </w:r>
                        <w:r>
                          <w:rPr>
                            <w:sz w:val="18"/>
                          </w:rPr>
                          <w:t>more</w:t>
                        </w:r>
                        <w:r>
                          <w:rPr>
                            <w:spacing w:val="-9"/>
                            <w:sz w:val="18"/>
                          </w:rPr>
                          <w:t> </w:t>
                        </w:r>
                        <w:r>
                          <w:rPr>
                            <w:sz w:val="18"/>
                          </w:rPr>
                          <w:t>integration</w:t>
                        </w:r>
                        <w:r>
                          <w:rPr>
                            <w:spacing w:val="-4"/>
                            <w:sz w:val="18"/>
                          </w:rPr>
                          <w:t> </w:t>
                        </w:r>
                        <w:r>
                          <w:rPr>
                            <w:sz w:val="18"/>
                          </w:rPr>
                          <w:t>brings</w:t>
                        </w:r>
                        <w:r>
                          <w:rPr>
                            <w:spacing w:val="-6"/>
                            <w:sz w:val="18"/>
                          </w:rPr>
                          <w:t> </w:t>
                        </w:r>
                        <w:r>
                          <w:rPr>
                            <w:spacing w:val="-5"/>
                            <w:sz w:val="18"/>
                          </w:rPr>
                          <w:t>to</w:t>
                        </w:r>
                      </w:p>
                      <w:p>
                        <w:pPr>
                          <w:spacing w:line="362" w:lineRule="auto" w:before="118"/>
                          <w:ind w:left="0" w:right="31" w:firstLine="0"/>
                          <w:jc w:val="left"/>
                          <w:rPr>
                            <w:sz w:val="18"/>
                          </w:rPr>
                        </w:pPr>
                        <w:r>
                          <w:rPr>
                            <w:sz w:val="18"/>
                          </w:rPr>
                          <w:t>more technicality VS. Low level of Politics PSF=Federalist</w:t>
                        </w:r>
                        <w:r>
                          <w:rPr>
                            <w:spacing w:val="-9"/>
                            <w:sz w:val="18"/>
                          </w:rPr>
                          <w:t> </w:t>
                        </w:r>
                        <w:r>
                          <w:rPr>
                            <w:sz w:val="18"/>
                          </w:rPr>
                          <w:t>triangle,</w:t>
                        </w:r>
                        <w:r>
                          <w:rPr>
                            <w:spacing w:val="-8"/>
                            <w:sz w:val="18"/>
                          </w:rPr>
                          <w:t> </w:t>
                        </w:r>
                        <w:r>
                          <w:rPr>
                            <w:sz w:val="18"/>
                          </w:rPr>
                          <w:t>more</w:t>
                        </w:r>
                        <w:r>
                          <w:rPr>
                            <w:spacing w:val="-12"/>
                            <w:sz w:val="18"/>
                          </w:rPr>
                          <w:t> </w:t>
                        </w:r>
                        <w:r>
                          <w:rPr>
                            <w:sz w:val="18"/>
                          </w:rPr>
                          <w:t>political</w:t>
                        </w:r>
                        <w:r>
                          <w:rPr>
                            <w:spacing w:val="-9"/>
                            <w:sz w:val="18"/>
                          </w:rPr>
                          <w:t> </w:t>
                        </w:r>
                        <w:r>
                          <w:rPr>
                            <w:sz w:val="18"/>
                          </w:rPr>
                          <w:t>integration</w:t>
                        </w:r>
                        <w:r>
                          <w:rPr>
                            <w:spacing w:val="-8"/>
                            <w:sz w:val="18"/>
                          </w:rPr>
                          <w:t> </w:t>
                        </w:r>
                        <w:r>
                          <w:rPr>
                            <w:sz w:val="18"/>
                          </w:rPr>
                          <w:t>higher supranational level, low state level.</w:t>
                        </w:r>
                      </w:p>
                      <w:p>
                        <w:pPr>
                          <w:spacing w:line="360" w:lineRule="auto" w:before="0"/>
                          <w:ind w:left="0" w:right="0" w:firstLine="0"/>
                          <w:jc w:val="left"/>
                          <w:rPr>
                            <w:sz w:val="18"/>
                          </w:rPr>
                        </w:pPr>
                        <w:r>
                          <w:rPr>
                            <w:sz w:val="18"/>
                          </w:rPr>
                          <w:t>PTF=Neo-functionalist</w:t>
                        </w:r>
                        <w:r>
                          <w:rPr>
                            <w:spacing w:val="-2"/>
                            <w:sz w:val="18"/>
                          </w:rPr>
                          <w:t> </w:t>
                        </w:r>
                        <w:r>
                          <w:rPr>
                            <w:sz w:val="18"/>
                          </w:rPr>
                          <w:t>Triangle, where</w:t>
                        </w:r>
                        <w:r>
                          <w:rPr>
                            <w:spacing w:val="-7"/>
                            <w:sz w:val="18"/>
                          </w:rPr>
                          <w:t> </w:t>
                        </w:r>
                        <w:r>
                          <w:rPr>
                            <w:sz w:val="18"/>
                          </w:rPr>
                          <w:t>political will</w:t>
                        </w:r>
                        <w:r>
                          <w:rPr>
                            <w:spacing w:val="-4"/>
                            <w:sz w:val="18"/>
                          </w:rPr>
                          <w:t> </w:t>
                        </w:r>
                        <w:r>
                          <w:rPr>
                            <w:sz w:val="18"/>
                          </w:rPr>
                          <w:t>and functional</w:t>
                        </w:r>
                        <w:r>
                          <w:rPr>
                            <w:spacing w:val="-6"/>
                            <w:sz w:val="18"/>
                          </w:rPr>
                          <w:t> </w:t>
                        </w:r>
                        <w:r>
                          <w:rPr>
                            <w:sz w:val="18"/>
                          </w:rPr>
                          <w:t>(technical)</w:t>
                        </w:r>
                        <w:r>
                          <w:rPr>
                            <w:spacing w:val="-7"/>
                            <w:sz w:val="18"/>
                          </w:rPr>
                          <w:t> </w:t>
                        </w:r>
                        <w:r>
                          <w:rPr>
                            <w:sz w:val="18"/>
                          </w:rPr>
                          <w:t>integration</w:t>
                        </w:r>
                        <w:r>
                          <w:rPr>
                            <w:spacing w:val="-3"/>
                            <w:sz w:val="18"/>
                          </w:rPr>
                          <w:t> </w:t>
                        </w:r>
                        <w:r>
                          <w:rPr>
                            <w:sz w:val="18"/>
                          </w:rPr>
                          <w:t>bring</w:t>
                        </w:r>
                        <w:r>
                          <w:rPr>
                            <w:spacing w:val="-11"/>
                            <w:sz w:val="18"/>
                          </w:rPr>
                          <w:t> </w:t>
                        </w:r>
                        <w:r>
                          <w:rPr>
                            <w:sz w:val="18"/>
                          </w:rPr>
                          <w:t>to</w:t>
                        </w:r>
                        <w:r>
                          <w:rPr>
                            <w:spacing w:val="-2"/>
                            <w:sz w:val="18"/>
                          </w:rPr>
                          <w:t> </w:t>
                        </w:r>
                        <w:r>
                          <w:rPr>
                            <w:sz w:val="18"/>
                          </w:rPr>
                          <w:t>gradual</w:t>
                        </w:r>
                        <w:r>
                          <w:rPr>
                            <w:spacing w:val="-5"/>
                            <w:sz w:val="18"/>
                          </w:rPr>
                          <w:t> </w:t>
                        </w:r>
                        <w:r>
                          <w:rPr>
                            <w:spacing w:val="-2"/>
                            <w:sz w:val="18"/>
                          </w:rPr>
                          <w:t>federal</w:t>
                        </w:r>
                      </w:p>
                      <w:p>
                        <w:pPr>
                          <w:spacing w:line="233" w:lineRule="exact" w:before="1"/>
                          <w:ind w:left="0" w:right="0" w:firstLine="0"/>
                          <w:jc w:val="left"/>
                          <w:rPr>
                            <w:sz w:val="18"/>
                          </w:rPr>
                        </w:pPr>
                        <w:r>
                          <w:rPr>
                            <w:spacing w:val="-2"/>
                            <w:sz w:val="18"/>
                          </w:rPr>
                          <w:t>state.</w:t>
                        </w:r>
                      </w:p>
                    </w:txbxContent>
                  </v:textbox>
                  <w10:wrap type="none"/>
                </v:shape>
                <w10:wrap type="none"/>
              </v:group>
            </w:pict>
          </mc:Fallback>
        </mc:AlternateContent>
      </w:r>
      <w:r>
        <w:rPr/>
        <w:t>In the middle of the 20</w:t>
      </w:r>
      <w:r>
        <w:rPr>
          <w:position w:val="7"/>
          <w:sz w:val="15"/>
        </w:rPr>
        <w:t>th</w:t>
      </w:r>
      <w:r>
        <w:rPr>
          <w:spacing w:val="40"/>
          <w:position w:val="7"/>
          <w:sz w:val="15"/>
        </w:rPr>
        <w:t> </w:t>
      </w:r>
      <w:r>
        <w:rPr/>
        <w:t>century there were two directions for the communitarian integration: a political - purposed by the federalists, and technical, or functionalist one - introduced by </w:t>
      </w:r>
      <w:r>
        <w:rPr>
          <w:sz w:val="27"/>
        </w:rPr>
        <w:t>Mitrany</w:t>
      </w:r>
      <w:r>
        <w:rPr/>
        <w:t>. The Real path of the European Integration took place in the center of these two. The ECSC was a functionalist project, which should have gradually brought the community to federation.</w:t>
      </w:r>
      <w:r>
        <w:rPr>
          <w:position w:val="7"/>
          <w:sz w:val="15"/>
        </w:rPr>
        <w:t>13</w:t>
      </w:r>
      <w:r>
        <w:rPr>
          <w:spacing w:val="40"/>
          <w:position w:val="7"/>
          <w:sz w:val="15"/>
        </w:rPr>
        <w:t> </w:t>
      </w:r>
      <w:r>
        <w:rPr/>
        <w:t>The integration was predetermined to serve a creation of an ultimate political</w:t>
      </w:r>
      <w:r>
        <w:rPr>
          <w:spacing w:val="-1"/>
        </w:rPr>
        <w:t> </w:t>
      </w:r>
      <w:r>
        <w:rPr/>
        <w:t>super-state; this conception clearly opposed </w:t>
      </w:r>
      <w:r>
        <w:rPr>
          <w:sz w:val="27"/>
        </w:rPr>
        <w:t>Mitrany</w:t>
      </w:r>
      <w:r>
        <w:rPr/>
        <w:t>’s way of integration where more integration brings to lesser politics. </w:t>
      </w:r>
      <w:r>
        <w:rPr>
          <w:sz w:val="27"/>
        </w:rPr>
        <w:t>Schumann</w:t>
      </w:r>
      <w:r>
        <w:rPr/>
        <w:t>’s declaration was not in accordance with hard line of federalists as well, because they were against gradualism; they wanted to draft</w:t>
      </w:r>
      <w:r>
        <w:rPr>
          <w:spacing w:val="-1"/>
        </w:rPr>
        <w:t> </w:t>
      </w:r>
      <w:r>
        <w:rPr/>
        <w:t>constitution at</w:t>
      </w:r>
      <w:r>
        <w:rPr>
          <w:spacing w:val="-1"/>
        </w:rPr>
        <w:t> </w:t>
      </w:r>
      <w:r>
        <w:rPr/>
        <w:t>once</w:t>
      </w:r>
      <w:r>
        <w:rPr>
          <w:spacing w:val="-1"/>
        </w:rPr>
        <w:t> </w:t>
      </w:r>
      <w:r>
        <w:rPr/>
        <w:t>and have</w:t>
      </w:r>
      <w:r>
        <w:rPr>
          <w:spacing w:val="-1"/>
        </w:rPr>
        <w:t> </w:t>
      </w:r>
      <w:r>
        <w:rPr/>
        <w:t>fully functional</w:t>
      </w:r>
      <w:r>
        <w:rPr>
          <w:spacing w:val="-3"/>
        </w:rPr>
        <w:t> </w:t>
      </w:r>
      <w:r>
        <w:rPr/>
        <w:t>federate</w:t>
      </w:r>
      <w:r>
        <w:rPr>
          <w:spacing w:val="-1"/>
        </w:rPr>
        <w:t> </w:t>
      </w:r>
      <w:r>
        <w:rPr/>
        <w:t>state</w:t>
      </w:r>
      <w:r>
        <w:rPr>
          <w:spacing w:val="-1"/>
        </w:rPr>
        <w:t> </w:t>
      </w:r>
      <w:r>
        <w:rPr/>
        <w:t>of Europe. The third way is often called a </w:t>
      </w:r>
      <w:r>
        <w:rPr>
          <w:sz w:val="27"/>
        </w:rPr>
        <w:t>Monnet</w:t>
      </w:r>
      <w:r>
        <w:rPr/>
        <w:t>’s way. The </w:t>
      </w:r>
      <w:r>
        <w:rPr>
          <w:sz w:val="27"/>
        </w:rPr>
        <w:t>Monnet method </w:t>
      </w:r>
      <w:r>
        <w:rPr/>
        <w:t>of integration focused on the gradual integration from technical level of bureaucracy to the political unity. This path was comprehensively</w:t>
      </w:r>
      <w:r>
        <w:rPr>
          <w:spacing w:val="80"/>
        </w:rPr>
        <w:t> </w:t>
      </w:r>
      <w:r>
        <w:rPr/>
        <w:t>described by the early neo-functionalism.</w:t>
      </w:r>
    </w:p>
    <w:p>
      <w:pPr>
        <w:pStyle w:val="BodyText"/>
        <w:spacing w:before="38"/>
        <w:ind w:left="0"/>
        <w:jc w:val="left"/>
        <w:rPr>
          <w:sz w:val="20"/>
        </w:rPr>
      </w:pPr>
      <w:r>
        <w:rPr>
          <w:sz w:val="20"/>
        </w:rPr>
        <w:drawing>
          <wp:anchor distT="0" distB="0" distL="0" distR="0" allowOverlap="1" layoutInCell="1" locked="0" behindDoc="1" simplePos="0" relativeHeight="487614976">
            <wp:simplePos x="0" y="0"/>
            <wp:positionH relativeFrom="page">
              <wp:posOffset>1086485</wp:posOffset>
            </wp:positionH>
            <wp:positionV relativeFrom="paragraph">
              <wp:posOffset>206808</wp:posOffset>
            </wp:positionV>
            <wp:extent cx="2300771" cy="1879663"/>
            <wp:effectExtent l="0" t="0" r="0" b="0"/>
            <wp:wrapTopAndBottom/>
            <wp:docPr id="70" name="Image 70"/>
            <wp:cNvGraphicFramePr>
              <a:graphicFrameLocks/>
            </wp:cNvGraphicFramePr>
            <a:graphic>
              <a:graphicData uri="http://schemas.openxmlformats.org/drawingml/2006/picture">
                <pic:pic>
                  <pic:nvPicPr>
                    <pic:cNvPr id="70" name="Image 70"/>
                    <pic:cNvPicPr/>
                  </pic:nvPicPr>
                  <pic:blipFill>
                    <a:blip r:embed="rId22" cstate="print"/>
                    <a:stretch>
                      <a:fillRect/>
                    </a:stretch>
                  </pic:blipFill>
                  <pic:spPr>
                    <a:xfrm>
                      <a:off x="0" y="0"/>
                      <a:ext cx="2300771" cy="1879663"/>
                    </a:xfrm>
                    <a:prstGeom prst="rect">
                      <a:avLst/>
                    </a:prstGeom>
                  </pic:spPr>
                </pic:pic>
              </a:graphicData>
            </a:graphic>
          </wp:anchor>
        </w:drawing>
      </w:r>
    </w:p>
    <w:p>
      <w:pPr>
        <w:spacing w:before="180"/>
        <w:ind w:left="1109" w:right="0" w:firstLine="0"/>
        <w:jc w:val="left"/>
        <w:rPr>
          <w:rFonts w:ascii="Calibri"/>
          <w:b/>
          <w:sz w:val="18"/>
        </w:rPr>
      </w:pPr>
      <w:r>
        <w:rPr>
          <w:rFonts w:ascii="Calibri"/>
          <w:b/>
          <w:color w:val="4F81BC"/>
          <w:sz w:val="18"/>
        </w:rPr>
        <w:t>Figure 3.</w:t>
      </w:r>
      <w:r>
        <w:rPr>
          <w:rFonts w:ascii="Calibri"/>
          <w:b/>
          <w:color w:val="4F81BC"/>
          <w:spacing w:val="-6"/>
          <w:sz w:val="18"/>
        </w:rPr>
        <w:t> </w:t>
      </w:r>
      <w:r>
        <w:rPr>
          <w:rFonts w:ascii="Calibri"/>
          <w:b/>
          <w:color w:val="4F81BC"/>
          <w:sz w:val="18"/>
        </w:rPr>
        <w:t>Methods</w:t>
      </w:r>
      <w:r>
        <w:rPr>
          <w:rFonts w:ascii="Calibri"/>
          <w:b/>
          <w:color w:val="4F81BC"/>
          <w:spacing w:val="-1"/>
          <w:sz w:val="18"/>
        </w:rPr>
        <w:t> </w:t>
      </w:r>
      <w:r>
        <w:rPr>
          <w:rFonts w:ascii="Calibri"/>
          <w:b/>
          <w:color w:val="4F81BC"/>
          <w:sz w:val="18"/>
        </w:rPr>
        <w:t>of</w:t>
      </w:r>
      <w:r>
        <w:rPr>
          <w:rFonts w:ascii="Calibri"/>
          <w:b/>
          <w:color w:val="4F81BC"/>
          <w:spacing w:val="-4"/>
          <w:sz w:val="18"/>
        </w:rPr>
        <w:t> </w:t>
      </w:r>
      <w:r>
        <w:rPr>
          <w:rFonts w:ascii="Calibri"/>
          <w:b/>
          <w:color w:val="4F81BC"/>
          <w:spacing w:val="-2"/>
          <w:sz w:val="18"/>
        </w:rPr>
        <w:t>Integration</w:t>
      </w:r>
    </w:p>
    <w:p>
      <w:pPr>
        <w:pStyle w:val="BodyText"/>
        <w:spacing w:line="276" w:lineRule="auto" w:before="247"/>
        <w:ind w:right="1909" w:firstLine="720"/>
        <w:jc w:val="left"/>
      </w:pPr>
      <w:r>
        <w:rPr/>
        <w:t>Generally,</w:t>
      </w:r>
      <w:r>
        <w:rPr>
          <w:spacing w:val="31"/>
        </w:rPr>
        <w:t> </w:t>
      </w:r>
      <w:r>
        <w:rPr/>
        <w:t>some</w:t>
      </w:r>
      <w:r>
        <w:rPr>
          <w:spacing w:val="30"/>
        </w:rPr>
        <w:t> </w:t>
      </w:r>
      <w:r>
        <w:rPr/>
        <w:t>theories see</w:t>
      </w:r>
      <w:r>
        <w:rPr>
          <w:spacing w:val="30"/>
        </w:rPr>
        <w:t> </w:t>
      </w:r>
      <w:r>
        <w:rPr/>
        <w:t>the</w:t>
      </w:r>
      <w:r>
        <w:rPr>
          <w:spacing w:val="30"/>
        </w:rPr>
        <w:t> </w:t>
      </w:r>
      <w:r>
        <w:rPr/>
        <w:t>process of</w:t>
      </w:r>
      <w:r>
        <w:rPr>
          <w:spacing w:val="33"/>
        </w:rPr>
        <w:t> </w:t>
      </w:r>
      <w:r>
        <w:rPr/>
        <w:t>integration</w:t>
      </w:r>
      <w:r>
        <w:rPr>
          <w:spacing w:val="31"/>
        </w:rPr>
        <w:t> </w:t>
      </w:r>
      <w:r>
        <w:rPr/>
        <w:t>itself as the most</w:t>
      </w:r>
      <w:r>
        <w:rPr>
          <w:spacing w:val="2"/>
        </w:rPr>
        <w:t> </w:t>
      </w:r>
      <w:r>
        <w:rPr/>
        <w:t>important</w:t>
      </w:r>
      <w:r>
        <w:rPr>
          <w:spacing w:val="-2"/>
        </w:rPr>
        <w:t> </w:t>
      </w:r>
      <w:r>
        <w:rPr/>
        <w:t>domain</w:t>
      </w:r>
      <w:r>
        <w:rPr>
          <w:spacing w:val="4"/>
        </w:rPr>
        <w:t> </w:t>
      </w:r>
      <w:r>
        <w:rPr/>
        <w:t>of</w:t>
      </w:r>
      <w:r>
        <w:rPr>
          <w:spacing w:val="1"/>
        </w:rPr>
        <w:t> </w:t>
      </w:r>
      <w:r>
        <w:rPr/>
        <w:t>study, while</w:t>
      </w:r>
      <w:r>
        <w:rPr>
          <w:spacing w:val="-1"/>
        </w:rPr>
        <w:t> </w:t>
      </w:r>
      <w:r>
        <w:rPr/>
        <w:t>others</w:t>
      </w:r>
      <w:r>
        <w:rPr>
          <w:spacing w:val="-4"/>
        </w:rPr>
        <w:t> </w:t>
      </w:r>
      <w:r>
        <w:rPr/>
        <w:t>focus on the</w:t>
      </w:r>
      <w:r>
        <w:rPr>
          <w:spacing w:val="-2"/>
        </w:rPr>
        <w:t> </w:t>
      </w:r>
      <w:r>
        <w:rPr/>
        <w:t>outcomes of</w:t>
      </w:r>
      <w:r>
        <w:rPr>
          <w:spacing w:val="-2"/>
        </w:rPr>
        <w:t> </w:t>
      </w:r>
      <w:r>
        <w:rPr>
          <w:spacing w:val="-5"/>
        </w:rPr>
        <w:t>the</w:t>
      </w:r>
    </w:p>
    <w:p>
      <w:pPr>
        <w:pStyle w:val="BodyText"/>
        <w:ind w:left="0"/>
        <w:jc w:val="left"/>
        <w:rPr>
          <w:sz w:val="20"/>
        </w:rPr>
      </w:pPr>
    </w:p>
    <w:p>
      <w:pPr>
        <w:pStyle w:val="BodyText"/>
        <w:spacing w:before="138"/>
        <w:ind w:left="0"/>
        <w:jc w:val="left"/>
        <w:rPr>
          <w:sz w:val="20"/>
        </w:rPr>
      </w:pPr>
      <w:r>
        <w:rPr>
          <w:sz w:val="20"/>
        </w:rPr>
        <mc:AlternateContent>
          <mc:Choice Requires="wps">
            <w:drawing>
              <wp:anchor distT="0" distB="0" distL="0" distR="0" allowOverlap="1" layoutInCell="1" locked="0" behindDoc="1" simplePos="0" relativeHeight="487615488">
                <wp:simplePos x="0" y="0"/>
                <wp:positionH relativeFrom="page">
                  <wp:posOffset>1079296</wp:posOffset>
                </wp:positionH>
                <wp:positionV relativeFrom="paragraph">
                  <wp:posOffset>270568</wp:posOffset>
                </wp:positionV>
                <wp:extent cx="1830070" cy="9525"/>
                <wp:effectExtent l="0" t="0" r="0" b="0"/>
                <wp:wrapTopAndBottom/>
                <wp:docPr id="71" name="Graphic 71"/>
                <wp:cNvGraphicFramePr>
                  <a:graphicFrameLocks/>
                </wp:cNvGraphicFramePr>
                <a:graphic>
                  <a:graphicData uri="http://schemas.microsoft.com/office/word/2010/wordprocessingShape">
                    <wps:wsp>
                      <wps:cNvPr id="71" name="Graphic 71"/>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21.304609pt;width:144.07pt;height:.71997pt;mso-position-horizontal-relative:page;mso-position-vertical-relative:paragraph;z-index:-15700992;mso-wrap-distance-left:0;mso-wrap-distance-right:0" id="docshape66" filled="true" fillcolor="#000000" stroked="false">
                <v:fill type="solid"/>
                <w10:wrap type="topAndBottom"/>
              </v:rect>
            </w:pict>
          </mc:Fallback>
        </mc:AlternateContent>
      </w:r>
    </w:p>
    <w:p>
      <w:pPr>
        <w:spacing w:line="235" w:lineRule="auto" w:before="106"/>
        <w:ind w:left="979" w:right="1909" w:firstLine="0"/>
        <w:jc w:val="left"/>
        <w:rPr>
          <w:rFonts w:ascii="Times New Roman"/>
          <w:sz w:val="22"/>
        </w:rPr>
      </w:pPr>
      <w:r>
        <w:rPr>
          <w:rFonts w:ascii="Calibri"/>
          <w:sz w:val="22"/>
          <w:vertAlign w:val="superscript"/>
        </w:rPr>
        <w:t>13</w:t>
      </w:r>
      <w:r>
        <w:rPr>
          <w:rFonts w:ascii="Calibri"/>
          <w:sz w:val="22"/>
          <w:vertAlign w:val="baseline"/>
        </w:rPr>
        <w:t> </w:t>
      </w:r>
      <w:r>
        <w:rPr>
          <w:rFonts w:ascii="Times New Roman"/>
          <w:sz w:val="22"/>
          <w:vertAlign w:val="baseline"/>
        </w:rPr>
        <w:t>Robert Schumann in his declaration clarified that the aim of the newborn organization was to bring the Europe to federation.</w:t>
      </w:r>
    </w:p>
    <w:p>
      <w:pPr>
        <w:spacing w:after="0" w:line="235" w:lineRule="auto"/>
        <w:jc w:val="left"/>
        <w:rPr>
          <w:rFonts w:ascii="Times New Roman"/>
          <w:sz w:val="22"/>
        </w:rPr>
        <w:sectPr>
          <w:pgSz w:w="12240" w:h="15840"/>
          <w:pgMar w:header="1046" w:footer="0" w:top="1360" w:bottom="280" w:left="720" w:right="360"/>
        </w:sectPr>
      </w:pPr>
    </w:p>
    <w:p>
      <w:pPr>
        <w:pStyle w:val="BodyText"/>
        <w:spacing w:line="276" w:lineRule="auto" w:before="276"/>
        <w:ind w:right="1909"/>
      </w:pPr>
      <w:r>
        <w:rPr/>
        <w:t>process. Both grand theories, Liberal Intergovernmentalism and Neo Functionalism are process centric.</w:t>
      </w:r>
    </w:p>
    <w:p>
      <w:pPr>
        <w:pStyle w:val="BodyText"/>
        <w:spacing w:line="273" w:lineRule="auto"/>
        <w:ind w:right="1903" w:firstLine="720"/>
      </w:pPr>
      <w:r>
        <w:rPr>
          <w:sz w:val="27"/>
        </w:rPr>
        <w:t>Diez </w:t>
      </w:r>
      <w:r>
        <w:rPr/>
        <w:t>and </w:t>
      </w:r>
      <w:r>
        <w:rPr>
          <w:sz w:val="27"/>
        </w:rPr>
        <w:t>Wiener </w:t>
      </w:r>
      <w:r>
        <w:rPr/>
        <w:t>proposed an interesting timeline, explaining the developments in the field of European Integration; three main phases include theories according to their approach to the processes. The </w:t>
      </w:r>
      <w:r>
        <w:rPr>
          <w:sz w:val="27"/>
        </w:rPr>
        <w:t>first </w:t>
      </w:r>
      <w:r>
        <w:rPr/>
        <w:t>phase is</w:t>
      </w:r>
      <w:r>
        <w:rPr>
          <w:spacing w:val="-2"/>
        </w:rPr>
        <w:t> </w:t>
      </w:r>
      <w:r>
        <w:rPr/>
        <w:t>an ‘explanatory one’ - 1960s onwards. It answers</w:t>
      </w:r>
      <w:r>
        <w:rPr>
          <w:spacing w:val="-2"/>
        </w:rPr>
        <w:t> </w:t>
      </w:r>
      <w:r>
        <w:rPr/>
        <w:t>the questions</w:t>
      </w:r>
      <w:r>
        <w:rPr>
          <w:spacing w:val="-2"/>
        </w:rPr>
        <w:t> </w:t>
      </w:r>
      <w:r>
        <w:rPr/>
        <w:t>why does European Integration take place? How can integration outcomes be explained? These questions were mainly posed by the theories like: liberalism, realism and neo liberalism. The </w:t>
      </w:r>
      <w:r>
        <w:rPr>
          <w:sz w:val="27"/>
        </w:rPr>
        <w:t>second </w:t>
      </w:r>
      <w:r>
        <w:rPr/>
        <w:t>phase, which analyzed the governance took place 1980s and onwards. The aim was to grasp the problems of governance and to explain the system of the union. The phase presented main regulations, policies and their effects on the community. Theories from this phase include Governance approaches, comparative politics and Policy analysis. The </w:t>
      </w:r>
      <w:r>
        <w:rPr>
          <w:sz w:val="27"/>
        </w:rPr>
        <w:t>third </w:t>
      </w:r>
      <w:r>
        <w:rPr/>
        <w:t>phase, constructing the EU – 1990s onwards grasps conceptual questions on integration. This set put forward the problems and consequences of the process of Europeanization. The approaches covering the phase are: Social Constructivism, Post- structuralism, International Political Economy, Normative Political Theory and Gender studies (</w:t>
      </w:r>
      <w:hyperlink w:history="true" w:anchor="_bookmark432">
        <w:r>
          <w:rPr/>
          <w:t>A. Wiener &amp; Diez, 2009, p. 7</w:t>
        </w:r>
      </w:hyperlink>
      <w:r>
        <w:rPr/>
        <w:t>).</w:t>
      </w:r>
    </w:p>
    <w:p>
      <w:pPr>
        <w:pStyle w:val="BodyText"/>
        <w:ind w:left="0"/>
        <w:jc w:val="left"/>
      </w:pPr>
    </w:p>
    <w:p>
      <w:pPr>
        <w:pStyle w:val="BodyText"/>
        <w:ind w:left="0"/>
        <w:jc w:val="left"/>
      </w:pPr>
    </w:p>
    <w:p>
      <w:pPr>
        <w:pStyle w:val="BodyText"/>
        <w:spacing w:before="220"/>
        <w:ind w:left="0"/>
        <w:jc w:val="left"/>
      </w:pPr>
    </w:p>
    <w:p>
      <w:pPr>
        <w:pStyle w:val="Heading4"/>
        <w:numPr>
          <w:ilvl w:val="1"/>
          <w:numId w:val="4"/>
        </w:numPr>
        <w:tabs>
          <w:tab w:pos="1577" w:val="left" w:leader="none"/>
        </w:tabs>
        <w:spacing w:line="240" w:lineRule="auto" w:before="1" w:after="0"/>
        <w:ind w:left="1577" w:right="0" w:hanging="598"/>
        <w:jc w:val="left"/>
      </w:pPr>
      <w:bookmarkStart w:name="_bookmark16" w:id="17"/>
      <w:bookmarkEnd w:id="17"/>
      <w:r>
        <w:rPr>
          <w:b w:val="0"/>
        </w:rPr>
      </w:r>
      <w:r>
        <w:rPr>
          <w:spacing w:val="-9"/>
        </w:rPr>
        <w:t>Neo-</w:t>
      </w:r>
      <w:r>
        <w:rPr>
          <w:spacing w:val="-2"/>
        </w:rPr>
        <w:t>Functionalism</w:t>
      </w:r>
    </w:p>
    <w:p>
      <w:pPr>
        <w:pStyle w:val="BodyText"/>
        <w:spacing w:before="112"/>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16512">
                <wp:simplePos x="0" y="0"/>
                <wp:positionH relativeFrom="page">
                  <wp:posOffset>1078864</wp:posOffset>
                </wp:positionH>
                <wp:positionV relativeFrom="paragraph">
                  <wp:posOffset>230794</wp:posOffset>
                </wp:positionV>
                <wp:extent cx="5252085" cy="52069"/>
                <wp:effectExtent l="0" t="0" r="0" b="0"/>
                <wp:wrapTopAndBottom/>
                <wp:docPr id="72" name="Graphic 72"/>
                <wp:cNvGraphicFramePr>
                  <a:graphicFrameLocks/>
                </wp:cNvGraphicFramePr>
                <a:graphic>
                  <a:graphicData uri="http://schemas.microsoft.com/office/word/2010/wordprocessingShape">
                    <wps:wsp>
                      <wps:cNvPr id="72" name="Graphic 72"/>
                      <wps:cNvSpPr/>
                      <wps:spPr>
                        <a:xfrm>
                          <a:off x="0" y="0"/>
                          <a:ext cx="5252085" cy="52069"/>
                        </a:xfrm>
                        <a:custGeom>
                          <a:avLst/>
                          <a:gdLst/>
                          <a:ahLst/>
                          <a:cxnLst/>
                          <a:rect l="l" t="t" r="r" b="b"/>
                          <a:pathLst>
                            <a:path w="5252085" h="52069">
                              <a:moveTo>
                                <a:pt x="5252085" y="0"/>
                              </a:moveTo>
                              <a:lnTo>
                                <a:pt x="0" y="0"/>
                              </a:lnTo>
                              <a:lnTo>
                                <a:pt x="0" y="52069"/>
                              </a:lnTo>
                              <a:lnTo>
                                <a:pt x="5252085" y="52069"/>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8.172773pt;width:413.55pt;height:4.1pt;mso-position-horizontal-relative:page;mso-position-vertical-relative:paragraph;z-index:-15699968;mso-wrap-distance-left:0;mso-wrap-distance-right:0" id="docshape67" filled="true" fillcolor="#000000" stroked="false">
                <v:fill type="solid"/>
                <w10:wrap type="topAndBottom"/>
              </v:rect>
            </w:pict>
          </mc:Fallback>
        </mc:AlternateContent>
      </w:r>
    </w:p>
    <w:p>
      <w:pPr>
        <w:pStyle w:val="BodyText"/>
        <w:spacing w:before="290"/>
        <w:ind w:left="0"/>
        <w:jc w:val="left"/>
        <w:rPr>
          <w:rFonts w:ascii="Georgia"/>
          <w:b/>
        </w:rPr>
      </w:pPr>
    </w:p>
    <w:p>
      <w:pPr>
        <w:pStyle w:val="BodyText"/>
        <w:spacing w:line="273" w:lineRule="auto" w:before="1"/>
        <w:ind w:right="1902" w:firstLine="720"/>
      </w:pPr>
      <w:r>
        <w:rPr/>
        <w:t>“I grew under a system of an extraordinarily powerful state that victimized me, so my idea was how in the future, do</w:t>
      </w:r>
      <w:r>
        <w:rPr>
          <w:spacing w:val="-4"/>
        </w:rPr>
        <w:t> </w:t>
      </w:r>
      <w:r>
        <w:rPr/>
        <w:t>we get rid of the states of that kind,” (</w:t>
      </w:r>
      <w:hyperlink w:history="true" w:anchor="_bookmark231">
        <w:r>
          <w:rPr/>
          <w:t>"Interview with</w:t>
        </w:r>
        <w:r>
          <w:rPr>
            <w:spacing w:val="40"/>
          </w:rPr>
          <w:t> </w:t>
        </w:r>
        <w:r>
          <w:rPr/>
          <w:t>Ernst Haas," 2002</w:t>
        </w:r>
      </w:hyperlink>
      <w:r>
        <w:rPr/>
        <w:t>) – says </w:t>
      </w:r>
      <w:r>
        <w:rPr>
          <w:sz w:val="27"/>
        </w:rPr>
        <w:t>Ernst Haas </w:t>
      </w:r>
      <w:r>
        <w:rPr/>
        <w:t>while remembering his first steps in the political science. The problem of depreciation of the state as the welfare and security provider to the citizens was</w:t>
      </w:r>
      <w:r>
        <w:rPr>
          <w:spacing w:val="24"/>
        </w:rPr>
        <w:t> </w:t>
      </w:r>
      <w:r>
        <w:rPr/>
        <w:t>the</w:t>
      </w:r>
      <w:r>
        <w:rPr>
          <w:spacing w:val="28"/>
        </w:rPr>
        <w:t> </w:t>
      </w:r>
      <w:r>
        <w:rPr/>
        <w:t>main</w:t>
      </w:r>
      <w:r>
        <w:rPr>
          <w:spacing w:val="30"/>
        </w:rPr>
        <w:t> </w:t>
      </w:r>
      <w:r>
        <w:rPr/>
        <w:t>issue</w:t>
      </w:r>
      <w:r>
        <w:rPr>
          <w:spacing w:val="28"/>
        </w:rPr>
        <w:t> </w:t>
      </w:r>
      <w:r>
        <w:rPr/>
        <w:t>addressed</w:t>
      </w:r>
      <w:r>
        <w:rPr>
          <w:spacing w:val="28"/>
        </w:rPr>
        <w:t> </w:t>
      </w:r>
      <w:r>
        <w:rPr/>
        <w:t>by</w:t>
      </w:r>
      <w:r>
        <w:rPr>
          <w:spacing w:val="27"/>
        </w:rPr>
        <w:t> </w:t>
      </w:r>
      <w:r>
        <w:rPr/>
        <w:t>the</w:t>
      </w:r>
      <w:r>
        <w:rPr>
          <w:spacing w:val="27"/>
        </w:rPr>
        <w:t> </w:t>
      </w:r>
      <w:r>
        <w:rPr/>
        <w:t>early</w:t>
      </w:r>
      <w:r>
        <w:rPr>
          <w:spacing w:val="27"/>
        </w:rPr>
        <w:t> </w:t>
      </w:r>
      <w:r>
        <w:rPr/>
        <w:t>functionalist</w:t>
      </w:r>
      <w:r>
        <w:rPr>
          <w:spacing w:val="28"/>
        </w:rPr>
        <w:t> </w:t>
      </w:r>
      <w:r>
        <w:rPr/>
        <w:t>works.</w:t>
      </w:r>
      <w:r>
        <w:rPr>
          <w:spacing w:val="28"/>
        </w:rPr>
        <w:t> </w:t>
      </w:r>
      <w:r>
        <w:rPr/>
        <w:t>The</w:t>
      </w:r>
      <w:r>
        <w:rPr>
          <w:spacing w:val="28"/>
        </w:rPr>
        <w:t> </w:t>
      </w:r>
      <w:r>
        <w:rPr>
          <w:spacing w:val="-2"/>
        </w:rPr>
        <w:t>state-</w:t>
      </w:r>
    </w:p>
    <w:p>
      <w:pPr>
        <w:pStyle w:val="BodyText"/>
        <w:spacing w:after="0" w:line="273" w:lineRule="auto"/>
        <w:sectPr>
          <w:pgSz w:w="12240" w:h="15840"/>
          <w:pgMar w:header="1046" w:footer="0" w:top="1360" w:bottom="280" w:left="720" w:right="360"/>
        </w:sectPr>
      </w:pPr>
    </w:p>
    <w:p>
      <w:pPr>
        <w:pStyle w:val="BodyText"/>
        <w:spacing w:line="271" w:lineRule="auto" w:before="276"/>
        <w:ind w:right="1809"/>
      </w:pPr>
      <w:r>
        <w:rPr/>
        <w:t>critical ideas dominated among the Neo-functionalist (NF) scholars as well. Haas shared </w:t>
      </w:r>
      <w:r>
        <w:rPr>
          <w:sz w:val="27"/>
        </w:rPr>
        <w:t>Mitrany</w:t>
      </w:r>
      <w:r>
        <w:rPr/>
        <w:t>’s idea that “post-national institution building would/should premised upon a technocratic engagement with human welfare needs.” (</w:t>
      </w:r>
      <w:hyperlink w:history="true" w:anchor="_bookmark356">
        <w:r>
          <w:rPr/>
          <w:t>Rosamond, 2005, p. 5</w:t>
        </w:r>
      </w:hyperlink>
      <w:r>
        <w:rPr/>
        <w:t>) Importance of distinguishing of </w:t>
      </w:r>
      <w:r>
        <w:rPr>
          <w:sz w:val="27"/>
        </w:rPr>
        <w:t>high </w:t>
      </w:r>
      <w:r>
        <w:rPr/>
        <w:t>and </w:t>
      </w:r>
      <w:r>
        <w:rPr>
          <w:sz w:val="27"/>
        </w:rPr>
        <w:t>low politics </w:t>
      </w:r>
      <w:r>
        <w:rPr/>
        <w:t>can be observed in old and neo-functionalist theories, both made a statement that “over time progress in low politics would produce fundamental political consequences.” (</w:t>
      </w:r>
      <w:hyperlink w:history="true" w:anchor="_bookmark193">
        <w:r>
          <w:rPr/>
          <w:t>Gehring, 1996, p. 228</w:t>
        </w:r>
      </w:hyperlink>
      <w:r>
        <w:rPr/>
        <w:t>) Nevertheless, shift</w:t>
      </w:r>
      <w:r>
        <w:rPr>
          <w:spacing w:val="16"/>
        </w:rPr>
        <w:t> </w:t>
      </w:r>
      <w:r>
        <w:rPr/>
        <w:t>of</w:t>
      </w:r>
      <w:r>
        <w:rPr>
          <w:spacing w:val="16"/>
        </w:rPr>
        <w:t> </w:t>
      </w:r>
      <w:r>
        <w:rPr/>
        <w:t>neo-functionalism</w:t>
      </w:r>
      <w:r>
        <w:rPr>
          <w:spacing w:val="15"/>
        </w:rPr>
        <w:t> </w:t>
      </w:r>
      <w:r>
        <w:rPr/>
        <w:t>from</w:t>
      </w:r>
      <w:r>
        <w:rPr>
          <w:spacing w:val="20"/>
        </w:rPr>
        <w:t> </w:t>
      </w:r>
      <w:r>
        <w:rPr/>
        <w:t>its</w:t>
      </w:r>
      <w:r>
        <w:rPr>
          <w:spacing w:val="15"/>
        </w:rPr>
        <w:t> </w:t>
      </w:r>
      <w:r>
        <w:rPr/>
        <w:t>predecessor</w:t>
      </w:r>
      <w:r>
        <w:rPr>
          <w:spacing w:val="18"/>
        </w:rPr>
        <w:t> </w:t>
      </w:r>
      <w:r>
        <w:rPr/>
        <w:t>is</w:t>
      </w:r>
      <w:r>
        <w:rPr>
          <w:spacing w:val="19"/>
        </w:rPr>
        <w:t> </w:t>
      </w:r>
      <w:r>
        <w:rPr/>
        <w:t>significant.</w:t>
      </w:r>
      <w:r>
        <w:rPr>
          <w:spacing w:val="18"/>
        </w:rPr>
        <w:t> </w:t>
      </w:r>
      <w:r>
        <w:rPr/>
        <w:t>NF</w:t>
      </w:r>
      <w:r>
        <w:rPr>
          <w:spacing w:val="17"/>
        </w:rPr>
        <w:t> </w:t>
      </w:r>
      <w:r>
        <w:rPr>
          <w:spacing w:val="-2"/>
        </w:rPr>
        <w:t>“</w:t>
      </w:r>
      <w:r>
        <w:rPr>
          <w:color w:val="000000"/>
          <w:spacing w:val="-2"/>
          <w:shd w:fill="FEFE8B" w:color="auto" w:val="clear"/>
        </w:rPr>
        <w:t>attached</w:t>
      </w:r>
      <w:r>
        <w:rPr>
          <w:color w:val="000000"/>
          <w:spacing w:val="80"/>
          <w:shd w:fill="FEFE8B" w:color="auto" w:val="clear"/>
        </w:rPr>
        <w:t> </w:t>
      </w:r>
    </w:p>
    <w:p>
      <w:pPr>
        <w:pStyle w:val="BodyText"/>
        <w:tabs>
          <w:tab w:pos="2571" w:val="left" w:leader="none"/>
          <w:tab w:pos="4048" w:val="left" w:leader="none"/>
          <w:tab w:pos="4498" w:val="left" w:leader="none"/>
          <w:tab w:pos="6067" w:val="left" w:leader="none"/>
          <w:tab w:pos="7319" w:val="left" w:leader="none"/>
          <w:tab w:pos="7765" w:val="left" w:leader="none"/>
        </w:tabs>
        <w:spacing w:before="10"/>
        <w:ind w:left="939"/>
        <w:jc w:val="left"/>
      </w:pPr>
      <w:r>
        <w:rPr>
          <w:color w:val="000000"/>
          <w:spacing w:val="-26"/>
          <w:shd w:fill="FEFE8B" w:color="auto" w:val="clear"/>
        </w:rPr>
        <w:t> </w:t>
      </w:r>
      <w:r>
        <w:rPr>
          <w:color w:val="000000"/>
          <w:spacing w:val="-2"/>
          <w:shd w:fill="FEFE8B" w:color="auto" w:val="clear"/>
        </w:rPr>
        <w:t>considerable</w:t>
      </w:r>
      <w:r>
        <w:rPr>
          <w:color w:val="000000"/>
          <w:shd w:fill="FEFE8B" w:color="auto" w:val="clear"/>
        </w:rPr>
        <w:tab/>
      </w:r>
      <w:r>
        <w:rPr>
          <w:color w:val="000000"/>
          <w:spacing w:val="-2"/>
          <w:shd w:fill="FEFE8B" w:color="auto" w:val="clear"/>
        </w:rPr>
        <w:t>importance</w:t>
      </w:r>
      <w:r>
        <w:rPr>
          <w:color w:val="000000"/>
          <w:shd w:fill="FEFE8B" w:color="auto" w:val="clear"/>
        </w:rPr>
        <w:tab/>
      </w:r>
      <w:r>
        <w:rPr>
          <w:color w:val="000000"/>
          <w:spacing w:val="-5"/>
          <w:shd w:fill="FEFE8B" w:color="auto" w:val="clear"/>
        </w:rPr>
        <w:t>to</w:t>
      </w:r>
      <w:r>
        <w:rPr>
          <w:color w:val="000000"/>
          <w:shd w:fill="FEFE8B" w:color="auto" w:val="clear"/>
        </w:rPr>
        <w:tab/>
      </w:r>
      <w:r>
        <w:rPr>
          <w:color w:val="000000"/>
          <w:spacing w:val="-2"/>
          <w:shd w:fill="FEFE8B" w:color="auto" w:val="clear"/>
        </w:rPr>
        <w:t>autonomous</w:t>
      </w:r>
      <w:r>
        <w:rPr>
          <w:color w:val="000000"/>
          <w:shd w:fill="FEFE8B" w:color="auto" w:val="clear"/>
        </w:rPr>
        <w:tab/>
      </w:r>
      <w:r>
        <w:rPr>
          <w:color w:val="000000"/>
          <w:spacing w:val="-2"/>
          <w:shd w:fill="FEFE8B" w:color="auto" w:val="clear"/>
        </w:rPr>
        <w:t>influence</w:t>
      </w:r>
      <w:r>
        <w:rPr>
          <w:color w:val="000000"/>
          <w:shd w:fill="FEFE8B" w:color="auto" w:val="clear"/>
        </w:rPr>
        <w:tab/>
      </w:r>
      <w:r>
        <w:rPr>
          <w:color w:val="000000"/>
          <w:spacing w:val="-5"/>
          <w:shd w:fill="FEFE8B" w:color="auto" w:val="clear"/>
        </w:rPr>
        <w:t>of</w:t>
      </w:r>
      <w:r>
        <w:rPr>
          <w:color w:val="000000"/>
          <w:shd w:fill="FEFE8B" w:color="auto" w:val="clear"/>
        </w:rPr>
        <w:tab/>
      </w:r>
      <w:r>
        <w:rPr>
          <w:color w:val="000000"/>
          <w:spacing w:val="-2"/>
          <w:shd w:fill="FEFE8B" w:color="auto" w:val="clear"/>
        </w:rPr>
        <w:t>supranational</w:t>
      </w:r>
      <w:r>
        <w:rPr>
          <w:color w:val="000000"/>
          <w:spacing w:val="80"/>
          <w:shd w:fill="FEFE8B" w:color="auto" w:val="clear"/>
        </w:rPr>
        <w:t> </w:t>
      </w:r>
    </w:p>
    <w:p>
      <w:pPr>
        <w:pStyle w:val="BodyText"/>
        <w:spacing w:before="51"/>
        <w:ind w:left="939"/>
        <w:jc w:val="left"/>
      </w:pPr>
      <w:r>
        <w:rPr>
          <w:color w:val="000000"/>
          <w:spacing w:val="-26"/>
          <w:shd w:fill="FEFE8B" w:color="auto" w:val="clear"/>
        </w:rPr>
        <w:t> </w:t>
      </w:r>
      <w:r>
        <w:rPr>
          <w:color w:val="000000"/>
          <w:shd w:fill="FEFE8B" w:color="auto" w:val="clear"/>
        </w:rPr>
        <w:t>institutions</w:t>
      </w:r>
      <w:r>
        <w:rPr>
          <w:color w:val="000000"/>
          <w:spacing w:val="46"/>
          <w:shd w:fill="FEFE8B" w:color="auto" w:val="clear"/>
        </w:rPr>
        <w:t> </w:t>
      </w:r>
      <w:r>
        <w:rPr>
          <w:color w:val="000000"/>
          <w:shd w:fill="FEFE8B" w:color="auto" w:val="clear"/>
        </w:rPr>
        <w:t>and</w:t>
      </w:r>
      <w:r>
        <w:rPr>
          <w:color w:val="000000"/>
          <w:spacing w:val="52"/>
          <w:shd w:fill="FEFE8B" w:color="auto" w:val="clear"/>
        </w:rPr>
        <w:t> </w:t>
      </w:r>
      <w:r>
        <w:rPr>
          <w:color w:val="000000"/>
          <w:shd w:fill="FEFE8B" w:color="auto" w:val="clear"/>
        </w:rPr>
        <w:t>emerging</w:t>
      </w:r>
      <w:r>
        <w:rPr>
          <w:color w:val="000000"/>
          <w:spacing w:val="52"/>
          <w:shd w:fill="FEFE8B" w:color="auto" w:val="clear"/>
        </w:rPr>
        <w:t> </w:t>
      </w:r>
      <w:r>
        <w:rPr>
          <w:color w:val="000000"/>
          <w:shd w:fill="FEFE8B" w:color="auto" w:val="clear"/>
        </w:rPr>
        <w:t>role</w:t>
      </w:r>
      <w:r>
        <w:rPr>
          <w:color w:val="000000"/>
          <w:spacing w:val="56"/>
          <w:shd w:fill="FEFE8B" w:color="auto" w:val="clear"/>
        </w:rPr>
        <w:t> </w:t>
      </w:r>
      <w:r>
        <w:rPr>
          <w:color w:val="000000"/>
          <w:shd w:fill="FEFE8B" w:color="auto" w:val="clear"/>
        </w:rPr>
        <w:t>of</w:t>
      </w:r>
      <w:r>
        <w:rPr>
          <w:color w:val="000000"/>
          <w:spacing w:val="54"/>
          <w:shd w:fill="FEFE8B" w:color="auto" w:val="clear"/>
        </w:rPr>
        <w:t> </w:t>
      </w:r>
      <w:r>
        <w:rPr>
          <w:color w:val="000000"/>
          <w:shd w:fill="FEFE8B" w:color="auto" w:val="clear"/>
        </w:rPr>
        <w:t>organized</w:t>
      </w:r>
      <w:r>
        <w:rPr>
          <w:color w:val="000000"/>
          <w:spacing w:val="53"/>
          <w:shd w:fill="FEFE8B" w:color="auto" w:val="clear"/>
        </w:rPr>
        <w:t> </w:t>
      </w:r>
      <w:r>
        <w:rPr>
          <w:color w:val="000000"/>
          <w:shd w:fill="FEFE8B" w:color="auto" w:val="clear"/>
        </w:rPr>
        <w:t>interests.</w:t>
      </w:r>
      <w:r>
        <w:rPr>
          <w:color w:val="000000"/>
          <w:spacing w:val="52"/>
          <w:shd w:fill="FEFE8B" w:color="auto" w:val="clear"/>
        </w:rPr>
        <w:t> </w:t>
      </w:r>
      <w:r>
        <w:rPr>
          <w:color w:val="000000"/>
          <w:shd w:fill="FEFE8B" w:color="auto" w:val="clear"/>
        </w:rPr>
        <w:t>While</w:t>
      </w:r>
      <w:r>
        <w:rPr>
          <w:color w:val="000000"/>
          <w:spacing w:val="56"/>
          <w:shd w:fill="FEFE8B" w:color="auto" w:val="clear"/>
        </w:rPr>
        <w:t> </w:t>
      </w:r>
      <w:r>
        <w:rPr>
          <w:color w:val="000000"/>
          <w:shd w:fill="FEFE8B" w:color="auto" w:val="clear"/>
        </w:rPr>
        <w:t>the</w:t>
      </w:r>
      <w:r>
        <w:rPr>
          <w:color w:val="000000"/>
          <w:spacing w:val="51"/>
          <w:shd w:fill="FEFE8B" w:color="auto" w:val="clear"/>
        </w:rPr>
        <w:t> </w:t>
      </w:r>
      <w:r>
        <w:rPr>
          <w:color w:val="000000"/>
          <w:spacing w:val="-2"/>
          <w:shd w:fill="FEFE8B" w:color="auto" w:val="clear"/>
        </w:rPr>
        <w:t>former</w:t>
      </w:r>
      <w:r>
        <w:rPr>
          <w:color w:val="000000"/>
          <w:spacing w:val="80"/>
          <w:shd w:fill="FEFE8B" w:color="auto" w:val="clear"/>
        </w:rPr>
        <w:t> </w:t>
      </w:r>
    </w:p>
    <w:p>
      <w:pPr>
        <w:pStyle w:val="BodyText"/>
        <w:spacing w:before="51"/>
        <w:ind w:left="939"/>
        <w:jc w:val="left"/>
      </w:pPr>
      <w:r>
        <w:rPr>
          <w:color w:val="000000"/>
          <w:spacing w:val="-26"/>
          <w:shd w:fill="FEFE8B" w:color="auto" w:val="clear"/>
        </w:rPr>
        <w:t> </w:t>
      </w:r>
      <w:r>
        <w:rPr>
          <w:color w:val="000000"/>
          <w:shd w:fill="FEFE8B" w:color="auto" w:val="clear"/>
        </w:rPr>
        <w:t>[functionalism]</w:t>
      </w:r>
      <w:r>
        <w:rPr>
          <w:color w:val="000000"/>
          <w:spacing w:val="27"/>
          <w:shd w:fill="FEFE8B" w:color="auto" w:val="clear"/>
        </w:rPr>
        <w:t> </w:t>
      </w:r>
      <w:r>
        <w:rPr>
          <w:color w:val="000000"/>
          <w:shd w:fill="FEFE8B" w:color="auto" w:val="clear"/>
        </w:rPr>
        <w:t>did</w:t>
      </w:r>
      <w:r>
        <w:rPr>
          <w:color w:val="000000"/>
          <w:spacing w:val="33"/>
          <w:shd w:fill="FEFE8B" w:color="auto" w:val="clear"/>
        </w:rPr>
        <w:t> </w:t>
      </w:r>
      <w:r>
        <w:rPr>
          <w:color w:val="000000"/>
          <w:shd w:fill="FEFE8B" w:color="auto" w:val="clear"/>
        </w:rPr>
        <w:t>not</w:t>
      </w:r>
      <w:r>
        <w:rPr>
          <w:color w:val="000000"/>
          <w:spacing w:val="35"/>
          <w:shd w:fill="FEFE8B" w:color="auto" w:val="clear"/>
        </w:rPr>
        <w:t> </w:t>
      </w:r>
      <w:r>
        <w:rPr>
          <w:color w:val="000000"/>
          <w:shd w:fill="FEFE8B" w:color="auto" w:val="clear"/>
        </w:rPr>
        <w:t>limit</w:t>
      </w:r>
      <w:r>
        <w:rPr>
          <w:color w:val="000000"/>
          <w:spacing w:val="30"/>
          <w:shd w:fill="FEFE8B" w:color="auto" w:val="clear"/>
        </w:rPr>
        <w:t> </w:t>
      </w:r>
      <w:r>
        <w:rPr>
          <w:color w:val="000000"/>
          <w:shd w:fill="FEFE8B" w:color="auto" w:val="clear"/>
        </w:rPr>
        <w:t>integration</w:t>
      </w:r>
      <w:r>
        <w:rPr>
          <w:color w:val="000000"/>
          <w:spacing w:val="33"/>
          <w:shd w:fill="FEFE8B" w:color="auto" w:val="clear"/>
        </w:rPr>
        <w:t> </w:t>
      </w:r>
      <w:r>
        <w:rPr>
          <w:color w:val="000000"/>
          <w:shd w:fill="FEFE8B" w:color="auto" w:val="clear"/>
        </w:rPr>
        <w:t>to</w:t>
      </w:r>
      <w:r>
        <w:rPr>
          <w:color w:val="000000"/>
          <w:spacing w:val="29"/>
          <w:shd w:fill="FEFE8B" w:color="auto" w:val="clear"/>
        </w:rPr>
        <w:t> </w:t>
      </w:r>
      <w:r>
        <w:rPr>
          <w:color w:val="000000"/>
          <w:shd w:fill="FEFE8B" w:color="auto" w:val="clear"/>
        </w:rPr>
        <w:t>any</w:t>
      </w:r>
      <w:r>
        <w:rPr>
          <w:color w:val="000000"/>
          <w:spacing w:val="30"/>
          <w:shd w:fill="FEFE8B" w:color="auto" w:val="clear"/>
        </w:rPr>
        <w:t> </w:t>
      </w:r>
      <w:r>
        <w:rPr>
          <w:color w:val="000000"/>
          <w:shd w:fill="FEFE8B" w:color="auto" w:val="clear"/>
        </w:rPr>
        <w:t>territorial</w:t>
      </w:r>
      <w:r>
        <w:rPr>
          <w:color w:val="000000"/>
          <w:spacing w:val="29"/>
          <w:shd w:fill="FEFE8B" w:color="auto" w:val="clear"/>
        </w:rPr>
        <w:t> </w:t>
      </w:r>
      <w:r>
        <w:rPr>
          <w:color w:val="000000"/>
          <w:shd w:fill="FEFE8B" w:color="auto" w:val="clear"/>
        </w:rPr>
        <w:t>area,</w:t>
      </w:r>
      <w:r>
        <w:rPr>
          <w:color w:val="000000"/>
          <w:spacing w:val="33"/>
          <w:shd w:fill="FEFE8B" w:color="auto" w:val="clear"/>
        </w:rPr>
        <w:t> </w:t>
      </w:r>
      <w:r>
        <w:rPr>
          <w:color w:val="000000"/>
          <w:shd w:fill="FEFE8B" w:color="auto" w:val="clear"/>
        </w:rPr>
        <w:t>the</w:t>
      </w:r>
      <w:r>
        <w:rPr>
          <w:color w:val="000000"/>
          <w:spacing w:val="31"/>
          <w:shd w:fill="FEFE8B" w:color="auto" w:val="clear"/>
        </w:rPr>
        <w:t> </w:t>
      </w:r>
      <w:r>
        <w:rPr>
          <w:color w:val="000000"/>
          <w:spacing w:val="-2"/>
          <w:shd w:fill="FEFE8B" w:color="auto" w:val="clear"/>
        </w:rPr>
        <w:t>latter</w:t>
      </w:r>
      <w:r>
        <w:rPr>
          <w:color w:val="000000"/>
          <w:spacing w:val="80"/>
          <w:shd w:fill="FEFE8B" w:color="auto" w:val="clear"/>
        </w:rPr>
        <w:t> </w:t>
      </w:r>
    </w:p>
    <w:p>
      <w:pPr>
        <w:pStyle w:val="BodyText"/>
        <w:tabs>
          <w:tab w:pos="8416" w:val="left" w:leader="none"/>
        </w:tabs>
        <w:spacing w:before="52"/>
        <w:ind w:left="939"/>
        <w:jc w:val="left"/>
      </w:pPr>
      <w:r>
        <w:rPr>
          <w:color w:val="000000"/>
          <w:spacing w:val="-26"/>
          <w:shd w:fill="FEFE8B" w:color="auto" w:val="clear"/>
        </w:rPr>
        <w:t> </w:t>
      </w:r>
      <w:r>
        <w:rPr>
          <w:color w:val="000000"/>
          <w:shd w:fill="FEFE8B" w:color="auto" w:val="clear"/>
        </w:rPr>
        <w:t>give</w:t>
      </w:r>
      <w:r>
        <w:rPr>
          <w:color w:val="000000"/>
          <w:spacing w:val="-10"/>
          <w:shd w:fill="FEFE8B" w:color="auto" w:val="clear"/>
        </w:rPr>
        <w:t> </w:t>
      </w:r>
      <w:r>
        <w:rPr>
          <w:color w:val="000000"/>
          <w:shd w:fill="FEFE8B" w:color="auto" w:val="clear"/>
        </w:rPr>
        <w:t>it</w:t>
      </w:r>
      <w:r>
        <w:rPr>
          <w:color w:val="000000"/>
          <w:spacing w:val="-4"/>
          <w:shd w:fill="FEFE8B" w:color="auto" w:val="clear"/>
        </w:rPr>
        <w:t> </w:t>
      </w:r>
      <w:r>
        <w:rPr>
          <w:color w:val="000000"/>
          <w:shd w:fill="FEFE8B" w:color="auto" w:val="clear"/>
        </w:rPr>
        <w:t>a</w:t>
      </w:r>
      <w:r>
        <w:rPr>
          <w:color w:val="000000"/>
          <w:spacing w:val="-5"/>
          <w:shd w:fill="FEFE8B" w:color="auto" w:val="clear"/>
        </w:rPr>
        <w:t> </w:t>
      </w:r>
      <w:r>
        <w:rPr>
          <w:color w:val="000000"/>
          <w:shd w:fill="FEFE8B" w:color="auto" w:val="clear"/>
        </w:rPr>
        <w:t>specifically</w:t>
      </w:r>
      <w:r>
        <w:rPr>
          <w:color w:val="000000"/>
          <w:spacing w:val="-6"/>
          <w:shd w:fill="FEFE8B" w:color="auto" w:val="clear"/>
        </w:rPr>
        <w:t> </w:t>
      </w:r>
      <w:r>
        <w:rPr>
          <w:color w:val="000000"/>
          <w:shd w:fill="FEFE8B" w:color="auto" w:val="clear"/>
        </w:rPr>
        <w:t>regional</w:t>
      </w:r>
      <w:r>
        <w:rPr>
          <w:color w:val="000000"/>
          <w:spacing w:val="-7"/>
          <w:shd w:fill="FEFE8B" w:color="auto" w:val="clear"/>
        </w:rPr>
        <w:t> </w:t>
      </w:r>
      <w:r>
        <w:rPr>
          <w:color w:val="000000"/>
          <w:shd w:fill="FEFE8B" w:color="auto" w:val="clear"/>
        </w:rPr>
        <w:t>focus.”</w:t>
      </w:r>
      <w:r>
        <w:rPr>
          <w:color w:val="000000"/>
          <w:spacing w:val="-1"/>
          <w:shd w:fill="FEFE8B" w:color="auto" w:val="clear"/>
        </w:rPr>
        <w:t> </w:t>
      </w:r>
      <w:r>
        <w:rPr>
          <w:color w:val="000000"/>
          <w:shd w:fill="FEFE8B" w:color="auto" w:val="clear"/>
        </w:rPr>
        <w:t>(</w:t>
      </w:r>
      <w:hyperlink w:history="true" w:anchor="_bookmark355">
        <w:r>
          <w:rPr>
            <w:color w:val="000000"/>
            <w:shd w:fill="FEFE8B" w:color="auto" w:val="clear"/>
          </w:rPr>
          <w:t>Rosamond,</w:t>
        </w:r>
        <w:r>
          <w:rPr>
            <w:color w:val="000000"/>
            <w:spacing w:val="-9"/>
            <w:shd w:fill="FEFE8B" w:color="auto" w:val="clear"/>
          </w:rPr>
          <w:t> </w:t>
        </w:r>
        <w:r>
          <w:rPr>
            <w:color w:val="000000"/>
            <w:shd w:fill="FEFE8B" w:color="auto" w:val="clear"/>
          </w:rPr>
          <w:t>2000,</w:t>
        </w:r>
        <w:r>
          <w:rPr>
            <w:color w:val="000000"/>
            <w:spacing w:val="-4"/>
            <w:shd w:fill="FEFE8B" w:color="auto" w:val="clear"/>
          </w:rPr>
          <w:t> </w:t>
        </w:r>
        <w:r>
          <w:rPr>
            <w:color w:val="000000"/>
            <w:shd w:fill="FEFE8B" w:color="auto" w:val="clear"/>
          </w:rPr>
          <w:t>p.</w:t>
        </w:r>
        <w:r>
          <w:rPr>
            <w:color w:val="000000"/>
            <w:spacing w:val="-8"/>
            <w:shd w:fill="FEFE8B" w:color="auto" w:val="clear"/>
          </w:rPr>
          <w:t> </w:t>
        </w:r>
        <w:r>
          <w:rPr>
            <w:color w:val="000000"/>
            <w:shd w:fill="FEFE8B" w:color="auto" w:val="clear"/>
          </w:rPr>
          <w:t>46</w:t>
        </w:r>
      </w:hyperlink>
      <w:r>
        <w:rPr>
          <w:color w:val="000000"/>
          <w:shd w:fill="FEFE8B" w:color="auto" w:val="clear"/>
        </w:rPr>
        <w:t>;</w:t>
      </w:r>
      <w:r>
        <w:rPr>
          <w:color w:val="000000"/>
          <w:spacing w:val="-9"/>
          <w:shd w:fill="FEFE8B" w:color="auto" w:val="clear"/>
        </w:rPr>
        <w:t> </w:t>
      </w:r>
      <w:hyperlink w:history="true" w:anchor="_bookmark356">
        <w:r>
          <w:rPr>
            <w:color w:val="000000"/>
            <w:spacing w:val="-2"/>
            <w:shd w:fill="FEFE8B" w:color="auto" w:val="clear"/>
          </w:rPr>
          <w:t>2005</w:t>
        </w:r>
      </w:hyperlink>
      <w:r>
        <w:rPr>
          <w:color w:val="000000"/>
          <w:spacing w:val="-2"/>
          <w:shd w:fill="FEFE8B" w:color="auto" w:val="clear"/>
        </w:rPr>
        <w:t>)</w:t>
      </w:r>
      <w:r>
        <w:rPr>
          <w:color w:val="000000"/>
          <w:shd w:fill="FEFE8B" w:color="auto" w:val="clear"/>
        </w:rPr>
        <w:tab/>
      </w:r>
    </w:p>
    <w:p>
      <w:pPr>
        <w:pStyle w:val="BodyText"/>
        <w:spacing w:line="276" w:lineRule="auto" w:before="41"/>
        <w:ind w:right="1905" w:firstLine="720"/>
      </w:pPr>
      <w:r>
        <w:rPr>
          <w:sz w:val="27"/>
        </w:rPr>
        <w:t>Haas </w:t>
      </w:r>
      <w:r>
        <w:rPr/>
        <w:t>as a political scientist saw the process of European integration</w:t>
      </w:r>
      <w:r>
        <w:rPr>
          <w:spacing w:val="40"/>
        </w:rPr>
        <w:t> </w:t>
      </w:r>
      <w:r>
        <w:rPr/>
        <w:t>as a laboratory for his theoretical assumptions. Neo-functionalists used the ongoing processes in Europe to build a general theory of regional integration. Haas’s theory stems from this definition:</w:t>
      </w:r>
    </w:p>
    <w:p>
      <w:pPr>
        <w:pStyle w:val="BodyText"/>
        <w:spacing w:before="46"/>
        <w:ind w:left="0"/>
        <w:jc w:val="left"/>
      </w:pPr>
    </w:p>
    <w:p>
      <w:pPr>
        <w:pStyle w:val="BodyText"/>
        <w:spacing w:line="276" w:lineRule="auto"/>
        <w:ind w:left="2420" w:right="1912"/>
      </w:pPr>
      <w:r>
        <w:rPr/>
        <mc:AlternateContent>
          <mc:Choice Requires="wps">
            <w:drawing>
              <wp:anchor distT="0" distB="0" distL="0" distR="0" allowOverlap="1" layoutInCell="1" locked="0" behindDoc="0" simplePos="0" relativeHeight="15757824">
                <wp:simplePos x="0" y="0"/>
                <wp:positionH relativeFrom="page">
                  <wp:posOffset>1923923</wp:posOffset>
                </wp:positionH>
                <wp:positionV relativeFrom="paragraph">
                  <wp:posOffset>-1039</wp:posOffset>
                </wp:positionV>
                <wp:extent cx="1270" cy="1750695"/>
                <wp:effectExtent l="0" t="0" r="0" b="0"/>
                <wp:wrapNone/>
                <wp:docPr id="73" name="Graphic 73"/>
                <wp:cNvGraphicFramePr>
                  <a:graphicFrameLocks/>
                </wp:cNvGraphicFramePr>
                <a:graphic>
                  <a:graphicData uri="http://schemas.microsoft.com/office/word/2010/wordprocessingShape">
                    <wps:wsp>
                      <wps:cNvPr id="73" name="Graphic 73"/>
                      <wps:cNvSpPr/>
                      <wps:spPr>
                        <a:xfrm>
                          <a:off x="0" y="0"/>
                          <a:ext cx="1270" cy="1750695"/>
                        </a:xfrm>
                        <a:custGeom>
                          <a:avLst/>
                          <a:gdLst/>
                          <a:ahLst/>
                          <a:cxnLst/>
                          <a:rect l="l" t="t" r="r" b="b"/>
                          <a:pathLst>
                            <a:path w="0" h="1750695">
                              <a:moveTo>
                                <a:pt x="0" y="0"/>
                              </a:moveTo>
                              <a:lnTo>
                                <a:pt x="0" y="249936"/>
                              </a:lnTo>
                            </a:path>
                            <a:path w="0" h="1750695">
                              <a:moveTo>
                                <a:pt x="0" y="249936"/>
                              </a:moveTo>
                              <a:lnTo>
                                <a:pt x="0" y="499872"/>
                              </a:lnTo>
                            </a:path>
                            <a:path w="0" h="1750695">
                              <a:moveTo>
                                <a:pt x="0" y="499872"/>
                              </a:moveTo>
                              <a:lnTo>
                                <a:pt x="0" y="750062"/>
                              </a:lnTo>
                            </a:path>
                            <a:path w="0" h="1750695">
                              <a:moveTo>
                                <a:pt x="0" y="750062"/>
                              </a:moveTo>
                              <a:lnTo>
                                <a:pt x="0" y="999998"/>
                              </a:lnTo>
                            </a:path>
                            <a:path w="0" h="1750695">
                              <a:moveTo>
                                <a:pt x="0" y="999998"/>
                              </a:moveTo>
                              <a:lnTo>
                                <a:pt x="0" y="1249934"/>
                              </a:lnTo>
                            </a:path>
                            <a:path w="0" h="1750695">
                              <a:moveTo>
                                <a:pt x="0" y="1249934"/>
                              </a:moveTo>
                              <a:lnTo>
                                <a:pt x="0" y="1499870"/>
                              </a:lnTo>
                            </a:path>
                            <a:path w="0" h="1750695">
                              <a:moveTo>
                                <a:pt x="0" y="1499870"/>
                              </a:moveTo>
                              <a:lnTo>
                                <a:pt x="0" y="1750187"/>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81812pt;width:.1pt;height:137.85pt;mso-position-horizontal-relative:page;mso-position-vertical-relative:paragraph;z-index:15757824" id="docshape68" coordorigin="3030,-2" coordsize="0,2757" path="m3030,-2l3030,392m3030,392l3030,786m3030,786l3030,1180m3030,1180l3030,1573m3030,1573l3030,1967m3030,1967l3030,2360m3030,2360l3030,2755e" filled="false" stroked="true" strokeweight=".48pt" strokecolor="#000000">
                <v:path arrowok="t"/>
                <v:stroke dashstyle="shortdash"/>
                <w10:wrap type="none"/>
              </v:shape>
            </w:pict>
          </mc:Fallback>
        </mc:AlternateContent>
      </w:r>
      <w:r>
        <w:rPr/>
        <w:t>“Political integration is the process whereby political actors in several distinct national settings are persuaded to shift their loyalties, expectations and political activities toward a new center, whose institutions possess or demand jurisdiction over pre-existing national states. The end result of a process of political integration is a new political community, superimposed over the pre-existing ones.”</w:t>
      </w:r>
    </w:p>
    <w:p>
      <w:pPr>
        <w:pStyle w:val="BodyText"/>
        <w:ind w:left="7193"/>
      </w:pPr>
      <w:r>
        <w:rPr/>
        <w:t>(</w:t>
      </w:r>
      <w:hyperlink w:history="true" w:anchor="_bookmark202">
        <w:r>
          <w:rPr/>
          <w:t>Haas,</w:t>
        </w:r>
        <w:r>
          <w:rPr>
            <w:spacing w:val="-5"/>
          </w:rPr>
          <w:t> </w:t>
        </w:r>
        <w:r>
          <w:rPr/>
          <w:t>1968,</w:t>
        </w:r>
        <w:r>
          <w:rPr>
            <w:spacing w:val="-4"/>
          </w:rPr>
          <w:t> </w:t>
        </w:r>
        <w:r>
          <w:rPr/>
          <w:t>p.</w:t>
        </w:r>
        <w:r>
          <w:rPr>
            <w:spacing w:val="-4"/>
          </w:rPr>
          <w:t> </w:t>
        </w:r>
        <w:r>
          <w:rPr>
            <w:spacing w:val="-5"/>
          </w:rPr>
          <w:t>16</w:t>
        </w:r>
      </w:hyperlink>
      <w:r>
        <w:rPr>
          <w:spacing w:val="-5"/>
        </w:rPr>
        <w:t>)</w:t>
      </w:r>
    </w:p>
    <w:p>
      <w:pPr>
        <w:pStyle w:val="BodyText"/>
        <w:spacing w:line="276" w:lineRule="auto" w:before="56"/>
        <w:ind w:right="1903"/>
      </w:pPr>
      <w:r>
        <w:rPr/>
        <w:t>The definition proposes at least three important points. First, it claims that social actors are able to “learn and change their preferences (</w:t>
      </w:r>
      <w:hyperlink w:history="true" w:anchor="_bookmark318">
        <w:r>
          <w:rPr/>
          <w:t>Niemann &amp;</w:t>
        </w:r>
      </w:hyperlink>
      <w:r>
        <w:rPr/>
        <w:t> </w:t>
      </w:r>
      <w:hyperlink w:history="true" w:anchor="_bookmark318">
        <w:r>
          <w:rPr/>
          <w:t>Schmitter, 2009, p. 48</w:t>
        </w:r>
      </w:hyperlink>
      <w:r>
        <w:rPr/>
        <w:t>).” Second, it supposes that social actors’ interests are placed above the state sovereignty. Third, new community is</w:t>
      </w:r>
      <w:r>
        <w:rPr>
          <w:spacing w:val="40"/>
        </w:rPr>
        <w:t> </w:t>
      </w:r>
      <w:r>
        <w:rPr/>
        <w:t>‘superimposed’ rather than replaced. (</w:t>
      </w:r>
      <w:hyperlink w:history="true" w:anchor="_bookmark356">
        <w:r>
          <w:rPr/>
          <w:t>Rosamond, 2005, p. 7</w:t>
        </w:r>
      </w:hyperlink>
      <w:r>
        <w:rPr/>
        <w:t>)</w:t>
      </w:r>
    </w:p>
    <w:p>
      <w:pPr>
        <w:pStyle w:val="BodyText"/>
        <w:spacing w:line="268" w:lineRule="auto"/>
        <w:ind w:right="1908" w:firstLine="720"/>
      </w:pPr>
      <w:r>
        <w:rPr/>
        <w:t>The theory tries to explain how the shift of loyalties happens in regional</w:t>
      </w:r>
      <w:r>
        <w:rPr>
          <w:spacing w:val="34"/>
        </w:rPr>
        <w:t> </w:t>
      </w:r>
      <w:r>
        <w:rPr/>
        <w:t>context.</w:t>
      </w:r>
      <w:r>
        <w:rPr>
          <w:spacing w:val="38"/>
        </w:rPr>
        <w:t> </w:t>
      </w:r>
      <w:r>
        <w:rPr/>
        <w:t>Central</w:t>
      </w:r>
      <w:r>
        <w:rPr>
          <w:spacing w:val="35"/>
        </w:rPr>
        <w:t> </w:t>
      </w:r>
      <w:r>
        <w:rPr/>
        <w:t>argument</w:t>
      </w:r>
      <w:r>
        <w:rPr>
          <w:spacing w:val="37"/>
        </w:rPr>
        <w:t> </w:t>
      </w:r>
      <w:r>
        <w:rPr/>
        <w:t>of</w:t>
      </w:r>
      <w:r>
        <w:rPr>
          <w:spacing w:val="37"/>
        </w:rPr>
        <w:t> </w:t>
      </w:r>
      <w:r>
        <w:rPr/>
        <w:t>the</w:t>
      </w:r>
      <w:r>
        <w:rPr>
          <w:spacing w:val="37"/>
        </w:rPr>
        <w:t> </w:t>
      </w:r>
      <w:r>
        <w:rPr/>
        <w:t>NF</w:t>
      </w:r>
      <w:r>
        <w:rPr>
          <w:spacing w:val="37"/>
        </w:rPr>
        <w:t> </w:t>
      </w:r>
      <w:r>
        <w:rPr/>
        <w:t>sites</w:t>
      </w:r>
      <w:r>
        <w:rPr>
          <w:spacing w:val="39"/>
        </w:rPr>
        <w:t> </w:t>
      </w:r>
      <w:r>
        <w:rPr/>
        <w:t>in</w:t>
      </w:r>
      <w:r>
        <w:rPr>
          <w:spacing w:val="51"/>
        </w:rPr>
        <w:t> </w:t>
      </w:r>
      <w:r>
        <w:rPr>
          <w:sz w:val="27"/>
        </w:rPr>
        <w:t>expansive</w:t>
      </w:r>
      <w:r>
        <w:rPr>
          <w:spacing w:val="39"/>
          <w:sz w:val="27"/>
        </w:rPr>
        <w:t> </w:t>
      </w:r>
      <w:r>
        <w:rPr>
          <w:sz w:val="27"/>
        </w:rPr>
        <w:t>logic</w:t>
      </w:r>
      <w:r>
        <w:rPr>
          <w:spacing w:val="36"/>
          <w:sz w:val="27"/>
        </w:rPr>
        <w:t> </w:t>
      </w:r>
      <w:r>
        <w:rPr>
          <w:spacing w:val="-5"/>
        </w:rPr>
        <w:t>of</w:t>
      </w:r>
    </w:p>
    <w:p>
      <w:pPr>
        <w:pStyle w:val="BodyText"/>
        <w:spacing w:after="0" w:line="268" w:lineRule="auto"/>
        <w:sectPr>
          <w:pgSz w:w="12240" w:h="15840"/>
          <w:pgMar w:header="1046" w:footer="0" w:top="1360" w:bottom="280" w:left="720" w:right="360"/>
        </w:sectPr>
      </w:pPr>
    </w:p>
    <w:p>
      <w:pPr>
        <w:pStyle w:val="BodyText"/>
        <w:spacing w:line="276" w:lineRule="auto" w:before="276"/>
        <w:ind w:right="1909"/>
        <w:jc w:val="left"/>
      </w:pPr>
      <w:r>
        <w:rPr/>
        <w:t>sector</w:t>
      </w:r>
      <w:r>
        <w:rPr>
          <w:spacing w:val="40"/>
        </w:rPr>
        <w:t> </w:t>
      </w:r>
      <w:r>
        <w:rPr/>
        <w:t>integration.</w:t>
      </w:r>
      <w:r>
        <w:rPr>
          <w:spacing w:val="40"/>
        </w:rPr>
        <w:t> </w:t>
      </w:r>
      <w:r>
        <w:rPr>
          <w:color w:val="000000"/>
          <w:spacing w:val="-26"/>
          <w:shd w:fill="FEFE8B" w:color="auto" w:val="clear"/>
        </w:rPr>
        <w:t> </w:t>
      </w:r>
      <w:r>
        <w:rPr>
          <w:color w:val="000000"/>
          <w:shd w:fill="FEFE8B" w:color="auto" w:val="clear"/>
        </w:rPr>
        <w:t>One</w:t>
      </w:r>
      <w:r>
        <w:rPr>
          <w:color w:val="000000"/>
          <w:spacing w:val="40"/>
          <w:shd w:fill="FEFE8B" w:color="auto" w:val="clear"/>
        </w:rPr>
        <w:t> </w:t>
      </w:r>
      <w:r>
        <w:rPr>
          <w:color w:val="000000"/>
          <w:shd w:fill="FEFE8B" w:color="auto" w:val="clear"/>
        </w:rPr>
        <w:t>particular</w:t>
      </w:r>
      <w:r>
        <w:rPr>
          <w:color w:val="000000"/>
          <w:spacing w:val="40"/>
          <w:shd w:fill="FEFE8B" w:color="auto" w:val="clear"/>
        </w:rPr>
        <w:t> </w:t>
      </w:r>
      <w:r>
        <w:rPr>
          <w:color w:val="000000"/>
          <w:shd w:fill="FEFE8B" w:color="auto" w:val="clear"/>
        </w:rPr>
        <w:t>sector</w:t>
      </w:r>
      <w:r>
        <w:rPr>
          <w:color w:val="000000"/>
          <w:spacing w:val="40"/>
          <w:shd w:fill="FEFE8B" w:color="auto" w:val="clear"/>
        </w:rPr>
        <w:t> </w:t>
      </w:r>
      <w:r>
        <w:rPr>
          <w:color w:val="000000"/>
          <w:shd w:fill="FEFE8B" w:color="auto" w:val="clear"/>
        </w:rPr>
        <w:t>can</w:t>
      </w:r>
      <w:r>
        <w:rPr>
          <w:color w:val="000000"/>
          <w:spacing w:val="40"/>
          <w:shd w:fill="FEFE8B" w:color="auto" w:val="clear"/>
        </w:rPr>
        <w:t> </w:t>
      </w:r>
      <w:r>
        <w:rPr>
          <w:color w:val="000000"/>
          <w:shd w:fill="FEFE8B" w:color="auto" w:val="clear"/>
        </w:rPr>
        <w:t>provide</w:t>
      </w:r>
      <w:r>
        <w:rPr>
          <w:color w:val="000000"/>
          <w:spacing w:val="40"/>
          <w:shd w:fill="FEFE8B" w:color="auto" w:val="clear"/>
        </w:rPr>
        <w:t> </w:t>
      </w:r>
      <w:r>
        <w:rPr>
          <w:color w:val="000000"/>
          <w:shd w:fill="FEFE8B" w:color="auto" w:val="clear"/>
        </w:rPr>
        <w:t>certain</w:t>
      </w:r>
      <w:r>
        <w:rPr>
          <w:color w:val="000000"/>
          <w:spacing w:val="40"/>
          <w:shd w:fill="FEFE8B" w:color="auto" w:val="clear"/>
        </w:rPr>
        <w:t> </w:t>
      </w:r>
      <w:r>
        <w:rPr>
          <w:color w:val="000000"/>
          <w:shd w:fill="FEFE8B" w:color="auto" w:val="clear"/>
        </w:rPr>
        <w:t>pressures</w:t>
      </w:r>
      <w:r>
        <w:rPr>
          <w:color w:val="000000"/>
          <w:spacing w:val="38"/>
          <w:shd w:fill="FEFE8B" w:color="auto" w:val="clear"/>
        </w:rPr>
        <w:t> </w:t>
      </w:r>
      <w:r>
        <w:rPr>
          <w:color w:val="000000"/>
          <w:spacing w:val="38"/>
        </w:rPr>
        <w:t> </w:t>
      </w:r>
      <w:r>
        <w:rPr>
          <w:color w:val="000000"/>
          <w:shd w:fill="FEFE8B" w:color="auto" w:val="clear"/>
        </w:rPr>
        <w:t>“pushing</w:t>
      </w:r>
      <w:r>
        <w:rPr>
          <w:color w:val="000000"/>
          <w:spacing w:val="8"/>
          <w:shd w:fill="FEFE8B" w:color="auto" w:val="clear"/>
        </w:rPr>
        <w:t> </w:t>
      </w:r>
      <w:r>
        <w:rPr>
          <w:color w:val="000000"/>
          <w:shd w:fill="FEFE8B" w:color="auto" w:val="clear"/>
        </w:rPr>
        <w:t>the</w:t>
      </w:r>
      <w:r>
        <w:rPr>
          <w:color w:val="000000"/>
          <w:spacing w:val="8"/>
          <w:shd w:fill="FEFE8B" w:color="auto" w:val="clear"/>
        </w:rPr>
        <w:t> </w:t>
      </w:r>
      <w:r>
        <w:rPr>
          <w:color w:val="000000"/>
          <w:shd w:fill="FEFE8B" w:color="auto" w:val="clear"/>
        </w:rPr>
        <w:t>states</w:t>
      </w:r>
      <w:r>
        <w:rPr>
          <w:color w:val="000000"/>
          <w:spacing w:val="6"/>
          <w:shd w:fill="FEFE8B" w:color="auto" w:val="clear"/>
        </w:rPr>
        <w:t> </w:t>
      </w:r>
      <w:r>
        <w:rPr>
          <w:color w:val="000000"/>
          <w:shd w:fill="FEFE8B" w:color="auto" w:val="clear"/>
        </w:rPr>
        <w:t>to</w:t>
      </w:r>
      <w:r>
        <w:rPr>
          <w:color w:val="000000"/>
          <w:spacing w:val="5"/>
          <w:shd w:fill="FEFE8B" w:color="auto" w:val="clear"/>
        </w:rPr>
        <w:t> </w:t>
      </w:r>
      <w:r>
        <w:rPr>
          <w:color w:val="000000"/>
          <w:shd w:fill="FEFE8B" w:color="auto" w:val="clear"/>
        </w:rPr>
        <w:t>integrate</w:t>
      </w:r>
      <w:r>
        <w:rPr>
          <w:color w:val="000000"/>
          <w:spacing w:val="8"/>
          <w:shd w:fill="FEFE8B" w:color="auto" w:val="clear"/>
        </w:rPr>
        <w:t> </w:t>
      </w:r>
      <w:r>
        <w:rPr>
          <w:color w:val="000000"/>
          <w:shd w:fill="FEFE8B" w:color="auto" w:val="clear"/>
        </w:rPr>
        <w:t>other</w:t>
      </w:r>
      <w:r>
        <w:rPr>
          <w:color w:val="000000"/>
          <w:spacing w:val="8"/>
          <w:shd w:fill="FEFE8B" w:color="auto" w:val="clear"/>
        </w:rPr>
        <w:t> </w:t>
      </w:r>
      <w:r>
        <w:rPr>
          <w:color w:val="000000"/>
          <w:shd w:fill="FEFE8B" w:color="auto" w:val="clear"/>
        </w:rPr>
        <w:t>sectors,”</w:t>
      </w:r>
      <w:r>
        <w:rPr>
          <w:color w:val="000000"/>
          <w:spacing w:val="9"/>
          <w:shd w:fill="FEFE8B" w:color="auto" w:val="clear"/>
        </w:rPr>
        <w:t> </w:t>
      </w:r>
      <w:r>
        <w:rPr>
          <w:color w:val="000000"/>
          <w:shd w:fill="FEFE8B" w:color="auto" w:val="clear"/>
        </w:rPr>
        <w:t>because</w:t>
      </w:r>
      <w:r>
        <w:rPr>
          <w:color w:val="000000"/>
          <w:spacing w:val="8"/>
          <w:shd w:fill="FEFE8B" w:color="auto" w:val="clear"/>
        </w:rPr>
        <w:t> </w:t>
      </w:r>
      <w:r>
        <w:rPr>
          <w:color w:val="000000"/>
          <w:shd w:fill="FEFE8B" w:color="auto" w:val="clear"/>
        </w:rPr>
        <w:t>“some</w:t>
      </w:r>
      <w:r>
        <w:rPr>
          <w:color w:val="000000"/>
          <w:spacing w:val="8"/>
          <w:shd w:fill="FEFE8B" w:color="auto" w:val="clear"/>
        </w:rPr>
        <w:t> </w:t>
      </w:r>
      <w:r>
        <w:rPr>
          <w:color w:val="000000"/>
          <w:shd w:fill="FEFE8B" w:color="auto" w:val="clear"/>
        </w:rPr>
        <w:t>sectors</w:t>
      </w:r>
      <w:r>
        <w:rPr>
          <w:color w:val="000000"/>
          <w:spacing w:val="6"/>
          <w:shd w:fill="FEFE8B" w:color="auto" w:val="clear"/>
        </w:rPr>
        <w:t> </w:t>
      </w:r>
      <w:r>
        <w:rPr>
          <w:color w:val="000000"/>
          <w:shd w:fill="FEFE8B" w:color="auto" w:val="clear"/>
        </w:rPr>
        <w:t>are</w:t>
      </w:r>
      <w:r>
        <w:rPr>
          <w:color w:val="000000"/>
          <w:spacing w:val="8"/>
          <w:shd w:fill="FEFE8B" w:color="auto" w:val="clear"/>
        </w:rPr>
        <w:t> </w:t>
      </w:r>
      <w:r>
        <w:rPr>
          <w:color w:val="000000"/>
          <w:spacing w:val="-5"/>
          <w:shd w:fill="FEFE8B" w:color="auto" w:val="clear"/>
        </w:rPr>
        <w:t>so</w:t>
      </w:r>
      <w:r>
        <w:rPr>
          <w:color w:val="000000"/>
          <w:spacing w:val="80"/>
          <w:shd w:fill="FEFE8B" w:color="auto" w:val="clear"/>
        </w:rPr>
        <w:t> </w:t>
      </w:r>
    </w:p>
    <w:p>
      <w:pPr>
        <w:pStyle w:val="BodyText"/>
        <w:spacing w:line="271" w:lineRule="auto"/>
        <w:ind w:right="1909" w:hanging="40"/>
        <w:jc w:val="left"/>
        <w:rPr>
          <w:sz w:val="27"/>
        </w:rPr>
      </w:pPr>
      <w:r>
        <w:rPr>
          <w:color w:val="000000"/>
          <w:spacing w:val="-26"/>
          <w:shd w:fill="FEFE8B" w:color="auto" w:val="clear"/>
        </w:rPr>
        <w:t> </w:t>
      </w:r>
      <w:r>
        <w:rPr>
          <w:color w:val="000000"/>
          <w:shd w:fill="FEFE8B" w:color="auto" w:val="clear"/>
        </w:rPr>
        <w:t>interdependent</w:t>
      </w:r>
      <w:r>
        <w:rPr>
          <w:color w:val="000000"/>
          <w:spacing w:val="80"/>
          <w:shd w:fill="FEFE8B" w:color="auto" w:val="clear"/>
        </w:rPr>
        <w:t> </w:t>
      </w:r>
      <w:r>
        <w:rPr>
          <w:color w:val="000000"/>
          <w:shd w:fill="FEFE8B" w:color="auto" w:val="clear"/>
        </w:rPr>
        <w:t>that</w:t>
      </w:r>
      <w:r>
        <w:rPr>
          <w:color w:val="000000"/>
          <w:spacing w:val="80"/>
          <w:shd w:fill="FEFE8B" w:color="auto" w:val="clear"/>
        </w:rPr>
        <w:t> </w:t>
      </w:r>
      <w:r>
        <w:rPr>
          <w:color w:val="000000"/>
          <w:shd w:fill="FEFE8B" w:color="auto" w:val="clear"/>
        </w:rPr>
        <w:t>it</w:t>
      </w:r>
      <w:r>
        <w:rPr>
          <w:color w:val="000000"/>
          <w:spacing w:val="80"/>
          <w:shd w:fill="FEFE8B" w:color="auto" w:val="clear"/>
        </w:rPr>
        <w:t> </w:t>
      </w:r>
      <w:r>
        <w:rPr>
          <w:color w:val="000000"/>
          <w:shd w:fill="FEFE8B" w:color="auto" w:val="clear"/>
        </w:rPr>
        <w:t>is</w:t>
      </w:r>
      <w:r>
        <w:rPr>
          <w:color w:val="000000"/>
          <w:spacing w:val="80"/>
          <w:shd w:fill="FEFE8B" w:color="auto" w:val="clear"/>
        </w:rPr>
        <w:t> </w:t>
      </w:r>
      <w:r>
        <w:rPr>
          <w:color w:val="000000"/>
          <w:shd w:fill="FEFE8B" w:color="auto" w:val="clear"/>
        </w:rPr>
        <w:t>impossible</w:t>
      </w:r>
      <w:r>
        <w:rPr>
          <w:color w:val="000000"/>
          <w:spacing w:val="80"/>
          <w:shd w:fill="FEFE8B" w:color="auto" w:val="clear"/>
        </w:rPr>
        <w:t> </w:t>
      </w:r>
      <w:r>
        <w:rPr>
          <w:color w:val="000000"/>
          <w:shd w:fill="FEFE8B" w:color="auto" w:val="clear"/>
        </w:rPr>
        <w:t>to</w:t>
      </w:r>
      <w:r>
        <w:rPr>
          <w:color w:val="000000"/>
          <w:spacing w:val="80"/>
          <w:shd w:fill="FEFE8B" w:color="auto" w:val="clear"/>
        </w:rPr>
        <w:t> </w:t>
      </w:r>
      <w:r>
        <w:rPr>
          <w:color w:val="000000"/>
          <w:shd w:fill="FEFE8B" w:color="auto" w:val="clear"/>
        </w:rPr>
        <w:t>isolate</w:t>
      </w:r>
      <w:r>
        <w:rPr>
          <w:color w:val="000000"/>
          <w:spacing w:val="80"/>
          <w:shd w:fill="FEFE8B" w:color="auto" w:val="clear"/>
        </w:rPr>
        <w:t> </w:t>
      </w:r>
      <w:r>
        <w:rPr>
          <w:color w:val="000000"/>
          <w:shd w:fill="FEFE8B" w:color="auto" w:val="clear"/>
        </w:rPr>
        <w:t>them</w:t>
      </w:r>
      <w:r>
        <w:rPr>
          <w:color w:val="000000"/>
          <w:spacing w:val="80"/>
          <w:shd w:fill="FEFE8B" w:color="auto" w:val="clear"/>
        </w:rPr>
        <w:t> </w:t>
      </w:r>
      <w:r>
        <w:rPr>
          <w:color w:val="000000"/>
          <w:shd w:fill="FEFE8B" w:color="auto" w:val="clear"/>
        </w:rPr>
        <w:t>from</w:t>
      </w:r>
      <w:r>
        <w:rPr>
          <w:color w:val="000000"/>
          <w:spacing w:val="80"/>
          <w:shd w:fill="FEFE8B" w:color="auto" w:val="clear"/>
        </w:rPr>
        <w:t> </w:t>
      </w:r>
      <w:r>
        <w:rPr>
          <w:color w:val="000000"/>
          <w:shd w:fill="FEFE8B" w:color="auto" w:val="clear"/>
        </w:rPr>
        <w:t>the</w:t>
      </w:r>
      <w:r>
        <w:rPr>
          <w:color w:val="000000"/>
          <w:spacing w:val="80"/>
          <w:shd w:fill="FEFE8B" w:color="auto" w:val="clear"/>
        </w:rPr>
        <w:t> </w:t>
      </w:r>
      <w:r>
        <w:rPr>
          <w:color w:val="000000"/>
          <w:shd w:fill="FEFE8B" w:color="auto" w:val="clear"/>
        </w:rPr>
        <w:t>rest.”</w:t>
      </w:r>
      <w:r>
        <w:rPr>
          <w:color w:val="000000"/>
          <w:spacing w:val="39"/>
          <w:shd w:fill="FEFE8B" w:color="auto" w:val="clear"/>
        </w:rPr>
        <w:t> </w:t>
      </w:r>
      <w:r>
        <w:rPr>
          <w:color w:val="000000"/>
          <w:spacing w:val="39"/>
        </w:rPr>
        <w:t> </w:t>
      </w:r>
      <w:r>
        <w:rPr>
          <w:color w:val="000000"/>
        </w:rPr>
        <w:t>(</w:t>
      </w:r>
      <w:hyperlink w:history="true" w:anchor="_bookmark318">
        <w:r>
          <w:rPr>
            <w:color w:val="000000"/>
          </w:rPr>
          <w:t>Niemann &amp; Schmitter, 2009, p. 49</w:t>
        </w:r>
      </w:hyperlink>
      <w:r>
        <w:rPr>
          <w:color w:val="000000"/>
        </w:rPr>
        <w:t>) The mechanism of expansion is called a </w:t>
      </w:r>
      <w:r>
        <w:rPr>
          <w:color w:val="000000"/>
          <w:spacing w:val="-2"/>
          <w:sz w:val="27"/>
        </w:rPr>
        <w:t>spillover.</w:t>
      </w:r>
    </w:p>
    <w:p>
      <w:pPr>
        <w:pStyle w:val="BodyText"/>
        <w:spacing w:line="276" w:lineRule="auto" w:before="6"/>
        <w:ind w:right="1902" w:firstLine="720"/>
      </w:pPr>
      <w:r>
        <w:rPr/>
        <w:t>Early neo-functionalist works assumed that spillover is an automatic and irreversible process, which gradually takes economic integration to political union of some sort. This idea seemed relevant in the first stages of European integration when in the short period</w:t>
      </w:r>
      <w:r>
        <w:rPr>
          <w:spacing w:val="40"/>
        </w:rPr>
        <w:t> </w:t>
      </w:r>
      <w:r>
        <w:rPr/>
        <w:t>ECSC</w:t>
      </w:r>
      <w:r>
        <w:rPr>
          <w:spacing w:val="40"/>
        </w:rPr>
        <w:t> </w:t>
      </w:r>
      <w:r>
        <w:rPr/>
        <w:t>had led to EEC. (</w:t>
      </w:r>
      <w:hyperlink w:history="true" w:anchor="_bookmark154">
        <w:r>
          <w:rPr/>
          <w:t>Dedman, 2010, p. 9</w:t>
        </w:r>
      </w:hyperlink>
      <w:r>
        <w:rPr/>
        <w:t>)</w:t>
      </w:r>
    </w:p>
    <w:p>
      <w:pPr>
        <w:pStyle w:val="BodyText"/>
        <w:spacing w:line="273" w:lineRule="auto"/>
        <w:ind w:right="1915" w:firstLine="720"/>
      </w:pPr>
      <w:r>
        <w:rPr>
          <w:sz w:val="27"/>
        </w:rPr>
        <w:t>Leon Lindberg</w:t>
      </w:r>
      <w:r>
        <w:rPr/>
        <w:t>’s definition examines concept of spillover from the goal – action perspective:</w:t>
      </w:r>
    </w:p>
    <w:p>
      <w:pPr>
        <w:pStyle w:val="BodyText"/>
        <w:spacing w:before="42"/>
        <w:ind w:left="0"/>
        <w:jc w:val="left"/>
      </w:pPr>
    </w:p>
    <w:p>
      <w:pPr>
        <w:pStyle w:val="BodyText"/>
        <w:spacing w:line="276" w:lineRule="auto" w:before="1"/>
        <w:ind w:left="2420" w:right="1906"/>
      </w:pPr>
      <w:r>
        <w:rPr/>
        <mc:AlternateContent>
          <mc:Choice Requires="wps">
            <w:drawing>
              <wp:anchor distT="0" distB="0" distL="0" distR="0" allowOverlap="1" layoutInCell="1" locked="0" behindDoc="0" simplePos="0" relativeHeight="15758336">
                <wp:simplePos x="0" y="0"/>
                <wp:positionH relativeFrom="page">
                  <wp:posOffset>1923923</wp:posOffset>
                </wp:positionH>
                <wp:positionV relativeFrom="paragraph">
                  <wp:posOffset>-866</wp:posOffset>
                </wp:positionV>
                <wp:extent cx="1270" cy="1250315"/>
                <wp:effectExtent l="0" t="0" r="0" b="0"/>
                <wp:wrapNone/>
                <wp:docPr id="74" name="Graphic 74"/>
                <wp:cNvGraphicFramePr>
                  <a:graphicFrameLocks/>
                </wp:cNvGraphicFramePr>
                <a:graphic>
                  <a:graphicData uri="http://schemas.microsoft.com/office/word/2010/wordprocessingShape">
                    <wps:wsp>
                      <wps:cNvPr id="74" name="Graphic 74"/>
                      <wps:cNvSpPr/>
                      <wps:spPr>
                        <a:xfrm>
                          <a:off x="0" y="0"/>
                          <a:ext cx="1270" cy="1250315"/>
                        </a:xfrm>
                        <a:custGeom>
                          <a:avLst/>
                          <a:gdLst/>
                          <a:ahLst/>
                          <a:cxnLst/>
                          <a:rect l="l" t="t" r="r" b="b"/>
                          <a:pathLst>
                            <a:path w="0" h="1250315">
                              <a:moveTo>
                                <a:pt x="0" y="0"/>
                              </a:moveTo>
                              <a:lnTo>
                                <a:pt x="0" y="249936"/>
                              </a:lnTo>
                            </a:path>
                            <a:path w="0" h="1250315">
                              <a:moveTo>
                                <a:pt x="0" y="249936"/>
                              </a:moveTo>
                              <a:lnTo>
                                <a:pt x="0" y="500125"/>
                              </a:lnTo>
                            </a:path>
                            <a:path w="0" h="1250315">
                              <a:moveTo>
                                <a:pt x="0" y="500125"/>
                              </a:moveTo>
                              <a:lnTo>
                                <a:pt x="0" y="750062"/>
                              </a:lnTo>
                            </a:path>
                            <a:path w="0" h="1250315">
                              <a:moveTo>
                                <a:pt x="0" y="750062"/>
                              </a:moveTo>
                              <a:lnTo>
                                <a:pt x="0" y="999998"/>
                              </a:lnTo>
                            </a:path>
                            <a:path w="0" h="1250315">
                              <a:moveTo>
                                <a:pt x="0" y="999998"/>
                              </a:moveTo>
                              <a:lnTo>
                                <a:pt x="0" y="1249934"/>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68191pt;width:.1pt;height:98.45pt;mso-position-horizontal-relative:page;mso-position-vertical-relative:paragraph;z-index:15758336" id="docshape69" coordorigin="3030,-1" coordsize="0,1969" path="m3030,-1l3030,392m3030,392l3030,786m3030,786l3030,1180m3030,1180l3030,1573m3030,1573l3030,1967e" filled="false" stroked="true" strokeweight=".48pt" strokecolor="#000000">
                <v:path arrowok="t"/>
                <v:stroke dashstyle="shortdash"/>
                <w10:wrap type="none"/>
              </v:shape>
            </w:pict>
          </mc:Fallback>
        </mc:AlternateContent>
      </w:r>
      <w:r>
        <w:rPr/>
        <w:t>“spill-over refers</w:t>
      </w:r>
      <w:r>
        <w:rPr>
          <w:spacing w:val="-2"/>
        </w:rPr>
        <w:t> </w:t>
      </w:r>
      <w:r>
        <w:rPr/>
        <w:t>to</w:t>
      </w:r>
      <w:r>
        <w:rPr>
          <w:spacing w:val="-3"/>
        </w:rPr>
        <w:t> </w:t>
      </w:r>
      <w:r>
        <w:rPr/>
        <w:t>a situation in which a given action, related to a specific goal, creates a situation in which the original goal can be assured only by taking further actions, which in turn create a further condition and a need for more action, and so </w:t>
      </w:r>
      <w:r>
        <w:rPr>
          <w:spacing w:val="-2"/>
        </w:rPr>
        <w:t>forth.”</w:t>
      </w:r>
    </w:p>
    <w:p>
      <w:pPr>
        <w:pStyle w:val="BodyText"/>
        <w:spacing w:line="342" w:lineRule="exact"/>
        <w:ind w:left="6540"/>
      </w:pPr>
      <w:r>
        <w:rPr/>
        <w:t>(</w:t>
      </w:r>
      <w:hyperlink w:history="true" w:anchor="_bookmark259">
        <w:r>
          <w:rPr/>
          <w:t>Lindberg,</w:t>
        </w:r>
        <w:r>
          <w:rPr>
            <w:spacing w:val="-9"/>
          </w:rPr>
          <w:t> </w:t>
        </w:r>
        <w:r>
          <w:rPr/>
          <w:t>1963,</w:t>
        </w:r>
        <w:r>
          <w:rPr>
            <w:spacing w:val="-5"/>
          </w:rPr>
          <w:t> </w:t>
        </w:r>
        <w:r>
          <w:rPr/>
          <w:t>p.</w:t>
        </w:r>
        <w:r>
          <w:rPr>
            <w:spacing w:val="-9"/>
          </w:rPr>
          <w:t> </w:t>
        </w:r>
        <w:r>
          <w:rPr>
            <w:spacing w:val="-5"/>
          </w:rPr>
          <w:t>10</w:t>
        </w:r>
      </w:hyperlink>
      <w:r>
        <w:rPr>
          <w:spacing w:val="-5"/>
        </w:rPr>
        <w:t>)</w:t>
      </w:r>
    </w:p>
    <w:p>
      <w:pPr>
        <w:pStyle w:val="BodyText"/>
        <w:spacing w:line="273" w:lineRule="auto" w:before="41"/>
        <w:ind w:right="1907" w:firstLine="720"/>
      </w:pPr>
      <w:r>
        <w:rPr>
          <w:sz w:val="27"/>
        </w:rPr>
        <w:t>Schmitter</w:t>
      </w:r>
      <w:r>
        <w:rPr>
          <w:spacing w:val="-2"/>
          <w:sz w:val="27"/>
        </w:rPr>
        <w:t> </w:t>
      </w:r>
      <w:r>
        <w:rPr/>
        <w:t>argues</w:t>
      </w:r>
      <w:r>
        <w:rPr>
          <w:spacing w:val="-3"/>
        </w:rPr>
        <w:t> </w:t>
      </w:r>
      <w:r>
        <w:rPr/>
        <w:t>that</w:t>
      </w:r>
      <w:r>
        <w:rPr>
          <w:spacing w:val="-1"/>
        </w:rPr>
        <w:t> </w:t>
      </w:r>
      <w:r>
        <w:rPr/>
        <w:t>spillover</w:t>
      </w:r>
      <w:r>
        <w:rPr>
          <w:spacing w:val="-1"/>
        </w:rPr>
        <w:t> </w:t>
      </w:r>
      <w:r>
        <w:rPr/>
        <w:t>occurs,</w:t>
      </w:r>
      <w:r>
        <w:rPr>
          <w:spacing w:val="-1"/>
        </w:rPr>
        <w:t> </w:t>
      </w:r>
      <w:r>
        <w:rPr/>
        <w:t>when</w:t>
      </w:r>
      <w:r>
        <w:rPr>
          <w:spacing w:val="-4"/>
        </w:rPr>
        <w:t> </w:t>
      </w:r>
      <w:r>
        <w:rPr/>
        <w:t>the</w:t>
      </w:r>
      <w:r>
        <w:rPr>
          <w:spacing w:val="-1"/>
        </w:rPr>
        <w:t> </w:t>
      </w:r>
      <w:r>
        <w:rPr/>
        <w:t>actors</w:t>
      </w:r>
      <w:r>
        <w:rPr>
          <w:spacing w:val="-3"/>
        </w:rPr>
        <w:t> </w:t>
      </w:r>
      <w:r>
        <w:rPr/>
        <w:t>committed</w:t>
      </w:r>
      <w:r>
        <w:rPr>
          <w:spacing w:val="-1"/>
        </w:rPr>
        <w:t> </w:t>
      </w:r>
      <w:r>
        <w:rPr/>
        <w:t>to achieve goals are dissatisfied, because they face uninspected performance of the integration sector. In order to resolve their dissatisfaction, they expand </w:t>
      </w:r>
      <w:r>
        <w:rPr>
          <w:sz w:val="27"/>
        </w:rPr>
        <w:t>scope</w:t>
      </w:r>
      <w:r>
        <w:rPr/>
        <w:t>, or increase </w:t>
      </w:r>
      <w:r>
        <w:rPr>
          <w:sz w:val="27"/>
        </w:rPr>
        <w:t>level </w:t>
      </w:r>
      <w:r>
        <w:rPr/>
        <w:t>of their commitment. When actors expand the scope, they add other sectors to initial sector of integration. Level of the processes increases when involved agents intensify their commitments in initial sector. (</w:t>
      </w:r>
      <w:hyperlink w:history="true" w:anchor="_bookmark378">
        <w:r>
          <w:rPr/>
          <w:t>1969, p. 162</w:t>
        </w:r>
      </w:hyperlink>
      <w:r>
        <w:rPr/>
        <w:t>) </w:t>
      </w:r>
      <w:r>
        <w:rPr>
          <w:sz w:val="27"/>
        </w:rPr>
        <w:t>Schmitter </w:t>
      </w:r>
      <w:r>
        <w:rPr/>
        <w:t>clarified that automatism of the spillover, does imply that process of integration is linear, effortless, and free from conflicts. To the contrary, conflicts among the actors are constantly resolved by expanding the scope of dynamics. The process is equally characterized by constant interventions of political elites, driven with different motives (</w:t>
      </w:r>
      <w:hyperlink w:history="true" w:anchor="_bookmark378">
        <w:r>
          <w:rPr/>
          <w:t>Schmitter, 1969, p. 164</w:t>
        </w:r>
      </w:hyperlink>
      <w:r>
        <w:rPr/>
        <w:t>)</w:t>
      </w:r>
    </w:p>
    <w:p>
      <w:pPr>
        <w:pStyle w:val="BodyText"/>
        <w:spacing w:after="0" w:line="273" w:lineRule="auto"/>
        <w:sectPr>
          <w:pgSz w:w="12240" w:h="15840"/>
          <w:pgMar w:header="1046" w:footer="0" w:top="1360" w:bottom="280" w:left="720" w:right="360"/>
        </w:sectPr>
      </w:pPr>
    </w:p>
    <w:p>
      <w:pPr>
        <w:pStyle w:val="BodyText"/>
        <w:spacing w:line="273" w:lineRule="auto" w:before="266"/>
        <w:ind w:right="1906" w:firstLine="720"/>
      </w:pPr>
      <w:r>
        <w:rPr>
          <w:sz w:val="27"/>
        </w:rPr>
        <w:t>Haas</w:t>
      </w:r>
      <w:r>
        <w:rPr>
          <w:spacing w:val="-9"/>
          <w:sz w:val="27"/>
        </w:rPr>
        <w:t> </w:t>
      </w:r>
      <w:r>
        <w:rPr/>
        <w:t>explained</w:t>
      </w:r>
      <w:r>
        <w:rPr>
          <w:spacing w:val="-2"/>
        </w:rPr>
        <w:t> </w:t>
      </w:r>
      <w:r>
        <w:rPr/>
        <w:t>why</w:t>
      </w:r>
      <w:r>
        <w:rPr>
          <w:spacing w:val="-4"/>
        </w:rPr>
        <w:t> </w:t>
      </w:r>
      <w:r>
        <w:rPr/>
        <w:t>spillover</w:t>
      </w:r>
      <w:r>
        <w:rPr>
          <w:spacing w:val="-3"/>
        </w:rPr>
        <w:t> </w:t>
      </w:r>
      <w:r>
        <w:rPr/>
        <w:t>was</w:t>
      </w:r>
      <w:r>
        <w:rPr>
          <w:spacing w:val="-6"/>
        </w:rPr>
        <w:t> </w:t>
      </w:r>
      <w:r>
        <w:rPr/>
        <w:t>so</w:t>
      </w:r>
      <w:r>
        <w:rPr>
          <w:spacing w:val="-7"/>
        </w:rPr>
        <w:t> </w:t>
      </w:r>
      <w:r>
        <w:rPr/>
        <w:t>successful</w:t>
      </w:r>
      <w:r>
        <w:rPr>
          <w:spacing w:val="-7"/>
        </w:rPr>
        <w:t> </w:t>
      </w:r>
      <w:r>
        <w:rPr/>
        <w:t>in</w:t>
      </w:r>
      <w:r>
        <w:rPr>
          <w:spacing w:val="-3"/>
        </w:rPr>
        <w:t> </w:t>
      </w:r>
      <w:r>
        <w:rPr/>
        <w:t>Europe</w:t>
      </w:r>
      <w:r>
        <w:rPr>
          <w:spacing w:val="-4"/>
        </w:rPr>
        <w:t> </w:t>
      </w:r>
      <w:r>
        <w:rPr/>
        <w:t>while it</w:t>
      </w:r>
      <w:r>
        <w:rPr>
          <w:spacing w:val="-4"/>
        </w:rPr>
        <w:t> </w:t>
      </w:r>
      <w:r>
        <w:rPr/>
        <w:t>did not work well in Latin America. He argued that pervasive homogeneity among the Western Europe was a decisive factor. First among those structural homogeneities, was a pluralistic social structure shared by founding members of the community. People according to </w:t>
      </w:r>
      <w:r>
        <w:rPr>
          <w:sz w:val="27"/>
        </w:rPr>
        <w:t>Haas, </w:t>
      </w:r>
      <w:r>
        <w:rPr/>
        <w:t>were increasingly active in public life and every political party in one state could “easily point to its counterpart in other countries.” Second, elites had</w:t>
      </w:r>
      <w:r>
        <w:rPr>
          <w:spacing w:val="40"/>
        </w:rPr>
        <w:t> </w:t>
      </w:r>
      <w:r>
        <w:rPr/>
        <w:t>similar feelings and expectations about integration. Third, European civil services were very similar to each other, therefore, everyone could easily adjust to supranational branch of bureaucracy. (</w:t>
      </w:r>
      <w:hyperlink w:history="true" w:anchor="_bookmark201">
        <w:r>
          <w:rPr/>
          <w:t>Haas, 1967, p. 321</w:t>
        </w:r>
      </w:hyperlink>
      <w:r>
        <w:rPr/>
        <w:t>)</w:t>
      </w:r>
    </w:p>
    <w:p>
      <w:pPr>
        <w:pStyle w:val="BodyText"/>
        <w:spacing w:line="273" w:lineRule="auto" w:before="14"/>
        <w:ind w:right="1911" w:firstLine="720"/>
      </w:pPr>
      <w:r>
        <w:rPr/>
        <w:t>The main goal of integration was economic prosperity that is why political proposals for federation, could not gain as much support as did gradualist economic integration. </w:t>
      </w:r>
      <w:r>
        <w:rPr>
          <w:sz w:val="27"/>
        </w:rPr>
        <w:t>Haas </w:t>
      </w:r>
      <w:r>
        <w:rPr/>
        <w:t>argues that politicians were important in the process of integration, because their actions did not contradict functionalist logic. The NF emphasizes on “principal agents of change which were identified primarily as technocratic elites, politicians, supranational interest groups, and other lobbies.” (</w:t>
      </w:r>
      <w:hyperlink w:history="true" w:anchor="_bookmark287">
        <w:r>
          <w:rPr/>
          <w:t>McGowan, 2007</w:t>
        </w:r>
      </w:hyperlink>
      <w:r>
        <w:rPr/>
        <w:t>) These agents were ones who had to persuade state actors to shift their loyalties to supranational institutions.</w:t>
      </w:r>
    </w:p>
    <w:p>
      <w:pPr>
        <w:pStyle w:val="BodyText"/>
        <w:spacing w:line="273" w:lineRule="auto" w:before="6"/>
        <w:ind w:right="1908" w:firstLine="720"/>
      </w:pPr>
      <w:r>
        <w:rPr/>
        <w:t>From technocratic elite a key functionalist actor was </w:t>
      </w:r>
      <w:r>
        <w:rPr>
          <w:sz w:val="27"/>
        </w:rPr>
        <w:t>Jean Monnet</w:t>
      </w:r>
      <w:r>
        <w:rPr/>
        <w:t>. He looked at Europe holistically, considering it as a system, with interrelated, functioning elements within it. Further integration for him was possible only in “gradual adjustable fashion, and not in a sudden, revolutionary</w:t>
      </w:r>
      <w:r>
        <w:rPr>
          <w:spacing w:val="-1"/>
        </w:rPr>
        <w:t> </w:t>
      </w:r>
      <w:r>
        <w:rPr/>
        <w:t>way.” (</w:t>
      </w:r>
      <w:hyperlink w:history="true" w:anchor="_bookmark95">
        <w:r>
          <w:rPr/>
          <w:t>Berghe, 1963, p. 696</w:t>
        </w:r>
      </w:hyperlink>
      <w:r>
        <w:rPr/>
        <w:t>)</w:t>
      </w:r>
      <w:r>
        <w:rPr>
          <w:spacing w:val="40"/>
        </w:rPr>
        <w:t> </w:t>
      </w:r>
      <w:r>
        <w:rPr/>
        <w:t>He</w:t>
      </w:r>
      <w:r>
        <w:rPr>
          <w:spacing w:val="-1"/>
        </w:rPr>
        <w:t> </w:t>
      </w:r>
      <w:r>
        <w:rPr/>
        <w:t>also</w:t>
      </w:r>
      <w:r>
        <w:rPr>
          <w:spacing w:val="-4"/>
        </w:rPr>
        <w:t> </w:t>
      </w:r>
      <w:r>
        <w:rPr/>
        <w:t>knew that –</w:t>
      </w:r>
      <w:r>
        <w:rPr>
          <w:spacing w:val="-1"/>
        </w:rPr>
        <w:t> </w:t>
      </w:r>
      <w:r>
        <w:rPr/>
        <w:t>‘integration is never perfect, social systems are fundamentally in a state of dynamic equilibrium’ (</w:t>
      </w:r>
      <w:hyperlink w:history="true" w:anchor="_bookmark95">
        <w:r>
          <w:rPr/>
          <w:t>Berghe, 1963, p. 696</w:t>
        </w:r>
      </w:hyperlink>
      <w:r>
        <w:rPr/>
        <w:t>) and in order avoid deviations, process should be strongly institutionalized.</w:t>
      </w:r>
      <w:r>
        <w:rPr>
          <w:spacing w:val="40"/>
        </w:rPr>
        <w:t> </w:t>
      </w:r>
      <w:r>
        <w:rPr/>
        <w:t>First steps of the community building were clearly elite driven, e.g. </w:t>
      </w:r>
      <w:r>
        <w:rPr>
          <w:sz w:val="27"/>
        </w:rPr>
        <w:t>Jean Monnet </w:t>
      </w:r>
      <w:r>
        <w:rPr/>
        <w:t>believed that in the beginning ‘direct involvement of as yet uninformed publics’ was not necessary:</w:t>
      </w:r>
    </w:p>
    <w:p>
      <w:pPr>
        <w:pStyle w:val="BodyText"/>
        <w:spacing w:before="69"/>
        <w:ind w:left="0"/>
        <w:jc w:val="left"/>
      </w:pPr>
    </w:p>
    <w:p>
      <w:pPr>
        <w:pStyle w:val="BodyText"/>
        <w:spacing w:line="276" w:lineRule="auto"/>
        <w:ind w:left="2420" w:right="1909"/>
        <w:jc w:val="left"/>
      </w:pPr>
      <w:r>
        <w:rPr/>
        <mc:AlternateContent>
          <mc:Choice Requires="wps">
            <w:drawing>
              <wp:anchor distT="0" distB="0" distL="0" distR="0" allowOverlap="1" layoutInCell="1" locked="0" behindDoc="0" simplePos="0" relativeHeight="15758848">
                <wp:simplePos x="0" y="0"/>
                <wp:positionH relativeFrom="page">
                  <wp:posOffset>1923923</wp:posOffset>
                </wp:positionH>
                <wp:positionV relativeFrom="paragraph">
                  <wp:posOffset>-1019</wp:posOffset>
                </wp:positionV>
                <wp:extent cx="1270" cy="500380"/>
                <wp:effectExtent l="0" t="0" r="0" b="0"/>
                <wp:wrapNone/>
                <wp:docPr id="75" name="Graphic 75"/>
                <wp:cNvGraphicFramePr>
                  <a:graphicFrameLocks/>
                </wp:cNvGraphicFramePr>
                <a:graphic>
                  <a:graphicData uri="http://schemas.microsoft.com/office/word/2010/wordprocessingShape">
                    <wps:wsp>
                      <wps:cNvPr id="75" name="Graphic 75"/>
                      <wps:cNvSpPr/>
                      <wps:spPr>
                        <a:xfrm>
                          <a:off x="0" y="0"/>
                          <a:ext cx="1270" cy="500380"/>
                        </a:xfrm>
                        <a:custGeom>
                          <a:avLst/>
                          <a:gdLst/>
                          <a:ahLst/>
                          <a:cxnLst/>
                          <a:rect l="l" t="t" r="r" b="b"/>
                          <a:pathLst>
                            <a:path w="0" h="500380">
                              <a:moveTo>
                                <a:pt x="0" y="0"/>
                              </a:moveTo>
                              <a:lnTo>
                                <a:pt x="0" y="249961"/>
                              </a:lnTo>
                            </a:path>
                            <a:path w="0" h="500380">
                              <a:moveTo>
                                <a:pt x="0" y="249961"/>
                              </a:moveTo>
                              <a:lnTo>
                                <a:pt x="0" y="500202"/>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80288pt;width:.1pt;height:39.4pt;mso-position-horizontal-relative:page;mso-position-vertical-relative:paragraph;z-index:15758848" id="docshape70" coordorigin="3030,-2" coordsize="0,788" path="m3030,-2l3030,392m3030,392l3030,786e" filled="false" stroked="true" strokeweight=".48pt" strokecolor="#000000">
                <v:path arrowok="t"/>
                <v:stroke dashstyle="shortdash"/>
                <w10:wrap type="none"/>
              </v:shape>
            </w:pict>
          </mc:Fallback>
        </mc:AlternateContent>
      </w:r>
      <w:r>
        <w:rPr/>
        <w:t>“Integration</w:t>
      </w:r>
      <w:r>
        <w:rPr>
          <w:spacing w:val="-3"/>
        </w:rPr>
        <w:t> </w:t>
      </w:r>
      <w:r>
        <w:rPr/>
        <w:t>was</w:t>
      </w:r>
      <w:r>
        <w:rPr>
          <w:spacing w:val="-6"/>
        </w:rPr>
        <w:t> </w:t>
      </w:r>
      <w:r>
        <w:rPr/>
        <w:t>to</w:t>
      </w:r>
      <w:r>
        <w:rPr>
          <w:spacing w:val="-7"/>
        </w:rPr>
        <w:t> </w:t>
      </w:r>
      <w:r>
        <w:rPr/>
        <w:t>be</w:t>
      </w:r>
      <w:r>
        <w:rPr>
          <w:spacing w:val="-4"/>
        </w:rPr>
        <w:t> </w:t>
      </w:r>
      <w:r>
        <w:rPr/>
        <w:t>based</w:t>
      </w:r>
      <w:r>
        <w:rPr>
          <w:spacing w:val="-2"/>
        </w:rPr>
        <w:t> </w:t>
      </w:r>
      <w:r>
        <w:rPr/>
        <w:t>on</w:t>
      </w:r>
      <w:r>
        <w:rPr>
          <w:spacing w:val="-3"/>
        </w:rPr>
        <w:t> </w:t>
      </w:r>
      <w:r>
        <w:rPr/>
        <w:t>the</w:t>
      </w:r>
      <w:r>
        <w:rPr>
          <w:spacing w:val="-4"/>
        </w:rPr>
        <w:t> </w:t>
      </w:r>
      <w:r>
        <w:rPr/>
        <w:t>combination</w:t>
      </w:r>
      <w:r>
        <w:rPr>
          <w:spacing w:val="-3"/>
        </w:rPr>
        <w:t> </w:t>
      </w:r>
      <w:r>
        <w:rPr/>
        <w:t>of</w:t>
      </w:r>
      <w:r>
        <w:rPr>
          <w:spacing w:val="-5"/>
        </w:rPr>
        <w:t> </w:t>
      </w:r>
      <w:r>
        <w:rPr/>
        <w:t>benevolent technocrats</w:t>
      </w:r>
      <w:r>
        <w:rPr>
          <w:spacing w:val="59"/>
        </w:rPr>
        <w:t> </w:t>
      </w:r>
      <w:r>
        <w:rPr/>
        <w:t>and</w:t>
      </w:r>
      <w:r>
        <w:rPr>
          <w:spacing w:val="63"/>
        </w:rPr>
        <w:t> </w:t>
      </w:r>
      <w:r>
        <w:rPr/>
        <w:t>interest-propelled</w:t>
      </w:r>
      <w:r>
        <w:rPr>
          <w:spacing w:val="63"/>
        </w:rPr>
        <w:t> </w:t>
      </w:r>
      <w:r>
        <w:rPr/>
        <w:t>economic</w:t>
      </w:r>
      <w:r>
        <w:rPr>
          <w:spacing w:val="61"/>
        </w:rPr>
        <w:t> </w:t>
      </w:r>
      <w:r>
        <w:rPr/>
        <w:t>groups,</w:t>
      </w:r>
      <w:r>
        <w:rPr>
          <w:spacing w:val="63"/>
        </w:rPr>
        <w:t> </w:t>
      </w:r>
      <w:r>
        <w:rPr>
          <w:spacing w:val="-2"/>
        </w:rPr>
        <w:t>which</w:t>
      </w:r>
    </w:p>
    <w:p>
      <w:pPr>
        <w:pStyle w:val="BodyText"/>
        <w:spacing w:after="0" w:line="276" w:lineRule="auto"/>
        <w:jc w:val="left"/>
        <w:sectPr>
          <w:pgSz w:w="12240" w:h="15840"/>
          <w:pgMar w:header="1046" w:footer="0" w:top="1360" w:bottom="280" w:left="720" w:right="360"/>
        </w:sectPr>
      </w:pPr>
    </w:p>
    <w:p>
      <w:pPr>
        <w:pStyle w:val="BodyText"/>
        <w:spacing w:line="276" w:lineRule="auto" w:before="276"/>
        <w:ind w:left="2420" w:right="1909"/>
        <w:jc w:val="left"/>
      </w:pPr>
      <w:r>
        <w:rPr/>
        <mc:AlternateContent>
          <mc:Choice Requires="wps">
            <w:drawing>
              <wp:anchor distT="0" distB="0" distL="0" distR="0" allowOverlap="1" layoutInCell="1" locked="0" behindDoc="0" simplePos="0" relativeHeight="15759360">
                <wp:simplePos x="0" y="0"/>
                <wp:positionH relativeFrom="page">
                  <wp:posOffset>1923923</wp:posOffset>
                </wp:positionH>
                <wp:positionV relativeFrom="paragraph">
                  <wp:posOffset>174084</wp:posOffset>
                </wp:positionV>
                <wp:extent cx="1270" cy="500380"/>
                <wp:effectExtent l="0" t="0" r="0" b="0"/>
                <wp:wrapNone/>
                <wp:docPr id="76" name="Graphic 76"/>
                <wp:cNvGraphicFramePr>
                  <a:graphicFrameLocks/>
                </wp:cNvGraphicFramePr>
                <a:graphic>
                  <a:graphicData uri="http://schemas.microsoft.com/office/word/2010/wordprocessingShape">
                    <wps:wsp>
                      <wps:cNvPr id="76" name="Graphic 76"/>
                      <wps:cNvSpPr/>
                      <wps:spPr>
                        <a:xfrm>
                          <a:off x="0" y="0"/>
                          <a:ext cx="1270" cy="500380"/>
                        </a:xfrm>
                        <a:custGeom>
                          <a:avLst/>
                          <a:gdLst/>
                          <a:ahLst/>
                          <a:cxnLst/>
                          <a:rect l="l" t="t" r="r" b="b"/>
                          <a:pathLst>
                            <a:path w="0" h="500380">
                              <a:moveTo>
                                <a:pt x="0" y="0"/>
                              </a:moveTo>
                              <a:lnTo>
                                <a:pt x="0" y="249935"/>
                              </a:lnTo>
                            </a:path>
                            <a:path w="0" h="500380">
                              <a:moveTo>
                                <a:pt x="0" y="249935"/>
                              </a:moveTo>
                              <a:lnTo>
                                <a:pt x="0" y="499872"/>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13.707422pt;width:.1pt;height:39.4pt;mso-position-horizontal-relative:page;mso-position-vertical-relative:paragraph;z-index:15759360" id="docshape71" coordorigin="3030,274" coordsize="0,788" path="m3030,274l3030,668m3030,668l3030,1061e" filled="false" stroked="true" strokeweight=".48pt" strokecolor="#000000">
                <v:path arrowok="t"/>
                <v:stroke dashstyle="shortdash"/>
                <w10:wrap type="none"/>
              </v:shape>
            </w:pict>
          </mc:Fallback>
        </mc:AlternateContent>
      </w:r>
      <w:r>
        <w:rPr/>
        <w:t>would</w:t>
      </w:r>
      <w:r>
        <w:rPr>
          <w:spacing w:val="40"/>
        </w:rPr>
        <w:t> </w:t>
      </w:r>
      <w:r>
        <w:rPr/>
        <w:t>build</w:t>
      </w:r>
      <w:r>
        <w:rPr>
          <w:spacing w:val="40"/>
        </w:rPr>
        <w:t> </w:t>
      </w:r>
      <w:r>
        <w:rPr/>
        <w:t>transnational</w:t>
      </w:r>
      <w:r>
        <w:rPr>
          <w:spacing w:val="40"/>
        </w:rPr>
        <w:t> </w:t>
      </w:r>
      <w:r>
        <w:rPr/>
        <w:t>coalitions</w:t>
      </w:r>
      <w:r>
        <w:rPr>
          <w:spacing w:val="40"/>
        </w:rPr>
        <w:t> </w:t>
      </w:r>
      <w:r>
        <w:rPr/>
        <w:t>in</w:t>
      </w:r>
      <w:r>
        <w:rPr>
          <w:spacing w:val="40"/>
        </w:rPr>
        <w:t> </w:t>
      </w:r>
      <w:r>
        <w:rPr/>
        <w:t>support</w:t>
      </w:r>
      <w:r>
        <w:rPr>
          <w:spacing w:val="40"/>
        </w:rPr>
        <w:t> </w:t>
      </w:r>
      <w:r>
        <w:rPr/>
        <w:t>of</w:t>
      </w:r>
      <w:r>
        <w:rPr>
          <w:spacing w:val="40"/>
        </w:rPr>
        <w:t> </w:t>
      </w:r>
      <w:r>
        <w:rPr/>
        <w:t>European </w:t>
      </w:r>
      <w:r>
        <w:rPr>
          <w:spacing w:val="-2"/>
        </w:rPr>
        <w:t>policy.”</w:t>
      </w:r>
    </w:p>
    <w:p>
      <w:pPr>
        <w:pStyle w:val="BodyText"/>
        <w:ind w:left="7135"/>
      </w:pPr>
      <w:r>
        <w:rPr/>
        <w:t>(</w:t>
      </w:r>
      <w:hyperlink w:history="true" w:anchor="_bookmark143">
        <w:r>
          <w:rPr/>
          <w:t>Craig,</w:t>
        </w:r>
        <w:r>
          <w:rPr>
            <w:spacing w:val="-5"/>
          </w:rPr>
          <w:t> </w:t>
        </w:r>
        <w:r>
          <w:rPr/>
          <w:t>2003,</w:t>
        </w:r>
        <w:r>
          <w:rPr>
            <w:spacing w:val="-7"/>
          </w:rPr>
          <w:t> </w:t>
        </w:r>
        <w:r>
          <w:rPr/>
          <w:t>p.</w:t>
        </w:r>
        <w:r>
          <w:rPr>
            <w:spacing w:val="-5"/>
          </w:rPr>
          <w:t> 83</w:t>
        </w:r>
      </w:hyperlink>
      <w:r>
        <w:rPr>
          <w:spacing w:val="-5"/>
        </w:rPr>
        <w:t>)</w:t>
      </w:r>
    </w:p>
    <w:p>
      <w:pPr>
        <w:pStyle w:val="BodyText"/>
        <w:spacing w:line="271" w:lineRule="auto" w:before="52"/>
        <w:ind w:right="1902"/>
      </w:pPr>
      <w:r>
        <w:rPr/>
        <w:t>As we have already mentioned, initial plans worked well and neo- functionalism almost acquired a status of the theoretical manual of European Integration. Problems started when </w:t>
      </w:r>
      <w:r>
        <w:rPr>
          <w:sz w:val="27"/>
        </w:rPr>
        <w:t>Charles de Gaulle </w:t>
      </w:r>
      <w:r>
        <w:rPr/>
        <w:t>came to power. He brought back high politics, which appealed to patriotism and cherished the state sovereignty. </w:t>
      </w:r>
      <w:r>
        <w:rPr>
          <w:sz w:val="27"/>
        </w:rPr>
        <w:t>De Gaulle’s </w:t>
      </w:r>
      <w:r>
        <w:rPr/>
        <w:t>political influence was enough to end the initial phase of integration.</w:t>
      </w:r>
    </w:p>
    <w:p>
      <w:pPr>
        <w:pStyle w:val="BodyText"/>
        <w:spacing w:line="271" w:lineRule="auto" w:before="10"/>
        <w:ind w:right="1905" w:firstLine="720"/>
      </w:pPr>
      <w:r>
        <w:rPr/>
        <w:t>Neo-functionalists have realized that spillover, no longer worked. </w:t>
      </w:r>
      <w:r>
        <w:rPr>
          <w:sz w:val="27"/>
        </w:rPr>
        <w:t>Schmitter </w:t>
      </w:r>
      <w:r>
        <w:rPr/>
        <w:t>admitted that: “Any comprehensive theory of integration should potentially</w:t>
      </w:r>
      <w:r>
        <w:rPr>
          <w:spacing w:val="-2"/>
        </w:rPr>
        <w:t> </w:t>
      </w:r>
      <w:r>
        <w:rPr/>
        <w:t>be</w:t>
      </w:r>
      <w:r>
        <w:rPr>
          <w:spacing w:val="-2"/>
        </w:rPr>
        <w:t> </w:t>
      </w:r>
      <w:r>
        <w:rPr/>
        <w:t>a</w:t>
      </w:r>
      <w:r>
        <w:rPr>
          <w:spacing w:val="-2"/>
        </w:rPr>
        <w:t> </w:t>
      </w:r>
      <w:r>
        <w:rPr/>
        <w:t>theory</w:t>
      </w:r>
      <w:r>
        <w:rPr>
          <w:spacing w:val="-2"/>
        </w:rPr>
        <w:t> </w:t>
      </w:r>
      <w:r>
        <w:rPr/>
        <w:t>of</w:t>
      </w:r>
      <w:r>
        <w:rPr>
          <w:spacing w:val="-3"/>
        </w:rPr>
        <w:t> </w:t>
      </w:r>
      <w:r>
        <w:rPr/>
        <w:t>disintegration.”</w:t>
      </w:r>
      <w:r>
        <w:rPr>
          <w:spacing w:val="-1"/>
        </w:rPr>
        <w:t> </w:t>
      </w:r>
      <w:r>
        <w:rPr/>
        <w:t>(</w:t>
      </w:r>
      <w:hyperlink w:history="true" w:anchor="_bookmark379">
        <w:r>
          <w:rPr/>
          <w:t>2002</w:t>
        </w:r>
      </w:hyperlink>
      <w:r>
        <w:rPr/>
        <w:t>)</w:t>
      </w:r>
      <w:r>
        <w:rPr>
          <w:spacing w:val="-1"/>
        </w:rPr>
        <w:t> </w:t>
      </w:r>
      <w:r>
        <w:rPr/>
        <w:t>Worth</w:t>
      </w:r>
      <w:r>
        <w:rPr>
          <w:spacing w:val="-2"/>
        </w:rPr>
        <w:t> </w:t>
      </w:r>
      <w:r>
        <w:rPr/>
        <w:t>mentioning</w:t>
      </w:r>
      <w:r>
        <w:rPr>
          <w:spacing w:val="-2"/>
        </w:rPr>
        <w:t> </w:t>
      </w:r>
      <w:r>
        <w:rPr/>
        <w:t>the</w:t>
      </w:r>
      <w:r>
        <w:rPr>
          <w:spacing w:val="-2"/>
        </w:rPr>
        <w:t> </w:t>
      </w:r>
      <w:r>
        <w:rPr/>
        <w:t>fact that, NF scholars from the very beginning dedicated significant attention to self-reflection, for example even before the </w:t>
      </w:r>
      <w:r>
        <w:rPr>
          <w:sz w:val="27"/>
        </w:rPr>
        <w:t>de Gaulle</w:t>
      </w:r>
      <w:r>
        <w:rPr/>
        <w:t>’s affair, </w:t>
      </w:r>
      <w:r>
        <w:rPr>
          <w:sz w:val="27"/>
        </w:rPr>
        <w:t>Leon Lindberg </w:t>
      </w:r>
      <w:r>
        <w:rPr/>
        <w:t>had observed that:</w:t>
      </w:r>
    </w:p>
    <w:p>
      <w:pPr>
        <w:pStyle w:val="BodyText"/>
        <w:spacing w:before="48"/>
        <w:ind w:left="0"/>
        <w:jc w:val="left"/>
      </w:pPr>
    </w:p>
    <w:p>
      <w:pPr>
        <w:pStyle w:val="BodyText"/>
        <w:spacing w:line="276" w:lineRule="auto"/>
        <w:ind w:left="2420" w:right="1911"/>
      </w:pPr>
      <w:r>
        <w:rPr/>
        <mc:AlternateContent>
          <mc:Choice Requires="wps">
            <w:drawing>
              <wp:anchor distT="0" distB="0" distL="0" distR="0" allowOverlap="1" layoutInCell="1" locked="0" behindDoc="0" simplePos="0" relativeHeight="15759872">
                <wp:simplePos x="0" y="0"/>
                <wp:positionH relativeFrom="page">
                  <wp:posOffset>1923923</wp:posOffset>
                </wp:positionH>
                <wp:positionV relativeFrom="paragraph">
                  <wp:posOffset>-1135</wp:posOffset>
                </wp:positionV>
                <wp:extent cx="1270" cy="1000125"/>
                <wp:effectExtent l="0" t="0" r="0" b="0"/>
                <wp:wrapNone/>
                <wp:docPr id="77" name="Graphic 77"/>
                <wp:cNvGraphicFramePr>
                  <a:graphicFrameLocks/>
                </wp:cNvGraphicFramePr>
                <a:graphic>
                  <a:graphicData uri="http://schemas.microsoft.com/office/word/2010/wordprocessingShape">
                    <wps:wsp>
                      <wps:cNvPr id="77" name="Graphic 77"/>
                      <wps:cNvSpPr/>
                      <wps:spPr>
                        <a:xfrm>
                          <a:off x="0" y="0"/>
                          <a:ext cx="1270" cy="1000125"/>
                        </a:xfrm>
                        <a:custGeom>
                          <a:avLst/>
                          <a:gdLst/>
                          <a:ahLst/>
                          <a:cxnLst/>
                          <a:rect l="l" t="t" r="r" b="b"/>
                          <a:pathLst>
                            <a:path w="0" h="1000125">
                              <a:moveTo>
                                <a:pt x="0" y="0"/>
                              </a:moveTo>
                              <a:lnTo>
                                <a:pt x="0" y="249936"/>
                              </a:lnTo>
                            </a:path>
                            <a:path w="0" h="1000125">
                              <a:moveTo>
                                <a:pt x="0" y="249936"/>
                              </a:moveTo>
                              <a:lnTo>
                                <a:pt x="0" y="499872"/>
                              </a:lnTo>
                            </a:path>
                            <a:path w="0" h="1000125">
                              <a:moveTo>
                                <a:pt x="0" y="499872"/>
                              </a:moveTo>
                              <a:lnTo>
                                <a:pt x="0" y="749808"/>
                              </a:lnTo>
                            </a:path>
                            <a:path w="0" h="1000125">
                              <a:moveTo>
                                <a:pt x="0" y="749808"/>
                              </a:moveTo>
                              <a:lnTo>
                                <a:pt x="0" y="999998"/>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89377pt;width:.1pt;height:78.75pt;mso-position-horizontal-relative:page;mso-position-vertical-relative:paragraph;z-index:15759872" id="docshape72" coordorigin="3030,-2" coordsize="0,1575" path="m3030,-2l3030,392m3030,392l3030,785m3030,785l3030,1179m3030,1179l3030,1573e" filled="false" stroked="true" strokeweight=".48pt" strokecolor="#000000">
                <v:path arrowok="t"/>
                <v:stroke dashstyle="shortdash"/>
                <w10:wrap type="none"/>
              </v:shape>
            </w:pict>
          </mc:Fallback>
        </mc:AlternateContent>
      </w:r>
      <w:r>
        <w:rPr/>
        <w:t>“it</w:t>
      </w:r>
      <w:r>
        <w:rPr>
          <w:spacing w:val="-5"/>
        </w:rPr>
        <w:t> </w:t>
      </w:r>
      <w:r>
        <w:rPr/>
        <w:t>is</w:t>
      </w:r>
      <w:r>
        <w:rPr>
          <w:spacing w:val="-7"/>
        </w:rPr>
        <w:t> </w:t>
      </w:r>
      <w:r>
        <w:rPr/>
        <w:t>logically</w:t>
      </w:r>
      <w:r>
        <w:rPr>
          <w:spacing w:val="-5"/>
        </w:rPr>
        <w:t> </w:t>
      </w:r>
      <w:r>
        <w:rPr/>
        <w:t>and</w:t>
      </w:r>
      <w:r>
        <w:rPr>
          <w:spacing w:val="-3"/>
        </w:rPr>
        <w:t> </w:t>
      </w:r>
      <w:r>
        <w:rPr/>
        <w:t>empirically</w:t>
      </w:r>
      <w:r>
        <w:rPr>
          <w:spacing w:val="-5"/>
        </w:rPr>
        <w:t> </w:t>
      </w:r>
      <w:r>
        <w:rPr/>
        <w:t>possible</w:t>
      </w:r>
      <w:r>
        <w:rPr>
          <w:spacing w:val="-5"/>
        </w:rPr>
        <w:t> </w:t>
      </w:r>
      <w:r>
        <w:rPr/>
        <w:t>that</w:t>
      </w:r>
      <w:r>
        <w:rPr>
          <w:spacing w:val="-5"/>
        </w:rPr>
        <w:t> </w:t>
      </w:r>
      <w:r>
        <w:rPr/>
        <w:t>collective</w:t>
      </w:r>
      <w:r>
        <w:rPr>
          <w:spacing w:val="-5"/>
        </w:rPr>
        <w:t> </w:t>
      </w:r>
      <w:r>
        <w:rPr/>
        <w:t>decision- making procedures involving a significant amount of political integration can be achieved without moving toward a political community as defined by Haas.”</w:t>
      </w:r>
    </w:p>
    <w:p>
      <w:pPr>
        <w:pStyle w:val="BodyText"/>
        <w:spacing w:line="268" w:lineRule="auto"/>
        <w:ind w:left="1700" w:right="1908" w:firstLine="4585"/>
      </w:pPr>
      <w:r>
        <w:rPr/>
        <w:t>(</w:t>
      </w:r>
      <w:hyperlink w:history="true" w:anchor="_bookmark193">
        <w:r>
          <w:rPr/>
          <w:t>In: Gehring, 1996, p. 229</w:t>
        </w:r>
      </w:hyperlink>
      <w:r>
        <w:rPr/>
        <w:t>) Probably</w:t>
      </w:r>
      <w:r>
        <w:rPr>
          <w:spacing w:val="-2"/>
        </w:rPr>
        <w:t> </w:t>
      </w:r>
      <w:r>
        <w:rPr/>
        <w:t>the</w:t>
      </w:r>
      <w:r>
        <w:rPr>
          <w:spacing w:val="-3"/>
        </w:rPr>
        <w:t> </w:t>
      </w:r>
      <w:r>
        <w:rPr/>
        <w:t>most</w:t>
      </w:r>
      <w:r>
        <w:rPr>
          <w:spacing w:val="-2"/>
        </w:rPr>
        <w:t> </w:t>
      </w:r>
      <w:r>
        <w:rPr/>
        <w:t>critical</w:t>
      </w:r>
      <w:r>
        <w:rPr>
          <w:spacing w:val="-6"/>
        </w:rPr>
        <w:t> </w:t>
      </w:r>
      <w:r>
        <w:rPr/>
        <w:t>towards</w:t>
      </w:r>
      <w:r>
        <w:rPr>
          <w:spacing w:val="-4"/>
        </w:rPr>
        <w:t> </w:t>
      </w:r>
      <w:r>
        <w:rPr/>
        <w:t>his</w:t>
      </w:r>
      <w:r>
        <w:rPr>
          <w:spacing w:val="-4"/>
        </w:rPr>
        <w:t> </w:t>
      </w:r>
      <w:r>
        <w:rPr/>
        <w:t>own</w:t>
      </w:r>
      <w:r>
        <w:rPr>
          <w:spacing w:val="-2"/>
        </w:rPr>
        <w:t> </w:t>
      </w:r>
      <w:r>
        <w:rPr/>
        <w:t>approach</w:t>
      </w:r>
      <w:r>
        <w:rPr>
          <w:spacing w:val="-2"/>
        </w:rPr>
        <w:t> </w:t>
      </w:r>
      <w:r>
        <w:rPr/>
        <w:t>was</w:t>
      </w:r>
      <w:r>
        <w:rPr>
          <w:spacing w:val="2"/>
        </w:rPr>
        <w:t> </w:t>
      </w:r>
      <w:r>
        <w:rPr>
          <w:sz w:val="27"/>
        </w:rPr>
        <w:t>Ernst</w:t>
      </w:r>
      <w:r>
        <w:rPr>
          <w:spacing w:val="-5"/>
          <w:sz w:val="27"/>
        </w:rPr>
        <w:t> </w:t>
      </w:r>
      <w:r>
        <w:rPr>
          <w:spacing w:val="-2"/>
          <w:sz w:val="27"/>
        </w:rPr>
        <w:t>Haas</w:t>
      </w:r>
      <w:r>
        <w:rPr>
          <w:spacing w:val="-2"/>
        </w:rPr>
        <w:t>.</w:t>
      </w:r>
    </w:p>
    <w:p>
      <w:pPr>
        <w:pStyle w:val="BodyText"/>
        <w:spacing w:line="271" w:lineRule="auto" w:before="5"/>
        <w:ind w:right="1902"/>
      </w:pPr>
      <w:r>
        <w:rPr/>
        <w:t>His self-references about theoretical shortcomings of the NF had already appeared in the 60s. </w:t>
      </w:r>
      <w:r>
        <w:rPr>
          <w:sz w:val="27"/>
        </w:rPr>
        <w:t>Haas </w:t>
      </w:r>
      <w:r>
        <w:rPr/>
        <w:t>argued that pragmatic economic politics have limits, which cause reversible effects and those effects can cause disintegration. </w:t>
      </w:r>
      <w:r>
        <w:rPr>
          <w:sz w:val="27"/>
        </w:rPr>
        <w:t>Haas </w:t>
      </w:r>
      <w:r>
        <w:rPr/>
        <w:t>acknowledged that integration build up on high</w:t>
      </w:r>
      <w:r>
        <w:rPr>
          <w:spacing w:val="40"/>
        </w:rPr>
        <w:t> </w:t>
      </w:r>
      <w:r>
        <w:rPr/>
        <w:t>politics is more durable, than integration constructed solely on pragmatic economic calculations. (</w:t>
      </w:r>
      <w:hyperlink w:history="true" w:anchor="_bookmark201">
        <w:r>
          <w:rPr/>
          <w:t>Haas, 1967, p. 328</w:t>
        </w:r>
      </w:hyperlink>
      <w:r>
        <w:rPr/>
        <w:t>) Consequently </w:t>
      </w:r>
      <w:r>
        <w:rPr>
          <w:sz w:val="27"/>
        </w:rPr>
        <w:t>Lindberg </w:t>
      </w:r>
      <w:r>
        <w:rPr/>
        <w:t>and </w:t>
      </w:r>
      <w:r>
        <w:rPr>
          <w:sz w:val="27"/>
        </w:rPr>
        <w:t>Scheingold </w:t>
      </w:r>
      <w:r>
        <w:rPr/>
        <w:t>introduced concept of </w:t>
      </w:r>
      <w:r>
        <w:rPr>
          <w:sz w:val="27"/>
        </w:rPr>
        <w:t>spill back, </w:t>
      </w:r>
      <w:r>
        <w:rPr/>
        <w:t>the concepts describes actors’ withdrawal from the commitments</w:t>
      </w:r>
      <w:r>
        <w:rPr>
          <w:spacing w:val="40"/>
        </w:rPr>
        <w:t> </w:t>
      </w:r>
      <w:r>
        <w:rPr/>
        <w:t>and is “an outcome pattern which is characterized by a decrease in sectoral scope or institutional capacities, or both.”</w:t>
      </w:r>
      <w:r>
        <w:rPr>
          <w:spacing w:val="-3"/>
        </w:rPr>
        <w:t> </w:t>
      </w:r>
      <w:r>
        <w:rPr/>
        <w:t>(</w:t>
      </w:r>
      <w:hyperlink w:history="true" w:anchor="_bookmark261">
        <w:r>
          <w:rPr/>
          <w:t>Lindberg</w:t>
        </w:r>
        <w:r>
          <w:rPr>
            <w:spacing w:val="-4"/>
          </w:rPr>
          <w:t> </w:t>
        </w:r>
        <w:r>
          <w:rPr/>
          <w:t>&amp;</w:t>
        </w:r>
        <w:r>
          <w:rPr>
            <w:spacing w:val="-6"/>
          </w:rPr>
          <w:t> </w:t>
        </w:r>
        <w:r>
          <w:rPr/>
          <w:t>Scheingold,</w:t>
        </w:r>
        <w:r>
          <w:rPr>
            <w:spacing w:val="-3"/>
          </w:rPr>
          <w:t> </w:t>
        </w:r>
        <w:r>
          <w:rPr/>
          <w:t>1970,</w:t>
        </w:r>
        <w:r>
          <w:rPr>
            <w:spacing w:val="-3"/>
          </w:rPr>
          <w:t> </w:t>
        </w:r>
        <w:r>
          <w:rPr/>
          <w:t>p.</w:t>
        </w:r>
        <w:r>
          <w:rPr>
            <w:spacing w:val="-3"/>
          </w:rPr>
          <w:t> </w:t>
        </w:r>
        <w:r>
          <w:rPr/>
          <w:t>199</w:t>
        </w:r>
      </w:hyperlink>
      <w:r>
        <w:rPr/>
        <w:t>)</w:t>
      </w:r>
      <w:r>
        <w:rPr>
          <w:spacing w:val="-6"/>
        </w:rPr>
        <w:t> </w:t>
      </w:r>
      <w:r>
        <w:rPr/>
        <w:t>In</w:t>
      </w:r>
      <w:r>
        <w:rPr>
          <w:spacing w:val="-3"/>
        </w:rPr>
        <w:t> </w:t>
      </w:r>
      <w:r>
        <w:rPr/>
        <w:t>the</w:t>
      </w:r>
      <w:r>
        <w:rPr>
          <w:spacing w:val="-3"/>
        </w:rPr>
        <w:t> </w:t>
      </w:r>
      <w:r>
        <w:rPr/>
        <w:t>70s,</w:t>
      </w:r>
      <w:r>
        <w:rPr>
          <w:spacing w:val="-2"/>
        </w:rPr>
        <w:t> </w:t>
      </w:r>
      <w:r>
        <w:rPr/>
        <w:t>when</w:t>
      </w:r>
      <w:r>
        <w:rPr>
          <w:spacing w:val="-3"/>
        </w:rPr>
        <w:t> </w:t>
      </w:r>
      <w:r>
        <w:rPr/>
        <w:t>the</w:t>
      </w:r>
      <w:r>
        <w:rPr>
          <w:spacing w:val="-4"/>
        </w:rPr>
        <w:t> </w:t>
      </w:r>
      <w:r>
        <w:rPr>
          <w:spacing w:val="-2"/>
        </w:rPr>
        <w:t>European</w:t>
      </w:r>
    </w:p>
    <w:p>
      <w:pPr>
        <w:pStyle w:val="BodyText"/>
        <w:spacing w:after="0" w:line="271" w:lineRule="auto"/>
        <w:sectPr>
          <w:pgSz w:w="12240" w:h="15840"/>
          <w:pgMar w:header="1046" w:footer="0" w:top="1360" w:bottom="280" w:left="720" w:right="360"/>
        </w:sectPr>
      </w:pPr>
    </w:p>
    <w:p>
      <w:pPr>
        <w:pStyle w:val="BodyText"/>
        <w:spacing w:before="266"/>
      </w:pPr>
      <w:r>
        <w:rPr/>
        <w:t>integration</w:t>
      </w:r>
      <w:r>
        <w:rPr>
          <w:spacing w:val="65"/>
          <w:w w:val="150"/>
        </w:rPr>
        <w:t> </w:t>
      </w:r>
      <w:r>
        <w:rPr/>
        <w:t>took</w:t>
      </w:r>
      <w:r>
        <w:rPr>
          <w:spacing w:val="64"/>
          <w:w w:val="150"/>
        </w:rPr>
        <w:t> </w:t>
      </w:r>
      <w:r>
        <w:rPr/>
        <w:t>clearly</w:t>
      </w:r>
      <w:r>
        <w:rPr>
          <w:spacing w:val="67"/>
          <w:w w:val="150"/>
        </w:rPr>
        <w:t> </w:t>
      </w:r>
      <w:r>
        <w:rPr/>
        <w:t>intergovernmental</w:t>
      </w:r>
      <w:r>
        <w:rPr>
          <w:spacing w:val="62"/>
          <w:w w:val="150"/>
        </w:rPr>
        <w:t> </w:t>
      </w:r>
      <w:r>
        <w:rPr/>
        <w:t>path,</w:t>
      </w:r>
      <w:r>
        <w:rPr>
          <w:spacing w:val="75"/>
          <w:w w:val="150"/>
        </w:rPr>
        <w:t> </w:t>
      </w:r>
      <w:r>
        <w:rPr>
          <w:sz w:val="27"/>
        </w:rPr>
        <w:t>Ernst</w:t>
      </w:r>
      <w:r>
        <w:rPr>
          <w:spacing w:val="60"/>
          <w:w w:val="150"/>
          <w:sz w:val="27"/>
        </w:rPr>
        <w:t> </w:t>
      </w:r>
      <w:r>
        <w:rPr>
          <w:sz w:val="27"/>
        </w:rPr>
        <w:t>Haas</w:t>
      </w:r>
      <w:r>
        <w:rPr>
          <w:spacing w:val="60"/>
          <w:w w:val="150"/>
          <w:sz w:val="27"/>
        </w:rPr>
        <w:t> </w:t>
      </w:r>
      <w:r>
        <w:rPr>
          <w:spacing w:val="-2"/>
        </w:rPr>
        <w:t>declared</w:t>
      </w:r>
    </w:p>
    <w:p>
      <w:pPr>
        <w:spacing w:before="38"/>
        <w:ind w:left="979" w:right="0" w:firstLine="0"/>
        <w:jc w:val="both"/>
        <w:rPr>
          <w:sz w:val="26"/>
        </w:rPr>
      </w:pPr>
      <w:r>
        <w:rPr>
          <w:spacing w:val="-2"/>
          <w:sz w:val="27"/>
        </w:rPr>
        <w:t>obsolescence</w:t>
      </w:r>
      <w:r>
        <w:rPr>
          <w:spacing w:val="-15"/>
          <w:sz w:val="27"/>
        </w:rPr>
        <w:t> </w:t>
      </w:r>
      <w:r>
        <w:rPr>
          <w:spacing w:val="-2"/>
          <w:sz w:val="27"/>
        </w:rPr>
        <w:t>of</w:t>
      </w:r>
      <w:r>
        <w:rPr>
          <w:spacing w:val="-15"/>
          <w:sz w:val="27"/>
        </w:rPr>
        <w:t> </w:t>
      </w:r>
      <w:r>
        <w:rPr>
          <w:spacing w:val="-2"/>
          <w:sz w:val="27"/>
        </w:rPr>
        <w:t>the</w:t>
      </w:r>
      <w:r>
        <w:rPr>
          <w:spacing w:val="-14"/>
          <w:sz w:val="27"/>
        </w:rPr>
        <w:t> </w:t>
      </w:r>
      <w:r>
        <w:rPr>
          <w:spacing w:val="-2"/>
          <w:sz w:val="27"/>
        </w:rPr>
        <w:t>theory</w:t>
      </w:r>
      <w:r>
        <w:rPr>
          <w:spacing w:val="-14"/>
          <w:sz w:val="27"/>
        </w:rPr>
        <w:t> </w:t>
      </w:r>
      <w:r>
        <w:rPr>
          <w:spacing w:val="-2"/>
          <w:sz w:val="26"/>
        </w:rPr>
        <w:t>(</w:t>
      </w:r>
      <w:hyperlink w:history="true" w:anchor="_bookmark232">
        <w:r>
          <w:rPr>
            <w:spacing w:val="-2"/>
            <w:sz w:val="26"/>
          </w:rPr>
          <w:t>Jachtenfuchs,</w:t>
        </w:r>
        <w:r>
          <w:rPr>
            <w:spacing w:val="-9"/>
            <w:sz w:val="26"/>
          </w:rPr>
          <w:t> </w:t>
        </w:r>
        <w:r>
          <w:rPr>
            <w:spacing w:val="-2"/>
            <w:sz w:val="26"/>
          </w:rPr>
          <w:t>2001</w:t>
        </w:r>
      </w:hyperlink>
      <w:r>
        <w:rPr>
          <w:spacing w:val="-2"/>
          <w:sz w:val="26"/>
        </w:rPr>
        <w:t>).</w:t>
      </w:r>
    </w:p>
    <w:p>
      <w:pPr>
        <w:pStyle w:val="BodyText"/>
        <w:spacing w:line="273" w:lineRule="auto" w:before="39"/>
        <w:ind w:left="1056" w:right="1901" w:firstLine="643"/>
      </w:pPr>
      <w:r>
        <w:rPr>
          <w:sz w:val="27"/>
        </w:rPr>
        <w:t>Philippe</w:t>
      </w:r>
      <w:r>
        <w:rPr>
          <w:spacing w:val="-2"/>
          <w:sz w:val="27"/>
        </w:rPr>
        <w:t> </w:t>
      </w:r>
      <w:r>
        <w:rPr>
          <w:sz w:val="27"/>
        </w:rPr>
        <w:t>Schmitter </w:t>
      </w:r>
      <w:r>
        <w:rPr/>
        <w:t>has</w:t>
      </w:r>
      <w:r>
        <w:rPr>
          <w:spacing w:val="-2"/>
        </w:rPr>
        <w:t> </w:t>
      </w:r>
      <w:r>
        <w:rPr/>
        <w:t>reconsidered early neo-functionalism, in two main ways. First, he drew a difference between the </w:t>
      </w:r>
      <w:r>
        <w:rPr>
          <w:sz w:val="27"/>
        </w:rPr>
        <w:t>initiating </w:t>
      </w:r>
      <w:r>
        <w:rPr/>
        <w:t>and </w:t>
      </w:r>
      <w:r>
        <w:rPr>
          <w:sz w:val="27"/>
        </w:rPr>
        <w:t>priming </w:t>
      </w:r>
      <w:r>
        <w:rPr/>
        <w:t>decision cycles in integration. The actors initiate institutions to overcome the crisis, after doing so, “regional-level rules and distributions gain in significance to the point that they begin to overshadow the opinions and actions of national governments, associations and individuals. (</w:t>
      </w:r>
      <w:hyperlink w:history="true" w:anchor="_bookmark379">
        <w:r>
          <w:rPr/>
          <w:t>Schmitter,</w:t>
        </w:r>
      </w:hyperlink>
      <w:r>
        <w:rPr/>
        <w:t> </w:t>
      </w:r>
      <w:hyperlink w:history="true" w:anchor="_bookmark379">
        <w:r>
          <w:rPr/>
          <w:t>2002, p. 27</w:t>
        </w:r>
      </w:hyperlink>
      <w:r>
        <w:rPr/>
        <w:t>)</w:t>
      </w:r>
    </w:p>
    <w:p>
      <w:pPr>
        <w:pStyle w:val="BodyText"/>
        <w:spacing w:line="273" w:lineRule="auto"/>
        <w:ind w:left="1056" w:right="1903" w:firstLine="643"/>
      </w:pPr>
      <w:r>
        <w:rPr>
          <w:sz w:val="27"/>
        </w:rPr>
        <w:t>Schmitter </w:t>
      </w:r>
      <w:r>
        <w:rPr/>
        <w:t>re-formed original concept of automatic spillover. He had introduced additional mechanisms connected with the processes of integration. These mechanisms are:</w:t>
      </w:r>
    </w:p>
    <w:p>
      <w:pPr>
        <w:pStyle w:val="ListParagraph"/>
        <w:numPr>
          <w:ilvl w:val="2"/>
          <w:numId w:val="4"/>
        </w:numPr>
        <w:tabs>
          <w:tab w:pos="2420" w:val="left" w:leader="none"/>
        </w:tabs>
        <w:spacing w:line="273" w:lineRule="auto" w:before="0" w:after="0"/>
        <w:ind w:left="2420" w:right="1915" w:hanging="360"/>
        <w:jc w:val="left"/>
        <w:rPr>
          <w:sz w:val="26"/>
        </w:rPr>
      </w:pPr>
      <w:r>
        <w:rPr>
          <w:sz w:val="27"/>
        </w:rPr>
        <w:t>Spill</w:t>
      </w:r>
      <w:r>
        <w:rPr>
          <w:spacing w:val="31"/>
          <w:sz w:val="27"/>
        </w:rPr>
        <w:t> </w:t>
      </w:r>
      <w:r>
        <w:rPr>
          <w:sz w:val="27"/>
        </w:rPr>
        <w:t>around</w:t>
      </w:r>
      <w:r>
        <w:rPr>
          <w:sz w:val="26"/>
        </w:rPr>
        <w:t>:</w:t>
      </w:r>
      <w:r>
        <w:rPr>
          <w:spacing w:val="38"/>
          <w:sz w:val="26"/>
        </w:rPr>
        <w:t> </w:t>
      </w:r>
      <w:r>
        <w:rPr>
          <w:sz w:val="26"/>
        </w:rPr>
        <w:t>investing</w:t>
      </w:r>
      <w:r>
        <w:rPr>
          <w:spacing w:val="37"/>
          <w:sz w:val="26"/>
        </w:rPr>
        <w:t> </w:t>
      </w:r>
      <w:r>
        <w:rPr>
          <w:sz w:val="26"/>
        </w:rPr>
        <w:t>in</w:t>
      </w:r>
      <w:r>
        <w:rPr>
          <w:spacing w:val="38"/>
          <w:sz w:val="26"/>
        </w:rPr>
        <w:t> </w:t>
      </w:r>
      <w:r>
        <w:rPr>
          <w:sz w:val="26"/>
        </w:rPr>
        <w:t>function</w:t>
      </w:r>
      <w:r>
        <w:rPr>
          <w:spacing w:val="38"/>
          <w:sz w:val="26"/>
        </w:rPr>
        <w:t> </w:t>
      </w:r>
      <w:r>
        <w:rPr>
          <w:sz w:val="26"/>
        </w:rPr>
        <w:t>specific</w:t>
      </w:r>
      <w:r>
        <w:rPr>
          <w:spacing w:val="40"/>
          <w:sz w:val="26"/>
        </w:rPr>
        <w:t> </w:t>
      </w:r>
      <w:r>
        <w:rPr>
          <w:sz w:val="26"/>
        </w:rPr>
        <w:t>institutions</w:t>
      </w:r>
      <w:r>
        <w:rPr>
          <w:spacing w:val="35"/>
          <w:sz w:val="26"/>
        </w:rPr>
        <w:t> </w:t>
      </w:r>
      <w:r>
        <w:rPr>
          <w:sz w:val="26"/>
        </w:rPr>
        <w:t>with strictly intergovernmental organization.</w:t>
      </w:r>
    </w:p>
    <w:p>
      <w:pPr>
        <w:pStyle w:val="ListParagraph"/>
        <w:numPr>
          <w:ilvl w:val="2"/>
          <w:numId w:val="4"/>
        </w:numPr>
        <w:tabs>
          <w:tab w:pos="2420" w:val="left" w:leader="none"/>
        </w:tabs>
        <w:spacing w:line="273" w:lineRule="auto" w:before="0" w:after="0"/>
        <w:ind w:left="2420" w:right="1914" w:hanging="360"/>
        <w:jc w:val="left"/>
        <w:rPr>
          <w:sz w:val="26"/>
        </w:rPr>
      </w:pPr>
      <w:r>
        <w:rPr>
          <w:sz w:val="27"/>
        </w:rPr>
        <w:t>Build up</w:t>
      </w:r>
      <w:r>
        <w:rPr>
          <w:sz w:val="26"/>
        </w:rPr>
        <w:t>:</w:t>
      </w:r>
      <w:r>
        <w:rPr>
          <w:spacing w:val="23"/>
          <w:sz w:val="26"/>
        </w:rPr>
        <w:t> </w:t>
      </w:r>
      <w:r>
        <w:rPr>
          <w:sz w:val="26"/>
        </w:rPr>
        <w:t>adding powers to supranational</w:t>
      </w:r>
      <w:r>
        <w:rPr>
          <w:spacing w:val="25"/>
          <w:sz w:val="26"/>
        </w:rPr>
        <w:t> </w:t>
      </w:r>
      <w:r>
        <w:rPr>
          <w:sz w:val="26"/>
        </w:rPr>
        <w:t>institution</w:t>
      </w:r>
      <w:r>
        <w:rPr>
          <w:spacing w:val="23"/>
          <w:sz w:val="26"/>
        </w:rPr>
        <w:t> </w:t>
      </w:r>
      <w:r>
        <w:rPr>
          <w:sz w:val="26"/>
        </w:rPr>
        <w:t>without expanding its scope.</w:t>
      </w:r>
    </w:p>
    <w:p>
      <w:pPr>
        <w:pStyle w:val="ListParagraph"/>
        <w:numPr>
          <w:ilvl w:val="2"/>
          <w:numId w:val="4"/>
        </w:numPr>
        <w:tabs>
          <w:tab w:pos="2420" w:val="left" w:leader="none"/>
        </w:tabs>
        <w:spacing w:line="273" w:lineRule="auto" w:before="0" w:after="0"/>
        <w:ind w:left="2420" w:right="1920" w:hanging="360"/>
        <w:jc w:val="left"/>
        <w:rPr>
          <w:sz w:val="26"/>
        </w:rPr>
      </w:pPr>
      <w:r>
        <w:rPr>
          <w:sz w:val="27"/>
        </w:rPr>
        <w:t>Muddle</w:t>
      </w:r>
      <w:r>
        <w:rPr>
          <w:spacing w:val="40"/>
          <w:sz w:val="27"/>
        </w:rPr>
        <w:t> </w:t>
      </w:r>
      <w:r>
        <w:rPr>
          <w:sz w:val="27"/>
        </w:rPr>
        <w:t>about</w:t>
      </w:r>
      <w:r>
        <w:rPr>
          <w:sz w:val="26"/>
        </w:rPr>
        <w:t>:</w:t>
      </w:r>
      <w:r>
        <w:rPr>
          <w:spacing w:val="40"/>
          <w:sz w:val="26"/>
        </w:rPr>
        <w:t> </w:t>
      </w:r>
      <w:r>
        <w:rPr>
          <w:sz w:val="26"/>
        </w:rPr>
        <w:t>regional</w:t>
      </w:r>
      <w:r>
        <w:rPr>
          <w:spacing w:val="40"/>
          <w:sz w:val="26"/>
        </w:rPr>
        <w:t> </w:t>
      </w:r>
      <w:r>
        <w:rPr>
          <w:sz w:val="26"/>
        </w:rPr>
        <w:t>actors</w:t>
      </w:r>
      <w:r>
        <w:rPr>
          <w:spacing w:val="40"/>
          <w:sz w:val="26"/>
        </w:rPr>
        <w:t> </w:t>
      </w:r>
      <w:r>
        <w:rPr>
          <w:sz w:val="26"/>
        </w:rPr>
        <w:t>try</w:t>
      </w:r>
      <w:r>
        <w:rPr>
          <w:spacing w:val="40"/>
          <w:sz w:val="26"/>
        </w:rPr>
        <w:t> </w:t>
      </w:r>
      <w:r>
        <w:rPr>
          <w:sz w:val="26"/>
        </w:rPr>
        <w:t>to</w:t>
      </w:r>
      <w:r>
        <w:rPr>
          <w:spacing w:val="40"/>
          <w:sz w:val="26"/>
        </w:rPr>
        <w:t> </w:t>
      </w:r>
      <w:r>
        <w:rPr>
          <w:sz w:val="26"/>
        </w:rPr>
        <w:t>maintain</w:t>
      </w:r>
      <w:r>
        <w:rPr>
          <w:spacing w:val="40"/>
          <w:sz w:val="26"/>
        </w:rPr>
        <w:t> </w:t>
      </w:r>
      <w:r>
        <w:rPr>
          <w:sz w:val="26"/>
        </w:rPr>
        <w:t>cooperation without adjusting the institutions.</w:t>
      </w:r>
    </w:p>
    <w:p>
      <w:pPr>
        <w:pStyle w:val="ListParagraph"/>
        <w:numPr>
          <w:ilvl w:val="2"/>
          <w:numId w:val="4"/>
        </w:numPr>
        <w:tabs>
          <w:tab w:pos="2419" w:val="left" w:leader="none"/>
        </w:tabs>
        <w:spacing w:line="347" w:lineRule="exact" w:before="0" w:after="0"/>
        <w:ind w:left="2419" w:right="0" w:hanging="359"/>
        <w:jc w:val="left"/>
        <w:rPr>
          <w:sz w:val="26"/>
        </w:rPr>
      </w:pPr>
      <w:r>
        <w:rPr>
          <w:sz w:val="27"/>
        </w:rPr>
        <w:t>Spillback</w:t>
      </w:r>
      <w:r>
        <w:rPr>
          <w:sz w:val="26"/>
        </w:rPr>
        <w:t>:</w:t>
      </w:r>
      <w:r>
        <w:rPr>
          <w:spacing w:val="-14"/>
          <w:sz w:val="26"/>
        </w:rPr>
        <w:t> </w:t>
      </w:r>
      <w:r>
        <w:rPr>
          <w:sz w:val="26"/>
        </w:rPr>
        <w:t>actors</w:t>
      </w:r>
      <w:r>
        <w:rPr>
          <w:spacing w:val="-15"/>
          <w:sz w:val="26"/>
        </w:rPr>
        <w:t> </w:t>
      </w:r>
      <w:r>
        <w:rPr>
          <w:sz w:val="26"/>
        </w:rPr>
        <w:t>withdraw</w:t>
      </w:r>
      <w:r>
        <w:rPr>
          <w:spacing w:val="-13"/>
          <w:sz w:val="26"/>
        </w:rPr>
        <w:t> </w:t>
      </w:r>
      <w:r>
        <w:rPr>
          <w:sz w:val="26"/>
        </w:rPr>
        <w:t>from</w:t>
      </w:r>
      <w:r>
        <w:rPr>
          <w:spacing w:val="-16"/>
          <w:sz w:val="26"/>
        </w:rPr>
        <w:t> </w:t>
      </w:r>
      <w:r>
        <w:rPr>
          <w:sz w:val="26"/>
        </w:rPr>
        <w:t>the</w:t>
      </w:r>
      <w:r>
        <w:rPr>
          <w:spacing w:val="-14"/>
          <w:sz w:val="26"/>
        </w:rPr>
        <w:t> </w:t>
      </w:r>
      <w:r>
        <w:rPr>
          <w:sz w:val="26"/>
        </w:rPr>
        <w:t>previous</w:t>
      </w:r>
      <w:r>
        <w:rPr>
          <w:spacing w:val="-12"/>
          <w:sz w:val="26"/>
        </w:rPr>
        <w:t> </w:t>
      </w:r>
      <w:r>
        <w:rPr>
          <w:spacing w:val="-2"/>
          <w:sz w:val="26"/>
        </w:rPr>
        <w:t>commitments.</w:t>
      </w:r>
    </w:p>
    <w:p>
      <w:pPr>
        <w:pStyle w:val="BodyText"/>
        <w:spacing w:before="20"/>
        <w:ind w:left="5301"/>
        <w:jc w:val="left"/>
      </w:pPr>
      <w:r>
        <w:rPr/>
        <w:t>(</w:t>
      </w:r>
      <w:hyperlink w:history="true" w:anchor="_bookmark318">
        <w:r>
          <w:rPr/>
          <w:t>Niemann</w:t>
        </w:r>
        <w:r>
          <w:rPr>
            <w:spacing w:val="-6"/>
          </w:rPr>
          <w:t> </w:t>
        </w:r>
        <w:r>
          <w:rPr/>
          <w:t>&amp;</w:t>
        </w:r>
        <w:r>
          <w:rPr>
            <w:spacing w:val="-9"/>
          </w:rPr>
          <w:t> </w:t>
        </w:r>
        <w:r>
          <w:rPr/>
          <w:t>Schmitter,</w:t>
        </w:r>
        <w:r>
          <w:rPr>
            <w:spacing w:val="-6"/>
          </w:rPr>
          <w:t> </w:t>
        </w:r>
        <w:r>
          <w:rPr/>
          <w:t>2009,</w:t>
        </w:r>
        <w:r>
          <w:rPr>
            <w:spacing w:val="-6"/>
          </w:rPr>
          <w:t> </w:t>
        </w:r>
        <w:r>
          <w:rPr/>
          <w:t>p.</w:t>
        </w:r>
        <w:r>
          <w:rPr>
            <w:spacing w:val="-5"/>
          </w:rPr>
          <w:t> 55</w:t>
        </w:r>
      </w:hyperlink>
      <w:r>
        <w:rPr>
          <w:spacing w:val="-5"/>
        </w:rPr>
        <w:t>)</w:t>
      </w:r>
    </w:p>
    <w:p>
      <w:pPr>
        <w:pStyle w:val="BodyText"/>
        <w:spacing w:before="92"/>
        <w:ind w:left="0"/>
        <w:jc w:val="left"/>
      </w:pPr>
    </w:p>
    <w:p>
      <w:pPr>
        <w:pStyle w:val="BodyText"/>
        <w:spacing w:line="271" w:lineRule="auto" w:before="1"/>
        <w:ind w:left="1056" w:right="1909" w:firstLine="643"/>
      </w:pPr>
      <w:r>
        <w:rPr/>
        <w:t>Reintroduced approach of neo-functionalism by </w:t>
      </w:r>
      <w:r>
        <w:rPr>
          <w:sz w:val="27"/>
        </w:rPr>
        <w:t>Wayne Sandholz </w:t>
      </w:r>
      <w:r>
        <w:rPr/>
        <w:t>and </w:t>
      </w:r>
      <w:r>
        <w:rPr>
          <w:sz w:val="27"/>
        </w:rPr>
        <w:t>Alec Stone Sweet </w:t>
      </w:r>
      <w:r>
        <w:rPr/>
        <w:t>suggested that in reality, even during the period of “Euro Sclerosis” growth of supranational integration had not stopped. This statement is an outcome of innovative approach, which is built on </w:t>
      </w:r>
      <w:r>
        <w:rPr>
          <w:sz w:val="27"/>
        </w:rPr>
        <w:t>transactionalist </w:t>
      </w:r>
      <w:r>
        <w:rPr/>
        <w:t>reasoning. The authors use empirical data to argue that:</w:t>
      </w:r>
    </w:p>
    <w:p>
      <w:pPr>
        <w:pStyle w:val="BodyText"/>
        <w:spacing w:before="55"/>
        <w:ind w:left="0"/>
        <w:jc w:val="left"/>
      </w:pPr>
    </w:p>
    <w:p>
      <w:pPr>
        <w:pStyle w:val="BodyText"/>
        <w:spacing w:line="276" w:lineRule="auto"/>
        <w:ind w:left="2420" w:right="1906"/>
      </w:pPr>
      <w:r>
        <w:rPr/>
        <mc:AlternateContent>
          <mc:Choice Requires="wps">
            <w:drawing>
              <wp:anchor distT="0" distB="0" distL="0" distR="0" allowOverlap="1" layoutInCell="1" locked="0" behindDoc="0" simplePos="0" relativeHeight="15760384">
                <wp:simplePos x="0" y="0"/>
                <wp:positionH relativeFrom="page">
                  <wp:posOffset>1923923</wp:posOffset>
                </wp:positionH>
                <wp:positionV relativeFrom="paragraph">
                  <wp:posOffset>-1094</wp:posOffset>
                </wp:positionV>
                <wp:extent cx="1270" cy="1250315"/>
                <wp:effectExtent l="0" t="0" r="0" b="0"/>
                <wp:wrapNone/>
                <wp:docPr id="78" name="Graphic 78"/>
                <wp:cNvGraphicFramePr>
                  <a:graphicFrameLocks/>
                </wp:cNvGraphicFramePr>
                <a:graphic>
                  <a:graphicData uri="http://schemas.microsoft.com/office/word/2010/wordprocessingShape">
                    <wps:wsp>
                      <wps:cNvPr id="78" name="Graphic 78"/>
                      <wps:cNvSpPr/>
                      <wps:spPr>
                        <a:xfrm>
                          <a:off x="0" y="0"/>
                          <a:ext cx="1270" cy="1250315"/>
                        </a:xfrm>
                        <a:custGeom>
                          <a:avLst/>
                          <a:gdLst/>
                          <a:ahLst/>
                          <a:cxnLst/>
                          <a:rect l="l" t="t" r="r" b="b"/>
                          <a:pathLst>
                            <a:path w="0" h="1250315">
                              <a:moveTo>
                                <a:pt x="0" y="0"/>
                              </a:moveTo>
                              <a:lnTo>
                                <a:pt x="0" y="250189"/>
                              </a:lnTo>
                            </a:path>
                            <a:path w="0" h="1250315">
                              <a:moveTo>
                                <a:pt x="0" y="250189"/>
                              </a:moveTo>
                              <a:lnTo>
                                <a:pt x="0" y="500125"/>
                              </a:lnTo>
                            </a:path>
                            <a:path w="0" h="1250315">
                              <a:moveTo>
                                <a:pt x="0" y="500125"/>
                              </a:moveTo>
                              <a:lnTo>
                                <a:pt x="0" y="750061"/>
                              </a:lnTo>
                            </a:path>
                            <a:path w="0" h="1250315">
                              <a:moveTo>
                                <a:pt x="0" y="750061"/>
                              </a:moveTo>
                              <a:lnTo>
                                <a:pt x="0" y="1000023"/>
                              </a:lnTo>
                            </a:path>
                            <a:path w="0" h="1250315">
                              <a:moveTo>
                                <a:pt x="0" y="1000023"/>
                              </a:moveTo>
                              <a:lnTo>
                                <a:pt x="0" y="1250264"/>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86176pt;width:.1pt;height:98.45pt;mso-position-horizontal-relative:page;mso-position-vertical-relative:paragraph;z-index:15760384" id="docshape73" coordorigin="3030,-2" coordsize="0,1969" path="m3030,-2l3030,392m3030,392l3030,786m3030,786l3030,1179m3030,1179l3030,1573m3030,1573l3030,1967e" filled="false" stroked="true" strokeweight=".48pt" strokecolor="#000000">
                <v:path arrowok="t"/>
                <v:stroke dashstyle="shortdash"/>
                <w10:wrap type="none"/>
              </v:shape>
            </w:pict>
          </mc:Fallback>
        </mc:AlternateContent>
      </w:r>
      <w:r>
        <w:rPr/>
        <w:t>“Non-state actors who engage in transactions and communications across national frontiers – are those who</w:t>
      </w:r>
      <w:r>
        <w:rPr>
          <w:spacing w:val="40"/>
        </w:rPr>
        <w:t> </w:t>
      </w:r>
      <w:r>
        <w:rPr/>
        <w:t>need European rules, standards, and dispute resolution mechanisms, in other words, those who need supranational </w:t>
      </w:r>
      <w:r>
        <w:rPr>
          <w:spacing w:val="-2"/>
        </w:rPr>
        <w:t>governance.”</w:t>
      </w:r>
    </w:p>
    <w:p>
      <w:pPr>
        <w:pStyle w:val="BodyText"/>
        <w:spacing w:after="0" w:line="276" w:lineRule="auto"/>
        <w:sectPr>
          <w:pgSz w:w="12240" w:h="15840"/>
          <w:pgMar w:header="1046" w:footer="0" w:top="1360" w:bottom="280" w:left="720" w:right="360"/>
        </w:sectPr>
      </w:pPr>
    </w:p>
    <w:p>
      <w:pPr>
        <w:pStyle w:val="BodyText"/>
        <w:spacing w:before="276"/>
        <w:ind w:left="5157"/>
      </w:pPr>
      <w:r>
        <w:rPr/>
        <w:t>(</w:t>
      </w:r>
      <w:hyperlink w:history="true" w:anchor="_bookmark368">
        <w:r>
          <w:rPr/>
          <w:t>Sandholz</w:t>
        </w:r>
        <w:r>
          <w:rPr>
            <w:spacing w:val="-7"/>
          </w:rPr>
          <w:t> </w:t>
        </w:r>
        <w:r>
          <w:rPr/>
          <w:t>&amp;</w:t>
        </w:r>
        <w:r>
          <w:rPr>
            <w:spacing w:val="-8"/>
          </w:rPr>
          <w:t> </w:t>
        </w:r>
        <w:r>
          <w:rPr/>
          <w:t>Stone</w:t>
        </w:r>
        <w:r>
          <w:rPr>
            <w:spacing w:val="-5"/>
          </w:rPr>
          <w:t> </w:t>
        </w:r>
        <w:r>
          <w:rPr/>
          <w:t>Sweet,</w:t>
        </w:r>
        <w:r>
          <w:rPr>
            <w:spacing w:val="-8"/>
          </w:rPr>
          <w:t> </w:t>
        </w:r>
        <w:r>
          <w:rPr/>
          <w:t>2012,</w:t>
        </w:r>
        <w:r>
          <w:rPr>
            <w:spacing w:val="-4"/>
          </w:rPr>
          <w:t> </w:t>
        </w:r>
        <w:r>
          <w:rPr/>
          <w:t>p.</w:t>
        </w:r>
        <w:r>
          <w:rPr>
            <w:spacing w:val="-4"/>
          </w:rPr>
          <w:t> </w:t>
        </w:r>
        <w:r>
          <w:rPr>
            <w:spacing w:val="-5"/>
          </w:rPr>
          <w:t>9</w:t>
        </w:r>
      </w:hyperlink>
      <w:r>
        <w:rPr>
          <w:spacing w:val="-5"/>
        </w:rPr>
        <w:t>)</w:t>
      </w:r>
    </w:p>
    <w:p>
      <w:pPr>
        <w:pStyle w:val="BodyText"/>
        <w:spacing w:line="276" w:lineRule="auto" w:before="51"/>
        <w:ind w:right="1912" w:firstLine="720"/>
      </w:pPr>
      <w:r>
        <w:rPr/>
        <w:t>Involved agents can cause integration not only via pressuring their national governments, but also through the straight interaction with supranational institutions. The processes</w:t>
      </w:r>
      <w:r>
        <w:rPr>
          <w:spacing w:val="-1"/>
        </w:rPr>
        <w:t> </w:t>
      </w:r>
      <w:r>
        <w:rPr/>
        <w:t>developed during the worst period of neo-functionalism, could not stop actors from interacting, therefore integration proceeded in the background, beyond the political procedures.</w:t>
      </w:r>
    </w:p>
    <w:p>
      <w:pPr>
        <w:pStyle w:val="BodyText"/>
        <w:spacing w:line="276" w:lineRule="auto" w:before="1"/>
        <w:ind w:right="1914"/>
      </w:pPr>
      <w:r>
        <w:rPr/>
        <w:t>The</w:t>
      </w:r>
      <w:r>
        <w:rPr>
          <w:spacing w:val="-1"/>
        </w:rPr>
        <w:t> </w:t>
      </w:r>
      <w:r>
        <w:rPr/>
        <w:t>researches</w:t>
      </w:r>
      <w:r>
        <w:rPr>
          <w:spacing w:val="-3"/>
        </w:rPr>
        <w:t> </w:t>
      </w:r>
      <w:r>
        <w:rPr/>
        <w:t>have</w:t>
      </w:r>
      <w:r>
        <w:rPr>
          <w:spacing w:val="-1"/>
        </w:rPr>
        <w:t> </w:t>
      </w:r>
      <w:r>
        <w:rPr/>
        <w:t>shown that</w:t>
      </w:r>
      <w:r>
        <w:rPr>
          <w:spacing w:val="-1"/>
        </w:rPr>
        <w:t> </w:t>
      </w:r>
      <w:r>
        <w:rPr/>
        <w:t>in areas where</w:t>
      </w:r>
      <w:r>
        <w:rPr>
          <w:spacing w:val="-1"/>
        </w:rPr>
        <w:t> </w:t>
      </w:r>
      <w:r>
        <w:rPr/>
        <w:t>transactional</w:t>
      </w:r>
      <w:r>
        <w:rPr>
          <w:spacing w:val="-3"/>
        </w:rPr>
        <w:t> </w:t>
      </w:r>
      <w:r>
        <w:rPr/>
        <w:t>activities</w:t>
      </w:r>
      <w:r>
        <w:rPr>
          <w:spacing w:val="-3"/>
        </w:rPr>
        <w:t> </w:t>
      </w:r>
      <w:r>
        <w:rPr/>
        <w:t>were high, supranational governance had expanded more, than in other areas which was relatively unfilled with interactions. (</w:t>
      </w:r>
      <w:hyperlink w:history="true" w:anchor="_bookmark368">
        <w:r>
          <w:rPr/>
          <w:t>2012, p. 11</w:t>
        </w:r>
      </w:hyperlink>
      <w:r>
        <w:rPr/>
        <w:t>)</w:t>
      </w:r>
    </w:p>
    <w:p>
      <w:pPr>
        <w:pStyle w:val="BodyText"/>
        <w:spacing w:line="276" w:lineRule="auto"/>
        <w:ind w:right="1908" w:firstLine="720"/>
      </w:pPr>
      <w:r>
        <w:rPr/>
        <w:t>Another innovation introduced to NF was presenting supranational institutions as trustees of the governments. Trustees have a genuine independence and take decisions independently from the states. Not surprisingly, whenever it is possible, trustees try to expand their area of activities. The last addition to original NF is institutionalization. The institutions are understood as sets of rules, wherever the actors observe normative limitations, they try to expand it to the broader area (institutionalize further); expansion involves more actors and therefore intensifies the need to introduce new rules.</w:t>
      </w:r>
    </w:p>
    <w:p>
      <w:pPr>
        <w:pStyle w:val="BodyText"/>
        <w:ind w:left="0"/>
        <w:jc w:val="left"/>
      </w:pPr>
    </w:p>
    <w:p>
      <w:pPr>
        <w:pStyle w:val="BodyText"/>
        <w:spacing w:before="314"/>
        <w:ind w:left="0"/>
        <w:jc w:val="left"/>
      </w:pPr>
    </w:p>
    <w:p>
      <w:pPr>
        <w:pStyle w:val="Heading4"/>
        <w:numPr>
          <w:ilvl w:val="1"/>
          <w:numId w:val="4"/>
        </w:numPr>
        <w:tabs>
          <w:tab w:pos="1581" w:val="left" w:leader="none"/>
        </w:tabs>
        <w:spacing w:line="240" w:lineRule="auto" w:before="1" w:after="0"/>
        <w:ind w:left="1581" w:right="0" w:hanging="602"/>
        <w:jc w:val="left"/>
      </w:pPr>
      <w:bookmarkStart w:name="_bookmark17" w:id="18"/>
      <w:bookmarkEnd w:id="18"/>
      <w:r>
        <w:rPr>
          <w:b w:val="0"/>
        </w:rPr>
      </w:r>
      <w:r>
        <w:rPr>
          <w:w w:val="90"/>
        </w:rPr>
        <w:t>Liberal</w:t>
      </w:r>
      <w:r>
        <w:rPr>
          <w:spacing w:val="31"/>
        </w:rPr>
        <w:t> </w:t>
      </w:r>
      <w:r>
        <w:rPr>
          <w:spacing w:val="-2"/>
          <w:w w:val="95"/>
        </w:rPr>
        <w:t>Intergovernmentalism</w:t>
      </w:r>
    </w:p>
    <w:p>
      <w:pPr>
        <w:pStyle w:val="BodyText"/>
        <w:spacing w:before="50"/>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20096">
                <wp:simplePos x="0" y="0"/>
                <wp:positionH relativeFrom="page">
                  <wp:posOffset>1078864</wp:posOffset>
                </wp:positionH>
                <wp:positionV relativeFrom="paragraph">
                  <wp:posOffset>191644</wp:posOffset>
                </wp:positionV>
                <wp:extent cx="5252085" cy="51435"/>
                <wp:effectExtent l="0" t="0" r="0" b="0"/>
                <wp:wrapTopAndBottom/>
                <wp:docPr id="79" name="Graphic 79"/>
                <wp:cNvGraphicFramePr>
                  <a:graphicFrameLocks/>
                </wp:cNvGraphicFramePr>
                <a:graphic>
                  <a:graphicData uri="http://schemas.microsoft.com/office/word/2010/wordprocessingShape">
                    <wps:wsp>
                      <wps:cNvPr id="79" name="Graphic 79"/>
                      <wps:cNvSpPr/>
                      <wps:spPr>
                        <a:xfrm>
                          <a:off x="0" y="0"/>
                          <a:ext cx="5252085" cy="51435"/>
                        </a:xfrm>
                        <a:custGeom>
                          <a:avLst/>
                          <a:gdLst/>
                          <a:ahLst/>
                          <a:cxnLst/>
                          <a:rect l="l" t="t" r="r" b="b"/>
                          <a:pathLst>
                            <a:path w="5252085" h="51435">
                              <a:moveTo>
                                <a:pt x="5252085" y="0"/>
                              </a:moveTo>
                              <a:lnTo>
                                <a:pt x="0" y="0"/>
                              </a:lnTo>
                              <a:lnTo>
                                <a:pt x="0" y="51435"/>
                              </a:lnTo>
                              <a:lnTo>
                                <a:pt x="5252085" y="51435"/>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5.090102pt;width:413.55pt;height:4.05pt;mso-position-horizontal-relative:page;mso-position-vertical-relative:paragraph;z-index:-15696384;mso-wrap-distance-left:0;mso-wrap-distance-right:0" id="docshape74"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spacing w:before="7"/>
        <w:ind w:left="0"/>
        <w:jc w:val="left"/>
        <w:rPr>
          <w:rFonts w:ascii="Georgia"/>
          <w:b/>
        </w:rPr>
      </w:pPr>
    </w:p>
    <w:p>
      <w:pPr>
        <w:pStyle w:val="BodyText"/>
        <w:spacing w:line="276" w:lineRule="auto"/>
        <w:ind w:right="1906" w:firstLine="720"/>
      </w:pPr>
      <w:r>
        <w:rPr/>
        <w:t>Liberal Intergovernmentalism (LI) has a status of a baseline theory. Being a grand rationalistic approach, it is often compared against other approaches. (</w:t>
      </w:r>
      <w:hyperlink w:history="true" w:anchor="_bookmark307">
        <w:r>
          <w:rPr/>
          <w:t>Moravcsik &amp; Schimmelfennig, 2009</w:t>
        </w:r>
      </w:hyperlink>
      <w:r>
        <w:rPr/>
        <w:t>) The LI “seeks to modernize integration theory by drawing on general political science. Theory.” (</w:t>
      </w:r>
      <w:hyperlink w:history="true" w:anchor="_bookmark307">
        <w:r>
          <w:rPr/>
          <w:t>2009, p. 67</w:t>
        </w:r>
      </w:hyperlink>
      <w:r>
        <w:rPr/>
        <w:t>)</w:t>
      </w:r>
    </w:p>
    <w:p>
      <w:pPr>
        <w:pStyle w:val="BodyText"/>
        <w:spacing w:line="268" w:lineRule="auto" w:before="5"/>
        <w:ind w:right="1908" w:firstLine="720"/>
      </w:pPr>
      <w:r>
        <w:rPr/>
        <w:t>“The first task of integration theory is thus to model the relationship between</w:t>
      </w:r>
      <w:r>
        <w:rPr>
          <w:spacing w:val="44"/>
        </w:rPr>
        <w:t> </w:t>
      </w:r>
      <w:r>
        <w:rPr/>
        <w:t>different</w:t>
      </w:r>
      <w:r>
        <w:rPr>
          <w:spacing w:val="42"/>
        </w:rPr>
        <w:t> </w:t>
      </w:r>
      <w:r>
        <w:rPr/>
        <w:t>basic</w:t>
      </w:r>
      <w:r>
        <w:rPr>
          <w:spacing w:val="42"/>
        </w:rPr>
        <w:t> </w:t>
      </w:r>
      <w:r>
        <w:rPr/>
        <w:t>theories,”</w:t>
      </w:r>
      <w:r>
        <w:rPr>
          <w:spacing w:val="51"/>
        </w:rPr>
        <w:t> </w:t>
      </w:r>
      <w:r>
        <w:rPr/>
        <w:t>–</w:t>
      </w:r>
      <w:r>
        <w:rPr>
          <w:spacing w:val="43"/>
        </w:rPr>
        <w:t> </w:t>
      </w:r>
      <w:r>
        <w:rPr/>
        <w:t>argues</w:t>
      </w:r>
      <w:r>
        <w:rPr>
          <w:spacing w:val="46"/>
        </w:rPr>
        <w:t> </w:t>
      </w:r>
      <w:r>
        <w:rPr>
          <w:sz w:val="27"/>
        </w:rPr>
        <w:t>Andrew</w:t>
      </w:r>
      <w:r>
        <w:rPr>
          <w:spacing w:val="40"/>
          <w:sz w:val="27"/>
        </w:rPr>
        <w:t> </w:t>
      </w:r>
      <w:r>
        <w:rPr>
          <w:sz w:val="27"/>
        </w:rPr>
        <w:t>Moravcsik</w:t>
      </w:r>
      <w:r>
        <w:rPr/>
        <w:t>,</w:t>
      </w:r>
      <w:r>
        <w:rPr>
          <w:spacing w:val="44"/>
        </w:rPr>
        <w:t> </w:t>
      </w:r>
      <w:r>
        <w:rPr>
          <w:spacing w:val="-2"/>
        </w:rPr>
        <w:t>because,</w:t>
      </w:r>
    </w:p>
    <w:p>
      <w:pPr>
        <w:pStyle w:val="BodyText"/>
        <w:spacing w:after="0" w:line="268" w:lineRule="auto"/>
        <w:sectPr>
          <w:pgSz w:w="12240" w:h="15840"/>
          <w:pgMar w:header="1046" w:footer="0" w:top="1360" w:bottom="280" w:left="720" w:right="360"/>
        </w:sectPr>
      </w:pPr>
    </w:p>
    <w:p>
      <w:pPr>
        <w:pStyle w:val="BodyText"/>
        <w:spacing w:line="276" w:lineRule="auto" w:before="276"/>
        <w:ind w:right="1909"/>
        <w:jc w:val="left"/>
      </w:pPr>
      <w:r>
        <w:rPr/>
        <w:t>“The legacy of regional integration theory teaches that no single theory or variable explains European integration.” (</w:t>
      </w:r>
      <w:hyperlink w:history="true" w:anchor="_bookmark300">
        <w:r>
          <w:rPr/>
          <w:t>Moravcsik, 1995, p. 612</w:t>
        </w:r>
      </w:hyperlink>
      <w:r>
        <w:rPr/>
        <w:t>)</w:t>
      </w:r>
    </w:p>
    <w:p>
      <w:pPr>
        <w:pStyle w:val="BodyText"/>
        <w:jc w:val="left"/>
      </w:pPr>
      <w:r>
        <w:rPr/>
        <w:t>LI</w:t>
      </w:r>
      <w:r>
        <w:rPr>
          <w:spacing w:val="-6"/>
        </w:rPr>
        <w:t> </w:t>
      </w:r>
      <w:r>
        <w:rPr/>
        <w:t>is</w:t>
      </w:r>
      <w:r>
        <w:rPr>
          <w:spacing w:val="-6"/>
        </w:rPr>
        <w:t> </w:t>
      </w:r>
      <w:r>
        <w:rPr/>
        <w:t>based</w:t>
      </w:r>
      <w:r>
        <w:rPr>
          <w:spacing w:val="-2"/>
        </w:rPr>
        <w:t> </w:t>
      </w:r>
      <w:r>
        <w:rPr/>
        <w:t>on</w:t>
      </w:r>
      <w:r>
        <w:rPr>
          <w:spacing w:val="-3"/>
        </w:rPr>
        <w:t> </w:t>
      </w:r>
      <w:r>
        <w:rPr/>
        <w:t>three</w:t>
      </w:r>
      <w:r>
        <w:rPr>
          <w:spacing w:val="-9"/>
        </w:rPr>
        <w:t> </w:t>
      </w:r>
      <w:r>
        <w:rPr/>
        <w:t>main</w:t>
      </w:r>
      <w:r>
        <w:rPr>
          <w:spacing w:val="-4"/>
        </w:rPr>
        <w:t> </w:t>
      </w:r>
      <w:r>
        <w:rPr>
          <w:spacing w:val="-2"/>
        </w:rPr>
        <w:t>elements:</w:t>
      </w:r>
    </w:p>
    <w:p>
      <w:pPr>
        <w:pStyle w:val="ListParagraph"/>
        <w:numPr>
          <w:ilvl w:val="2"/>
          <w:numId w:val="4"/>
        </w:numPr>
        <w:tabs>
          <w:tab w:pos="1699" w:val="left" w:leader="none"/>
        </w:tabs>
        <w:spacing w:line="240" w:lineRule="auto" w:before="52" w:after="0"/>
        <w:ind w:left="1699" w:right="0" w:hanging="359"/>
        <w:jc w:val="left"/>
        <w:rPr>
          <w:sz w:val="26"/>
        </w:rPr>
      </w:pPr>
      <w:r>
        <w:rPr>
          <w:sz w:val="26"/>
        </w:rPr>
        <w:t>The</w:t>
      </w:r>
      <w:r>
        <w:rPr>
          <w:spacing w:val="-8"/>
          <w:sz w:val="26"/>
        </w:rPr>
        <w:t> </w:t>
      </w:r>
      <w:r>
        <w:rPr>
          <w:sz w:val="26"/>
        </w:rPr>
        <w:t>assumption</w:t>
      </w:r>
      <w:r>
        <w:rPr>
          <w:spacing w:val="-7"/>
          <w:sz w:val="26"/>
        </w:rPr>
        <w:t> </w:t>
      </w:r>
      <w:r>
        <w:rPr>
          <w:sz w:val="26"/>
        </w:rPr>
        <w:t>of</w:t>
      </w:r>
      <w:r>
        <w:rPr>
          <w:spacing w:val="-9"/>
          <w:sz w:val="26"/>
        </w:rPr>
        <w:t> </w:t>
      </w:r>
      <w:r>
        <w:rPr>
          <w:sz w:val="26"/>
        </w:rPr>
        <w:t>rational</w:t>
      </w:r>
      <w:r>
        <w:rPr>
          <w:spacing w:val="-10"/>
          <w:sz w:val="26"/>
        </w:rPr>
        <w:t> </w:t>
      </w:r>
      <w:r>
        <w:rPr>
          <w:sz w:val="26"/>
        </w:rPr>
        <w:t>state</w:t>
      </w:r>
      <w:r>
        <w:rPr>
          <w:spacing w:val="-8"/>
          <w:sz w:val="26"/>
        </w:rPr>
        <w:t> </w:t>
      </w:r>
      <w:r>
        <w:rPr>
          <w:spacing w:val="-2"/>
          <w:sz w:val="26"/>
        </w:rPr>
        <w:t>behavior.</w:t>
      </w:r>
    </w:p>
    <w:p>
      <w:pPr>
        <w:pStyle w:val="ListParagraph"/>
        <w:numPr>
          <w:ilvl w:val="2"/>
          <w:numId w:val="4"/>
        </w:numPr>
        <w:tabs>
          <w:tab w:pos="1699" w:val="left" w:leader="none"/>
        </w:tabs>
        <w:spacing w:line="240" w:lineRule="auto" w:before="51" w:after="0"/>
        <w:ind w:left="1699" w:right="0" w:hanging="359"/>
        <w:jc w:val="left"/>
        <w:rPr>
          <w:sz w:val="26"/>
        </w:rPr>
      </w:pPr>
      <w:r>
        <w:rPr>
          <w:sz w:val="26"/>
        </w:rPr>
        <w:t>Liberal</w:t>
      </w:r>
      <w:r>
        <w:rPr>
          <w:spacing w:val="-10"/>
          <w:sz w:val="26"/>
        </w:rPr>
        <w:t> </w:t>
      </w:r>
      <w:r>
        <w:rPr>
          <w:sz w:val="26"/>
        </w:rPr>
        <w:t>theory</w:t>
      </w:r>
      <w:r>
        <w:rPr>
          <w:spacing w:val="-8"/>
          <w:sz w:val="26"/>
        </w:rPr>
        <w:t> </w:t>
      </w:r>
      <w:r>
        <w:rPr>
          <w:sz w:val="26"/>
        </w:rPr>
        <w:t>of</w:t>
      </w:r>
      <w:r>
        <w:rPr>
          <w:spacing w:val="-9"/>
          <w:sz w:val="26"/>
        </w:rPr>
        <w:t> </w:t>
      </w:r>
      <w:r>
        <w:rPr>
          <w:sz w:val="26"/>
        </w:rPr>
        <w:t>national</w:t>
      </w:r>
      <w:r>
        <w:rPr>
          <w:spacing w:val="-10"/>
          <w:sz w:val="26"/>
        </w:rPr>
        <w:t> </w:t>
      </w:r>
      <w:r>
        <w:rPr>
          <w:sz w:val="26"/>
        </w:rPr>
        <w:t>preference</w:t>
      </w:r>
      <w:r>
        <w:rPr>
          <w:spacing w:val="-8"/>
          <w:sz w:val="26"/>
        </w:rPr>
        <w:t> </w:t>
      </w:r>
      <w:r>
        <w:rPr>
          <w:spacing w:val="-2"/>
          <w:sz w:val="26"/>
        </w:rPr>
        <w:t>formation.</w:t>
      </w:r>
    </w:p>
    <w:p>
      <w:pPr>
        <w:pStyle w:val="ListParagraph"/>
        <w:numPr>
          <w:ilvl w:val="2"/>
          <w:numId w:val="4"/>
        </w:numPr>
        <w:tabs>
          <w:tab w:pos="1699" w:val="left" w:leader="none"/>
        </w:tabs>
        <w:spacing w:line="240" w:lineRule="auto" w:before="51" w:after="0"/>
        <w:ind w:left="1699" w:right="0" w:hanging="359"/>
        <w:jc w:val="left"/>
        <w:rPr>
          <w:sz w:val="26"/>
        </w:rPr>
      </w:pPr>
      <w:r>
        <w:rPr>
          <w:sz w:val="26"/>
        </w:rPr>
        <w:t>Intergovemmentalist</w:t>
      </w:r>
      <w:r>
        <w:rPr>
          <w:spacing w:val="-13"/>
          <w:sz w:val="26"/>
        </w:rPr>
        <w:t> </w:t>
      </w:r>
      <w:r>
        <w:rPr>
          <w:sz w:val="26"/>
        </w:rPr>
        <w:t>analysis</w:t>
      </w:r>
      <w:r>
        <w:rPr>
          <w:spacing w:val="-14"/>
          <w:sz w:val="26"/>
        </w:rPr>
        <w:t> </w:t>
      </w:r>
      <w:r>
        <w:rPr>
          <w:sz w:val="26"/>
        </w:rPr>
        <w:t>of</w:t>
      </w:r>
      <w:r>
        <w:rPr>
          <w:spacing w:val="-14"/>
          <w:sz w:val="26"/>
        </w:rPr>
        <w:t> </w:t>
      </w:r>
      <w:r>
        <w:rPr>
          <w:sz w:val="26"/>
        </w:rPr>
        <w:t>interstate</w:t>
      </w:r>
      <w:r>
        <w:rPr>
          <w:spacing w:val="-12"/>
          <w:sz w:val="26"/>
        </w:rPr>
        <w:t> </w:t>
      </w:r>
      <w:r>
        <w:rPr>
          <w:spacing w:val="-2"/>
          <w:sz w:val="26"/>
        </w:rPr>
        <w:t>negotiation.</w:t>
      </w:r>
    </w:p>
    <w:p>
      <w:pPr>
        <w:pStyle w:val="BodyText"/>
        <w:spacing w:before="52"/>
        <w:ind w:left="1700" w:firstLine="4777"/>
        <w:jc w:val="left"/>
      </w:pPr>
      <w:r>
        <w:rPr/>
        <w:t>(</w:t>
      </w:r>
      <w:hyperlink w:history="true" w:anchor="_bookmark301">
        <w:r>
          <w:rPr/>
          <w:t>Moravcsik,</w:t>
        </w:r>
        <w:r>
          <w:rPr>
            <w:spacing w:val="-7"/>
          </w:rPr>
          <w:t> </w:t>
        </w:r>
        <w:r>
          <w:rPr/>
          <w:t>1993,</w:t>
        </w:r>
        <w:r>
          <w:rPr>
            <w:spacing w:val="-7"/>
          </w:rPr>
          <w:t> </w:t>
        </w:r>
        <w:r>
          <w:rPr/>
          <w:t>p.</w:t>
        </w:r>
        <w:r>
          <w:rPr>
            <w:spacing w:val="-6"/>
          </w:rPr>
          <w:t> </w:t>
        </w:r>
        <w:r>
          <w:rPr>
            <w:spacing w:val="-4"/>
          </w:rPr>
          <w:t>480</w:t>
        </w:r>
      </w:hyperlink>
      <w:r>
        <w:rPr>
          <w:spacing w:val="-4"/>
        </w:rPr>
        <w:t>)</w:t>
      </w:r>
    </w:p>
    <w:p>
      <w:pPr>
        <w:pStyle w:val="BodyText"/>
        <w:spacing w:line="276" w:lineRule="auto" w:before="51"/>
        <w:ind w:right="1914" w:firstLine="720"/>
      </w:pPr>
      <w:r>
        <w:rPr/>
        <w:t>The approach is state centric, because it studies states as main actors in the process of integration. However, differently to other intergovernmentalist approaches, it gives special importance to the</w:t>
      </w:r>
      <w:r>
        <w:rPr>
          <w:spacing w:val="40"/>
        </w:rPr>
        <w:t> </w:t>
      </w:r>
      <w:r>
        <w:rPr/>
        <w:t>domestic politics, as a precondition for understanding state preferences on international level. (</w:t>
      </w:r>
      <w:hyperlink w:history="true" w:anchor="_bookmark299">
        <w:r>
          <w:rPr/>
          <w:t>Moravcsik, 1991, p. 21</w:t>
        </w:r>
      </w:hyperlink>
      <w:r>
        <w:rPr/>
        <w:t>) With this new dimension, LI denies that a concept of “state interest” is something fixed or uniformed; instead, the approach argues that state preferences externally, are formed due to the dynamic exchange of domestic communications.</w:t>
      </w:r>
    </w:p>
    <w:p>
      <w:pPr>
        <w:pStyle w:val="BodyText"/>
        <w:spacing w:line="276" w:lineRule="auto"/>
        <w:ind w:right="1907" w:firstLine="720"/>
      </w:pPr>
      <w:r>
        <w:rPr/>
        <w:t>Economic demands voiced by interest groups are transcended in political actions of the governments. “Groups articulate preferences; governments aggregate them.” (</w:t>
      </w:r>
      <w:hyperlink w:history="true" w:anchor="_bookmark301">
        <w:r>
          <w:rPr/>
          <w:t>Moravcsik, 1993, p. 483</w:t>
        </w:r>
      </w:hyperlink>
      <w:r>
        <w:rPr/>
        <w:t>) This is true especially</w:t>
      </w:r>
      <w:r>
        <w:rPr>
          <w:spacing w:val="-4"/>
        </w:rPr>
        <w:t> </w:t>
      </w:r>
      <w:r>
        <w:rPr/>
        <w:t>in</w:t>
      </w:r>
      <w:r>
        <w:rPr>
          <w:spacing w:val="-1"/>
        </w:rPr>
        <w:t> </w:t>
      </w:r>
      <w:r>
        <w:rPr/>
        <w:t>the</w:t>
      </w:r>
      <w:r>
        <w:rPr>
          <w:spacing w:val="-4"/>
        </w:rPr>
        <w:t> </w:t>
      </w:r>
      <w:r>
        <w:rPr/>
        <w:t>case</w:t>
      </w:r>
      <w:r>
        <w:rPr>
          <w:spacing w:val="-4"/>
        </w:rPr>
        <w:t> </w:t>
      </w:r>
      <w:r>
        <w:rPr/>
        <w:t>democracies,</w:t>
      </w:r>
      <w:r>
        <w:rPr>
          <w:spacing w:val="-3"/>
        </w:rPr>
        <w:t> </w:t>
      </w:r>
      <w:r>
        <w:rPr/>
        <w:t>where</w:t>
      </w:r>
      <w:r>
        <w:rPr>
          <w:spacing w:val="-4"/>
        </w:rPr>
        <w:t> </w:t>
      </w:r>
      <w:r>
        <w:rPr/>
        <w:t>politicians</w:t>
      </w:r>
      <w:r>
        <w:rPr>
          <w:spacing w:val="-5"/>
        </w:rPr>
        <w:t> </w:t>
      </w:r>
      <w:r>
        <w:rPr/>
        <w:t>in</w:t>
      </w:r>
      <w:r>
        <w:rPr>
          <w:spacing w:val="-3"/>
        </w:rPr>
        <w:t> </w:t>
      </w:r>
      <w:r>
        <w:rPr/>
        <w:t>charge</w:t>
      </w:r>
      <w:r>
        <w:rPr>
          <w:spacing w:val="-4"/>
        </w:rPr>
        <w:t> </w:t>
      </w:r>
      <w:r>
        <w:rPr/>
        <w:t>have</w:t>
      </w:r>
      <w:r>
        <w:rPr>
          <w:spacing w:val="-4"/>
        </w:rPr>
        <w:t> </w:t>
      </w:r>
      <w:r>
        <w:rPr/>
        <w:t>to</w:t>
      </w:r>
      <w:r>
        <w:rPr>
          <w:spacing w:val="-6"/>
        </w:rPr>
        <w:t> </w:t>
      </w:r>
      <w:r>
        <w:rPr/>
        <w:t>think about maintaining their offices. Staying in power is possible only with the support of the influential societal actors. The views of those groups “are transmitted, directly or indirectly, through the domestic institutions and practices of</w:t>
      </w:r>
      <w:r>
        <w:rPr>
          <w:spacing w:val="-1"/>
        </w:rPr>
        <w:t> </w:t>
      </w:r>
      <w:r>
        <w:rPr/>
        <w:t>political</w:t>
      </w:r>
      <w:r>
        <w:rPr>
          <w:spacing w:val="-3"/>
        </w:rPr>
        <w:t> </w:t>
      </w:r>
      <w:r>
        <w:rPr/>
        <w:t>representation. Through this</w:t>
      </w:r>
      <w:r>
        <w:rPr>
          <w:spacing w:val="-2"/>
        </w:rPr>
        <w:t> </w:t>
      </w:r>
      <w:r>
        <w:rPr/>
        <w:t>process</w:t>
      </w:r>
      <w:r>
        <w:rPr>
          <w:spacing w:val="-2"/>
        </w:rPr>
        <w:t> </w:t>
      </w:r>
      <w:r>
        <w:rPr/>
        <w:t>emerges</w:t>
      </w:r>
      <w:r>
        <w:rPr>
          <w:spacing w:val="-2"/>
        </w:rPr>
        <w:t> </w:t>
      </w:r>
      <w:r>
        <w:rPr/>
        <w:t>the set of national</w:t>
      </w:r>
      <w:r>
        <w:rPr>
          <w:spacing w:val="-3"/>
        </w:rPr>
        <w:t> </w:t>
      </w:r>
      <w:r>
        <w:rPr/>
        <w:t>interest</w:t>
      </w:r>
      <w:r>
        <w:rPr>
          <w:spacing w:val="-1"/>
        </w:rPr>
        <w:t> </w:t>
      </w:r>
      <w:r>
        <w:rPr/>
        <w:t>goals</w:t>
      </w:r>
      <w:r>
        <w:rPr>
          <w:spacing w:val="-3"/>
        </w:rPr>
        <w:t> </w:t>
      </w:r>
      <w:r>
        <w:rPr/>
        <w:t>that</w:t>
      </w:r>
      <w:r>
        <w:rPr>
          <w:spacing w:val="-1"/>
        </w:rPr>
        <w:t> </w:t>
      </w:r>
      <w:r>
        <w:rPr/>
        <w:t>states</w:t>
      </w:r>
      <w:r>
        <w:rPr>
          <w:spacing w:val="-3"/>
        </w:rPr>
        <w:t> </w:t>
      </w:r>
      <w:r>
        <w:rPr/>
        <w:t>bring</w:t>
      </w:r>
      <w:r>
        <w:rPr>
          <w:spacing w:val="-1"/>
        </w:rPr>
        <w:t> </w:t>
      </w:r>
      <w:r>
        <w:rPr/>
        <w:t>to</w:t>
      </w:r>
      <w:r>
        <w:rPr>
          <w:spacing w:val="-4"/>
        </w:rPr>
        <w:t> </w:t>
      </w:r>
      <w:r>
        <w:rPr/>
        <w:t>international</w:t>
      </w:r>
      <w:r>
        <w:rPr>
          <w:spacing w:val="-3"/>
        </w:rPr>
        <w:t> </w:t>
      </w:r>
      <w:r>
        <w:rPr/>
        <w:t>negotiations.” (</w:t>
      </w:r>
      <w:hyperlink w:history="true" w:anchor="_bookmark301">
        <w:r>
          <w:rPr/>
          <w:t>1993,</w:t>
        </w:r>
      </w:hyperlink>
      <w:r>
        <w:rPr/>
        <w:t> </w:t>
      </w:r>
      <w:hyperlink w:history="true" w:anchor="_bookmark301">
        <w:r>
          <w:rPr/>
          <w:t>p. 483</w:t>
        </w:r>
      </w:hyperlink>
      <w:r>
        <w:rPr/>
        <w:t>)</w:t>
      </w:r>
    </w:p>
    <w:p>
      <w:pPr>
        <w:pStyle w:val="BodyText"/>
        <w:spacing w:line="276" w:lineRule="auto" w:before="4"/>
        <w:ind w:right="1912" w:firstLine="720"/>
      </w:pPr>
      <w:r>
        <w:rPr/>
        <w:t>The states are rational on international arena not only because of their intrinsic need to behave rationally; domestic actors, draw constraints for the state actions abroad. When governments present their national preference in international bargains, they have as much flexibility as it is allowed by the</w:t>
      </w:r>
      <w:r>
        <w:rPr>
          <w:spacing w:val="-2"/>
        </w:rPr>
        <w:t> </w:t>
      </w:r>
      <w:r>
        <w:rPr/>
        <w:t>internal</w:t>
      </w:r>
      <w:r>
        <w:rPr>
          <w:spacing w:val="-4"/>
        </w:rPr>
        <w:t> </w:t>
      </w:r>
      <w:r>
        <w:rPr/>
        <w:t>actors. (</w:t>
      </w:r>
      <w:hyperlink w:history="true" w:anchor="_bookmark301">
        <w:r>
          <w:rPr/>
          <w:t>1993,</w:t>
        </w:r>
        <w:r>
          <w:rPr>
            <w:spacing w:val="-1"/>
          </w:rPr>
          <w:t> </w:t>
        </w:r>
        <w:r>
          <w:rPr/>
          <w:t>p.</w:t>
        </w:r>
        <w:r>
          <w:rPr>
            <w:spacing w:val="-1"/>
          </w:rPr>
          <w:t> </w:t>
        </w:r>
        <w:r>
          <w:rPr/>
          <w:t>487</w:t>
        </w:r>
      </w:hyperlink>
      <w:r>
        <w:rPr/>
        <w:t>) The</w:t>
      </w:r>
      <w:r>
        <w:rPr>
          <w:spacing w:val="-2"/>
        </w:rPr>
        <w:t> </w:t>
      </w:r>
      <w:r>
        <w:rPr/>
        <w:t>economic</w:t>
      </w:r>
      <w:r>
        <w:rPr>
          <w:spacing w:val="-3"/>
        </w:rPr>
        <w:t> </w:t>
      </w:r>
      <w:r>
        <w:rPr/>
        <w:t>interests</w:t>
      </w:r>
      <w:r>
        <w:rPr>
          <w:spacing w:val="-4"/>
        </w:rPr>
        <w:t> </w:t>
      </w:r>
      <w:r>
        <w:rPr/>
        <w:t>always prevail ideologies.</w:t>
      </w:r>
    </w:p>
    <w:p>
      <w:pPr>
        <w:pStyle w:val="BodyText"/>
        <w:spacing w:after="0" w:line="276" w:lineRule="auto"/>
        <w:sectPr>
          <w:pgSz w:w="12240" w:h="15840"/>
          <w:pgMar w:header="1046" w:footer="0" w:top="1360" w:bottom="280" w:left="720" w:right="360"/>
        </w:sectPr>
      </w:pPr>
    </w:p>
    <w:p>
      <w:pPr>
        <w:pStyle w:val="BodyText"/>
        <w:spacing w:line="276" w:lineRule="auto" w:before="276"/>
        <w:ind w:right="1910" w:firstLine="720"/>
      </w:pPr>
      <w:r>
        <w:rPr/>
        <w:t>The State Bargaining power on</w:t>
      </w:r>
      <w:r>
        <w:rPr>
          <w:spacing w:val="-1"/>
        </w:rPr>
        <w:t> </w:t>
      </w:r>
      <w:r>
        <w:rPr/>
        <w:t>the</w:t>
      </w:r>
      <w:r>
        <w:rPr>
          <w:spacing w:val="-3"/>
        </w:rPr>
        <w:t> </w:t>
      </w:r>
      <w:r>
        <w:rPr/>
        <w:t>international</w:t>
      </w:r>
      <w:r>
        <w:rPr>
          <w:spacing w:val="-1"/>
        </w:rPr>
        <w:t> </w:t>
      </w:r>
      <w:r>
        <w:rPr/>
        <w:t>arena is relative and depends on several</w:t>
      </w:r>
      <w:r>
        <w:rPr>
          <w:spacing w:val="-1"/>
        </w:rPr>
        <w:t> </w:t>
      </w:r>
      <w:r>
        <w:rPr/>
        <w:t>factors. Generally, bigger states have ability to</w:t>
      </w:r>
      <w:r>
        <w:rPr>
          <w:spacing w:val="-1"/>
        </w:rPr>
        <w:t> </w:t>
      </w:r>
      <w:r>
        <w:rPr/>
        <w:t>influence smaller ones, because of material capabilities they hold. Nevertheless, there are other conditions, which give a relatively better position to particular states in comparison to others.</w:t>
      </w:r>
    </w:p>
    <w:p>
      <w:pPr>
        <w:pStyle w:val="BodyText"/>
        <w:spacing w:line="273" w:lineRule="auto"/>
        <w:ind w:right="1902" w:firstLine="720"/>
      </w:pPr>
      <w:r>
        <w:rPr/>
        <w:t>In bargains, those actors who are satisfied with the </w:t>
      </w:r>
      <w:r>
        <w:rPr>
          <w:sz w:val="27"/>
        </w:rPr>
        <w:t>status quo </w:t>
      </w:r>
      <w:r>
        <w:rPr/>
        <w:t>have an intrinsic advantage over those who needs to achieve changes via cooperation. Pro </w:t>
      </w:r>
      <w:r>
        <w:rPr>
          <w:sz w:val="27"/>
        </w:rPr>
        <w:t>status quo </w:t>
      </w:r>
      <w:r>
        <w:rPr/>
        <w:t>states can threaten the process of cooperation with their inactivity and pose further demands</w:t>
      </w:r>
      <w:r>
        <w:rPr>
          <w:spacing w:val="-2"/>
        </w:rPr>
        <w:t> </w:t>
      </w:r>
      <w:r>
        <w:rPr/>
        <w:t>in order to</w:t>
      </w:r>
      <w:r>
        <w:rPr>
          <w:spacing w:val="-3"/>
        </w:rPr>
        <w:t> </w:t>
      </w:r>
      <w:r>
        <w:rPr/>
        <w:t>participate. (</w:t>
      </w:r>
      <w:hyperlink w:history="true" w:anchor="_bookmark394">
        <w:r>
          <w:rPr/>
          <w:t>also:</w:t>
        </w:r>
      </w:hyperlink>
      <w:r>
        <w:rPr/>
        <w:t> </w:t>
      </w:r>
      <w:hyperlink w:history="true" w:anchor="_bookmark394">
        <w:r>
          <w:rPr/>
          <w:t>Slapin, 2011</w:t>
        </w:r>
      </w:hyperlink>
      <w:r>
        <w:rPr/>
        <w:t>) In addition, those actors who possess more information about the nature of ongoing bargains, are in better situation than others. (</w:t>
      </w:r>
      <w:hyperlink w:history="true" w:anchor="_bookmark307">
        <w:r>
          <w:rPr/>
          <w:t>Moravcsik &amp; Schimmelfennig, 2009, p. 71</w:t>
        </w:r>
      </w:hyperlink>
      <w:r>
        <w:rPr/>
        <w:t>)</w:t>
      </w:r>
    </w:p>
    <w:p>
      <w:pPr>
        <w:pStyle w:val="BodyText"/>
        <w:spacing w:line="273" w:lineRule="auto"/>
        <w:ind w:right="1910" w:firstLine="720"/>
      </w:pPr>
      <w:r>
        <w:rPr/>
        <w:t>When the states step into the bargains, they try to get maximum possible benefits from the negotiations. If the state has alternatives for getting similar outcomes, she enjoys greater flexibility and accordingly, her bargaining power is high. The most basic alternative to cooperation, as </w:t>
      </w:r>
      <w:r>
        <w:rPr>
          <w:sz w:val="27"/>
        </w:rPr>
        <w:t>Moravcsik</w:t>
      </w:r>
      <w:r>
        <w:rPr>
          <w:spacing w:val="-6"/>
          <w:sz w:val="27"/>
        </w:rPr>
        <w:t> </w:t>
      </w:r>
      <w:r>
        <w:rPr/>
        <w:t>argues,</w:t>
      </w:r>
      <w:r>
        <w:rPr>
          <w:spacing w:val="-5"/>
        </w:rPr>
        <w:t> </w:t>
      </w:r>
      <w:r>
        <w:rPr/>
        <w:t>“is</w:t>
      </w:r>
      <w:r>
        <w:rPr>
          <w:spacing w:val="-8"/>
        </w:rPr>
        <w:t> </w:t>
      </w:r>
      <w:r>
        <w:rPr/>
        <w:t>the</w:t>
      </w:r>
      <w:r>
        <w:rPr>
          <w:spacing w:val="-6"/>
        </w:rPr>
        <w:t> </w:t>
      </w:r>
      <w:r>
        <w:rPr/>
        <w:t>unilateral</w:t>
      </w:r>
      <w:r>
        <w:rPr>
          <w:spacing w:val="-8"/>
        </w:rPr>
        <w:t> </w:t>
      </w:r>
      <w:r>
        <w:rPr/>
        <w:t>policy</w:t>
      </w:r>
      <w:r>
        <w:rPr>
          <w:spacing w:val="-7"/>
        </w:rPr>
        <w:t> </w:t>
      </w:r>
      <w:r>
        <w:rPr/>
        <w:t>that</w:t>
      </w:r>
      <w:r>
        <w:rPr>
          <w:spacing w:val="-6"/>
        </w:rPr>
        <w:t> </w:t>
      </w:r>
      <w:r>
        <w:rPr/>
        <w:t>government</w:t>
      </w:r>
      <w:r>
        <w:rPr>
          <w:spacing w:val="-6"/>
        </w:rPr>
        <w:t> </w:t>
      </w:r>
      <w:r>
        <w:rPr/>
        <w:t>is</w:t>
      </w:r>
      <w:r>
        <w:rPr>
          <w:spacing w:val="-8"/>
        </w:rPr>
        <w:t> </w:t>
      </w:r>
      <w:r>
        <w:rPr/>
        <w:t>able</w:t>
      </w:r>
      <w:r>
        <w:rPr>
          <w:spacing w:val="-6"/>
        </w:rPr>
        <w:t> </w:t>
      </w:r>
      <w:r>
        <w:rPr/>
        <w:t>to</w:t>
      </w:r>
      <w:r>
        <w:rPr>
          <w:spacing w:val="-9"/>
        </w:rPr>
        <w:t> </w:t>
      </w:r>
      <w:r>
        <w:rPr/>
        <w:t>pursue without an agreement.” (</w:t>
      </w:r>
      <w:hyperlink w:history="true" w:anchor="_bookmark301">
        <w:r>
          <w:rPr/>
          <w:t>Moravcsik, 1993, p. 500</w:t>
        </w:r>
      </w:hyperlink>
      <w:r>
        <w:rPr/>
        <w:t>)</w:t>
      </w:r>
      <w:r>
        <w:rPr>
          <w:spacing w:val="40"/>
        </w:rPr>
        <w:t> </w:t>
      </w:r>
      <w:r>
        <w:rPr/>
        <w:t>In the case of unilateral alternative, the governments simply decide cooperate or not. Those actors, who gain the least from the bargains, have the most of bargaining power.</w:t>
      </w:r>
    </w:p>
    <w:p>
      <w:pPr>
        <w:pStyle w:val="BodyText"/>
        <w:spacing w:line="276" w:lineRule="auto" w:before="6"/>
        <w:ind w:right="1906" w:firstLine="720"/>
      </w:pPr>
      <w:r>
        <w:rPr/>
        <w:t>When the</w:t>
      </w:r>
      <w:r>
        <w:rPr>
          <w:spacing w:val="-2"/>
        </w:rPr>
        <w:t> </w:t>
      </w:r>
      <w:r>
        <w:rPr/>
        <w:t>governments aim to</w:t>
      </w:r>
      <w:r>
        <w:rPr>
          <w:spacing w:val="-1"/>
        </w:rPr>
        <w:t> </w:t>
      </w:r>
      <w:r>
        <w:rPr/>
        <w:t>achieve the goals, which distant them from status quo, greater cooperation is more likely to take place. In this condition, ‘the least forthcoming’ government (closest to status quo) ‘imposes the binding constraint’ and the agreements are achieved considering the ‘lowest common denominator.’ (</w:t>
      </w:r>
      <w:hyperlink w:history="true" w:anchor="_bookmark301">
        <w:r>
          <w:rPr/>
          <w:t>Moravcsik, 1993, p. 501</w:t>
        </w:r>
      </w:hyperlink>
      <w:r>
        <w:rPr/>
        <w:t>)</w:t>
      </w:r>
    </w:p>
    <w:p>
      <w:pPr>
        <w:pStyle w:val="BodyText"/>
        <w:spacing w:line="276" w:lineRule="auto" w:before="4"/>
        <w:ind w:right="1914" w:firstLine="720"/>
      </w:pPr>
      <w:r>
        <w:rPr/>
        <w:t>Another alternative for the state is to form a coalition outside of the ongoing bargain. Here, those states, which have possibilities to come together in another coalition, have bargaining advantage over</w:t>
      </w:r>
      <w:r>
        <w:rPr>
          <w:spacing w:val="40"/>
        </w:rPr>
        <w:t> </w:t>
      </w:r>
      <w:r>
        <w:rPr/>
        <w:t>those who cannot do so. (</w:t>
      </w:r>
      <w:hyperlink w:history="true" w:anchor="_bookmark301">
        <w:r>
          <w:rPr/>
          <w:t>1993, p. 502</w:t>
        </w:r>
      </w:hyperlink>
      <w:r>
        <w:rPr/>
        <w:t>)</w:t>
      </w:r>
    </w:p>
    <w:p>
      <w:pPr>
        <w:pStyle w:val="BodyText"/>
        <w:spacing w:line="271" w:lineRule="auto"/>
        <w:ind w:right="1913" w:firstLine="787"/>
      </w:pPr>
      <w:r>
        <w:rPr/>
        <w:t>In negotiations, states have different preferences, therefore they prioritize on different points of bargains. Exchanging the concessions in form</w:t>
      </w:r>
      <w:r>
        <w:rPr>
          <w:spacing w:val="18"/>
        </w:rPr>
        <w:t> </w:t>
      </w:r>
      <w:r>
        <w:rPr/>
        <w:t>of</w:t>
      </w:r>
      <w:r>
        <w:rPr>
          <w:spacing w:val="15"/>
        </w:rPr>
        <w:t> </w:t>
      </w:r>
      <w:r>
        <w:rPr/>
        <w:t>the</w:t>
      </w:r>
      <w:r>
        <w:rPr>
          <w:spacing w:val="22"/>
        </w:rPr>
        <w:t> </w:t>
      </w:r>
      <w:r>
        <w:rPr>
          <w:sz w:val="27"/>
        </w:rPr>
        <w:t>package</w:t>
      </w:r>
      <w:r>
        <w:rPr>
          <w:spacing w:val="14"/>
          <w:sz w:val="27"/>
        </w:rPr>
        <w:t> </w:t>
      </w:r>
      <w:r>
        <w:rPr>
          <w:sz w:val="27"/>
        </w:rPr>
        <w:t>deal</w:t>
      </w:r>
      <w:r>
        <w:rPr>
          <w:spacing w:val="13"/>
          <w:sz w:val="27"/>
        </w:rPr>
        <w:t> </w:t>
      </w:r>
      <w:r>
        <w:rPr/>
        <w:t>can</w:t>
      </w:r>
      <w:r>
        <w:rPr>
          <w:spacing w:val="17"/>
        </w:rPr>
        <w:t> </w:t>
      </w:r>
      <w:r>
        <w:rPr/>
        <w:t>be</w:t>
      </w:r>
      <w:r>
        <w:rPr>
          <w:spacing w:val="16"/>
        </w:rPr>
        <w:t> </w:t>
      </w:r>
      <w:r>
        <w:rPr/>
        <w:t>an</w:t>
      </w:r>
      <w:r>
        <w:rPr>
          <w:spacing w:val="17"/>
        </w:rPr>
        <w:t> </w:t>
      </w:r>
      <w:r>
        <w:rPr/>
        <w:t>effective</w:t>
      </w:r>
      <w:r>
        <w:rPr>
          <w:spacing w:val="19"/>
        </w:rPr>
        <w:t> </w:t>
      </w:r>
      <w:r>
        <w:rPr/>
        <w:t>bargaining</w:t>
      </w:r>
      <w:r>
        <w:rPr>
          <w:spacing w:val="16"/>
        </w:rPr>
        <w:t> </w:t>
      </w:r>
      <w:r>
        <w:rPr/>
        <w:t>outcome,</w:t>
      </w:r>
      <w:r>
        <w:rPr>
          <w:spacing w:val="18"/>
        </w:rPr>
        <w:t> </w:t>
      </w:r>
      <w:r>
        <w:rPr/>
        <w:t>but</w:t>
      </w:r>
      <w:r>
        <w:rPr>
          <w:spacing w:val="16"/>
        </w:rPr>
        <w:t> </w:t>
      </w:r>
      <w:r>
        <w:rPr>
          <w:spacing w:val="-4"/>
        </w:rPr>
        <w:t>this</w:t>
      </w:r>
    </w:p>
    <w:p>
      <w:pPr>
        <w:pStyle w:val="BodyText"/>
        <w:spacing w:after="0" w:line="271" w:lineRule="auto"/>
        <w:sectPr>
          <w:pgSz w:w="12240" w:h="15840"/>
          <w:pgMar w:header="1046" w:footer="0" w:top="1360" w:bottom="280" w:left="720" w:right="360"/>
        </w:sectPr>
      </w:pPr>
    </w:p>
    <w:p>
      <w:pPr>
        <w:pStyle w:val="BodyText"/>
        <w:spacing w:line="276" w:lineRule="auto" w:before="276"/>
        <w:ind w:right="1909"/>
        <w:jc w:val="left"/>
      </w:pPr>
      <w:r>
        <w:rPr/>
        <w:t>issue</w:t>
      </w:r>
      <w:r>
        <w:rPr>
          <w:spacing w:val="40"/>
        </w:rPr>
        <w:t> </w:t>
      </w:r>
      <w:r>
        <w:rPr/>
        <w:t>linkage</w:t>
      </w:r>
      <w:r>
        <w:rPr>
          <w:spacing w:val="40"/>
        </w:rPr>
        <w:t> </w:t>
      </w:r>
      <w:r>
        <w:rPr/>
        <w:t>happens</w:t>
      </w:r>
      <w:r>
        <w:rPr>
          <w:spacing w:val="40"/>
        </w:rPr>
        <w:t> </w:t>
      </w:r>
      <w:r>
        <w:rPr/>
        <w:t>only</w:t>
      </w:r>
      <w:r>
        <w:rPr>
          <w:spacing w:val="40"/>
        </w:rPr>
        <w:t> </w:t>
      </w:r>
      <w:r>
        <w:rPr/>
        <w:t>when</w:t>
      </w:r>
      <w:r>
        <w:rPr>
          <w:spacing w:val="40"/>
        </w:rPr>
        <w:t> </w:t>
      </w:r>
      <w:r>
        <w:rPr/>
        <w:t>the</w:t>
      </w:r>
      <w:r>
        <w:rPr>
          <w:spacing w:val="40"/>
        </w:rPr>
        <w:t> </w:t>
      </w:r>
      <w:r>
        <w:rPr/>
        <w:t>bargains</w:t>
      </w:r>
      <w:r>
        <w:rPr>
          <w:spacing w:val="40"/>
        </w:rPr>
        <w:t> </w:t>
      </w:r>
      <w:r>
        <w:rPr/>
        <w:t>on</w:t>
      </w:r>
      <w:r>
        <w:rPr>
          <w:spacing w:val="40"/>
        </w:rPr>
        <w:t> </w:t>
      </w:r>
      <w:r>
        <w:rPr/>
        <w:t>each</w:t>
      </w:r>
      <w:r>
        <w:rPr>
          <w:spacing w:val="40"/>
        </w:rPr>
        <w:t> </w:t>
      </w:r>
      <w:r>
        <w:rPr/>
        <w:t>containing</w:t>
      </w:r>
      <w:r>
        <w:rPr>
          <w:spacing w:val="40"/>
        </w:rPr>
        <w:t> </w:t>
      </w:r>
      <w:r>
        <w:rPr/>
        <w:t>issue exhausted possibilities of agreement.</w:t>
      </w:r>
    </w:p>
    <w:p>
      <w:pPr>
        <w:pStyle w:val="BodyText"/>
        <w:spacing w:before="51"/>
        <w:ind w:left="0"/>
        <w:jc w:val="left"/>
      </w:pPr>
    </w:p>
    <w:p>
      <w:pPr>
        <w:pStyle w:val="BodyText"/>
        <w:spacing w:line="276" w:lineRule="auto" w:before="1"/>
        <w:ind w:left="2420" w:right="1913"/>
      </w:pPr>
      <w:r>
        <w:rPr/>
        <mc:AlternateContent>
          <mc:Choice Requires="wps">
            <w:drawing>
              <wp:anchor distT="0" distB="0" distL="0" distR="0" allowOverlap="1" layoutInCell="1" locked="0" behindDoc="0" simplePos="0" relativeHeight="15761408">
                <wp:simplePos x="0" y="0"/>
                <wp:positionH relativeFrom="page">
                  <wp:posOffset>1923923</wp:posOffset>
                </wp:positionH>
                <wp:positionV relativeFrom="paragraph">
                  <wp:posOffset>-855</wp:posOffset>
                </wp:positionV>
                <wp:extent cx="1270" cy="1000125"/>
                <wp:effectExtent l="0" t="0" r="0" b="0"/>
                <wp:wrapNone/>
                <wp:docPr id="80" name="Graphic 80"/>
                <wp:cNvGraphicFramePr>
                  <a:graphicFrameLocks/>
                </wp:cNvGraphicFramePr>
                <a:graphic>
                  <a:graphicData uri="http://schemas.microsoft.com/office/word/2010/wordprocessingShape">
                    <wps:wsp>
                      <wps:cNvPr id="80" name="Graphic 80"/>
                      <wps:cNvSpPr/>
                      <wps:spPr>
                        <a:xfrm>
                          <a:off x="0" y="0"/>
                          <a:ext cx="1270" cy="1000125"/>
                        </a:xfrm>
                        <a:custGeom>
                          <a:avLst/>
                          <a:gdLst/>
                          <a:ahLst/>
                          <a:cxnLst/>
                          <a:rect l="l" t="t" r="r" b="b"/>
                          <a:pathLst>
                            <a:path w="0" h="1000125">
                              <a:moveTo>
                                <a:pt x="0" y="0"/>
                              </a:moveTo>
                              <a:lnTo>
                                <a:pt x="0" y="249936"/>
                              </a:lnTo>
                            </a:path>
                            <a:path w="0" h="1000125">
                              <a:moveTo>
                                <a:pt x="0" y="249936"/>
                              </a:moveTo>
                              <a:lnTo>
                                <a:pt x="0" y="499872"/>
                              </a:lnTo>
                            </a:path>
                            <a:path w="0" h="1000125">
                              <a:moveTo>
                                <a:pt x="0" y="499872"/>
                              </a:moveTo>
                              <a:lnTo>
                                <a:pt x="0" y="749808"/>
                              </a:lnTo>
                            </a:path>
                            <a:path w="0" h="1000125">
                              <a:moveTo>
                                <a:pt x="0" y="749808"/>
                              </a:moveTo>
                              <a:lnTo>
                                <a:pt x="0" y="999998"/>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67354pt;width:.1pt;height:78.75pt;mso-position-horizontal-relative:page;mso-position-vertical-relative:paragraph;z-index:15761408" id="docshape75" coordorigin="3030,-1" coordsize="0,1575" path="m3030,-1l3030,392m3030,392l3030,786m3030,786l3030,1179m3030,1179l3030,1573e" filled="false" stroked="true" strokeweight=".48pt" strokecolor="#000000">
                <v:path arrowok="t"/>
                <v:stroke dashstyle="shortdash"/>
                <w10:wrap type="none"/>
              </v:shape>
            </w:pict>
          </mc:Fallback>
        </mc:AlternateContent>
      </w:r>
      <w:r>
        <w:rPr/>
        <w:t>“it may be to the advantage of both parties to exchange concessions in issue-areas about which their preferences are relatively weak for concessions in other areas about which they care more.”</w:t>
      </w:r>
    </w:p>
    <w:p>
      <w:pPr>
        <w:pStyle w:val="BodyText"/>
        <w:spacing w:line="342" w:lineRule="exact"/>
        <w:ind w:left="1700" w:firstLine="4777"/>
      </w:pPr>
      <w:r>
        <w:rPr/>
        <w:t>(</w:t>
      </w:r>
      <w:hyperlink w:history="true" w:anchor="_bookmark301">
        <w:r>
          <w:rPr/>
          <w:t>Moravcsik,</w:t>
        </w:r>
        <w:r>
          <w:rPr>
            <w:spacing w:val="-7"/>
          </w:rPr>
          <w:t> </w:t>
        </w:r>
        <w:r>
          <w:rPr/>
          <w:t>1993,</w:t>
        </w:r>
        <w:r>
          <w:rPr>
            <w:spacing w:val="-7"/>
          </w:rPr>
          <w:t> </w:t>
        </w:r>
        <w:r>
          <w:rPr/>
          <w:t>p.</w:t>
        </w:r>
        <w:r>
          <w:rPr>
            <w:spacing w:val="-6"/>
          </w:rPr>
          <w:t> </w:t>
        </w:r>
        <w:r>
          <w:rPr>
            <w:spacing w:val="-4"/>
          </w:rPr>
          <w:t>505</w:t>
        </w:r>
      </w:hyperlink>
      <w:r>
        <w:rPr>
          <w:spacing w:val="-4"/>
        </w:rPr>
        <w:t>)</w:t>
      </w:r>
    </w:p>
    <w:p>
      <w:pPr>
        <w:pStyle w:val="BodyText"/>
        <w:spacing w:line="273" w:lineRule="auto" w:before="41"/>
        <w:ind w:right="1907" w:firstLine="720"/>
      </w:pPr>
      <w:r>
        <w:rPr/>
        <w:t>The decisions to cooperate on international level, explain </w:t>
      </w:r>
      <w:r>
        <w:rPr>
          <w:sz w:val="27"/>
        </w:rPr>
        <w:t>Moravcsik </w:t>
      </w:r>
      <w:r>
        <w:rPr/>
        <w:t>and </w:t>
      </w:r>
      <w:r>
        <w:rPr>
          <w:sz w:val="27"/>
        </w:rPr>
        <w:t>Schimmelfennig,</w:t>
      </w:r>
      <w:r>
        <w:rPr>
          <w:spacing w:val="-1"/>
          <w:sz w:val="27"/>
        </w:rPr>
        <w:t> </w:t>
      </w:r>
      <w:r>
        <w:rPr/>
        <w:t>can</w:t>
      </w:r>
      <w:r>
        <w:rPr>
          <w:spacing w:val="-1"/>
        </w:rPr>
        <w:t> </w:t>
      </w:r>
      <w:r>
        <w:rPr/>
        <w:t>be</w:t>
      </w:r>
      <w:r>
        <w:rPr>
          <w:spacing w:val="-1"/>
        </w:rPr>
        <w:t> </w:t>
      </w:r>
      <w:r>
        <w:rPr/>
        <w:t>realized</w:t>
      </w:r>
      <w:r>
        <w:rPr>
          <w:spacing w:val="-1"/>
        </w:rPr>
        <w:t> </w:t>
      </w:r>
      <w:r>
        <w:rPr/>
        <w:t>in</w:t>
      </w:r>
      <w:r>
        <w:rPr>
          <w:spacing w:val="-1"/>
        </w:rPr>
        <w:t> </w:t>
      </w:r>
      <w:r>
        <w:rPr/>
        <w:t>three-stage</w:t>
      </w:r>
      <w:r>
        <w:rPr>
          <w:spacing w:val="-1"/>
        </w:rPr>
        <w:t> </w:t>
      </w:r>
      <w:r>
        <w:rPr/>
        <w:t>framework.</w:t>
      </w:r>
      <w:r>
        <w:rPr>
          <w:spacing w:val="-1"/>
        </w:rPr>
        <w:t> </w:t>
      </w:r>
      <w:r>
        <w:rPr/>
        <w:t>First,</w:t>
      </w:r>
      <w:r>
        <w:rPr>
          <w:spacing w:val="-1"/>
        </w:rPr>
        <w:t> </w:t>
      </w:r>
      <w:r>
        <w:rPr/>
        <w:t>states shape their national preferences. Second, they try to achieve rational objectives in bargains. Third, the institutions are created to secure the outcomes. (</w:t>
      </w:r>
      <w:hyperlink w:history="true" w:anchor="_bookmark307">
        <w:r>
          <w:rPr/>
          <w:t>Moravcsik &amp; Schimmelfennig, 2009, p. 69</w:t>
        </w:r>
      </w:hyperlink>
      <w:r>
        <w:rPr/>
        <w:t>)</w:t>
      </w:r>
    </w:p>
    <w:p>
      <w:pPr>
        <w:pStyle w:val="BodyText"/>
        <w:spacing w:line="276" w:lineRule="auto"/>
        <w:ind w:right="1908" w:firstLine="720"/>
      </w:pPr>
      <w:r>
        <w:rPr/>
        <w:t>Institutions often require sacrificing certain amount of autonomy. Even if so, states as principals use institutions in various ways. First, institutions reduce uncertainty among actors and provide information for further cooperation. Second, institutions reduce transaction costs of bargaining. However when it</w:t>
      </w:r>
      <w:r>
        <w:rPr>
          <w:spacing w:val="-1"/>
        </w:rPr>
        <w:t> </w:t>
      </w:r>
      <w:r>
        <w:rPr/>
        <w:t>comes</w:t>
      </w:r>
      <w:r>
        <w:rPr>
          <w:spacing w:val="-3"/>
        </w:rPr>
        <w:t> </w:t>
      </w:r>
      <w:r>
        <w:rPr/>
        <w:t>to</w:t>
      </w:r>
      <w:r>
        <w:rPr>
          <w:spacing w:val="-4"/>
        </w:rPr>
        <w:t> </w:t>
      </w:r>
      <w:r>
        <w:rPr/>
        <w:t>key</w:t>
      </w:r>
      <w:r>
        <w:rPr>
          <w:spacing w:val="-1"/>
        </w:rPr>
        <w:t> </w:t>
      </w:r>
      <w:r>
        <w:rPr/>
        <w:t>decisions</w:t>
      </w:r>
      <w:r>
        <w:rPr>
          <w:spacing w:val="-3"/>
        </w:rPr>
        <w:t> </w:t>
      </w:r>
      <w:r>
        <w:rPr/>
        <w:t>“in shaping</w:t>
      </w:r>
      <w:r>
        <w:rPr>
          <w:spacing w:val="-1"/>
        </w:rPr>
        <w:t> </w:t>
      </w:r>
      <w:r>
        <w:rPr/>
        <w:t>bargaining outcomes, liberal intergovemmentalism stresses on passive institutions and the autonomy of national leaders.” (</w:t>
      </w:r>
      <w:hyperlink w:history="true" w:anchor="_bookmark301">
        <w:r>
          <w:rPr/>
          <w:t>Moravcsik, 1993, p. 518</w:t>
        </w:r>
      </w:hyperlink>
      <w:r>
        <w:rPr/>
        <w:t>)</w:t>
      </w:r>
    </w:p>
    <w:p>
      <w:pPr>
        <w:pStyle w:val="BodyText"/>
        <w:spacing w:line="276" w:lineRule="auto"/>
        <w:ind w:right="1922" w:firstLine="720"/>
      </w:pPr>
      <w:r>
        <w:rPr/>
        <mc:AlternateContent>
          <mc:Choice Requires="wps">
            <w:drawing>
              <wp:anchor distT="0" distB="0" distL="0" distR="0" allowOverlap="1" layoutInCell="1" locked="0" behindDoc="0" simplePos="0" relativeHeight="15761920">
                <wp:simplePos x="0" y="0"/>
                <wp:positionH relativeFrom="page">
                  <wp:posOffset>1923923</wp:posOffset>
                </wp:positionH>
                <wp:positionV relativeFrom="paragraph">
                  <wp:posOffset>746418</wp:posOffset>
                </wp:positionV>
                <wp:extent cx="1270" cy="1503680"/>
                <wp:effectExtent l="0" t="0" r="0" b="0"/>
                <wp:wrapNone/>
                <wp:docPr id="81" name="Graphic 81"/>
                <wp:cNvGraphicFramePr>
                  <a:graphicFrameLocks/>
                </wp:cNvGraphicFramePr>
                <a:graphic>
                  <a:graphicData uri="http://schemas.microsoft.com/office/word/2010/wordprocessingShape">
                    <wps:wsp>
                      <wps:cNvPr id="81" name="Graphic 81"/>
                      <wps:cNvSpPr/>
                      <wps:spPr>
                        <a:xfrm>
                          <a:off x="0" y="0"/>
                          <a:ext cx="1270" cy="1503680"/>
                        </a:xfrm>
                        <a:custGeom>
                          <a:avLst/>
                          <a:gdLst/>
                          <a:ahLst/>
                          <a:cxnLst/>
                          <a:rect l="l" t="t" r="r" b="b"/>
                          <a:pathLst>
                            <a:path w="0" h="1503680">
                              <a:moveTo>
                                <a:pt x="0" y="0"/>
                              </a:moveTo>
                              <a:lnTo>
                                <a:pt x="0" y="250316"/>
                              </a:lnTo>
                            </a:path>
                            <a:path w="0" h="1503680">
                              <a:moveTo>
                                <a:pt x="0" y="250316"/>
                              </a:moveTo>
                              <a:lnTo>
                                <a:pt x="0" y="503300"/>
                              </a:lnTo>
                            </a:path>
                            <a:path w="0" h="1503680">
                              <a:moveTo>
                                <a:pt x="0" y="503300"/>
                              </a:moveTo>
                              <a:lnTo>
                                <a:pt x="0" y="753236"/>
                              </a:lnTo>
                            </a:path>
                            <a:path w="0" h="1503680">
                              <a:moveTo>
                                <a:pt x="0" y="753236"/>
                              </a:moveTo>
                              <a:lnTo>
                                <a:pt x="0" y="1003172"/>
                              </a:lnTo>
                            </a:path>
                            <a:path w="0" h="1503680">
                              <a:moveTo>
                                <a:pt x="0" y="1003172"/>
                              </a:moveTo>
                              <a:lnTo>
                                <a:pt x="0" y="1253362"/>
                              </a:lnTo>
                            </a:path>
                            <a:path w="0" h="1503680">
                              <a:moveTo>
                                <a:pt x="0" y="1253362"/>
                              </a:moveTo>
                              <a:lnTo>
                                <a:pt x="0" y="1503298"/>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58.773106pt;width:.1pt;height:118.4pt;mso-position-horizontal-relative:page;mso-position-vertical-relative:paragraph;z-index:15761920" id="docshape76" coordorigin="3030,1175" coordsize="0,2368" path="m3030,1175l3030,1570m3030,1570l3030,1968m3030,1968l3030,2362m3030,2362l3030,2755m3030,2755l3030,3149m3030,3149l3030,3543e" filled="false" stroked="true" strokeweight=".48pt" strokecolor="#000000">
                <v:path arrowok="t"/>
                <v:stroke dashstyle="shortdash"/>
                <w10:wrap type="none"/>
              </v:shape>
            </w:pict>
          </mc:Fallback>
        </mc:AlternateContent>
      </w:r>
      <w:r>
        <w:rPr/>
        <w:t>The European community for the LI is ‘international regime for the policy</w:t>
      </w:r>
      <w:r>
        <w:rPr>
          <w:spacing w:val="-3"/>
        </w:rPr>
        <w:t> </w:t>
      </w:r>
      <w:r>
        <w:rPr/>
        <w:t>coordination’</w:t>
      </w:r>
      <w:r>
        <w:rPr>
          <w:spacing w:val="-4"/>
        </w:rPr>
        <w:t> </w:t>
      </w:r>
      <w:r>
        <w:rPr/>
        <w:t>where</w:t>
      </w:r>
      <w:r>
        <w:rPr>
          <w:spacing w:val="-2"/>
        </w:rPr>
        <w:t> </w:t>
      </w:r>
      <w:r>
        <w:rPr/>
        <w:t>the</w:t>
      </w:r>
      <w:r>
        <w:rPr>
          <w:spacing w:val="-2"/>
        </w:rPr>
        <w:t> </w:t>
      </w:r>
      <w:r>
        <w:rPr/>
        <w:t>member</w:t>
      </w:r>
      <w:r>
        <w:rPr>
          <w:spacing w:val="-1"/>
        </w:rPr>
        <w:t> </w:t>
      </w:r>
      <w:r>
        <w:rPr/>
        <w:t>states</w:t>
      </w:r>
      <w:r>
        <w:rPr>
          <w:spacing w:val="-4"/>
        </w:rPr>
        <w:t> </w:t>
      </w:r>
      <w:r>
        <w:rPr/>
        <w:t>are</w:t>
      </w:r>
      <w:r>
        <w:rPr>
          <w:spacing w:val="-2"/>
        </w:rPr>
        <w:t> </w:t>
      </w:r>
      <w:r>
        <w:rPr/>
        <w:t>the</w:t>
      </w:r>
      <w:r>
        <w:rPr>
          <w:spacing w:val="-2"/>
        </w:rPr>
        <w:t> </w:t>
      </w:r>
      <w:r>
        <w:rPr/>
        <w:t>‘masters</w:t>
      </w:r>
      <w:r>
        <w:rPr>
          <w:spacing w:val="-4"/>
        </w:rPr>
        <w:t> </w:t>
      </w:r>
      <w:r>
        <w:rPr/>
        <w:t>of</w:t>
      </w:r>
      <w:r>
        <w:rPr>
          <w:spacing w:val="-3"/>
        </w:rPr>
        <w:t> </w:t>
      </w:r>
      <w:r>
        <w:rPr/>
        <w:t>treaty’</w:t>
      </w:r>
      <w:r>
        <w:rPr>
          <w:spacing w:val="-3"/>
        </w:rPr>
        <w:t> </w:t>
      </w:r>
      <w:r>
        <w:rPr/>
        <w:t>and where, the integration can be understood as:</w:t>
      </w:r>
    </w:p>
    <w:p>
      <w:pPr>
        <w:pStyle w:val="BodyText"/>
        <w:spacing w:line="276" w:lineRule="auto"/>
        <w:ind w:left="2420" w:right="1911"/>
      </w:pPr>
      <w:r>
        <w:rPr/>
        <w:t>“Series of rational choices made by national leaders, these choices responded to constraints and opportunities stemming from the economic interests of powerful domestic</w:t>
      </w:r>
      <w:r>
        <w:rPr>
          <w:spacing w:val="40"/>
        </w:rPr>
        <w:t> </w:t>
      </w:r>
      <w:r>
        <w:rPr/>
        <w:t>constituents, the relative power of states stemming from asymmetrical independence, and the role of institutions in bolstering the credibility of interstate commitments.”</w:t>
      </w:r>
    </w:p>
    <w:p>
      <w:pPr>
        <w:pStyle w:val="BodyText"/>
        <w:spacing w:line="276" w:lineRule="auto" w:before="1"/>
        <w:ind w:right="1935" w:firstLine="5632"/>
      </w:pPr>
      <w:r>
        <w:rPr/>
        <w:t>(</w:t>
      </w:r>
      <w:hyperlink w:history="true" w:anchor="_bookmark302">
        <w:r>
          <w:rPr/>
          <w:t>Moravcsik,</w:t>
        </w:r>
        <w:r>
          <w:rPr>
            <w:spacing w:val="-13"/>
          </w:rPr>
          <w:t> </w:t>
        </w:r>
        <w:r>
          <w:rPr/>
          <w:t>1998,</w:t>
        </w:r>
        <w:r>
          <w:rPr>
            <w:spacing w:val="-13"/>
          </w:rPr>
          <w:t> </w:t>
        </w:r>
        <w:r>
          <w:rPr/>
          <w:t>p.</w:t>
        </w:r>
        <w:r>
          <w:rPr>
            <w:spacing w:val="-13"/>
          </w:rPr>
          <w:t> </w:t>
        </w:r>
        <w:r>
          <w:rPr/>
          <w:t>18</w:t>
        </w:r>
      </w:hyperlink>
      <w:r>
        <w:rPr/>
        <w:t>) The bargains in European Community [EU] have three basic conditions:</w:t>
      </w:r>
    </w:p>
    <w:p>
      <w:pPr>
        <w:pStyle w:val="BodyText"/>
        <w:spacing w:after="0" w:line="276" w:lineRule="auto"/>
        <w:sectPr>
          <w:pgSz w:w="12240" w:h="15840"/>
          <w:pgMar w:header="1046" w:footer="0" w:top="1360" w:bottom="280" w:left="720" w:right="360"/>
        </w:sectPr>
      </w:pPr>
    </w:p>
    <w:p>
      <w:pPr>
        <w:pStyle w:val="ListParagraph"/>
        <w:numPr>
          <w:ilvl w:val="0"/>
          <w:numId w:val="5"/>
        </w:numPr>
        <w:tabs>
          <w:tab w:pos="1340" w:val="left" w:leader="none"/>
        </w:tabs>
        <w:spacing w:line="276" w:lineRule="auto" w:before="276" w:after="0"/>
        <w:ind w:left="1340" w:right="1914" w:hanging="361"/>
        <w:jc w:val="both"/>
        <w:rPr>
          <w:sz w:val="26"/>
        </w:rPr>
      </w:pPr>
      <w:r>
        <w:rPr>
          <w:sz w:val="26"/>
        </w:rPr>
        <w:t>Intergovernmental cooperation is voluntary, in a sense that neither military coercion nor economic sanctions are threatened of deployed to force agreement.</w:t>
      </w:r>
    </w:p>
    <w:p>
      <w:pPr>
        <w:pStyle w:val="ListParagraph"/>
        <w:numPr>
          <w:ilvl w:val="0"/>
          <w:numId w:val="5"/>
        </w:numPr>
        <w:tabs>
          <w:tab w:pos="1340" w:val="left" w:leader="none"/>
        </w:tabs>
        <w:spacing w:line="276" w:lineRule="auto" w:before="0" w:after="0"/>
        <w:ind w:left="1340" w:right="1921" w:hanging="361"/>
        <w:jc w:val="both"/>
        <w:rPr>
          <w:sz w:val="26"/>
        </w:rPr>
      </w:pPr>
      <w:r>
        <w:rPr>
          <w:sz w:val="26"/>
        </w:rPr>
        <w:t>The environment where EC governments bargain is relatively information rich, national governments are able to communicate easily and possess information about the preferences and opportunities.</w:t>
      </w:r>
    </w:p>
    <w:p>
      <w:pPr>
        <w:pStyle w:val="ListParagraph"/>
        <w:numPr>
          <w:ilvl w:val="0"/>
          <w:numId w:val="5"/>
        </w:numPr>
        <w:tabs>
          <w:tab w:pos="1339" w:val="left" w:leader="none"/>
        </w:tabs>
        <w:spacing w:line="240" w:lineRule="auto" w:before="0" w:after="0"/>
        <w:ind w:left="1339" w:right="0" w:hanging="360"/>
        <w:jc w:val="both"/>
        <w:rPr>
          <w:sz w:val="26"/>
        </w:rPr>
      </w:pPr>
      <w:r>
        <w:rPr>
          <w:sz w:val="26"/>
        </w:rPr>
        <w:t>Transaction</w:t>
      </w:r>
      <w:r>
        <w:rPr>
          <w:spacing w:val="-9"/>
          <w:sz w:val="26"/>
        </w:rPr>
        <w:t> </w:t>
      </w:r>
      <w:r>
        <w:rPr>
          <w:sz w:val="26"/>
        </w:rPr>
        <w:t>costs</w:t>
      </w:r>
      <w:r>
        <w:rPr>
          <w:spacing w:val="-11"/>
          <w:sz w:val="26"/>
        </w:rPr>
        <w:t> </w:t>
      </w:r>
      <w:r>
        <w:rPr>
          <w:sz w:val="26"/>
        </w:rPr>
        <w:t>of</w:t>
      </w:r>
      <w:r>
        <w:rPr>
          <w:spacing w:val="-11"/>
          <w:sz w:val="26"/>
        </w:rPr>
        <w:t> </w:t>
      </w:r>
      <w:r>
        <w:rPr>
          <w:sz w:val="26"/>
        </w:rPr>
        <w:t>international</w:t>
      </w:r>
      <w:r>
        <w:rPr>
          <w:spacing w:val="-11"/>
          <w:sz w:val="26"/>
        </w:rPr>
        <w:t> </w:t>
      </w:r>
      <w:r>
        <w:rPr>
          <w:sz w:val="26"/>
        </w:rPr>
        <w:t>bargaining</w:t>
      </w:r>
      <w:r>
        <w:rPr>
          <w:spacing w:val="-9"/>
          <w:sz w:val="26"/>
        </w:rPr>
        <w:t> </w:t>
      </w:r>
      <w:r>
        <w:rPr>
          <w:sz w:val="26"/>
        </w:rPr>
        <w:t>are</w:t>
      </w:r>
      <w:r>
        <w:rPr>
          <w:spacing w:val="-10"/>
          <w:sz w:val="26"/>
        </w:rPr>
        <w:t> </w:t>
      </w:r>
      <w:r>
        <w:rPr>
          <w:spacing w:val="-5"/>
          <w:sz w:val="26"/>
        </w:rPr>
        <w:t>low</w:t>
      </w:r>
    </w:p>
    <w:p>
      <w:pPr>
        <w:pStyle w:val="BodyText"/>
        <w:spacing w:before="51"/>
        <w:ind w:left="6280"/>
      </w:pPr>
      <w:r>
        <w:rPr/>
        <w:t>(</w:t>
      </w:r>
      <w:hyperlink w:history="true" w:anchor="_bookmark301">
        <w:r>
          <w:rPr/>
          <w:t>Moravcsik,</w:t>
        </w:r>
        <w:r>
          <w:rPr>
            <w:spacing w:val="-9"/>
          </w:rPr>
          <w:t> </w:t>
        </w:r>
        <w:r>
          <w:rPr/>
          <w:t>1993,</w:t>
        </w:r>
        <w:r>
          <w:rPr>
            <w:spacing w:val="-8"/>
          </w:rPr>
          <w:t> </w:t>
        </w:r>
        <w:r>
          <w:rPr/>
          <w:t>p.</w:t>
        </w:r>
        <w:r>
          <w:rPr>
            <w:spacing w:val="-8"/>
          </w:rPr>
          <w:t> </w:t>
        </w:r>
        <w:r>
          <w:rPr>
            <w:spacing w:val="-4"/>
          </w:rPr>
          <w:t>498</w:t>
        </w:r>
      </w:hyperlink>
      <w:r>
        <w:rPr>
          <w:spacing w:val="-4"/>
        </w:rPr>
        <w:t>)</w:t>
      </w:r>
    </w:p>
    <w:p>
      <w:pPr>
        <w:pStyle w:val="BodyText"/>
        <w:spacing w:line="273" w:lineRule="auto" w:before="52"/>
        <w:ind w:right="1906" w:firstLine="720"/>
      </w:pPr>
      <w:r>
        <w:rPr/>
        <w:t>As</w:t>
      </w:r>
      <w:r>
        <w:rPr>
          <w:spacing w:val="-4"/>
        </w:rPr>
        <w:t> </w:t>
      </w:r>
      <w:r>
        <w:rPr/>
        <w:t>soon</w:t>
      </w:r>
      <w:r>
        <w:rPr>
          <w:spacing w:val="-1"/>
        </w:rPr>
        <w:t> </w:t>
      </w:r>
      <w:r>
        <w:rPr/>
        <w:t>as</w:t>
      </w:r>
      <w:r>
        <w:rPr>
          <w:spacing w:val="-4"/>
        </w:rPr>
        <w:t> </w:t>
      </w:r>
      <w:r>
        <w:rPr/>
        <w:t>the</w:t>
      </w:r>
      <w:r>
        <w:rPr>
          <w:spacing w:val="-2"/>
        </w:rPr>
        <w:t> </w:t>
      </w:r>
      <w:r>
        <w:rPr/>
        <w:t>theory appeared in</w:t>
      </w:r>
      <w:r>
        <w:rPr>
          <w:spacing w:val="-1"/>
        </w:rPr>
        <w:t> </w:t>
      </w:r>
      <w:r>
        <w:rPr/>
        <w:t>the</w:t>
      </w:r>
      <w:r>
        <w:rPr>
          <w:spacing w:val="-2"/>
        </w:rPr>
        <w:t> </w:t>
      </w:r>
      <w:r>
        <w:rPr/>
        <w:t>field of</w:t>
      </w:r>
      <w:r>
        <w:rPr>
          <w:spacing w:val="-3"/>
        </w:rPr>
        <w:t> </w:t>
      </w:r>
      <w:r>
        <w:rPr/>
        <w:t>integration,</w:t>
      </w:r>
      <w:r>
        <w:rPr>
          <w:spacing w:val="-1"/>
        </w:rPr>
        <w:t> </w:t>
      </w:r>
      <w:r>
        <w:rPr/>
        <w:t>it</w:t>
      </w:r>
      <w:r>
        <w:rPr>
          <w:spacing w:val="-2"/>
        </w:rPr>
        <w:t> </w:t>
      </w:r>
      <w:r>
        <w:rPr/>
        <w:t>became</w:t>
      </w:r>
      <w:r>
        <w:rPr>
          <w:spacing w:val="-2"/>
        </w:rPr>
        <w:t> </w:t>
      </w:r>
      <w:r>
        <w:rPr/>
        <w:t>a strong alternative to neo-functionalism. In contrast to later, LI did not give</w:t>
      </w:r>
      <w:r>
        <w:rPr>
          <w:spacing w:val="40"/>
        </w:rPr>
        <w:t> </w:t>
      </w:r>
      <w:r>
        <w:rPr/>
        <w:t>a large significance to the role of the supranational institutions in the process of integration. Neither did it consider non-state actors as important as they were perceived by the neo-functionalists. LI rejects the idea that ‘ideational</w:t>
      </w:r>
      <w:r>
        <w:rPr>
          <w:spacing w:val="-13"/>
        </w:rPr>
        <w:t> </w:t>
      </w:r>
      <w:r>
        <w:rPr/>
        <w:t>entrepreneurs’</w:t>
      </w:r>
      <w:r>
        <w:rPr>
          <w:spacing w:val="-12"/>
        </w:rPr>
        <w:t> </w:t>
      </w:r>
      <w:r>
        <w:rPr/>
        <w:t>like</w:t>
      </w:r>
      <w:r>
        <w:rPr>
          <w:spacing w:val="-6"/>
        </w:rPr>
        <w:t> </w:t>
      </w:r>
      <w:r>
        <w:rPr>
          <w:sz w:val="27"/>
        </w:rPr>
        <w:t>Jean</w:t>
      </w:r>
      <w:r>
        <w:rPr>
          <w:spacing w:val="-12"/>
          <w:sz w:val="27"/>
        </w:rPr>
        <w:t> </w:t>
      </w:r>
      <w:r>
        <w:rPr>
          <w:sz w:val="27"/>
        </w:rPr>
        <w:t>Monnet</w:t>
      </w:r>
      <w:r>
        <w:rPr>
          <w:spacing w:val="-11"/>
          <w:sz w:val="27"/>
        </w:rPr>
        <w:t> </w:t>
      </w:r>
      <w:r>
        <w:rPr/>
        <w:t>and</w:t>
      </w:r>
      <w:r>
        <w:rPr>
          <w:spacing w:val="-9"/>
        </w:rPr>
        <w:t> </w:t>
      </w:r>
      <w:r>
        <w:rPr>
          <w:sz w:val="27"/>
        </w:rPr>
        <w:t>Jaques</w:t>
      </w:r>
      <w:r>
        <w:rPr>
          <w:spacing w:val="-15"/>
          <w:sz w:val="27"/>
        </w:rPr>
        <w:t> </w:t>
      </w:r>
      <w:r>
        <w:rPr>
          <w:sz w:val="27"/>
        </w:rPr>
        <w:t>Delors</w:t>
      </w:r>
      <w:r>
        <w:rPr>
          <w:spacing w:val="-9"/>
          <w:sz w:val="27"/>
        </w:rPr>
        <w:t> </w:t>
      </w:r>
      <w:r>
        <w:rPr/>
        <w:t>might</w:t>
      </w:r>
      <w:r>
        <w:rPr>
          <w:spacing w:val="-10"/>
        </w:rPr>
        <w:t> </w:t>
      </w:r>
      <w:r>
        <w:rPr/>
        <w:t>reduce negotiation costs because they hold specific sectorial information. To the contrary, the LI</w:t>
      </w:r>
      <w:r>
        <w:rPr>
          <w:spacing w:val="-2"/>
        </w:rPr>
        <w:t> </w:t>
      </w:r>
      <w:r>
        <w:rPr/>
        <w:t>authors argue that states are</w:t>
      </w:r>
      <w:r>
        <w:rPr>
          <w:spacing w:val="-1"/>
        </w:rPr>
        <w:t> </w:t>
      </w:r>
      <w:r>
        <w:rPr/>
        <w:t>ones, which have the access to the most of information. (</w:t>
      </w:r>
      <w:hyperlink w:history="true" w:anchor="_bookmark307">
        <w:r>
          <w:rPr/>
          <w:t>Moravcsik &amp; Schimmelfennig, 2009, p. 71</w:t>
        </w:r>
      </w:hyperlink>
      <w:r>
        <w:rPr/>
        <w:t>) “decisions do not take place in anarchy, but accept previous agreements” (</w:t>
      </w:r>
      <w:hyperlink w:history="true" w:anchor="_bookmark300">
        <w:r>
          <w:rPr/>
          <w:t>1995, p. 612</w:t>
        </w:r>
      </w:hyperlink>
      <w:r>
        <w:rPr/>
        <w:t>) – Argues </w:t>
      </w:r>
      <w:r>
        <w:rPr>
          <w:sz w:val="27"/>
        </w:rPr>
        <w:t>Moravcsik</w:t>
      </w:r>
      <w:r>
        <w:rPr/>
        <w:t>, it means that one does not start negotiations from the clean slate; old interstate agreements create bargaining space, and help to identify new objectives.</w:t>
      </w:r>
    </w:p>
    <w:p>
      <w:pPr>
        <w:pStyle w:val="BodyText"/>
        <w:spacing w:line="273" w:lineRule="auto" w:before="13"/>
        <w:ind w:right="1904" w:firstLine="720"/>
      </w:pPr>
      <w:r>
        <w:rPr/>
        <w:t>LI</w:t>
      </w:r>
      <w:r>
        <w:rPr>
          <w:spacing w:val="40"/>
        </w:rPr>
        <w:t> </w:t>
      </w:r>
      <w:r>
        <w:rPr/>
        <w:t>had shaped</w:t>
      </w:r>
      <w:r>
        <w:rPr>
          <w:spacing w:val="-1"/>
        </w:rPr>
        <w:t> </w:t>
      </w:r>
      <w:r>
        <w:rPr/>
        <w:t>its</w:t>
      </w:r>
      <w:r>
        <w:rPr>
          <w:spacing w:val="-4"/>
        </w:rPr>
        <w:t> </w:t>
      </w:r>
      <w:r>
        <w:rPr/>
        <w:t>framework</w:t>
      </w:r>
      <w:r>
        <w:rPr>
          <w:spacing w:val="-2"/>
        </w:rPr>
        <w:t> </w:t>
      </w:r>
      <w:r>
        <w:rPr/>
        <w:t>for</w:t>
      </w:r>
      <w:r>
        <w:rPr>
          <w:spacing w:val="-2"/>
        </w:rPr>
        <w:t> </w:t>
      </w:r>
      <w:r>
        <w:rPr/>
        <w:t>analysis of the</w:t>
      </w:r>
      <w:r>
        <w:rPr>
          <w:spacing w:val="-2"/>
        </w:rPr>
        <w:t> </w:t>
      </w:r>
      <w:r>
        <w:rPr/>
        <w:t>European</w:t>
      </w:r>
      <w:r>
        <w:rPr>
          <w:spacing w:val="-1"/>
        </w:rPr>
        <w:t> </w:t>
      </w:r>
      <w:r>
        <w:rPr/>
        <w:t>integration in the 90s. The work “Negotiating the Single European Act: national interests and conventional statecraft in the European Community,” (</w:t>
      </w:r>
      <w:hyperlink w:history="true" w:anchor="_bookmark299">
        <w:r>
          <w:rPr/>
          <w:t>Moravcsik, 1991</w:t>
        </w:r>
      </w:hyperlink>
      <w:r>
        <w:rPr/>
        <w:t>) was a foundational text. However, a major work that changed the previous ‘</w:t>
      </w:r>
      <w:r>
        <w:rPr>
          <w:sz w:val="27"/>
        </w:rPr>
        <w:t>intergovernmental institutionalist’ </w:t>
      </w:r>
      <w:r>
        <w:rPr/>
        <w:t>approach to Liberal Intergorvernmetalism came few years later. (</w:t>
      </w:r>
      <w:hyperlink w:history="true" w:anchor="_bookmark301">
        <w:r>
          <w:rPr/>
          <w:t>Moravcsik, 1993</w:t>
        </w:r>
      </w:hyperlink>
      <w:r>
        <w:rPr/>
        <w:t>) Important addition was an issue of state preference formation (domestic politics). </w:t>
      </w:r>
      <w:r>
        <w:rPr>
          <w:sz w:val="27"/>
        </w:rPr>
        <w:t>Moravcsik </w:t>
      </w:r>
      <w:r>
        <w:rPr/>
        <w:t>has written numerous articles on the topic; the book “The Choice for Europe Social Purpose and State Power from Messina to Maastricht.” (</w:t>
      </w:r>
      <w:hyperlink w:history="true" w:anchor="_bookmark302">
        <w:r>
          <w:rPr/>
          <w:t>Moravcsik, 1998</w:t>
        </w:r>
      </w:hyperlink>
      <w:r>
        <w:rPr/>
        <w:t>)</w:t>
      </w:r>
      <w:r>
        <w:rPr>
          <w:spacing w:val="40"/>
        </w:rPr>
        <w:t> </w:t>
      </w:r>
      <w:r>
        <w:rPr/>
        <w:t>is a comprehensive summary of his ideas.</w:t>
      </w:r>
    </w:p>
    <w:p>
      <w:pPr>
        <w:pStyle w:val="BodyText"/>
        <w:spacing w:after="0" w:line="273" w:lineRule="auto"/>
        <w:sectPr>
          <w:pgSz w:w="12240" w:h="15840"/>
          <w:pgMar w:header="1046" w:footer="0" w:top="1360" w:bottom="280" w:left="720" w:right="360"/>
        </w:sectPr>
      </w:pPr>
    </w:p>
    <w:p>
      <w:pPr>
        <w:pStyle w:val="BodyText"/>
        <w:spacing w:line="271" w:lineRule="auto" w:before="276"/>
        <w:ind w:right="1912" w:firstLine="720"/>
      </w:pPr>
      <w:r>
        <w:rPr/>
        <w:t>Considering the scale of the influence LI has, is not surprising that </w:t>
      </w:r>
      <w:r>
        <w:rPr>
          <w:sz w:val="27"/>
        </w:rPr>
        <w:t>Moravcsik </w:t>
      </w:r>
      <w:r>
        <w:rPr/>
        <w:t>had to answer several critical reviews. In the most of the cases, he was successful, or partially successful. Here we would like to review few critical texts, which stayed feasible even</w:t>
      </w:r>
      <w:r>
        <w:rPr>
          <w:spacing w:val="40"/>
        </w:rPr>
        <w:t> </w:t>
      </w:r>
      <w:r>
        <w:rPr/>
        <w:t>after </w:t>
      </w:r>
      <w:r>
        <w:rPr>
          <w:sz w:val="27"/>
        </w:rPr>
        <w:t>Moravcsik </w:t>
      </w:r>
      <w:r>
        <w:rPr/>
        <w:t>replied the authors. (</w:t>
      </w:r>
      <w:hyperlink w:history="true" w:anchor="_bookmark300">
        <w:r>
          <w:rPr/>
          <w:t>Moravcsik, 1995</w:t>
        </w:r>
      </w:hyperlink>
      <w:r>
        <w:rPr/>
        <w:t>; </w:t>
      </w:r>
      <w:hyperlink w:history="true" w:anchor="_bookmark307">
        <w:r>
          <w:rPr/>
          <w:t>Moravcsik &amp; Schimmelfennig, 2009</w:t>
        </w:r>
      </w:hyperlink>
      <w:r>
        <w:rPr/>
        <w:t>)</w:t>
      </w:r>
    </w:p>
    <w:p>
      <w:pPr>
        <w:pStyle w:val="BodyText"/>
        <w:spacing w:line="276" w:lineRule="auto" w:before="4"/>
        <w:ind w:right="1902" w:firstLine="720"/>
      </w:pPr>
      <w:r>
        <w:rPr/>
        <w:t>The most important critical works addressed to the LI derive from</w:t>
      </w:r>
      <w:r>
        <w:rPr>
          <w:spacing w:val="40"/>
        </w:rPr>
        <w:t> </w:t>
      </w:r>
      <w:r>
        <w:rPr/>
        <w:t>the</w:t>
      </w:r>
      <w:r>
        <w:rPr>
          <w:spacing w:val="-1"/>
        </w:rPr>
        <w:t> </w:t>
      </w:r>
      <w:r>
        <w:rPr/>
        <w:t>functional fold of</w:t>
      </w:r>
      <w:r>
        <w:rPr>
          <w:spacing w:val="-2"/>
        </w:rPr>
        <w:t> </w:t>
      </w:r>
      <w:r>
        <w:rPr/>
        <w:t>theories. </w:t>
      </w:r>
      <w:r>
        <w:rPr>
          <w:sz w:val="27"/>
        </w:rPr>
        <w:t>Paul</w:t>
      </w:r>
      <w:r>
        <w:rPr>
          <w:spacing w:val="-2"/>
          <w:sz w:val="27"/>
        </w:rPr>
        <w:t> </w:t>
      </w:r>
      <w:r>
        <w:rPr>
          <w:sz w:val="27"/>
        </w:rPr>
        <w:t>Pierson </w:t>
      </w:r>
      <w:r>
        <w:rPr/>
        <w:t>built</w:t>
      </w:r>
      <w:r>
        <w:rPr>
          <w:spacing w:val="-1"/>
        </w:rPr>
        <w:t> </w:t>
      </w:r>
      <w:r>
        <w:rPr/>
        <w:t>a strong</w:t>
      </w:r>
      <w:r>
        <w:rPr>
          <w:spacing w:val="-1"/>
        </w:rPr>
        <w:t> </w:t>
      </w:r>
      <w:r>
        <w:rPr/>
        <w:t>critical</w:t>
      </w:r>
      <w:r>
        <w:rPr>
          <w:spacing w:val="-3"/>
        </w:rPr>
        <w:t> </w:t>
      </w:r>
      <w:r>
        <w:rPr/>
        <w:t>argument against the core theoretical points identified by the LI (</w:t>
      </w:r>
      <w:hyperlink w:history="true" w:anchor="_bookmark338">
        <w:r>
          <w:rPr/>
          <w:t>1994</w:t>
        </w:r>
      </w:hyperlink>
      <w:r>
        <w:rPr/>
        <w:t>). Historical institutionalism argues that institutions matter and their meaning unfolds over time. To the contrary, the LI believes that institutional structure is acceptable for the states “only insofar as it strengthens, rather than</w:t>
      </w:r>
      <w:r>
        <w:rPr>
          <w:spacing w:val="40"/>
        </w:rPr>
        <w:t> </w:t>
      </w:r>
      <w:r>
        <w:rPr/>
        <w:t>weakens, their control over domestic affairs.” (</w:t>
      </w:r>
      <w:hyperlink w:history="true" w:anchor="_bookmark301">
        <w:r>
          <w:rPr/>
          <w:t>Moravcsik, 1993, p. 507</w:t>
        </w:r>
      </w:hyperlink>
      <w:r>
        <w:rPr/>
        <w:t>).</w:t>
      </w:r>
      <w:r>
        <w:rPr>
          <w:spacing w:val="80"/>
        </w:rPr>
        <w:t> </w:t>
      </w:r>
      <w:r>
        <w:rPr/>
        <w:t>The states for LI are principals, while institutions serve as agents, “the core calculation is whether the benefits of collective action overweigh any possible risk to autonomy.” (</w:t>
      </w:r>
      <w:hyperlink w:history="true" w:anchor="_bookmark338">
        <w:r>
          <w:rPr/>
          <w:t>Pierson, 1994</w:t>
        </w:r>
      </w:hyperlink>
      <w:r>
        <w:rPr/>
        <w:t>) The historical institutionalism argues that when governments submit to institutions, they become dependent on the institutional arrangement; a) due to the electoral politics, politicians are mostly interested in short-term results of their involvements in</w:t>
      </w:r>
      <w:r>
        <w:rPr>
          <w:spacing w:val="21"/>
        </w:rPr>
        <w:t> </w:t>
      </w:r>
      <w:r>
        <w:rPr/>
        <w:t>institutions;</w:t>
      </w:r>
      <w:r>
        <w:rPr>
          <w:spacing w:val="22"/>
        </w:rPr>
        <w:t> </w:t>
      </w:r>
      <w:r>
        <w:rPr/>
        <w:t>possible</w:t>
      </w:r>
      <w:r>
        <w:rPr>
          <w:spacing w:val="21"/>
        </w:rPr>
        <w:t> </w:t>
      </w:r>
      <w:r>
        <w:rPr/>
        <w:t>long-term</w:t>
      </w:r>
      <w:r>
        <w:rPr>
          <w:spacing w:val="19"/>
        </w:rPr>
        <w:t> </w:t>
      </w:r>
      <w:r>
        <w:rPr/>
        <w:t>effects</w:t>
      </w:r>
      <w:r>
        <w:rPr>
          <w:spacing w:val="24"/>
        </w:rPr>
        <w:t> </w:t>
      </w:r>
      <w:r>
        <w:rPr/>
        <w:t>of</w:t>
      </w:r>
      <w:r>
        <w:rPr>
          <w:spacing w:val="25"/>
        </w:rPr>
        <w:t> </w:t>
      </w:r>
      <w:r>
        <w:rPr/>
        <w:t>the</w:t>
      </w:r>
      <w:r>
        <w:rPr>
          <w:spacing w:val="21"/>
        </w:rPr>
        <w:t> </w:t>
      </w:r>
      <w:r>
        <w:rPr/>
        <w:t>institutions</w:t>
      </w:r>
      <w:r>
        <w:rPr>
          <w:spacing w:val="18"/>
        </w:rPr>
        <w:t> </w:t>
      </w:r>
      <w:r>
        <w:rPr/>
        <w:t>are</w:t>
      </w:r>
      <w:r>
        <w:rPr>
          <w:spacing w:val="21"/>
        </w:rPr>
        <w:t> </w:t>
      </w:r>
      <w:r>
        <w:rPr>
          <w:spacing w:val="-2"/>
        </w:rPr>
        <w:t>neglected;</w:t>
      </w:r>
    </w:p>
    <w:p>
      <w:pPr>
        <w:pStyle w:val="BodyText"/>
        <w:spacing w:line="327" w:lineRule="exact"/>
      </w:pPr>
      <w:r>
        <w:rPr/>
        <w:t>b)</w:t>
      </w:r>
      <w:r>
        <w:rPr>
          <w:spacing w:val="66"/>
        </w:rPr>
        <w:t> </w:t>
      </w:r>
      <w:r>
        <w:rPr/>
        <w:t>even</w:t>
      </w:r>
      <w:r>
        <w:rPr>
          <w:spacing w:val="66"/>
        </w:rPr>
        <w:t> </w:t>
      </w:r>
      <w:r>
        <w:rPr/>
        <w:t>if</w:t>
      </w:r>
      <w:r>
        <w:rPr>
          <w:spacing w:val="64"/>
        </w:rPr>
        <w:t> </w:t>
      </w:r>
      <w:r>
        <w:rPr/>
        <w:t>governmental</w:t>
      </w:r>
      <w:r>
        <w:rPr>
          <w:spacing w:val="63"/>
        </w:rPr>
        <w:t> </w:t>
      </w:r>
      <w:r>
        <w:rPr/>
        <w:t>actors</w:t>
      </w:r>
      <w:r>
        <w:rPr>
          <w:spacing w:val="64"/>
        </w:rPr>
        <w:t> </w:t>
      </w:r>
      <w:r>
        <w:rPr/>
        <w:t>plan</w:t>
      </w:r>
      <w:r>
        <w:rPr>
          <w:spacing w:val="67"/>
        </w:rPr>
        <w:t> </w:t>
      </w:r>
      <w:r>
        <w:rPr/>
        <w:t>the</w:t>
      </w:r>
      <w:r>
        <w:rPr>
          <w:spacing w:val="61"/>
        </w:rPr>
        <w:t> </w:t>
      </w:r>
      <w:r>
        <w:rPr/>
        <w:t>future</w:t>
      </w:r>
      <w:r>
        <w:rPr>
          <w:spacing w:val="66"/>
        </w:rPr>
        <w:t> </w:t>
      </w:r>
      <w:r>
        <w:rPr/>
        <w:t>considering</w:t>
      </w:r>
      <w:r>
        <w:rPr>
          <w:spacing w:val="65"/>
        </w:rPr>
        <w:t> </w:t>
      </w:r>
      <w:r>
        <w:rPr/>
        <w:t>the</w:t>
      </w:r>
      <w:r>
        <w:rPr>
          <w:spacing w:val="65"/>
        </w:rPr>
        <w:t> </w:t>
      </w:r>
      <w:r>
        <w:rPr>
          <w:spacing w:val="-2"/>
        </w:rPr>
        <w:t>distant</w:t>
      </w:r>
    </w:p>
    <w:p>
      <w:pPr>
        <w:pStyle w:val="BodyText"/>
        <w:spacing w:line="273" w:lineRule="auto" w:before="52"/>
        <w:ind w:right="1915"/>
      </w:pPr>
      <w:r>
        <w:rPr/>
        <w:t>outcomes of integration, unintended consequences will always come to distort initial plans. The occurrence of the unforeseen institutional consequences, as </w:t>
      </w:r>
      <w:r>
        <w:rPr>
          <w:sz w:val="27"/>
        </w:rPr>
        <w:t>Pierson </w:t>
      </w:r>
      <w:r>
        <w:rPr/>
        <w:t>argues, was unavoidable for the complex decision making organization like EC. States were extremely limited and could only introduce significant changes during ‘Grand Bargains’ while:</w:t>
      </w:r>
    </w:p>
    <w:p>
      <w:pPr>
        <w:pStyle w:val="BodyText"/>
        <w:spacing w:before="57"/>
        <w:ind w:left="0"/>
        <w:jc w:val="left"/>
      </w:pPr>
    </w:p>
    <w:p>
      <w:pPr>
        <w:pStyle w:val="BodyText"/>
        <w:spacing w:line="276" w:lineRule="auto" w:before="1"/>
        <w:ind w:left="2420" w:right="1904"/>
      </w:pPr>
      <w:r>
        <w:rPr/>
        <mc:AlternateContent>
          <mc:Choice Requires="wps">
            <w:drawing>
              <wp:anchor distT="0" distB="0" distL="0" distR="0" allowOverlap="1" layoutInCell="1" locked="0" behindDoc="0" simplePos="0" relativeHeight="15762432">
                <wp:simplePos x="0" y="0"/>
                <wp:positionH relativeFrom="page">
                  <wp:posOffset>1923923</wp:posOffset>
                </wp:positionH>
                <wp:positionV relativeFrom="paragraph">
                  <wp:posOffset>-868</wp:posOffset>
                </wp:positionV>
                <wp:extent cx="1270" cy="1000125"/>
                <wp:effectExtent l="0" t="0" r="0" b="0"/>
                <wp:wrapNone/>
                <wp:docPr id="82" name="Graphic 82"/>
                <wp:cNvGraphicFramePr>
                  <a:graphicFrameLocks/>
                </wp:cNvGraphicFramePr>
                <a:graphic>
                  <a:graphicData uri="http://schemas.microsoft.com/office/word/2010/wordprocessingShape">
                    <wps:wsp>
                      <wps:cNvPr id="82" name="Graphic 82"/>
                      <wps:cNvSpPr/>
                      <wps:spPr>
                        <a:xfrm>
                          <a:off x="0" y="0"/>
                          <a:ext cx="1270" cy="1000125"/>
                        </a:xfrm>
                        <a:custGeom>
                          <a:avLst/>
                          <a:gdLst/>
                          <a:ahLst/>
                          <a:cxnLst/>
                          <a:rect l="l" t="t" r="r" b="b"/>
                          <a:pathLst>
                            <a:path w="0" h="1000125">
                              <a:moveTo>
                                <a:pt x="0" y="0"/>
                              </a:moveTo>
                              <a:lnTo>
                                <a:pt x="0" y="249936"/>
                              </a:lnTo>
                            </a:path>
                            <a:path w="0" h="1000125">
                              <a:moveTo>
                                <a:pt x="0" y="249936"/>
                              </a:moveTo>
                              <a:lnTo>
                                <a:pt x="0" y="500126"/>
                              </a:lnTo>
                            </a:path>
                            <a:path w="0" h="1000125">
                              <a:moveTo>
                                <a:pt x="0" y="500126"/>
                              </a:moveTo>
                              <a:lnTo>
                                <a:pt x="0" y="750062"/>
                              </a:lnTo>
                            </a:path>
                            <a:path w="0" h="1000125">
                              <a:moveTo>
                                <a:pt x="0" y="750062"/>
                              </a:moveTo>
                              <a:lnTo>
                                <a:pt x="0" y="999998"/>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68361pt;width:.1pt;height:78.75pt;mso-position-horizontal-relative:page;mso-position-vertical-relative:paragraph;z-index:15762432" id="docshape77" coordorigin="3030,-1" coordsize="0,1575" path="m3030,-1l3030,392m3030,392l3030,786m3030,786l3030,1180m3030,1180l3030,1573e" filled="false" stroked="true" strokeweight=".48pt" strokecolor="#000000">
                <v:path arrowok="t"/>
                <v:stroke dashstyle="shortdash"/>
                <w10:wrap type="none"/>
              </v:shape>
            </w:pict>
          </mc:Fallback>
        </mc:AlternateContent>
      </w:r>
      <w:r>
        <w:rPr/>
        <w:t>“In the intervals between these agreements however when flesh is added to the skeletal frameworks and much policy actually evolves, the ability of member states to control the process is likely to be weaker.”</w:t>
      </w:r>
    </w:p>
    <w:p>
      <w:pPr>
        <w:pStyle w:val="BodyText"/>
        <w:spacing w:line="342" w:lineRule="exact"/>
        <w:ind w:left="6934"/>
        <w:jc w:val="left"/>
      </w:pPr>
      <w:r>
        <w:rPr/>
        <w:t>(</w:t>
      </w:r>
      <w:hyperlink w:history="true" w:anchor="_bookmark338">
        <w:r>
          <w:rPr/>
          <w:t>Pierson,</w:t>
        </w:r>
        <w:r>
          <w:rPr>
            <w:spacing w:val="-5"/>
          </w:rPr>
          <w:t> </w:t>
        </w:r>
        <w:r>
          <w:rPr/>
          <w:t>1994,</w:t>
        </w:r>
        <w:r>
          <w:rPr>
            <w:spacing w:val="-9"/>
          </w:rPr>
          <w:t> </w:t>
        </w:r>
        <w:r>
          <w:rPr/>
          <w:t>p.</w:t>
        </w:r>
        <w:r>
          <w:rPr>
            <w:spacing w:val="-5"/>
          </w:rPr>
          <w:t> 14</w:t>
        </w:r>
      </w:hyperlink>
      <w:r>
        <w:rPr>
          <w:spacing w:val="-5"/>
        </w:rPr>
        <w:t>)</w:t>
      </w:r>
    </w:p>
    <w:p>
      <w:pPr>
        <w:pStyle w:val="BodyText"/>
        <w:spacing w:after="0" w:line="342" w:lineRule="exact"/>
        <w:jc w:val="left"/>
        <w:sectPr>
          <w:pgSz w:w="12240" w:h="15840"/>
          <w:pgMar w:header="1046" w:footer="0" w:top="1360" w:bottom="280" w:left="720" w:right="360"/>
        </w:sectPr>
      </w:pPr>
    </w:p>
    <w:p>
      <w:pPr>
        <w:pStyle w:val="BodyText"/>
        <w:spacing w:line="273" w:lineRule="auto" w:before="276"/>
        <w:ind w:right="1910" w:firstLine="720"/>
      </w:pPr>
      <w:r>
        <w:rPr/>
        <w:t>In democratic states the governments regularly change, new governments usually have new views on particular policies, some of which completely disagrees with the steps of their predecessors. Organizational structures of institutions remain relatively invariant in time. They cannot tolerate constant modifications in accordance with changing state preferences. The governments have to stay committed, they are</w:t>
      </w:r>
      <w:r>
        <w:rPr>
          <w:spacing w:val="-2"/>
        </w:rPr>
        <w:t> </w:t>
      </w:r>
      <w:r>
        <w:rPr/>
        <w:t>not “free to review and discard the commitments of previous governments, including those</w:t>
      </w:r>
      <w:r>
        <w:rPr>
          <w:spacing w:val="-1"/>
        </w:rPr>
        <w:t> </w:t>
      </w:r>
      <w:r>
        <w:rPr/>
        <w:t>with</w:t>
      </w:r>
      <w:r>
        <w:rPr>
          <w:spacing w:val="-1"/>
        </w:rPr>
        <w:t> </w:t>
      </w:r>
      <w:r>
        <w:rPr/>
        <w:t>quite</w:t>
      </w:r>
      <w:r>
        <w:rPr>
          <w:spacing w:val="-1"/>
        </w:rPr>
        <w:t> </w:t>
      </w:r>
      <w:r>
        <w:rPr/>
        <w:t>different</w:t>
      </w:r>
      <w:r>
        <w:rPr>
          <w:spacing w:val="-1"/>
        </w:rPr>
        <w:t> </w:t>
      </w:r>
      <w:r>
        <w:rPr/>
        <w:t>policy</w:t>
      </w:r>
      <w:r>
        <w:rPr>
          <w:spacing w:val="-2"/>
        </w:rPr>
        <w:t> </w:t>
      </w:r>
      <w:r>
        <w:rPr/>
        <w:t>preferences.” (</w:t>
      </w:r>
      <w:hyperlink w:history="true" w:anchor="_bookmark338">
        <w:r>
          <w:rPr/>
          <w:t>Pierson, 1994, p. 17</w:t>
        </w:r>
      </w:hyperlink>
      <w:r>
        <w:rPr/>
        <w:t>)</w:t>
      </w:r>
      <w:r>
        <w:rPr>
          <w:spacing w:val="40"/>
        </w:rPr>
        <w:t> </w:t>
      </w:r>
      <w:r>
        <w:rPr/>
        <w:t>In case of EC states could seek to obtain opt-outs in consecutive treaties, however, </w:t>
      </w:r>
      <w:r>
        <w:rPr>
          <w:sz w:val="27"/>
        </w:rPr>
        <w:t>Pierson </w:t>
      </w:r>
      <w:r>
        <w:rPr/>
        <w:t>argues that with the growth of legal commitments embedded in </w:t>
      </w:r>
      <w:r>
        <w:rPr>
          <w:sz w:val="27"/>
        </w:rPr>
        <w:t>aquis communautere, </w:t>
      </w:r>
      <w:r>
        <w:rPr/>
        <w:t>the states limit own capacities to maneuver. This happens due to the </w:t>
      </w:r>
      <w:r>
        <w:rPr>
          <w:sz w:val="27"/>
        </w:rPr>
        <w:t>path dependency </w:t>
      </w:r>
      <w:r>
        <w:rPr/>
        <w:t>and </w:t>
      </w:r>
      <w:r>
        <w:rPr>
          <w:sz w:val="27"/>
        </w:rPr>
        <w:t>lock-ins </w:t>
      </w:r>
      <w:r>
        <w:rPr/>
        <w:t>the governments are </w:t>
      </w:r>
      <w:r>
        <w:rPr>
          <w:spacing w:val="-2"/>
        </w:rPr>
        <w:t>facing.</w:t>
      </w:r>
    </w:p>
    <w:p>
      <w:pPr>
        <w:spacing w:line="271" w:lineRule="auto" w:before="0"/>
        <w:ind w:left="979" w:right="1902" w:firstLine="720"/>
        <w:jc w:val="both"/>
        <w:rPr>
          <w:sz w:val="26"/>
        </w:rPr>
      </w:pPr>
      <w:r>
        <w:rPr>
          <w:sz w:val="27"/>
        </w:rPr>
        <w:t>Antony Forster </w:t>
      </w:r>
      <w:r>
        <w:rPr>
          <w:sz w:val="26"/>
        </w:rPr>
        <w:t>illustrated the gaps of the LI with the case of the British negotiations of the three dossiers in the 1991 </w:t>
      </w:r>
      <w:r>
        <w:rPr>
          <w:sz w:val="27"/>
        </w:rPr>
        <w:t>Intergovernmental Conference on Political Union</w:t>
      </w:r>
      <w:r>
        <w:rPr>
          <w:sz w:val="26"/>
        </w:rPr>
        <w:t>.</w:t>
      </w:r>
      <w:r>
        <w:rPr>
          <w:spacing w:val="40"/>
          <w:sz w:val="26"/>
        </w:rPr>
        <w:t> </w:t>
      </w:r>
      <w:r>
        <w:rPr>
          <w:sz w:val="26"/>
        </w:rPr>
        <w:t>These were </w:t>
      </w:r>
      <w:r>
        <w:rPr>
          <w:sz w:val="27"/>
        </w:rPr>
        <w:t>social policy</w:t>
      </w:r>
      <w:r>
        <w:rPr>
          <w:sz w:val="26"/>
        </w:rPr>
        <w:t>, </w:t>
      </w:r>
      <w:r>
        <w:rPr>
          <w:sz w:val="27"/>
        </w:rPr>
        <w:t>foreign and security policy </w:t>
      </w:r>
      <w:r>
        <w:rPr>
          <w:sz w:val="26"/>
        </w:rPr>
        <w:t>and </w:t>
      </w:r>
      <w:r>
        <w:rPr>
          <w:sz w:val="27"/>
        </w:rPr>
        <w:t>enhancing powers of the European Parliament (EP). </w:t>
      </w:r>
      <w:r>
        <w:rPr>
          <w:sz w:val="26"/>
        </w:rPr>
        <w:t>(</w:t>
      </w:r>
      <w:hyperlink w:history="true" w:anchor="_bookmark185">
        <w:r>
          <w:rPr>
            <w:sz w:val="26"/>
          </w:rPr>
          <w:t>Forster,</w:t>
        </w:r>
        <w:r>
          <w:rPr>
            <w:spacing w:val="-7"/>
            <w:sz w:val="26"/>
          </w:rPr>
          <w:t> </w:t>
        </w:r>
        <w:r>
          <w:rPr>
            <w:sz w:val="26"/>
          </w:rPr>
          <w:t>1998</w:t>
        </w:r>
      </w:hyperlink>
      <w:r>
        <w:rPr>
          <w:sz w:val="26"/>
        </w:rPr>
        <w:t>)</w:t>
      </w:r>
      <w:r>
        <w:rPr>
          <w:spacing w:val="-6"/>
          <w:sz w:val="26"/>
        </w:rPr>
        <w:t> </w:t>
      </w:r>
      <w:r>
        <w:rPr>
          <w:sz w:val="26"/>
        </w:rPr>
        <w:t>Britain</w:t>
      </w:r>
      <w:r>
        <w:rPr>
          <w:spacing w:val="-7"/>
          <w:sz w:val="26"/>
        </w:rPr>
        <w:t> </w:t>
      </w:r>
      <w:r>
        <w:rPr>
          <w:sz w:val="26"/>
        </w:rPr>
        <w:t>had</w:t>
      </w:r>
      <w:r>
        <w:rPr>
          <w:spacing w:val="-10"/>
          <w:sz w:val="26"/>
        </w:rPr>
        <w:t> </w:t>
      </w:r>
      <w:r>
        <w:rPr>
          <w:sz w:val="26"/>
        </w:rPr>
        <w:t>her</w:t>
      </w:r>
      <w:r>
        <w:rPr>
          <w:spacing w:val="-7"/>
          <w:sz w:val="26"/>
        </w:rPr>
        <w:t> </w:t>
      </w:r>
      <w:r>
        <w:rPr>
          <w:sz w:val="26"/>
        </w:rPr>
        <w:t>objectives</w:t>
      </w:r>
      <w:r>
        <w:rPr>
          <w:spacing w:val="-10"/>
          <w:sz w:val="26"/>
        </w:rPr>
        <w:t> </w:t>
      </w:r>
      <w:r>
        <w:rPr>
          <w:sz w:val="26"/>
        </w:rPr>
        <w:t>connected</w:t>
      </w:r>
      <w:r>
        <w:rPr>
          <w:spacing w:val="-10"/>
          <w:sz w:val="26"/>
        </w:rPr>
        <w:t> </w:t>
      </w:r>
      <w:r>
        <w:rPr>
          <w:sz w:val="26"/>
        </w:rPr>
        <w:t>with</w:t>
      </w:r>
      <w:r>
        <w:rPr>
          <w:spacing w:val="-1"/>
          <w:sz w:val="26"/>
        </w:rPr>
        <w:t> </w:t>
      </w:r>
      <w:r>
        <w:rPr>
          <w:sz w:val="27"/>
        </w:rPr>
        <w:t>social</w:t>
      </w:r>
      <w:r>
        <w:rPr>
          <w:spacing w:val="-12"/>
          <w:sz w:val="27"/>
        </w:rPr>
        <w:t> </w:t>
      </w:r>
      <w:r>
        <w:rPr>
          <w:sz w:val="27"/>
        </w:rPr>
        <w:t>policies,</w:t>
      </w:r>
      <w:r>
        <w:rPr>
          <w:spacing w:val="-8"/>
          <w:sz w:val="27"/>
        </w:rPr>
        <w:t> </w:t>
      </w:r>
      <w:r>
        <w:rPr>
          <w:sz w:val="26"/>
        </w:rPr>
        <w:t>but in overall, opposed the changes. The other states agreed to remove modification proposal from the main text (considering British position), in exchange, they received a right to include it in separate protocol. The new text no longer applied to the UK; therefore, she did not participate in further negotiations. The result did not come with making an</w:t>
      </w:r>
      <w:r>
        <w:rPr>
          <w:spacing w:val="-1"/>
          <w:sz w:val="26"/>
        </w:rPr>
        <w:t> </w:t>
      </w:r>
      <w:r>
        <w:rPr>
          <w:sz w:val="26"/>
        </w:rPr>
        <w:t>allowance for the lowest common denominator (UK), but with exclusion of the later.</w:t>
      </w:r>
    </w:p>
    <w:p>
      <w:pPr>
        <w:pStyle w:val="BodyText"/>
        <w:spacing w:line="271" w:lineRule="auto"/>
        <w:ind w:right="1901" w:firstLine="787"/>
      </w:pPr>
      <w:r>
        <w:rPr/>
        <w:t>Britain rejected the dossier, not only because the economic costs were higher than benefits, as it would be argued by the LI, but mainly because of high political costs. </w:t>
      </w:r>
      <w:r>
        <w:rPr>
          <w:sz w:val="27"/>
        </w:rPr>
        <w:t>Forster </w:t>
      </w:r>
      <w:r>
        <w:rPr/>
        <w:t>suggested that broad predictions of the outcomes in given bargains were compatible with the LI model, but “they were [are] based on wholly incorrect reasoning.” (</w:t>
      </w:r>
      <w:hyperlink w:history="true" w:anchor="_bookmark185">
        <w:r>
          <w:rPr/>
          <w:t>1998, p. 353</w:t>
        </w:r>
      </w:hyperlink>
      <w:r>
        <w:rPr/>
        <w:t>) Important aspect here is that, main domestic interest group </w:t>
      </w:r>
      <w:r>
        <w:rPr>
          <w:sz w:val="27"/>
        </w:rPr>
        <w:t>Confederation of British Industry (CBI)</w:t>
      </w:r>
      <w:r>
        <w:rPr/>
        <w:t>, was in favor to compromise on social policy. According</w:t>
      </w:r>
      <w:r>
        <w:rPr>
          <w:spacing w:val="-1"/>
        </w:rPr>
        <w:t> </w:t>
      </w:r>
      <w:r>
        <w:rPr/>
        <w:t>to</w:t>
      </w:r>
      <w:r>
        <w:rPr>
          <w:spacing w:val="-4"/>
        </w:rPr>
        <w:t> </w:t>
      </w:r>
      <w:r>
        <w:rPr/>
        <w:t>LI logic, the</w:t>
      </w:r>
      <w:r>
        <w:rPr>
          <w:spacing w:val="-1"/>
        </w:rPr>
        <w:t> </w:t>
      </w:r>
      <w:r>
        <w:rPr/>
        <w:t>state</w:t>
      </w:r>
      <w:r>
        <w:rPr>
          <w:spacing w:val="-1"/>
        </w:rPr>
        <w:t> </w:t>
      </w:r>
      <w:r>
        <w:rPr/>
        <w:t>preferences contain the</w:t>
      </w:r>
      <w:r>
        <w:rPr>
          <w:spacing w:val="-1"/>
        </w:rPr>
        <w:t> </w:t>
      </w:r>
      <w:r>
        <w:rPr/>
        <w:t>interests</w:t>
      </w:r>
      <w:r>
        <w:rPr>
          <w:spacing w:val="-3"/>
        </w:rPr>
        <w:t> </w:t>
      </w:r>
      <w:r>
        <w:rPr/>
        <w:t>of</w:t>
      </w:r>
      <w:r>
        <w:rPr>
          <w:spacing w:val="-2"/>
        </w:rPr>
        <w:t> </w:t>
      </w:r>
      <w:r>
        <w:rPr/>
        <w:t>the most</w:t>
      </w:r>
    </w:p>
    <w:p>
      <w:pPr>
        <w:pStyle w:val="BodyText"/>
        <w:spacing w:after="0" w:line="271" w:lineRule="auto"/>
        <w:sectPr>
          <w:pgSz w:w="12240" w:h="15840"/>
          <w:pgMar w:header="1046" w:footer="0" w:top="1360" w:bottom="280" w:left="720" w:right="360"/>
        </w:sectPr>
      </w:pPr>
    </w:p>
    <w:p>
      <w:pPr>
        <w:pStyle w:val="BodyText"/>
        <w:spacing w:line="276" w:lineRule="auto" w:before="276"/>
        <w:ind w:right="1913"/>
      </w:pPr>
      <w:r>
        <w:rPr/>
        <w:t>influential domestic actors, in British case it did not happen. The Government made political decision. Decisive factor was political</w:t>
      </w:r>
      <w:r>
        <w:rPr>
          <w:spacing w:val="40"/>
        </w:rPr>
        <w:t> </w:t>
      </w:r>
      <w:r>
        <w:rPr/>
        <w:t>exchanges within the ruling coalition and the cabinet of ministers. The example shows that, even if the LI properly acknowledges the importance</w:t>
      </w:r>
      <w:r>
        <w:rPr>
          <w:spacing w:val="40"/>
        </w:rPr>
        <w:t> </w:t>
      </w:r>
      <w:r>
        <w:rPr/>
        <w:t>of domestic politics for international bargains, focusing solely on economic aspects limits its explanatory value.</w:t>
      </w:r>
    </w:p>
    <w:p>
      <w:pPr>
        <w:pStyle w:val="BodyText"/>
        <w:spacing w:line="273" w:lineRule="auto"/>
        <w:ind w:right="1908" w:firstLine="787"/>
      </w:pPr>
      <w:r>
        <w:rPr/>
        <w:t>Common Foreign and security policy (CFSP) dossier differed from the first. British government did not have a significant pressuring domestic actor as it was in the case of CBI, therefore according to the LI model, government should have had a greater flexibility. However, </w:t>
      </w:r>
      <w:r>
        <w:rPr>
          <w:sz w:val="27"/>
        </w:rPr>
        <w:t>Forster </w:t>
      </w:r>
      <w:r>
        <w:rPr/>
        <w:t>argues that, there were many external factors, which influenced the government.</w:t>
      </w:r>
    </w:p>
    <w:p>
      <w:pPr>
        <w:pStyle w:val="BodyText"/>
        <w:spacing w:line="273" w:lineRule="auto" w:before="2"/>
        <w:ind w:right="1908" w:firstLine="720"/>
      </w:pPr>
      <w:r>
        <w:rPr/>
        <w:t>The CFSP and EP negotiations challenged the notion of the rationality and purposefulness of the state as perceived by the LI. First, Britain’s main task on these bargains was to react to proposals rather than make them. It means that state preferences were formed during ongoing bargains. Second, “appearance of preserving sovereignty,” was more important</w:t>
      </w:r>
      <w:r>
        <w:rPr>
          <w:spacing w:val="-5"/>
        </w:rPr>
        <w:t> </w:t>
      </w:r>
      <w:r>
        <w:rPr/>
        <w:t>than</w:t>
      </w:r>
      <w:r>
        <w:rPr>
          <w:spacing w:val="-3"/>
        </w:rPr>
        <w:t> </w:t>
      </w:r>
      <w:r>
        <w:rPr/>
        <w:t>actually</w:t>
      </w:r>
      <w:r>
        <w:rPr>
          <w:spacing w:val="-5"/>
        </w:rPr>
        <w:t> </w:t>
      </w:r>
      <w:r>
        <w:rPr/>
        <w:t>preserving</w:t>
      </w:r>
      <w:r>
        <w:rPr>
          <w:spacing w:val="-5"/>
        </w:rPr>
        <w:t> </w:t>
      </w:r>
      <w:r>
        <w:rPr/>
        <w:t>it.</w:t>
      </w:r>
      <w:r>
        <w:rPr>
          <w:spacing w:val="-2"/>
        </w:rPr>
        <w:t> </w:t>
      </w:r>
      <w:r>
        <w:rPr/>
        <w:t>(</w:t>
      </w:r>
      <w:hyperlink w:history="true" w:anchor="_bookmark185">
        <w:r>
          <w:rPr/>
          <w:t>Forster,</w:t>
        </w:r>
        <w:r>
          <w:rPr>
            <w:spacing w:val="-4"/>
          </w:rPr>
          <w:t> </w:t>
        </w:r>
        <w:r>
          <w:rPr/>
          <w:t>1998,</w:t>
        </w:r>
        <w:r>
          <w:rPr>
            <w:spacing w:val="-4"/>
          </w:rPr>
          <w:t> </w:t>
        </w:r>
        <w:r>
          <w:rPr/>
          <w:t>p.</w:t>
        </w:r>
        <w:r>
          <w:rPr>
            <w:spacing w:val="-4"/>
          </w:rPr>
          <w:t> </w:t>
        </w:r>
        <w:r>
          <w:rPr/>
          <w:t>359</w:t>
        </w:r>
      </w:hyperlink>
      <w:r>
        <w:rPr/>
        <w:t>)</w:t>
      </w:r>
      <w:r>
        <w:rPr>
          <w:spacing w:val="-4"/>
        </w:rPr>
        <w:t> </w:t>
      </w:r>
      <w:r>
        <w:rPr>
          <w:sz w:val="27"/>
        </w:rPr>
        <w:t>Forster</w:t>
      </w:r>
      <w:r>
        <w:rPr>
          <w:spacing w:val="-5"/>
          <w:sz w:val="27"/>
        </w:rPr>
        <w:t> </w:t>
      </w:r>
      <w:r>
        <w:rPr/>
        <w:t>pointed out several aspects, which are important for international bargains but do not fell into the LI interests. Those include: symbols, bargaining techniques and personal relationships of the leaders.</w:t>
      </w:r>
    </w:p>
    <w:p>
      <w:pPr>
        <w:pStyle w:val="BodyText"/>
        <w:spacing w:line="276" w:lineRule="auto" w:before="5"/>
        <w:ind w:right="1904" w:firstLine="720"/>
      </w:pPr>
      <w:r>
        <w:rPr>
          <w:sz w:val="27"/>
        </w:rPr>
        <w:t>Daniel</w:t>
      </w:r>
      <w:r>
        <w:rPr>
          <w:spacing w:val="-17"/>
          <w:sz w:val="27"/>
        </w:rPr>
        <w:t> </w:t>
      </w:r>
      <w:r>
        <w:rPr>
          <w:sz w:val="27"/>
        </w:rPr>
        <w:t>Wincott</w:t>
      </w:r>
      <w:r>
        <w:rPr>
          <w:spacing w:val="-17"/>
          <w:sz w:val="27"/>
        </w:rPr>
        <w:t> </w:t>
      </w:r>
      <w:r>
        <w:rPr/>
        <w:t>criticizes</w:t>
      </w:r>
      <w:r>
        <w:rPr>
          <w:spacing w:val="-16"/>
        </w:rPr>
        <w:t> </w:t>
      </w:r>
      <w:r>
        <w:rPr>
          <w:sz w:val="27"/>
        </w:rPr>
        <w:t>Moravcsik</w:t>
      </w:r>
      <w:r>
        <w:rPr/>
        <w:t>’s</w:t>
      </w:r>
      <w:r>
        <w:rPr>
          <w:spacing w:val="-17"/>
        </w:rPr>
        <w:t> </w:t>
      </w:r>
      <w:r>
        <w:rPr/>
        <w:t>approach</w:t>
      </w:r>
      <w:r>
        <w:rPr>
          <w:spacing w:val="-16"/>
        </w:rPr>
        <w:t> </w:t>
      </w:r>
      <w:r>
        <w:rPr>
          <w:sz w:val="27"/>
        </w:rPr>
        <w:t>in</w:t>
      </w:r>
      <w:r>
        <w:rPr>
          <w:spacing w:val="-17"/>
          <w:sz w:val="27"/>
        </w:rPr>
        <w:t> </w:t>
      </w:r>
      <w:r>
        <w:rPr/>
        <w:t>several</w:t>
      </w:r>
      <w:r>
        <w:rPr>
          <w:spacing w:val="-16"/>
        </w:rPr>
        <w:t> </w:t>
      </w:r>
      <w:r>
        <w:rPr/>
        <w:t>ways.</w:t>
      </w:r>
      <w:r>
        <w:rPr>
          <w:spacing w:val="-16"/>
        </w:rPr>
        <w:t> </w:t>
      </w:r>
      <w:r>
        <w:rPr/>
        <w:t>First, he denies LI claim that day-to-day supranational innovations connected with the community are not significant. </w:t>
      </w:r>
      <w:r>
        <w:rPr>
          <w:sz w:val="27"/>
        </w:rPr>
        <w:t>Wincott </w:t>
      </w:r>
      <w:r>
        <w:rPr/>
        <w:t>shows that the novelties brought by the Single European Act were already in practice of the community. (</w:t>
      </w:r>
      <w:hyperlink w:history="true" w:anchor="_bookmark441">
        <w:r>
          <w:rPr/>
          <w:t>Wincott, 1995</w:t>
        </w:r>
      </w:hyperlink>
      <w:r>
        <w:rPr/>
        <w:t>) The SEA gave a</w:t>
      </w:r>
      <w:r>
        <w:rPr>
          <w:spacing w:val="-2"/>
        </w:rPr>
        <w:t> </w:t>
      </w:r>
      <w:r>
        <w:rPr/>
        <w:t>legal status to extension of the supranational competences to the areas where those practices took place. Examples of innovative principles applied by the commission were “mutual recognition and minimum harmonization. First meant that products that</w:t>
      </w:r>
      <w:r>
        <w:rPr>
          <w:spacing w:val="40"/>
        </w:rPr>
        <w:t> </w:t>
      </w:r>
      <w:r>
        <w:rPr/>
        <w:t>are allowed to</w:t>
      </w:r>
      <w:r>
        <w:rPr>
          <w:spacing w:val="-1"/>
        </w:rPr>
        <w:t> </w:t>
      </w:r>
      <w:r>
        <w:rPr/>
        <w:t>be sold in one state, should be allowed in all</w:t>
      </w:r>
      <w:r>
        <w:rPr>
          <w:spacing w:val="-1"/>
        </w:rPr>
        <w:t> </w:t>
      </w:r>
      <w:r>
        <w:rPr/>
        <w:t>others. (</w:t>
      </w:r>
      <w:hyperlink w:history="true" w:anchor="_bookmark191">
        <w:r>
          <w:rPr/>
          <w:t>Garrett,</w:t>
        </w:r>
      </w:hyperlink>
      <w:r>
        <w:rPr/>
        <w:t> </w:t>
      </w:r>
      <w:hyperlink w:history="true" w:anchor="_bookmark191">
        <w:r>
          <w:rPr/>
          <w:t>1995, p. 174</w:t>
        </w:r>
      </w:hyperlink>
      <w:r>
        <w:rPr/>
        <w:t>) Second was a minimum common rules, which had to be followed by the member states, in order to give citizens “minimum set of rights”</w:t>
      </w:r>
      <w:r>
        <w:rPr>
          <w:spacing w:val="18"/>
        </w:rPr>
        <w:t> </w:t>
      </w:r>
      <w:r>
        <w:rPr/>
        <w:t>into</w:t>
      </w:r>
      <w:r>
        <w:rPr>
          <w:spacing w:val="15"/>
        </w:rPr>
        <w:t> </w:t>
      </w:r>
      <w:r>
        <w:rPr/>
        <w:t>cross</w:t>
      </w:r>
      <w:r>
        <w:rPr>
          <w:spacing w:val="19"/>
        </w:rPr>
        <w:t> </w:t>
      </w:r>
      <w:r>
        <w:rPr/>
        <w:t>border</w:t>
      </w:r>
      <w:r>
        <w:rPr>
          <w:spacing w:val="19"/>
        </w:rPr>
        <w:t> </w:t>
      </w:r>
      <w:r>
        <w:rPr/>
        <w:t>transactions.</w:t>
      </w:r>
      <w:r>
        <w:rPr>
          <w:spacing w:val="24"/>
        </w:rPr>
        <w:t> </w:t>
      </w:r>
      <w:r>
        <w:rPr/>
        <w:t>(</w:t>
      </w:r>
      <w:hyperlink w:history="true" w:anchor="_bookmark273">
        <w:r>
          <w:rPr/>
          <w:t>Mańko,</w:t>
        </w:r>
        <w:r>
          <w:rPr>
            <w:spacing w:val="19"/>
          </w:rPr>
          <w:t> </w:t>
        </w:r>
        <w:r>
          <w:rPr/>
          <w:t>2014,</w:t>
        </w:r>
        <w:r>
          <w:rPr>
            <w:spacing w:val="19"/>
          </w:rPr>
          <w:t> </w:t>
        </w:r>
        <w:r>
          <w:rPr/>
          <w:t>p.</w:t>
        </w:r>
        <w:r>
          <w:rPr>
            <w:spacing w:val="20"/>
          </w:rPr>
          <w:t> </w:t>
        </w:r>
        <w:r>
          <w:rPr/>
          <w:t>2</w:t>
        </w:r>
      </w:hyperlink>
      <w:r>
        <w:rPr/>
        <w:t>)</w:t>
      </w:r>
      <w:r>
        <w:rPr>
          <w:spacing w:val="18"/>
        </w:rPr>
        <w:t> </w:t>
      </w:r>
      <w:r>
        <w:rPr/>
        <w:t>Combination</w:t>
      </w:r>
      <w:r>
        <w:rPr>
          <w:spacing w:val="23"/>
        </w:rPr>
        <w:t> </w:t>
      </w:r>
      <w:r>
        <w:rPr>
          <w:spacing w:val="-5"/>
        </w:rPr>
        <w:t>of</w:t>
      </w:r>
    </w:p>
    <w:p>
      <w:pPr>
        <w:pStyle w:val="BodyText"/>
        <w:spacing w:after="0" w:line="276" w:lineRule="auto"/>
        <w:sectPr>
          <w:pgSz w:w="12240" w:h="15840"/>
          <w:pgMar w:header="1046" w:footer="0" w:top="1360" w:bottom="280" w:left="720" w:right="360"/>
        </w:sectPr>
      </w:pPr>
    </w:p>
    <w:p>
      <w:pPr>
        <w:pStyle w:val="BodyText"/>
        <w:spacing w:line="276" w:lineRule="auto" w:before="276"/>
        <w:ind w:right="1906"/>
      </w:pPr>
      <w:r>
        <w:rPr/>
        <w:t>both principles made it possible for commission “to allow national differences to flourish, knowing that they could not be allowed to interfere with circulation of goods.” (</w:t>
      </w:r>
      <w:hyperlink w:history="true" w:anchor="_bookmark441">
        <w:r>
          <w:rPr/>
          <w:t>Wincott, 1995, p. 605</w:t>
        </w:r>
      </w:hyperlink>
      <w:r>
        <w:rPr/>
        <w:t>)</w:t>
      </w:r>
      <w:r>
        <w:rPr>
          <w:spacing w:val="80"/>
        </w:rPr>
        <w:t> </w:t>
      </w:r>
      <w:r>
        <w:rPr/>
        <w:t>Key idea here is that,</w:t>
      </w:r>
      <w:r>
        <w:rPr>
          <w:spacing w:val="40"/>
        </w:rPr>
        <w:t> </w:t>
      </w:r>
      <w:r>
        <w:rPr/>
        <w:t>the community already had supranational practices achieved in daily process of policy making, before the SEA was agreed in negotiations. (</w:t>
      </w:r>
      <w:hyperlink w:history="true" w:anchor="_bookmark441">
        <w:r>
          <w:rPr/>
          <w:t>1995,</w:t>
        </w:r>
      </w:hyperlink>
      <w:r>
        <w:rPr/>
        <w:t> </w:t>
      </w:r>
      <w:hyperlink w:history="true" w:anchor="_bookmark441">
        <w:r>
          <w:rPr/>
          <w:t>p. 606</w:t>
        </w:r>
      </w:hyperlink>
      <w:r>
        <w:rPr/>
        <w:t>)</w:t>
      </w:r>
    </w:p>
    <w:p>
      <w:pPr>
        <w:pStyle w:val="BodyText"/>
        <w:spacing w:before="341"/>
        <w:ind w:left="0"/>
        <w:jc w:val="left"/>
      </w:pPr>
    </w:p>
    <w:p>
      <w:pPr>
        <w:pStyle w:val="Heading4"/>
        <w:numPr>
          <w:ilvl w:val="1"/>
          <w:numId w:val="4"/>
        </w:numPr>
        <w:tabs>
          <w:tab w:pos="1581" w:val="left" w:leader="none"/>
        </w:tabs>
        <w:spacing w:line="240" w:lineRule="auto" w:before="0" w:after="0"/>
        <w:ind w:left="1581" w:right="0" w:hanging="602"/>
        <w:jc w:val="left"/>
      </w:pPr>
      <w:bookmarkStart w:name="_bookmark18" w:id="19"/>
      <w:bookmarkEnd w:id="19"/>
      <w:r>
        <w:rPr>
          <w:b w:val="0"/>
        </w:rPr>
      </w:r>
      <w:r>
        <w:rPr>
          <w:spacing w:val="-2"/>
        </w:rPr>
        <w:t>Governance</w:t>
      </w:r>
    </w:p>
    <w:p>
      <w:pPr>
        <w:pStyle w:val="BodyText"/>
        <w:spacing w:before="52"/>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22144">
                <wp:simplePos x="0" y="0"/>
                <wp:positionH relativeFrom="page">
                  <wp:posOffset>1078864</wp:posOffset>
                </wp:positionH>
                <wp:positionV relativeFrom="paragraph">
                  <wp:posOffset>192946</wp:posOffset>
                </wp:positionV>
                <wp:extent cx="5252085" cy="51435"/>
                <wp:effectExtent l="0" t="0" r="0" b="0"/>
                <wp:wrapTopAndBottom/>
                <wp:docPr id="83" name="Graphic 83"/>
                <wp:cNvGraphicFramePr>
                  <a:graphicFrameLocks/>
                </wp:cNvGraphicFramePr>
                <a:graphic>
                  <a:graphicData uri="http://schemas.microsoft.com/office/word/2010/wordprocessingShape">
                    <wps:wsp>
                      <wps:cNvPr id="83" name="Graphic 83"/>
                      <wps:cNvSpPr/>
                      <wps:spPr>
                        <a:xfrm>
                          <a:off x="0" y="0"/>
                          <a:ext cx="5252085" cy="51435"/>
                        </a:xfrm>
                        <a:custGeom>
                          <a:avLst/>
                          <a:gdLst/>
                          <a:ahLst/>
                          <a:cxnLst/>
                          <a:rect l="l" t="t" r="r" b="b"/>
                          <a:pathLst>
                            <a:path w="5252085" h="51435">
                              <a:moveTo>
                                <a:pt x="5252085" y="0"/>
                              </a:moveTo>
                              <a:lnTo>
                                <a:pt x="0" y="0"/>
                              </a:lnTo>
                              <a:lnTo>
                                <a:pt x="0" y="51434"/>
                              </a:lnTo>
                              <a:lnTo>
                                <a:pt x="5252085" y="51434"/>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5.192666pt;width:413.55pt;height:4.05pt;mso-position-horizontal-relative:page;mso-position-vertical-relative:paragraph;z-index:-15694336;mso-wrap-distance-left:0;mso-wrap-distance-right:0" id="docshape78"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ind w:left="0"/>
        <w:jc w:val="left"/>
        <w:rPr>
          <w:rFonts w:ascii="Georgia"/>
          <w:b/>
        </w:rPr>
      </w:pPr>
    </w:p>
    <w:p>
      <w:pPr>
        <w:pStyle w:val="BodyText"/>
        <w:spacing w:before="104"/>
        <w:ind w:left="0"/>
        <w:jc w:val="left"/>
        <w:rPr>
          <w:rFonts w:ascii="Georgia"/>
          <w:b/>
        </w:rPr>
      </w:pPr>
    </w:p>
    <w:p>
      <w:pPr>
        <w:pStyle w:val="BodyText"/>
        <w:spacing w:line="276" w:lineRule="auto"/>
        <w:ind w:right="1908" w:firstLine="720"/>
      </w:pPr>
      <w:r>
        <w:rPr/>
        <w:t>Traditional definition of governance, which comes from the Anglo- American political science uses the term as a synonym of the government. (</w:t>
      </w:r>
      <w:hyperlink w:history="true" w:anchor="_bookmark402">
        <w:r>
          <w:rPr/>
          <w:t>Stoker,</w:t>
        </w:r>
        <w:r>
          <w:rPr>
            <w:spacing w:val="-1"/>
          </w:rPr>
          <w:t> </w:t>
        </w:r>
        <w:r>
          <w:rPr/>
          <w:t>1998,</w:t>
        </w:r>
        <w:r>
          <w:rPr>
            <w:spacing w:val="-1"/>
          </w:rPr>
          <w:t> </w:t>
        </w:r>
        <w:r>
          <w:rPr/>
          <w:t>p.</w:t>
        </w:r>
        <w:r>
          <w:rPr>
            <w:spacing w:val="-1"/>
          </w:rPr>
          <w:t> </w:t>
        </w:r>
        <w:r>
          <w:rPr/>
          <w:t>17</w:t>
        </w:r>
      </w:hyperlink>
      <w:r>
        <w:rPr/>
        <w:t>)</w:t>
      </w:r>
      <w:r>
        <w:rPr>
          <w:spacing w:val="-1"/>
        </w:rPr>
        <w:t> </w:t>
      </w:r>
      <w:r>
        <w:rPr/>
        <w:t>However,</w:t>
      </w:r>
      <w:r>
        <w:rPr>
          <w:spacing w:val="-1"/>
        </w:rPr>
        <w:t> </w:t>
      </w:r>
      <w:r>
        <w:rPr/>
        <w:t>nowadays</w:t>
      </w:r>
      <w:r>
        <w:rPr>
          <w:spacing w:val="-4"/>
        </w:rPr>
        <w:t> </w:t>
      </w:r>
      <w:r>
        <w:rPr/>
        <w:t>the</w:t>
      </w:r>
      <w:r>
        <w:rPr>
          <w:spacing w:val="-2"/>
        </w:rPr>
        <w:t> </w:t>
      </w:r>
      <w:r>
        <w:rPr/>
        <w:t>concept</w:t>
      </w:r>
      <w:r>
        <w:rPr>
          <w:spacing w:val="-2"/>
        </w:rPr>
        <w:t> </w:t>
      </w:r>
      <w:r>
        <w:rPr/>
        <w:t>of</w:t>
      </w:r>
      <w:r>
        <w:rPr>
          <w:spacing w:val="-3"/>
        </w:rPr>
        <w:t> </w:t>
      </w:r>
      <w:r>
        <w:rPr/>
        <w:t>governance</w:t>
      </w:r>
      <w:r>
        <w:rPr>
          <w:spacing w:val="-2"/>
        </w:rPr>
        <w:t> </w:t>
      </w:r>
      <w:r>
        <w:rPr/>
        <w:t>is often utilized to describe the process of managing a public life with only minor contribution or non-involvement of the state governments. This alternative vision was developed due to growing role of the private sector actors in previously government-dominated areas. The private transportation companies, the communication companies and the health providers took at their hands the services that had been exclusively state operated.</w:t>
      </w:r>
    </w:p>
    <w:p>
      <w:pPr>
        <w:pStyle w:val="BodyText"/>
        <w:spacing w:line="276" w:lineRule="auto"/>
        <w:ind w:right="1908" w:firstLine="720"/>
      </w:pPr>
      <w:r>
        <w:rPr/>
        <w:t>The</w:t>
      </w:r>
      <w:r>
        <w:rPr>
          <w:spacing w:val="-2"/>
        </w:rPr>
        <w:t> </w:t>
      </w:r>
      <w:r>
        <w:rPr/>
        <w:t>actors</w:t>
      </w:r>
      <w:r>
        <w:rPr>
          <w:spacing w:val="-4"/>
        </w:rPr>
        <w:t> </w:t>
      </w:r>
      <w:r>
        <w:rPr/>
        <w:t>from the</w:t>
      </w:r>
      <w:r>
        <w:rPr>
          <w:spacing w:val="-2"/>
        </w:rPr>
        <w:t> </w:t>
      </w:r>
      <w:r>
        <w:rPr/>
        <w:t>private sector</w:t>
      </w:r>
      <w:r>
        <w:rPr>
          <w:spacing w:val="-1"/>
        </w:rPr>
        <w:t> </w:t>
      </w:r>
      <w:r>
        <w:rPr/>
        <w:t>create</w:t>
      </w:r>
      <w:r>
        <w:rPr>
          <w:spacing w:val="-2"/>
        </w:rPr>
        <w:t> </w:t>
      </w:r>
      <w:r>
        <w:rPr/>
        <w:t>spheres</w:t>
      </w:r>
      <w:r>
        <w:rPr>
          <w:spacing w:val="-4"/>
        </w:rPr>
        <w:t> </w:t>
      </w:r>
      <w:r>
        <w:rPr/>
        <w:t>of</w:t>
      </w:r>
      <w:r>
        <w:rPr>
          <w:spacing w:val="-3"/>
        </w:rPr>
        <w:t> </w:t>
      </w:r>
      <w:r>
        <w:rPr/>
        <w:t>interdependency, work together and regulate each-other’s actions. The scholars observed the situation and saw that the non-state actors successfully managed some functional areas, while governments continue to fail in crucial domains of their influence like security and welfare. Due to these new realities the government should “focus more on steering and less on rowing. (</w:t>
      </w:r>
      <w:hyperlink w:history="true" w:anchor="_bookmark332">
        <w:r>
          <w:rPr/>
          <w:t>Peters &amp;</w:t>
        </w:r>
      </w:hyperlink>
      <w:r>
        <w:rPr/>
        <w:t> </w:t>
      </w:r>
      <w:hyperlink w:history="true" w:anchor="_bookmark332">
        <w:r>
          <w:rPr/>
          <w:t>Pierre, 1998, p. 231</w:t>
        </w:r>
      </w:hyperlink>
      <w:r>
        <w:rPr/>
        <w:t>) Governmental role is to define long term goals while the networks organized through the cooperation fulfill the actual tasks.</w:t>
      </w:r>
    </w:p>
    <w:p>
      <w:pPr>
        <w:pStyle w:val="BodyText"/>
        <w:spacing w:line="273" w:lineRule="auto"/>
        <w:ind w:right="1907" w:firstLine="720"/>
      </w:pPr>
      <w:r>
        <w:rPr/>
        <w:t>The inter-organizational networks, as </w:t>
      </w:r>
      <w:r>
        <w:rPr>
          <w:sz w:val="27"/>
        </w:rPr>
        <w:t>Rhodes </w:t>
      </w:r>
      <w:r>
        <w:rPr/>
        <w:t>states, are self- organized,</w:t>
      </w:r>
      <w:r>
        <w:rPr>
          <w:spacing w:val="48"/>
          <w:w w:val="150"/>
        </w:rPr>
        <w:t> </w:t>
      </w:r>
      <w:r>
        <w:rPr/>
        <w:t>by</w:t>
      </w:r>
      <w:r>
        <w:rPr>
          <w:spacing w:val="47"/>
          <w:w w:val="150"/>
        </w:rPr>
        <w:t> </w:t>
      </w:r>
      <w:r>
        <w:rPr/>
        <w:t>the</w:t>
      </w:r>
      <w:r>
        <w:rPr>
          <w:spacing w:val="48"/>
          <w:w w:val="150"/>
        </w:rPr>
        <w:t> </w:t>
      </w:r>
      <w:r>
        <w:rPr/>
        <w:t>public</w:t>
      </w:r>
      <w:r>
        <w:rPr>
          <w:spacing w:val="79"/>
        </w:rPr>
        <w:t> </w:t>
      </w:r>
      <w:r>
        <w:rPr/>
        <w:t>and</w:t>
      </w:r>
      <w:r>
        <w:rPr>
          <w:spacing w:val="49"/>
          <w:w w:val="150"/>
        </w:rPr>
        <w:t> </w:t>
      </w:r>
      <w:r>
        <w:rPr/>
        <w:t>non-public</w:t>
      </w:r>
      <w:r>
        <w:rPr>
          <w:spacing w:val="50"/>
          <w:w w:val="150"/>
        </w:rPr>
        <w:t> </w:t>
      </w:r>
      <w:r>
        <w:rPr/>
        <w:t>actors,</w:t>
      </w:r>
      <w:r>
        <w:rPr>
          <w:spacing w:val="49"/>
          <w:w w:val="150"/>
        </w:rPr>
        <w:t> </w:t>
      </w:r>
      <w:r>
        <w:rPr/>
        <w:t>to</w:t>
      </w:r>
      <w:r>
        <w:rPr>
          <w:spacing w:val="78"/>
        </w:rPr>
        <w:t> </w:t>
      </w:r>
      <w:r>
        <w:rPr/>
        <w:t>deliver</w:t>
      </w:r>
      <w:r>
        <w:rPr>
          <w:spacing w:val="48"/>
          <w:w w:val="150"/>
        </w:rPr>
        <w:t> </w:t>
      </w:r>
      <w:r>
        <w:rPr/>
        <w:t>the</w:t>
      </w:r>
      <w:r>
        <w:rPr>
          <w:spacing w:val="48"/>
          <w:w w:val="150"/>
        </w:rPr>
        <w:t> </w:t>
      </w:r>
      <w:r>
        <w:rPr>
          <w:spacing w:val="-2"/>
        </w:rPr>
        <w:t>public</w:t>
      </w:r>
    </w:p>
    <w:p>
      <w:pPr>
        <w:pStyle w:val="BodyText"/>
        <w:spacing w:after="0" w:line="273" w:lineRule="auto"/>
        <w:sectPr>
          <w:pgSz w:w="12240" w:h="15840"/>
          <w:pgMar w:header="1046" w:footer="0" w:top="1360" w:bottom="280" w:left="720" w:right="360"/>
        </w:sectPr>
      </w:pPr>
    </w:p>
    <w:p>
      <w:pPr>
        <w:pStyle w:val="BodyText"/>
        <w:spacing w:line="276" w:lineRule="auto" w:before="266"/>
        <w:ind w:right="1903"/>
      </w:pPr>
      <w:r>
        <w:rPr/>
        <w:t>services. (</w:t>
      </w:r>
      <w:hyperlink w:history="true" w:anchor="_bookmark340">
        <w:r>
          <w:rPr/>
          <w:t>M. A. Pollack, 2005, p. 381</w:t>
        </w:r>
      </w:hyperlink>
      <w:r>
        <w:rPr/>
        <w:t>)</w:t>
      </w:r>
      <w:r>
        <w:rPr>
          <w:spacing w:val="40"/>
        </w:rPr>
        <w:t> </w:t>
      </w:r>
      <w:r>
        <w:rPr>
          <w:sz w:val="27"/>
        </w:rPr>
        <w:t>Dror </w:t>
      </w:r>
      <w:r>
        <w:rPr/>
        <w:t>argues that traditional government is no longer able to cope with modern challenges and needs reforming: “politics must be revitalized, democracy must be refocused and governance must be radically redesigned.” (</w:t>
      </w:r>
      <w:hyperlink w:history="true" w:anchor="_bookmark164">
        <w:r>
          <w:rPr/>
          <w:t>Dror, 2001, p. 3</w:t>
        </w:r>
      </w:hyperlink>
      <w:r>
        <w:rPr/>
        <w:t>) The new governance creates capacities for overcoming common problems and satisfying communal needs. This attitude is shared among functionalist thinkers as well.</w:t>
      </w:r>
    </w:p>
    <w:p>
      <w:pPr>
        <w:pStyle w:val="BodyText"/>
        <w:spacing w:line="271" w:lineRule="auto"/>
        <w:ind w:right="1903" w:firstLine="720"/>
        <w:rPr>
          <w:position w:val="7"/>
          <w:sz w:val="15"/>
        </w:rPr>
      </w:pPr>
      <w:r>
        <w:rPr/>
        <w:t>We can identify three main definitions of governance: traditional, transitional and new or modern governance. </w:t>
      </w:r>
      <w:r>
        <w:rPr>
          <w:sz w:val="27"/>
        </w:rPr>
        <w:t>Traditional governance </w:t>
      </w:r>
      <w:r>
        <w:rPr/>
        <w:t>as noted above, sees government as a lone responsible for the governance. </w:t>
      </w:r>
      <w:r>
        <w:rPr>
          <w:sz w:val="27"/>
        </w:rPr>
        <w:t>Transitional governance </w:t>
      </w:r>
      <w:r>
        <w:rPr/>
        <w:t>shows a shift of functions from the state to non- state</w:t>
      </w:r>
      <w:r>
        <w:rPr>
          <w:spacing w:val="-3"/>
        </w:rPr>
        <w:t> </w:t>
      </w:r>
      <w:r>
        <w:rPr/>
        <w:t>actors,</w:t>
      </w:r>
      <w:r>
        <w:rPr>
          <w:spacing w:val="-2"/>
        </w:rPr>
        <w:t> </w:t>
      </w:r>
      <w:r>
        <w:rPr/>
        <w:t>but</w:t>
      </w:r>
      <w:r>
        <w:rPr>
          <w:spacing w:val="-3"/>
        </w:rPr>
        <w:t> </w:t>
      </w:r>
      <w:r>
        <w:rPr/>
        <w:t>does</w:t>
      </w:r>
      <w:r>
        <w:rPr>
          <w:spacing w:val="-5"/>
        </w:rPr>
        <w:t> </w:t>
      </w:r>
      <w:r>
        <w:rPr/>
        <w:t>not</w:t>
      </w:r>
      <w:r>
        <w:rPr>
          <w:spacing w:val="-2"/>
        </w:rPr>
        <w:t> </w:t>
      </w:r>
      <w:r>
        <w:rPr/>
        <w:t>propose</w:t>
      </w:r>
      <w:r>
        <w:rPr>
          <w:spacing w:val="-3"/>
        </w:rPr>
        <w:t> </w:t>
      </w:r>
      <w:r>
        <w:rPr/>
        <w:t>the</w:t>
      </w:r>
      <w:r>
        <w:rPr>
          <w:spacing w:val="-3"/>
        </w:rPr>
        <w:t> </w:t>
      </w:r>
      <w:r>
        <w:rPr/>
        <w:t>outcomes.</w:t>
      </w:r>
      <w:r>
        <w:rPr>
          <w:spacing w:val="-2"/>
        </w:rPr>
        <w:t> </w:t>
      </w:r>
      <w:r>
        <w:rPr>
          <w:sz w:val="27"/>
        </w:rPr>
        <w:t>New</w:t>
      </w:r>
      <w:r>
        <w:rPr>
          <w:spacing w:val="-5"/>
          <w:sz w:val="27"/>
        </w:rPr>
        <w:t> </w:t>
      </w:r>
      <w:r>
        <w:rPr>
          <w:sz w:val="27"/>
        </w:rPr>
        <w:t>governance</w:t>
      </w:r>
      <w:r>
        <w:rPr>
          <w:spacing w:val="-3"/>
          <w:sz w:val="27"/>
        </w:rPr>
        <w:t> </w:t>
      </w:r>
      <w:r>
        <w:rPr/>
        <w:t>leaves</w:t>
      </w:r>
      <w:r>
        <w:rPr>
          <w:spacing w:val="-5"/>
        </w:rPr>
        <w:t> </w:t>
      </w:r>
      <w:r>
        <w:rPr/>
        <w:t>the governments out of certain processes, it is a governance without </w:t>
      </w:r>
      <w:r>
        <w:rPr>
          <w:spacing w:val="-2"/>
        </w:rPr>
        <w:t>government.</w:t>
      </w:r>
      <w:r>
        <w:rPr>
          <w:spacing w:val="-2"/>
          <w:position w:val="7"/>
          <w:sz w:val="15"/>
        </w:rPr>
        <w:t>14</w:t>
      </w:r>
    </w:p>
    <w:p>
      <w:pPr>
        <w:pStyle w:val="BodyText"/>
        <w:spacing w:line="273" w:lineRule="auto"/>
        <w:ind w:right="1901" w:firstLine="787"/>
      </w:pPr>
      <w:r>
        <w:rPr>
          <w:sz w:val="27"/>
        </w:rPr>
        <w:t>Gerry Stoker </w:t>
      </w:r>
      <w:r>
        <w:rPr/>
        <w:t>proposed five points for consideration connected with the concept of governance:</w:t>
      </w:r>
    </w:p>
    <w:p>
      <w:pPr>
        <w:pStyle w:val="ListParagraph"/>
        <w:numPr>
          <w:ilvl w:val="2"/>
          <w:numId w:val="4"/>
        </w:numPr>
        <w:tabs>
          <w:tab w:pos="1967" w:val="left" w:leader="none"/>
        </w:tabs>
        <w:spacing w:line="276" w:lineRule="auto" w:before="0" w:after="0"/>
        <w:ind w:left="1700" w:right="1914" w:firstLine="0"/>
        <w:jc w:val="both"/>
        <w:rPr>
          <w:sz w:val="26"/>
        </w:rPr>
      </w:pPr>
      <w:r>
        <w:rPr>
          <w:sz w:val="26"/>
        </w:rPr>
        <w:t>Governance refers to</w:t>
      </w:r>
      <w:r>
        <w:rPr>
          <w:spacing w:val="-1"/>
          <w:sz w:val="26"/>
        </w:rPr>
        <w:t> </w:t>
      </w:r>
      <w:r>
        <w:rPr>
          <w:sz w:val="26"/>
        </w:rPr>
        <w:t>a set of institutions and actors that</w:t>
      </w:r>
      <w:r>
        <w:rPr>
          <w:spacing w:val="-2"/>
          <w:sz w:val="26"/>
        </w:rPr>
        <w:t> </w:t>
      </w:r>
      <w:r>
        <w:rPr>
          <w:sz w:val="26"/>
        </w:rPr>
        <w:t>are</w:t>
      </w:r>
      <w:r>
        <w:rPr>
          <w:spacing w:val="-3"/>
          <w:sz w:val="26"/>
        </w:rPr>
        <w:t> </w:t>
      </w:r>
      <w:r>
        <w:rPr>
          <w:sz w:val="26"/>
        </w:rPr>
        <w:t>drawn from but also beyond government.</w:t>
      </w:r>
    </w:p>
    <w:p>
      <w:pPr>
        <w:pStyle w:val="ListParagraph"/>
        <w:numPr>
          <w:ilvl w:val="2"/>
          <w:numId w:val="4"/>
        </w:numPr>
        <w:tabs>
          <w:tab w:pos="2179" w:val="left" w:leader="none"/>
        </w:tabs>
        <w:spacing w:line="276" w:lineRule="auto" w:before="0" w:after="0"/>
        <w:ind w:left="1700" w:right="1916" w:firstLine="0"/>
        <w:jc w:val="both"/>
        <w:rPr>
          <w:sz w:val="26"/>
        </w:rPr>
      </w:pPr>
      <w:r>
        <w:rPr>
          <w:sz w:val="26"/>
        </w:rPr>
        <w:t>Governance identifies the blurring of boundaries and responsibilities for tackling social and economic issues.</w:t>
      </w:r>
    </w:p>
    <w:p>
      <w:pPr>
        <w:pStyle w:val="ListParagraph"/>
        <w:numPr>
          <w:ilvl w:val="2"/>
          <w:numId w:val="4"/>
        </w:numPr>
        <w:tabs>
          <w:tab w:pos="2044" w:val="left" w:leader="none"/>
        </w:tabs>
        <w:spacing w:line="276" w:lineRule="auto" w:before="0" w:after="0"/>
        <w:ind w:left="1700" w:right="1917" w:firstLine="0"/>
        <w:jc w:val="both"/>
        <w:rPr>
          <w:sz w:val="26"/>
        </w:rPr>
      </w:pPr>
      <w:r>
        <w:rPr>
          <w:sz w:val="26"/>
        </w:rPr>
        <w:t>Governance identifies the power dependence involved in the relationships between institutions involved in collective action.</w:t>
      </w:r>
    </w:p>
    <w:p>
      <w:pPr>
        <w:pStyle w:val="ListParagraph"/>
        <w:numPr>
          <w:ilvl w:val="2"/>
          <w:numId w:val="4"/>
        </w:numPr>
        <w:tabs>
          <w:tab w:pos="2059" w:val="left" w:leader="none"/>
        </w:tabs>
        <w:spacing w:line="276" w:lineRule="auto" w:before="0" w:after="0"/>
        <w:ind w:left="1700" w:right="1908" w:firstLine="0"/>
        <w:jc w:val="both"/>
        <w:rPr>
          <w:sz w:val="26"/>
        </w:rPr>
      </w:pPr>
      <w:r>
        <w:rPr>
          <w:sz w:val="26"/>
        </w:rPr>
        <w:t>Governance is about autonomous self-governing networks of </w:t>
      </w:r>
      <w:r>
        <w:rPr>
          <w:spacing w:val="-2"/>
          <w:sz w:val="26"/>
        </w:rPr>
        <w:t>actors.</w:t>
      </w:r>
    </w:p>
    <w:p>
      <w:pPr>
        <w:pStyle w:val="ListParagraph"/>
        <w:numPr>
          <w:ilvl w:val="2"/>
          <w:numId w:val="4"/>
        </w:numPr>
        <w:tabs>
          <w:tab w:pos="1967" w:val="left" w:leader="none"/>
        </w:tabs>
        <w:spacing w:line="276" w:lineRule="auto" w:before="0" w:after="0"/>
        <w:ind w:left="1700" w:right="1917" w:firstLine="0"/>
        <w:jc w:val="both"/>
        <w:rPr>
          <w:sz w:val="26"/>
        </w:rPr>
      </w:pPr>
      <w:r>
        <w:rPr>
          <w:sz w:val="26"/>
        </w:rPr>
        <w:t>Governance recognizes the capacity to get things done which does not rest on the power of government to command or use its authority. It</w:t>
      </w:r>
      <w:r>
        <w:rPr>
          <w:spacing w:val="-1"/>
          <w:sz w:val="26"/>
        </w:rPr>
        <w:t> </w:t>
      </w:r>
      <w:r>
        <w:rPr>
          <w:sz w:val="26"/>
        </w:rPr>
        <w:t>sees</w:t>
      </w:r>
      <w:r>
        <w:rPr>
          <w:spacing w:val="-3"/>
          <w:sz w:val="26"/>
        </w:rPr>
        <w:t> </w:t>
      </w:r>
      <w:r>
        <w:rPr>
          <w:sz w:val="26"/>
        </w:rPr>
        <w:t>government</w:t>
      </w:r>
      <w:r>
        <w:rPr>
          <w:spacing w:val="-1"/>
          <w:sz w:val="26"/>
        </w:rPr>
        <w:t> </w:t>
      </w:r>
      <w:r>
        <w:rPr>
          <w:sz w:val="26"/>
        </w:rPr>
        <w:t>as</w:t>
      </w:r>
      <w:r>
        <w:rPr>
          <w:spacing w:val="-3"/>
          <w:sz w:val="26"/>
        </w:rPr>
        <w:t> </w:t>
      </w:r>
      <w:r>
        <w:rPr>
          <w:sz w:val="26"/>
        </w:rPr>
        <w:t>able</w:t>
      </w:r>
      <w:r>
        <w:rPr>
          <w:spacing w:val="-1"/>
          <w:sz w:val="26"/>
        </w:rPr>
        <w:t> </w:t>
      </w:r>
      <w:r>
        <w:rPr>
          <w:sz w:val="26"/>
        </w:rPr>
        <w:t>to</w:t>
      </w:r>
      <w:r>
        <w:rPr>
          <w:spacing w:val="-4"/>
          <w:sz w:val="26"/>
        </w:rPr>
        <w:t> </w:t>
      </w:r>
      <w:r>
        <w:rPr>
          <w:sz w:val="26"/>
        </w:rPr>
        <w:t>use new tools and techniques to steer and guide.</w:t>
      </w:r>
    </w:p>
    <w:p>
      <w:pPr>
        <w:pStyle w:val="BodyText"/>
        <w:spacing w:line="337" w:lineRule="exact"/>
        <w:ind w:left="6804"/>
        <w:jc w:val="left"/>
      </w:pPr>
      <w:r>
        <w:rPr/>
        <w:t>(</w:t>
      </w:r>
      <w:hyperlink w:history="true" w:anchor="_bookmark402">
        <w:r>
          <w:rPr/>
          <w:t>Stoker,</w:t>
        </w:r>
        <w:r>
          <w:rPr>
            <w:spacing w:val="-5"/>
          </w:rPr>
          <w:t> </w:t>
        </w:r>
        <w:r>
          <w:rPr/>
          <w:t>1998,</w:t>
        </w:r>
        <w:r>
          <w:rPr>
            <w:spacing w:val="-8"/>
          </w:rPr>
          <w:t> </w:t>
        </w:r>
        <w:r>
          <w:rPr/>
          <w:t>p.</w:t>
        </w:r>
        <w:r>
          <w:rPr>
            <w:spacing w:val="-5"/>
          </w:rPr>
          <w:t> 18</w:t>
        </w:r>
      </w:hyperlink>
      <w:r>
        <w:rPr>
          <w:spacing w:val="-5"/>
        </w:rPr>
        <w:t>)</w:t>
      </w:r>
    </w:p>
    <w:p>
      <w:pPr>
        <w:pStyle w:val="BodyText"/>
        <w:ind w:left="0"/>
        <w:jc w:val="left"/>
        <w:rPr>
          <w:sz w:val="20"/>
        </w:rPr>
      </w:pPr>
    </w:p>
    <w:p>
      <w:pPr>
        <w:pStyle w:val="BodyText"/>
        <w:ind w:left="0"/>
        <w:jc w:val="left"/>
        <w:rPr>
          <w:sz w:val="20"/>
        </w:rPr>
      </w:pPr>
    </w:p>
    <w:p>
      <w:pPr>
        <w:pStyle w:val="BodyText"/>
        <w:spacing w:before="204"/>
        <w:ind w:left="0"/>
        <w:jc w:val="left"/>
        <w:rPr>
          <w:sz w:val="20"/>
        </w:rPr>
      </w:pPr>
      <w:r>
        <w:rPr>
          <w:sz w:val="20"/>
        </w:rPr>
        <mc:AlternateContent>
          <mc:Choice Requires="wps">
            <w:drawing>
              <wp:anchor distT="0" distB="0" distL="0" distR="0" allowOverlap="1" layoutInCell="1" locked="0" behindDoc="1" simplePos="0" relativeHeight="487622656">
                <wp:simplePos x="0" y="0"/>
                <wp:positionH relativeFrom="page">
                  <wp:posOffset>1079296</wp:posOffset>
                </wp:positionH>
                <wp:positionV relativeFrom="paragraph">
                  <wp:posOffset>312335</wp:posOffset>
                </wp:positionV>
                <wp:extent cx="1830070" cy="9525"/>
                <wp:effectExtent l="0" t="0" r="0" b="0"/>
                <wp:wrapTopAndBottom/>
                <wp:docPr id="84" name="Graphic 84"/>
                <wp:cNvGraphicFramePr>
                  <a:graphicFrameLocks/>
                </wp:cNvGraphicFramePr>
                <a:graphic>
                  <a:graphicData uri="http://schemas.microsoft.com/office/word/2010/wordprocessingShape">
                    <wps:wsp>
                      <wps:cNvPr id="84" name="Graphic 84"/>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24.593311pt;width:144.07pt;height:.72003pt;mso-position-horizontal-relative:page;mso-position-vertical-relative:paragraph;z-index:-15693824;mso-wrap-distance-left:0;mso-wrap-distance-right:0" id="docshape79" filled="true" fillcolor="#000000" stroked="false">
                <v:fill type="solid"/>
                <w10:wrap type="topAndBottom"/>
              </v:rect>
            </w:pict>
          </mc:Fallback>
        </mc:AlternateContent>
      </w:r>
    </w:p>
    <w:p>
      <w:pPr>
        <w:spacing w:before="103"/>
        <w:ind w:left="979" w:right="0" w:firstLine="0"/>
        <w:jc w:val="left"/>
        <w:rPr>
          <w:rFonts w:ascii="Calibri"/>
          <w:sz w:val="20"/>
        </w:rPr>
      </w:pPr>
      <w:r>
        <w:rPr>
          <w:rFonts w:ascii="Calibri"/>
          <w:sz w:val="20"/>
          <w:vertAlign w:val="superscript"/>
        </w:rPr>
        <w:t>14</w:t>
      </w:r>
      <w:r>
        <w:rPr>
          <w:rFonts w:ascii="Calibri"/>
          <w:spacing w:val="-2"/>
          <w:sz w:val="20"/>
          <w:vertAlign w:val="baseline"/>
        </w:rPr>
        <w:t> </w:t>
      </w:r>
      <w:r>
        <w:rPr>
          <w:rFonts w:ascii="Calibri"/>
          <w:sz w:val="20"/>
          <w:vertAlign w:val="baseline"/>
        </w:rPr>
        <w:t>In</w:t>
      </w:r>
      <w:r>
        <w:rPr>
          <w:rFonts w:ascii="Calibri"/>
          <w:spacing w:val="-7"/>
          <w:sz w:val="20"/>
          <w:vertAlign w:val="baseline"/>
        </w:rPr>
        <w:t> </w:t>
      </w:r>
      <w:r>
        <w:rPr>
          <w:rFonts w:ascii="Calibri"/>
          <w:sz w:val="20"/>
          <w:vertAlign w:val="baseline"/>
        </w:rPr>
        <w:t>the</w:t>
      </w:r>
      <w:r>
        <w:rPr>
          <w:rFonts w:ascii="Calibri"/>
          <w:spacing w:val="-8"/>
          <w:sz w:val="20"/>
          <w:vertAlign w:val="baseline"/>
        </w:rPr>
        <w:t> </w:t>
      </w:r>
      <w:r>
        <w:rPr>
          <w:rFonts w:ascii="Calibri"/>
          <w:sz w:val="20"/>
          <w:vertAlign w:val="baseline"/>
        </w:rPr>
        <w:t>literature</w:t>
      </w:r>
      <w:r>
        <w:rPr>
          <w:rFonts w:ascii="Calibri"/>
          <w:spacing w:val="-6"/>
          <w:sz w:val="20"/>
          <w:vertAlign w:val="baseline"/>
        </w:rPr>
        <w:t> </w:t>
      </w:r>
      <w:r>
        <w:rPr>
          <w:rFonts w:ascii="Calibri"/>
          <w:sz w:val="20"/>
          <w:vertAlign w:val="baseline"/>
        </w:rPr>
        <w:t>transitional</w:t>
      </w:r>
      <w:r>
        <w:rPr>
          <w:rFonts w:ascii="Calibri"/>
          <w:spacing w:val="-6"/>
          <w:sz w:val="20"/>
          <w:vertAlign w:val="baseline"/>
        </w:rPr>
        <w:t> </w:t>
      </w:r>
      <w:r>
        <w:rPr>
          <w:rFonts w:ascii="Calibri"/>
          <w:sz w:val="20"/>
          <w:vertAlign w:val="baseline"/>
        </w:rPr>
        <w:t>governance</w:t>
      </w:r>
      <w:r>
        <w:rPr>
          <w:rFonts w:ascii="Calibri"/>
          <w:spacing w:val="-6"/>
          <w:sz w:val="20"/>
          <w:vertAlign w:val="baseline"/>
        </w:rPr>
        <w:t> </w:t>
      </w:r>
      <w:r>
        <w:rPr>
          <w:rFonts w:ascii="Calibri"/>
          <w:sz w:val="20"/>
          <w:vertAlign w:val="baseline"/>
        </w:rPr>
        <w:t>is</w:t>
      </w:r>
      <w:r>
        <w:rPr>
          <w:rFonts w:ascii="Calibri"/>
          <w:spacing w:val="-5"/>
          <w:sz w:val="20"/>
          <w:vertAlign w:val="baseline"/>
        </w:rPr>
        <w:t> </w:t>
      </w:r>
      <w:r>
        <w:rPr>
          <w:rFonts w:ascii="Calibri"/>
          <w:sz w:val="20"/>
          <w:vertAlign w:val="baseline"/>
        </w:rPr>
        <w:t>often</w:t>
      </w:r>
      <w:r>
        <w:rPr>
          <w:rFonts w:ascii="Calibri"/>
          <w:spacing w:val="-7"/>
          <w:sz w:val="20"/>
          <w:vertAlign w:val="baseline"/>
        </w:rPr>
        <w:t> </w:t>
      </w:r>
      <w:r>
        <w:rPr>
          <w:rFonts w:ascii="Calibri"/>
          <w:sz w:val="20"/>
          <w:vertAlign w:val="baseline"/>
        </w:rPr>
        <w:t>considered</w:t>
      </w:r>
      <w:r>
        <w:rPr>
          <w:rFonts w:ascii="Calibri"/>
          <w:spacing w:val="-7"/>
          <w:sz w:val="20"/>
          <w:vertAlign w:val="baseline"/>
        </w:rPr>
        <w:t> </w:t>
      </w:r>
      <w:r>
        <w:rPr>
          <w:rFonts w:ascii="Calibri"/>
          <w:sz w:val="20"/>
          <w:vertAlign w:val="baseline"/>
        </w:rPr>
        <w:t>as</w:t>
      </w:r>
      <w:r>
        <w:rPr>
          <w:rFonts w:ascii="Calibri"/>
          <w:spacing w:val="-6"/>
          <w:sz w:val="20"/>
          <w:vertAlign w:val="baseline"/>
        </w:rPr>
        <w:t> </w:t>
      </w:r>
      <w:r>
        <w:rPr>
          <w:rFonts w:ascii="Calibri"/>
          <w:sz w:val="20"/>
          <w:vertAlign w:val="baseline"/>
        </w:rPr>
        <w:t>part</w:t>
      </w:r>
      <w:r>
        <w:rPr>
          <w:rFonts w:ascii="Calibri"/>
          <w:spacing w:val="-3"/>
          <w:sz w:val="20"/>
          <w:vertAlign w:val="baseline"/>
        </w:rPr>
        <w:t> </w:t>
      </w:r>
      <w:r>
        <w:rPr>
          <w:rFonts w:ascii="Calibri"/>
          <w:sz w:val="20"/>
          <w:vertAlign w:val="baseline"/>
        </w:rPr>
        <w:t>of</w:t>
      </w:r>
      <w:r>
        <w:rPr>
          <w:rFonts w:ascii="Calibri"/>
          <w:spacing w:val="-6"/>
          <w:sz w:val="20"/>
          <w:vertAlign w:val="baseline"/>
        </w:rPr>
        <w:t> </w:t>
      </w:r>
      <w:r>
        <w:rPr>
          <w:rFonts w:ascii="Calibri"/>
          <w:sz w:val="20"/>
          <w:vertAlign w:val="baseline"/>
        </w:rPr>
        <w:t>the</w:t>
      </w:r>
      <w:r>
        <w:rPr>
          <w:rFonts w:ascii="Calibri"/>
          <w:spacing w:val="-2"/>
          <w:sz w:val="20"/>
          <w:vertAlign w:val="baseline"/>
        </w:rPr>
        <w:t> </w:t>
      </w:r>
      <w:r>
        <w:rPr>
          <w:rFonts w:ascii="Calibri"/>
          <w:sz w:val="20"/>
          <w:vertAlign w:val="baseline"/>
        </w:rPr>
        <w:t>new</w:t>
      </w:r>
      <w:r>
        <w:rPr>
          <w:rFonts w:ascii="Calibri"/>
          <w:spacing w:val="-8"/>
          <w:sz w:val="20"/>
          <w:vertAlign w:val="baseline"/>
        </w:rPr>
        <w:t> </w:t>
      </w:r>
      <w:r>
        <w:rPr>
          <w:rFonts w:ascii="Calibri"/>
          <w:spacing w:val="-2"/>
          <w:sz w:val="20"/>
          <w:vertAlign w:val="baseline"/>
        </w:rPr>
        <w:t>governance</w:t>
      </w:r>
    </w:p>
    <w:p>
      <w:pPr>
        <w:spacing w:after="0"/>
        <w:jc w:val="left"/>
        <w:rPr>
          <w:rFonts w:ascii="Calibri"/>
          <w:sz w:val="20"/>
        </w:rPr>
        <w:sectPr>
          <w:pgSz w:w="12240" w:h="15840"/>
          <w:pgMar w:header="1046" w:footer="0" w:top="1360" w:bottom="280" w:left="720" w:right="360"/>
        </w:sectPr>
      </w:pPr>
    </w:p>
    <w:p>
      <w:pPr>
        <w:pStyle w:val="BodyText"/>
        <w:spacing w:line="276" w:lineRule="auto" w:before="276"/>
        <w:ind w:right="1919" w:firstLine="720"/>
      </w:pPr>
      <w:r>
        <w:rPr/>
        <w:t>Blurring</w:t>
      </w:r>
      <w:r>
        <w:rPr>
          <w:spacing w:val="-2"/>
        </w:rPr>
        <w:t> </w:t>
      </w:r>
      <w:r>
        <w:rPr/>
        <w:t>of</w:t>
      </w:r>
      <w:r>
        <w:rPr>
          <w:spacing w:val="-3"/>
        </w:rPr>
        <w:t> </w:t>
      </w:r>
      <w:r>
        <w:rPr/>
        <w:t>the</w:t>
      </w:r>
      <w:r>
        <w:rPr>
          <w:spacing w:val="-2"/>
        </w:rPr>
        <w:t> </w:t>
      </w:r>
      <w:r>
        <w:rPr/>
        <w:t>boundaries</w:t>
      </w:r>
      <w:r>
        <w:rPr>
          <w:spacing w:val="-4"/>
        </w:rPr>
        <w:t> </w:t>
      </w:r>
      <w:r>
        <w:rPr/>
        <w:t>mentioned in</w:t>
      </w:r>
      <w:r>
        <w:rPr>
          <w:spacing w:val="-1"/>
        </w:rPr>
        <w:t> </w:t>
      </w:r>
      <w:r>
        <w:rPr/>
        <w:t>the</w:t>
      </w:r>
      <w:r>
        <w:rPr>
          <w:spacing w:val="-2"/>
        </w:rPr>
        <w:t> </w:t>
      </w:r>
      <w:r>
        <w:rPr/>
        <w:t>second point</w:t>
      </w:r>
      <w:r>
        <w:rPr>
          <w:spacing w:val="-2"/>
        </w:rPr>
        <w:t> </w:t>
      </w:r>
      <w:r>
        <w:rPr/>
        <w:t>is</w:t>
      </w:r>
      <w:r>
        <w:rPr>
          <w:spacing w:val="-4"/>
        </w:rPr>
        <w:t> </w:t>
      </w:r>
      <w:r>
        <w:rPr/>
        <w:t>common starting point for both, radical (no government) and moderate (little government) scholars.</w:t>
      </w:r>
    </w:p>
    <w:p>
      <w:pPr>
        <w:pStyle w:val="BodyText"/>
        <w:spacing w:line="268" w:lineRule="auto"/>
        <w:ind w:right="1907" w:firstLine="720"/>
      </w:pPr>
      <w:r>
        <w:rPr/>
        <w:t>The governance approach in the EU studies has two main directions; the </w:t>
      </w:r>
      <w:r>
        <w:rPr>
          <w:sz w:val="27"/>
        </w:rPr>
        <w:t>first </w:t>
      </w:r>
      <w:r>
        <w:rPr/>
        <w:t>one uses the EU as a case study to show the applicability of the modern governance in global context. The </w:t>
      </w:r>
      <w:r>
        <w:rPr>
          <w:sz w:val="27"/>
        </w:rPr>
        <w:t>Second </w:t>
      </w:r>
      <w:r>
        <w:rPr/>
        <w:t>utilizes a governance theory to explain the European Integration.</w:t>
      </w:r>
    </w:p>
    <w:p>
      <w:pPr>
        <w:pStyle w:val="BodyText"/>
        <w:spacing w:line="273" w:lineRule="auto" w:before="12"/>
        <w:ind w:right="1905" w:firstLine="720"/>
      </w:pPr>
      <w:r>
        <w:rPr/>
        <w:t>In the European context the capacity to govern directly influences the progress in integration. (</w:t>
      </w:r>
      <w:hyperlink w:history="true" w:anchor="_bookmark333">
        <w:r>
          <w:rPr/>
          <w:t>Peters &amp; Pierre, 2009, p. 91</w:t>
        </w:r>
      </w:hyperlink>
      <w:r>
        <w:rPr/>
        <w:t>) The European Governance is characterized with complexity and has two broad dimensions: internal and external. The first one includes relations, dependencies, and decision making within the EU. The second one focuses on external linkages between the EU </w:t>
      </w:r>
      <w:r>
        <w:rPr>
          <w:sz w:val="27"/>
        </w:rPr>
        <w:t>aqui </w:t>
      </w:r>
      <w:r>
        <w:rPr/>
        <w:t>and non-member public or private actors. Internal dimension of the European governance is often analyzed from the scope of the Multilevel Governance (MLG) and network </w:t>
      </w:r>
      <w:r>
        <w:rPr>
          <w:spacing w:val="-2"/>
        </w:rPr>
        <w:t>governance.</w:t>
      </w:r>
    </w:p>
    <w:p>
      <w:pPr>
        <w:pStyle w:val="BodyText"/>
        <w:spacing w:line="276" w:lineRule="auto" w:before="15"/>
        <w:ind w:right="1903" w:firstLine="720"/>
      </w:pPr>
      <w:r>
        <w:rPr/>
        <w:t>MLG is a multilevel network system, which consists of “complex structures across decisional levels.” (</w:t>
      </w:r>
      <w:hyperlink w:history="true" w:anchor="_bookmark328">
        <w:r>
          <w:rPr/>
          <w:t>Papadopoulos, 2007, p. 478</w:t>
        </w:r>
      </w:hyperlink>
      <w:r>
        <w:rPr/>
        <w:t>). Papadopoulos argues that MLG is characterized with horizontal, vertical</w:t>
      </w:r>
      <w:r>
        <w:rPr>
          <w:spacing w:val="40"/>
        </w:rPr>
        <w:t> </w:t>
      </w:r>
      <w:r>
        <w:rPr/>
        <w:t>and diagonal relations. Horizontal relations include: A) relations with</w:t>
      </w:r>
      <w:r>
        <w:rPr>
          <w:spacing w:val="40"/>
        </w:rPr>
        <w:t> </w:t>
      </w:r>
      <w:r>
        <w:rPr/>
        <w:t>public and private actors like experts and authorities, state governments (central, local) with interest groups or companies. B) Relations between units of the federal systems and relations “between national governments and intergovernmental bodies. (</w:t>
      </w:r>
      <w:hyperlink w:history="true" w:anchor="_bookmark327">
        <w:r>
          <w:rPr/>
          <w:t>Papadopoulos, 2006, p. 10</w:t>
        </w:r>
      </w:hyperlink>
      <w:r>
        <w:rPr/>
        <w:t>) The vertical relations “are cooperative intergovernmental relations between subnational and national authorities, or between national and supranational organs: multi-level government.” (Papadopoulos, 2006, p. 11)</w:t>
      </w:r>
    </w:p>
    <w:p>
      <w:pPr>
        <w:pStyle w:val="BodyText"/>
        <w:spacing w:line="276" w:lineRule="auto" w:before="4"/>
        <w:ind w:right="1909" w:firstLine="720"/>
      </w:pPr>
      <w:r>
        <w:rPr/>
        <w:t>The original idea of the MLG claims that it has a capacity “for sub national units to ‘bypass’ the state” but as researches show the traditional character of the state government is not yet undermined, by the “improved room for the sub-national maneuver at the EU level.” (</w:t>
      </w:r>
      <w:hyperlink w:history="true" w:anchor="_bookmark310">
        <w:r>
          <w:rPr/>
          <w:t>Murphy, 2011, p.</w:t>
        </w:r>
      </w:hyperlink>
      <w:r>
        <w:rPr/>
        <w:t> </w:t>
      </w:r>
      <w:hyperlink w:history="true" w:anchor="_bookmark310">
        <w:r>
          <w:rPr/>
          <w:t>552</w:t>
        </w:r>
      </w:hyperlink>
      <w:r>
        <w:rPr/>
        <w:t>) The MLG tries to overcome “obstructive cleavages” on academic field,</w:t>
      </w:r>
    </w:p>
    <w:p>
      <w:pPr>
        <w:pStyle w:val="BodyText"/>
        <w:spacing w:after="0" w:line="276" w:lineRule="auto"/>
        <w:sectPr>
          <w:pgSz w:w="12240" w:h="15840"/>
          <w:pgMar w:header="1046" w:footer="0" w:top="1360" w:bottom="280" w:left="720" w:right="360"/>
        </w:sectPr>
      </w:pPr>
    </w:p>
    <w:p>
      <w:pPr>
        <w:pStyle w:val="BodyText"/>
        <w:spacing w:line="276" w:lineRule="auto" w:before="276"/>
        <w:ind w:right="1910"/>
      </w:pPr>
      <w:r>
        <w:rPr/>
        <w:t>especially between liberal intergovernmentalism and neo-functionalism. (</w:t>
      </w:r>
      <w:hyperlink w:history="true" w:anchor="_bookmark63">
        <w:r>
          <w:rPr/>
          <w:t>Aalberts, 2004, p. 24</w:t>
        </w:r>
      </w:hyperlink>
      <w:r>
        <w:rPr/>
        <w:t>) In doing so, the approach represents situations,</w:t>
      </w:r>
      <w:r>
        <w:rPr>
          <w:spacing w:val="40"/>
        </w:rPr>
        <w:t> </w:t>
      </w:r>
      <w:r>
        <w:rPr/>
        <w:t>where on the one hand, the state continues to be a gate keeper, while on</w:t>
      </w:r>
      <w:r>
        <w:rPr>
          <w:spacing w:val="40"/>
        </w:rPr>
        <w:t> </w:t>
      </w:r>
      <w:r>
        <w:rPr/>
        <w:t>the other hand; supranational institutions hold certain authority to bypass the states in some policy areas. (</w:t>
      </w:r>
      <w:hyperlink w:history="true" w:anchor="_bookmark63">
        <w:r>
          <w:rPr/>
          <w:t>Aalberts, 2004, p. 28</w:t>
        </w:r>
      </w:hyperlink>
      <w:r>
        <w:rPr/>
        <w:t>)</w:t>
      </w:r>
    </w:p>
    <w:p>
      <w:pPr>
        <w:pStyle w:val="BodyText"/>
        <w:spacing w:line="276" w:lineRule="auto"/>
        <w:ind w:right="1908" w:firstLine="720"/>
      </w:pPr>
      <w:r>
        <w:rPr/>
        <w:t>The key question, as </w:t>
      </w:r>
      <w:r>
        <w:rPr>
          <w:sz w:val="27"/>
        </w:rPr>
        <w:t>Papadopoulos </w:t>
      </w:r>
      <w:r>
        <w:rPr/>
        <w:t>states</w:t>
      </w:r>
      <w:r>
        <w:rPr>
          <w:spacing w:val="-1"/>
        </w:rPr>
        <w:t> </w:t>
      </w:r>
      <w:r>
        <w:rPr/>
        <w:t>is how the coordination on the horizontal level affects the core procedures on the vertical level. Problem is</w:t>
      </w:r>
      <w:r>
        <w:rPr>
          <w:spacing w:val="-4"/>
        </w:rPr>
        <w:t> </w:t>
      </w:r>
      <w:r>
        <w:rPr/>
        <w:t>in</w:t>
      </w:r>
      <w:r>
        <w:rPr>
          <w:spacing w:val="-2"/>
        </w:rPr>
        <w:t> </w:t>
      </w:r>
      <w:r>
        <w:rPr/>
        <w:t>accountability</w:t>
      </w:r>
      <w:r>
        <w:rPr>
          <w:spacing w:val="-3"/>
        </w:rPr>
        <w:t> </w:t>
      </w:r>
      <w:r>
        <w:rPr/>
        <w:t>of</w:t>
      </w:r>
      <w:r>
        <w:rPr>
          <w:spacing w:val="-4"/>
        </w:rPr>
        <w:t> </w:t>
      </w:r>
      <w:r>
        <w:rPr/>
        <w:t>the</w:t>
      </w:r>
      <w:r>
        <w:rPr>
          <w:spacing w:val="-3"/>
        </w:rPr>
        <w:t> </w:t>
      </w:r>
      <w:r>
        <w:rPr/>
        <w:t>actors</w:t>
      </w:r>
      <w:r>
        <w:rPr>
          <w:spacing w:val="-4"/>
        </w:rPr>
        <w:t> </w:t>
      </w:r>
      <w:r>
        <w:rPr/>
        <w:t>involved</w:t>
      </w:r>
      <w:r>
        <w:rPr>
          <w:spacing w:val="-1"/>
        </w:rPr>
        <w:t> </w:t>
      </w:r>
      <w:r>
        <w:rPr/>
        <w:t>in</w:t>
      </w:r>
      <w:r>
        <w:rPr>
          <w:spacing w:val="-2"/>
        </w:rPr>
        <w:t> </w:t>
      </w:r>
      <w:r>
        <w:rPr/>
        <w:t>the</w:t>
      </w:r>
      <w:r>
        <w:rPr>
          <w:spacing w:val="-3"/>
        </w:rPr>
        <w:t> </w:t>
      </w:r>
      <w:r>
        <w:rPr/>
        <w:t>processes,</w:t>
      </w:r>
      <w:r>
        <w:rPr>
          <w:spacing w:val="-2"/>
        </w:rPr>
        <w:t> </w:t>
      </w:r>
      <w:r>
        <w:rPr/>
        <w:t>all</w:t>
      </w:r>
      <w:r>
        <w:rPr>
          <w:spacing w:val="-5"/>
        </w:rPr>
        <w:t> </w:t>
      </w:r>
      <w:r>
        <w:rPr/>
        <w:t>in</w:t>
      </w:r>
      <w:r>
        <w:rPr>
          <w:spacing w:val="-2"/>
        </w:rPr>
        <w:t> </w:t>
      </w:r>
      <w:r>
        <w:rPr/>
        <w:t>all the function of the governance is to fulfill public needs. Even those actors who are directly accountable to their electorates at the EU level become involved in two level games, where they have to consider their bargaining positions with their horizontal peers as well. (</w:t>
      </w:r>
      <w:hyperlink w:history="true" w:anchor="_bookmark327">
        <w:r>
          <w:rPr/>
          <w:t>Papadopoulos, 2006, p. 11</w:t>
        </w:r>
      </w:hyperlink>
      <w:r>
        <w:rPr/>
        <w:t>)</w:t>
      </w:r>
    </w:p>
    <w:p>
      <w:pPr>
        <w:pStyle w:val="BodyText"/>
        <w:spacing w:line="273" w:lineRule="auto"/>
        <w:ind w:right="1907" w:firstLine="720"/>
      </w:pPr>
      <w:r>
        <w:rPr/>
        <w:t>While addressing this problem we should take in consideration another important aspect of the MLG, that “political arenas are interconnected rather than nested.” (</w:t>
      </w:r>
      <w:hyperlink w:history="true" w:anchor="_bookmark278">
        <w:r>
          <w:rPr/>
          <w:t>Marks, Hooghe, &amp; Blank, 1996, p.</w:t>
        </w:r>
      </w:hyperlink>
      <w:r>
        <w:rPr>
          <w:spacing w:val="40"/>
        </w:rPr>
        <w:t> </w:t>
      </w:r>
      <w:hyperlink w:history="true" w:anchor="_bookmark278">
        <w:r>
          <w:rPr/>
          <w:t>346</w:t>
        </w:r>
      </w:hyperlink>
      <w:r>
        <w:rPr/>
        <w:t>). This</w:t>
      </w:r>
      <w:r>
        <w:rPr>
          <w:spacing w:val="-4"/>
        </w:rPr>
        <w:t> </w:t>
      </w:r>
      <w:r>
        <w:rPr/>
        <w:t>means</w:t>
      </w:r>
      <w:r>
        <w:rPr>
          <w:spacing w:val="-4"/>
        </w:rPr>
        <w:t> </w:t>
      </w:r>
      <w:r>
        <w:rPr/>
        <w:t>that</w:t>
      </w:r>
      <w:r>
        <w:rPr>
          <w:spacing w:val="-6"/>
        </w:rPr>
        <w:t> </w:t>
      </w:r>
      <w:r>
        <w:rPr/>
        <w:t>the</w:t>
      </w:r>
      <w:r>
        <w:rPr>
          <w:spacing w:val="-6"/>
        </w:rPr>
        <w:t> </w:t>
      </w:r>
      <w:r>
        <w:rPr/>
        <w:t>networking</w:t>
      </w:r>
      <w:r>
        <w:rPr>
          <w:spacing w:val="-6"/>
        </w:rPr>
        <w:t> </w:t>
      </w:r>
      <w:r>
        <w:rPr/>
        <w:t>on</w:t>
      </w:r>
      <w:r>
        <w:rPr>
          <w:spacing w:val="-1"/>
        </w:rPr>
        <w:t> </w:t>
      </w:r>
      <w:r>
        <w:rPr/>
        <w:t>a</w:t>
      </w:r>
      <w:r>
        <w:rPr>
          <w:spacing w:val="-2"/>
        </w:rPr>
        <w:t> </w:t>
      </w:r>
      <w:r>
        <w:rPr/>
        <w:t>particular</w:t>
      </w:r>
      <w:r>
        <w:rPr>
          <w:spacing w:val="-1"/>
        </w:rPr>
        <w:t> </w:t>
      </w:r>
      <w:r>
        <w:rPr/>
        <w:t>issue</w:t>
      </w:r>
      <w:r>
        <w:rPr>
          <w:spacing w:val="-2"/>
        </w:rPr>
        <w:t> </w:t>
      </w:r>
      <w:r>
        <w:rPr/>
        <w:t>on</w:t>
      </w:r>
      <w:r>
        <w:rPr>
          <w:spacing w:val="-1"/>
        </w:rPr>
        <w:t> </w:t>
      </w:r>
      <w:r>
        <w:rPr/>
        <w:t>the</w:t>
      </w:r>
      <w:r>
        <w:rPr>
          <w:spacing w:val="-2"/>
        </w:rPr>
        <w:t> </w:t>
      </w:r>
      <w:r>
        <w:rPr/>
        <w:t>horizontal level also involves some features from the vertical accountability. As </w:t>
      </w:r>
      <w:r>
        <w:rPr>
          <w:sz w:val="27"/>
        </w:rPr>
        <w:t>Warleigh </w:t>
      </w:r>
      <w:r>
        <w:rPr/>
        <w:t>argues MLG produces issue based coalitions, (</w:t>
      </w:r>
      <w:hyperlink w:history="true" w:anchor="_bookmark422">
        <w:r>
          <w:rPr/>
          <w:t>Warleigh, 2006, p.</w:t>
        </w:r>
      </w:hyperlink>
      <w:r>
        <w:rPr/>
        <w:t> </w:t>
      </w:r>
      <w:hyperlink w:history="true" w:anchor="_bookmark422">
        <w:r>
          <w:rPr/>
          <w:t>86</w:t>
        </w:r>
      </w:hyperlink>
      <w:r>
        <w:rPr/>
        <w:t>) accordingly, the actors at any level are engaged to address the systemic </w:t>
      </w:r>
      <w:r>
        <w:rPr>
          <w:spacing w:val="-2"/>
        </w:rPr>
        <w:t>problems.</w:t>
      </w:r>
    </w:p>
    <w:p>
      <w:pPr>
        <w:pStyle w:val="BodyText"/>
        <w:spacing w:line="273" w:lineRule="auto"/>
        <w:ind w:right="1904" w:firstLine="720"/>
      </w:pPr>
      <w:r>
        <w:rPr/>
        <w:t>Another important question is why the state actors</w:t>
      </w:r>
      <w:r>
        <w:rPr>
          <w:position w:val="7"/>
          <w:sz w:val="15"/>
        </w:rPr>
        <w:t>15</w:t>
      </w:r>
      <w:r>
        <w:rPr>
          <w:spacing w:val="40"/>
          <w:position w:val="7"/>
          <w:sz w:val="15"/>
        </w:rPr>
        <w:t> </w:t>
      </w:r>
      <w:r>
        <w:rPr/>
        <w:t>shift their competences to the EU level? (</w:t>
      </w:r>
      <w:hyperlink w:history="true" w:anchor="_bookmark278">
        <w:r>
          <w:rPr/>
          <w:t>Marks et al., 1996, p. 348</w:t>
        </w:r>
      </w:hyperlink>
      <w:r>
        <w:rPr/>
        <w:t>) </w:t>
      </w:r>
      <w:r>
        <w:rPr>
          <w:sz w:val="27"/>
        </w:rPr>
        <w:t>Marks </w:t>
      </w:r>
      <w:r>
        <w:rPr/>
        <w:t>and others argue</w:t>
      </w:r>
      <w:r>
        <w:rPr>
          <w:spacing w:val="-1"/>
        </w:rPr>
        <w:t> </w:t>
      </w:r>
      <w:r>
        <w:rPr/>
        <w:t>there</w:t>
      </w:r>
      <w:r>
        <w:rPr>
          <w:spacing w:val="-1"/>
        </w:rPr>
        <w:t> </w:t>
      </w:r>
      <w:r>
        <w:rPr/>
        <w:t>are</w:t>
      </w:r>
      <w:r>
        <w:rPr>
          <w:spacing w:val="-1"/>
        </w:rPr>
        <w:t> </w:t>
      </w:r>
      <w:r>
        <w:rPr/>
        <w:t>two</w:t>
      </w:r>
      <w:r>
        <w:rPr>
          <w:spacing w:val="-4"/>
        </w:rPr>
        <w:t> </w:t>
      </w:r>
      <w:r>
        <w:rPr/>
        <w:t>sets</w:t>
      </w:r>
      <w:r>
        <w:rPr>
          <w:spacing w:val="-3"/>
        </w:rPr>
        <w:t> </w:t>
      </w:r>
      <w:r>
        <w:rPr/>
        <w:t>of</w:t>
      </w:r>
      <w:r>
        <w:rPr>
          <w:spacing w:val="-2"/>
        </w:rPr>
        <w:t> </w:t>
      </w:r>
      <w:r>
        <w:rPr/>
        <w:t>reasons for it. First, political benefits of</w:t>
      </w:r>
      <w:r>
        <w:rPr>
          <w:spacing w:val="-2"/>
        </w:rPr>
        <w:t> </w:t>
      </w:r>
      <w:r>
        <w:rPr/>
        <w:t>MLG can be more valuable for them than full control over particular area. Second,</w:t>
      </w:r>
      <w:r>
        <w:rPr>
          <w:spacing w:val="40"/>
        </w:rPr>
        <w:t> </w:t>
      </w:r>
      <w:r>
        <w:rPr/>
        <w:t>the shift might ease decision making during the public pressures,</w:t>
      </w:r>
      <w:r>
        <w:rPr>
          <w:position w:val="7"/>
          <w:sz w:val="15"/>
        </w:rPr>
        <w:t>16</w:t>
      </w:r>
      <w:r>
        <w:rPr>
          <w:spacing w:val="40"/>
          <w:position w:val="7"/>
          <w:sz w:val="15"/>
        </w:rPr>
        <w:t> </w:t>
      </w:r>
      <w:r>
        <w:rPr/>
        <w:t>while taking problematic issues out of the state control. (</w:t>
      </w:r>
      <w:hyperlink w:history="true" w:anchor="_bookmark278">
        <w:r>
          <w:rPr/>
          <w:t>1996, p. 349</w:t>
        </w:r>
      </w:hyperlink>
      <w:r>
        <w:rPr/>
        <w:t>)</w:t>
      </w:r>
    </w:p>
    <w:p>
      <w:pPr>
        <w:pStyle w:val="BodyText"/>
        <w:spacing w:line="276" w:lineRule="auto" w:before="7"/>
        <w:ind w:right="1922" w:firstLine="720"/>
      </w:pPr>
      <w:r>
        <w:rPr/>
        <w:t>MLG in the EU is not only about the national actors who externalize their</w:t>
      </w:r>
      <w:r>
        <w:rPr>
          <w:spacing w:val="-1"/>
        </w:rPr>
        <w:t> </w:t>
      </w:r>
      <w:r>
        <w:rPr/>
        <w:t>domestic</w:t>
      </w:r>
      <w:r>
        <w:rPr>
          <w:spacing w:val="-2"/>
        </w:rPr>
        <w:t> </w:t>
      </w:r>
      <w:r>
        <w:rPr/>
        <w:t>normative space.</w:t>
      </w:r>
      <w:r>
        <w:rPr>
          <w:spacing w:val="-1"/>
        </w:rPr>
        <w:t> </w:t>
      </w:r>
      <w:r>
        <w:rPr/>
        <w:t>The</w:t>
      </w:r>
      <w:r>
        <w:rPr>
          <w:spacing w:val="-2"/>
        </w:rPr>
        <w:t> </w:t>
      </w:r>
      <w:r>
        <w:rPr/>
        <w:t>EU</w:t>
      </w:r>
      <w:r>
        <w:rPr>
          <w:spacing w:val="-2"/>
        </w:rPr>
        <w:t> </w:t>
      </w:r>
      <w:r>
        <w:rPr/>
        <w:t>also gives a ‘soft law’</w:t>
      </w:r>
      <w:r>
        <w:rPr>
          <w:spacing w:val="-3"/>
        </w:rPr>
        <w:t> </w:t>
      </w:r>
      <w:r>
        <w:rPr/>
        <w:t>options</w:t>
      </w:r>
      <w:r>
        <w:rPr>
          <w:spacing w:val="-3"/>
        </w:rPr>
        <w:t> </w:t>
      </w:r>
      <w:r>
        <w:rPr/>
        <w:t>to the states</w:t>
      </w:r>
      <w:r>
        <w:rPr>
          <w:spacing w:val="31"/>
        </w:rPr>
        <w:t> </w:t>
      </w:r>
      <w:r>
        <w:rPr/>
        <w:t>and</w:t>
      </w:r>
      <w:r>
        <w:rPr>
          <w:spacing w:val="36"/>
        </w:rPr>
        <w:t> </w:t>
      </w:r>
      <w:r>
        <w:rPr/>
        <w:t>the</w:t>
      </w:r>
      <w:r>
        <w:rPr>
          <w:spacing w:val="34"/>
        </w:rPr>
        <w:t> </w:t>
      </w:r>
      <w:r>
        <w:rPr/>
        <w:t>regions.</w:t>
      </w:r>
      <w:r>
        <w:rPr>
          <w:spacing w:val="36"/>
        </w:rPr>
        <w:t> </w:t>
      </w:r>
      <w:r>
        <w:rPr/>
        <w:t>Probably</w:t>
      </w:r>
      <w:r>
        <w:rPr>
          <w:spacing w:val="33"/>
        </w:rPr>
        <w:t> </w:t>
      </w:r>
      <w:r>
        <w:rPr/>
        <w:t>the</w:t>
      </w:r>
      <w:r>
        <w:rPr>
          <w:spacing w:val="39"/>
        </w:rPr>
        <w:t> </w:t>
      </w:r>
      <w:r>
        <w:rPr/>
        <w:t>most</w:t>
      </w:r>
      <w:r>
        <w:rPr>
          <w:spacing w:val="38"/>
        </w:rPr>
        <w:t> </w:t>
      </w:r>
      <w:r>
        <w:rPr/>
        <w:t>visible</w:t>
      </w:r>
      <w:r>
        <w:rPr>
          <w:spacing w:val="35"/>
        </w:rPr>
        <w:t> </w:t>
      </w:r>
      <w:r>
        <w:rPr/>
        <w:t>example</w:t>
      </w:r>
      <w:r>
        <w:rPr>
          <w:spacing w:val="34"/>
        </w:rPr>
        <w:t> </w:t>
      </w:r>
      <w:r>
        <w:rPr/>
        <w:t>of</w:t>
      </w:r>
      <w:r>
        <w:rPr>
          <w:spacing w:val="33"/>
        </w:rPr>
        <w:t> </w:t>
      </w:r>
      <w:r>
        <w:rPr/>
        <w:t>the</w:t>
      </w:r>
      <w:r>
        <w:rPr>
          <w:spacing w:val="38"/>
        </w:rPr>
        <w:t> </w:t>
      </w:r>
      <w:r>
        <w:rPr>
          <w:spacing w:val="-2"/>
        </w:rPr>
        <w:t>modern</w:t>
      </w:r>
    </w:p>
    <w:p>
      <w:pPr>
        <w:pStyle w:val="BodyText"/>
        <w:spacing w:before="3"/>
        <w:ind w:left="0"/>
        <w:jc w:val="left"/>
        <w:rPr>
          <w:sz w:val="16"/>
        </w:rPr>
      </w:pPr>
      <w:r>
        <w:rPr>
          <w:sz w:val="16"/>
        </w:rPr>
        <mc:AlternateContent>
          <mc:Choice Requires="wps">
            <w:drawing>
              <wp:anchor distT="0" distB="0" distL="0" distR="0" allowOverlap="1" layoutInCell="1" locked="0" behindDoc="1" simplePos="0" relativeHeight="487623168">
                <wp:simplePos x="0" y="0"/>
                <wp:positionH relativeFrom="page">
                  <wp:posOffset>1079296</wp:posOffset>
                </wp:positionH>
                <wp:positionV relativeFrom="paragraph">
                  <wp:posOffset>150953</wp:posOffset>
                </wp:positionV>
                <wp:extent cx="1830070" cy="9525"/>
                <wp:effectExtent l="0" t="0" r="0" b="0"/>
                <wp:wrapTopAndBottom/>
                <wp:docPr id="85" name="Graphic 85"/>
                <wp:cNvGraphicFramePr>
                  <a:graphicFrameLocks/>
                </wp:cNvGraphicFramePr>
                <a:graphic>
                  <a:graphicData uri="http://schemas.microsoft.com/office/word/2010/wordprocessingShape">
                    <wps:wsp>
                      <wps:cNvPr id="85" name="Graphic 85"/>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11.886102pt;width:144.07pt;height:.71997pt;mso-position-horizontal-relative:page;mso-position-vertical-relative:paragraph;z-index:-15693312;mso-wrap-distance-left:0;mso-wrap-distance-right:0" id="docshape80" filled="true" fillcolor="#000000" stroked="false">
                <v:fill type="solid"/>
                <w10:wrap type="topAndBottom"/>
              </v:rect>
            </w:pict>
          </mc:Fallback>
        </mc:AlternateContent>
      </w:r>
    </w:p>
    <w:p>
      <w:pPr>
        <w:spacing w:line="235" w:lineRule="auto" w:before="106"/>
        <w:ind w:left="979" w:right="1909" w:firstLine="0"/>
        <w:jc w:val="left"/>
        <w:rPr>
          <w:rFonts w:ascii="Calibri"/>
          <w:sz w:val="20"/>
        </w:rPr>
      </w:pPr>
      <w:r>
        <w:rPr>
          <w:rFonts w:ascii="Calibri"/>
          <w:sz w:val="20"/>
          <w:vertAlign w:val="superscript"/>
        </w:rPr>
        <w:t>15</w:t>
      </w:r>
      <w:r>
        <w:rPr>
          <w:rFonts w:ascii="Calibri"/>
          <w:spacing w:val="40"/>
          <w:sz w:val="20"/>
          <w:vertAlign w:val="baseline"/>
        </w:rPr>
        <w:t> </w:t>
      </w:r>
      <w:r>
        <w:rPr>
          <w:rFonts w:ascii="Calibri"/>
          <w:sz w:val="20"/>
          <w:vertAlign w:val="baseline"/>
        </w:rPr>
        <w:t>Marks</w:t>
      </w:r>
      <w:r>
        <w:rPr>
          <w:rFonts w:ascii="Calibri"/>
          <w:spacing w:val="38"/>
          <w:sz w:val="20"/>
          <w:vertAlign w:val="baseline"/>
        </w:rPr>
        <w:t> </w:t>
      </w:r>
      <w:r>
        <w:rPr>
          <w:rFonts w:ascii="Calibri"/>
          <w:sz w:val="20"/>
          <w:vertAlign w:val="baseline"/>
        </w:rPr>
        <w:t>and</w:t>
      </w:r>
      <w:r>
        <w:rPr>
          <w:rFonts w:ascii="Calibri"/>
          <w:spacing w:val="40"/>
          <w:sz w:val="20"/>
          <w:vertAlign w:val="baseline"/>
        </w:rPr>
        <w:t> </w:t>
      </w:r>
      <w:r>
        <w:rPr>
          <w:rFonts w:ascii="Calibri"/>
          <w:sz w:val="20"/>
          <w:vertAlign w:val="baseline"/>
        </w:rPr>
        <w:t>Hooghe</w:t>
      </w:r>
      <w:r>
        <w:rPr>
          <w:rFonts w:ascii="Calibri"/>
          <w:spacing w:val="40"/>
          <w:sz w:val="20"/>
          <w:vertAlign w:val="baseline"/>
        </w:rPr>
        <w:t> </w:t>
      </w:r>
      <w:r>
        <w:rPr>
          <w:rFonts w:ascii="Calibri"/>
          <w:sz w:val="20"/>
          <w:vertAlign w:val="baseline"/>
        </w:rPr>
        <w:t>are</w:t>
      </w:r>
      <w:r>
        <w:rPr>
          <w:rFonts w:ascii="Calibri"/>
          <w:spacing w:val="36"/>
          <w:sz w:val="20"/>
          <w:vertAlign w:val="baseline"/>
        </w:rPr>
        <w:t> </w:t>
      </w:r>
      <w:r>
        <w:rPr>
          <w:rFonts w:ascii="Calibri"/>
          <w:sz w:val="20"/>
          <w:vertAlign w:val="baseline"/>
        </w:rPr>
        <w:t>concerned</w:t>
      </w:r>
      <w:r>
        <w:rPr>
          <w:rFonts w:ascii="Calibri"/>
          <w:spacing w:val="40"/>
          <w:sz w:val="20"/>
          <w:vertAlign w:val="baseline"/>
        </w:rPr>
        <w:t> </w:t>
      </w:r>
      <w:r>
        <w:rPr>
          <w:rFonts w:ascii="Calibri"/>
          <w:sz w:val="20"/>
          <w:vertAlign w:val="baseline"/>
        </w:rPr>
        <w:t>with</w:t>
      </w:r>
      <w:r>
        <w:rPr>
          <w:rFonts w:ascii="Calibri"/>
          <w:spacing w:val="40"/>
          <w:sz w:val="20"/>
          <w:vertAlign w:val="baseline"/>
        </w:rPr>
        <w:t> </w:t>
      </w:r>
      <w:r>
        <w:rPr>
          <w:rFonts w:ascii="Calibri"/>
          <w:sz w:val="20"/>
          <w:vertAlign w:val="baseline"/>
        </w:rPr>
        <w:t>elected</w:t>
      </w:r>
      <w:r>
        <w:rPr>
          <w:rFonts w:ascii="Calibri"/>
          <w:spacing w:val="40"/>
          <w:sz w:val="20"/>
          <w:vertAlign w:val="baseline"/>
        </w:rPr>
        <w:t> </w:t>
      </w:r>
      <w:r>
        <w:rPr>
          <w:rFonts w:ascii="Calibri"/>
          <w:sz w:val="20"/>
          <w:vertAlign w:val="baseline"/>
        </w:rPr>
        <w:t>politicians</w:t>
      </w:r>
      <w:r>
        <w:rPr>
          <w:rFonts w:ascii="Calibri"/>
          <w:spacing w:val="38"/>
          <w:sz w:val="20"/>
          <w:vertAlign w:val="baseline"/>
        </w:rPr>
        <w:t> </w:t>
      </w:r>
      <w:r>
        <w:rPr>
          <w:rFonts w:ascii="Calibri"/>
          <w:sz w:val="20"/>
          <w:vertAlign w:val="baseline"/>
        </w:rPr>
        <w:t>in</w:t>
      </w:r>
      <w:r>
        <w:rPr>
          <w:rFonts w:ascii="Calibri"/>
          <w:spacing w:val="40"/>
          <w:sz w:val="20"/>
          <w:vertAlign w:val="baseline"/>
        </w:rPr>
        <w:t> </w:t>
      </w:r>
      <w:r>
        <w:rPr>
          <w:rFonts w:ascii="Calibri"/>
          <w:sz w:val="20"/>
          <w:vertAlign w:val="baseline"/>
        </w:rPr>
        <w:t>the</w:t>
      </w:r>
      <w:r>
        <w:rPr>
          <w:rFonts w:ascii="Calibri"/>
          <w:spacing w:val="40"/>
          <w:sz w:val="20"/>
          <w:vertAlign w:val="baseline"/>
        </w:rPr>
        <w:t> </w:t>
      </w:r>
      <w:r>
        <w:rPr>
          <w:rFonts w:ascii="Calibri"/>
          <w:sz w:val="20"/>
          <w:vertAlign w:val="baseline"/>
        </w:rPr>
        <w:t>central</w:t>
      </w:r>
      <w:r>
        <w:rPr>
          <w:rFonts w:ascii="Calibri"/>
          <w:spacing w:val="40"/>
          <w:sz w:val="20"/>
          <w:vertAlign w:val="baseline"/>
        </w:rPr>
        <w:t> </w:t>
      </w:r>
      <w:r>
        <w:rPr>
          <w:rFonts w:ascii="Calibri"/>
          <w:sz w:val="20"/>
          <w:vertAlign w:val="baseline"/>
        </w:rPr>
        <w:t>state</w:t>
      </w:r>
      <w:r>
        <w:rPr>
          <w:rFonts w:ascii="Calibri"/>
          <w:spacing w:val="40"/>
          <w:sz w:val="20"/>
          <w:vertAlign w:val="baseline"/>
        </w:rPr>
        <w:t> </w:t>
      </w:r>
      <w:r>
        <w:rPr>
          <w:rFonts w:ascii="Calibri"/>
          <w:sz w:val="20"/>
          <w:vertAlign w:val="baseline"/>
        </w:rPr>
        <w:t>executive,</w:t>
      </w:r>
      <w:r>
        <w:rPr>
          <w:rFonts w:ascii="Calibri"/>
          <w:spacing w:val="38"/>
          <w:sz w:val="20"/>
          <w:vertAlign w:val="baseline"/>
        </w:rPr>
        <w:t> </w:t>
      </w:r>
      <w:r>
        <w:rPr>
          <w:rFonts w:ascii="Calibri"/>
          <w:sz w:val="20"/>
          <w:vertAlign w:val="baseline"/>
        </w:rPr>
        <w:t>see. Referred</w:t>
      </w:r>
      <w:r>
        <w:rPr>
          <w:rFonts w:ascii="Calibri"/>
          <w:spacing w:val="40"/>
          <w:sz w:val="20"/>
          <w:vertAlign w:val="baseline"/>
        </w:rPr>
        <w:t> </w:t>
      </w:r>
      <w:r>
        <w:rPr>
          <w:rFonts w:ascii="Calibri"/>
          <w:sz w:val="20"/>
          <w:vertAlign w:val="baseline"/>
        </w:rPr>
        <w:t>article</w:t>
      </w:r>
    </w:p>
    <w:p>
      <w:pPr>
        <w:spacing w:before="2"/>
        <w:ind w:left="979" w:right="1909" w:firstLine="0"/>
        <w:jc w:val="left"/>
        <w:rPr>
          <w:rFonts w:ascii="Calibri"/>
          <w:sz w:val="20"/>
        </w:rPr>
      </w:pPr>
      <w:r>
        <w:rPr>
          <w:rFonts w:ascii="Calibri"/>
          <w:sz w:val="20"/>
          <w:vertAlign w:val="superscript"/>
        </w:rPr>
        <w:t>16</w:t>
      </w:r>
      <w:r>
        <w:rPr>
          <w:rFonts w:ascii="Calibri"/>
          <w:sz w:val="20"/>
          <w:vertAlign w:val="baseline"/>
        </w:rPr>
        <w:t> When the authorities have to introduced unpopular policies, it is easier to introduce them on EU</w:t>
      </w:r>
      <w:r>
        <w:rPr>
          <w:rFonts w:ascii="Calibri"/>
          <w:spacing w:val="40"/>
          <w:sz w:val="20"/>
          <w:vertAlign w:val="baseline"/>
        </w:rPr>
        <w:t> </w:t>
      </w:r>
      <w:r>
        <w:rPr>
          <w:rFonts w:ascii="Calibri"/>
          <w:spacing w:val="-2"/>
          <w:sz w:val="20"/>
          <w:vertAlign w:val="baseline"/>
        </w:rPr>
        <w:t>level</w:t>
      </w:r>
    </w:p>
    <w:p>
      <w:pPr>
        <w:spacing w:after="0"/>
        <w:jc w:val="left"/>
        <w:rPr>
          <w:rFonts w:ascii="Calibri"/>
          <w:sz w:val="20"/>
        </w:rPr>
        <w:sectPr>
          <w:pgSz w:w="12240" w:h="15840"/>
          <w:pgMar w:header="1046" w:footer="0" w:top="1360" w:bottom="280" w:left="720" w:right="360"/>
        </w:sectPr>
      </w:pPr>
    </w:p>
    <w:p>
      <w:pPr>
        <w:pStyle w:val="BodyText"/>
        <w:spacing w:line="276" w:lineRule="auto" w:before="266"/>
        <w:ind w:right="1911"/>
      </w:pPr>
      <w:r>
        <w:rPr/>
        <w:t>European Governance is the </w:t>
      </w:r>
      <w:r>
        <w:rPr>
          <w:sz w:val="27"/>
        </w:rPr>
        <w:t>Open Method of Coordination</w:t>
      </w:r>
      <w:r>
        <w:rPr/>
        <w:t>, otherwise interventionist practices of the EU institutions, gives a certain freedom to member states to prepare benchmarks and present successful and adoptable practices in certain areas of public life:</w:t>
      </w:r>
    </w:p>
    <w:p>
      <w:pPr>
        <w:pStyle w:val="BodyText"/>
        <w:spacing w:before="46"/>
        <w:ind w:left="0"/>
        <w:jc w:val="left"/>
      </w:pPr>
    </w:p>
    <w:p>
      <w:pPr>
        <w:pStyle w:val="BodyText"/>
        <w:spacing w:line="276" w:lineRule="auto"/>
        <w:ind w:left="2420" w:right="1910"/>
      </w:pPr>
      <w:r>
        <w:rPr/>
        <mc:AlternateContent>
          <mc:Choice Requires="wps">
            <w:drawing>
              <wp:anchor distT="0" distB="0" distL="0" distR="0" allowOverlap="1" layoutInCell="1" locked="0" behindDoc="0" simplePos="0" relativeHeight="15764480">
                <wp:simplePos x="0" y="0"/>
                <wp:positionH relativeFrom="page">
                  <wp:posOffset>1923923</wp:posOffset>
                </wp:positionH>
                <wp:positionV relativeFrom="paragraph">
                  <wp:posOffset>-1139</wp:posOffset>
                </wp:positionV>
                <wp:extent cx="1270" cy="2750185"/>
                <wp:effectExtent l="0" t="0" r="0" b="0"/>
                <wp:wrapNone/>
                <wp:docPr id="86" name="Graphic 86"/>
                <wp:cNvGraphicFramePr>
                  <a:graphicFrameLocks/>
                </wp:cNvGraphicFramePr>
                <a:graphic>
                  <a:graphicData uri="http://schemas.microsoft.com/office/word/2010/wordprocessingShape">
                    <wps:wsp>
                      <wps:cNvPr id="86" name="Graphic 86"/>
                      <wps:cNvSpPr/>
                      <wps:spPr>
                        <a:xfrm>
                          <a:off x="0" y="0"/>
                          <a:ext cx="1270" cy="2750185"/>
                        </a:xfrm>
                        <a:custGeom>
                          <a:avLst/>
                          <a:gdLst/>
                          <a:ahLst/>
                          <a:cxnLst/>
                          <a:rect l="l" t="t" r="r" b="b"/>
                          <a:pathLst>
                            <a:path w="0" h="2750185">
                              <a:moveTo>
                                <a:pt x="0" y="0"/>
                              </a:moveTo>
                              <a:lnTo>
                                <a:pt x="0" y="249936"/>
                              </a:lnTo>
                            </a:path>
                            <a:path w="0" h="2750185">
                              <a:moveTo>
                                <a:pt x="0" y="249936"/>
                              </a:moveTo>
                              <a:lnTo>
                                <a:pt x="0" y="500125"/>
                              </a:lnTo>
                            </a:path>
                            <a:path w="0" h="2750185">
                              <a:moveTo>
                                <a:pt x="0" y="500125"/>
                              </a:moveTo>
                              <a:lnTo>
                                <a:pt x="0" y="750062"/>
                              </a:lnTo>
                            </a:path>
                            <a:path w="0" h="2750185">
                              <a:moveTo>
                                <a:pt x="0" y="750062"/>
                              </a:moveTo>
                              <a:lnTo>
                                <a:pt x="0" y="999998"/>
                              </a:lnTo>
                            </a:path>
                            <a:path w="0" h="2750185">
                              <a:moveTo>
                                <a:pt x="0" y="999998"/>
                              </a:moveTo>
                              <a:lnTo>
                                <a:pt x="0" y="1249934"/>
                              </a:lnTo>
                            </a:path>
                            <a:path w="0" h="2750185">
                              <a:moveTo>
                                <a:pt x="0" y="1249934"/>
                              </a:moveTo>
                              <a:lnTo>
                                <a:pt x="0" y="1500251"/>
                              </a:lnTo>
                            </a:path>
                            <a:path w="0" h="2750185">
                              <a:moveTo>
                                <a:pt x="0" y="1500251"/>
                              </a:moveTo>
                              <a:lnTo>
                                <a:pt x="0" y="1750187"/>
                              </a:lnTo>
                            </a:path>
                            <a:path w="0" h="2750185">
                              <a:moveTo>
                                <a:pt x="0" y="1750187"/>
                              </a:moveTo>
                              <a:lnTo>
                                <a:pt x="0" y="2000123"/>
                              </a:lnTo>
                            </a:path>
                            <a:path w="0" h="2750185">
                              <a:moveTo>
                                <a:pt x="0" y="2000123"/>
                              </a:moveTo>
                              <a:lnTo>
                                <a:pt x="0" y="2250059"/>
                              </a:lnTo>
                            </a:path>
                            <a:path w="0" h="2750185">
                              <a:moveTo>
                                <a:pt x="0" y="2250059"/>
                              </a:moveTo>
                              <a:lnTo>
                                <a:pt x="0" y="2500249"/>
                              </a:lnTo>
                            </a:path>
                            <a:path w="0" h="2750185">
                              <a:moveTo>
                                <a:pt x="0" y="2500249"/>
                              </a:moveTo>
                              <a:lnTo>
                                <a:pt x="0" y="2750185"/>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89714pt;width:.1pt;height:216.55pt;mso-position-horizontal-relative:page;mso-position-vertical-relative:paragraph;z-index:15764480" id="docshape81" coordorigin="3030,-2" coordsize="0,4331" path="m3030,-2l3030,392m3030,392l3030,786m3030,786l3030,1179m3030,1179l3030,1573m3030,1573l3030,1967m3030,1967l3030,2361m3030,2361l3030,2754m3030,2754l3030,3148m3030,3148l3030,3542m3030,3542l3030,3936m3030,3936l3030,4329e" filled="false" stroked="true" strokeweight=".48pt" strokecolor="#000000">
                <v:path arrowok="t"/>
                <v:stroke dashstyle="shortdash"/>
                <w10:wrap type="none"/>
              </v:shape>
            </w:pict>
          </mc:Fallback>
        </mc:AlternateContent>
      </w:r>
      <w:r>
        <w:rPr/>
        <w:t>“The OMC provides a new framework for cooperation between the Member States, whose national policies can thus be directed towards certain common objectives. Under this intergovernmental method, the Member States are evaluated by one another (peer pressure), with the Commission's role being limited to surveillance. The European Parliament and the Court of Justice play virtually no part in the OMC process…Depending on the areas concerned, the OMC involves so-called "soft law" measures which are binding on the Member States in varying degrees but which never take the form of directives, regulations or decisions.”</w:t>
      </w:r>
    </w:p>
    <w:p>
      <w:pPr>
        <w:pStyle w:val="BodyText"/>
        <w:spacing w:line="276" w:lineRule="auto"/>
        <w:ind w:left="1700" w:right="1915" w:firstLine="4907"/>
      </w:pPr>
      <w:r>
        <w:rPr/>
        <w:t>(</w:t>
      </w:r>
      <w:hyperlink w:history="true" w:anchor="_bookmark135">
        <w:r>
          <w:rPr/>
          <w:t>European Comission</w:t>
        </w:r>
      </w:hyperlink>
      <w:r>
        <w:rPr/>
        <w:t>) The</w:t>
      </w:r>
      <w:r>
        <w:rPr>
          <w:spacing w:val="29"/>
        </w:rPr>
        <w:t> </w:t>
      </w:r>
      <w:r>
        <w:rPr/>
        <w:t>role</w:t>
      </w:r>
      <w:r>
        <w:rPr>
          <w:spacing w:val="29"/>
        </w:rPr>
        <w:t> </w:t>
      </w:r>
      <w:r>
        <w:rPr/>
        <w:t>of</w:t>
      </w:r>
      <w:r>
        <w:rPr>
          <w:spacing w:val="28"/>
        </w:rPr>
        <w:t> </w:t>
      </w:r>
      <w:r>
        <w:rPr/>
        <w:t>the</w:t>
      </w:r>
      <w:r>
        <w:rPr>
          <w:spacing w:val="29"/>
        </w:rPr>
        <w:t> </w:t>
      </w:r>
      <w:r>
        <w:rPr/>
        <w:t>OMC</w:t>
      </w:r>
      <w:r>
        <w:rPr>
          <w:spacing w:val="29"/>
        </w:rPr>
        <w:t> </w:t>
      </w:r>
      <w:r>
        <w:rPr/>
        <w:t>raised</w:t>
      </w:r>
      <w:r>
        <w:rPr>
          <w:spacing w:val="30"/>
        </w:rPr>
        <w:t> </w:t>
      </w:r>
      <w:r>
        <w:rPr/>
        <w:t>concerns</w:t>
      </w:r>
      <w:r>
        <w:rPr>
          <w:spacing w:val="27"/>
        </w:rPr>
        <w:t> </w:t>
      </w:r>
      <w:r>
        <w:rPr/>
        <w:t>about</w:t>
      </w:r>
      <w:r>
        <w:rPr>
          <w:spacing w:val="30"/>
        </w:rPr>
        <w:t> </w:t>
      </w:r>
      <w:r>
        <w:rPr/>
        <w:t>democratic</w:t>
      </w:r>
      <w:r>
        <w:rPr>
          <w:spacing w:val="28"/>
        </w:rPr>
        <w:t> </w:t>
      </w:r>
      <w:r>
        <w:rPr>
          <w:spacing w:val="-2"/>
        </w:rPr>
        <w:t>legitimacy,</w:t>
      </w:r>
    </w:p>
    <w:p>
      <w:pPr>
        <w:pStyle w:val="BodyText"/>
        <w:spacing w:line="276" w:lineRule="auto"/>
        <w:ind w:right="1908"/>
      </w:pPr>
      <w:r>
        <w:rPr/>
        <w:t>because both the national and European Parliaments were mostly excluded from the processes. The executives and experts made a small circle of decision making within the OMC and the method “has not really opened the</w:t>
      </w:r>
      <w:r>
        <w:rPr>
          <w:spacing w:val="-2"/>
        </w:rPr>
        <w:t> </w:t>
      </w:r>
      <w:r>
        <w:rPr/>
        <w:t>access</w:t>
      </w:r>
      <w:r>
        <w:rPr>
          <w:spacing w:val="-4"/>
        </w:rPr>
        <w:t> </w:t>
      </w:r>
      <w:r>
        <w:rPr/>
        <w:t>for</w:t>
      </w:r>
      <w:r>
        <w:rPr>
          <w:spacing w:val="-1"/>
        </w:rPr>
        <w:t> </w:t>
      </w:r>
      <w:r>
        <w:rPr/>
        <w:t>the civil</w:t>
      </w:r>
      <w:r>
        <w:rPr>
          <w:spacing w:val="-5"/>
        </w:rPr>
        <w:t> </w:t>
      </w:r>
      <w:r>
        <w:rPr/>
        <w:t>society</w:t>
      </w:r>
      <w:r>
        <w:rPr>
          <w:spacing w:val="-2"/>
        </w:rPr>
        <w:t> </w:t>
      </w:r>
      <w:r>
        <w:rPr/>
        <w:t>as it</w:t>
      </w:r>
      <w:r>
        <w:rPr>
          <w:spacing w:val="-2"/>
        </w:rPr>
        <w:t> </w:t>
      </w:r>
      <w:r>
        <w:rPr/>
        <w:t>was</w:t>
      </w:r>
      <w:r>
        <w:rPr>
          <w:spacing w:val="-4"/>
        </w:rPr>
        <w:t> </w:t>
      </w:r>
      <w:r>
        <w:rPr/>
        <w:t>suggested in</w:t>
      </w:r>
      <w:r>
        <w:rPr>
          <w:spacing w:val="-1"/>
        </w:rPr>
        <w:t> </w:t>
      </w:r>
      <w:r>
        <w:rPr/>
        <w:t>the</w:t>
      </w:r>
      <w:r>
        <w:rPr>
          <w:spacing w:val="-2"/>
        </w:rPr>
        <w:t> </w:t>
      </w:r>
      <w:r>
        <w:rPr/>
        <w:t>Commission’s</w:t>
      </w:r>
      <w:r>
        <w:rPr>
          <w:spacing w:val="-4"/>
        </w:rPr>
        <w:t> </w:t>
      </w:r>
      <w:r>
        <w:rPr/>
        <w:t>white paper</w:t>
      </w:r>
      <w:r>
        <w:rPr>
          <w:spacing w:val="-3"/>
        </w:rPr>
        <w:t> </w:t>
      </w:r>
      <w:r>
        <w:rPr/>
        <w:t>for</w:t>
      </w:r>
      <w:r>
        <w:rPr>
          <w:spacing w:val="-3"/>
        </w:rPr>
        <w:t> </w:t>
      </w:r>
      <w:r>
        <w:rPr/>
        <w:t>on</w:t>
      </w:r>
      <w:r>
        <w:rPr>
          <w:spacing w:val="-3"/>
        </w:rPr>
        <w:t> </w:t>
      </w:r>
      <w:r>
        <w:rPr/>
        <w:t>governance.”</w:t>
      </w:r>
      <w:r>
        <w:rPr>
          <w:spacing w:val="-2"/>
        </w:rPr>
        <w:t> </w:t>
      </w:r>
      <w:r>
        <w:rPr/>
        <w:t>(</w:t>
      </w:r>
      <w:hyperlink w:history="true" w:anchor="_bookmark94">
        <w:r>
          <w:rPr/>
          <w:t>Benz,</w:t>
        </w:r>
        <w:r>
          <w:rPr>
            <w:spacing w:val="-6"/>
          </w:rPr>
          <w:t> </w:t>
        </w:r>
        <w:r>
          <w:rPr/>
          <w:t>2007,</w:t>
        </w:r>
        <w:r>
          <w:rPr>
            <w:spacing w:val="-3"/>
          </w:rPr>
          <w:t> </w:t>
        </w:r>
        <w:r>
          <w:rPr/>
          <w:t>pp.</w:t>
        </w:r>
        <w:r>
          <w:rPr>
            <w:spacing w:val="-6"/>
          </w:rPr>
          <w:t> </w:t>
        </w:r>
        <w:r>
          <w:rPr/>
          <w:t>506-507</w:t>
        </w:r>
      </w:hyperlink>
      <w:r>
        <w:rPr/>
        <w:t>)</w:t>
      </w:r>
      <w:r>
        <w:rPr>
          <w:spacing w:val="-3"/>
        </w:rPr>
        <w:t> </w:t>
      </w:r>
      <w:r>
        <w:rPr/>
        <w:t>Even</w:t>
      </w:r>
      <w:r>
        <w:rPr>
          <w:spacing w:val="-3"/>
        </w:rPr>
        <w:t> </w:t>
      </w:r>
      <w:r>
        <w:rPr/>
        <w:t>if</w:t>
      </w:r>
      <w:r>
        <w:rPr>
          <w:spacing w:val="-5"/>
        </w:rPr>
        <w:t> </w:t>
      </w:r>
      <w:r>
        <w:rPr/>
        <w:t>we</w:t>
      </w:r>
      <w:r>
        <w:rPr>
          <w:spacing w:val="-4"/>
        </w:rPr>
        <w:t> </w:t>
      </w:r>
      <w:r>
        <w:rPr/>
        <w:t>consider</w:t>
      </w:r>
      <w:r>
        <w:rPr>
          <w:spacing w:val="-3"/>
        </w:rPr>
        <w:t> </w:t>
      </w:r>
      <w:r>
        <w:rPr/>
        <w:t>the actors as fully accountable to the European publics, the “complexity of the process and the number of participants” make the whole picture difficult to comprehend for the observers. The amount of working input into large variety of issues causes </w:t>
      </w:r>
      <w:r>
        <w:rPr>
          <w:sz w:val="27"/>
        </w:rPr>
        <w:t>information asymmetries </w:t>
      </w:r>
      <w:r>
        <w:rPr/>
        <w:t>caused by constant communications or miscommunications between those who do, and those who</w:t>
      </w:r>
      <w:r>
        <w:rPr>
          <w:spacing w:val="-4"/>
        </w:rPr>
        <w:t> </w:t>
      </w:r>
      <w:r>
        <w:rPr/>
        <w:t>evaluate</w:t>
      </w:r>
      <w:r>
        <w:rPr>
          <w:spacing w:val="-1"/>
        </w:rPr>
        <w:t> </w:t>
      </w:r>
      <w:r>
        <w:rPr/>
        <w:t>the</w:t>
      </w:r>
      <w:r>
        <w:rPr>
          <w:spacing w:val="-1"/>
        </w:rPr>
        <w:t> </w:t>
      </w:r>
      <w:r>
        <w:rPr/>
        <w:t>things</w:t>
      </w:r>
      <w:r>
        <w:rPr>
          <w:spacing w:val="-3"/>
        </w:rPr>
        <w:t> </w:t>
      </w:r>
      <w:r>
        <w:rPr/>
        <w:t>which were</w:t>
      </w:r>
      <w:r>
        <w:rPr>
          <w:spacing w:val="-1"/>
        </w:rPr>
        <w:t> </w:t>
      </w:r>
      <w:r>
        <w:rPr/>
        <w:t>done. (</w:t>
      </w:r>
      <w:hyperlink w:history="true" w:anchor="_bookmark94">
        <w:r>
          <w:rPr/>
          <w:t>Benz, 2007, p. 508</w:t>
        </w:r>
      </w:hyperlink>
      <w:r>
        <w:rPr/>
        <w:t>) The</w:t>
      </w:r>
      <w:r>
        <w:rPr>
          <w:spacing w:val="-1"/>
        </w:rPr>
        <w:t> </w:t>
      </w:r>
      <w:r>
        <w:rPr/>
        <w:t>OMC</w:t>
      </w:r>
      <w:r>
        <w:rPr>
          <w:spacing w:val="-1"/>
        </w:rPr>
        <w:t> </w:t>
      </w:r>
      <w:r>
        <w:rPr/>
        <w:t>is not in reality as open as it was intended to be.</w:t>
      </w:r>
    </w:p>
    <w:p>
      <w:pPr>
        <w:pStyle w:val="BodyText"/>
        <w:spacing w:line="276" w:lineRule="auto"/>
        <w:ind w:right="1908" w:firstLine="720"/>
      </w:pPr>
      <w:r>
        <w:rPr/>
        <w:t>In the</w:t>
      </w:r>
      <w:r>
        <w:rPr>
          <w:spacing w:val="-3"/>
        </w:rPr>
        <w:t> </w:t>
      </w:r>
      <w:r>
        <w:rPr/>
        <w:t>EU</w:t>
      </w:r>
      <w:r>
        <w:rPr>
          <w:spacing w:val="-2"/>
        </w:rPr>
        <w:t> </w:t>
      </w:r>
      <w:r>
        <w:rPr/>
        <w:t>the change of the term government with</w:t>
      </w:r>
      <w:r>
        <w:rPr>
          <w:spacing w:val="-3"/>
        </w:rPr>
        <w:t> </w:t>
      </w:r>
      <w:r>
        <w:rPr/>
        <w:t>governance came largely</w:t>
      </w:r>
      <w:r>
        <w:rPr>
          <w:spacing w:val="-1"/>
        </w:rPr>
        <w:t> </w:t>
      </w:r>
      <w:r>
        <w:rPr/>
        <w:t>due to</w:t>
      </w:r>
      <w:r>
        <w:rPr>
          <w:spacing w:val="2"/>
        </w:rPr>
        <w:t> </w:t>
      </w:r>
      <w:r>
        <w:rPr/>
        <w:t>the “white paper</w:t>
      </w:r>
      <w:r>
        <w:rPr>
          <w:spacing w:val="5"/>
        </w:rPr>
        <w:t> </w:t>
      </w:r>
      <w:r>
        <w:rPr/>
        <w:t>on</w:t>
      </w:r>
      <w:r>
        <w:rPr>
          <w:spacing w:val="1"/>
        </w:rPr>
        <w:t> </w:t>
      </w:r>
      <w:r>
        <w:rPr/>
        <w:t>European</w:t>
      </w:r>
      <w:r>
        <w:rPr>
          <w:spacing w:val="6"/>
        </w:rPr>
        <w:t> </w:t>
      </w:r>
      <w:r>
        <w:rPr/>
        <w:t>Governance”</w:t>
      </w:r>
      <w:r>
        <w:rPr>
          <w:spacing w:val="1"/>
        </w:rPr>
        <w:t> </w:t>
      </w:r>
      <w:r>
        <w:rPr/>
        <w:t>published</w:t>
      </w:r>
      <w:r>
        <w:rPr>
          <w:spacing w:val="1"/>
        </w:rPr>
        <w:t> </w:t>
      </w:r>
      <w:r>
        <w:rPr/>
        <w:t>by</w:t>
      </w:r>
      <w:r>
        <w:rPr>
          <w:spacing w:val="3"/>
        </w:rPr>
        <w:t> </w:t>
      </w:r>
      <w:r>
        <w:rPr>
          <w:spacing w:val="-5"/>
        </w:rPr>
        <w:t>the</w:t>
      </w:r>
    </w:p>
    <w:p>
      <w:pPr>
        <w:pStyle w:val="BodyText"/>
        <w:spacing w:after="0" w:line="276" w:lineRule="auto"/>
        <w:sectPr>
          <w:pgSz w:w="12240" w:h="15840"/>
          <w:pgMar w:header="1046" w:footer="0" w:top="1360" w:bottom="280" w:left="720" w:right="360"/>
        </w:sectPr>
      </w:pPr>
    </w:p>
    <w:p>
      <w:pPr>
        <w:pStyle w:val="BodyText"/>
        <w:spacing w:line="276" w:lineRule="auto" w:before="276"/>
        <w:ind w:right="1909"/>
      </w:pPr>
      <w:r>
        <w:rPr/>
        <w:t>Commission in 2001. Earlier when the EU officials were addressing the issues of the political finality of the community, they used to use the Commission as a synonym of the European Government. (</w:t>
      </w:r>
      <w:hyperlink w:history="true" w:anchor="_bookmark389">
        <w:r>
          <w:rPr/>
          <w:t>Shore, 2011, pp.</w:t>
        </w:r>
      </w:hyperlink>
      <w:r>
        <w:rPr/>
        <w:t> </w:t>
      </w:r>
      <w:hyperlink w:history="true" w:anchor="_bookmark389">
        <w:r>
          <w:rPr/>
          <w:t>290-291</w:t>
        </w:r>
      </w:hyperlink>
      <w:r>
        <w:rPr/>
        <w:t>) But with the white paper the attitudes has changed. The core problem, underlined in the paper is a selective stance of the European </w:t>
      </w:r>
      <w:r>
        <w:rPr>
          <w:spacing w:val="-2"/>
        </w:rPr>
        <w:t>people:</w:t>
      </w:r>
    </w:p>
    <w:p>
      <w:pPr>
        <w:pStyle w:val="BodyText"/>
        <w:spacing w:before="51"/>
        <w:ind w:left="0"/>
        <w:jc w:val="left"/>
      </w:pPr>
    </w:p>
    <w:p>
      <w:pPr>
        <w:pStyle w:val="BodyText"/>
        <w:spacing w:line="276" w:lineRule="auto"/>
        <w:ind w:left="2420" w:right="1918"/>
      </w:pPr>
      <w:r>
        <w:rPr/>
        <mc:AlternateContent>
          <mc:Choice Requires="wps">
            <w:drawing>
              <wp:anchor distT="0" distB="0" distL="0" distR="0" allowOverlap="1" layoutInCell="1" locked="0" behindDoc="0" simplePos="0" relativeHeight="15764992">
                <wp:simplePos x="0" y="0"/>
                <wp:positionH relativeFrom="page">
                  <wp:posOffset>1923923</wp:posOffset>
                </wp:positionH>
                <wp:positionV relativeFrom="paragraph">
                  <wp:posOffset>-986</wp:posOffset>
                </wp:positionV>
                <wp:extent cx="1270" cy="1000125"/>
                <wp:effectExtent l="0" t="0" r="0" b="0"/>
                <wp:wrapNone/>
                <wp:docPr id="87" name="Graphic 87"/>
                <wp:cNvGraphicFramePr>
                  <a:graphicFrameLocks/>
                </wp:cNvGraphicFramePr>
                <a:graphic>
                  <a:graphicData uri="http://schemas.microsoft.com/office/word/2010/wordprocessingShape">
                    <wps:wsp>
                      <wps:cNvPr id="87" name="Graphic 87"/>
                      <wps:cNvSpPr/>
                      <wps:spPr>
                        <a:xfrm>
                          <a:off x="0" y="0"/>
                          <a:ext cx="1270" cy="1000125"/>
                        </a:xfrm>
                        <a:custGeom>
                          <a:avLst/>
                          <a:gdLst/>
                          <a:ahLst/>
                          <a:cxnLst/>
                          <a:rect l="l" t="t" r="r" b="b"/>
                          <a:pathLst>
                            <a:path w="0" h="1000125">
                              <a:moveTo>
                                <a:pt x="0" y="0"/>
                              </a:moveTo>
                              <a:lnTo>
                                <a:pt x="0" y="249936"/>
                              </a:lnTo>
                            </a:path>
                            <a:path w="0" h="1000125">
                              <a:moveTo>
                                <a:pt x="0" y="249936"/>
                              </a:moveTo>
                              <a:lnTo>
                                <a:pt x="0" y="499872"/>
                              </a:lnTo>
                            </a:path>
                            <a:path w="0" h="1000125">
                              <a:moveTo>
                                <a:pt x="0" y="499872"/>
                              </a:moveTo>
                              <a:lnTo>
                                <a:pt x="0" y="749808"/>
                              </a:lnTo>
                            </a:path>
                            <a:path w="0" h="1000125">
                              <a:moveTo>
                                <a:pt x="0" y="749808"/>
                              </a:moveTo>
                              <a:lnTo>
                                <a:pt x="0" y="1000125"/>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77646pt;width:.1pt;height:78.75pt;mso-position-horizontal-relative:page;mso-position-vertical-relative:paragraph;z-index:15764992" id="docshape82" coordorigin="3030,-2" coordsize="0,1575" path="m3030,-2l3030,392m3030,392l3030,786m3030,786l3030,1179m3030,1179l3030,1573e" filled="false" stroked="true" strokeweight=".48pt" strokecolor="#000000">
                <v:path arrowok="t"/>
                <v:stroke dashstyle="shortdash"/>
                <w10:wrap type="none"/>
              </v:shape>
            </w:pict>
          </mc:Fallback>
        </mc:AlternateContent>
      </w:r>
      <w:r>
        <w:rPr/>
        <w:t>“On the one hand, Europeans want them to find solutions to the major problems confronting our societies. On the other hand, people increasingly distrust institutions and politics or are simply not interested in them</w:t>
      </w:r>
    </w:p>
    <w:p>
      <w:pPr>
        <w:pStyle w:val="BodyText"/>
        <w:spacing w:line="276" w:lineRule="auto"/>
        <w:ind w:right="1907" w:firstLine="5762"/>
        <w:jc w:val="right"/>
      </w:pPr>
      <w:r>
        <w:rPr/>
        <w:t>(</w:t>
      </w:r>
      <w:hyperlink w:history="true" w:anchor="_bookmark136">
        <w:r>
          <w:rPr/>
          <w:t>Comission, 2001, p.</w:t>
        </w:r>
        <w:r>
          <w:rPr>
            <w:spacing w:val="-4"/>
          </w:rPr>
          <w:t> </w:t>
        </w:r>
        <w:r>
          <w:rPr/>
          <w:t>1</w:t>
        </w:r>
      </w:hyperlink>
      <w:r>
        <w:rPr/>
        <w:t>) The</w:t>
      </w:r>
      <w:r>
        <w:rPr>
          <w:spacing w:val="80"/>
        </w:rPr>
        <w:t> </w:t>
      </w:r>
      <w:r>
        <w:rPr/>
        <w:t>paper</w:t>
      </w:r>
      <w:r>
        <w:rPr>
          <w:spacing w:val="80"/>
        </w:rPr>
        <w:t> </w:t>
      </w:r>
      <w:r>
        <w:rPr/>
        <w:t>acknowledged</w:t>
      </w:r>
      <w:r>
        <w:rPr>
          <w:spacing w:val="80"/>
        </w:rPr>
        <w:t> </w:t>
      </w:r>
      <w:r>
        <w:rPr/>
        <w:t>that</w:t>
      </w:r>
      <w:r>
        <w:rPr>
          <w:spacing w:val="80"/>
        </w:rPr>
        <w:t> </w:t>
      </w:r>
      <w:r>
        <w:rPr/>
        <w:t>not</w:t>
      </w:r>
      <w:r>
        <w:rPr>
          <w:spacing w:val="80"/>
        </w:rPr>
        <w:t> </w:t>
      </w:r>
      <w:r>
        <w:rPr/>
        <w:t>only</w:t>
      </w:r>
      <w:r>
        <w:rPr>
          <w:spacing w:val="80"/>
        </w:rPr>
        <w:t> </w:t>
      </w:r>
      <w:r>
        <w:rPr/>
        <w:t>people</w:t>
      </w:r>
      <w:r>
        <w:rPr>
          <w:spacing w:val="80"/>
        </w:rPr>
        <w:t> </w:t>
      </w:r>
      <w:r>
        <w:rPr/>
        <w:t>are</w:t>
      </w:r>
      <w:r>
        <w:rPr>
          <w:spacing w:val="80"/>
        </w:rPr>
        <w:t> </w:t>
      </w:r>
      <w:r>
        <w:rPr/>
        <w:t>to</w:t>
      </w:r>
      <w:r>
        <w:rPr>
          <w:spacing w:val="80"/>
        </w:rPr>
        <w:t> </w:t>
      </w:r>
      <w:r>
        <w:rPr/>
        <w:t>blame</w:t>
      </w:r>
      <w:r>
        <w:rPr>
          <w:spacing w:val="80"/>
        </w:rPr>
        <w:t> </w:t>
      </w:r>
      <w:r>
        <w:rPr/>
        <w:t>for “poorly understood” complex system of delivering the policies, but also the general</w:t>
      </w:r>
      <w:r>
        <w:rPr>
          <w:spacing w:val="-4"/>
        </w:rPr>
        <w:t> </w:t>
      </w:r>
      <w:r>
        <w:rPr/>
        <w:t>structure</w:t>
      </w:r>
      <w:r>
        <w:rPr>
          <w:spacing w:val="-2"/>
        </w:rPr>
        <w:t> </w:t>
      </w:r>
      <w:r>
        <w:rPr/>
        <w:t>of</w:t>
      </w:r>
      <w:r>
        <w:rPr>
          <w:spacing w:val="-3"/>
        </w:rPr>
        <w:t> </w:t>
      </w:r>
      <w:r>
        <w:rPr/>
        <w:t>governing</w:t>
      </w:r>
      <w:r>
        <w:rPr>
          <w:spacing w:val="-2"/>
        </w:rPr>
        <w:t> </w:t>
      </w:r>
      <w:r>
        <w:rPr/>
        <w:t>was</w:t>
      </w:r>
      <w:r>
        <w:rPr>
          <w:spacing w:val="-4"/>
        </w:rPr>
        <w:t> </w:t>
      </w:r>
      <w:r>
        <w:rPr/>
        <w:t>to</w:t>
      </w:r>
      <w:r>
        <w:rPr>
          <w:spacing w:val="-5"/>
        </w:rPr>
        <w:t> </w:t>
      </w:r>
      <w:r>
        <w:rPr/>
        <w:t>be</w:t>
      </w:r>
      <w:r>
        <w:rPr>
          <w:spacing w:val="-2"/>
        </w:rPr>
        <w:t> </w:t>
      </w:r>
      <w:r>
        <w:rPr/>
        <w:t>reconsidered.</w:t>
      </w:r>
      <w:r>
        <w:rPr>
          <w:spacing w:val="-5"/>
        </w:rPr>
        <w:t> </w:t>
      </w:r>
      <w:r>
        <w:rPr/>
        <w:t>The</w:t>
      </w:r>
      <w:r>
        <w:rPr>
          <w:spacing w:val="-2"/>
        </w:rPr>
        <w:t> </w:t>
      </w:r>
      <w:r>
        <w:rPr/>
        <w:t>key principles</w:t>
      </w:r>
      <w:r>
        <w:rPr>
          <w:spacing w:val="-4"/>
        </w:rPr>
        <w:t> </w:t>
      </w:r>
      <w:r>
        <w:rPr/>
        <w:t>of the</w:t>
      </w:r>
      <w:r>
        <w:rPr>
          <w:spacing w:val="30"/>
        </w:rPr>
        <w:t> </w:t>
      </w:r>
      <w:r>
        <w:rPr/>
        <w:t>good</w:t>
      </w:r>
      <w:r>
        <w:rPr>
          <w:spacing w:val="31"/>
        </w:rPr>
        <w:t> </w:t>
      </w:r>
      <w:r>
        <w:rPr/>
        <w:t>governance</w:t>
      </w:r>
      <w:r>
        <w:rPr>
          <w:spacing w:val="30"/>
        </w:rPr>
        <w:t> </w:t>
      </w:r>
      <w:r>
        <w:rPr/>
        <w:t>were</w:t>
      </w:r>
      <w:r>
        <w:rPr>
          <w:spacing w:val="30"/>
        </w:rPr>
        <w:t> </w:t>
      </w:r>
      <w:r>
        <w:rPr/>
        <w:t>introduced,</w:t>
      </w:r>
      <w:r>
        <w:rPr>
          <w:spacing w:val="31"/>
        </w:rPr>
        <w:t> </w:t>
      </w:r>
      <w:r>
        <w:rPr/>
        <w:t>as objectives to achieve:</w:t>
      </w:r>
      <w:r>
        <w:rPr>
          <w:spacing w:val="40"/>
        </w:rPr>
        <w:t> </w:t>
      </w:r>
      <w:r>
        <w:rPr/>
        <w:t>openness, participation,</w:t>
      </w:r>
      <w:r>
        <w:rPr>
          <w:spacing w:val="80"/>
        </w:rPr>
        <w:t> </w:t>
      </w:r>
      <w:r>
        <w:rPr/>
        <w:t>accountability,</w:t>
      </w:r>
      <w:r>
        <w:rPr>
          <w:spacing w:val="80"/>
        </w:rPr>
        <w:t> </w:t>
      </w:r>
      <w:r>
        <w:rPr/>
        <w:t>effectiveness</w:t>
      </w:r>
      <w:r>
        <w:rPr>
          <w:spacing w:val="80"/>
        </w:rPr>
        <w:t> </w:t>
      </w:r>
      <w:r>
        <w:rPr/>
        <w:t>and</w:t>
      </w:r>
      <w:r>
        <w:rPr>
          <w:spacing w:val="80"/>
        </w:rPr>
        <w:t> </w:t>
      </w:r>
      <w:r>
        <w:rPr/>
        <w:t>coherence.</w:t>
      </w:r>
      <w:r>
        <w:rPr>
          <w:spacing w:val="80"/>
        </w:rPr>
        <w:t> </w:t>
      </w:r>
      <w:r>
        <w:rPr/>
        <w:t>(</w:t>
      </w:r>
      <w:hyperlink w:history="true" w:anchor="_bookmark136">
        <w:r>
          <w:rPr/>
          <w:t>Comission,</w:t>
        </w:r>
      </w:hyperlink>
      <w:r>
        <w:rPr/>
        <w:t> </w:t>
      </w:r>
      <w:hyperlink w:history="true" w:anchor="_bookmark136">
        <w:r>
          <w:rPr/>
          <w:t>2001, p. 7</w:t>
        </w:r>
      </w:hyperlink>
      <w:r>
        <w:rPr/>
        <w:t>) Even though some scientists were skeptical about the document and considered it as a part of a populist ‘bread and circus’ politics, (</w:t>
      </w:r>
      <w:hyperlink w:history="true" w:anchor="_bookmark389">
        <w:r>
          <w:rPr/>
          <w:t>Shore,</w:t>
        </w:r>
      </w:hyperlink>
      <w:r>
        <w:rPr>
          <w:spacing w:val="80"/>
          <w:w w:val="150"/>
        </w:rPr>
        <w:t> </w:t>
      </w:r>
      <w:hyperlink w:history="true" w:anchor="_bookmark389">
        <w:r>
          <w:rPr/>
          <w:t>2011,</w:t>
        </w:r>
        <w:r>
          <w:rPr>
            <w:spacing w:val="58"/>
          </w:rPr>
          <w:t> </w:t>
        </w:r>
        <w:r>
          <w:rPr/>
          <w:t>p.</w:t>
        </w:r>
        <w:r>
          <w:rPr>
            <w:spacing w:val="58"/>
          </w:rPr>
          <w:t> </w:t>
        </w:r>
        <w:r>
          <w:rPr/>
          <w:t>291</w:t>
        </w:r>
      </w:hyperlink>
      <w:r>
        <w:rPr/>
        <w:t>)</w:t>
      </w:r>
      <w:r>
        <w:rPr>
          <w:spacing w:val="58"/>
        </w:rPr>
        <w:t> </w:t>
      </w:r>
      <w:r>
        <w:rPr/>
        <w:t>the</w:t>
      </w:r>
      <w:r>
        <w:rPr>
          <w:spacing w:val="58"/>
        </w:rPr>
        <w:t> </w:t>
      </w:r>
      <w:r>
        <w:rPr/>
        <w:t>publication</w:t>
      </w:r>
      <w:r>
        <w:rPr>
          <w:spacing w:val="58"/>
        </w:rPr>
        <w:t> </w:t>
      </w:r>
      <w:r>
        <w:rPr/>
        <w:t>still</w:t>
      </w:r>
      <w:r>
        <w:rPr>
          <w:spacing w:val="54"/>
        </w:rPr>
        <w:t> </w:t>
      </w:r>
      <w:r>
        <w:rPr/>
        <w:t>shows</w:t>
      </w:r>
      <w:r>
        <w:rPr>
          <w:spacing w:val="60"/>
        </w:rPr>
        <w:t> </w:t>
      </w:r>
      <w:r>
        <w:rPr/>
        <w:t>a</w:t>
      </w:r>
      <w:r>
        <w:rPr>
          <w:spacing w:val="56"/>
        </w:rPr>
        <w:t> </w:t>
      </w:r>
      <w:r>
        <w:rPr/>
        <w:t>major</w:t>
      </w:r>
      <w:r>
        <w:rPr>
          <w:spacing w:val="57"/>
        </w:rPr>
        <w:t> </w:t>
      </w:r>
      <w:r>
        <w:rPr/>
        <w:t>conceptual</w:t>
      </w:r>
      <w:r>
        <w:rPr>
          <w:spacing w:val="55"/>
        </w:rPr>
        <w:t> </w:t>
      </w:r>
      <w:r>
        <w:rPr/>
        <w:t>shift</w:t>
      </w:r>
      <w:r>
        <w:rPr>
          <w:spacing w:val="56"/>
        </w:rPr>
        <w:t> </w:t>
      </w:r>
      <w:r>
        <w:rPr>
          <w:spacing w:val="-4"/>
        </w:rPr>
        <w:t>from</w:t>
      </w:r>
    </w:p>
    <w:p>
      <w:pPr>
        <w:pStyle w:val="BodyText"/>
        <w:spacing w:line="342" w:lineRule="exact"/>
      </w:pPr>
      <w:r>
        <w:rPr/>
        <w:t>government</w:t>
      </w:r>
      <w:r>
        <w:rPr>
          <w:spacing w:val="-8"/>
        </w:rPr>
        <w:t> </w:t>
      </w:r>
      <w:r>
        <w:rPr/>
        <w:t>to</w:t>
      </w:r>
      <w:r>
        <w:rPr>
          <w:spacing w:val="-11"/>
        </w:rPr>
        <w:t> </w:t>
      </w:r>
      <w:r>
        <w:rPr>
          <w:spacing w:val="-2"/>
        </w:rPr>
        <w:t>governance.</w:t>
      </w:r>
    </w:p>
    <w:p>
      <w:pPr>
        <w:pStyle w:val="BodyText"/>
        <w:spacing w:line="273" w:lineRule="auto" w:before="42"/>
        <w:ind w:right="1903" w:firstLine="720"/>
      </w:pPr>
      <w:r>
        <w:rPr>
          <w:sz w:val="27"/>
        </w:rPr>
        <w:t>External governance </w:t>
      </w:r>
      <w:r>
        <w:rPr/>
        <w:t>differs from the traditional state-like external relations. With ‘governance’ involved, concept brings “institutional process of norm diffusion” as a main operation in the process (</w:t>
      </w:r>
      <w:hyperlink w:history="true" w:anchor="_bookmark256">
        <w:r>
          <w:rPr/>
          <w:t>Lavenex &amp;</w:t>
        </w:r>
      </w:hyperlink>
      <w:r>
        <w:rPr/>
        <w:t> </w:t>
      </w:r>
      <w:hyperlink w:history="true" w:anchor="_bookmark256">
        <w:r>
          <w:rPr/>
          <w:t>Schimmelfennig, 2009, p. 794</w:t>
        </w:r>
      </w:hyperlink>
      <w:r>
        <w:rPr/>
        <w:t>). This means that internal processes are seen from the sectorial perspective and are respectively coupled with their external counterparts. The coupling happens in accordance of domestic rules and norms. The external governance is motivated with functionalist goals,</w:t>
      </w:r>
      <w:r>
        <w:rPr>
          <w:spacing w:val="-1"/>
        </w:rPr>
        <w:t> </w:t>
      </w:r>
      <w:r>
        <w:rPr/>
        <w:t>rather</w:t>
      </w:r>
      <w:r>
        <w:rPr>
          <w:spacing w:val="-1"/>
        </w:rPr>
        <w:t> </w:t>
      </w:r>
      <w:r>
        <w:rPr/>
        <w:t>than</w:t>
      </w:r>
      <w:r>
        <w:rPr>
          <w:spacing w:val="-1"/>
        </w:rPr>
        <w:t> </w:t>
      </w:r>
      <w:r>
        <w:rPr/>
        <w:t>with</w:t>
      </w:r>
      <w:r>
        <w:rPr>
          <w:spacing w:val="-6"/>
        </w:rPr>
        <w:t> </w:t>
      </w:r>
      <w:r>
        <w:rPr/>
        <w:t>traditional</w:t>
      </w:r>
      <w:r>
        <w:rPr>
          <w:spacing w:val="-4"/>
        </w:rPr>
        <w:t> </w:t>
      </w:r>
      <w:r>
        <w:rPr/>
        <w:t>foreign</w:t>
      </w:r>
      <w:r>
        <w:rPr>
          <w:spacing w:val="-1"/>
        </w:rPr>
        <w:t> </w:t>
      </w:r>
      <w:r>
        <w:rPr/>
        <w:t>policy</w:t>
      </w:r>
      <w:r>
        <w:rPr>
          <w:spacing w:val="-2"/>
        </w:rPr>
        <w:t> </w:t>
      </w:r>
      <w:r>
        <w:rPr/>
        <w:t>agenda. </w:t>
      </w:r>
      <w:r>
        <w:rPr>
          <w:sz w:val="27"/>
        </w:rPr>
        <w:t>Lavenex</w:t>
      </w:r>
      <w:r>
        <w:rPr>
          <w:spacing w:val="-4"/>
          <w:sz w:val="27"/>
        </w:rPr>
        <w:t> </w:t>
      </w:r>
      <w:r>
        <w:rPr/>
        <w:t>et</w:t>
      </w:r>
      <w:r>
        <w:rPr>
          <w:spacing w:val="-6"/>
        </w:rPr>
        <w:t> </w:t>
      </w:r>
      <w:r>
        <w:rPr/>
        <w:t>al</w:t>
      </w:r>
      <w:r>
        <w:rPr>
          <w:spacing w:val="-4"/>
        </w:rPr>
        <w:t> </w:t>
      </w:r>
      <w:r>
        <w:rPr/>
        <w:t>refer to </w:t>
      </w:r>
      <w:r>
        <w:rPr>
          <w:sz w:val="27"/>
        </w:rPr>
        <w:t>Sedelmeier </w:t>
      </w:r>
      <w:r>
        <w:rPr/>
        <w:t>and argue that:</w:t>
      </w:r>
    </w:p>
    <w:p>
      <w:pPr>
        <w:pStyle w:val="BodyText"/>
        <w:spacing w:after="0" w:line="273" w:lineRule="auto"/>
        <w:sectPr>
          <w:pgSz w:w="12240" w:h="15840"/>
          <w:pgMar w:header="1046" w:footer="0" w:top="1360" w:bottom="280" w:left="720" w:right="360"/>
        </w:sectPr>
      </w:pPr>
    </w:p>
    <w:p>
      <w:pPr>
        <w:pStyle w:val="BodyText"/>
        <w:spacing w:line="276" w:lineRule="auto" w:before="276"/>
        <w:ind w:left="2420" w:right="1911"/>
      </w:pPr>
      <w:r>
        <w:rPr/>
        <mc:AlternateContent>
          <mc:Choice Requires="wps">
            <w:drawing>
              <wp:anchor distT="0" distB="0" distL="0" distR="0" allowOverlap="1" layoutInCell="1" locked="0" behindDoc="0" simplePos="0" relativeHeight="15765504">
                <wp:simplePos x="0" y="0"/>
                <wp:positionH relativeFrom="page">
                  <wp:posOffset>1923923</wp:posOffset>
                </wp:positionH>
                <wp:positionV relativeFrom="paragraph">
                  <wp:posOffset>174084</wp:posOffset>
                </wp:positionV>
                <wp:extent cx="1270" cy="1250315"/>
                <wp:effectExtent l="0" t="0" r="0" b="0"/>
                <wp:wrapNone/>
                <wp:docPr id="88" name="Graphic 88"/>
                <wp:cNvGraphicFramePr>
                  <a:graphicFrameLocks/>
                </wp:cNvGraphicFramePr>
                <a:graphic>
                  <a:graphicData uri="http://schemas.microsoft.com/office/word/2010/wordprocessingShape">
                    <wps:wsp>
                      <wps:cNvPr id="88" name="Graphic 88"/>
                      <wps:cNvSpPr/>
                      <wps:spPr>
                        <a:xfrm>
                          <a:off x="0" y="0"/>
                          <a:ext cx="1270" cy="1250315"/>
                        </a:xfrm>
                        <a:custGeom>
                          <a:avLst/>
                          <a:gdLst/>
                          <a:ahLst/>
                          <a:cxnLst/>
                          <a:rect l="l" t="t" r="r" b="b"/>
                          <a:pathLst>
                            <a:path w="0" h="1250315">
                              <a:moveTo>
                                <a:pt x="0" y="0"/>
                              </a:moveTo>
                              <a:lnTo>
                                <a:pt x="0" y="249935"/>
                              </a:lnTo>
                            </a:path>
                            <a:path w="0" h="1250315">
                              <a:moveTo>
                                <a:pt x="0" y="249935"/>
                              </a:moveTo>
                              <a:lnTo>
                                <a:pt x="0" y="499872"/>
                              </a:lnTo>
                            </a:path>
                            <a:path w="0" h="1250315">
                              <a:moveTo>
                                <a:pt x="0" y="499872"/>
                              </a:moveTo>
                              <a:lnTo>
                                <a:pt x="0" y="750188"/>
                              </a:lnTo>
                            </a:path>
                            <a:path w="0" h="1250315">
                              <a:moveTo>
                                <a:pt x="0" y="750188"/>
                              </a:moveTo>
                              <a:lnTo>
                                <a:pt x="0" y="1000125"/>
                              </a:lnTo>
                            </a:path>
                            <a:path w="0" h="1250315">
                              <a:moveTo>
                                <a:pt x="0" y="1000125"/>
                              </a:moveTo>
                              <a:lnTo>
                                <a:pt x="0" y="1250060"/>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13.707422pt;width:.1pt;height:98.45pt;mso-position-horizontal-relative:page;mso-position-vertical-relative:paragraph;z-index:15765504" id="docshape83" coordorigin="3030,274" coordsize="0,1969" path="m3030,274l3030,668m3030,668l3030,1061m3030,1061l3030,1456m3030,1456l3030,1849m3030,1849l3030,2243e" filled="false" stroked="true" strokeweight=".48pt" strokecolor="#000000">
                <v:path arrowok="t"/>
                <v:stroke dashstyle="shortdash"/>
                <w10:wrap type="none"/>
              </v:shape>
            </w:pict>
          </mc:Fallback>
        </mc:AlternateContent>
      </w:r>
      <w:r>
        <w:rPr/>
        <w:t>“EU neighborhood policies are characterized by a dual structure composed of, on the one hand, the overarching “macro policy”, laying down overall the goals and instruments of these privileged relations, and the “meso policies”, relating to the sectoral modes of interaction.”</w:t>
      </w:r>
    </w:p>
    <w:p>
      <w:pPr>
        <w:pStyle w:val="BodyText"/>
        <w:spacing w:line="276" w:lineRule="auto"/>
        <w:ind w:right="1909" w:firstLine="3471"/>
        <w:jc w:val="left"/>
      </w:pPr>
      <w:r>
        <w:rPr/>
        <w:t>(</w:t>
      </w:r>
      <w:hyperlink w:history="true" w:anchor="_bookmark255">
        <w:r>
          <w:rPr/>
          <w:t>Lavenex, Lehmkuhl, &amp; Wichmann, 2009</w:t>
        </w:r>
      </w:hyperlink>
      <w:r>
        <w:rPr/>
        <w:t>) Even</w:t>
      </w:r>
      <w:r>
        <w:rPr>
          <w:spacing w:val="33"/>
        </w:rPr>
        <w:t> </w:t>
      </w:r>
      <w:r>
        <w:rPr/>
        <w:t>in</w:t>
      </w:r>
      <w:r>
        <w:rPr>
          <w:spacing w:val="33"/>
        </w:rPr>
        <w:t> </w:t>
      </w:r>
      <w:r>
        <w:rPr/>
        <w:t>the</w:t>
      </w:r>
      <w:r>
        <w:rPr>
          <w:spacing w:val="32"/>
        </w:rPr>
        <w:t> </w:t>
      </w:r>
      <w:r>
        <w:rPr/>
        <w:t>cases</w:t>
      </w:r>
      <w:r>
        <w:rPr>
          <w:spacing w:val="34"/>
        </w:rPr>
        <w:t> </w:t>
      </w:r>
      <w:r>
        <w:rPr/>
        <w:t>when</w:t>
      </w:r>
      <w:r>
        <w:rPr>
          <w:spacing w:val="33"/>
        </w:rPr>
        <w:t> </w:t>
      </w:r>
      <w:r>
        <w:rPr/>
        <w:t>certain</w:t>
      </w:r>
      <w:r>
        <w:rPr>
          <w:spacing w:val="33"/>
        </w:rPr>
        <w:t> </w:t>
      </w:r>
      <w:r>
        <w:rPr/>
        <w:t>foreign</w:t>
      </w:r>
      <w:r>
        <w:rPr>
          <w:spacing w:val="33"/>
        </w:rPr>
        <w:t> </w:t>
      </w:r>
      <w:r>
        <w:rPr/>
        <w:t>policy</w:t>
      </w:r>
      <w:r>
        <w:rPr>
          <w:spacing w:val="31"/>
        </w:rPr>
        <w:t> </w:t>
      </w:r>
      <w:r>
        <w:rPr/>
        <w:t>goals</w:t>
      </w:r>
      <w:r>
        <w:rPr>
          <w:spacing w:val="34"/>
        </w:rPr>
        <w:t> </w:t>
      </w:r>
      <w:r>
        <w:rPr/>
        <w:t>need</w:t>
      </w:r>
      <w:r>
        <w:rPr>
          <w:spacing w:val="33"/>
        </w:rPr>
        <w:t> </w:t>
      </w:r>
      <w:r>
        <w:rPr/>
        <w:t>to</w:t>
      </w:r>
      <w:r>
        <w:rPr>
          <w:spacing w:val="29"/>
        </w:rPr>
        <w:t> </w:t>
      </w:r>
      <w:r>
        <w:rPr/>
        <w:t>be</w:t>
      </w:r>
      <w:r>
        <w:rPr>
          <w:spacing w:val="32"/>
        </w:rPr>
        <w:t> </w:t>
      </w:r>
      <w:r>
        <w:rPr/>
        <w:t>achieved, borders between those two are so blurred that “EU neighborhood relations must draw on these decentralized ‘meso’ policies.” (</w:t>
      </w:r>
      <w:hyperlink w:history="true" w:anchor="_bookmark255">
        <w:r>
          <w:rPr/>
          <w:t>Lavenex et al., 2009</w:t>
        </w:r>
      </w:hyperlink>
      <w:r>
        <w:rPr/>
        <w:t>).</w:t>
      </w:r>
    </w:p>
    <w:p>
      <w:pPr>
        <w:pStyle w:val="BodyText"/>
        <w:spacing w:line="268" w:lineRule="auto"/>
        <w:ind w:right="1908" w:firstLine="720"/>
      </w:pPr>
      <w:r>
        <w:rPr/>
        <w:t>Generally EU “external governance takes place when parts of the </w:t>
      </w:r>
      <w:r>
        <w:rPr>
          <w:sz w:val="27"/>
        </w:rPr>
        <w:t>acquis communautaire </w:t>
      </w:r>
      <w:r>
        <w:rPr/>
        <w:t>are extended to non-member states.” (</w:t>
      </w:r>
      <w:hyperlink w:history="true" w:anchor="_bookmark254">
        <w:r>
          <w:rPr/>
          <w:t>Lavenex,</w:t>
        </w:r>
      </w:hyperlink>
      <w:r>
        <w:rPr/>
        <w:t> </w:t>
      </w:r>
      <w:hyperlink w:history="true" w:anchor="_bookmark254">
        <w:r>
          <w:rPr/>
          <w:t>2004,</w:t>
        </w:r>
        <w:r>
          <w:rPr>
            <w:spacing w:val="-2"/>
          </w:rPr>
          <w:t> </w:t>
        </w:r>
        <w:r>
          <w:rPr/>
          <w:t>p.</w:t>
        </w:r>
        <w:r>
          <w:rPr>
            <w:spacing w:val="-2"/>
          </w:rPr>
          <w:t> </w:t>
        </w:r>
        <w:r>
          <w:rPr/>
          <w:t>683</w:t>
        </w:r>
      </w:hyperlink>
      <w:r>
        <w:rPr/>
        <w:t>).</w:t>
      </w:r>
      <w:r>
        <w:rPr>
          <w:spacing w:val="-1"/>
        </w:rPr>
        <w:t> </w:t>
      </w:r>
      <w:r>
        <w:rPr>
          <w:sz w:val="27"/>
        </w:rPr>
        <w:t>Lavenex</w:t>
      </w:r>
      <w:r>
        <w:rPr>
          <w:spacing w:val="-8"/>
          <w:sz w:val="27"/>
        </w:rPr>
        <w:t> </w:t>
      </w:r>
      <w:r>
        <w:rPr>
          <w:sz w:val="27"/>
        </w:rPr>
        <w:t>&amp;</w:t>
      </w:r>
      <w:r>
        <w:rPr>
          <w:spacing w:val="-8"/>
          <w:sz w:val="27"/>
        </w:rPr>
        <w:t> </w:t>
      </w:r>
      <w:r>
        <w:rPr>
          <w:sz w:val="27"/>
        </w:rPr>
        <w:t>Schimmelfennig</w:t>
      </w:r>
      <w:r>
        <w:rPr>
          <w:spacing w:val="-2"/>
          <w:sz w:val="27"/>
        </w:rPr>
        <w:t> </w:t>
      </w:r>
      <w:r>
        <w:rPr/>
        <w:t>identify</w:t>
      </w:r>
      <w:r>
        <w:rPr>
          <w:spacing w:val="-4"/>
        </w:rPr>
        <w:t> </w:t>
      </w:r>
      <w:r>
        <w:rPr/>
        <w:t>areas</w:t>
      </w:r>
      <w:r>
        <w:rPr>
          <w:spacing w:val="-5"/>
        </w:rPr>
        <w:t> </w:t>
      </w:r>
      <w:r>
        <w:rPr/>
        <w:t>and</w:t>
      </w:r>
      <w:r>
        <w:rPr>
          <w:spacing w:val="-2"/>
        </w:rPr>
        <w:t> </w:t>
      </w:r>
      <w:r>
        <w:rPr/>
        <w:t>policies</w:t>
      </w:r>
      <w:r>
        <w:rPr>
          <w:spacing w:val="-5"/>
        </w:rPr>
        <w:t> </w:t>
      </w:r>
      <w:r>
        <w:rPr/>
        <w:t>where the EU external governance is enacted:</w:t>
      </w:r>
    </w:p>
    <w:p>
      <w:pPr>
        <w:pStyle w:val="BodyText"/>
        <w:spacing w:before="52"/>
        <w:ind w:left="0"/>
        <w:jc w:val="left"/>
      </w:pPr>
    </w:p>
    <w:p>
      <w:pPr>
        <w:pStyle w:val="ListParagraph"/>
        <w:numPr>
          <w:ilvl w:val="0"/>
          <w:numId w:val="6"/>
        </w:numPr>
        <w:tabs>
          <w:tab w:pos="1700" w:val="left" w:leader="none"/>
        </w:tabs>
        <w:spacing w:line="240" w:lineRule="auto" w:before="0" w:after="0"/>
        <w:ind w:left="1700" w:right="0" w:hanging="360"/>
        <w:jc w:val="left"/>
        <w:rPr>
          <w:sz w:val="27"/>
        </w:rPr>
      </w:pPr>
      <w:r>
        <w:rPr>
          <w:sz w:val="26"/>
        </w:rPr>
        <w:t>Foreign</w:t>
      </w:r>
      <w:r>
        <w:rPr>
          <w:spacing w:val="-9"/>
          <w:sz w:val="26"/>
        </w:rPr>
        <w:t> </w:t>
      </w:r>
      <w:r>
        <w:rPr>
          <w:sz w:val="26"/>
        </w:rPr>
        <w:t>policy</w:t>
      </w:r>
      <w:r>
        <w:rPr>
          <w:spacing w:val="-10"/>
          <w:sz w:val="26"/>
        </w:rPr>
        <w:t> </w:t>
      </w:r>
      <w:r>
        <w:rPr>
          <w:sz w:val="26"/>
        </w:rPr>
        <w:t>initiative</w:t>
      </w:r>
      <w:r>
        <w:rPr>
          <w:spacing w:val="-9"/>
          <w:sz w:val="26"/>
        </w:rPr>
        <w:t> </w:t>
      </w:r>
      <w:r>
        <w:rPr>
          <w:sz w:val="26"/>
        </w:rPr>
        <w:t>like</w:t>
      </w:r>
      <w:r>
        <w:rPr>
          <w:spacing w:val="-5"/>
          <w:sz w:val="26"/>
        </w:rPr>
        <w:t> </w:t>
      </w:r>
      <w:r>
        <w:rPr>
          <w:sz w:val="27"/>
        </w:rPr>
        <w:t>EEA</w:t>
      </w:r>
      <w:r>
        <w:rPr>
          <w:spacing w:val="-13"/>
          <w:sz w:val="27"/>
        </w:rPr>
        <w:t> </w:t>
      </w:r>
      <w:r>
        <w:rPr>
          <w:sz w:val="26"/>
        </w:rPr>
        <w:t>or</w:t>
      </w:r>
      <w:r>
        <w:rPr>
          <w:spacing w:val="-8"/>
          <w:sz w:val="26"/>
        </w:rPr>
        <w:t> </w:t>
      </w:r>
      <w:r>
        <w:rPr>
          <w:spacing w:val="-5"/>
          <w:sz w:val="27"/>
        </w:rPr>
        <w:t>ENP</w:t>
      </w:r>
    </w:p>
    <w:p>
      <w:pPr>
        <w:pStyle w:val="ListParagraph"/>
        <w:numPr>
          <w:ilvl w:val="0"/>
          <w:numId w:val="6"/>
        </w:numPr>
        <w:tabs>
          <w:tab w:pos="1700" w:val="left" w:leader="none"/>
        </w:tabs>
        <w:spacing w:line="240" w:lineRule="auto" w:before="49" w:after="0"/>
        <w:ind w:left="1700" w:right="0" w:hanging="360"/>
        <w:jc w:val="left"/>
        <w:rPr>
          <w:sz w:val="26"/>
        </w:rPr>
      </w:pPr>
      <w:r>
        <w:rPr>
          <w:sz w:val="26"/>
        </w:rPr>
        <w:t>Bilateral</w:t>
      </w:r>
      <w:r>
        <w:rPr>
          <w:spacing w:val="-11"/>
          <w:sz w:val="26"/>
        </w:rPr>
        <w:t> </w:t>
      </w:r>
      <w:r>
        <w:rPr>
          <w:sz w:val="26"/>
        </w:rPr>
        <w:t>cooperation</w:t>
      </w:r>
      <w:r>
        <w:rPr>
          <w:spacing w:val="-8"/>
          <w:sz w:val="26"/>
        </w:rPr>
        <w:t> </w:t>
      </w:r>
      <w:r>
        <w:rPr>
          <w:sz w:val="26"/>
        </w:rPr>
        <w:t>agreements</w:t>
      </w:r>
      <w:r>
        <w:rPr>
          <w:spacing w:val="-11"/>
          <w:sz w:val="26"/>
        </w:rPr>
        <w:t> </w:t>
      </w:r>
      <w:r>
        <w:rPr>
          <w:sz w:val="26"/>
        </w:rPr>
        <w:t>(for</w:t>
      </w:r>
      <w:r>
        <w:rPr>
          <w:spacing w:val="-8"/>
          <w:sz w:val="26"/>
        </w:rPr>
        <w:t> </w:t>
      </w:r>
      <w:r>
        <w:rPr>
          <w:sz w:val="26"/>
        </w:rPr>
        <w:t>example</w:t>
      </w:r>
      <w:r>
        <w:rPr>
          <w:spacing w:val="-9"/>
          <w:sz w:val="26"/>
        </w:rPr>
        <w:t> </w:t>
      </w:r>
      <w:r>
        <w:rPr>
          <w:sz w:val="26"/>
        </w:rPr>
        <w:t>with</w:t>
      </w:r>
      <w:r>
        <w:rPr>
          <w:spacing w:val="-9"/>
          <w:sz w:val="26"/>
        </w:rPr>
        <w:t> </w:t>
      </w:r>
      <w:r>
        <w:rPr>
          <w:spacing w:val="-2"/>
          <w:sz w:val="26"/>
        </w:rPr>
        <w:t>Switzerland)</w:t>
      </w:r>
    </w:p>
    <w:p>
      <w:pPr>
        <w:pStyle w:val="ListParagraph"/>
        <w:numPr>
          <w:ilvl w:val="0"/>
          <w:numId w:val="6"/>
        </w:numPr>
        <w:tabs>
          <w:tab w:pos="1700" w:val="left" w:leader="none"/>
        </w:tabs>
        <w:spacing w:line="276" w:lineRule="auto" w:before="51" w:after="0"/>
        <w:ind w:left="1700" w:right="1914" w:hanging="360"/>
        <w:jc w:val="left"/>
        <w:rPr>
          <w:sz w:val="26"/>
        </w:rPr>
      </w:pPr>
      <w:r>
        <w:rPr>
          <w:sz w:val="26"/>
        </w:rPr>
        <w:t>Less constraining co-operation frameworks with African, Caribbean, Pacific of North American countries.</w:t>
      </w:r>
    </w:p>
    <w:p>
      <w:pPr>
        <w:pStyle w:val="ListParagraph"/>
        <w:numPr>
          <w:ilvl w:val="0"/>
          <w:numId w:val="6"/>
        </w:numPr>
        <w:tabs>
          <w:tab w:pos="1700" w:val="left" w:leader="none"/>
        </w:tabs>
        <w:spacing w:line="342" w:lineRule="exact" w:before="0" w:after="0"/>
        <w:ind w:left="1700" w:right="0" w:hanging="360"/>
        <w:jc w:val="left"/>
        <w:rPr>
          <w:sz w:val="26"/>
        </w:rPr>
      </w:pPr>
      <w:r>
        <w:rPr>
          <w:sz w:val="26"/>
        </w:rPr>
        <w:t>One</w:t>
      </w:r>
      <w:r>
        <w:rPr>
          <w:spacing w:val="-6"/>
          <w:sz w:val="26"/>
        </w:rPr>
        <w:t> </w:t>
      </w:r>
      <w:r>
        <w:rPr>
          <w:sz w:val="26"/>
        </w:rPr>
        <w:t>limited</w:t>
      </w:r>
      <w:r>
        <w:rPr>
          <w:spacing w:val="-4"/>
          <w:sz w:val="26"/>
        </w:rPr>
        <w:t> </w:t>
      </w:r>
      <w:r>
        <w:rPr>
          <w:sz w:val="26"/>
        </w:rPr>
        <w:t>to</w:t>
      </w:r>
      <w:r>
        <w:rPr>
          <w:spacing w:val="-8"/>
          <w:sz w:val="26"/>
        </w:rPr>
        <w:t> </w:t>
      </w:r>
      <w:r>
        <w:rPr>
          <w:sz w:val="26"/>
        </w:rPr>
        <w:t>the</w:t>
      </w:r>
      <w:r>
        <w:rPr>
          <w:spacing w:val="-6"/>
          <w:sz w:val="26"/>
        </w:rPr>
        <w:t> </w:t>
      </w:r>
      <w:r>
        <w:rPr>
          <w:sz w:val="26"/>
        </w:rPr>
        <w:t>specific</w:t>
      </w:r>
      <w:r>
        <w:rPr>
          <w:spacing w:val="-6"/>
          <w:sz w:val="26"/>
        </w:rPr>
        <w:t> </w:t>
      </w:r>
      <w:r>
        <w:rPr>
          <w:sz w:val="26"/>
        </w:rPr>
        <w:t>area</w:t>
      </w:r>
      <w:r>
        <w:rPr>
          <w:spacing w:val="-6"/>
          <w:sz w:val="26"/>
        </w:rPr>
        <w:t> </w:t>
      </w:r>
      <w:r>
        <w:rPr>
          <w:sz w:val="26"/>
        </w:rPr>
        <w:t>of</w:t>
      </w:r>
      <w:r>
        <w:rPr>
          <w:spacing w:val="-6"/>
          <w:sz w:val="26"/>
        </w:rPr>
        <w:t> </w:t>
      </w:r>
      <w:r>
        <w:rPr>
          <w:spacing w:val="-2"/>
          <w:sz w:val="26"/>
        </w:rPr>
        <w:t>policy</w:t>
      </w:r>
    </w:p>
    <w:p>
      <w:pPr>
        <w:pStyle w:val="BodyText"/>
        <w:spacing w:before="52"/>
        <w:ind w:left="4384"/>
      </w:pPr>
      <w:r>
        <w:rPr/>
        <w:t>(</w:t>
      </w:r>
      <w:hyperlink w:history="true" w:anchor="_bookmark256">
        <w:r>
          <w:rPr/>
          <w:t>Lavenex</w:t>
        </w:r>
        <w:r>
          <w:rPr>
            <w:spacing w:val="-11"/>
          </w:rPr>
          <w:t> </w:t>
        </w:r>
        <w:r>
          <w:rPr/>
          <w:t>&amp;</w:t>
        </w:r>
        <w:r>
          <w:rPr>
            <w:spacing w:val="-11"/>
          </w:rPr>
          <w:t> </w:t>
        </w:r>
        <w:r>
          <w:rPr/>
          <w:t>Schimmelfennig,</w:t>
        </w:r>
        <w:r>
          <w:rPr>
            <w:spacing w:val="-7"/>
          </w:rPr>
          <w:t> </w:t>
        </w:r>
        <w:r>
          <w:rPr/>
          <w:t>2009,</w:t>
        </w:r>
        <w:r>
          <w:rPr>
            <w:spacing w:val="-8"/>
          </w:rPr>
          <w:t> </w:t>
        </w:r>
        <w:r>
          <w:rPr/>
          <w:t>p.</w:t>
        </w:r>
        <w:r>
          <w:rPr>
            <w:spacing w:val="-11"/>
          </w:rPr>
          <w:t> </w:t>
        </w:r>
        <w:r>
          <w:rPr>
            <w:spacing w:val="-4"/>
          </w:rPr>
          <w:t>792</w:t>
        </w:r>
      </w:hyperlink>
      <w:r>
        <w:rPr>
          <w:spacing w:val="-4"/>
        </w:rPr>
        <w:t>).</w:t>
      </w:r>
    </w:p>
    <w:p>
      <w:pPr>
        <w:pStyle w:val="BodyText"/>
        <w:spacing w:line="276" w:lineRule="auto" w:before="51"/>
        <w:ind w:right="1915" w:firstLine="720"/>
      </w:pPr>
      <w:r>
        <w:rPr/>
        <w:t>The</w:t>
      </w:r>
      <w:r>
        <w:rPr>
          <w:spacing w:val="-3"/>
        </w:rPr>
        <w:t> </w:t>
      </w:r>
      <w:r>
        <w:rPr/>
        <w:t>relations</w:t>
      </w:r>
      <w:r>
        <w:rPr>
          <w:spacing w:val="-4"/>
        </w:rPr>
        <w:t> </w:t>
      </w:r>
      <w:r>
        <w:rPr/>
        <w:t>between</w:t>
      </w:r>
      <w:r>
        <w:rPr>
          <w:spacing w:val="-2"/>
        </w:rPr>
        <w:t> </w:t>
      </w:r>
      <w:r>
        <w:rPr/>
        <w:t>the</w:t>
      </w:r>
      <w:r>
        <w:rPr>
          <w:spacing w:val="-6"/>
        </w:rPr>
        <w:t> </w:t>
      </w:r>
      <w:r>
        <w:rPr/>
        <w:t>EU</w:t>
      </w:r>
      <w:r>
        <w:rPr>
          <w:spacing w:val="-3"/>
        </w:rPr>
        <w:t> </w:t>
      </w:r>
      <w:r>
        <w:rPr/>
        <w:t>and</w:t>
      </w:r>
      <w:r>
        <w:rPr>
          <w:spacing w:val="-1"/>
        </w:rPr>
        <w:t> </w:t>
      </w:r>
      <w:r>
        <w:rPr/>
        <w:t>the</w:t>
      </w:r>
      <w:r>
        <w:rPr>
          <w:spacing w:val="-7"/>
        </w:rPr>
        <w:t> </w:t>
      </w:r>
      <w:r>
        <w:rPr/>
        <w:t>environmental</w:t>
      </w:r>
      <w:r>
        <w:rPr>
          <w:spacing w:val="-4"/>
        </w:rPr>
        <w:t> </w:t>
      </w:r>
      <w:r>
        <w:rPr/>
        <w:t>actors</w:t>
      </w:r>
      <w:r>
        <w:rPr>
          <w:spacing w:val="-4"/>
        </w:rPr>
        <w:t> </w:t>
      </w:r>
      <w:r>
        <w:rPr/>
        <w:t>might</w:t>
      </w:r>
      <w:r>
        <w:rPr>
          <w:spacing w:val="-3"/>
        </w:rPr>
        <w:t> </w:t>
      </w:r>
      <w:r>
        <w:rPr/>
        <w:t>be different according to their bargaining powers. In some cases the EU is the dominant side, while in other</w:t>
      </w:r>
      <w:r>
        <w:rPr>
          <w:spacing w:val="-3"/>
        </w:rPr>
        <w:t> </w:t>
      </w:r>
      <w:r>
        <w:rPr/>
        <w:t>cases</w:t>
      </w:r>
      <w:r>
        <w:rPr>
          <w:spacing w:val="-1"/>
        </w:rPr>
        <w:t> </w:t>
      </w:r>
      <w:r>
        <w:rPr/>
        <w:t>we have</w:t>
      </w:r>
      <w:r>
        <w:rPr>
          <w:spacing w:val="-4"/>
        </w:rPr>
        <w:t> </w:t>
      </w:r>
      <w:r>
        <w:rPr/>
        <w:t>interaction of equals, or almost </w:t>
      </w:r>
      <w:r>
        <w:rPr>
          <w:spacing w:val="-2"/>
        </w:rPr>
        <w:t>equals.</w:t>
      </w:r>
    </w:p>
    <w:p>
      <w:pPr>
        <w:pStyle w:val="BodyText"/>
        <w:spacing w:line="273" w:lineRule="auto"/>
        <w:ind w:right="1908" w:firstLine="720"/>
      </w:pPr>
      <w:r>
        <w:rPr/>
        <w:t>As </w:t>
      </w:r>
      <w:r>
        <w:rPr>
          <w:sz w:val="27"/>
        </w:rPr>
        <w:t>Zielonka </w:t>
      </w:r>
      <w:r>
        <w:rPr/>
        <w:t>pointed out two basic modes of governance can be identified and the same applies to external governance.</w:t>
      </w:r>
      <w:r>
        <w:rPr>
          <w:spacing w:val="40"/>
        </w:rPr>
        <w:t> </w:t>
      </w:r>
      <w:r>
        <w:rPr/>
        <w:t>First is traditional, hierarchical model, which is vertically organized with strong central government, and second, </w:t>
      </w:r>
      <w:r>
        <w:rPr>
          <w:sz w:val="27"/>
        </w:rPr>
        <w:t>plurilateral </w:t>
      </w:r>
      <w:r>
        <w:rPr/>
        <w:t>mode, where there is no single center of authority and functional competences are spread across various actors. (</w:t>
      </w:r>
      <w:hyperlink w:history="true" w:anchor="_bookmark446">
        <w:r>
          <w:rPr/>
          <w:t>Zielonka, 2007, pp. 190-192</w:t>
        </w:r>
      </w:hyperlink>
      <w:r>
        <w:rPr/>
        <w:t>)</w:t>
      </w:r>
    </w:p>
    <w:p>
      <w:pPr>
        <w:pStyle w:val="BodyText"/>
        <w:spacing w:after="0" w:line="273" w:lineRule="auto"/>
        <w:sectPr>
          <w:pgSz w:w="12240" w:h="15840"/>
          <w:pgMar w:header="1046" w:footer="0" w:top="1360" w:bottom="280" w:left="720" w:right="360"/>
        </w:sectPr>
      </w:pPr>
    </w:p>
    <w:p>
      <w:pPr>
        <w:pStyle w:val="Heading4"/>
        <w:numPr>
          <w:ilvl w:val="1"/>
          <w:numId w:val="4"/>
        </w:numPr>
        <w:tabs>
          <w:tab w:pos="1577" w:val="left" w:leader="none"/>
        </w:tabs>
        <w:spacing w:line="240" w:lineRule="auto" w:before="288" w:after="0"/>
        <w:ind w:left="1577" w:right="0" w:hanging="598"/>
        <w:jc w:val="left"/>
      </w:pPr>
      <w:bookmarkStart w:name="_bookmark19" w:id="20"/>
      <w:bookmarkEnd w:id="20"/>
      <w:r>
        <w:rPr>
          <w:b w:val="0"/>
        </w:rPr>
      </w:r>
      <w:r>
        <w:rPr/>
        <w:t>New</w:t>
      </w:r>
      <w:r>
        <w:rPr>
          <w:spacing w:val="-4"/>
        </w:rPr>
        <w:t> </w:t>
      </w:r>
      <w:r>
        <w:rPr>
          <w:spacing w:val="-2"/>
        </w:rPr>
        <w:t>Institutionalisms</w:t>
      </w:r>
    </w:p>
    <w:p>
      <w:pPr>
        <w:pStyle w:val="BodyText"/>
        <w:spacing w:before="52"/>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25216">
                <wp:simplePos x="0" y="0"/>
                <wp:positionH relativeFrom="page">
                  <wp:posOffset>1078864</wp:posOffset>
                </wp:positionH>
                <wp:positionV relativeFrom="paragraph">
                  <wp:posOffset>192884</wp:posOffset>
                </wp:positionV>
                <wp:extent cx="5252085" cy="52069"/>
                <wp:effectExtent l="0" t="0" r="0" b="0"/>
                <wp:wrapTopAndBottom/>
                <wp:docPr id="89" name="Graphic 89"/>
                <wp:cNvGraphicFramePr>
                  <a:graphicFrameLocks/>
                </wp:cNvGraphicFramePr>
                <a:graphic>
                  <a:graphicData uri="http://schemas.microsoft.com/office/word/2010/wordprocessingShape">
                    <wps:wsp>
                      <wps:cNvPr id="89" name="Graphic 89"/>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5.187735pt;width:413.55pt;height:4.1pt;mso-position-horizontal-relative:page;mso-position-vertical-relative:paragraph;z-index:-15691264;mso-wrap-distance-left:0;mso-wrap-distance-right:0" id="docshape84"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spacing w:before="4"/>
        <w:ind w:left="0"/>
        <w:jc w:val="left"/>
        <w:rPr>
          <w:rFonts w:ascii="Georgia"/>
          <w:b/>
        </w:rPr>
      </w:pPr>
    </w:p>
    <w:p>
      <w:pPr>
        <w:pStyle w:val="BodyText"/>
        <w:spacing w:line="276" w:lineRule="auto"/>
        <w:ind w:right="1906" w:firstLine="720"/>
      </w:pPr>
      <w:r>
        <w:rPr/>
        <w:t>We use a plural form of institutionalism – institutionalisms to indicate three main directions:</w:t>
      </w:r>
      <w:r>
        <w:rPr>
          <w:position w:val="7"/>
          <w:sz w:val="15"/>
        </w:rPr>
        <w:t>17</w:t>
      </w:r>
      <w:r>
        <w:rPr>
          <w:spacing w:val="40"/>
          <w:position w:val="7"/>
          <w:sz w:val="15"/>
        </w:rPr>
        <w:t> </w:t>
      </w:r>
      <w:r>
        <w:rPr/>
        <w:t>Historical institutionalism, rational choice institutionalism and sociological institutionalism. The appoaches were developed in “reaction with to the behavioral perspectives” after 1960-1970 years.” (</w:t>
      </w:r>
      <w:hyperlink w:history="true" w:anchor="_bookmark206">
        <w:r>
          <w:rPr/>
          <w:t>Hall &amp; Taylor, 1996, p. 936</w:t>
        </w:r>
      </w:hyperlink>
      <w:r>
        <w:rPr/>
        <w:t>) Obviously, if the approaches we analyze are ‘new’ there should be predecessor theories, but those ones largely developed in the late 19</w:t>
      </w:r>
      <w:r>
        <w:rPr>
          <w:position w:val="7"/>
          <w:sz w:val="15"/>
        </w:rPr>
        <w:t>th</w:t>
      </w:r>
      <w:r>
        <w:rPr>
          <w:spacing w:val="40"/>
          <w:position w:val="7"/>
          <w:sz w:val="15"/>
        </w:rPr>
        <w:t> </w:t>
      </w:r>
      <w:r>
        <w:rPr/>
        <w:t>early 20</w:t>
      </w:r>
      <w:r>
        <w:rPr>
          <w:position w:val="7"/>
          <w:sz w:val="15"/>
        </w:rPr>
        <w:t>th</w:t>
      </w:r>
      <w:r>
        <w:rPr>
          <w:spacing w:val="40"/>
          <w:position w:val="7"/>
          <w:sz w:val="15"/>
        </w:rPr>
        <w:t> </w:t>
      </w:r>
      <w:r>
        <w:rPr/>
        <w:t>centuries do not concern the topic of our research.</w:t>
      </w:r>
    </w:p>
    <w:p>
      <w:pPr>
        <w:pStyle w:val="BodyText"/>
        <w:spacing w:line="273" w:lineRule="auto"/>
        <w:ind w:right="1910" w:firstLine="720"/>
      </w:pPr>
      <w:r>
        <w:rPr/>
        <w:t>The</w:t>
      </w:r>
      <w:r>
        <w:rPr>
          <w:spacing w:val="-3"/>
        </w:rPr>
        <w:t> </w:t>
      </w:r>
      <w:r>
        <w:rPr/>
        <w:t>re-visited</w:t>
      </w:r>
      <w:r>
        <w:rPr>
          <w:spacing w:val="-1"/>
        </w:rPr>
        <w:t> </w:t>
      </w:r>
      <w:r>
        <w:rPr/>
        <w:t>version</w:t>
      </w:r>
      <w:r>
        <w:rPr>
          <w:spacing w:val="-2"/>
        </w:rPr>
        <w:t> </w:t>
      </w:r>
      <w:r>
        <w:rPr/>
        <w:t>of</w:t>
      </w:r>
      <w:r>
        <w:rPr>
          <w:spacing w:val="-3"/>
        </w:rPr>
        <w:t> </w:t>
      </w:r>
      <w:r>
        <w:rPr/>
        <w:t>institutionalism</w:t>
      </w:r>
      <w:r>
        <w:rPr>
          <w:spacing w:val="-1"/>
        </w:rPr>
        <w:t> </w:t>
      </w:r>
      <w:r>
        <w:rPr/>
        <w:t>or new</w:t>
      </w:r>
      <w:r>
        <w:rPr>
          <w:spacing w:val="-2"/>
        </w:rPr>
        <w:t> </w:t>
      </w:r>
      <w:r>
        <w:rPr/>
        <w:t>institutionalism</w:t>
      </w:r>
      <w:r>
        <w:rPr>
          <w:spacing w:val="-4"/>
        </w:rPr>
        <w:t> </w:t>
      </w:r>
      <w:r>
        <w:rPr/>
        <w:t>was termed</w:t>
      </w:r>
      <w:r>
        <w:rPr>
          <w:spacing w:val="-4"/>
        </w:rPr>
        <w:t> </w:t>
      </w:r>
      <w:r>
        <w:rPr/>
        <w:t>by</w:t>
      </w:r>
      <w:r>
        <w:rPr>
          <w:spacing w:val="-3"/>
        </w:rPr>
        <w:t> </w:t>
      </w:r>
      <w:r>
        <w:rPr>
          <w:sz w:val="27"/>
        </w:rPr>
        <w:t>James</w:t>
      </w:r>
      <w:r>
        <w:rPr>
          <w:spacing w:val="-9"/>
          <w:sz w:val="27"/>
        </w:rPr>
        <w:t> </w:t>
      </w:r>
      <w:r>
        <w:rPr>
          <w:sz w:val="27"/>
        </w:rPr>
        <w:t>March</w:t>
      </w:r>
      <w:r>
        <w:rPr>
          <w:spacing w:val="-8"/>
          <w:sz w:val="27"/>
        </w:rPr>
        <w:t> </w:t>
      </w:r>
      <w:r>
        <w:rPr>
          <w:sz w:val="27"/>
        </w:rPr>
        <w:t>and</w:t>
      </w:r>
      <w:r>
        <w:rPr>
          <w:spacing w:val="-6"/>
          <w:sz w:val="27"/>
        </w:rPr>
        <w:t> </w:t>
      </w:r>
      <w:r>
        <w:rPr>
          <w:sz w:val="27"/>
        </w:rPr>
        <w:t>Johan</w:t>
      </w:r>
      <w:r>
        <w:rPr>
          <w:spacing w:val="-6"/>
          <w:sz w:val="27"/>
        </w:rPr>
        <w:t> </w:t>
      </w:r>
      <w:r>
        <w:rPr>
          <w:sz w:val="27"/>
        </w:rPr>
        <w:t>P.</w:t>
      </w:r>
      <w:r>
        <w:rPr>
          <w:spacing w:val="-5"/>
          <w:sz w:val="27"/>
        </w:rPr>
        <w:t> </w:t>
      </w:r>
      <w:r>
        <w:rPr>
          <w:sz w:val="27"/>
        </w:rPr>
        <w:t>Olsen</w:t>
      </w:r>
      <w:r>
        <w:rPr>
          <w:spacing w:val="-1"/>
          <w:sz w:val="27"/>
        </w:rPr>
        <w:t> </w:t>
      </w:r>
      <w:r>
        <w:rPr/>
        <w:t>(</w:t>
      </w:r>
      <w:hyperlink w:history="true" w:anchor="_bookmark277">
        <w:r>
          <w:rPr/>
          <w:t>1984</w:t>
        </w:r>
      </w:hyperlink>
      <w:r>
        <w:rPr/>
        <w:t>)</w:t>
      </w:r>
      <w:r>
        <w:rPr>
          <w:spacing w:val="-4"/>
        </w:rPr>
        <w:t> </w:t>
      </w:r>
      <w:r>
        <w:rPr/>
        <w:t>they</w:t>
      </w:r>
      <w:r>
        <w:rPr>
          <w:spacing w:val="-6"/>
        </w:rPr>
        <w:t> </w:t>
      </w:r>
      <w:r>
        <w:rPr/>
        <w:t>called</w:t>
      </w:r>
      <w:r>
        <w:rPr>
          <w:spacing w:val="-4"/>
        </w:rPr>
        <w:t> </w:t>
      </w:r>
      <w:r>
        <w:rPr/>
        <w:t>for</w:t>
      </w:r>
      <w:r>
        <w:rPr>
          <w:spacing w:val="-4"/>
        </w:rPr>
        <w:t> </w:t>
      </w:r>
      <w:r>
        <w:rPr/>
        <w:t>a</w:t>
      </w:r>
      <w:r>
        <w:rPr>
          <w:spacing w:val="-5"/>
        </w:rPr>
        <w:t> </w:t>
      </w:r>
      <w:r>
        <w:rPr/>
        <w:t>need</w:t>
      </w:r>
      <w:r>
        <w:rPr>
          <w:spacing w:val="-4"/>
        </w:rPr>
        <w:t> </w:t>
      </w:r>
      <w:r>
        <w:rPr/>
        <w:t>to change the outdated approaches with new ones. It did not mean that old works</w:t>
      </w:r>
      <w:r>
        <w:rPr>
          <w:spacing w:val="-2"/>
        </w:rPr>
        <w:t> </w:t>
      </w:r>
      <w:r>
        <w:rPr/>
        <w:t>had no</w:t>
      </w:r>
      <w:r>
        <w:rPr>
          <w:spacing w:val="-3"/>
        </w:rPr>
        <w:t> </w:t>
      </w:r>
      <w:r>
        <w:rPr/>
        <w:t>scientific value, or there were no</w:t>
      </w:r>
      <w:r>
        <w:rPr>
          <w:spacing w:val="-3"/>
        </w:rPr>
        <w:t> </w:t>
      </w:r>
      <w:r>
        <w:rPr/>
        <w:t>new works</w:t>
      </w:r>
      <w:r>
        <w:rPr>
          <w:spacing w:val="-2"/>
        </w:rPr>
        <w:t> </w:t>
      </w:r>
      <w:r>
        <w:rPr/>
        <w:t>produced in 80s, the idea was to create a new framework for theoretical analysis.</w:t>
      </w:r>
    </w:p>
    <w:p>
      <w:pPr>
        <w:pStyle w:val="BodyText"/>
        <w:spacing w:line="273" w:lineRule="auto" w:before="7"/>
        <w:ind w:right="1901" w:firstLine="720"/>
      </w:pPr>
      <w:r>
        <w:rPr/>
        <w:t>Rational choice institutionalism (RCI) was developed in the United States. The scientists were interested to find out the real impact of institutions on policy making. (</w:t>
      </w:r>
      <w:hyperlink w:history="true" w:anchor="_bookmark342">
        <w:r>
          <w:rPr/>
          <w:t>Mark A. Pollack, 2007, p. 2</w:t>
        </w:r>
      </w:hyperlink>
      <w:r>
        <w:rPr/>
        <w:t>) </w:t>
      </w:r>
      <w:r>
        <w:rPr>
          <w:sz w:val="27"/>
        </w:rPr>
        <w:t>Kenneth Shepsle</w:t>
      </w:r>
      <w:r>
        <w:rPr>
          <w:spacing w:val="-6"/>
          <w:sz w:val="27"/>
        </w:rPr>
        <w:t> </w:t>
      </w:r>
      <w:r>
        <w:rPr/>
        <w:t>was</w:t>
      </w:r>
      <w:r>
        <w:rPr>
          <w:spacing w:val="-7"/>
        </w:rPr>
        <w:t> </w:t>
      </w:r>
      <w:r>
        <w:rPr/>
        <w:t>a</w:t>
      </w:r>
      <w:r>
        <w:rPr>
          <w:spacing w:val="-5"/>
        </w:rPr>
        <w:t> </w:t>
      </w:r>
      <w:r>
        <w:rPr/>
        <w:t>key</w:t>
      </w:r>
      <w:r>
        <w:rPr>
          <w:spacing w:val="-5"/>
        </w:rPr>
        <w:t> </w:t>
      </w:r>
      <w:r>
        <w:rPr/>
        <w:t>figure</w:t>
      </w:r>
      <w:r>
        <w:rPr>
          <w:spacing w:val="-5"/>
        </w:rPr>
        <w:t> </w:t>
      </w:r>
      <w:r>
        <w:rPr/>
        <w:t>in</w:t>
      </w:r>
      <w:r>
        <w:rPr>
          <w:spacing w:val="-4"/>
        </w:rPr>
        <w:t> </w:t>
      </w:r>
      <w:r>
        <w:rPr/>
        <w:t>drawing</w:t>
      </w:r>
      <w:r>
        <w:rPr>
          <w:spacing w:val="-3"/>
        </w:rPr>
        <w:t> </w:t>
      </w:r>
      <w:r>
        <w:rPr/>
        <w:t>the</w:t>
      </w:r>
      <w:r>
        <w:rPr>
          <w:spacing w:val="-5"/>
        </w:rPr>
        <w:t> </w:t>
      </w:r>
      <w:r>
        <w:rPr/>
        <w:t>first</w:t>
      </w:r>
      <w:r>
        <w:rPr>
          <w:spacing w:val="-9"/>
        </w:rPr>
        <w:t> </w:t>
      </w:r>
      <w:r>
        <w:rPr/>
        <w:t>framework</w:t>
      </w:r>
      <w:r>
        <w:rPr>
          <w:spacing w:val="-4"/>
        </w:rPr>
        <w:t> </w:t>
      </w:r>
      <w:r>
        <w:rPr/>
        <w:t>for the</w:t>
      </w:r>
      <w:r>
        <w:rPr>
          <w:spacing w:val="-5"/>
        </w:rPr>
        <w:t> </w:t>
      </w:r>
      <w:r>
        <w:rPr/>
        <w:t>institutional research. While researching the decision-making processes in US Congress, he argued that institutions have ability to produce ‘structure-induced equilibrium.’ The concept of</w:t>
      </w:r>
      <w:r>
        <w:rPr>
          <w:spacing w:val="-1"/>
        </w:rPr>
        <w:t> </w:t>
      </w:r>
      <w:r>
        <w:rPr/>
        <w:t>equilibrium or institutional</w:t>
      </w:r>
      <w:r>
        <w:rPr>
          <w:spacing w:val="-3"/>
        </w:rPr>
        <w:t> </w:t>
      </w:r>
      <w:r>
        <w:rPr/>
        <w:t>stability was</w:t>
      </w:r>
      <w:r>
        <w:rPr>
          <w:spacing w:val="-2"/>
        </w:rPr>
        <w:t> </w:t>
      </w:r>
      <w:r>
        <w:rPr/>
        <w:t>at the center of next researches as well. </w:t>
      </w:r>
      <w:r>
        <w:rPr>
          <w:sz w:val="27"/>
        </w:rPr>
        <w:t>Shepsle </w:t>
      </w:r>
      <w:r>
        <w:rPr/>
        <w:t>and others saw the key role of institutions in stabilizing of the space for political bargains. Actors shape political institutions to maximize the effectiveness of communication, to achieve certain goals in mutually accepted manner.</w:t>
      </w:r>
    </w:p>
    <w:p>
      <w:pPr>
        <w:pStyle w:val="BodyText"/>
        <w:spacing w:line="271" w:lineRule="auto"/>
        <w:ind w:right="1908" w:firstLine="720"/>
      </w:pPr>
      <w:r>
        <w:rPr/>
        <w:t>Another key direction of RCI was developed in late 90s is known as “transaction cost” approach. In their seminal book, </w:t>
      </w:r>
      <w:r>
        <w:rPr>
          <w:sz w:val="27"/>
        </w:rPr>
        <w:t>Epstein </w:t>
      </w:r>
      <w:r>
        <w:rPr/>
        <w:t>and </w:t>
      </w:r>
      <w:r>
        <w:rPr>
          <w:sz w:val="27"/>
        </w:rPr>
        <w:t>O’Halloran </w:t>
      </w:r>
      <w:r>
        <w:rPr/>
        <w:t>argue</w:t>
      </w:r>
      <w:r>
        <w:rPr>
          <w:spacing w:val="62"/>
        </w:rPr>
        <w:t> </w:t>
      </w:r>
      <w:r>
        <w:rPr/>
        <w:t>that</w:t>
      </w:r>
      <w:r>
        <w:rPr>
          <w:spacing w:val="62"/>
        </w:rPr>
        <w:t> </w:t>
      </w:r>
      <w:r>
        <w:rPr/>
        <w:t>the</w:t>
      </w:r>
      <w:r>
        <w:rPr>
          <w:spacing w:val="62"/>
        </w:rPr>
        <w:t> </w:t>
      </w:r>
      <w:r>
        <w:rPr/>
        <w:t>actors</w:t>
      </w:r>
      <w:r>
        <w:rPr>
          <w:spacing w:val="59"/>
        </w:rPr>
        <w:t> </w:t>
      </w:r>
      <w:r>
        <w:rPr/>
        <w:t>develop</w:t>
      </w:r>
      <w:r>
        <w:rPr>
          <w:spacing w:val="65"/>
        </w:rPr>
        <w:t> </w:t>
      </w:r>
      <w:r>
        <w:rPr/>
        <w:t>institutions</w:t>
      </w:r>
      <w:r>
        <w:rPr>
          <w:spacing w:val="68"/>
        </w:rPr>
        <w:t> </w:t>
      </w:r>
      <w:r>
        <w:rPr/>
        <w:t>to</w:t>
      </w:r>
      <w:r>
        <w:rPr>
          <w:spacing w:val="59"/>
        </w:rPr>
        <w:t> </w:t>
      </w:r>
      <w:r>
        <w:rPr/>
        <w:t>reduce</w:t>
      </w:r>
      <w:r>
        <w:rPr>
          <w:spacing w:val="61"/>
        </w:rPr>
        <w:t> </w:t>
      </w:r>
      <w:r>
        <w:rPr/>
        <w:t>the</w:t>
      </w:r>
      <w:r>
        <w:rPr>
          <w:spacing w:val="62"/>
        </w:rPr>
        <w:t> </w:t>
      </w:r>
      <w:r>
        <w:rPr/>
        <w:t>costs</w:t>
      </w:r>
      <w:r>
        <w:rPr>
          <w:spacing w:val="64"/>
        </w:rPr>
        <w:t> </w:t>
      </w:r>
      <w:r>
        <w:rPr/>
        <w:t>of</w:t>
      </w:r>
      <w:r>
        <w:rPr>
          <w:spacing w:val="60"/>
        </w:rPr>
        <w:t> </w:t>
      </w:r>
      <w:r>
        <w:rPr/>
        <w:t>public</w:t>
      </w:r>
    </w:p>
    <w:p>
      <w:pPr>
        <w:pStyle w:val="BodyText"/>
        <w:spacing w:before="11"/>
        <w:ind w:left="0"/>
        <w:jc w:val="left"/>
        <w:rPr>
          <w:sz w:val="5"/>
        </w:rPr>
      </w:pPr>
      <w:r>
        <w:rPr>
          <w:sz w:val="5"/>
        </w:rPr>
        <mc:AlternateContent>
          <mc:Choice Requires="wps">
            <w:drawing>
              <wp:anchor distT="0" distB="0" distL="0" distR="0" allowOverlap="1" layoutInCell="1" locked="0" behindDoc="1" simplePos="0" relativeHeight="487625728">
                <wp:simplePos x="0" y="0"/>
                <wp:positionH relativeFrom="page">
                  <wp:posOffset>1079296</wp:posOffset>
                </wp:positionH>
                <wp:positionV relativeFrom="paragraph">
                  <wp:posOffset>64062</wp:posOffset>
                </wp:positionV>
                <wp:extent cx="1830070" cy="9525"/>
                <wp:effectExtent l="0" t="0" r="0" b="0"/>
                <wp:wrapTopAndBottom/>
                <wp:docPr id="90" name="Graphic 90"/>
                <wp:cNvGraphicFramePr>
                  <a:graphicFrameLocks/>
                </wp:cNvGraphicFramePr>
                <a:graphic>
                  <a:graphicData uri="http://schemas.microsoft.com/office/word/2010/wordprocessingShape">
                    <wps:wsp>
                      <wps:cNvPr id="90" name="Graphic 90"/>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5.044258pt;width:144.07pt;height:.72003pt;mso-position-horizontal-relative:page;mso-position-vertical-relative:paragraph;z-index:-15690752;mso-wrap-distance-left:0;mso-wrap-distance-right:0" id="docshape85" filled="true" fillcolor="#000000" stroked="false">
                <v:fill type="solid"/>
                <w10:wrap type="topAndBottom"/>
              </v:rect>
            </w:pict>
          </mc:Fallback>
        </mc:AlternateContent>
      </w:r>
    </w:p>
    <w:p>
      <w:pPr>
        <w:spacing w:before="103"/>
        <w:ind w:left="979" w:right="0" w:firstLine="0"/>
        <w:jc w:val="left"/>
        <w:rPr>
          <w:rFonts w:ascii="Calibri"/>
          <w:sz w:val="20"/>
        </w:rPr>
      </w:pPr>
      <w:r>
        <w:rPr>
          <w:rFonts w:ascii="Calibri"/>
          <w:sz w:val="20"/>
          <w:vertAlign w:val="superscript"/>
        </w:rPr>
        <w:t>17</w:t>
      </w:r>
      <w:r>
        <w:rPr>
          <w:rFonts w:ascii="Calibri"/>
          <w:sz w:val="20"/>
          <w:vertAlign w:val="baseline"/>
        </w:rPr>
        <w:t> In</w:t>
      </w:r>
      <w:r>
        <w:rPr>
          <w:rFonts w:ascii="Calibri"/>
          <w:spacing w:val="-6"/>
          <w:sz w:val="20"/>
          <w:vertAlign w:val="baseline"/>
        </w:rPr>
        <w:t> </w:t>
      </w:r>
      <w:r>
        <w:rPr>
          <w:rFonts w:ascii="Calibri"/>
          <w:sz w:val="20"/>
          <w:vertAlign w:val="baseline"/>
        </w:rPr>
        <w:t>the</w:t>
      </w:r>
      <w:r>
        <w:rPr>
          <w:rFonts w:ascii="Calibri"/>
          <w:spacing w:val="-7"/>
          <w:sz w:val="20"/>
          <w:vertAlign w:val="baseline"/>
        </w:rPr>
        <w:t> </w:t>
      </w:r>
      <w:r>
        <w:rPr>
          <w:rFonts w:ascii="Calibri"/>
          <w:sz w:val="20"/>
          <w:vertAlign w:val="baseline"/>
        </w:rPr>
        <w:t>studies</w:t>
      </w:r>
      <w:r>
        <w:rPr>
          <w:rFonts w:ascii="Calibri"/>
          <w:spacing w:val="-7"/>
          <w:sz w:val="20"/>
          <w:vertAlign w:val="baseline"/>
        </w:rPr>
        <w:t> </w:t>
      </w:r>
      <w:r>
        <w:rPr>
          <w:rFonts w:ascii="Calibri"/>
          <w:sz w:val="20"/>
          <w:vertAlign w:val="baseline"/>
        </w:rPr>
        <w:t>of</w:t>
      </w:r>
      <w:r>
        <w:rPr>
          <w:rFonts w:ascii="Calibri"/>
          <w:spacing w:val="-5"/>
          <w:sz w:val="20"/>
          <w:vertAlign w:val="baseline"/>
        </w:rPr>
        <w:t> </w:t>
      </w:r>
      <w:r>
        <w:rPr>
          <w:rFonts w:ascii="Calibri"/>
          <w:sz w:val="20"/>
          <w:vertAlign w:val="baseline"/>
        </w:rPr>
        <w:t>the</w:t>
      </w:r>
      <w:r>
        <w:rPr>
          <w:rFonts w:ascii="Calibri"/>
          <w:spacing w:val="-6"/>
          <w:sz w:val="20"/>
          <w:vertAlign w:val="baseline"/>
        </w:rPr>
        <w:t> </w:t>
      </w:r>
      <w:r>
        <w:rPr>
          <w:rFonts w:ascii="Calibri"/>
          <w:sz w:val="20"/>
          <w:vertAlign w:val="baseline"/>
        </w:rPr>
        <w:t>EU</w:t>
      </w:r>
      <w:r>
        <w:rPr>
          <w:rFonts w:ascii="Calibri"/>
          <w:spacing w:val="-2"/>
          <w:sz w:val="20"/>
          <w:vertAlign w:val="baseline"/>
        </w:rPr>
        <w:t> </w:t>
      </w:r>
      <w:r>
        <w:rPr>
          <w:rFonts w:ascii="Calibri"/>
          <w:sz w:val="20"/>
          <w:vertAlign w:val="baseline"/>
        </w:rPr>
        <w:t>three</w:t>
      </w:r>
      <w:r>
        <w:rPr>
          <w:rFonts w:ascii="Calibri"/>
          <w:spacing w:val="-10"/>
          <w:sz w:val="20"/>
          <w:vertAlign w:val="baseline"/>
        </w:rPr>
        <w:t> </w:t>
      </w:r>
      <w:r>
        <w:rPr>
          <w:rFonts w:ascii="Calibri"/>
          <w:sz w:val="20"/>
          <w:vertAlign w:val="baseline"/>
        </w:rPr>
        <w:t>main</w:t>
      </w:r>
      <w:r>
        <w:rPr>
          <w:rFonts w:ascii="Calibri"/>
          <w:spacing w:val="-6"/>
          <w:sz w:val="20"/>
          <w:vertAlign w:val="baseline"/>
        </w:rPr>
        <w:t> </w:t>
      </w:r>
      <w:r>
        <w:rPr>
          <w:rFonts w:ascii="Calibri"/>
          <w:sz w:val="20"/>
          <w:vertAlign w:val="baseline"/>
        </w:rPr>
        <w:t>institutionalisms</w:t>
      </w:r>
      <w:r>
        <w:rPr>
          <w:rFonts w:ascii="Calibri"/>
          <w:spacing w:val="-3"/>
          <w:sz w:val="20"/>
          <w:vertAlign w:val="baseline"/>
        </w:rPr>
        <w:t> </w:t>
      </w:r>
      <w:r>
        <w:rPr>
          <w:rFonts w:ascii="Calibri"/>
          <w:sz w:val="20"/>
          <w:vertAlign w:val="baseline"/>
        </w:rPr>
        <w:t>are</w:t>
      </w:r>
      <w:r>
        <w:rPr>
          <w:rFonts w:ascii="Calibri"/>
          <w:spacing w:val="-1"/>
          <w:sz w:val="20"/>
          <w:vertAlign w:val="baseline"/>
        </w:rPr>
        <w:t> </w:t>
      </w:r>
      <w:r>
        <w:rPr>
          <w:rFonts w:ascii="Calibri"/>
          <w:spacing w:val="-4"/>
          <w:sz w:val="20"/>
          <w:vertAlign w:val="baseline"/>
        </w:rPr>
        <w:t>used</w:t>
      </w:r>
    </w:p>
    <w:p>
      <w:pPr>
        <w:spacing w:after="0"/>
        <w:jc w:val="left"/>
        <w:rPr>
          <w:rFonts w:ascii="Calibri"/>
          <w:sz w:val="20"/>
        </w:rPr>
        <w:sectPr>
          <w:pgSz w:w="12240" w:h="15840"/>
          <w:pgMar w:header="1046" w:footer="0" w:top="1360" w:bottom="280" w:left="720" w:right="360"/>
        </w:sectPr>
      </w:pPr>
    </w:p>
    <w:p>
      <w:pPr>
        <w:pStyle w:val="BodyText"/>
        <w:spacing w:line="276" w:lineRule="auto" w:before="276"/>
        <w:ind w:right="1907"/>
      </w:pPr>
      <w:r>
        <w:rPr/>
        <w:t>policy making. (</w:t>
      </w:r>
      <w:hyperlink w:history="true" w:anchor="_bookmark179">
        <w:r>
          <w:rPr/>
          <w:t>Epstein &amp; O'Halloran, 1999</w:t>
        </w:r>
      </w:hyperlink>
      <w:r>
        <w:rPr/>
        <w:t>)The RCI is has a functionalist nature</w:t>
      </w:r>
      <w:r>
        <w:rPr>
          <w:spacing w:val="-3"/>
        </w:rPr>
        <w:t> </w:t>
      </w:r>
      <w:r>
        <w:rPr/>
        <w:t>because</w:t>
      </w:r>
      <w:r>
        <w:rPr>
          <w:spacing w:val="-3"/>
        </w:rPr>
        <w:t> </w:t>
      </w:r>
      <w:r>
        <w:rPr/>
        <w:t>according</w:t>
      </w:r>
      <w:r>
        <w:rPr>
          <w:spacing w:val="-3"/>
        </w:rPr>
        <w:t> </w:t>
      </w:r>
      <w:r>
        <w:rPr/>
        <w:t>to</w:t>
      </w:r>
      <w:r>
        <w:rPr>
          <w:spacing w:val="-5"/>
        </w:rPr>
        <w:t> </w:t>
      </w:r>
      <w:r>
        <w:rPr/>
        <w:t>the</w:t>
      </w:r>
      <w:r>
        <w:rPr>
          <w:spacing w:val="-3"/>
        </w:rPr>
        <w:t> </w:t>
      </w:r>
      <w:r>
        <w:rPr/>
        <w:t>theory</w:t>
      </w:r>
      <w:r>
        <w:rPr>
          <w:spacing w:val="-3"/>
        </w:rPr>
        <w:t> </w:t>
      </w:r>
      <w:r>
        <w:rPr/>
        <w:t>institutions</w:t>
      </w:r>
      <w:r>
        <w:rPr>
          <w:spacing w:val="-4"/>
        </w:rPr>
        <w:t> </w:t>
      </w:r>
      <w:r>
        <w:rPr/>
        <w:t>are</w:t>
      </w:r>
      <w:r>
        <w:rPr>
          <w:spacing w:val="-3"/>
        </w:rPr>
        <w:t> </w:t>
      </w:r>
      <w:r>
        <w:rPr/>
        <w:t>built</w:t>
      </w:r>
      <w:r>
        <w:rPr>
          <w:spacing w:val="-3"/>
        </w:rPr>
        <w:t> </w:t>
      </w:r>
      <w:r>
        <w:rPr/>
        <w:t>and</w:t>
      </w:r>
      <w:r>
        <w:rPr>
          <w:spacing w:val="-1"/>
        </w:rPr>
        <w:t> </w:t>
      </w:r>
      <w:r>
        <w:rPr/>
        <w:t>maintained to serve for some purpose and fulfill the functions they are intended to fulfill. The main tenant of the approach is that “institutions solve many of the collective problems that legislatures habitually confront.” (</w:t>
      </w:r>
      <w:hyperlink w:history="true" w:anchor="_bookmark206">
        <w:r>
          <w:rPr/>
          <w:t>Hall &amp;</w:t>
        </w:r>
      </w:hyperlink>
      <w:r>
        <w:rPr/>
        <w:t> </w:t>
      </w:r>
      <w:hyperlink w:history="true" w:anchor="_bookmark206">
        <w:r>
          <w:rPr/>
          <w:t>Taylor, 1996</w:t>
        </w:r>
      </w:hyperlink>
      <w:r>
        <w:rPr/>
        <w:t>)</w:t>
      </w:r>
    </w:p>
    <w:p>
      <w:pPr>
        <w:pStyle w:val="BodyText"/>
        <w:spacing w:line="276" w:lineRule="auto"/>
        <w:ind w:right="1907" w:firstLine="720"/>
      </w:pPr>
      <w:r>
        <w:rPr/>
        <w:t>Historical institutionalism (HI) differs from the RCI. The HI examines</w:t>
      </w:r>
      <w:r>
        <w:rPr>
          <w:spacing w:val="-5"/>
        </w:rPr>
        <w:t> </w:t>
      </w:r>
      <w:r>
        <w:rPr/>
        <w:t>the</w:t>
      </w:r>
      <w:r>
        <w:rPr>
          <w:spacing w:val="-3"/>
        </w:rPr>
        <w:t> </w:t>
      </w:r>
      <w:r>
        <w:rPr/>
        <w:t>effects</w:t>
      </w:r>
      <w:r>
        <w:rPr>
          <w:spacing w:val="-5"/>
        </w:rPr>
        <w:t> </w:t>
      </w:r>
      <w:r>
        <w:rPr/>
        <w:t>of</w:t>
      </w:r>
      <w:r>
        <w:rPr>
          <w:spacing w:val="-4"/>
        </w:rPr>
        <w:t> </w:t>
      </w:r>
      <w:r>
        <w:rPr/>
        <w:t>the</w:t>
      </w:r>
      <w:r>
        <w:rPr>
          <w:spacing w:val="-3"/>
        </w:rPr>
        <w:t> </w:t>
      </w:r>
      <w:r>
        <w:rPr/>
        <w:t>institutions over</w:t>
      </w:r>
      <w:r>
        <w:rPr>
          <w:spacing w:val="-2"/>
        </w:rPr>
        <w:t> </w:t>
      </w:r>
      <w:r>
        <w:rPr/>
        <w:t>time. (</w:t>
      </w:r>
      <w:hyperlink w:history="true" w:anchor="_bookmark342">
        <w:r>
          <w:rPr/>
          <w:t>Mark</w:t>
        </w:r>
        <w:r>
          <w:rPr>
            <w:spacing w:val="-2"/>
          </w:rPr>
          <w:t> </w:t>
        </w:r>
        <w:r>
          <w:rPr/>
          <w:t>A.</w:t>
        </w:r>
        <w:r>
          <w:rPr>
            <w:spacing w:val="-6"/>
          </w:rPr>
          <w:t> </w:t>
        </w:r>
        <w:r>
          <w:rPr/>
          <w:t>Pollack,</w:t>
        </w:r>
        <w:r>
          <w:rPr>
            <w:spacing w:val="-2"/>
          </w:rPr>
          <w:t> </w:t>
        </w:r>
        <w:r>
          <w:rPr/>
          <w:t>2007,</w:t>
        </w:r>
        <w:r>
          <w:rPr>
            <w:spacing w:val="-2"/>
          </w:rPr>
          <w:t> </w:t>
        </w:r>
        <w:r>
          <w:rPr/>
          <w:t>p.</w:t>
        </w:r>
      </w:hyperlink>
      <w:r>
        <w:rPr/>
        <w:t> </w:t>
      </w:r>
      <w:hyperlink w:history="true" w:anchor="_bookmark342">
        <w:r>
          <w:rPr/>
          <w:t>4</w:t>
        </w:r>
      </w:hyperlink>
      <w:r>
        <w:rPr/>
        <w:t>) Institutions which served for some purpose in the past might remain active due to</w:t>
      </w:r>
      <w:r>
        <w:rPr>
          <w:spacing w:val="-1"/>
        </w:rPr>
        <w:t> </w:t>
      </w:r>
      <w:r>
        <w:rPr/>
        <w:t>their ability to</w:t>
      </w:r>
      <w:r>
        <w:rPr>
          <w:spacing w:val="-1"/>
        </w:rPr>
        <w:t> </w:t>
      </w:r>
      <w:r>
        <w:rPr/>
        <w:t>maintain the certain invariant structure. When the institutions “lock in” they affect not only own functionality but they shape actors around them and predict the outcomes prompted in the past. Institutions as argued can be “sticky” due to</w:t>
      </w:r>
      <w:r>
        <w:rPr>
          <w:spacing w:val="-1"/>
        </w:rPr>
        <w:t> </w:t>
      </w:r>
      <w:r>
        <w:rPr/>
        <w:t>the commitment their builders put in them. Usually legislation and the costs of abolishing the existing orgaizations serve</w:t>
      </w:r>
      <w:r>
        <w:rPr>
          <w:spacing w:val="-1"/>
        </w:rPr>
        <w:t> </w:t>
      </w:r>
      <w:r>
        <w:rPr/>
        <w:t>as obstacles</w:t>
      </w:r>
      <w:r>
        <w:rPr>
          <w:spacing w:val="-2"/>
        </w:rPr>
        <w:t> </w:t>
      </w:r>
      <w:r>
        <w:rPr/>
        <w:t>to</w:t>
      </w:r>
      <w:r>
        <w:rPr>
          <w:spacing w:val="-3"/>
        </w:rPr>
        <w:t> </w:t>
      </w:r>
      <w:r>
        <w:rPr/>
        <w:t>reform</w:t>
      </w:r>
      <w:r>
        <w:rPr>
          <w:spacing w:val="-2"/>
        </w:rPr>
        <w:t> </w:t>
      </w:r>
      <w:r>
        <w:rPr/>
        <w:t>the system.</w:t>
      </w:r>
      <w:r>
        <w:rPr>
          <w:spacing w:val="40"/>
        </w:rPr>
        <w:t> </w:t>
      </w:r>
      <w:r>
        <w:rPr/>
        <w:t>The ‘path</w:t>
      </w:r>
      <w:r>
        <w:rPr>
          <w:spacing w:val="-1"/>
        </w:rPr>
        <w:t> </w:t>
      </w:r>
      <w:r>
        <w:rPr/>
        <w:t>dependency’ which</w:t>
      </w:r>
      <w:r>
        <w:rPr>
          <w:spacing w:val="-3"/>
        </w:rPr>
        <w:t> </w:t>
      </w:r>
      <w:r>
        <w:rPr/>
        <w:t>the</w:t>
      </w:r>
      <w:r>
        <w:rPr>
          <w:spacing w:val="-3"/>
        </w:rPr>
        <w:t> </w:t>
      </w:r>
      <w:r>
        <w:rPr/>
        <w:t>actors</w:t>
      </w:r>
      <w:r>
        <w:rPr>
          <w:spacing w:val="-5"/>
        </w:rPr>
        <w:t> </w:t>
      </w:r>
      <w:r>
        <w:rPr/>
        <w:t>create</w:t>
      </w:r>
      <w:r>
        <w:rPr>
          <w:spacing w:val="-8"/>
        </w:rPr>
        <w:t> </w:t>
      </w:r>
      <w:r>
        <w:rPr/>
        <w:t>with</w:t>
      </w:r>
      <w:r>
        <w:rPr>
          <w:spacing w:val="-3"/>
        </w:rPr>
        <w:t> </w:t>
      </w:r>
      <w:r>
        <w:rPr/>
        <w:t>building</w:t>
      </w:r>
      <w:r>
        <w:rPr>
          <w:spacing w:val="-3"/>
        </w:rPr>
        <w:t> </w:t>
      </w:r>
      <w:r>
        <w:rPr/>
        <w:t>the</w:t>
      </w:r>
      <w:r>
        <w:rPr>
          <w:spacing w:val="-3"/>
        </w:rPr>
        <w:t> </w:t>
      </w:r>
      <w:r>
        <w:rPr/>
        <w:t>institutions,</w:t>
      </w:r>
      <w:r>
        <w:rPr>
          <w:spacing w:val="-2"/>
        </w:rPr>
        <w:t> </w:t>
      </w:r>
      <w:r>
        <w:rPr/>
        <w:t>or</w:t>
      </w:r>
      <w:r>
        <w:rPr>
          <w:spacing w:val="-2"/>
        </w:rPr>
        <w:t> </w:t>
      </w:r>
      <w:r>
        <w:rPr/>
        <w:t>accepting</w:t>
      </w:r>
      <w:r>
        <w:rPr>
          <w:spacing w:val="-3"/>
        </w:rPr>
        <w:t> </w:t>
      </w:r>
      <w:r>
        <w:rPr/>
        <w:t>the</w:t>
      </w:r>
      <w:r>
        <w:rPr>
          <w:spacing w:val="-3"/>
        </w:rPr>
        <w:t> </w:t>
      </w:r>
      <w:r>
        <w:rPr/>
        <w:t>rules produced by those institutions, can be decisive in positioning the public organizations in historical perspective. (</w:t>
      </w:r>
      <w:hyperlink w:history="true" w:anchor="_bookmark246">
        <w:r>
          <w:rPr/>
          <w:t>Krasner, 1984, p. 225</w:t>
        </w:r>
      </w:hyperlink>
      <w:r>
        <w:rPr/>
        <w:t>) Even if the work which is done by the institutions is acknowledged as inefficient it might be hard to replace them with new structures. Political actors who have a limited political lifespan do not want to introduce the uncertainties in agreed political life.</w:t>
      </w:r>
    </w:p>
    <w:p>
      <w:pPr>
        <w:pStyle w:val="BodyText"/>
        <w:spacing w:line="276" w:lineRule="auto"/>
        <w:ind w:right="1905" w:firstLine="720"/>
      </w:pPr>
      <w:r>
        <w:rPr/>
        <w:t>The sociological institutionalism (SI) brings the norms and conventions as additions to the formal institutional arrangement. The SI stresses on importance of institutions on shaping the actors’ worldviews. According to the approach, individuals act not by rendering</w:t>
      </w:r>
      <w:r>
        <w:rPr>
          <w:spacing w:val="40"/>
        </w:rPr>
        <w:t> </w:t>
      </w:r>
      <w:r>
        <w:rPr/>
        <w:t>the rational choice</w:t>
      </w:r>
      <w:r>
        <w:rPr>
          <w:spacing w:val="-2"/>
        </w:rPr>
        <w:t> </w:t>
      </w:r>
      <w:r>
        <w:rPr/>
        <w:t>paradigm, but</w:t>
      </w:r>
      <w:r>
        <w:rPr>
          <w:spacing w:val="-2"/>
        </w:rPr>
        <w:t> </w:t>
      </w:r>
      <w:r>
        <w:rPr/>
        <w:t>rather</w:t>
      </w:r>
      <w:r>
        <w:rPr>
          <w:spacing w:val="-1"/>
        </w:rPr>
        <w:t> </w:t>
      </w:r>
      <w:r>
        <w:rPr/>
        <w:t>with</w:t>
      </w:r>
      <w:r>
        <w:rPr>
          <w:spacing w:val="-2"/>
        </w:rPr>
        <w:t> </w:t>
      </w:r>
      <w:r>
        <w:rPr/>
        <w:t>the</w:t>
      </w:r>
      <w:r>
        <w:rPr>
          <w:spacing w:val="-2"/>
        </w:rPr>
        <w:t> </w:t>
      </w:r>
      <w:r>
        <w:rPr/>
        <w:t>‘logic of</w:t>
      </w:r>
      <w:r>
        <w:rPr>
          <w:spacing w:val="-3"/>
        </w:rPr>
        <w:t> </w:t>
      </w:r>
      <w:r>
        <w:rPr/>
        <w:t>appropriateness.’</w:t>
      </w:r>
      <w:r>
        <w:rPr>
          <w:spacing w:val="-3"/>
        </w:rPr>
        <w:t> </w:t>
      </w:r>
      <w:r>
        <w:rPr/>
        <w:t>In</w:t>
      </w:r>
      <w:r>
        <w:rPr>
          <w:spacing w:val="-1"/>
        </w:rPr>
        <w:t> </w:t>
      </w:r>
      <w:r>
        <w:rPr/>
        <w:t>the</w:t>
      </w:r>
      <w:r>
        <w:rPr>
          <w:spacing w:val="-2"/>
        </w:rPr>
        <w:t> </w:t>
      </w:r>
      <w:r>
        <w:rPr/>
        <w:t>latter, the institutional environment creates paths for political behavior. SI can be considered as a constructivist approach to institutions.</w:t>
      </w:r>
    </w:p>
    <w:p>
      <w:pPr>
        <w:pStyle w:val="BodyText"/>
        <w:spacing w:line="271" w:lineRule="auto" w:before="4"/>
        <w:ind w:right="1907" w:firstLine="720"/>
      </w:pPr>
      <w:r>
        <w:rPr/>
        <w:t>The institutionalisms were applied to the European integration, from late 80s when </w:t>
      </w:r>
      <w:r>
        <w:rPr>
          <w:sz w:val="27"/>
        </w:rPr>
        <w:t>Fritz Sharpf</w:t>
      </w:r>
      <w:r>
        <w:rPr>
          <w:spacing w:val="40"/>
          <w:sz w:val="27"/>
        </w:rPr>
        <w:t> </w:t>
      </w:r>
      <w:r>
        <w:rPr/>
        <w:t>pioneered with his work on ‘joint-decision traps.’(</w:t>
      </w:r>
      <w:hyperlink w:history="true" w:anchor="_bookmark342">
        <w:r>
          <w:rPr/>
          <w:t>Mark</w:t>
        </w:r>
        <w:r>
          <w:rPr>
            <w:spacing w:val="34"/>
          </w:rPr>
          <w:t> </w:t>
        </w:r>
        <w:r>
          <w:rPr/>
          <w:t>A.</w:t>
        </w:r>
        <w:r>
          <w:rPr>
            <w:spacing w:val="30"/>
          </w:rPr>
          <w:t> </w:t>
        </w:r>
        <w:r>
          <w:rPr/>
          <w:t>Pollack,</w:t>
        </w:r>
        <w:r>
          <w:rPr>
            <w:spacing w:val="35"/>
          </w:rPr>
          <w:t> </w:t>
        </w:r>
        <w:r>
          <w:rPr/>
          <w:t>2007,</w:t>
        </w:r>
        <w:r>
          <w:rPr>
            <w:spacing w:val="35"/>
          </w:rPr>
          <w:t> </w:t>
        </w:r>
        <w:r>
          <w:rPr/>
          <w:t>p.</w:t>
        </w:r>
        <w:r>
          <w:rPr>
            <w:spacing w:val="36"/>
          </w:rPr>
          <w:t> </w:t>
        </w:r>
        <w:r>
          <w:rPr/>
          <w:t>129</w:t>
        </w:r>
      </w:hyperlink>
      <w:r>
        <w:rPr/>
        <w:t>)</w:t>
      </w:r>
      <w:r>
        <w:rPr>
          <w:spacing w:val="30"/>
        </w:rPr>
        <w:t> </w:t>
      </w:r>
      <w:r>
        <w:rPr/>
        <w:t>The</w:t>
      </w:r>
      <w:r>
        <w:rPr>
          <w:spacing w:val="30"/>
        </w:rPr>
        <w:t> </w:t>
      </w:r>
      <w:r>
        <w:rPr/>
        <w:t>work</w:t>
      </w:r>
      <w:r>
        <w:rPr>
          <w:spacing w:val="34"/>
        </w:rPr>
        <w:t> </w:t>
      </w:r>
      <w:r>
        <w:rPr/>
        <w:t>was</w:t>
      </w:r>
      <w:r>
        <w:rPr>
          <w:spacing w:val="31"/>
        </w:rPr>
        <w:t> </w:t>
      </w:r>
      <w:r>
        <w:rPr/>
        <w:t>reconsidered</w:t>
      </w:r>
      <w:r>
        <w:rPr>
          <w:spacing w:val="31"/>
        </w:rPr>
        <w:t> </w:t>
      </w:r>
      <w:r>
        <w:rPr/>
        <w:t>by</w:t>
      </w:r>
      <w:r>
        <w:rPr>
          <w:spacing w:val="33"/>
        </w:rPr>
        <w:t> </w:t>
      </w:r>
      <w:r>
        <w:rPr>
          <w:spacing w:val="-5"/>
        </w:rPr>
        <w:t>the</w:t>
      </w:r>
    </w:p>
    <w:p>
      <w:pPr>
        <w:pStyle w:val="BodyText"/>
        <w:spacing w:after="0" w:line="271" w:lineRule="auto"/>
        <w:sectPr>
          <w:pgSz w:w="12240" w:h="15840"/>
          <w:pgMar w:header="1046" w:footer="0" w:top="1360" w:bottom="280" w:left="720" w:right="360"/>
        </w:sectPr>
      </w:pPr>
    </w:p>
    <w:p>
      <w:pPr>
        <w:pStyle w:val="BodyText"/>
        <w:spacing w:line="276" w:lineRule="auto" w:before="276"/>
        <w:ind w:right="1908"/>
      </w:pPr>
      <w:r>
        <w:rPr/>
        <w:t>author, but the metaphor [joint decision trap] remains quite popular among scholars. The original idea claims that in federal or other multi-level</w:t>
      </w:r>
      <w:r>
        <w:rPr>
          <w:spacing w:val="40"/>
        </w:rPr>
        <w:t> </w:t>
      </w:r>
      <w:r>
        <w:rPr/>
        <w:t>settings changing the status quo is hard, due to the ability of actors to veto the proposals.</w:t>
      </w:r>
    </w:p>
    <w:p>
      <w:pPr>
        <w:pStyle w:val="BodyText"/>
        <w:spacing w:before="51"/>
        <w:ind w:left="0"/>
        <w:jc w:val="left"/>
      </w:pPr>
    </w:p>
    <w:p>
      <w:pPr>
        <w:pStyle w:val="BodyText"/>
        <w:spacing w:line="276" w:lineRule="auto"/>
        <w:ind w:left="2420" w:right="1911"/>
      </w:pPr>
      <w:r>
        <w:rPr/>
        <mc:AlternateContent>
          <mc:Choice Requires="wps">
            <w:drawing>
              <wp:anchor distT="0" distB="0" distL="0" distR="0" allowOverlap="1" layoutInCell="1" locked="0" behindDoc="0" simplePos="0" relativeHeight="15767040">
                <wp:simplePos x="0" y="0"/>
                <wp:positionH relativeFrom="page">
                  <wp:posOffset>1923923</wp:posOffset>
                </wp:positionH>
                <wp:positionV relativeFrom="paragraph">
                  <wp:posOffset>-1047</wp:posOffset>
                </wp:positionV>
                <wp:extent cx="1270" cy="1000125"/>
                <wp:effectExtent l="0" t="0" r="0" b="0"/>
                <wp:wrapNone/>
                <wp:docPr id="91" name="Graphic 91"/>
                <wp:cNvGraphicFramePr>
                  <a:graphicFrameLocks/>
                </wp:cNvGraphicFramePr>
                <a:graphic>
                  <a:graphicData uri="http://schemas.microsoft.com/office/word/2010/wordprocessingShape">
                    <wps:wsp>
                      <wps:cNvPr id="91" name="Graphic 91"/>
                      <wps:cNvSpPr/>
                      <wps:spPr>
                        <a:xfrm>
                          <a:off x="0" y="0"/>
                          <a:ext cx="1270" cy="1000125"/>
                        </a:xfrm>
                        <a:custGeom>
                          <a:avLst/>
                          <a:gdLst/>
                          <a:ahLst/>
                          <a:cxnLst/>
                          <a:rect l="l" t="t" r="r" b="b"/>
                          <a:pathLst>
                            <a:path w="0" h="1000125">
                              <a:moveTo>
                                <a:pt x="0" y="0"/>
                              </a:moveTo>
                              <a:lnTo>
                                <a:pt x="0" y="249936"/>
                              </a:lnTo>
                            </a:path>
                            <a:path w="0" h="1000125">
                              <a:moveTo>
                                <a:pt x="0" y="249936"/>
                              </a:moveTo>
                              <a:lnTo>
                                <a:pt x="0" y="500125"/>
                              </a:lnTo>
                            </a:path>
                            <a:path w="0" h="1000125">
                              <a:moveTo>
                                <a:pt x="0" y="500125"/>
                              </a:moveTo>
                              <a:lnTo>
                                <a:pt x="0" y="750062"/>
                              </a:lnTo>
                            </a:path>
                            <a:path w="0" h="1000125">
                              <a:moveTo>
                                <a:pt x="0" y="750062"/>
                              </a:moveTo>
                              <a:lnTo>
                                <a:pt x="0" y="999998"/>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825pt;width:.1pt;height:78.75pt;mso-position-horizontal-relative:page;mso-position-vertical-relative:paragraph;z-index:15767040" id="docshape86" coordorigin="3030,-2" coordsize="0,1575" path="m3030,-2l3030,392m3030,392l3030,786m3030,786l3030,1180m3030,1180l3030,1573e" filled="false" stroked="true" strokeweight=".48pt" strokecolor="#000000">
                <v:path arrowok="t"/>
                <v:stroke dashstyle="shortdash"/>
                <w10:wrap type="none"/>
              </v:shape>
            </w:pict>
          </mc:Fallback>
        </mc:AlternateContent>
      </w:r>
      <w:r>
        <w:rPr/>
        <w:t>“In order to prevent decisions violating their own preferences, they [EU member Governments] will insist on unanimity or qualiﬁed majority voting even though the outcomes are likely to be inefﬁcient from a problem-solving perspective.”</w:t>
      </w:r>
    </w:p>
    <w:p>
      <w:pPr>
        <w:pStyle w:val="BodyText"/>
        <w:spacing w:line="342" w:lineRule="exact"/>
        <w:ind w:left="1700" w:firstLine="5041"/>
      </w:pPr>
      <w:r>
        <w:rPr/>
        <w:t>(</w:t>
      </w:r>
      <w:hyperlink w:history="true" w:anchor="_bookmark372">
        <w:r>
          <w:rPr/>
          <w:t>Scharpf,</w:t>
        </w:r>
        <w:r>
          <w:rPr>
            <w:spacing w:val="-4"/>
          </w:rPr>
          <w:t> </w:t>
        </w:r>
        <w:r>
          <w:rPr/>
          <w:t>2006,</w:t>
        </w:r>
        <w:r>
          <w:rPr>
            <w:spacing w:val="-7"/>
          </w:rPr>
          <w:t> </w:t>
        </w:r>
        <w:r>
          <w:rPr/>
          <w:t>p.</w:t>
        </w:r>
        <w:r>
          <w:rPr>
            <w:spacing w:val="-3"/>
          </w:rPr>
          <w:t> </w:t>
        </w:r>
        <w:r>
          <w:rPr>
            <w:spacing w:val="-4"/>
          </w:rPr>
          <w:t>849</w:t>
        </w:r>
      </w:hyperlink>
      <w:r>
        <w:rPr>
          <w:spacing w:val="-4"/>
        </w:rPr>
        <w:t>)</w:t>
      </w:r>
    </w:p>
    <w:p>
      <w:pPr>
        <w:pStyle w:val="BodyText"/>
        <w:spacing w:line="276" w:lineRule="auto" w:before="51"/>
        <w:ind w:right="1919" w:firstLine="720"/>
      </w:pPr>
      <w:r>
        <w:rPr/>
        <w:t>RCI has covered, legislative politics, executive politics and judicial politics in the EU.</w:t>
      </w:r>
    </w:p>
    <w:p>
      <w:pPr>
        <w:pStyle w:val="BodyText"/>
        <w:spacing w:line="273" w:lineRule="auto" w:before="1"/>
        <w:ind w:right="1903" w:firstLine="720"/>
      </w:pPr>
      <w:r>
        <w:rPr/>
        <w:t>‘the best developed strand’ of RCI in studies of the EU is focuses on legislative processes. (</w:t>
      </w:r>
      <w:hyperlink w:history="true" w:anchor="_bookmark341">
        <w:r>
          <w:rPr/>
          <w:t>Mark A. Pollack, 2006, p. 37</w:t>
        </w:r>
      </w:hyperlink>
      <w:r>
        <w:rPr/>
        <w:t>) </w:t>
      </w:r>
      <w:r>
        <w:rPr>
          <w:sz w:val="27"/>
        </w:rPr>
        <w:t>Simon Hix </w:t>
      </w:r>
      <w:r>
        <w:rPr/>
        <w:t>and others conducted a comprehensive research in order to find out, on what basis do the parties in the European Parliament compete with each other?</w:t>
      </w:r>
      <w:r>
        <w:rPr>
          <w:spacing w:val="80"/>
        </w:rPr>
        <w:t> </w:t>
      </w:r>
      <w:r>
        <w:rPr/>
        <w:t>The</w:t>
      </w:r>
      <w:r>
        <w:rPr>
          <w:spacing w:val="40"/>
        </w:rPr>
        <w:t> </w:t>
      </w:r>
      <w:r>
        <w:rPr/>
        <w:t>study has shown that the process of voting in EP follows a “pattern of most democratic parliaments of minimum-winning majorities against minimum- losing-oppositions.” Ideological (left-right) rather than national divide was ascertained as a main force for the competition among the party groups. (</w:t>
      </w:r>
      <w:hyperlink w:history="true" w:anchor="_bookmark223">
        <w:r>
          <w:rPr/>
          <w:t>S.</w:t>
        </w:r>
      </w:hyperlink>
      <w:r>
        <w:rPr/>
        <w:t> </w:t>
      </w:r>
      <w:hyperlink w:history="true" w:anchor="_bookmark223">
        <w:r>
          <w:rPr/>
          <w:t>N. Hix, Abdul; R, Gerard. , 2002, pp. 25-26</w:t>
        </w:r>
      </w:hyperlink>
      <w:r>
        <w:rPr/>
        <w:t>). Similar conclusions were drawn by </w:t>
      </w:r>
      <w:r>
        <w:rPr>
          <w:sz w:val="27"/>
        </w:rPr>
        <w:t>George Tsebelis</w:t>
      </w:r>
      <w:r>
        <w:rPr>
          <w:spacing w:val="40"/>
          <w:sz w:val="27"/>
        </w:rPr>
        <w:t> </w:t>
      </w:r>
      <w:r>
        <w:rPr/>
        <w:t>and </w:t>
      </w:r>
      <w:r>
        <w:rPr>
          <w:sz w:val="27"/>
        </w:rPr>
        <w:t>Ammie Kreppel </w:t>
      </w:r>
      <w:r>
        <w:rPr/>
        <w:t>the authors argue that the party vote in EP depends on the ideological preferences, but within the same ideological groups</w:t>
      </w:r>
      <w:r>
        <w:rPr>
          <w:spacing w:val="-2"/>
        </w:rPr>
        <w:t> </w:t>
      </w:r>
      <w:r>
        <w:rPr/>
        <w:t>“different nationalities</w:t>
      </w:r>
      <w:r>
        <w:rPr>
          <w:spacing w:val="-2"/>
        </w:rPr>
        <w:t> </w:t>
      </w:r>
      <w:r>
        <w:rPr/>
        <w:t>not only have different rates of participation but also sometimes vote against each other.” (</w:t>
      </w:r>
      <w:hyperlink w:history="true" w:anchor="_bookmark249">
        <w:r>
          <w:rPr/>
          <w:t>Kreppel &amp;</w:t>
        </w:r>
      </w:hyperlink>
      <w:r>
        <w:rPr/>
        <w:t> </w:t>
      </w:r>
      <w:hyperlink w:history="true" w:anchor="_bookmark249">
        <w:r>
          <w:rPr/>
          <w:t>Tsabelis, 1999, p. 961</w:t>
        </w:r>
      </w:hyperlink>
      <w:r>
        <w:rPr/>
        <w:t>)</w:t>
      </w:r>
    </w:p>
    <w:p>
      <w:pPr>
        <w:pStyle w:val="BodyText"/>
        <w:spacing w:line="273" w:lineRule="auto" w:before="12"/>
        <w:ind w:right="1908" w:firstLine="720"/>
      </w:pPr>
      <w:r>
        <w:rPr>
          <w:sz w:val="27"/>
        </w:rPr>
        <w:t>George Tsebelis</w:t>
      </w:r>
      <w:r>
        <w:rPr>
          <w:spacing w:val="40"/>
          <w:sz w:val="27"/>
        </w:rPr>
        <w:t> </w:t>
      </w:r>
      <w:r>
        <w:rPr/>
        <w:t>and </w:t>
      </w:r>
      <w:r>
        <w:rPr>
          <w:sz w:val="27"/>
        </w:rPr>
        <w:t>Geoffrey Garrett </w:t>
      </w:r>
      <w:r>
        <w:rPr/>
        <w:t>(</w:t>
      </w:r>
      <w:hyperlink w:history="true" w:anchor="_bookmark414">
        <w:r>
          <w:rPr/>
          <w:t>2000</w:t>
        </w:r>
      </w:hyperlink>
      <w:r>
        <w:rPr/>
        <w:t>) did a comprehensive analysis of EU legislative dynamics. The work confirms the deepening of</w:t>
      </w:r>
      <w:r>
        <w:rPr>
          <w:spacing w:val="40"/>
        </w:rPr>
        <w:t> </w:t>
      </w:r>
      <w:r>
        <w:rPr/>
        <w:t>the democratic procedures in the EU after the </w:t>
      </w:r>
      <w:r>
        <w:rPr>
          <w:sz w:val="27"/>
        </w:rPr>
        <w:t>Amsterdam treaty</w:t>
      </w:r>
      <w:r>
        <w:rPr/>
        <w:t>. Empowering the parliament which is a ‘pro-integrationist entrepreneur’ could mean the ensuring the advancing the integrationist agenda, but simultaneously,</w:t>
      </w:r>
      <w:r>
        <w:rPr>
          <w:spacing w:val="70"/>
        </w:rPr>
        <w:t> </w:t>
      </w:r>
      <w:r>
        <w:rPr/>
        <w:t>reducing</w:t>
      </w:r>
      <w:r>
        <w:rPr>
          <w:spacing w:val="40"/>
        </w:rPr>
        <w:t> </w:t>
      </w:r>
      <w:r>
        <w:rPr/>
        <w:t>the</w:t>
      </w:r>
      <w:r>
        <w:rPr>
          <w:spacing w:val="40"/>
        </w:rPr>
        <w:t> </w:t>
      </w:r>
      <w:r>
        <w:rPr/>
        <w:t>democratic</w:t>
      </w:r>
      <w:r>
        <w:rPr>
          <w:spacing w:val="76"/>
        </w:rPr>
        <w:t> </w:t>
      </w:r>
      <w:r>
        <w:rPr/>
        <w:t>deficit,</w:t>
      </w:r>
      <w:r>
        <w:rPr>
          <w:spacing w:val="70"/>
        </w:rPr>
        <w:t> </w:t>
      </w:r>
      <w:r>
        <w:rPr/>
        <w:t>with</w:t>
      </w:r>
      <w:r>
        <w:rPr>
          <w:spacing w:val="40"/>
        </w:rPr>
        <w:t> </w:t>
      </w:r>
      <w:r>
        <w:rPr/>
        <w:t>increasing</w:t>
      </w:r>
      <w:r>
        <w:rPr>
          <w:spacing w:val="40"/>
        </w:rPr>
        <w:t> </w:t>
      </w:r>
      <w:r>
        <w:rPr/>
        <w:t>MEPs’</w:t>
      </w:r>
    </w:p>
    <w:p>
      <w:pPr>
        <w:pStyle w:val="BodyText"/>
        <w:spacing w:after="0" w:line="273" w:lineRule="auto"/>
        <w:sectPr>
          <w:pgSz w:w="12240" w:h="15840"/>
          <w:pgMar w:header="1046" w:footer="0" w:top="1360" w:bottom="280" w:left="720" w:right="360"/>
        </w:sectPr>
      </w:pPr>
    </w:p>
    <w:p>
      <w:pPr>
        <w:pStyle w:val="BodyText"/>
        <w:spacing w:line="276" w:lineRule="auto" w:before="276"/>
        <w:ind w:right="1922"/>
      </w:pPr>
      <w:r>
        <w:rPr/>
        <w:t>responsiveness to their constituents might as well cause slowing down the pace of integration. (</w:t>
      </w:r>
      <w:hyperlink w:history="true" w:anchor="_bookmark414">
        <w:r>
          <w:rPr/>
          <w:t>Tsebelis &amp; Garrett, 2000, p. 32</w:t>
        </w:r>
      </w:hyperlink>
      <w:r>
        <w:rPr/>
        <w:t>)</w:t>
      </w:r>
    </w:p>
    <w:p>
      <w:pPr>
        <w:pStyle w:val="BodyText"/>
        <w:spacing w:line="273" w:lineRule="auto"/>
        <w:ind w:right="1909" w:firstLine="720"/>
      </w:pPr>
      <w:r>
        <w:rPr/>
        <w:t>If the RCI, focuses on institutions as utility maximizers, the HI takes institutions</w:t>
      </w:r>
      <w:r>
        <w:rPr>
          <w:spacing w:val="-2"/>
        </w:rPr>
        <w:t> </w:t>
      </w:r>
      <w:r>
        <w:rPr/>
        <w:t>as independent variables. </w:t>
      </w:r>
      <w:r>
        <w:rPr>
          <w:sz w:val="27"/>
        </w:rPr>
        <w:t>George</w:t>
      </w:r>
      <w:r>
        <w:rPr>
          <w:spacing w:val="-2"/>
          <w:sz w:val="27"/>
        </w:rPr>
        <w:t> </w:t>
      </w:r>
      <w:r>
        <w:rPr>
          <w:sz w:val="27"/>
        </w:rPr>
        <w:t>Tsabelis</w:t>
      </w:r>
      <w:r>
        <w:rPr>
          <w:spacing w:val="-2"/>
          <w:sz w:val="27"/>
        </w:rPr>
        <w:t> </w:t>
      </w:r>
      <w:r>
        <w:rPr/>
        <w:t>gives a good example of institutional effects in the process of the European integration. Decisions made</w:t>
      </w:r>
      <w:r>
        <w:rPr>
          <w:spacing w:val="-1"/>
        </w:rPr>
        <w:t> </w:t>
      </w:r>
      <w:r>
        <w:rPr/>
        <w:t>by</w:t>
      </w:r>
      <w:r>
        <w:rPr>
          <w:spacing w:val="-1"/>
        </w:rPr>
        <w:t> </w:t>
      </w:r>
      <w:r>
        <w:rPr/>
        <w:t>the</w:t>
      </w:r>
      <w:r>
        <w:rPr>
          <w:spacing w:val="-1"/>
        </w:rPr>
        <w:t> </w:t>
      </w:r>
      <w:r>
        <w:rPr/>
        <w:t>European Court of Justice in</w:t>
      </w:r>
      <w:r>
        <w:rPr>
          <w:spacing w:val="-1"/>
        </w:rPr>
        <w:t> </w:t>
      </w:r>
      <w:r>
        <w:rPr/>
        <w:t>80s</w:t>
      </w:r>
      <w:r>
        <w:rPr>
          <w:spacing w:val="-3"/>
        </w:rPr>
        <w:t> </w:t>
      </w:r>
      <w:r>
        <w:rPr/>
        <w:t>were</w:t>
      </w:r>
      <w:r>
        <w:rPr>
          <w:spacing w:val="-1"/>
        </w:rPr>
        <w:t> </w:t>
      </w:r>
      <w:r>
        <w:rPr/>
        <w:t>equally important</w:t>
      </w:r>
      <w:r>
        <w:rPr>
          <w:spacing w:val="-1"/>
        </w:rPr>
        <w:t> </w:t>
      </w:r>
      <w:r>
        <w:rPr/>
        <w:t>in 90s because, they shaped the nature of the community. Common market was established in practice, this was due to the political and economic incentives, but institutions which took part in the processes had independent role lasting over time. (</w:t>
      </w:r>
      <w:hyperlink w:history="true" w:anchor="_bookmark377">
        <w:r>
          <w:rPr/>
          <w:t>Schmidt, Tsebelis, Risse, &amp; Scharpf,</w:t>
        </w:r>
      </w:hyperlink>
      <w:r>
        <w:rPr/>
        <w:t> </w:t>
      </w:r>
      <w:hyperlink w:history="true" w:anchor="_bookmark377">
        <w:r>
          <w:rPr>
            <w:spacing w:val="-2"/>
          </w:rPr>
          <w:t>1999</w:t>
        </w:r>
      </w:hyperlink>
      <w:r>
        <w:rPr>
          <w:spacing w:val="-2"/>
        </w:rPr>
        <w:t>)</w:t>
      </w:r>
    </w:p>
    <w:p>
      <w:pPr>
        <w:pStyle w:val="BodyText"/>
        <w:ind w:left="0"/>
        <w:jc w:val="left"/>
      </w:pPr>
    </w:p>
    <w:p>
      <w:pPr>
        <w:pStyle w:val="BodyText"/>
        <w:ind w:left="0"/>
        <w:jc w:val="left"/>
      </w:pPr>
    </w:p>
    <w:p>
      <w:pPr>
        <w:pStyle w:val="BodyText"/>
        <w:ind w:left="0"/>
        <w:jc w:val="left"/>
      </w:pPr>
    </w:p>
    <w:p>
      <w:pPr>
        <w:pStyle w:val="BodyText"/>
        <w:spacing w:before="228"/>
        <w:ind w:left="0"/>
        <w:jc w:val="left"/>
      </w:pPr>
    </w:p>
    <w:p>
      <w:pPr>
        <w:pStyle w:val="Heading4"/>
        <w:numPr>
          <w:ilvl w:val="1"/>
          <w:numId w:val="4"/>
        </w:numPr>
        <w:tabs>
          <w:tab w:pos="1577" w:val="left" w:leader="none"/>
        </w:tabs>
        <w:spacing w:line="240" w:lineRule="auto" w:before="0" w:after="0"/>
        <w:ind w:left="1577" w:right="0" w:hanging="598"/>
        <w:jc w:val="left"/>
      </w:pPr>
      <w:bookmarkStart w:name="_bookmark20" w:id="21"/>
      <w:bookmarkEnd w:id="21"/>
      <w:r>
        <w:rPr>
          <w:b w:val="0"/>
        </w:rPr>
      </w:r>
      <w:r>
        <w:rPr>
          <w:spacing w:val="-2"/>
        </w:rPr>
        <w:t>Constructivism</w:t>
      </w:r>
    </w:p>
    <w:p>
      <w:pPr>
        <w:pStyle w:val="BodyText"/>
        <w:spacing w:before="50"/>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26752">
                <wp:simplePos x="0" y="0"/>
                <wp:positionH relativeFrom="page">
                  <wp:posOffset>1078864</wp:posOffset>
                </wp:positionH>
                <wp:positionV relativeFrom="paragraph">
                  <wp:posOffset>191592</wp:posOffset>
                </wp:positionV>
                <wp:extent cx="5252085" cy="52069"/>
                <wp:effectExtent l="0" t="0" r="0" b="0"/>
                <wp:wrapTopAndBottom/>
                <wp:docPr id="92" name="Graphic 92"/>
                <wp:cNvGraphicFramePr>
                  <a:graphicFrameLocks/>
                </wp:cNvGraphicFramePr>
                <a:graphic>
                  <a:graphicData uri="http://schemas.microsoft.com/office/word/2010/wordprocessingShape">
                    <wps:wsp>
                      <wps:cNvPr id="92" name="Graphic 92"/>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5.08605pt;width:413.55pt;height:4.1pt;mso-position-horizontal-relative:page;mso-position-vertical-relative:paragraph;z-index:-15689728;mso-wrap-distance-left:0;mso-wrap-distance-right:0" id="docshape87"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ind w:left="0"/>
        <w:jc w:val="left"/>
        <w:rPr>
          <w:rFonts w:ascii="Georgia"/>
          <w:b/>
        </w:rPr>
      </w:pPr>
    </w:p>
    <w:p>
      <w:pPr>
        <w:pStyle w:val="BodyText"/>
        <w:spacing w:before="109"/>
        <w:ind w:left="0"/>
        <w:jc w:val="left"/>
        <w:rPr>
          <w:rFonts w:ascii="Georgia"/>
          <w:b/>
        </w:rPr>
      </w:pPr>
    </w:p>
    <w:p>
      <w:pPr>
        <w:pStyle w:val="BodyText"/>
        <w:spacing w:line="273" w:lineRule="auto"/>
        <w:ind w:right="1901" w:firstLine="787"/>
      </w:pPr>
      <w:r>
        <w:rPr/>
        <w:t>Constructivist thinking has a long history and covers a the fields from philosophy to cybernetics. Between </w:t>
      </w:r>
      <w:r>
        <w:rPr>
          <w:sz w:val="27"/>
        </w:rPr>
        <w:t>Kantian </w:t>
      </w:r>
      <w:r>
        <w:rPr/>
        <w:t>moral constructivism (</w:t>
      </w:r>
      <w:hyperlink w:history="true" w:anchor="_bookmark350">
        <w:r>
          <w:rPr/>
          <w:t>Rawls, 1980</w:t>
        </w:r>
      </w:hyperlink>
      <w:r>
        <w:rPr/>
        <w:t>) and </w:t>
      </w:r>
      <w:r>
        <w:rPr>
          <w:sz w:val="27"/>
        </w:rPr>
        <w:t>Heinz von Foerster’s </w:t>
      </w:r>
      <w:r>
        <w:rPr/>
        <w:t>radical constructivism, (</w:t>
      </w:r>
      <w:hyperlink w:history="true" w:anchor="_bookmark182">
        <w:r>
          <w:rPr/>
          <w:t>Foerster,</w:t>
        </w:r>
      </w:hyperlink>
      <w:r>
        <w:rPr/>
        <w:t> </w:t>
      </w:r>
      <w:hyperlink w:history="true" w:anchor="_bookmark182">
        <w:r>
          <w:rPr/>
          <w:t>1973</w:t>
        </w:r>
      </w:hyperlink>
      <w:r>
        <w:rPr/>
        <w:t>) we can place a wide variety of thinkers, which are represented to be sort of constructivists. Even though, the approach always was around, it arrived to European Union studies only recently. (</w:t>
      </w:r>
      <w:hyperlink w:history="true" w:anchor="_bookmark127">
        <w:r>
          <w:rPr/>
          <w:t>J. Checkel, 2005, p. 3</w:t>
        </w:r>
      </w:hyperlink>
      <w:r>
        <w:rPr/>
        <w:t>) Reviewing development of constructivism as a profound IR school can be beneficial, to see its relevance as European integration theory.</w:t>
      </w:r>
    </w:p>
    <w:p>
      <w:pPr>
        <w:spacing w:line="268" w:lineRule="auto" w:before="0"/>
        <w:ind w:left="979" w:right="1903" w:firstLine="720"/>
        <w:jc w:val="both"/>
        <w:rPr>
          <w:sz w:val="26"/>
        </w:rPr>
      </w:pPr>
      <w:r>
        <w:rPr>
          <w:sz w:val="26"/>
        </w:rPr>
        <w:t>As</w:t>
      </w:r>
      <w:r>
        <w:rPr>
          <w:spacing w:val="-2"/>
          <w:sz w:val="26"/>
        </w:rPr>
        <w:t> </w:t>
      </w:r>
      <w:r>
        <w:rPr>
          <w:sz w:val="26"/>
        </w:rPr>
        <w:t>a starting</w:t>
      </w:r>
      <w:r>
        <w:rPr>
          <w:spacing w:val="-1"/>
          <w:sz w:val="26"/>
        </w:rPr>
        <w:t> </w:t>
      </w:r>
      <w:r>
        <w:rPr>
          <w:sz w:val="26"/>
        </w:rPr>
        <w:t>point</w:t>
      </w:r>
      <w:r>
        <w:rPr>
          <w:spacing w:val="-1"/>
          <w:sz w:val="26"/>
        </w:rPr>
        <w:t> </w:t>
      </w:r>
      <w:r>
        <w:rPr>
          <w:sz w:val="26"/>
        </w:rPr>
        <w:t>of</w:t>
      </w:r>
      <w:r>
        <w:rPr>
          <w:spacing w:val="-1"/>
          <w:sz w:val="26"/>
        </w:rPr>
        <w:t> </w:t>
      </w:r>
      <w:r>
        <w:rPr>
          <w:sz w:val="26"/>
        </w:rPr>
        <w:t>this review, we</w:t>
      </w:r>
      <w:r>
        <w:rPr>
          <w:spacing w:val="-1"/>
          <w:sz w:val="26"/>
        </w:rPr>
        <w:t> </w:t>
      </w:r>
      <w:r>
        <w:rPr>
          <w:sz w:val="26"/>
        </w:rPr>
        <w:t>need to</w:t>
      </w:r>
      <w:r>
        <w:rPr>
          <w:spacing w:val="-3"/>
          <w:sz w:val="26"/>
        </w:rPr>
        <w:t> </w:t>
      </w:r>
      <w:r>
        <w:rPr>
          <w:sz w:val="26"/>
        </w:rPr>
        <w:t>recognize</w:t>
      </w:r>
      <w:r>
        <w:rPr>
          <w:spacing w:val="-1"/>
          <w:sz w:val="26"/>
        </w:rPr>
        <w:t> </w:t>
      </w:r>
      <w:r>
        <w:rPr>
          <w:sz w:val="26"/>
        </w:rPr>
        <w:t>that</w:t>
      </w:r>
      <w:r>
        <w:rPr>
          <w:spacing w:val="-1"/>
          <w:sz w:val="26"/>
        </w:rPr>
        <w:t> </w:t>
      </w:r>
      <w:r>
        <w:rPr>
          <w:sz w:val="26"/>
        </w:rPr>
        <w:t>there</w:t>
      </w:r>
      <w:r>
        <w:rPr>
          <w:spacing w:val="-1"/>
          <w:sz w:val="26"/>
        </w:rPr>
        <w:t> </w:t>
      </w:r>
      <w:r>
        <w:rPr>
          <w:sz w:val="26"/>
        </w:rPr>
        <w:t>are many constructivisms. </w:t>
      </w:r>
      <w:r>
        <w:rPr>
          <w:sz w:val="27"/>
        </w:rPr>
        <w:t>Emanuel Adler </w:t>
      </w:r>
      <w:r>
        <w:rPr>
          <w:sz w:val="26"/>
        </w:rPr>
        <w:t>differentiates three folds of constructivists: </w:t>
      </w:r>
      <w:r>
        <w:rPr>
          <w:sz w:val="27"/>
        </w:rPr>
        <w:t>modernists, modernist linguistic </w:t>
      </w:r>
      <w:r>
        <w:rPr>
          <w:sz w:val="26"/>
        </w:rPr>
        <w:t>and </w:t>
      </w:r>
      <w:r>
        <w:rPr>
          <w:sz w:val="27"/>
        </w:rPr>
        <w:t>radical. </w:t>
      </w:r>
      <w:r>
        <w:rPr>
          <w:sz w:val="26"/>
        </w:rPr>
        <w:t>(</w:t>
      </w:r>
      <w:hyperlink w:history="true" w:anchor="_bookmark68">
        <w:r>
          <w:rPr>
            <w:sz w:val="26"/>
          </w:rPr>
          <w:t>Adler, 2002,</w:t>
        </w:r>
      </w:hyperlink>
      <w:r>
        <w:rPr>
          <w:sz w:val="26"/>
        </w:rPr>
        <w:t> </w:t>
      </w:r>
      <w:hyperlink w:history="true" w:anchor="_bookmark68">
        <w:r>
          <w:rPr>
            <w:sz w:val="26"/>
          </w:rPr>
          <w:t>pp. 131-132</w:t>
        </w:r>
      </w:hyperlink>
      <w:r>
        <w:rPr>
          <w:sz w:val="26"/>
        </w:rPr>
        <w:t>)</w:t>
      </w:r>
    </w:p>
    <w:p>
      <w:pPr>
        <w:spacing w:after="0" w:line="268" w:lineRule="auto"/>
        <w:jc w:val="both"/>
        <w:rPr>
          <w:sz w:val="26"/>
        </w:rPr>
        <w:sectPr>
          <w:pgSz w:w="12240" w:h="15840"/>
          <w:pgMar w:header="1046" w:footer="0" w:top="1360" w:bottom="280" w:left="720" w:right="360"/>
        </w:sectPr>
      </w:pPr>
    </w:p>
    <w:p>
      <w:pPr>
        <w:pStyle w:val="BodyText"/>
        <w:spacing w:line="273" w:lineRule="auto" w:before="276"/>
        <w:ind w:right="1898" w:firstLine="720"/>
      </w:pPr>
      <w:r>
        <w:rPr/>
        <w:t>Everything began with the modernist linguistic approaches</w:t>
      </w:r>
      <w:r>
        <w:rPr>
          <w:spacing w:val="40"/>
        </w:rPr>
        <w:t> </w:t>
      </w:r>
      <w:r>
        <w:rPr/>
        <w:t>developed</w:t>
      </w:r>
      <w:r>
        <w:rPr>
          <w:spacing w:val="-4"/>
        </w:rPr>
        <w:t> </w:t>
      </w:r>
      <w:r>
        <w:rPr/>
        <w:t>by </w:t>
      </w:r>
      <w:r>
        <w:rPr>
          <w:sz w:val="27"/>
        </w:rPr>
        <w:t>Nicholas</w:t>
      </w:r>
      <w:r>
        <w:rPr>
          <w:spacing w:val="-9"/>
          <w:sz w:val="27"/>
        </w:rPr>
        <w:t> </w:t>
      </w:r>
      <w:r>
        <w:rPr>
          <w:sz w:val="27"/>
        </w:rPr>
        <w:t>Onuf</w:t>
      </w:r>
      <w:r>
        <w:rPr>
          <w:spacing w:val="-7"/>
          <w:sz w:val="27"/>
        </w:rPr>
        <w:t> </w:t>
      </w:r>
      <w:r>
        <w:rPr/>
        <w:t>(</w:t>
      </w:r>
      <w:hyperlink w:history="true" w:anchor="_bookmark323">
        <w:r>
          <w:rPr/>
          <w:t>1989</w:t>
        </w:r>
      </w:hyperlink>
      <w:r>
        <w:rPr/>
        <w:t>)</w:t>
      </w:r>
      <w:r>
        <w:rPr>
          <w:spacing w:val="-4"/>
        </w:rPr>
        <w:t> </w:t>
      </w:r>
      <w:r>
        <w:rPr/>
        <w:t>and</w:t>
      </w:r>
      <w:r>
        <w:rPr>
          <w:spacing w:val="-3"/>
        </w:rPr>
        <w:t> </w:t>
      </w:r>
      <w:r>
        <w:rPr>
          <w:sz w:val="27"/>
        </w:rPr>
        <w:t>Friedrich</w:t>
      </w:r>
      <w:r>
        <w:rPr>
          <w:spacing w:val="-8"/>
          <w:sz w:val="27"/>
        </w:rPr>
        <w:t> </w:t>
      </w:r>
      <w:r>
        <w:rPr>
          <w:sz w:val="27"/>
        </w:rPr>
        <w:t>Kratochwil</w:t>
      </w:r>
      <w:r>
        <w:rPr>
          <w:spacing w:val="-8"/>
          <w:sz w:val="27"/>
        </w:rPr>
        <w:t> </w:t>
      </w:r>
      <w:r>
        <w:rPr/>
        <w:t>(</w:t>
      </w:r>
      <w:hyperlink w:history="true" w:anchor="_bookmark247">
        <w:r>
          <w:rPr/>
          <w:t>1989</w:t>
        </w:r>
      </w:hyperlink>
      <w:r>
        <w:rPr/>
        <w:t>).</w:t>
      </w:r>
      <w:r>
        <w:rPr>
          <w:spacing w:val="-3"/>
        </w:rPr>
        <w:t> </w:t>
      </w:r>
      <w:r>
        <w:rPr>
          <w:sz w:val="27"/>
        </w:rPr>
        <w:t>Onuf </w:t>
      </w:r>
      <w:r>
        <w:rPr/>
        <w:t>was one who coined term constructivism: “Constructivism begins with deeds.</w:t>
      </w:r>
      <w:r>
        <w:rPr>
          <w:spacing w:val="40"/>
        </w:rPr>
        <w:t> </w:t>
      </w:r>
      <w:r>
        <w:rPr/>
        <w:t>Deeds done, acts taken, words spoken-These are all that facts are.” (</w:t>
      </w:r>
      <w:hyperlink w:history="true" w:anchor="_bookmark323">
        <w:r>
          <w:rPr/>
          <w:t>Onuf, 1989, p. 39</w:t>
        </w:r>
      </w:hyperlink>
      <w:r>
        <w:rPr/>
        <w:t>)</w:t>
      </w:r>
    </w:p>
    <w:p>
      <w:pPr>
        <w:pStyle w:val="BodyText"/>
        <w:spacing w:line="276" w:lineRule="auto" w:before="2"/>
        <w:ind w:right="1909" w:firstLine="720"/>
      </w:pPr>
      <w:r>
        <w:rPr/>
        <w:t>“Constructivism holds that people make society, and society makes people. This is a continuous, two-way process,” (</w:t>
      </w:r>
      <w:hyperlink w:history="true" w:anchor="_bookmark324">
        <w:r>
          <w:rPr/>
          <w:t>Onuf, 2012, p. 4</w:t>
        </w:r>
      </w:hyperlink>
      <w:r>
        <w:rPr/>
        <w:t>) – there is a third component, which makes social construction possible – rules. Rules are constitutive and regulative the same time, acting using rules are practices. Participants in society are agents; rules make it possible to participate in processes, therefore, they define agents.</w:t>
      </w:r>
      <w:r>
        <w:rPr>
          <w:spacing w:val="40"/>
        </w:rPr>
        <w:t> </w:t>
      </w:r>
      <w:r>
        <w:rPr/>
        <w:t>Agents</w:t>
      </w:r>
      <w:r>
        <w:rPr>
          <w:spacing w:val="-1"/>
        </w:rPr>
        <w:t> </w:t>
      </w:r>
      <w:r>
        <w:rPr/>
        <w:t>seek to</w:t>
      </w:r>
      <w:r>
        <w:rPr>
          <w:spacing w:val="-1"/>
        </w:rPr>
        <w:t> </w:t>
      </w:r>
      <w:r>
        <w:rPr/>
        <w:t>attain goals “every society has rules telling agents which goals are the appropriate ones for them to pursue,” (</w:t>
      </w:r>
      <w:hyperlink w:history="true" w:anchor="_bookmark324">
        <w:r>
          <w:rPr/>
          <w:t>Onuf, 2012, p. 5</w:t>
        </w:r>
      </w:hyperlink>
      <w:r>
        <w:rPr/>
        <w:t>) rules guide them to avoid unintended consequences and act rationally. Rules and practices often create a stable pattern of relations and these patterns are institutions.</w:t>
      </w:r>
    </w:p>
    <w:p>
      <w:pPr>
        <w:pStyle w:val="BodyText"/>
        <w:spacing w:line="273" w:lineRule="auto" w:after="44"/>
        <w:ind w:right="1912" w:firstLine="360"/>
      </w:pPr>
      <w:r>
        <w:rPr>
          <w:sz w:val="27"/>
        </w:rPr>
        <w:t>A</w:t>
      </w:r>
      <w:r>
        <w:rPr>
          <w:spacing w:val="-1"/>
          <w:sz w:val="27"/>
        </w:rPr>
        <w:t> </w:t>
      </w:r>
      <w:r>
        <w:rPr>
          <w:sz w:val="27"/>
        </w:rPr>
        <w:t>speech act </w:t>
      </w:r>
      <w:r>
        <w:rPr/>
        <w:t>is a central to </w:t>
      </w:r>
      <w:r>
        <w:rPr>
          <w:sz w:val="27"/>
        </w:rPr>
        <w:t>Onuf</w:t>
      </w:r>
      <w:r>
        <w:rPr/>
        <w:t>’s constructivism. A speech act is about making somebody do something, using the act of speaking. Assertive, directive and commissive speech acts, do not imply “anything about future situation” but if they are being repeated frequently with the same effects,</w:t>
      </w:r>
    </w:p>
    <w:tbl>
      <w:tblPr>
        <w:tblW w:w="0" w:type="auto"/>
        <w:jc w:val="left"/>
        <w:tblInd w:w="8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091"/>
        <w:gridCol w:w="3125"/>
        <w:gridCol w:w="3274"/>
      </w:tblGrid>
      <w:tr>
        <w:trPr>
          <w:trHeight w:val="791" w:hRule="atLeast"/>
        </w:trPr>
        <w:tc>
          <w:tcPr>
            <w:tcW w:w="2091" w:type="dxa"/>
            <w:tcBorders>
              <w:top w:val="single" w:sz="8" w:space="0" w:color="000000"/>
              <w:bottom w:val="single" w:sz="8" w:space="0" w:color="000000"/>
            </w:tcBorders>
          </w:tcPr>
          <w:p>
            <w:pPr>
              <w:pStyle w:val="TableParagraph"/>
              <w:spacing w:before="2"/>
              <w:ind w:left="105"/>
              <w:rPr>
                <w:sz w:val="26"/>
              </w:rPr>
            </w:pPr>
            <w:r>
              <w:rPr>
                <w:spacing w:val="-2"/>
                <w:sz w:val="26"/>
              </w:rPr>
              <w:t>Speech</w:t>
            </w:r>
            <w:r>
              <w:rPr>
                <w:spacing w:val="-13"/>
                <w:sz w:val="26"/>
              </w:rPr>
              <w:t> </w:t>
            </w:r>
            <w:r>
              <w:rPr>
                <w:spacing w:val="-4"/>
                <w:sz w:val="26"/>
              </w:rPr>
              <w:t>Acts</w:t>
            </w:r>
          </w:p>
        </w:tc>
        <w:tc>
          <w:tcPr>
            <w:tcW w:w="3125" w:type="dxa"/>
            <w:tcBorders>
              <w:top w:val="single" w:sz="8" w:space="0" w:color="000000"/>
              <w:bottom w:val="single" w:sz="8" w:space="0" w:color="000000"/>
            </w:tcBorders>
          </w:tcPr>
          <w:p>
            <w:pPr>
              <w:pStyle w:val="TableParagraph"/>
              <w:spacing w:before="2"/>
              <w:ind w:left="689"/>
              <w:rPr>
                <w:sz w:val="26"/>
              </w:rPr>
            </w:pPr>
            <w:r>
              <w:rPr>
                <w:spacing w:val="-2"/>
                <w:sz w:val="26"/>
              </w:rPr>
              <w:t>Rules</w:t>
            </w:r>
          </w:p>
        </w:tc>
        <w:tc>
          <w:tcPr>
            <w:tcW w:w="3274" w:type="dxa"/>
            <w:tcBorders>
              <w:top w:val="single" w:sz="8" w:space="0" w:color="000000"/>
              <w:bottom w:val="single" w:sz="8" w:space="0" w:color="000000"/>
            </w:tcBorders>
          </w:tcPr>
          <w:p>
            <w:pPr>
              <w:pStyle w:val="TableParagraph"/>
              <w:spacing w:before="2"/>
              <w:ind w:left="359"/>
              <w:rPr>
                <w:sz w:val="26"/>
              </w:rPr>
            </w:pPr>
            <w:r>
              <w:rPr>
                <w:spacing w:val="-2"/>
                <w:sz w:val="26"/>
              </w:rPr>
              <w:t>Puzzle</w:t>
            </w:r>
            <w:r>
              <w:rPr>
                <w:spacing w:val="-12"/>
                <w:sz w:val="26"/>
              </w:rPr>
              <w:t> </w:t>
            </w:r>
            <w:r>
              <w:rPr>
                <w:spacing w:val="-2"/>
                <w:sz w:val="26"/>
              </w:rPr>
              <w:t>paradigms</w:t>
            </w:r>
          </w:p>
        </w:tc>
      </w:tr>
      <w:tr>
        <w:trPr>
          <w:trHeight w:val="815" w:hRule="atLeast"/>
        </w:trPr>
        <w:tc>
          <w:tcPr>
            <w:tcW w:w="2091" w:type="dxa"/>
            <w:tcBorders>
              <w:top w:val="single" w:sz="8" w:space="0" w:color="000000"/>
            </w:tcBorders>
            <w:shd w:val="clear" w:color="auto" w:fill="C0C0C0"/>
          </w:tcPr>
          <w:p>
            <w:pPr>
              <w:pStyle w:val="TableParagraph"/>
              <w:spacing w:before="2"/>
              <w:ind w:left="105"/>
              <w:rPr>
                <w:sz w:val="26"/>
              </w:rPr>
            </w:pPr>
            <w:r>
              <w:rPr>
                <w:spacing w:val="-2"/>
                <w:sz w:val="26"/>
              </w:rPr>
              <w:t>Assertive</w:t>
            </w:r>
          </w:p>
        </w:tc>
        <w:tc>
          <w:tcPr>
            <w:tcW w:w="3125" w:type="dxa"/>
            <w:tcBorders>
              <w:top w:val="single" w:sz="8" w:space="0" w:color="000000"/>
            </w:tcBorders>
            <w:shd w:val="clear" w:color="auto" w:fill="C0C0C0"/>
          </w:tcPr>
          <w:p>
            <w:pPr>
              <w:pStyle w:val="TableParagraph"/>
              <w:spacing w:line="276" w:lineRule="auto" w:before="2"/>
              <w:ind w:left="689"/>
              <w:rPr>
                <w:sz w:val="26"/>
              </w:rPr>
            </w:pPr>
            <w:r>
              <w:rPr>
                <w:spacing w:val="-2"/>
                <w:sz w:val="26"/>
              </w:rPr>
              <w:t>Instructive-rules (Principles)</w:t>
            </w:r>
          </w:p>
        </w:tc>
        <w:tc>
          <w:tcPr>
            <w:tcW w:w="3274" w:type="dxa"/>
            <w:tcBorders>
              <w:top w:val="single" w:sz="8" w:space="0" w:color="000000"/>
            </w:tcBorders>
            <w:shd w:val="clear" w:color="auto" w:fill="C0C0C0"/>
          </w:tcPr>
          <w:p>
            <w:pPr>
              <w:pStyle w:val="TableParagraph"/>
              <w:spacing w:before="2"/>
              <w:ind w:left="359"/>
              <w:rPr>
                <w:sz w:val="26"/>
              </w:rPr>
            </w:pPr>
            <w:r>
              <w:rPr>
                <w:spacing w:val="-2"/>
                <w:sz w:val="26"/>
              </w:rPr>
              <w:t>Hegemony</w:t>
            </w:r>
          </w:p>
        </w:tc>
      </w:tr>
      <w:tr>
        <w:trPr>
          <w:trHeight w:val="394" w:hRule="atLeast"/>
        </w:trPr>
        <w:tc>
          <w:tcPr>
            <w:tcW w:w="2091" w:type="dxa"/>
          </w:tcPr>
          <w:p>
            <w:pPr>
              <w:pStyle w:val="TableParagraph"/>
              <w:spacing w:before="3"/>
              <w:ind w:left="105"/>
              <w:rPr>
                <w:sz w:val="26"/>
              </w:rPr>
            </w:pPr>
            <w:r>
              <w:rPr>
                <w:spacing w:val="-2"/>
                <w:sz w:val="26"/>
              </w:rPr>
              <w:t>Directive</w:t>
            </w:r>
          </w:p>
        </w:tc>
        <w:tc>
          <w:tcPr>
            <w:tcW w:w="3125" w:type="dxa"/>
          </w:tcPr>
          <w:p>
            <w:pPr>
              <w:pStyle w:val="TableParagraph"/>
              <w:spacing w:before="3"/>
              <w:ind w:left="689"/>
              <w:rPr>
                <w:sz w:val="26"/>
              </w:rPr>
            </w:pPr>
            <w:r>
              <w:rPr>
                <w:spacing w:val="-2"/>
                <w:sz w:val="26"/>
              </w:rPr>
              <w:t>Directive-rules</w:t>
            </w:r>
          </w:p>
        </w:tc>
        <w:tc>
          <w:tcPr>
            <w:tcW w:w="3274" w:type="dxa"/>
          </w:tcPr>
          <w:p>
            <w:pPr>
              <w:pStyle w:val="TableParagraph"/>
              <w:spacing w:before="3"/>
              <w:ind w:left="359"/>
              <w:rPr>
                <w:sz w:val="26"/>
              </w:rPr>
            </w:pPr>
            <w:r>
              <w:rPr>
                <w:spacing w:val="-2"/>
                <w:sz w:val="26"/>
              </w:rPr>
              <w:t>Hierarchy</w:t>
            </w:r>
          </w:p>
        </w:tc>
      </w:tr>
      <w:tr>
        <w:trPr>
          <w:trHeight w:val="407" w:hRule="atLeast"/>
        </w:trPr>
        <w:tc>
          <w:tcPr>
            <w:tcW w:w="2091" w:type="dxa"/>
            <w:tcBorders>
              <w:bottom w:val="single" w:sz="8" w:space="0" w:color="000000"/>
            </w:tcBorders>
            <w:shd w:val="clear" w:color="auto" w:fill="C0C0C0"/>
          </w:tcPr>
          <w:p>
            <w:pPr>
              <w:pStyle w:val="TableParagraph"/>
              <w:spacing w:before="2"/>
              <w:ind w:left="105"/>
              <w:rPr>
                <w:sz w:val="26"/>
              </w:rPr>
            </w:pPr>
            <w:r>
              <w:rPr>
                <w:spacing w:val="-2"/>
                <w:sz w:val="26"/>
              </w:rPr>
              <w:t>Commissive</w:t>
            </w:r>
          </w:p>
        </w:tc>
        <w:tc>
          <w:tcPr>
            <w:tcW w:w="3125" w:type="dxa"/>
            <w:tcBorders>
              <w:bottom w:val="single" w:sz="8" w:space="0" w:color="000000"/>
            </w:tcBorders>
            <w:shd w:val="clear" w:color="auto" w:fill="C0C0C0"/>
          </w:tcPr>
          <w:p>
            <w:pPr>
              <w:pStyle w:val="TableParagraph"/>
              <w:spacing w:before="2"/>
              <w:ind w:left="689"/>
              <w:rPr>
                <w:sz w:val="26"/>
              </w:rPr>
            </w:pPr>
            <w:r>
              <w:rPr>
                <w:spacing w:val="-2"/>
                <w:sz w:val="26"/>
              </w:rPr>
              <w:t>Commitment-</w:t>
            </w:r>
            <w:r>
              <w:rPr>
                <w:spacing w:val="-4"/>
                <w:sz w:val="26"/>
              </w:rPr>
              <w:t>rules</w:t>
            </w:r>
          </w:p>
        </w:tc>
        <w:tc>
          <w:tcPr>
            <w:tcW w:w="3274" w:type="dxa"/>
            <w:tcBorders>
              <w:bottom w:val="single" w:sz="8" w:space="0" w:color="000000"/>
            </w:tcBorders>
            <w:shd w:val="clear" w:color="auto" w:fill="C0C0C0"/>
          </w:tcPr>
          <w:p>
            <w:pPr>
              <w:pStyle w:val="TableParagraph"/>
              <w:spacing w:before="2"/>
              <w:ind w:left="359"/>
              <w:rPr>
                <w:sz w:val="26"/>
              </w:rPr>
            </w:pPr>
            <w:r>
              <w:rPr>
                <w:spacing w:val="-2"/>
                <w:sz w:val="26"/>
              </w:rPr>
              <w:t>Heteronomy</w:t>
            </w:r>
          </w:p>
        </w:tc>
      </w:tr>
    </w:tbl>
    <w:p>
      <w:pPr>
        <w:spacing w:before="98"/>
        <w:ind w:left="931" w:right="0" w:firstLine="0"/>
        <w:jc w:val="left"/>
        <w:rPr>
          <w:rFonts w:ascii="Calibri"/>
          <w:b/>
          <w:sz w:val="18"/>
        </w:rPr>
      </w:pPr>
      <w:bookmarkStart w:name="_bookmark21" w:id="22"/>
      <w:bookmarkEnd w:id="22"/>
      <w:r>
        <w:rPr/>
      </w:r>
      <w:r>
        <w:rPr>
          <w:rFonts w:ascii="Calibri"/>
          <w:b/>
          <w:color w:val="4F81BC"/>
          <w:sz w:val="18"/>
        </w:rPr>
        <w:t>Figure</w:t>
      </w:r>
      <w:r>
        <w:rPr>
          <w:rFonts w:ascii="Calibri"/>
          <w:b/>
          <w:color w:val="4F81BC"/>
          <w:spacing w:val="2"/>
          <w:sz w:val="18"/>
        </w:rPr>
        <w:t> </w:t>
      </w:r>
      <w:r>
        <w:rPr>
          <w:rFonts w:ascii="Calibri"/>
          <w:b/>
          <w:color w:val="4F81BC"/>
          <w:sz w:val="18"/>
        </w:rPr>
        <w:t>4.</w:t>
      </w:r>
      <w:r>
        <w:rPr>
          <w:rFonts w:ascii="Calibri"/>
          <w:b/>
          <w:color w:val="4F81BC"/>
          <w:spacing w:val="-3"/>
          <w:sz w:val="18"/>
        </w:rPr>
        <w:t> </w:t>
      </w:r>
      <w:r>
        <w:rPr>
          <w:rFonts w:ascii="Calibri"/>
          <w:b/>
          <w:color w:val="4F81BC"/>
          <w:sz w:val="18"/>
        </w:rPr>
        <w:t>Speech</w:t>
      </w:r>
      <w:r>
        <w:rPr>
          <w:rFonts w:ascii="Calibri"/>
          <w:b/>
          <w:color w:val="4F81BC"/>
          <w:spacing w:val="-4"/>
          <w:sz w:val="18"/>
        </w:rPr>
        <w:t> </w:t>
      </w:r>
      <w:r>
        <w:rPr>
          <w:rFonts w:ascii="Calibri"/>
          <w:b/>
          <w:color w:val="4F81BC"/>
          <w:sz w:val="18"/>
        </w:rPr>
        <w:t>Act</w:t>
      </w:r>
      <w:r>
        <w:rPr>
          <w:rFonts w:ascii="Calibri"/>
          <w:b/>
          <w:color w:val="4F81BC"/>
          <w:spacing w:val="-3"/>
          <w:sz w:val="18"/>
        </w:rPr>
        <w:t> </w:t>
      </w:r>
      <w:r>
        <w:rPr>
          <w:rFonts w:ascii="Calibri"/>
          <w:b/>
          <w:color w:val="4F81BC"/>
          <w:spacing w:val="-2"/>
          <w:sz w:val="18"/>
        </w:rPr>
        <w:t>Relations</w:t>
      </w:r>
    </w:p>
    <w:p>
      <w:pPr>
        <w:pStyle w:val="BodyText"/>
        <w:spacing w:before="256"/>
        <w:ind w:left="0"/>
        <w:jc w:val="left"/>
        <w:rPr>
          <w:rFonts w:ascii="Calibri"/>
          <w:b/>
        </w:rPr>
      </w:pPr>
    </w:p>
    <w:p>
      <w:pPr>
        <w:pStyle w:val="BodyText"/>
        <w:spacing w:line="271" w:lineRule="auto"/>
        <w:ind w:right="1911"/>
      </w:pPr>
      <w:r>
        <w:rPr/>
        <w:t>they acquire independent meaning. Words become more important than people who speak. Constantly repeated speech acts are </w:t>
      </w:r>
      <w:r>
        <w:rPr>
          <w:sz w:val="27"/>
        </w:rPr>
        <w:t>conventions</w:t>
      </w:r>
      <w:r>
        <w:rPr/>
        <w:t>. Conventions are closely related to rules, because they remind agents about</w:t>
      </w:r>
    </w:p>
    <w:p>
      <w:pPr>
        <w:pStyle w:val="BodyText"/>
        <w:spacing w:after="0" w:line="271" w:lineRule="auto"/>
        <w:sectPr>
          <w:pgSz w:w="12240" w:h="15840"/>
          <w:pgMar w:header="1046" w:footer="0" w:top="1360" w:bottom="280" w:left="720" w:right="360"/>
        </w:sectPr>
      </w:pPr>
    </w:p>
    <w:p>
      <w:pPr>
        <w:pStyle w:val="BodyText"/>
        <w:spacing w:line="276" w:lineRule="auto" w:before="276"/>
        <w:ind w:right="1913"/>
      </w:pPr>
      <w:r>
        <w:rPr/>
        <w:t>things what they “were always doing.” Reminding about habitual actions have habitual results. Rules in general can get forms of speech acts:</w:t>
      </w:r>
    </w:p>
    <w:p>
      <w:pPr>
        <w:pStyle w:val="ListParagraph"/>
        <w:numPr>
          <w:ilvl w:val="0"/>
          <w:numId w:val="7"/>
        </w:numPr>
        <w:tabs>
          <w:tab w:pos="1700" w:val="left" w:leader="none"/>
        </w:tabs>
        <w:spacing w:line="268" w:lineRule="auto" w:before="0" w:after="0"/>
        <w:ind w:left="1700" w:right="1917" w:hanging="360"/>
        <w:jc w:val="both"/>
        <w:rPr>
          <w:sz w:val="26"/>
        </w:rPr>
      </w:pPr>
      <w:r>
        <w:rPr>
          <w:sz w:val="26"/>
        </w:rPr>
        <w:t>Rules in form of an assertive speech act inform agents about the world- the way things are. These rules are </w:t>
      </w:r>
      <w:r>
        <w:rPr>
          <w:sz w:val="27"/>
        </w:rPr>
        <w:t>principles</w:t>
      </w:r>
      <w:r>
        <w:rPr>
          <w:sz w:val="26"/>
        </w:rPr>
        <w:t>.</w:t>
      </w:r>
    </w:p>
    <w:p>
      <w:pPr>
        <w:pStyle w:val="ListParagraph"/>
        <w:numPr>
          <w:ilvl w:val="0"/>
          <w:numId w:val="7"/>
        </w:numPr>
        <w:tabs>
          <w:tab w:pos="1700" w:val="left" w:leader="none"/>
        </w:tabs>
        <w:spacing w:line="276" w:lineRule="auto" w:before="6" w:after="0"/>
        <w:ind w:left="1700" w:right="1912" w:hanging="360"/>
        <w:jc w:val="both"/>
        <w:rPr>
          <w:sz w:val="26"/>
        </w:rPr>
      </w:pPr>
      <w:r>
        <w:rPr>
          <w:sz w:val="26"/>
        </w:rPr>
        <w:t>Rules in the form of directive speech acts, directive-rules, are emphatically normative. They usually include information about outcomes of disregarding the rules.</w:t>
      </w:r>
    </w:p>
    <w:p>
      <w:pPr>
        <w:pStyle w:val="ListParagraph"/>
        <w:numPr>
          <w:ilvl w:val="0"/>
          <w:numId w:val="7"/>
        </w:numPr>
        <w:tabs>
          <w:tab w:pos="1700" w:val="left" w:leader="none"/>
        </w:tabs>
        <w:spacing w:line="268" w:lineRule="auto" w:before="0" w:after="0"/>
        <w:ind w:left="1700" w:right="1918" w:hanging="360"/>
        <w:jc w:val="both"/>
        <w:rPr>
          <w:sz w:val="26"/>
        </w:rPr>
      </w:pPr>
      <w:r>
        <w:rPr>
          <w:sz w:val="26"/>
        </w:rPr>
        <w:t>Commissive speech acts involve promises. Generalized web of promises become </w:t>
      </w:r>
      <w:r>
        <w:rPr>
          <w:sz w:val="27"/>
        </w:rPr>
        <w:t>commitment-rules</w:t>
      </w:r>
      <w:r>
        <w:rPr>
          <w:sz w:val="26"/>
        </w:rPr>
        <w:t>.</w:t>
      </w:r>
    </w:p>
    <w:p>
      <w:pPr>
        <w:pStyle w:val="BodyText"/>
        <w:spacing w:before="5"/>
        <w:ind w:left="6180"/>
        <w:jc w:val="left"/>
      </w:pPr>
      <w:r>
        <w:rPr/>
        <w:t>(</w:t>
      </w:r>
      <w:hyperlink w:history="true" w:anchor="_bookmark324">
        <w:r>
          <w:rPr/>
          <w:t>Onuf,</w:t>
        </w:r>
        <w:r>
          <w:rPr>
            <w:spacing w:val="-7"/>
          </w:rPr>
          <w:t> </w:t>
        </w:r>
        <w:r>
          <w:rPr/>
          <w:t>2012,</w:t>
        </w:r>
        <w:r>
          <w:rPr>
            <w:spacing w:val="-6"/>
          </w:rPr>
          <w:t> </w:t>
        </w:r>
        <w:r>
          <w:rPr/>
          <w:t>pp.</w:t>
        </w:r>
        <w:r>
          <w:rPr>
            <w:spacing w:val="-6"/>
          </w:rPr>
          <w:t> </w:t>
        </w:r>
        <w:r>
          <w:rPr/>
          <w:t>11-</w:t>
        </w:r>
        <w:r>
          <w:rPr>
            <w:spacing w:val="-5"/>
          </w:rPr>
          <w:t>12</w:t>
        </w:r>
      </w:hyperlink>
      <w:r>
        <w:rPr>
          <w:spacing w:val="-5"/>
        </w:rPr>
        <w:t>)</w:t>
      </w:r>
    </w:p>
    <w:p>
      <w:pPr>
        <w:pStyle w:val="BodyText"/>
        <w:spacing w:before="103"/>
        <w:ind w:left="0"/>
        <w:jc w:val="left"/>
      </w:pPr>
    </w:p>
    <w:p>
      <w:pPr>
        <w:pStyle w:val="BodyText"/>
        <w:spacing w:line="276" w:lineRule="auto"/>
        <w:ind w:right="1906" w:firstLine="720"/>
      </w:pPr>
      <w:r>
        <w:rPr/>
        <w:t>Rules can be formal and informal. Formal rules are fixed, if formal rules are backed up by other rules they become legal. (</w:t>
      </w:r>
      <w:hyperlink w:history="true" w:anchor="_bookmark324">
        <w:r>
          <w:rPr/>
          <w:t>Onuf, 2012, p. 13</w:t>
        </w:r>
      </w:hyperlink>
      <w:r>
        <w:rPr/>
        <w:t>) The agents who act collectively utilize the same principles, which they use while acting individually. Collective goals are achievable through the practice of rules. When goals are not attainable in existing normative state, agents try to change the later. Institutions slow down changes because circumstances always give advantages to some agents over others. (</w:t>
      </w:r>
      <w:hyperlink w:history="true" w:anchor="_bookmark324">
        <w:r>
          <w:rPr/>
          <w:t>Onuf,</w:t>
        </w:r>
      </w:hyperlink>
      <w:r>
        <w:rPr/>
        <w:t> </w:t>
      </w:r>
      <w:hyperlink w:history="true" w:anchor="_bookmark324">
        <w:r>
          <w:rPr/>
          <w:t>2012, p. 12</w:t>
        </w:r>
      </w:hyperlink>
      <w:r>
        <w:rPr/>
        <w:t>)</w:t>
      </w:r>
    </w:p>
    <w:p>
      <w:pPr>
        <w:pStyle w:val="BodyText"/>
        <w:spacing w:line="273" w:lineRule="auto"/>
        <w:ind w:right="1902" w:firstLine="720"/>
      </w:pPr>
      <w:r>
        <w:rPr>
          <w:sz w:val="27"/>
        </w:rPr>
        <w:t>Onuf </w:t>
      </w:r>
      <w:r>
        <w:rPr/>
        <w:t>proposed three ‘puzzle paradigms’ at people’s disposal to arrange social life via rules: </w:t>
      </w:r>
      <w:r>
        <w:rPr>
          <w:sz w:val="27"/>
        </w:rPr>
        <w:t>hegemony</w:t>
      </w:r>
      <w:r>
        <w:rPr/>
        <w:t>, </w:t>
      </w:r>
      <w:r>
        <w:rPr>
          <w:sz w:val="27"/>
        </w:rPr>
        <w:t>hierarchy </w:t>
      </w:r>
      <w:r>
        <w:rPr/>
        <w:t>and </w:t>
      </w:r>
      <w:r>
        <w:rPr>
          <w:sz w:val="27"/>
        </w:rPr>
        <w:t>heteronomy</w:t>
      </w:r>
      <w:r>
        <w:rPr/>
        <w:t>. International system as it operates via similar practices as political society is organized accordingly. Heteronomous relations “characterize situation of exchange among apparent equals.” (</w:t>
      </w:r>
      <w:hyperlink w:history="true" w:anchor="_bookmark323">
        <w:r>
          <w:rPr/>
          <w:t>Onuf, 1989, p. 197</w:t>
        </w:r>
      </w:hyperlink>
      <w:r>
        <w:rPr/>
        <w:t>) Heteronomy is a background condition for international system, where hegemony and hierarchy might happen time after time. (</w:t>
      </w:r>
      <w:hyperlink w:history="true" w:anchor="_bookmark325">
        <w:r>
          <w:rPr/>
          <w:t>Onuf, 2014, p. 6</w:t>
        </w:r>
      </w:hyperlink>
      <w:r>
        <w:rPr/>
        <w:t>)</w:t>
      </w:r>
    </w:p>
    <w:p>
      <w:pPr>
        <w:pStyle w:val="BodyText"/>
        <w:spacing w:line="273" w:lineRule="auto"/>
        <w:ind w:right="1905" w:firstLine="720"/>
      </w:pPr>
      <w:r>
        <w:rPr/>
        <w:t>The same logic applies to the international regimes, where, the rules described above are mixed. (</w:t>
      </w:r>
      <w:hyperlink w:history="true" w:anchor="_bookmark323">
        <w:r>
          <w:rPr/>
          <w:t>Onuf, 1989, p. 145</w:t>
        </w:r>
      </w:hyperlink>
      <w:r>
        <w:rPr/>
        <w:t>) The dominant rules define the general nature of regimes. For example, where formal instruction-rules are primary, those regimes are </w:t>
      </w:r>
      <w:r>
        <w:rPr>
          <w:sz w:val="27"/>
        </w:rPr>
        <w:t>monitory regimes</w:t>
      </w:r>
      <w:r>
        <w:rPr/>
        <w:t>. Agents of this type of regime are aware that they are under informal monitoring; they also know directive-rules can never get enough support to become laws. International</w:t>
      </w:r>
    </w:p>
    <w:p>
      <w:pPr>
        <w:pStyle w:val="BodyText"/>
        <w:spacing w:after="0" w:line="273" w:lineRule="auto"/>
        <w:sectPr>
          <w:pgSz w:w="12240" w:h="15840"/>
          <w:pgMar w:header="1046" w:footer="0" w:top="1360" w:bottom="280" w:left="720" w:right="360"/>
        </w:sectPr>
      </w:pPr>
    </w:p>
    <w:p>
      <w:pPr>
        <w:pStyle w:val="BodyText"/>
        <w:spacing w:line="271" w:lineRule="auto" w:before="266"/>
        <w:ind w:right="1908"/>
      </w:pPr>
      <w:r>
        <w:rPr/>
        <w:t>regimes organized around commitment-rules are </w:t>
      </w:r>
      <w:r>
        <w:rPr>
          <w:sz w:val="27"/>
        </w:rPr>
        <w:t>administrative regimes</w:t>
      </w:r>
      <w:r>
        <w:rPr/>
        <w:t>; multilateral treaties bring this sort of order into existence. Finally, regimes dependent on formal directive rules are </w:t>
      </w:r>
      <w:r>
        <w:rPr>
          <w:sz w:val="27"/>
        </w:rPr>
        <w:t>executive regimes</w:t>
      </w:r>
      <w:r>
        <w:rPr/>
        <w:t>.</w:t>
      </w:r>
    </w:p>
    <w:p>
      <w:pPr>
        <w:pStyle w:val="BodyText"/>
        <w:spacing w:line="268" w:lineRule="auto"/>
        <w:ind w:right="1910" w:firstLine="720"/>
      </w:pPr>
      <w:r>
        <w:rPr>
          <w:sz w:val="27"/>
        </w:rPr>
        <w:t>Friedrich Kratochwil </w:t>
      </w:r>
      <w:r>
        <w:rPr/>
        <w:t>is among pioneers of constructivism in IR. </w:t>
      </w:r>
      <w:r>
        <w:rPr>
          <w:sz w:val="27"/>
        </w:rPr>
        <w:t>Kratochwil</w:t>
      </w:r>
      <w:r>
        <w:rPr/>
        <w:t>’s approach has many similarities with </w:t>
      </w:r>
      <w:r>
        <w:rPr>
          <w:sz w:val="27"/>
        </w:rPr>
        <w:t>Onuf</w:t>
      </w:r>
      <w:r>
        <w:rPr/>
        <w:t>’s theory; it would be reasonable to say that they come from similar philosophical position.</w:t>
      </w:r>
    </w:p>
    <w:p>
      <w:pPr>
        <w:pStyle w:val="BodyText"/>
        <w:spacing w:line="273" w:lineRule="auto"/>
        <w:ind w:right="1906" w:firstLine="720"/>
      </w:pPr>
      <w:r>
        <w:rPr>
          <w:sz w:val="27"/>
        </w:rPr>
        <w:t>Kratochwil </w:t>
      </w:r>
      <w:r>
        <w:rPr/>
        <w:t>started with addressing the epistemic troubles in IR. He argued that original sin was rooted in </w:t>
      </w:r>
      <w:r>
        <w:rPr>
          <w:sz w:val="27"/>
        </w:rPr>
        <w:t>Hobbesian </w:t>
      </w:r>
      <w:r>
        <w:rPr/>
        <w:t>imagination of state. On the international</w:t>
      </w:r>
      <w:r>
        <w:rPr>
          <w:spacing w:val="-2"/>
        </w:rPr>
        <w:t> </w:t>
      </w:r>
      <w:r>
        <w:rPr/>
        <w:t>level</w:t>
      </w:r>
      <w:r>
        <w:rPr>
          <w:spacing w:val="-3"/>
        </w:rPr>
        <w:t> </w:t>
      </w:r>
      <w:r>
        <w:rPr/>
        <w:t>there is no</w:t>
      </w:r>
      <w:r>
        <w:rPr>
          <w:spacing w:val="-3"/>
        </w:rPr>
        <w:t> </w:t>
      </w:r>
      <w:r>
        <w:rPr/>
        <w:t>supreme regulator above all states</w:t>
      </w:r>
      <w:r>
        <w:rPr>
          <w:spacing w:val="-2"/>
        </w:rPr>
        <w:t> </w:t>
      </w:r>
      <w:r>
        <w:rPr/>
        <w:t>(Super- Leviathan), therefore, theorists assume that the international arena is nothing but anarchy. Social order domestically depends on law and while international law can be only a weak analogy of domestic one, IR scholarship gives negative connotations to global order. (</w:t>
      </w:r>
      <w:hyperlink w:history="true" w:anchor="_bookmark247">
        <w:r>
          <w:rPr/>
          <w:t>Kratochwil, 1989</w:t>
        </w:r>
      </w:hyperlink>
      <w:r>
        <w:rPr/>
        <w:t>)</w:t>
      </w:r>
    </w:p>
    <w:p>
      <w:pPr>
        <w:pStyle w:val="BodyText"/>
        <w:spacing w:before="47"/>
        <w:ind w:left="0"/>
        <w:jc w:val="left"/>
      </w:pPr>
    </w:p>
    <w:p>
      <w:pPr>
        <w:pStyle w:val="BodyText"/>
        <w:spacing w:line="276" w:lineRule="auto"/>
        <w:ind w:left="2420" w:right="1913"/>
      </w:pPr>
      <w:r>
        <w:rPr/>
        <mc:AlternateContent>
          <mc:Choice Requires="wps">
            <w:drawing>
              <wp:anchor distT="0" distB="0" distL="0" distR="0" allowOverlap="1" layoutInCell="1" locked="0" behindDoc="0" simplePos="0" relativeHeight="15768064">
                <wp:simplePos x="0" y="0"/>
                <wp:positionH relativeFrom="page">
                  <wp:posOffset>1923923</wp:posOffset>
                </wp:positionH>
                <wp:positionV relativeFrom="paragraph">
                  <wp:posOffset>-1252</wp:posOffset>
                </wp:positionV>
                <wp:extent cx="1270" cy="750570"/>
                <wp:effectExtent l="0" t="0" r="0" b="0"/>
                <wp:wrapNone/>
                <wp:docPr id="93" name="Graphic 93"/>
                <wp:cNvGraphicFramePr>
                  <a:graphicFrameLocks/>
                </wp:cNvGraphicFramePr>
                <a:graphic>
                  <a:graphicData uri="http://schemas.microsoft.com/office/word/2010/wordprocessingShape">
                    <wps:wsp>
                      <wps:cNvPr id="93" name="Graphic 93"/>
                      <wps:cNvSpPr/>
                      <wps:spPr>
                        <a:xfrm>
                          <a:off x="0" y="0"/>
                          <a:ext cx="1270" cy="750570"/>
                        </a:xfrm>
                        <a:custGeom>
                          <a:avLst/>
                          <a:gdLst/>
                          <a:ahLst/>
                          <a:cxnLst/>
                          <a:rect l="l" t="t" r="r" b="b"/>
                          <a:pathLst>
                            <a:path w="0" h="750570">
                              <a:moveTo>
                                <a:pt x="0" y="0"/>
                              </a:moveTo>
                              <a:lnTo>
                                <a:pt x="0" y="250189"/>
                              </a:lnTo>
                            </a:path>
                            <a:path w="0" h="750570">
                              <a:moveTo>
                                <a:pt x="0" y="250189"/>
                              </a:moveTo>
                              <a:lnTo>
                                <a:pt x="0" y="500125"/>
                              </a:lnTo>
                            </a:path>
                            <a:path w="0" h="750570">
                              <a:moveTo>
                                <a:pt x="0" y="500125"/>
                              </a:moveTo>
                              <a:lnTo>
                                <a:pt x="0" y="750062"/>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98613pt;width:.1pt;height:59.1pt;mso-position-horizontal-relative:page;mso-position-vertical-relative:paragraph;z-index:15768064" id="docshape88" coordorigin="3030,-2" coordsize="0,1182" path="m3030,-2l3030,392m3030,392l3030,786m3030,786l3030,1179e" filled="false" stroked="true" strokeweight=".48pt" strokecolor="#000000">
                <v:path arrowok="t"/>
                <v:stroke dashstyle="shortdash"/>
                <w10:wrap type="none"/>
              </v:shape>
            </w:pict>
          </mc:Fallback>
        </mc:AlternateContent>
      </w:r>
      <w:r>
        <w:rPr/>
        <w:t>“We understand the international arena largely negatively,</w:t>
      </w:r>
      <w:r>
        <w:rPr>
          <w:spacing w:val="40"/>
        </w:rPr>
        <w:t> </w:t>
      </w:r>
      <w:r>
        <w:rPr/>
        <w:t>i.e., in terms of the "lack" of binding legal norms, of central institutions, of a sovereign will, etc.</w:t>
      </w:r>
    </w:p>
    <w:p>
      <w:pPr>
        <w:pStyle w:val="BodyText"/>
        <w:ind w:left="6406"/>
      </w:pPr>
      <w:r>
        <w:rPr/>
        <w:t>(</w:t>
      </w:r>
      <w:hyperlink w:history="true" w:anchor="_bookmark247">
        <w:r>
          <w:rPr/>
          <w:t>Kratochwil,</w:t>
        </w:r>
        <w:r>
          <w:rPr>
            <w:spacing w:val="-7"/>
          </w:rPr>
          <w:t> </w:t>
        </w:r>
        <w:r>
          <w:rPr/>
          <w:t>1989,</w:t>
        </w:r>
        <w:r>
          <w:rPr>
            <w:spacing w:val="-10"/>
          </w:rPr>
          <w:t> </w:t>
        </w:r>
        <w:r>
          <w:rPr/>
          <w:t>p.</w:t>
        </w:r>
        <w:r>
          <w:rPr>
            <w:spacing w:val="-6"/>
          </w:rPr>
          <w:t> </w:t>
        </w:r>
        <w:r>
          <w:rPr>
            <w:spacing w:val="-5"/>
          </w:rPr>
          <w:t>2</w:t>
        </w:r>
      </w:hyperlink>
      <w:r>
        <w:rPr>
          <w:spacing w:val="-5"/>
        </w:rPr>
        <w:t>)</w:t>
      </w:r>
    </w:p>
    <w:p>
      <w:pPr>
        <w:pStyle w:val="BodyText"/>
        <w:spacing w:line="273" w:lineRule="auto" w:before="41"/>
        <w:ind w:right="1906" w:firstLine="720"/>
      </w:pPr>
      <w:r>
        <w:rPr>
          <w:sz w:val="27"/>
        </w:rPr>
        <w:t>Kratochwil</w:t>
      </w:r>
      <w:r>
        <w:rPr/>
        <w:t>’s critical stance is mainly against neo-realist school of international relations. “Neo-realism not only misunderstands the present, but also systematically misconceives the past.” (</w:t>
      </w:r>
      <w:hyperlink w:history="true" w:anchor="_bookmark248">
        <w:r>
          <w:rPr/>
          <w:t>Kratochwil, 1993, p. 69</w:t>
        </w:r>
      </w:hyperlink>
      <w:r>
        <w:rPr/>
        <w:t>) </w:t>
      </w:r>
      <w:r>
        <w:rPr>
          <w:sz w:val="27"/>
        </w:rPr>
        <w:t>Glasnost</w:t>
      </w:r>
      <w:r>
        <w:rPr>
          <w:spacing w:val="-3"/>
          <w:sz w:val="27"/>
        </w:rPr>
        <w:t> </w:t>
      </w:r>
      <w:r>
        <w:rPr/>
        <w:t>and </w:t>
      </w:r>
      <w:r>
        <w:rPr>
          <w:sz w:val="27"/>
        </w:rPr>
        <w:t>Perestroika</w:t>
      </w:r>
      <w:r>
        <w:rPr>
          <w:spacing w:val="-2"/>
          <w:sz w:val="27"/>
        </w:rPr>
        <w:t> </w:t>
      </w:r>
      <w:r>
        <w:rPr/>
        <w:t>in the</w:t>
      </w:r>
      <w:r>
        <w:rPr>
          <w:spacing w:val="-1"/>
        </w:rPr>
        <w:t> </w:t>
      </w:r>
      <w:r>
        <w:rPr/>
        <w:t>USSR</w:t>
      </w:r>
      <w:r>
        <w:rPr>
          <w:spacing w:val="-2"/>
        </w:rPr>
        <w:t> </w:t>
      </w:r>
      <w:r>
        <w:rPr/>
        <w:t>were major</w:t>
      </w:r>
      <w:r>
        <w:rPr>
          <w:spacing w:val="-1"/>
        </w:rPr>
        <w:t> </w:t>
      </w:r>
      <w:r>
        <w:rPr/>
        <w:t>events that</w:t>
      </w:r>
      <w:r>
        <w:rPr>
          <w:spacing w:val="-1"/>
        </w:rPr>
        <w:t> </w:t>
      </w:r>
      <w:r>
        <w:rPr/>
        <w:t>‘embarrassed’ neo-realism. The scholars from the school have failed to explain events that changed world politics. The Neo-realist logic of power redistribution and centrality of the systemic anarchy could not cope with the fact that international transformations were due to the domestic changes in normative practices.</w:t>
      </w:r>
    </w:p>
    <w:p>
      <w:pPr>
        <w:pStyle w:val="BodyText"/>
        <w:spacing w:before="67"/>
        <w:ind w:left="0"/>
        <w:jc w:val="left"/>
      </w:pPr>
    </w:p>
    <w:p>
      <w:pPr>
        <w:pStyle w:val="BodyText"/>
        <w:spacing w:line="276" w:lineRule="auto"/>
        <w:ind w:left="2420" w:right="1909"/>
      </w:pPr>
      <w:r>
        <w:rPr/>
        <mc:AlternateContent>
          <mc:Choice Requires="wps">
            <w:drawing>
              <wp:anchor distT="0" distB="0" distL="0" distR="0" allowOverlap="1" layoutInCell="1" locked="0" behindDoc="0" simplePos="0" relativeHeight="15768576">
                <wp:simplePos x="0" y="0"/>
                <wp:positionH relativeFrom="page">
                  <wp:posOffset>1923923</wp:posOffset>
                </wp:positionH>
                <wp:positionV relativeFrom="paragraph">
                  <wp:posOffset>-1260</wp:posOffset>
                </wp:positionV>
                <wp:extent cx="1270" cy="1000125"/>
                <wp:effectExtent l="0" t="0" r="0" b="0"/>
                <wp:wrapNone/>
                <wp:docPr id="94" name="Graphic 94"/>
                <wp:cNvGraphicFramePr>
                  <a:graphicFrameLocks/>
                </wp:cNvGraphicFramePr>
                <a:graphic>
                  <a:graphicData uri="http://schemas.microsoft.com/office/word/2010/wordprocessingShape">
                    <wps:wsp>
                      <wps:cNvPr id="94" name="Graphic 94"/>
                      <wps:cNvSpPr/>
                      <wps:spPr>
                        <a:xfrm>
                          <a:off x="0" y="0"/>
                          <a:ext cx="1270" cy="1000125"/>
                        </a:xfrm>
                        <a:custGeom>
                          <a:avLst/>
                          <a:gdLst/>
                          <a:ahLst/>
                          <a:cxnLst/>
                          <a:rect l="l" t="t" r="r" b="b"/>
                          <a:pathLst>
                            <a:path w="0" h="1000125">
                              <a:moveTo>
                                <a:pt x="0" y="0"/>
                              </a:moveTo>
                              <a:lnTo>
                                <a:pt x="0" y="249936"/>
                              </a:lnTo>
                            </a:path>
                            <a:path w="0" h="1000125">
                              <a:moveTo>
                                <a:pt x="0" y="249936"/>
                              </a:moveTo>
                              <a:lnTo>
                                <a:pt x="0" y="499872"/>
                              </a:lnTo>
                            </a:path>
                            <a:path w="0" h="1000125">
                              <a:moveTo>
                                <a:pt x="0" y="499872"/>
                              </a:moveTo>
                              <a:lnTo>
                                <a:pt x="0" y="749833"/>
                              </a:lnTo>
                            </a:path>
                            <a:path w="0" h="1000125">
                              <a:moveTo>
                                <a:pt x="0" y="749833"/>
                              </a:moveTo>
                              <a:lnTo>
                                <a:pt x="0" y="1000074"/>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99243pt;width:.1pt;height:78.75pt;mso-position-horizontal-relative:page;mso-position-vertical-relative:paragraph;z-index:15768576" id="docshape89" coordorigin="3030,-2" coordsize="0,1575" path="m3030,-2l3030,392m3030,392l3030,785m3030,785l3030,1179m3030,1179l3030,1573e" filled="false" stroked="true" strokeweight=".48pt" strokecolor="#000000">
                <v:path arrowok="t"/>
                <v:stroke dashstyle="shortdash"/>
                <w10:wrap type="none"/>
              </v:shape>
            </w:pict>
          </mc:Fallback>
        </mc:AlternateContent>
      </w:r>
      <w:r>
        <w:rPr/>
        <w:t>“Fundamental change of the international system occurs</w:t>
      </w:r>
      <w:r>
        <w:rPr>
          <w:spacing w:val="80"/>
        </w:rPr>
        <w:t> </w:t>
      </w:r>
      <w:r>
        <w:rPr/>
        <w:t>when</w:t>
      </w:r>
      <w:r>
        <w:rPr>
          <w:spacing w:val="80"/>
        </w:rPr>
        <w:t> </w:t>
      </w:r>
      <w:r>
        <w:rPr/>
        <w:t>actors,</w:t>
      </w:r>
      <w:r>
        <w:rPr>
          <w:spacing w:val="80"/>
        </w:rPr>
        <w:t> </w:t>
      </w:r>
      <w:r>
        <w:rPr/>
        <w:t>through</w:t>
      </w:r>
      <w:r>
        <w:rPr>
          <w:spacing w:val="80"/>
        </w:rPr>
        <w:t> </w:t>
      </w:r>
      <w:r>
        <w:rPr/>
        <w:t>their</w:t>
      </w:r>
      <w:r>
        <w:rPr>
          <w:spacing w:val="80"/>
        </w:rPr>
        <w:t> </w:t>
      </w:r>
      <w:r>
        <w:rPr/>
        <w:t>practices,</w:t>
      </w:r>
      <w:r>
        <w:rPr>
          <w:spacing w:val="80"/>
        </w:rPr>
        <w:t> </w:t>
      </w:r>
      <w:r>
        <w:rPr/>
        <w:t>change</w:t>
      </w:r>
      <w:r>
        <w:rPr>
          <w:spacing w:val="80"/>
        </w:rPr>
        <w:t> </w:t>
      </w:r>
      <w:r>
        <w:rPr/>
        <w:t>the</w:t>
      </w:r>
      <w:r>
        <w:rPr>
          <w:spacing w:val="80"/>
        </w:rPr>
        <w:t> </w:t>
      </w:r>
      <w:r>
        <w:rPr/>
        <w:t>rules and norms</w:t>
      </w:r>
      <w:r>
        <w:rPr>
          <w:spacing w:val="40"/>
        </w:rPr>
        <w:t> </w:t>
      </w:r>
      <w:r>
        <w:rPr/>
        <w:t>constitutive</w:t>
      </w:r>
      <w:r>
        <w:rPr>
          <w:spacing w:val="40"/>
        </w:rPr>
        <w:t> </w:t>
      </w:r>
      <w:r>
        <w:rPr/>
        <w:t>of international</w:t>
      </w:r>
      <w:r>
        <w:rPr>
          <w:spacing w:val="40"/>
        </w:rPr>
        <w:t> </w:t>
      </w:r>
      <w:r>
        <w:rPr/>
        <w:t>interaction. Moreover,</w:t>
      </w:r>
      <w:r>
        <w:rPr>
          <w:spacing w:val="31"/>
        </w:rPr>
        <w:t>  </w:t>
      </w:r>
      <w:r>
        <w:rPr/>
        <w:t>reproduction</w:t>
      </w:r>
      <w:r>
        <w:rPr>
          <w:spacing w:val="35"/>
        </w:rPr>
        <w:t>  </w:t>
      </w:r>
      <w:r>
        <w:rPr/>
        <w:t>of</w:t>
      </w:r>
      <w:r>
        <w:rPr>
          <w:spacing w:val="30"/>
        </w:rPr>
        <w:t>  </w:t>
      </w:r>
      <w:r>
        <w:rPr/>
        <w:t>the</w:t>
      </w:r>
      <w:r>
        <w:rPr>
          <w:spacing w:val="31"/>
        </w:rPr>
        <w:t>  </w:t>
      </w:r>
      <w:r>
        <w:rPr/>
        <w:t>practice</w:t>
      </w:r>
      <w:r>
        <w:rPr>
          <w:spacing w:val="32"/>
        </w:rPr>
        <w:t>  </w:t>
      </w:r>
      <w:r>
        <w:rPr/>
        <w:t>of</w:t>
      </w:r>
      <w:r>
        <w:rPr>
          <w:spacing w:val="33"/>
        </w:rPr>
        <w:t>  </w:t>
      </w:r>
      <w:r>
        <w:rPr>
          <w:spacing w:val="-2"/>
        </w:rPr>
        <w:t>international</w:t>
      </w:r>
    </w:p>
    <w:p>
      <w:pPr>
        <w:pStyle w:val="BodyText"/>
        <w:spacing w:after="0" w:line="276" w:lineRule="auto"/>
        <w:sectPr>
          <w:pgSz w:w="12240" w:h="15840"/>
          <w:pgMar w:header="1046" w:footer="0" w:top="1360" w:bottom="280" w:left="720" w:right="360"/>
        </w:sectPr>
      </w:pPr>
    </w:p>
    <w:p>
      <w:pPr>
        <w:pStyle w:val="BodyText"/>
        <w:spacing w:line="276" w:lineRule="auto" w:before="276"/>
        <w:ind w:left="2420" w:right="1911"/>
      </w:pPr>
      <w:r>
        <w:rPr/>
        <mc:AlternateContent>
          <mc:Choice Requires="wps">
            <w:drawing>
              <wp:anchor distT="0" distB="0" distL="0" distR="0" allowOverlap="1" layoutInCell="1" locked="0" behindDoc="0" simplePos="0" relativeHeight="15769088">
                <wp:simplePos x="0" y="0"/>
                <wp:positionH relativeFrom="page">
                  <wp:posOffset>1923923</wp:posOffset>
                </wp:positionH>
                <wp:positionV relativeFrom="paragraph">
                  <wp:posOffset>174084</wp:posOffset>
                </wp:positionV>
                <wp:extent cx="1270" cy="1500505"/>
                <wp:effectExtent l="0" t="0" r="0" b="0"/>
                <wp:wrapNone/>
                <wp:docPr id="95" name="Graphic 95"/>
                <wp:cNvGraphicFramePr>
                  <a:graphicFrameLocks/>
                </wp:cNvGraphicFramePr>
                <a:graphic>
                  <a:graphicData uri="http://schemas.microsoft.com/office/word/2010/wordprocessingShape">
                    <wps:wsp>
                      <wps:cNvPr id="95" name="Graphic 95"/>
                      <wps:cNvSpPr/>
                      <wps:spPr>
                        <a:xfrm>
                          <a:off x="0" y="0"/>
                          <a:ext cx="1270" cy="1500505"/>
                        </a:xfrm>
                        <a:custGeom>
                          <a:avLst/>
                          <a:gdLst/>
                          <a:ahLst/>
                          <a:cxnLst/>
                          <a:rect l="l" t="t" r="r" b="b"/>
                          <a:pathLst>
                            <a:path w="0" h="1500505">
                              <a:moveTo>
                                <a:pt x="0" y="0"/>
                              </a:moveTo>
                              <a:lnTo>
                                <a:pt x="0" y="249935"/>
                              </a:lnTo>
                            </a:path>
                            <a:path w="0" h="1500505">
                              <a:moveTo>
                                <a:pt x="0" y="249935"/>
                              </a:moveTo>
                              <a:lnTo>
                                <a:pt x="0" y="499872"/>
                              </a:lnTo>
                            </a:path>
                            <a:path w="0" h="1500505">
                              <a:moveTo>
                                <a:pt x="0" y="499872"/>
                              </a:moveTo>
                              <a:lnTo>
                                <a:pt x="0" y="750188"/>
                              </a:lnTo>
                            </a:path>
                            <a:path w="0" h="1500505">
                              <a:moveTo>
                                <a:pt x="0" y="750188"/>
                              </a:moveTo>
                              <a:lnTo>
                                <a:pt x="0" y="1000125"/>
                              </a:lnTo>
                            </a:path>
                            <a:path w="0" h="1500505">
                              <a:moveTo>
                                <a:pt x="0" y="1000125"/>
                              </a:moveTo>
                              <a:lnTo>
                                <a:pt x="0" y="1250060"/>
                              </a:lnTo>
                            </a:path>
                            <a:path w="0" h="1500505">
                              <a:moveTo>
                                <a:pt x="0" y="1250060"/>
                              </a:moveTo>
                              <a:lnTo>
                                <a:pt x="0" y="1499997"/>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13.707422pt;width:.1pt;height:118.15pt;mso-position-horizontal-relative:page;mso-position-vertical-relative:paragraph;z-index:15769088" id="docshape90" coordorigin="3030,274" coordsize="0,2363" path="m3030,274l3030,668m3030,668l3030,1061m3030,1061l3030,1456m3030,1456l3030,1849m3030,1849l3030,2243m3030,2243l3030,2636e" filled="false" stroked="true" strokeweight=".48pt" strokecolor="#000000">
                <v:path arrowok="t"/>
                <v:stroke dashstyle="shortdash"/>
                <w10:wrap type="none"/>
              </v:shape>
            </w:pict>
          </mc:Fallback>
        </mc:AlternateContent>
      </w:r>
      <w:r>
        <w:rPr/>
        <w:t>actors</w:t>
      </w:r>
      <w:r>
        <w:rPr>
          <w:spacing w:val="80"/>
        </w:rPr>
        <w:t> </w:t>
      </w:r>
      <w:r>
        <w:rPr/>
        <w:t>(i.e.,</w:t>
      </w:r>
      <w:r>
        <w:rPr>
          <w:spacing w:val="80"/>
        </w:rPr>
        <w:t> </w:t>
      </w:r>
      <w:r>
        <w:rPr/>
        <w:t>states)</w:t>
      </w:r>
      <w:r>
        <w:rPr>
          <w:spacing w:val="80"/>
        </w:rPr>
        <w:t> </w:t>
      </w:r>
      <w:r>
        <w:rPr/>
        <w:t>depends</w:t>
      </w:r>
      <w:r>
        <w:rPr>
          <w:spacing w:val="80"/>
        </w:rPr>
        <w:t> </w:t>
      </w:r>
      <w:r>
        <w:rPr/>
        <w:t>on</w:t>
      </w:r>
      <w:r>
        <w:rPr>
          <w:spacing w:val="80"/>
        </w:rPr>
        <w:t> </w:t>
      </w:r>
      <w:r>
        <w:rPr/>
        <w:t>the</w:t>
      </w:r>
      <w:r>
        <w:rPr>
          <w:spacing w:val="80"/>
        </w:rPr>
        <w:t> </w:t>
      </w:r>
      <w:r>
        <w:rPr/>
        <w:t>reproduction</w:t>
      </w:r>
      <w:r>
        <w:rPr>
          <w:spacing w:val="80"/>
        </w:rPr>
        <w:t> </w:t>
      </w:r>
      <w:r>
        <w:rPr/>
        <w:t>of practices</w:t>
      </w:r>
      <w:r>
        <w:rPr>
          <w:spacing w:val="40"/>
        </w:rPr>
        <w:t> </w:t>
      </w:r>
      <w:r>
        <w:rPr/>
        <w:t>of</w:t>
      </w:r>
      <w:r>
        <w:rPr>
          <w:spacing w:val="40"/>
        </w:rPr>
        <w:t> </w:t>
      </w:r>
      <w:r>
        <w:rPr/>
        <w:t>domestic actors (i.e., individuals</w:t>
      </w:r>
      <w:r>
        <w:rPr>
          <w:spacing w:val="40"/>
        </w:rPr>
        <w:t> </w:t>
      </w:r>
      <w:r>
        <w:rPr/>
        <w:t>and groups). Therefore, fundamental changes in international politics</w:t>
      </w:r>
      <w:r>
        <w:rPr>
          <w:spacing w:val="80"/>
        </w:rPr>
        <w:t> </w:t>
      </w:r>
      <w:r>
        <w:rPr/>
        <w:t>occur when beliefs and identities of domestic actors are</w:t>
      </w:r>
      <w:r>
        <w:rPr>
          <w:spacing w:val="80"/>
        </w:rPr>
        <w:t> </w:t>
      </w:r>
      <w:r>
        <w:rPr/>
        <w:t>altered thereby also altering the rules and norms that are constitutive</w:t>
      </w:r>
      <w:r>
        <w:rPr>
          <w:spacing w:val="40"/>
        </w:rPr>
        <w:t> </w:t>
      </w:r>
      <w:r>
        <w:rPr/>
        <w:t>of</w:t>
      </w:r>
      <w:r>
        <w:rPr>
          <w:spacing w:val="40"/>
        </w:rPr>
        <w:t> </w:t>
      </w:r>
      <w:r>
        <w:rPr/>
        <w:t>their political</w:t>
      </w:r>
      <w:r>
        <w:rPr>
          <w:spacing w:val="40"/>
        </w:rPr>
        <w:t> </w:t>
      </w:r>
      <w:r>
        <w:rPr/>
        <w:t>practices.”</w:t>
      </w:r>
    </w:p>
    <w:p>
      <w:pPr>
        <w:pStyle w:val="BodyText"/>
        <w:ind w:left="5757"/>
      </w:pPr>
      <w:r>
        <w:rPr/>
        <w:t>(</w:t>
      </w:r>
      <w:hyperlink w:history="true" w:anchor="_bookmark245">
        <w:r>
          <w:rPr/>
          <w:t>Koslowski</w:t>
        </w:r>
        <w:r>
          <w:rPr>
            <w:spacing w:val="-12"/>
          </w:rPr>
          <w:t> </w:t>
        </w:r>
        <w:r>
          <w:rPr/>
          <w:t>&amp;</w:t>
        </w:r>
        <w:r>
          <w:rPr>
            <w:spacing w:val="-12"/>
          </w:rPr>
          <w:t> </w:t>
        </w:r>
        <w:r>
          <w:rPr/>
          <w:t>Kratochwil,</w:t>
        </w:r>
        <w:r>
          <w:rPr>
            <w:spacing w:val="-8"/>
          </w:rPr>
          <w:t> </w:t>
        </w:r>
        <w:r>
          <w:rPr>
            <w:spacing w:val="-2"/>
          </w:rPr>
          <w:t>1994</w:t>
        </w:r>
      </w:hyperlink>
      <w:r>
        <w:rPr>
          <w:spacing w:val="-2"/>
        </w:rPr>
        <w:t>)</w:t>
      </w:r>
    </w:p>
    <w:p>
      <w:pPr>
        <w:pStyle w:val="BodyText"/>
        <w:spacing w:before="102"/>
        <w:ind w:left="0"/>
        <w:jc w:val="left"/>
      </w:pPr>
    </w:p>
    <w:p>
      <w:pPr>
        <w:pStyle w:val="BodyText"/>
        <w:spacing w:line="273" w:lineRule="auto" w:before="1"/>
        <w:ind w:right="1903" w:firstLine="720"/>
      </w:pPr>
      <w:r>
        <w:rPr/>
        <w:t>After two world wars, multilateral frameworks were preferred</w:t>
      </w:r>
      <w:r>
        <w:rPr>
          <w:spacing w:val="40"/>
        </w:rPr>
        <w:t> </w:t>
      </w:r>
      <w:r>
        <w:rPr/>
        <w:t>against neo-realist bilateral ‘prescriptions.’ Binding norms created certain indivisibility among international actors, via diffusing reciprocity. (</w:t>
      </w:r>
      <w:hyperlink w:history="true" w:anchor="_bookmark248">
        <w:r>
          <w:rPr/>
          <w:t>Kratochwil, 1993, p. 70</w:t>
        </w:r>
      </w:hyperlink>
      <w:r>
        <w:rPr/>
        <w:t>) </w:t>
      </w:r>
      <w:r>
        <w:rPr>
          <w:sz w:val="27"/>
        </w:rPr>
        <w:t>Kratochwil </w:t>
      </w:r>
      <w:r>
        <w:rPr/>
        <w:t>sees properly understood norms as essential for analyzing the international politics. (</w:t>
      </w:r>
      <w:hyperlink w:history="true" w:anchor="_bookmark445">
        <w:r>
          <w:rPr/>
          <w:t>Zehfuss, 2002, p. 94</w:t>
        </w:r>
      </w:hyperlink>
      <w:r>
        <w:rPr/>
        <w:t>) His starting point is that: “treatment of norms suffers from a variety of epistemological shortcomings.” (</w:t>
      </w:r>
      <w:hyperlink w:history="true" w:anchor="_bookmark247">
        <w:r>
          <w:rPr/>
          <w:t>Kratochwil, 1989, p. 1</w:t>
        </w:r>
      </w:hyperlink>
      <w:r>
        <w:rPr/>
        <w:t>)” Traditionally understood: “They either depict law as a static system of norms or as a normative order which becomes "legal” through its sanctioning character.” (</w:t>
      </w:r>
      <w:hyperlink w:history="true" w:anchor="_bookmark247">
        <w:r>
          <w:rPr/>
          <w:t>Kratochwil, 1989</w:t>
        </w:r>
      </w:hyperlink>
      <w:r>
        <w:rPr/>
        <w:t>) Norms should be studied independently. </w:t>
      </w:r>
      <w:r>
        <w:rPr>
          <w:sz w:val="27"/>
        </w:rPr>
        <w:t>Kratochwil </w:t>
      </w:r>
      <w:r>
        <w:rPr/>
        <w:t>offers two strategies to see norms in a new way:</w:t>
      </w:r>
    </w:p>
    <w:p>
      <w:pPr>
        <w:pStyle w:val="BodyText"/>
        <w:spacing w:before="58"/>
        <w:ind w:left="0"/>
        <w:jc w:val="left"/>
      </w:pPr>
    </w:p>
    <w:p>
      <w:pPr>
        <w:pStyle w:val="BodyText"/>
        <w:spacing w:line="276" w:lineRule="auto"/>
        <w:ind w:left="2420" w:right="1906"/>
      </w:pPr>
      <w:r>
        <w:rPr/>
        <mc:AlternateContent>
          <mc:Choice Requires="wps">
            <w:drawing>
              <wp:anchor distT="0" distB="0" distL="0" distR="0" allowOverlap="1" layoutInCell="1" locked="0" behindDoc="0" simplePos="0" relativeHeight="15769600">
                <wp:simplePos x="0" y="0"/>
                <wp:positionH relativeFrom="page">
                  <wp:posOffset>1923923</wp:posOffset>
                </wp:positionH>
                <wp:positionV relativeFrom="paragraph">
                  <wp:posOffset>-1121</wp:posOffset>
                </wp:positionV>
                <wp:extent cx="1270" cy="1753235"/>
                <wp:effectExtent l="0" t="0" r="0" b="0"/>
                <wp:wrapNone/>
                <wp:docPr id="96" name="Graphic 96"/>
                <wp:cNvGraphicFramePr>
                  <a:graphicFrameLocks/>
                </wp:cNvGraphicFramePr>
                <a:graphic>
                  <a:graphicData uri="http://schemas.microsoft.com/office/word/2010/wordprocessingShape">
                    <wps:wsp>
                      <wps:cNvPr id="96" name="Graphic 96"/>
                      <wps:cNvSpPr/>
                      <wps:spPr>
                        <a:xfrm>
                          <a:off x="0" y="0"/>
                          <a:ext cx="1270" cy="1753235"/>
                        </a:xfrm>
                        <a:custGeom>
                          <a:avLst/>
                          <a:gdLst/>
                          <a:ahLst/>
                          <a:cxnLst/>
                          <a:rect l="l" t="t" r="r" b="b"/>
                          <a:pathLst>
                            <a:path w="0" h="1753235">
                              <a:moveTo>
                                <a:pt x="0" y="0"/>
                              </a:moveTo>
                              <a:lnTo>
                                <a:pt x="0" y="249936"/>
                              </a:lnTo>
                            </a:path>
                            <a:path w="0" h="1753235">
                              <a:moveTo>
                                <a:pt x="0" y="249936"/>
                              </a:moveTo>
                              <a:lnTo>
                                <a:pt x="0" y="499872"/>
                              </a:lnTo>
                            </a:path>
                            <a:path w="0" h="1753235">
                              <a:moveTo>
                                <a:pt x="0" y="499872"/>
                              </a:moveTo>
                              <a:lnTo>
                                <a:pt x="0" y="749808"/>
                              </a:lnTo>
                            </a:path>
                            <a:path w="0" h="1753235">
                              <a:moveTo>
                                <a:pt x="0" y="749808"/>
                              </a:moveTo>
                              <a:lnTo>
                                <a:pt x="0" y="1000125"/>
                              </a:lnTo>
                            </a:path>
                            <a:path w="0" h="1753235">
                              <a:moveTo>
                                <a:pt x="0" y="1000125"/>
                              </a:moveTo>
                              <a:lnTo>
                                <a:pt x="0" y="1253108"/>
                              </a:lnTo>
                            </a:path>
                            <a:path w="0" h="1753235">
                              <a:moveTo>
                                <a:pt x="0" y="1253108"/>
                              </a:moveTo>
                              <a:lnTo>
                                <a:pt x="0" y="1503045"/>
                              </a:lnTo>
                            </a:path>
                            <a:path w="0" h="1753235">
                              <a:moveTo>
                                <a:pt x="0" y="1503045"/>
                              </a:moveTo>
                              <a:lnTo>
                                <a:pt x="0" y="1752981"/>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88311pt;width:.1pt;height:138.050pt;mso-position-horizontal-relative:page;mso-position-vertical-relative:paragraph;z-index:15769600" id="docshape91" coordorigin="3030,-2" coordsize="0,2761" path="m3030,-2l3030,392m3030,392l3030,785m3030,785l3030,1179m3030,1179l3030,1573m3030,1573l3030,1972m3030,1972l3030,2365m3030,2365l3030,2759e" filled="false" stroked="true" strokeweight=".48pt" strokecolor="#000000">
                <v:path arrowok="t"/>
                <v:stroke dashstyle="shortdash"/>
                <w10:wrap type="none"/>
              </v:shape>
            </w:pict>
          </mc:Fallback>
        </mc:AlternateContent>
      </w:r>
      <w:r>
        <w:rPr/>
        <w:t>“One would be to start anew with certain assumptions concerning the role of norms and deductively trace their implications. The other approach is largely embedded in a historical recollection.</w:t>
      </w:r>
      <w:r>
        <w:rPr>
          <w:spacing w:val="80"/>
        </w:rPr>
        <w:t> </w:t>
      </w:r>
      <w:r>
        <w:rPr/>
        <w:t>It raises new issues by attempting to</w:t>
      </w:r>
      <w:r>
        <w:rPr>
          <w:spacing w:val="40"/>
        </w:rPr>
        <w:t> </w:t>
      </w:r>
      <w:r>
        <w:rPr/>
        <w:t>rid us of the amnesia of what usually we take for granted and by</w:t>
      </w:r>
      <w:r>
        <w:rPr>
          <w:spacing w:val="-2"/>
        </w:rPr>
        <w:t> </w:t>
      </w:r>
      <w:r>
        <w:rPr/>
        <w:t>rearticulating</w:t>
      </w:r>
      <w:r>
        <w:rPr>
          <w:spacing w:val="-2"/>
        </w:rPr>
        <w:t> </w:t>
      </w:r>
      <w:r>
        <w:rPr/>
        <w:t>the</w:t>
      </w:r>
      <w:r>
        <w:rPr>
          <w:spacing w:val="-2"/>
        </w:rPr>
        <w:t> </w:t>
      </w:r>
      <w:r>
        <w:rPr/>
        <w:t>unstated assumptions</w:t>
      </w:r>
      <w:r>
        <w:rPr>
          <w:spacing w:val="-4"/>
        </w:rPr>
        <w:t> </w:t>
      </w:r>
      <w:r>
        <w:rPr/>
        <w:t>of our</w:t>
      </w:r>
      <w:r>
        <w:rPr>
          <w:spacing w:val="-1"/>
        </w:rPr>
        <w:t> </w:t>
      </w:r>
      <w:r>
        <w:rPr/>
        <w:t>practices</w:t>
      </w:r>
      <w:r>
        <w:rPr>
          <w:spacing w:val="-4"/>
        </w:rPr>
        <w:t> </w:t>
      </w:r>
      <w:r>
        <w:rPr/>
        <w:t>and theoretical understandings.”</w:t>
      </w:r>
    </w:p>
    <w:p>
      <w:pPr>
        <w:pStyle w:val="BodyText"/>
        <w:spacing w:before="4"/>
        <w:ind w:left="1700" w:firstLine="4969"/>
      </w:pPr>
      <w:r>
        <w:rPr/>
        <w:t>(</w:t>
      </w:r>
      <w:hyperlink w:history="true" w:anchor="_bookmark247">
        <w:r>
          <w:rPr/>
          <w:t>Kratochwil,</w:t>
        </w:r>
        <w:r>
          <w:rPr>
            <w:spacing w:val="-7"/>
          </w:rPr>
          <w:t> </w:t>
        </w:r>
        <w:r>
          <w:rPr/>
          <w:t>1989,</w:t>
        </w:r>
        <w:r>
          <w:rPr>
            <w:spacing w:val="-10"/>
          </w:rPr>
          <w:t> </w:t>
        </w:r>
        <w:r>
          <w:rPr/>
          <w:t>p.</w:t>
        </w:r>
        <w:r>
          <w:rPr>
            <w:spacing w:val="-6"/>
          </w:rPr>
          <w:t> </w:t>
        </w:r>
        <w:r>
          <w:rPr>
            <w:spacing w:val="-5"/>
          </w:rPr>
          <w:t>2</w:t>
        </w:r>
      </w:hyperlink>
      <w:r>
        <w:rPr>
          <w:spacing w:val="-5"/>
        </w:rPr>
        <w:t>)</w:t>
      </w:r>
    </w:p>
    <w:p>
      <w:pPr>
        <w:pStyle w:val="BodyText"/>
        <w:spacing w:line="273" w:lineRule="auto" w:before="42"/>
        <w:ind w:right="1914" w:firstLine="720"/>
      </w:pPr>
      <w:r>
        <w:rPr>
          <w:sz w:val="27"/>
        </w:rPr>
        <w:t>Kratochwil </w:t>
      </w:r>
      <w:r>
        <w:rPr/>
        <w:t>similarly to </w:t>
      </w:r>
      <w:r>
        <w:rPr>
          <w:sz w:val="27"/>
        </w:rPr>
        <w:t>Onuf </w:t>
      </w:r>
      <w:r>
        <w:rPr/>
        <w:t>focuses on speech acts. Speech acts are part of rule-governed language and they give character, intention, and significance to norms. Speech acts articulate actions that cannot exist independently</w:t>
      </w:r>
      <w:r>
        <w:rPr>
          <w:spacing w:val="3"/>
        </w:rPr>
        <w:t> </w:t>
      </w:r>
      <w:r>
        <w:rPr/>
        <w:t>from</w:t>
      </w:r>
      <w:r>
        <w:rPr>
          <w:spacing w:val="5"/>
        </w:rPr>
        <w:t> </w:t>
      </w:r>
      <w:r>
        <w:rPr/>
        <w:t>language.</w:t>
      </w:r>
      <w:r>
        <w:rPr>
          <w:spacing w:val="5"/>
        </w:rPr>
        <w:t> </w:t>
      </w:r>
      <w:r>
        <w:rPr/>
        <w:t>For</w:t>
      </w:r>
      <w:r>
        <w:rPr>
          <w:spacing w:val="4"/>
        </w:rPr>
        <w:t> </w:t>
      </w:r>
      <w:r>
        <w:rPr/>
        <w:t>example,</w:t>
      </w:r>
      <w:r>
        <w:rPr>
          <w:spacing w:val="9"/>
        </w:rPr>
        <w:t> </w:t>
      </w:r>
      <w:r>
        <w:rPr/>
        <w:t>when</w:t>
      </w:r>
      <w:r>
        <w:rPr>
          <w:spacing w:val="5"/>
        </w:rPr>
        <w:t> </w:t>
      </w:r>
      <w:r>
        <w:rPr/>
        <w:t>one</w:t>
      </w:r>
      <w:r>
        <w:rPr>
          <w:spacing w:val="4"/>
        </w:rPr>
        <w:t> </w:t>
      </w:r>
      <w:r>
        <w:rPr/>
        <w:t>says,</w:t>
      </w:r>
      <w:r>
        <w:rPr>
          <w:spacing w:val="5"/>
        </w:rPr>
        <w:t> </w:t>
      </w:r>
      <w:r>
        <w:rPr/>
        <w:t>“I</w:t>
      </w:r>
      <w:r>
        <w:rPr>
          <w:spacing w:val="3"/>
        </w:rPr>
        <w:t> </w:t>
      </w:r>
      <w:r>
        <w:rPr/>
        <w:t>am</w:t>
      </w:r>
      <w:r>
        <w:rPr>
          <w:spacing w:val="5"/>
        </w:rPr>
        <w:t> </w:t>
      </w:r>
      <w:r>
        <w:rPr>
          <w:spacing w:val="-2"/>
        </w:rPr>
        <w:t>reading,”</w:t>
      </w:r>
    </w:p>
    <w:p>
      <w:pPr>
        <w:pStyle w:val="BodyText"/>
        <w:spacing w:after="0" w:line="273" w:lineRule="auto"/>
        <w:sectPr>
          <w:pgSz w:w="12240" w:h="15840"/>
          <w:pgMar w:header="1046" w:footer="0" w:top="1360" w:bottom="280" w:left="720" w:right="360"/>
        </w:sectPr>
      </w:pPr>
    </w:p>
    <w:p>
      <w:pPr>
        <w:pStyle w:val="BodyText"/>
        <w:spacing w:line="276" w:lineRule="auto" w:before="276"/>
        <w:ind w:right="1907"/>
      </w:pPr>
      <w:r>
        <w:rPr/>
        <w:t>these words does not add anything to that action. But if one promises, apologizes, authorizes etc. the words themselves do</w:t>
      </w:r>
      <w:r>
        <w:rPr>
          <w:spacing w:val="-1"/>
        </w:rPr>
        <w:t> </w:t>
      </w:r>
      <w:r>
        <w:rPr/>
        <w:t>the action. (</w:t>
      </w:r>
      <w:hyperlink w:history="true" w:anchor="_bookmark247">
        <w:r>
          <w:rPr/>
          <w:t>Kratochwil,</w:t>
        </w:r>
      </w:hyperlink>
      <w:r>
        <w:rPr/>
        <w:t> </w:t>
      </w:r>
      <w:hyperlink w:history="true" w:anchor="_bookmark247">
        <w:r>
          <w:rPr/>
          <w:t>1989, p. 5</w:t>
        </w:r>
      </w:hyperlink>
      <w:r>
        <w:rPr/>
        <w:t>) Those words, which “do,” have normative component. “Rules and norms constitute a practice within which certain acts or utterances "count" as something.” (</w:t>
      </w:r>
      <w:hyperlink w:history="true" w:anchor="_bookmark247">
        <w:r>
          <w:rPr/>
          <w:t>Kratochwil, 1989, p. 5</w:t>
        </w:r>
      </w:hyperlink>
      <w:r>
        <w:rPr/>
        <w:t>)</w:t>
      </w:r>
    </w:p>
    <w:p>
      <w:pPr>
        <w:pStyle w:val="BodyText"/>
        <w:spacing w:line="276" w:lineRule="auto"/>
        <w:ind w:right="1908" w:firstLine="720"/>
      </w:pPr>
      <w:r>
        <w:rPr>
          <w:sz w:val="27"/>
        </w:rPr>
        <w:t>Kratochwil </w:t>
      </w:r>
      <w:r>
        <w:rPr/>
        <w:t>upholds rules as ‘problem solving-devices’ that deal with issues</w:t>
      </w:r>
      <w:r>
        <w:rPr>
          <w:spacing w:val="-4"/>
        </w:rPr>
        <w:t> </w:t>
      </w:r>
      <w:r>
        <w:rPr/>
        <w:t>of</w:t>
      </w:r>
      <w:r>
        <w:rPr>
          <w:spacing w:val="-3"/>
        </w:rPr>
        <w:t> </w:t>
      </w:r>
      <w:r>
        <w:rPr/>
        <w:t>social</w:t>
      </w:r>
      <w:r>
        <w:rPr>
          <w:spacing w:val="-5"/>
        </w:rPr>
        <w:t> </w:t>
      </w:r>
      <w:r>
        <w:rPr/>
        <w:t>life,</w:t>
      </w:r>
      <w:r>
        <w:rPr>
          <w:spacing w:val="-1"/>
        </w:rPr>
        <w:t> </w:t>
      </w:r>
      <w:r>
        <w:rPr/>
        <w:t>conflict</w:t>
      </w:r>
      <w:r>
        <w:rPr>
          <w:spacing w:val="-2"/>
        </w:rPr>
        <w:t> </w:t>
      </w:r>
      <w:r>
        <w:rPr/>
        <w:t>and cooperation. (</w:t>
      </w:r>
      <w:hyperlink w:history="true" w:anchor="_bookmark247">
        <w:r>
          <w:rPr/>
          <w:t>Kratochwil,</w:t>
        </w:r>
        <w:r>
          <w:rPr>
            <w:spacing w:val="-1"/>
          </w:rPr>
          <w:t> </w:t>
        </w:r>
        <w:r>
          <w:rPr/>
          <w:t>1989,</w:t>
        </w:r>
        <w:r>
          <w:rPr>
            <w:spacing w:val="-1"/>
          </w:rPr>
          <w:t> </w:t>
        </w:r>
        <w:r>
          <w:rPr/>
          <w:t>p.</w:t>
        </w:r>
        <w:r>
          <w:rPr>
            <w:spacing w:val="-1"/>
          </w:rPr>
          <w:t> </w:t>
        </w:r>
        <w:r>
          <w:rPr/>
          <w:t>69</w:t>
        </w:r>
      </w:hyperlink>
      <w:r>
        <w:rPr/>
        <w:t>)</w:t>
      </w:r>
      <w:r>
        <w:rPr>
          <w:spacing w:val="-1"/>
        </w:rPr>
        <w:t> </w:t>
      </w:r>
      <w:r>
        <w:rPr/>
        <w:t>Rules and norms specify criteria of rationality; they also create intersubjective meanings, which allow actors to communicate. (</w:t>
      </w:r>
      <w:hyperlink w:history="true" w:anchor="_bookmark248">
        <w:r>
          <w:rPr/>
          <w:t>Kratochwil, 1993, p. 76</w:t>
        </w:r>
      </w:hyperlink>
      <w:r>
        <w:rPr/>
        <w:t>)</w:t>
      </w:r>
    </w:p>
    <w:p>
      <w:pPr>
        <w:pStyle w:val="BodyText"/>
        <w:spacing w:line="271" w:lineRule="auto"/>
        <w:ind w:right="1906" w:firstLine="720"/>
      </w:pPr>
      <w:r>
        <w:rPr/>
        <w:t>Norms have three ordering functions: </w:t>
      </w:r>
      <w:r>
        <w:rPr>
          <w:sz w:val="27"/>
        </w:rPr>
        <w:t>first</w:t>
      </w:r>
      <w:r>
        <w:rPr/>
        <w:t>, they rule-out “certain methods</w:t>
      </w:r>
      <w:r>
        <w:rPr>
          <w:spacing w:val="-3"/>
        </w:rPr>
        <w:t> </w:t>
      </w:r>
      <w:r>
        <w:rPr/>
        <w:t>of</w:t>
      </w:r>
      <w:r>
        <w:rPr>
          <w:spacing w:val="-2"/>
        </w:rPr>
        <w:t> </w:t>
      </w:r>
      <w:r>
        <w:rPr/>
        <w:t>individual</w:t>
      </w:r>
      <w:r>
        <w:rPr>
          <w:spacing w:val="-3"/>
        </w:rPr>
        <w:t> </w:t>
      </w:r>
      <w:r>
        <w:rPr/>
        <w:t>goal seeking</w:t>
      </w:r>
      <w:r>
        <w:rPr>
          <w:spacing w:val="-1"/>
        </w:rPr>
        <w:t> </w:t>
      </w:r>
      <w:r>
        <w:rPr/>
        <w:t>through</w:t>
      </w:r>
      <w:r>
        <w:rPr>
          <w:spacing w:val="-1"/>
        </w:rPr>
        <w:t> </w:t>
      </w:r>
      <w:r>
        <w:rPr/>
        <w:t>the</w:t>
      </w:r>
      <w:r>
        <w:rPr>
          <w:spacing w:val="-1"/>
        </w:rPr>
        <w:t> </w:t>
      </w:r>
      <w:r>
        <w:rPr/>
        <w:t>stipulation of forbearances.” (</w:t>
      </w:r>
      <w:hyperlink w:history="true" w:anchor="_bookmark247">
        <w:r>
          <w:rPr/>
          <w:t>Kratochwil, 1989, p. 70</w:t>
        </w:r>
      </w:hyperlink>
      <w:r>
        <w:rPr/>
        <w:t>) </w:t>
      </w:r>
      <w:r>
        <w:rPr>
          <w:sz w:val="27"/>
        </w:rPr>
        <w:t>Second</w:t>
      </w:r>
      <w:r>
        <w:rPr/>
        <w:t>, rules consider actor goals as given and produce frameworks to use the scarce objects. </w:t>
      </w:r>
      <w:r>
        <w:rPr>
          <w:sz w:val="27"/>
        </w:rPr>
        <w:t>Third</w:t>
      </w:r>
      <w:r>
        <w:rPr/>
        <w:t>, rules enable parties in conflict to hold, negotiate a solution, or “ask a third party for a decision on the basis of commonly accepted rules, norms, and principles.” (</w:t>
      </w:r>
      <w:hyperlink w:history="true" w:anchor="_bookmark247">
        <w:r>
          <w:rPr/>
          <w:t>Kratochwil,</w:t>
        </w:r>
      </w:hyperlink>
      <w:r>
        <w:rPr/>
        <w:t> </w:t>
      </w:r>
      <w:hyperlink w:history="true" w:anchor="_bookmark247">
        <w:r>
          <w:rPr/>
          <w:t>1989, p. 70</w:t>
        </w:r>
      </w:hyperlink>
      <w:r>
        <w:rPr/>
        <w:t>)</w:t>
      </w:r>
    </w:p>
    <w:p>
      <w:pPr>
        <w:pStyle w:val="BodyText"/>
        <w:spacing w:line="268" w:lineRule="auto"/>
        <w:ind w:right="1904" w:firstLine="720"/>
      </w:pPr>
      <w:r>
        <w:rPr>
          <w:sz w:val="27"/>
        </w:rPr>
        <w:t>Nicholas Onuf </w:t>
      </w:r>
      <w:r>
        <w:rPr/>
        <w:t>does not relate to post-Cold War constructivists, he argues</w:t>
      </w:r>
      <w:r>
        <w:rPr>
          <w:spacing w:val="-1"/>
        </w:rPr>
        <w:t> </w:t>
      </w:r>
      <w:r>
        <w:rPr/>
        <w:t>that conceptual</w:t>
      </w:r>
      <w:r>
        <w:rPr>
          <w:spacing w:val="-1"/>
        </w:rPr>
        <w:t> </w:t>
      </w:r>
      <w:r>
        <w:rPr/>
        <w:t>challenges, which motivated him</w:t>
      </w:r>
      <w:r>
        <w:rPr>
          <w:spacing w:val="-1"/>
        </w:rPr>
        <w:t> </w:t>
      </w:r>
      <w:r>
        <w:rPr/>
        <w:t>and </w:t>
      </w:r>
      <w:r>
        <w:rPr>
          <w:sz w:val="27"/>
        </w:rPr>
        <w:t>Kratochwil</w:t>
      </w:r>
      <w:r>
        <w:rPr/>
        <w:t>, is not interesting for “faux-constructivists and other liberals.” (</w:t>
      </w:r>
      <w:hyperlink w:history="true" w:anchor="_bookmark325">
        <w:r>
          <w:rPr/>
          <w:t>Onuf, 2014, p.</w:t>
        </w:r>
      </w:hyperlink>
      <w:r>
        <w:rPr/>
        <w:t> </w:t>
      </w:r>
      <w:hyperlink w:history="true" w:anchor="_bookmark325">
        <w:r>
          <w:rPr/>
          <w:t>4</w:t>
        </w:r>
      </w:hyperlink>
      <w:r>
        <w:rPr/>
        <w:t>) Even though works of both scholars are considered foundational texts of the constructivism, as </w:t>
      </w:r>
      <w:r>
        <w:rPr>
          <w:sz w:val="27"/>
        </w:rPr>
        <w:t>Onuf </w:t>
      </w:r>
      <w:r>
        <w:rPr/>
        <w:t>admits, (</w:t>
      </w:r>
      <w:hyperlink w:history="true" w:anchor="_bookmark324">
        <w:r>
          <w:rPr/>
          <w:t>Onuf, 2012, p. 29</w:t>
        </w:r>
      </w:hyperlink>
      <w:r>
        <w:rPr/>
        <w:t>) neither has had impact of papers written by </w:t>
      </w:r>
      <w:r>
        <w:rPr>
          <w:sz w:val="27"/>
        </w:rPr>
        <w:t>Alexander Wendt </w:t>
      </w:r>
      <w:r>
        <w:rPr/>
        <w:t>(</w:t>
      </w:r>
      <w:hyperlink w:history="true" w:anchor="_bookmark428">
        <w:r>
          <w:rPr/>
          <w:t>1987</w:t>
        </w:r>
      </w:hyperlink>
      <w:r>
        <w:rPr/>
        <w:t>, </w:t>
      </w:r>
      <w:hyperlink w:history="true" w:anchor="_bookmark429">
        <w:r>
          <w:rPr/>
          <w:t>1992</w:t>
        </w:r>
      </w:hyperlink>
      <w:r>
        <w:rPr/>
        <w:t>) and</w:t>
      </w:r>
      <w:r>
        <w:rPr>
          <w:spacing w:val="40"/>
        </w:rPr>
        <w:t> </w:t>
      </w:r>
      <w:r>
        <w:rPr>
          <w:sz w:val="27"/>
        </w:rPr>
        <w:t>David Dessler </w:t>
      </w:r>
      <w:r>
        <w:rPr/>
        <w:t>(</w:t>
      </w:r>
      <w:hyperlink w:history="true" w:anchor="_bookmark157">
        <w:r>
          <w:rPr/>
          <w:t>1989</w:t>
        </w:r>
      </w:hyperlink>
      <w:r>
        <w:rPr/>
        <w:t>).</w:t>
      </w:r>
    </w:p>
    <w:p>
      <w:pPr>
        <w:pStyle w:val="BodyText"/>
        <w:spacing w:line="276" w:lineRule="auto"/>
        <w:ind w:right="1914" w:firstLine="720"/>
      </w:pPr>
      <w:r>
        <w:rPr>
          <w:sz w:val="27"/>
        </w:rPr>
        <w:t>Wendt </w:t>
      </w:r>
      <w:r>
        <w:rPr/>
        <w:t>and </w:t>
      </w:r>
      <w:r>
        <w:rPr>
          <w:sz w:val="27"/>
        </w:rPr>
        <w:t>Dessler </w:t>
      </w:r>
      <w:r>
        <w:rPr/>
        <w:t>in their early works address the problem of agent-structure relationship. Neo-realists and world system theorists proposed</w:t>
      </w:r>
      <w:r>
        <w:rPr>
          <w:spacing w:val="-1"/>
        </w:rPr>
        <w:t> </w:t>
      </w:r>
      <w:r>
        <w:rPr/>
        <w:t>solutions,</w:t>
      </w:r>
      <w:r>
        <w:rPr>
          <w:spacing w:val="-2"/>
        </w:rPr>
        <w:t> </w:t>
      </w:r>
      <w:r>
        <w:rPr/>
        <w:t>but</w:t>
      </w:r>
      <w:r>
        <w:rPr>
          <w:spacing w:val="-3"/>
        </w:rPr>
        <w:t> </w:t>
      </w:r>
      <w:r>
        <w:rPr/>
        <w:t>constructivists</w:t>
      </w:r>
      <w:r>
        <w:rPr>
          <w:spacing w:val="-5"/>
        </w:rPr>
        <w:t> </w:t>
      </w:r>
      <w:r>
        <w:rPr/>
        <w:t>were</w:t>
      </w:r>
      <w:r>
        <w:rPr>
          <w:spacing w:val="-3"/>
        </w:rPr>
        <w:t> </w:t>
      </w:r>
      <w:r>
        <w:rPr/>
        <w:t>not</w:t>
      </w:r>
      <w:r>
        <w:rPr>
          <w:spacing w:val="-3"/>
        </w:rPr>
        <w:t> </w:t>
      </w:r>
      <w:r>
        <w:rPr/>
        <w:t>satisfied</w:t>
      </w:r>
      <w:r>
        <w:rPr>
          <w:spacing w:val="-1"/>
        </w:rPr>
        <w:t> </w:t>
      </w:r>
      <w:r>
        <w:rPr/>
        <w:t>with</w:t>
      </w:r>
      <w:r>
        <w:rPr>
          <w:spacing w:val="-3"/>
        </w:rPr>
        <w:t> </w:t>
      </w:r>
      <w:r>
        <w:rPr/>
        <w:t>the</w:t>
      </w:r>
      <w:r>
        <w:rPr>
          <w:spacing w:val="-3"/>
        </w:rPr>
        <w:t> </w:t>
      </w:r>
      <w:r>
        <w:rPr/>
        <w:t>approach:</w:t>
      </w:r>
    </w:p>
    <w:p>
      <w:pPr>
        <w:pStyle w:val="BodyText"/>
        <w:spacing w:before="26"/>
        <w:ind w:left="0"/>
        <w:jc w:val="left"/>
      </w:pPr>
    </w:p>
    <w:p>
      <w:pPr>
        <w:pStyle w:val="BodyText"/>
        <w:spacing w:line="276" w:lineRule="auto"/>
        <w:ind w:left="2420" w:right="1910"/>
      </w:pPr>
      <w:r>
        <w:rPr/>
        <mc:AlternateContent>
          <mc:Choice Requires="wps">
            <w:drawing>
              <wp:anchor distT="0" distB="0" distL="0" distR="0" allowOverlap="1" layoutInCell="1" locked="0" behindDoc="0" simplePos="0" relativeHeight="15770112">
                <wp:simplePos x="0" y="0"/>
                <wp:positionH relativeFrom="page">
                  <wp:posOffset>1923923</wp:posOffset>
                </wp:positionH>
                <wp:positionV relativeFrom="paragraph">
                  <wp:posOffset>-1030</wp:posOffset>
                </wp:positionV>
                <wp:extent cx="1270" cy="1250315"/>
                <wp:effectExtent l="0" t="0" r="0" b="0"/>
                <wp:wrapNone/>
                <wp:docPr id="97" name="Graphic 97"/>
                <wp:cNvGraphicFramePr>
                  <a:graphicFrameLocks/>
                </wp:cNvGraphicFramePr>
                <a:graphic>
                  <a:graphicData uri="http://schemas.microsoft.com/office/word/2010/wordprocessingShape">
                    <wps:wsp>
                      <wps:cNvPr id="97" name="Graphic 97"/>
                      <wps:cNvSpPr/>
                      <wps:spPr>
                        <a:xfrm>
                          <a:off x="0" y="0"/>
                          <a:ext cx="1270" cy="1250315"/>
                        </a:xfrm>
                        <a:custGeom>
                          <a:avLst/>
                          <a:gdLst/>
                          <a:ahLst/>
                          <a:cxnLst/>
                          <a:rect l="l" t="t" r="r" b="b"/>
                          <a:pathLst>
                            <a:path w="0" h="1250315">
                              <a:moveTo>
                                <a:pt x="0" y="0"/>
                              </a:moveTo>
                              <a:lnTo>
                                <a:pt x="0" y="250189"/>
                              </a:lnTo>
                            </a:path>
                            <a:path w="0" h="1250315">
                              <a:moveTo>
                                <a:pt x="0" y="250189"/>
                              </a:moveTo>
                              <a:lnTo>
                                <a:pt x="0" y="500125"/>
                              </a:lnTo>
                            </a:path>
                            <a:path w="0" h="1250315">
                              <a:moveTo>
                                <a:pt x="0" y="500125"/>
                              </a:moveTo>
                              <a:lnTo>
                                <a:pt x="0" y="750061"/>
                              </a:lnTo>
                            </a:path>
                            <a:path w="0" h="1250315">
                              <a:moveTo>
                                <a:pt x="0" y="750061"/>
                              </a:moveTo>
                              <a:lnTo>
                                <a:pt x="0" y="1000023"/>
                              </a:lnTo>
                            </a:path>
                            <a:path w="0" h="1250315">
                              <a:moveTo>
                                <a:pt x="0" y="1000023"/>
                              </a:moveTo>
                              <a:lnTo>
                                <a:pt x="0" y="1250264"/>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81111pt;width:.1pt;height:98.45pt;mso-position-horizontal-relative:page;mso-position-vertical-relative:paragraph;z-index:15770112" id="docshape92" coordorigin="3030,-2" coordsize="0,1969" path="m3030,-2l3030,392m3030,392l3030,786m3030,786l3030,1180m3030,1180l3030,1573m3030,1573l3030,1967e" filled="false" stroked="true" strokeweight=".48pt" strokecolor="#000000">
                <v:path arrowok="t"/>
                <v:stroke dashstyle="shortdash"/>
                <w10:wrap type="none"/>
              </v:shape>
            </w:pict>
          </mc:Fallback>
        </mc:AlternateContent>
      </w:r>
      <w:r>
        <w:rPr/>
        <w:t>“neorealists</w:t>
      </w:r>
      <w:r>
        <w:rPr>
          <w:spacing w:val="-3"/>
        </w:rPr>
        <w:t> </w:t>
      </w:r>
      <w:r>
        <w:rPr/>
        <w:t>reduce the structure of the state system to the properties</w:t>
      </w:r>
      <w:r>
        <w:rPr>
          <w:spacing w:val="40"/>
        </w:rPr>
        <w:t> </w:t>
      </w:r>
      <w:r>
        <w:rPr/>
        <w:t>and</w:t>
      </w:r>
      <w:r>
        <w:rPr>
          <w:spacing w:val="40"/>
        </w:rPr>
        <w:t> </w:t>
      </w:r>
      <w:r>
        <w:rPr/>
        <w:t>interactions</w:t>
      </w:r>
      <w:r>
        <w:rPr>
          <w:spacing w:val="40"/>
        </w:rPr>
        <w:t> </w:t>
      </w:r>
      <w:r>
        <w:rPr/>
        <w:t>of its</w:t>
      </w:r>
      <w:r>
        <w:rPr>
          <w:spacing w:val="40"/>
        </w:rPr>
        <w:t> </w:t>
      </w:r>
      <w:r>
        <w:rPr/>
        <w:t>constituent</w:t>
      </w:r>
      <w:r>
        <w:rPr>
          <w:spacing w:val="40"/>
        </w:rPr>
        <w:t> </w:t>
      </w:r>
      <w:r>
        <w:rPr/>
        <w:t>elements,</w:t>
      </w:r>
      <w:r>
        <w:rPr>
          <w:spacing w:val="80"/>
        </w:rPr>
        <w:t> </w:t>
      </w:r>
      <w:r>
        <w:rPr/>
        <w:t>states, while world-system theorists reduce state</w:t>
      </w:r>
      <w:r>
        <w:rPr>
          <w:spacing w:val="-6"/>
        </w:rPr>
        <w:t> </w:t>
      </w:r>
      <w:r>
        <w:rPr/>
        <w:t>(and class) agents to effects of the reproduction requirements of the capitalist</w:t>
      </w:r>
      <w:r>
        <w:rPr>
          <w:spacing w:val="40"/>
        </w:rPr>
        <w:t> </w:t>
      </w:r>
      <w:r>
        <w:rPr/>
        <w:t>world</w:t>
      </w:r>
      <w:r>
        <w:rPr>
          <w:spacing w:val="40"/>
        </w:rPr>
        <w:t> </w:t>
      </w:r>
      <w:r>
        <w:rPr/>
        <w:t>system.”</w:t>
      </w:r>
    </w:p>
    <w:p>
      <w:pPr>
        <w:pStyle w:val="BodyText"/>
        <w:spacing w:after="0" w:line="276" w:lineRule="auto"/>
        <w:sectPr>
          <w:pgSz w:w="12240" w:h="15840"/>
          <w:pgMar w:header="1046" w:footer="0" w:top="1360" w:bottom="280" w:left="720" w:right="360"/>
        </w:sectPr>
      </w:pPr>
    </w:p>
    <w:p>
      <w:pPr>
        <w:pStyle w:val="BodyText"/>
        <w:spacing w:before="276"/>
        <w:ind w:left="6213"/>
        <w:jc w:val="left"/>
      </w:pPr>
      <w:r>
        <w:rPr/>
        <w:t>(</w:t>
      </w:r>
      <w:hyperlink w:history="true" w:anchor="_bookmark428">
        <w:r>
          <w:rPr/>
          <w:t>Wendt,</w:t>
        </w:r>
        <w:r>
          <w:rPr>
            <w:spacing w:val="-7"/>
          </w:rPr>
          <w:t> </w:t>
        </w:r>
        <w:r>
          <w:rPr/>
          <w:t>1987,</w:t>
        </w:r>
        <w:r>
          <w:rPr>
            <w:spacing w:val="-3"/>
          </w:rPr>
          <w:t> </w:t>
        </w:r>
        <w:r>
          <w:rPr/>
          <w:t>p.</w:t>
        </w:r>
        <w:r>
          <w:rPr>
            <w:spacing w:val="-6"/>
          </w:rPr>
          <w:t> </w:t>
        </w:r>
        <w:r>
          <w:rPr>
            <w:spacing w:val="-4"/>
          </w:rPr>
          <w:t>339</w:t>
        </w:r>
      </w:hyperlink>
      <w:r>
        <w:rPr>
          <w:spacing w:val="-4"/>
        </w:rPr>
        <w:t>)</w:t>
      </w:r>
    </w:p>
    <w:p>
      <w:pPr>
        <w:pStyle w:val="BodyText"/>
        <w:spacing w:before="93"/>
        <w:ind w:left="0"/>
        <w:jc w:val="left"/>
      </w:pPr>
    </w:p>
    <w:p>
      <w:pPr>
        <w:pStyle w:val="BodyText"/>
        <w:spacing w:line="273" w:lineRule="auto"/>
        <w:ind w:right="1901" w:firstLine="720"/>
      </w:pPr>
      <w:r>
        <w:rPr/>
        <w:t>For </w:t>
      </w:r>
      <w:r>
        <w:rPr>
          <w:sz w:val="27"/>
        </w:rPr>
        <w:t>Wendt</w:t>
      </w:r>
      <w:r>
        <w:rPr>
          <w:spacing w:val="-2"/>
          <w:sz w:val="27"/>
        </w:rPr>
        <w:t> </w:t>
      </w:r>
      <w:r>
        <w:rPr/>
        <w:t>and </w:t>
      </w:r>
      <w:r>
        <w:rPr>
          <w:sz w:val="27"/>
        </w:rPr>
        <w:t>Dessler</w:t>
      </w:r>
      <w:r>
        <w:rPr>
          <w:spacing w:val="-2"/>
          <w:sz w:val="27"/>
        </w:rPr>
        <w:t> </w:t>
      </w:r>
      <w:r>
        <w:rPr/>
        <w:t>reduction of the</w:t>
      </w:r>
      <w:r>
        <w:rPr>
          <w:spacing w:val="-1"/>
        </w:rPr>
        <w:t> </w:t>
      </w:r>
      <w:r>
        <w:rPr/>
        <w:t>problem</w:t>
      </w:r>
      <w:r>
        <w:rPr>
          <w:spacing w:val="-3"/>
        </w:rPr>
        <w:t> </w:t>
      </w:r>
      <w:r>
        <w:rPr/>
        <w:t>was</w:t>
      </w:r>
      <w:r>
        <w:rPr>
          <w:spacing w:val="-3"/>
        </w:rPr>
        <w:t> </w:t>
      </w:r>
      <w:r>
        <w:rPr/>
        <w:t>not</w:t>
      </w:r>
      <w:r>
        <w:rPr>
          <w:spacing w:val="-1"/>
        </w:rPr>
        <w:t> </w:t>
      </w:r>
      <w:r>
        <w:rPr/>
        <w:t>a</w:t>
      </w:r>
      <w:r>
        <w:rPr>
          <w:spacing w:val="-1"/>
        </w:rPr>
        <w:t> </w:t>
      </w:r>
      <w:r>
        <w:rPr/>
        <w:t>preferred outcome, instead they decided to utilize the structuration</w:t>
      </w:r>
      <w:r>
        <w:rPr>
          <w:spacing w:val="40"/>
        </w:rPr>
        <w:t> </w:t>
      </w:r>
      <w:r>
        <w:rPr/>
        <w:t>theory</w:t>
      </w:r>
      <w:r>
        <w:rPr>
          <w:spacing w:val="40"/>
        </w:rPr>
        <w:t> </w:t>
      </w:r>
      <w:r>
        <w:rPr/>
        <w:t>which “gives agents and structures equal ontological status.” (</w:t>
      </w:r>
      <w:hyperlink w:history="true" w:anchor="_bookmark428">
        <w:r>
          <w:rPr/>
          <w:t>Wendt, 1987, p. 339</w:t>
        </w:r>
      </w:hyperlink>
      <w:r>
        <w:rPr/>
        <w:t>) Constructivist take stated that agents and structures are mutually constituted and codetermined entities. (</w:t>
      </w:r>
      <w:hyperlink w:history="true" w:anchor="_bookmark428">
        <w:r>
          <w:rPr/>
          <w:t>Wendt, 1987, p. 350</w:t>
        </w:r>
      </w:hyperlink>
      <w:r>
        <w:rPr/>
        <w:t>) This solution gained relevance for determining the nature</w:t>
      </w:r>
      <w:r>
        <w:rPr>
          <w:spacing w:val="-1"/>
        </w:rPr>
        <w:t> </w:t>
      </w:r>
      <w:r>
        <w:rPr/>
        <w:t>of relations between the world system</w:t>
      </w:r>
      <w:r>
        <w:rPr>
          <w:spacing w:val="-2"/>
        </w:rPr>
        <w:t> </w:t>
      </w:r>
      <w:r>
        <w:rPr/>
        <w:t>and the</w:t>
      </w:r>
      <w:r>
        <w:rPr>
          <w:spacing w:val="-1"/>
        </w:rPr>
        <w:t> </w:t>
      </w:r>
      <w:r>
        <w:rPr/>
        <w:t>states. States</w:t>
      </w:r>
      <w:r>
        <w:rPr>
          <w:spacing w:val="-2"/>
        </w:rPr>
        <w:t> </w:t>
      </w:r>
      <w:r>
        <w:rPr/>
        <w:t>and system</w:t>
      </w:r>
      <w:r>
        <w:rPr>
          <w:spacing w:val="-2"/>
        </w:rPr>
        <w:t> </w:t>
      </w:r>
      <w:r>
        <w:rPr/>
        <w:t>affect</w:t>
      </w:r>
      <w:r>
        <w:rPr>
          <w:spacing w:val="-1"/>
        </w:rPr>
        <w:t> </w:t>
      </w:r>
      <w:r>
        <w:rPr/>
        <w:t>each</w:t>
      </w:r>
      <w:r>
        <w:rPr>
          <w:spacing w:val="-1"/>
        </w:rPr>
        <w:t> </w:t>
      </w:r>
      <w:r>
        <w:rPr/>
        <w:t>other in a</w:t>
      </w:r>
      <w:r>
        <w:rPr>
          <w:spacing w:val="-1"/>
        </w:rPr>
        <w:t> </w:t>
      </w:r>
      <w:r>
        <w:rPr/>
        <w:t>sense</w:t>
      </w:r>
      <w:r>
        <w:rPr>
          <w:spacing w:val="-1"/>
        </w:rPr>
        <w:t> </w:t>
      </w:r>
      <w:r>
        <w:rPr/>
        <w:t>of</w:t>
      </w:r>
      <w:r>
        <w:rPr>
          <w:spacing w:val="-2"/>
        </w:rPr>
        <w:t> </w:t>
      </w:r>
      <w:r>
        <w:rPr/>
        <w:t>social co-dependence, where rules of action define course of the action and are defined by the subsequent actions. As </w:t>
      </w:r>
      <w:r>
        <w:rPr>
          <w:sz w:val="27"/>
        </w:rPr>
        <w:t>Dessler </w:t>
      </w:r>
      <w:r>
        <w:rPr/>
        <w:t>argues, even anarchy needs rules to work. (</w:t>
      </w:r>
      <w:hyperlink w:history="true" w:anchor="_bookmark157">
        <w:r>
          <w:rPr/>
          <w:t>Dessler, 1989, p. 458</w:t>
        </w:r>
      </w:hyperlink>
      <w:r>
        <w:rPr/>
        <w:t>) </w:t>
      </w:r>
      <w:r>
        <w:rPr>
          <w:sz w:val="27"/>
        </w:rPr>
        <w:t>Wendt </w:t>
      </w:r>
      <w:r>
        <w:rPr/>
        <w:t>states that actors for the international system are the states, even if other agents are influential enough; they still have to work via interstate framework.</w:t>
      </w:r>
    </w:p>
    <w:p>
      <w:pPr>
        <w:pStyle w:val="BodyText"/>
        <w:spacing w:line="273" w:lineRule="auto"/>
        <w:ind w:right="1906" w:firstLine="720"/>
      </w:pPr>
      <w:r>
        <w:rPr/>
        <w:t>In later articles </w:t>
      </w:r>
      <w:r>
        <w:rPr>
          <w:sz w:val="27"/>
        </w:rPr>
        <w:t>Wendt </w:t>
      </w:r>
      <w:r>
        <w:rPr/>
        <w:t>went further with discussing world system and role of the states in it (</w:t>
      </w:r>
      <w:hyperlink w:history="true" w:anchor="_bookmark429">
        <w:r>
          <w:rPr/>
          <w:t>1992</w:t>
        </w:r>
      </w:hyperlink>
      <w:r>
        <w:rPr/>
        <w:t>, </w:t>
      </w:r>
      <w:hyperlink w:history="true" w:anchor="_bookmark430">
        <w:r>
          <w:rPr/>
          <w:t>1995</w:t>
        </w:r>
      </w:hyperlink>
      <w:r>
        <w:rPr/>
        <w:t> ). The argument is built around the sentence: “500 British nuclear weapons are less threatening to the United States than 5 North Korean nuclear weapons,” (</w:t>
      </w:r>
      <w:hyperlink w:history="true" w:anchor="_bookmark430">
        <w:r>
          <w:rPr/>
          <w:t>Wendt, 1995 p. 73</w:t>
        </w:r>
      </w:hyperlink>
      <w:r>
        <w:rPr/>
        <w:t>) because experience</w:t>
      </w:r>
      <w:r>
        <w:rPr>
          <w:spacing w:val="-1"/>
        </w:rPr>
        <w:t> </w:t>
      </w:r>
      <w:r>
        <w:rPr/>
        <w:t>of</w:t>
      </w:r>
      <w:r>
        <w:rPr>
          <w:spacing w:val="-2"/>
        </w:rPr>
        <w:t> </w:t>
      </w:r>
      <w:r>
        <w:rPr/>
        <w:t>communication between the</w:t>
      </w:r>
      <w:r>
        <w:rPr>
          <w:spacing w:val="-1"/>
        </w:rPr>
        <w:t> </w:t>
      </w:r>
      <w:r>
        <w:rPr/>
        <w:t>US</w:t>
      </w:r>
      <w:r>
        <w:rPr>
          <w:spacing w:val="-1"/>
        </w:rPr>
        <w:t> </w:t>
      </w:r>
      <w:r>
        <w:rPr/>
        <w:t>and Britain, gives</w:t>
      </w:r>
      <w:r>
        <w:rPr>
          <w:spacing w:val="-3"/>
        </w:rPr>
        <w:t> </w:t>
      </w:r>
      <w:r>
        <w:rPr/>
        <w:t>the</w:t>
      </w:r>
      <w:r>
        <w:rPr>
          <w:spacing w:val="-1"/>
        </w:rPr>
        <w:t> </w:t>
      </w:r>
      <w:r>
        <w:rPr/>
        <w:t>UK</w:t>
      </w:r>
      <w:r>
        <w:rPr>
          <w:spacing w:val="-2"/>
        </w:rPr>
        <w:t> </w:t>
      </w:r>
      <w:r>
        <w:rPr/>
        <w:t>the meaning of a friendly state, while the North Korea is perceived as a hostile identity holder. In criticizing materialism, </w:t>
      </w:r>
      <w:r>
        <w:rPr>
          <w:sz w:val="27"/>
        </w:rPr>
        <w:t>Wendt </w:t>
      </w:r>
      <w:r>
        <w:rPr/>
        <w:t>gives three elements of social structures: shared knowledge, material resources, and practice.</w:t>
      </w:r>
    </w:p>
    <w:p>
      <w:pPr>
        <w:pStyle w:val="ListParagraph"/>
        <w:numPr>
          <w:ilvl w:val="0"/>
          <w:numId w:val="8"/>
        </w:numPr>
        <w:tabs>
          <w:tab w:pos="1698" w:val="left" w:leader="none"/>
          <w:tab w:pos="1700" w:val="left" w:leader="none"/>
        </w:tabs>
        <w:spacing w:line="276" w:lineRule="auto" w:before="2" w:after="0"/>
        <w:ind w:left="1700" w:right="1904" w:hanging="360"/>
        <w:jc w:val="both"/>
        <w:rPr>
          <w:sz w:val="26"/>
        </w:rPr>
      </w:pPr>
      <w:r>
        <w:rPr>
          <w:sz w:val="26"/>
        </w:rPr>
        <w:t>Social structures are defined, in part, by shared understandings, expectations, or knowledge.</w:t>
      </w:r>
    </w:p>
    <w:p>
      <w:pPr>
        <w:pStyle w:val="ListParagraph"/>
        <w:numPr>
          <w:ilvl w:val="0"/>
          <w:numId w:val="8"/>
        </w:numPr>
        <w:tabs>
          <w:tab w:pos="1698" w:val="left" w:leader="none"/>
          <w:tab w:pos="1700" w:val="left" w:leader="none"/>
        </w:tabs>
        <w:spacing w:line="278" w:lineRule="auto" w:before="1" w:after="0"/>
        <w:ind w:left="1700" w:right="1916" w:hanging="360"/>
        <w:jc w:val="both"/>
        <w:rPr>
          <w:sz w:val="26"/>
        </w:rPr>
      </w:pPr>
      <w:r>
        <w:rPr>
          <w:sz w:val="26"/>
        </w:rPr>
        <w:t>constructivists argue that material resources only acquire meaning</w:t>
      </w:r>
      <w:r>
        <w:rPr>
          <w:spacing w:val="40"/>
          <w:sz w:val="26"/>
        </w:rPr>
        <w:t> </w:t>
      </w:r>
      <w:r>
        <w:rPr>
          <w:sz w:val="26"/>
        </w:rPr>
        <w:t>for human action through the structure of</w:t>
      </w:r>
      <w:r>
        <w:rPr>
          <w:spacing w:val="40"/>
          <w:sz w:val="26"/>
        </w:rPr>
        <w:t> </w:t>
      </w:r>
      <w:r>
        <w:rPr>
          <w:sz w:val="26"/>
        </w:rPr>
        <w:t>shared knowledge in which they are embedded</w:t>
      </w:r>
    </w:p>
    <w:p>
      <w:pPr>
        <w:pStyle w:val="ListParagraph"/>
        <w:numPr>
          <w:ilvl w:val="0"/>
          <w:numId w:val="8"/>
        </w:numPr>
        <w:tabs>
          <w:tab w:pos="1700" w:val="left" w:leader="none"/>
        </w:tabs>
        <w:spacing w:line="276" w:lineRule="auto" w:before="0" w:after="0"/>
        <w:ind w:left="1700" w:right="1903" w:hanging="360"/>
        <w:jc w:val="both"/>
        <w:rPr>
          <w:sz w:val="26"/>
        </w:rPr>
      </w:pPr>
      <w:r>
        <w:rPr>
          <w:sz w:val="26"/>
        </w:rPr>
        <w:t>Third, social structures exist, not in actors’ heads nor in material capabilities, but in practices.</w:t>
      </w:r>
    </w:p>
    <w:p>
      <w:pPr>
        <w:pStyle w:val="BodyText"/>
        <w:spacing w:line="336" w:lineRule="exact"/>
        <w:ind w:left="6199"/>
        <w:jc w:val="left"/>
      </w:pPr>
      <w:r>
        <w:rPr/>
        <w:t>(</w:t>
      </w:r>
      <w:hyperlink w:history="true" w:anchor="_bookmark430">
        <w:r>
          <w:rPr/>
          <w:t>Wendt,</w:t>
        </w:r>
        <w:r>
          <w:rPr>
            <w:spacing w:val="-9"/>
          </w:rPr>
          <w:t> </w:t>
        </w:r>
        <w:r>
          <w:rPr/>
          <w:t>1995</w:t>
        </w:r>
        <w:r>
          <w:rPr>
            <w:spacing w:val="-7"/>
          </w:rPr>
          <w:t> </w:t>
        </w:r>
        <w:r>
          <w:rPr/>
          <w:t>pp.</w:t>
        </w:r>
        <w:r>
          <w:rPr>
            <w:spacing w:val="-5"/>
          </w:rPr>
          <w:t> </w:t>
        </w:r>
        <w:r>
          <w:rPr/>
          <w:t>73-</w:t>
        </w:r>
        <w:r>
          <w:rPr>
            <w:spacing w:val="-5"/>
          </w:rPr>
          <w:t>74</w:t>
        </w:r>
      </w:hyperlink>
      <w:r>
        <w:rPr>
          <w:spacing w:val="-5"/>
        </w:rPr>
        <w:t>)</w:t>
      </w:r>
    </w:p>
    <w:p>
      <w:pPr>
        <w:pStyle w:val="BodyText"/>
        <w:spacing w:line="276" w:lineRule="auto" w:before="51"/>
        <w:ind w:right="1909" w:firstLine="787"/>
        <w:jc w:val="left"/>
      </w:pPr>
      <w:r>
        <w:rPr/>
        <w:t>State</w:t>
      </w:r>
      <w:r>
        <w:rPr>
          <w:spacing w:val="80"/>
        </w:rPr>
        <w:t> </w:t>
      </w:r>
      <w:r>
        <w:rPr/>
        <w:t>interests</w:t>
      </w:r>
      <w:r>
        <w:rPr>
          <w:spacing w:val="80"/>
        </w:rPr>
        <w:t> </w:t>
      </w:r>
      <w:r>
        <w:rPr/>
        <w:t>are</w:t>
      </w:r>
      <w:r>
        <w:rPr>
          <w:spacing w:val="80"/>
        </w:rPr>
        <w:t> </w:t>
      </w:r>
      <w:r>
        <w:rPr/>
        <w:t>neither</w:t>
      </w:r>
      <w:r>
        <w:rPr>
          <w:spacing w:val="80"/>
        </w:rPr>
        <w:t> </w:t>
      </w:r>
      <w:r>
        <w:rPr/>
        <w:t>fixed,</w:t>
      </w:r>
      <w:r>
        <w:rPr>
          <w:spacing w:val="80"/>
        </w:rPr>
        <w:t> </w:t>
      </w:r>
      <w:r>
        <w:rPr/>
        <w:t>nor</w:t>
      </w:r>
      <w:r>
        <w:rPr>
          <w:spacing w:val="80"/>
        </w:rPr>
        <w:t> </w:t>
      </w:r>
      <w:r>
        <w:rPr/>
        <w:t>stable;</w:t>
      </w:r>
      <w:r>
        <w:rPr>
          <w:spacing w:val="80"/>
        </w:rPr>
        <w:t> </w:t>
      </w:r>
      <w:r>
        <w:rPr/>
        <w:t>states</w:t>
      </w:r>
      <w:r>
        <w:rPr>
          <w:spacing w:val="80"/>
        </w:rPr>
        <w:t> </w:t>
      </w:r>
      <w:r>
        <w:rPr/>
        <w:t>define</w:t>
      </w:r>
      <w:r>
        <w:rPr>
          <w:spacing w:val="80"/>
        </w:rPr>
        <w:t> </w:t>
      </w:r>
      <w:r>
        <w:rPr/>
        <w:t>their interests</w:t>
      </w:r>
      <w:r>
        <w:rPr>
          <w:spacing w:val="50"/>
          <w:w w:val="150"/>
        </w:rPr>
        <w:t> </w:t>
      </w:r>
      <w:r>
        <w:rPr/>
        <w:t>according</w:t>
      </w:r>
      <w:r>
        <w:rPr>
          <w:spacing w:val="52"/>
          <w:w w:val="150"/>
        </w:rPr>
        <w:t> </w:t>
      </w:r>
      <w:r>
        <w:rPr/>
        <w:t>to</w:t>
      </w:r>
      <w:r>
        <w:rPr>
          <w:spacing w:val="50"/>
          <w:w w:val="150"/>
        </w:rPr>
        <w:t> </w:t>
      </w:r>
      <w:r>
        <w:rPr/>
        <w:t>the</w:t>
      </w:r>
      <w:r>
        <w:rPr>
          <w:spacing w:val="52"/>
          <w:w w:val="150"/>
        </w:rPr>
        <w:t> </w:t>
      </w:r>
      <w:r>
        <w:rPr/>
        <w:t>situation.</w:t>
      </w:r>
      <w:r>
        <w:rPr>
          <w:spacing w:val="54"/>
          <w:w w:val="150"/>
        </w:rPr>
        <w:t> </w:t>
      </w:r>
      <w:r>
        <w:rPr/>
        <w:t>“Self-help</w:t>
      </w:r>
      <w:r>
        <w:rPr>
          <w:spacing w:val="51"/>
          <w:w w:val="150"/>
        </w:rPr>
        <w:t> </w:t>
      </w:r>
      <w:r>
        <w:rPr/>
        <w:t>and</w:t>
      </w:r>
      <w:r>
        <w:rPr>
          <w:spacing w:val="54"/>
          <w:w w:val="150"/>
        </w:rPr>
        <w:t> </w:t>
      </w:r>
      <w:r>
        <w:rPr/>
        <w:t>power</w:t>
      </w:r>
      <w:r>
        <w:rPr>
          <w:spacing w:val="53"/>
          <w:w w:val="150"/>
        </w:rPr>
        <w:t> </w:t>
      </w:r>
      <w:r>
        <w:rPr/>
        <w:t>politics</w:t>
      </w:r>
      <w:r>
        <w:rPr>
          <w:spacing w:val="50"/>
          <w:w w:val="150"/>
        </w:rPr>
        <w:t> </w:t>
      </w:r>
      <w:r>
        <w:rPr>
          <w:spacing w:val="-5"/>
        </w:rPr>
        <w:t>are</w:t>
      </w:r>
    </w:p>
    <w:p>
      <w:pPr>
        <w:pStyle w:val="BodyText"/>
        <w:spacing w:after="0" w:line="276" w:lineRule="auto"/>
        <w:jc w:val="left"/>
        <w:sectPr>
          <w:pgSz w:w="12240" w:h="15840"/>
          <w:pgMar w:header="1046" w:footer="0" w:top="1360" w:bottom="280" w:left="720" w:right="360"/>
        </w:sectPr>
      </w:pPr>
    </w:p>
    <w:p>
      <w:pPr>
        <w:pStyle w:val="BodyText"/>
        <w:spacing w:line="276" w:lineRule="auto" w:before="276"/>
        <w:ind w:right="1915"/>
      </w:pPr>
      <w:r>
        <w:rPr/>
        <w:t>institutions, not essential features of anarchy. Anarchy</w:t>
      </w:r>
      <w:r>
        <w:rPr>
          <w:spacing w:val="40"/>
        </w:rPr>
        <w:t> </w:t>
      </w:r>
      <w:r>
        <w:rPr/>
        <w:t>is what states make of it.” (</w:t>
      </w:r>
      <w:hyperlink w:history="true" w:anchor="_bookmark429">
        <w:r>
          <w:rPr/>
          <w:t>Wendt, 1992, p. 395</w:t>
        </w:r>
      </w:hyperlink>
      <w:r>
        <w:rPr/>
        <w:t>)</w:t>
      </w:r>
    </w:p>
    <w:p>
      <w:pPr>
        <w:pStyle w:val="BodyText"/>
        <w:spacing w:line="276" w:lineRule="auto"/>
        <w:ind w:right="1906" w:firstLine="720"/>
      </w:pPr>
      <w:r>
        <w:rPr/>
        <w:t>Material capabilities do not decide relations between the agents; it is state identities, which define friendship and enmity of states. Identities include both self-reference and hetero-reference, they are always rational. Actors shape identities and identities shape actors. World system operates based on</w:t>
      </w:r>
      <w:r>
        <w:rPr>
          <w:spacing w:val="-1"/>
        </w:rPr>
        <w:t> </w:t>
      </w:r>
      <w:r>
        <w:rPr/>
        <w:t>common</w:t>
      </w:r>
      <w:r>
        <w:rPr>
          <w:spacing w:val="-1"/>
        </w:rPr>
        <w:t> </w:t>
      </w:r>
      <w:r>
        <w:rPr/>
        <w:t>knowledge,</w:t>
      </w:r>
      <w:r>
        <w:rPr>
          <w:spacing w:val="-1"/>
        </w:rPr>
        <w:t> </w:t>
      </w:r>
      <w:r>
        <w:rPr/>
        <w:t>which</w:t>
      </w:r>
      <w:r>
        <w:rPr>
          <w:spacing w:val="-2"/>
        </w:rPr>
        <w:t> </w:t>
      </w:r>
      <w:r>
        <w:rPr/>
        <w:t>the</w:t>
      </w:r>
      <w:r>
        <w:rPr>
          <w:spacing w:val="-2"/>
        </w:rPr>
        <w:t> </w:t>
      </w:r>
      <w:r>
        <w:rPr/>
        <w:t>agents</w:t>
      </w:r>
      <w:r>
        <w:rPr>
          <w:spacing w:val="-4"/>
        </w:rPr>
        <w:t> </w:t>
      </w:r>
      <w:r>
        <w:rPr/>
        <w:t>have</w:t>
      </w:r>
      <w:r>
        <w:rPr>
          <w:spacing w:val="-2"/>
        </w:rPr>
        <w:t> </w:t>
      </w:r>
      <w:r>
        <w:rPr/>
        <w:t>about</w:t>
      </w:r>
      <w:r>
        <w:rPr>
          <w:spacing w:val="-2"/>
        </w:rPr>
        <w:t> </w:t>
      </w:r>
      <w:r>
        <w:rPr/>
        <w:t>each other. The States produce and clarify the images of each other via communications; they constantly reproduce intersubjective meanings about the world. (</w:t>
      </w:r>
      <w:hyperlink w:history="true" w:anchor="_bookmark429">
        <w:r>
          <w:rPr/>
          <w:t>Wendt, 1992, p. 405</w:t>
        </w:r>
      </w:hyperlink>
      <w:r>
        <w:rPr/>
        <w:t>)</w:t>
      </w:r>
    </w:p>
    <w:p>
      <w:pPr>
        <w:pStyle w:val="BodyText"/>
        <w:spacing w:line="276" w:lineRule="auto"/>
        <w:ind w:right="1914" w:firstLine="720"/>
      </w:pPr>
      <w:r>
        <w:rPr/>
        <w:t>Nevertheless, there are constitutive features of the state, which are on place before the interaction starts:</w:t>
      </w:r>
    </w:p>
    <w:p>
      <w:pPr>
        <w:pStyle w:val="ListParagraph"/>
        <w:numPr>
          <w:ilvl w:val="1"/>
          <w:numId w:val="8"/>
        </w:numPr>
        <w:tabs>
          <w:tab w:pos="2058" w:val="left" w:leader="none"/>
        </w:tabs>
        <w:spacing w:line="240" w:lineRule="auto" w:before="0" w:after="0"/>
        <w:ind w:left="2058" w:right="0" w:hanging="358"/>
        <w:jc w:val="both"/>
        <w:rPr>
          <w:sz w:val="26"/>
        </w:rPr>
      </w:pPr>
      <w:r>
        <w:rPr>
          <w:sz w:val="26"/>
        </w:rPr>
        <w:t>material</w:t>
      </w:r>
      <w:r>
        <w:rPr>
          <w:spacing w:val="49"/>
          <w:sz w:val="26"/>
        </w:rPr>
        <w:t> </w:t>
      </w:r>
      <w:r>
        <w:rPr>
          <w:sz w:val="26"/>
        </w:rPr>
        <w:t>substrate</w:t>
      </w:r>
      <w:r>
        <w:rPr>
          <w:spacing w:val="51"/>
          <w:sz w:val="26"/>
        </w:rPr>
        <w:t> </w:t>
      </w:r>
      <w:r>
        <w:rPr>
          <w:sz w:val="26"/>
        </w:rPr>
        <w:t>of</w:t>
      </w:r>
      <w:r>
        <w:rPr>
          <w:spacing w:val="-7"/>
          <w:sz w:val="26"/>
        </w:rPr>
        <w:t> </w:t>
      </w:r>
      <w:r>
        <w:rPr>
          <w:sz w:val="26"/>
        </w:rPr>
        <w:t>agency,</w:t>
      </w:r>
      <w:r>
        <w:rPr>
          <w:spacing w:val="-6"/>
          <w:sz w:val="26"/>
        </w:rPr>
        <w:t> </w:t>
      </w:r>
      <w:r>
        <w:rPr>
          <w:sz w:val="26"/>
        </w:rPr>
        <w:t>including</w:t>
      </w:r>
      <w:r>
        <w:rPr>
          <w:spacing w:val="-7"/>
          <w:sz w:val="26"/>
        </w:rPr>
        <w:t> </w:t>
      </w:r>
      <w:r>
        <w:rPr>
          <w:sz w:val="26"/>
        </w:rPr>
        <w:t>its</w:t>
      </w:r>
      <w:r>
        <w:rPr>
          <w:spacing w:val="-8"/>
          <w:sz w:val="26"/>
        </w:rPr>
        <w:t> </w:t>
      </w:r>
      <w:r>
        <w:rPr>
          <w:sz w:val="26"/>
        </w:rPr>
        <w:t>intrinsic</w:t>
      </w:r>
      <w:r>
        <w:rPr>
          <w:spacing w:val="-8"/>
          <w:sz w:val="26"/>
        </w:rPr>
        <w:t> </w:t>
      </w:r>
      <w:r>
        <w:rPr>
          <w:spacing w:val="-2"/>
          <w:sz w:val="26"/>
        </w:rPr>
        <w:t>capabilities</w:t>
      </w:r>
    </w:p>
    <w:p>
      <w:pPr>
        <w:pStyle w:val="ListParagraph"/>
        <w:numPr>
          <w:ilvl w:val="1"/>
          <w:numId w:val="8"/>
        </w:numPr>
        <w:tabs>
          <w:tab w:pos="2058" w:val="left" w:leader="none"/>
        </w:tabs>
        <w:spacing w:line="240" w:lineRule="auto" w:before="51" w:after="0"/>
        <w:ind w:left="2058" w:right="0" w:hanging="358"/>
        <w:jc w:val="both"/>
        <w:rPr>
          <w:sz w:val="26"/>
        </w:rPr>
      </w:pPr>
      <w:r>
        <w:rPr>
          <w:sz w:val="26"/>
        </w:rPr>
        <w:t>a</w:t>
      </w:r>
      <w:r>
        <w:rPr>
          <w:spacing w:val="-2"/>
          <w:sz w:val="26"/>
        </w:rPr>
        <w:t> </w:t>
      </w:r>
      <w:r>
        <w:rPr>
          <w:sz w:val="26"/>
        </w:rPr>
        <w:t>desire</w:t>
      </w:r>
      <w:r>
        <w:rPr>
          <w:spacing w:val="58"/>
          <w:sz w:val="26"/>
        </w:rPr>
        <w:t> </w:t>
      </w:r>
      <w:r>
        <w:rPr>
          <w:sz w:val="26"/>
        </w:rPr>
        <w:t>to</w:t>
      </w:r>
      <w:r>
        <w:rPr>
          <w:spacing w:val="58"/>
          <w:sz w:val="26"/>
        </w:rPr>
        <w:t> </w:t>
      </w:r>
      <w:r>
        <w:rPr>
          <w:sz w:val="26"/>
        </w:rPr>
        <w:t>preserve</w:t>
      </w:r>
      <w:r>
        <w:rPr>
          <w:spacing w:val="58"/>
          <w:sz w:val="26"/>
        </w:rPr>
        <w:t> </w:t>
      </w:r>
      <w:r>
        <w:rPr>
          <w:sz w:val="26"/>
        </w:rPr>
        <w:t>this</w:t>
      </w:r>
      <w:r>
        <w:rPr>
          <w:spacing w:val="59"/>
          <w:sz w:val="26"/>
        </w:rPr>
        <w:t> </w:t>
      </w:r>
      <w:r>
        <w:rPr>
          <w:sz w:val="26"/>
        </w:rPr>
        <w:t>material</w:t>
      </w:r>
      <w:r>
        <w:rPr>
          <w:spacing w:val="59"/>
          <w:sz w:val="26"/>
        </w:rPr>
        <w:t> </w:t>
      </w:r>
      <w:r>
        <w:rPr>
          <w:sz w:val="26"/>
        </w:rPr>
        <w:t>substrate,</w:t>
      </w:r>
      <w:r>
        <w:rPr>
          <w:spacing w:val="58"/>
          <w:sz w:val="26"/>
        </w:rPr>
        <w:t> </w:t>
      </w:r>
      <w:r>
        <w:rPr>
          <w:sz w:val="26"/>
        </w:rPr>
        <w:t>to</w:t>
      </w:r>
      <w:r>
        <w:rPr>
          <w:spacing w:val="59"/>
          <w:sz w:val="26"/>
        </w:rPr>
        <w:t> </w:t>
      </w:r>
      <w:r>
        <w:rPr>
          <w:spacing w:val="-2"/>
          <w:sz w:val="26"/>
        </w:rPr>
        <w:t>survive</w:t>
      </w:r>
    </w:p>
    <w:p>
      <w:pPr>
        <w:pStyle w:val="BodyText"/>
        <w:spacing w:before="51"/>
        <w:ind w:left="5954"/>
      </w:pPr>
      <w:r>
        <w:rPr/>
        <w:t>(</w:t>
      </w:r>
      <w:hyperlink w:history="true" w:anchor="_bookmark429">
        <w:r>
          <w:rPr/>
          <w:t>Wendt,</w:t>
        </w:r>
        <w:r>
          <w:rPr>
            <w:spacing w:val="-9"/>
          </w:rPr>
          <w:t> </w:t>
        </w:r>
        <w:r>
          <w:rPr/>
          <w:t>1992,</w:t>
        </w:r>
        <w:r>
          <w:rPr>
            <w:spacing w:val="-4"/>
          </w:rPr>
          <w:t> </w:t>
        </w:r>
        <w:r>
          <w:rPr/>
          <w:t>p.</w:t>
        </w:r>
        <w:r>
          <w:rPr>
            <w:spacing w:val="-4"/>
          </w:rPr>
          <w:t> 402</w:t>
        </w:r>
      </w:hyperlink>
      <w:r>
        <w:rPr>
          <w:spacing w:val="-4"/>
        </w:rPr>
        <w:t>)</w:t>
      </w:r>
    </w:p>
    <w:p>
      <w:pPr>
        <w:pStyle w:val="BodyText"/>
        <w:spacing w:line="276" w:lineRule="auto" w:before="52"/>
        <w:ind w:right="1910" w:firstLine="720"/>
      </w:pPr>
      <w:r>
        <w:rPr/>
        <w:t>States might create security dilemmas if they militarize themselves without informing other states about their intentions. However, if the knowledge about security issues</w:t>
      </w:r>
      <w:r>
        <w:rPr>
          <w:spacing w:val="-1"/>
        </w:rPr>
        <w:t> </w:t>
      </w:r>
      <w:r>
        <w:rPr/>
        <w:t>is</w:t>
      </w:r>
      <w:r>
        <w:rPr>
          <w:spacing w:val="-1"/>
        </w:rPr>
        <w:t> </w:t>
      </w:r>
      <w:r>
        <w:rPr/>
        <w:t>shared and convincing enough for others to feel safe, security community is on place. If one knows that his new neighbor has a gun at home, he is uncertain about intentions the neighbor has. If he finds out that gun is intended to harm him, he would use measures, call police to help, inform others etc. If the neighbor says that</w:t>
      </w:r>
      <w:r>
        <w:rPr>
          <w:spacing w:val="40"/>
        </w:rPr>
        <w:t> </w:t>
      </w:r>
      <w:r>
        <w:rPr/>
        <w:t>gun serves for the security of the block or it is intended just for the</w:t>
      </w:r>
      <w:r>
        <w:rPr>
          <w:spacing w:val="-2"/>
        </w:rPr>
        <w:t> </w:t>
      </w:r>
      <w:r>
        <w:rPr/>
        <w:t>hunting on the wild animals, the problem is solved.</w:t>
      </w:r>
    </w:p>
    <w:p>
      <w:pPr>
        <w:pStyle w:val="BodyText"/>
        <w:spacing w:line="276" w:lineRule="auto"/>
        <w:ind w:right="1912" w:firstLine="720"/>
      </w:pPr>
      <w:r>
        <w:rPr>
          <w:sz w:val="27"/>
        </w:rPr>
        <w:t>Peter</w:t>
      </w:r>
      <w:r>
        <w:rPr>
          <w:spacing w:val="-7"/>
          <w:sz w:val="27"/>
        </w:rPr>
        <w:t> </w:t>
      </w:r>
      <w:r>
        <w:rPr>
          <w:sz w:val="27"/>
        </w:rPr>
        <w:t>J.</w:t>
      </w:r>
      <w:r>
        <w:rPr>
          <w:spacing w:val="-6"/>
          <w:sz w:val="27"/>
        </w:rPr>
        <w:t> </w:t>
      </w:r>
      <w:r>
        <w:rPr>
          <w:sz w:val="27"/>
        </w:rPr>
        <w:t>Katzenstein</w:t>
      </w:r>
      <w:r>
        <w:rPr/>
        <w:t>,</w:t>
      </w:r>
      <w:r>
        <w:rPr>
          <w:spacing w:val="-4"/>
        </w:rPr>
        <w:t> </w:t>
      </w:r>
      <w:r>
        <w:rPr/>
        <w:t>edited</w:t>
      </w:r>
      <w:r>
        <w:rPr>
          <w:spacing w:val="-4"/>
        </w:rPr>
        <w:t> </w:t>
      </w:r>
      <w:r>
        <w:rPr/>
        <w:t>a</w:t>
      </w:r>
      <w:r>
        <w:rPr>
          <w:spacing w:val="-5"/>
        </w:rPr>
        <w:t> </w:t>
      </w:r>
      <w:r>
        <w:rPr/>
        <w:t>book</w:t>
      </w:r>
      <w:r>
        <w:rPr>
          <w:spacing w:val="-4"/>
        </w:rPr>
        <w:t> </w:t>
      </w:r>
      <w:r>
        <w:rPr/>
        <w:t>which</w:t>
      </w:r>
      <w:r>
        <w:rPr>
          <w:spacing w:val="-1"/>
        </w:rPr>
        <w:t> </w:t>
      </w:r>
      <w:r>
        <w:rPr/>
        <w:t>become very</w:t>
      </w:r>
      <w:r>
        <w:rPr>
          <w:spacing w:val="-1"/>
        </w:rPr>
        <w:t> </w:t>
      </w:r>
      <w:r>
        <w:rPr/>
        <w:t>important</w:t>
      </w:r>
      <w:r>
        <w:rPr>
          <w:spacing w:val="-5"/>
        </w:rPr>
        <w:t> </w:t>
      </w:r>
      <w:r>
        <w:rPr/>
        <w:t>for constructivist understanding of security (</w:t>
      </w:r>
      <w:hyperlink w:history="true" w:anchor="_bookmark236">
        <w:r>
          <w:rPr/>
          <w:t>1996</w:t>
        </w:r>
      </w:hyperlink>
      <w:r>
        <w:rPr/>
        <w:t>), the authors in the volume argue the environment of states is cultural and institutional, not just material. Culture for them is a decisive factor not only for shaping state behaviors, but also, for defining their identities. The basic picture of relations between the state, environment, and domestic policy is described in the figure:</w:t>
      </w:r>
    </w:p>
    <w:p>
      <w:pPr>
        <w:pStyle w:val="BodyText"/>
        <w:spacing w:after="0" w:line="276" w:lineRule="auto"/>
        <w:sectPr>
          <w:pgSz w:w="12240" w:h="15840"/>
          <w:pgMar w:header="1046" w:footer="0" w:top="1360" w:bottom="280" w:left="720" w:right="360"/>
        </w:sectPr>
      </w:pPr>
    </w:p>
    <w:p>
      <w:pPr>
        <w:pStyle w:val="BodyText"/>
        <w:spacing w:before="33"/>
        <w:ind w:left="0"/>
        <w:jc w:val="left"/>
        <w:rPr>
          <w:sz w:val="18"/>
        </w:rPr>
      </w:pPr>
    </w:p>
    <w:p>
      <w:pPr>
        <w:spacing w:before="0"/>
        <w:ind w:left="979" w:right="0" w:firstLine="0"/>
        <w:jc w:val="left"/>
        <w:rPr>
          <w:rFonts w:ascii="Calibri"/>
          <w:b/>
          <w:sz w:val="18"/>
        </w:rPr>
      </w:pPr>
      <w:bookmarkStart w:name="_bookmark22" w:id="23"/>
      <w:bookmarkEnd w:id="23"/>
      <w:r>
        <w:rPr/>
      </w:r>
      <w:r>
        <w:rPr>
          <w:rFonts w:ascii="Calibri"/>
          <w:b/>
          <w:color w:val="4F81BC"/>
          <w:sz w:val="18"/>
        </w:rPr>
        <w:t>Figure 5.</w:t>
      </w:r>
      <w:r>
        <w:rPr>
          <w:rFonts w:ascii="Calibri"/>
          <w:b/>
          <w:color w:val="4F81BC"/>
          <w:spacing w:val="-5"/>
          <w:sz w:val="18"/>
        </w:rPr>
        <w:t> </w:t>
      </w:r>
      <w:r>
        <w:rPr>
          <w:rFonts w:ascii="Calibri"/>
          <w:b/>
          <w:color w:val="4F81BC"/>
          <w:sz w:val="18"/>
        </w:rPr>
        <w:t>Constructing</w:t>
      </w:r>
      <w:r>
        <w:rPr>
          <w:rFonts w:ascii="Calibri"/>
          <w:b/>
          <w:color w:val="4F81BC"/>
          <w:spacing w:val="-4"/>
          <w:sz w:val="18"/>
        </w:rPr>
        <w:t> </w:t>
      </w:r>
      <w:r>
        <w:rPr>
          <w:rFonts w:ascii="Calibri"/>
          <w:b/>
          <w:color w:val="4F81BC"/>
          <w:spacing w:val="-2"/>
          <w:sz w:val="18"/>
        </w:rPr>
        <w:t>Politics</w:t>
      </w:r>
    </w:p>
    <w:p>
      <w:pPr>
        <w:pStyle w:val="BodyText"/>
        <w:spacing w:before="3"/>
        <w:ind w:left="0"/>
        <w:jc w:val="left"/>
        <w:rPr>
          <w:rFonts w:ascii="Calibri"/>
          <w:b/>
          <w:sz w:val="16"/>
        </w:rPr>
      </w:pPr>
      <w:r>
        <w:rPr>
          <w:rFonts w:ascii="Calibri"/>
          <w:b/>
          <w:sz w:val="16"/>
        </w:rPr>
        <mc:AlternateContent>
          <mc:Choice Requires="wps">
            <w:drawing>
              <wp:anchor distT="0" distB="0" distL="0" distR="0" allowOverlap="1" layoutInCell="1" locked="0" behindDoc="1" simplePos="0" relativeHeight="487629824">
                <wp:simplePos x="0" y="0"/>
                <wp:positionH relativeFrom="page">
                  <wp:posOffset>1092835</wp:posOffset>
                </wp:positionH>
                <wp:positionV relativeFrom="paragraph">
                  <wp:posOffset>141211</wp:posOffset>
                </wp:positionV>
                <wp:extent cx="3643629" cy="1711960"/>
                <wp:effectExtent l="0" t="0" r="0" b="0"/>
                <wp:wrapTopAndBottom/>
                <wp:docPr id="98" name="Group 98"/>
                <wp:cNvGraphicFramePr>
                  <a:graphicFrameLocks/>
                </wp:cNvGraphicFramePr>
                <a:graphic>
                  <a:graphicData uri="http://schemas.microsoft.com/office/word/2010/wordprocessingGroup">
                    <wpg:wgp>
                      <wpg:cNvPr id="98" name="Group 98"/>
                      <wpg:cNvGrpSpPr/>
                      <wpg:grpSpPr>
                        <a:xfrm>
                          <a:off x="0" y="0"/>
                          <a:ext cx="3643629" cy="1711960"/>
                          <a:chExt cx="3643629" cy="1711960"/>
                        </a:xfrm>
                      </wpg:grpSpPr>
                      <pic:pic>
                        <pic:nvPicPr>
                          <pic:cNvPr id="99" name="Image 99" descr="katzenstein (1)"/>
                          <pic:cNvPicPr/>
                        </pic:nvPicPr>
                        <pic:blipFill>
                          <a:blip r:embed="rId23" cstate="print"/>
                          <a:stretch>
                            <a:fillRect/>
                          </a:stretch>
                        </pic:blipFill>
                        <pic:spPr>
                          <a:xfrm>
                            <a:off x="130964" y="135144"/>
                            <a:ext cx="3389501" cy="1425051"/>
                          </a:xfrm>
                          <a:prstGeom prst="rect">
                            <a:avLst/>
                          </a:prstGeom>
                        </pic:spPr>
                      </pic:pic>
                      <wps:wsp>
                        <wps:cNvPr id="100" name="Graphic 100"/>
                        <wps:cNvSpPr/>
                        <wps:spPr>
                          <a:xfrm>
                            <a:off x="3175" y="3175"/>
                            <a:ext cx="3637279" cy="1705610"/>
                          </a:xfrm>
                          <a:custGeom>
                            <a:avLst/>
                            <a:gdLst/>
                            <a:ahLst/>
                            <a:cxnLst/>
                            <a:rect l="l" t="t" r="r" b="b"/>
                            <a:pathLst>
                              <a:path w="3637279" h="1705610">
                                <a:moveTo>
                                  <a:pt x="0" y="1705609"/>
                                </a:moveTo>
                                <a:lnTo>
                                  <a:pt x="3636772" y="1705609"/>
                                </a:lnTo>
                                <a:lnTo>
                                  <a:pt x="3636772" y="0"/>
                                </a:lnTo>
                                <a:lnTo>
                                  <a:pt x="0" y="0"/>
                                </a:lnTo>
                                <a:lnTo>
                                  <a:pt x="0" y="1705609"/>
                                </a:lnTo>
                                <a:close/>
                              </a:path>
                            </a:pathLst>
                          </a:custGeom>
                          <a:ln w="634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86.050003pt;margin-top:11.119043pt;width:286.9pt;height:134.8pt;mso-position-horizontal-relative:page;mso-position-vertical-relative:paragraph;z-index:-15686656;mso-wrap-distance-left:0;mso-wrap-distance-right:0" id="docshapegroup93" coordorigin="1721,222" coordsize="5738,2696">
                <v:shape style="position:absolute;left:1927;top:435;width:5338;height:2245" type="#_x0000_t75" id="docshape94" alt="katzenstein (1)" stroked="false">
                  <v:imagedata r:id="rId23" o:title=""/>
                </v:shape>
                <v:rect style="position:absolute;left:1726;top:227;width:5728;height:2686" id="docshape95" filled="false" stroked="true" strokeweight=".5pt" strokecolor="#000000">
                  <v:stroke dashstyle="solid"/>
                </v:rect>
                <w10:wrap type="topAndBottom"/>
              </v:group>
            </w:pict>
          </mc:Fallback>
        </mc:AlternateContent>
      </w:r>
    </w:p>
    <w:p>
      <w:pPr>
        <w:pStyle w:val="ListParagraph"/>
        <w:numPr>
          <w:ilvl w:val="0"/>
          <w:numId w:val="9"/>
        </w:numPr>
        <w:tabs>
          <w:tab w:pos="1700" w:val="left" w:leader="none"/>
        </w:tabs>
        <w:spacing w:line="276" w:lineRule="auto" w:before="56" w:after="0"/>
        <w:ind w:left="1700" w:right="1922" w:hanging="360"/>
        <w:jc w:val="left"/>
        <w:rPr>
          <w:sz w:val="26"/>
        </w:rPr>
      </w:pPr>
      <w:r>
        <w:rPr>
          <w:sz w:val="26"/>
        </w:rPr>
        <w:t>Norms-shape the national security interests or (directly) the security policies of states,</w:t>
      </w:r>
    </w:p>
    <w:p>
      <w:pPr>
        <w:pStyle w:val="ListParagraph"/>
        <w:numPr>
          <w:ilvl w:val="0"/>
          <w:numId w:val="9"/>
        </w:numPr>
        <w:tabs>
          <w:tab w:pos="1700" w:val="left" w:leader="none"/>
        </w:tabs>
        <w:spacing w:line="240" w:lineRule="auto" w:before="0" w:after="0"/>
        <w:ind w:left="1700" w:right="0" w:hanging="360"/>
        <w:jc w:val="left"/>
        <w:rPr>
          <w:sz w:val="26"/>
        </w:rPr>
      </w:pPr>
      <w:r>
        <w:rPr>
          <w:sz w:val="26"/>
        </w:rPr>
        <w:t>Norms-shape</w:t>
      </w:r>
      <w:r>
        <w:rPr>
          <w:spacing w:val="-11"/>
          <w:sz w:val="26"/>
        </w:rPr>
        <w:t> </w:t>
      </w:r>
      <w:r>
        <w:rPr>
          <w:sz w:val="26"/>
        </w:rPr>
        <w:t>state</w:t>
      </w:r>
      <w:r>
        <w:rPr>
          <w:spacing w:val="-11"/>
          <w:sz w:val="26"/>
        </w:rPr>
        <w:t> </w:t>
      </w:r>
      <w:r>
        <w:rPr>
          <w:spacing w:val="-2"/>
          <w:sz w:val="26"/>
        </w:rPr>
        <w:t>identity</w:t>
      </w:r>
    </w:p>
    <w:p>
      <w:pPr>
        <w:pStyle w:val="ListParagraph"/>
        <w:numPr>
          <w:ilvl w:val="0"/>
          <w:numId w:val="9"/>
        </w:numPr>
        <w:tabs>
          <w:tab w:pos="1700" w:val="left" w:leader="none"/>
        </w:tabs>
        <w:spacing w:line="276" w:lineRule="auto" w:before="52" w:after="0"/>
        <w:ind w:left="1700" w:right="1901" w:hanging="360"/>
        <w:jc w:val="left"/>
        <w:rPr>
          <w:sz w:val="26"/>
        </w:rPr>
      </w:pPr>
      <w:r>
        <w:rPr>
          <w:sz w:val="26"/>
        </w:rPr>
        <w:t>Variation</w:t>
      </w:r>
      <w:r>
        <w:rPr>
          <w:spacing w:val="40"/>
          <w:sz w:val="26"/>
        </w:rPr>
        <w:t> </w:t>
      </w:r>
      <w:r>
        <w:rPr>
          <w:sz w:val="26"/>
        </w:rPr>
        <w:t>in</w:t>
      </w:r>
      <w:r>
        <w:rPr>
          <w:spacing w:val="40"/>
          <w:sz w:val="26"/>
        </w:rPr>
        <w:t> </w:t>
      </w:r>
      <w:r>
        <w:rPr>
          <w:sz w:val="26"/>
        </w:rPr>
        <w:t>state</w:t>
      </w:r>
      <w:r>
        <w:rPr>
          <w:spacing w:val="40"/>
          <w:sz w:val="26"/>
        </w:rPr>
        <w:t> </w:t>
      </w:r>
      <w:r>
        <w:rPr>
          <w:sz w:val="26"/>
        </w:rPr>
        <w:t>identity,</w:t>
      </w:r>
      <w:r>
        <w:rPr>
          <w:spacing w:val="40"/>
          <w:sz w:val="26"/>
        </w:rPr>
        <w:t> </w:t>
      </w:r>
      <w:r>
        <w:rPr>
          <w:sz w:val="26"/>
        </w:rPr>
        <w:t>or</w:t>
      </w:r>
      <w:r>
        <w:rPr>
          <w:spacing w:val="40"/>
          <w:sz w:val="26"/>
        </w:rPr>
        <w:t> </w:t>
      </w:r>
      <w:r>
        <w:rPr>
          <w:sz w:val="26"/>
        </w:rPr>
        <w:t>changes</w:t>
      </w:r>
      <w:r>
        <w:rPr>
          <w:spacing w:val="40"/>
          <w:sz w:val="26"/>
        </w:rPr>
        <w:t> </w:t>
      </w:r>
      <w:r>
        <w:rPr>
          <w:sz w:val="26"/>
        </w:rPr>
        <w:t>in</w:t>
      </w:r>
      <w:r>
        <w:rPr>
          <w:spacing w:val="40"/>
          <w:sz w:val="26"/>
        </w:rPr>
        <w:t> </w:t>
      </w:r>
      <w:r>
        <w:rPr>
          <w:sz w:val="26"/>
        </w:rPr>
        <w:t>state</w:t>
      </w:r>
      <w:r>
        <w:rPr>
          <w:spacing w:val="40"/>
          <w:sz w:val="26"/>
        </w:rPr>
        <w:t> </w:t>
      </w:r>
      <w:r>
        <w:rPr>
          <w:sz w:val="26"/>
        </w:rPr>
        <w:t>identity,</w:t>
      </w:r>
      <w:r>
        <w:rPr>
          <w:spacing w:val="40"/>
          <w:sz w:val="26"/>
        </w:rPr>
        <w:t> </w:t>
      </w:r>
      <w:r>
        <w:rPr>
          <w:sz w:val="26"/>
        </w:rPr>
        <w:t>affect</w:t>
      </w:r>
      <w:r>
        <w:rPr>
          <w:spacing w:val="40"/>
          <w:sz w:val="26"/>
        </w:rPr>
        <w:t> </w:t>
      </w:r>
      <w:r>
        <w:rPr>
          <w:sz w:val="26"/>
        </w:rPr>
        <w:t>the national security interests or policies of states.</w:t>
      </w:r>
    </w:p>
    <w:p>
      <w:pPr>
        <w:pStyle w:val="ListParagraph"/>
        <w:numPr>
          <w:ilvl w:val="0"/>
          <w:numId w:val="9"/>
        </w:numPr>
        <w:tabs>
          <w:tab w:pos="1700" w:val="left" w:leader="none"/>
        </w:tabs>
        <w:spacing w:line="276" w:lineRule="auto" w:before="0" w:after="0"/>
        <w:ind w:left="1700" w:right="1924" w:hanging="360"/>
        <w:jc w:val="left"/>
        <w:rPr>
          <w:sz w:val="26"/>
        </w:rPr>
      </w:pPr>
      <w:r>
        <w:rPr>
          <w:sz w:val="26"/>
        </w:rPr>
        <w:t>Configurations</w:t>
      </w:r>
      <w:r>
        <w:rPr>
          <w:spacing w:val="-8"/>
          <w:sz w:val="26"/>
        </w:rPr>
        <w:t> </w:t>
      </w:r>
      <w:r>
        <w:rPr>
          <w:sz w:val="26"/>
        </w:rPr>
        <w:t>of</w:t>
      </w:r>
      <w:r>
        <w:rPr>
          <w:spacing w:val="-7"/>
          <w:sz w:val="26"/>
        </w:rPr>
        <w:t> </w:t>
      </w:r>
      <w:r>
        <w:rPr>
          <w:sz w:val="26"/>
        </w:rPr>
        <w:t>state</w:t>
      </w:r>
      <w:r>
        <w:rPr>
          <w:spacing w:val="-6"/>
          <w:sz w:val="26"/>
        </w:rPr>
        <w:t> </w:t>
      </w:r>
      <w:r>
        <w:rPr>
          <w:sz w:val="26"/>
        </w:rPr>
        <w:t>identity</w:t>
      </w:r>
      <w:r>
        <w:rPr>
          <w:spacing w:val="-6"/>
          <w:sz w:val="26"/>
        </w:rPr>
        <w:t> </w:t>
      </w:r>
      <w:r>
        <w:rPr>
          <w:sz w:val="26"/>
        </w:rPr>
        <w:t>affect</w:t>
      </w:r>
      <w:r>
        <w:rPr>
          <w:spacing w:val="-2"/>
          <w:sz w:val="26"/>
        </w:rPr>
        <w:t> </w:t>
      </w:r>
      <w:r>
        <w:rPr>
          <w:sz w:val="26"/>
        </w:rPr>
        <w:t>interstate</w:t>
      </w:r>
      <w:r>
        <w:rPr>
          <w:spacing w:val="-6"/>
          <w:sz w:val="26"/>
        </w:rPr>
        <w:t> </w:t>
      </w:r>
      <w:r>
        <w:rPr>
          <w:sz w:val="26"/>
        </w:rPr>
        <w:t>normative</w:t>
      </w:r>
      <w:r>
        <w:rPr>
          <w:spacing w:val="-1"/>
          <w:sz w:val="26"/>
        </w:rPr>
        <w:t> </w:t>
      </w:r>
      <w:r>
        <w:rPr>
          <w:sz w:val="26"/>
        </w:rPr>
        <w:t>structures, such as regimes, or security communities.</w:t>
      </w:r>
    </w:p>
    <w:p>
      <w:pPr>
        <w:pStyle w:val="ListParagraph"/>
        <w:numPr>
          <w:ilvl w:val="0"/>
          <w:numId w:val="9"/>
        </w:numPr>
        <w:tabs>
          <w:tab w:pos="1700" w:val="left" w:leader="none"/>
          <w:tab w:pos="2466" w:val="left" w:leader="none"/>
          <w:tab w:pos="3586" w:val="left" w:leader="none"/>
          <w:tab w:pos="4320" w:val="left" w:leader="none"/>
          <w:tab w:pos="5653" w:val="left" w:leader="none"/>
          <w:tab w:pos="6291" w:val="left" w:leader="none"/>
          <w:tab w:pos="7758" w:val="left" w:leader="none"/>
          <w:tab w:pos="8837" w:val="left" w:leader="none"/>
        </w:tabs>
        <w:spacing w:line="276" w:lineRule="auto" w:before="4" w:after="0"/>
        <w:ind w:left="1700" w:right="1920" w:hanging="360"/>
        <w:jc w:val="left"/>
        <w:rPr>
          <w:sz w:val="26"/>
        </w:rPr>
      </w:pPr>
      <w:r>
        <w:rPr>
          <w:spacing w:val="-2"/>
          <w:sz w:val="26"/>
        </w:rPr>
        <w:t>State</w:t>
      </w:r>
      <w:r>
        <w:rPr>
          <w:sz w:val="26"/>
        </w:rPr>
        <w:tab/>
      </w:r>
      <w:r>
        <w:rPr>
          <w:spacing w:val="-2"/>
          <w:sz w:val="26"/>
        </w:rPr>
        <w:t>policies,</w:t>
      </w:r>
      <w:r>
        <w:rPr>
          <w:sz w:val="26"/>
        </w:rPr>
        <w:tab/>
      </w:r>
      <w:r>
        <w:rPr>
          <w:spacing w:val="-4"/>
          <w:sz w:val="26"/>
        </w:rPr>
        <w:t>both</w:t>
      </w:r>
      <w:r>
        <w:rPr>
          <w:sz w:val="26"/>
        </w:rPr>
        <w:tab/>
      </w:r>
      <w:r>
        <w:rPr>
          <w:spacing w:val="-2"/>
          <w:sz w:val="26"/>
        </w:rPr>
        <w:t>reproduce</w:t>
      </w:r>
      <w:r>
        <w:rPr>
          <w:sz w:val="26"/>
        </w:rPr>
        <w:tab/>
      </w:r>
      <w:r>
        <w:rPr>
          <w:spacing w:val="-4"/>
          <w:sz w:val="26"/>
        </w:rPr>
        <w:t>and</w:t>
      </w:r>
      <w:r>
        <w:rPr>
          <w:sz w:val="26"/>
        </w:rPr>
        <w:tab/>
      </w:r>
      <w:r>
        <w:rPr>
          <w:spacing w:val="-2"/>
          <w:sz w:val="26"/>
        </w:rPr>
        <w:t>reconstruct</w:t>
      </w:r>
      <w:r>
        <w:rPr>
          <w:sz w:val="26"/>
        </w:rPr>
        <w:tab/>
      </w:r>
      <w:r>
        <w:rPr>
          <w:spacing w:val="-2"/>
          <w:sz w:val="26"/>
        </w:rPr>
        <w:t>cultural</w:t>
      </w:r>
      <w:r>
        <w:rPr>
          <w:sz w:val="26"/>
        </w:rPr>
        <w:tab/>
      </w:r>
      <w:r>
        <w:rPr>
          <w:spacing w:val="-4"/>
          <w:sz w:val="26"/>
        </w:rPr>
        <w:t>and </w:t>
      </w:r>
      <w:r>
        <w:rPr>
          <w:sz w:val="26"/>
        </w:rPr>
        <w:t>institutional structure.</w:t>
      </w:r>
    </w:p>
    <w:p>
      <w:pPr>
        <w:pStyle w:val="BodyText"/>
        <w:ind w:left="4398"/>
      </w:pPr>
      <w:r>
        <w:rPr/>
        <w:t>(</w:t>
      </w:r>
      <w:hyperlink w:history="true" w:anchor="_bookmark233">
        <w:r>
          <w:rPr/>
          <w:t>Jepperson,</w:t>
        </w:r>
        <w:r>
          <w:rPr>
            <w:spacing w:val="-11"/>
          </w:rPr>
          <w:t> </w:t>
        </w:r>
        <w:r>
          <w:rPr/>
          <w:t>Wendt,</w:t>
        </w:r>
        <w:r>
          <w:rPr>
            <w:spacing w:val="-10"/>
          </w:rPr>
          <w:t> </w:t>
        </w:r>
        <w:r>
          <w:rPr/>
          <w:t>&amp;</w:t>
        </w:r>
        <w:r>
          <w:rPr>
            <w:spacing w:val="-14"/>
          </w:rPr>
          <w:t> </w:t>
        </w:r>
        <w:r>
          <w:rPr/>
          <w:t>Katzenstein,</w:t>
        </w:r>
        <w:r>
          <w:rPr>
            <w:spacing w:val="-10"/>
          </w:rPr>
          <w:t> </w:t>
        </w:r>
        <w:r>
          <w:rPr>
            <w:spacing w:val="-4"/>
          </w:rPr>
          <w:t>1996</w:t>
        </w:r>
      </w:hyperlink>
      <w:r>
        <w:rPr>
          <w:spacing w:val="-4"/>
        </w:rPr>
        <w:t>)</w:t>
      </w:r>
    </w:p>
    <w:p>
      <w:pPr>
        <w:pStyle w:val="BodyText"/>
        <w:spacing w:line="276" w:lineRule="auto" w:before="41"/>
        <w:ind w:right="1909" w:firstLine="720"/>
      </w:pPr>
      <w:r>
        <w:rPr>
          <w:sz w:val="27"/>
        </w:rPr>
        <w:t>Barry Buzan, Ole waever and Jaap de Vilde </w:t>
      </w:r>
      <w:r>
        <w:rPr/>
        <w:t>- Copenhagen School. Their approach is important because of the indroduction of the concept of securitization. Securitization includes, referent objects (things that are threatened), Securitizing actors (elites), functional actors (actors which affect the sector).</w:t>
      </w:r>
    </w:p>
    <w:p>
      <w:pPr>
        <w:pStyle w:val="BodyText"/>
        <w:spacing w:line="276" w:lineRule="auto"/>
        <w:ind w:right="1906" w:firstLine="787"/>
      </w:pPr>
      <w:r>
        <w:rPr/>
        <w:t>The authors argue that the issues, which are not originally political, can be politicized and than securitized (extreme version of politicization). Securitization happens when the securitizing actor, describes something as</w:t>
      </w:r>
      <w:r>
        <w:rPr>
          <w:spacing w:val="40"/>
        </w:rPr>
        <w:t> </w:t>
      </w:r>
      <w:r>
        <w:rPr/>
        <w:t>a threat to referent object and public accepts the description. (</w:t>
      </w:r>
      <w:hyperlink w:history="true" w:anchor="_bookmark123">
        <w:r>
          <w:rPr/>
          <w:t>Buzan,</w:t>
        </w:r>
      </w:hyperlink>
      <w:r>
        <w:rPr/>
        <w:t> </w:t>
      </w:r>
      <w:hyperlink w:history="true" w:anchor="_bookmark123">
        <w:r>
          <w:rPr/>
          <w:t>Waever, &amp; De Wilde, 1998, p. 25</w:t>
        </w:r>
      </w:hyperlink>
      <w:r>
        <w:rPr/>
        <w:t>) When the public accepts the theat as</w:t>
      </w:r>
      <w:r>
        <w:rPr>
          <w:spacing w:val="40"/>
        </w:rPr>
        <w:t> </w:t>
      </w:r>
      <w:r>
        <w:rPr/>
        <w:t>real, subsequent actions from the government is to follow. The actions are not the same as during the ‘normal politics’, “priority and urgency of an existential</w:t>
      </w:r>
      <w:r>
        <w:rPr>
          <w:spacing w:val="-4"/>
        </w:rPr>
        <w:t> </w:t>
      </w:r>
      <w:r>
        <w:rPr/>
        <w:t>threat”</w:t>
      </w:r>
      <w:r>
        <w:rPr>
          <w:spacing w:val="-2"/>
        </w:rPr>
        <w:t> </w:t>
      </w:r>
      <w:r>
        <w:rPr/>
        <w:t>gives securitizing</w:t>
      </w:r>
      <w:r>
        <w:rPr>
          <w:spacing w:val="-2"/>
        </w:rPr>
        <w:t> </w:t>
      </w:r>
      <w:r>
        <w:rPr/>
        <w:t>actor</w:t>
      </w:r>
      <w:r>
        <w:rPr>
          <w:spacing w:val="-1"/>
        </w:rPr>
        <w:t> </w:t>
      </w:r>
      <w:r>
        <w:rPr/>
        <w:t>rights</w:t>
      </w:r>
      <w:r>
        <w:rPr>
          <w:spacing w:val="-4"/>
        </w:rPr>
        <w:t> </w:t>
      </w:r>
      <w:r>
        <w:rPr/>
        <w:t>to</w:t>
      </w:r>
      <w:r>
        <w:rPr>
          <w:spacing w:val="-5"/>
        </w:rPr>
        <w:t> </w:t>
      </w:r>
      <w:r>
        <w:rPr/>
        <w:t>“break</w:t>
      </w:r>
      <w:r>
        <w:rPr>
          <w:spacing w:val="-1"/>
        </w:rPr>
        <w:t> </w:t>
      </w:r>
      <w:r>
        <w:rPr/>
        <w:t>free</w:t>
      </w:r>
      <w:r>
        <w:rPr>
          <w:spacing w:val="-2"/>
        </w:rPr>
        <w:t> </w:t>
      </w:r>
      <w:r>
        <w:rPr/>
        <w:t>of</w:t>
      </w:r>
      <w:r>
        <w:rPr>
          <w:spacing w:val="-3"/>
        </w:rPr>
        <w:t> </w:t>
      </w:r>
      <w:r>
        <w:rPr/>
        <w:t>procedures or</w:t>
      </w:r>
      <w:r>
        <w:rPr>
          <w:spacing w:val="2"/>
        </w:rPr>
        <w:t> </w:t>
      </w:r>
      <w:r>
        <w:rPr/>
        <w:t>rules</w:t>
      </w:r>
      <w:r>
        <w:rPr>
          <w:spacing w:val="-1"/>
        </w:rPr>
        <w:t> </w:t>
      </w:r>
      <w:r>
        <w:rPr/>
        <w:t>he</w:t>
      </w:r>
      <w:r>
        <w:rPr>
          <w:spacing w:val="6"/>
        </w:rPr>
        <w:t> </w:t>
      </w:r>
      <w:r>
        <w:rPr/>
        <w:t>or</w:t>
      </w:r>
      <w:r>
        <w:rPr>
          <w:spacing w:val="2"/>
        </w:rPr>
        <w:t> </w:t>
      </w:r>
      <w:r>
        <w:rPr/>
        <w:t>she</w:t>
      </w:r>
      <w:r>
        <w:rPr>
          <w:spacing w:val="2"/>
        </w:rPr>
        <w:t> </w:t>
      </w:r>
      <w:r>
        <w:rPr/>
        <w:t>would</w:t>
      </w:r>
      <w:r>
        <w:rPr>
          <w:spacing w:val="2"/>
        </w:rPr>
        <w:t> </w:t>
      </w:r>
      <w:r>
        <w:rPr/>
        <w:t>otherwise</w:t>
      </w:r>
      <w:r>
        <w:rPr>
          <w:spacing w:val="6"/>
        </w:rPr>
        <w:t> </w:t>
      </w:r>
      <w:r>
        <w:rPr/>
        <w:t>be</w:t>
      </w:r>
      <w:r>
        <w:rPr>
          <w:spacing w:val="1"/>
        </w:rPr>
        <w:t> </w:t>
      </w:r>
      <w:r>
        <w:rPr/>
        <w:t>bound</w:t>
      </w:r>
      <w:r>
        <w:rPr>
          <w:spacing w:val="3"/>
        </w:rPr>
        <w:t> </w:t>
      </w:r>
      <w:r>
        <w:rPr/>
        <w:t>by.”</w:t>
      </w:r>
      <w:r>
        <w:rPr>
          <w:spacing w:val="2"/>
        </w:rPr>
        <w:t> </w:t>
      </w:r>
      <w:r>
        <w:rPr/>
        <w:t>(</w:t>
      </w:r>
      <w:hyperlink w:history="true" w:anchor="_bookmark123">
        <w:r>
          <w:rPr/>
          <w:t>Buzan</w:t>
        </w:r>
        <w:r>
          <w:rPr>
            <w:spacing w:val="3"/>
          </w:rPr>
          <w:t> </w:t>
        </w:r>
        <w:r>
          <w:rPr/>
          <w:t>et</w:t>
        </w:r>
        <w:r>
          <w:rPr>
            <w:spacing w:val="1"/>
          </w:rPr>
          <w:t> </w:t>
        </w:r>
        <w:r>
          <w:rPr/>
          <w:t>al.,</w:t>
        </w:r>
        <w:r>
          <w:rPr>
            <w:spacing w:val="3"/>
          </w:rPr>
          <w:t> </w:t>
        </w:r>
        <w:r>
          <w:rPr/>
          <w:t>1998,</w:t>
        </w:r>
        <w:r>
          <w:rPr>
            <w:spacing w:val="2"/>
          </w:rPr>
          <w:t> </w:t>
        </w:r>
        <w:r>
          <w:rPr/>
          <w:t>p.</w:t>
        </w:r>
        <w:r>
          <w:rPr>
            <w:spacing w:val="2"/>
          </w:rPr>
          <w:t> </w:t>
        </w:r>
        <w:r>
          <w:rPr>
            <w:spacing w:val="-5"/>
          </w:rPr>
          <w:t>25</w:t>
        </w:r>
      </w:hyperlink>
      <w:r>
        <w:rPr>
          <w:spacing w:val="-5"/>
        </w:rPr>
        <w:t>)</w:t>
      </w:r>
    </w:p>
    <w:p>
      <w:pPr>
        <w:pStyle w:val="BodyText"/>
        <w:spacing w:after="0" w:line="276" w:lineRule="auto"/>
        <w:sectPr>
          <w:pgSz w:w="12240" w:h="15840"/>
          <w:pgMar w:header="1046" w:footer="0" w:top="1360" w:bottom="280" w:left="720" w:right="360"/>
        </w:sectPr>
      </w:pPr>
    </w:p>
    <w:p>
      <w:pPr>
        <w:pStyle w:val="BodyText"/>
        <w:spacing w:line="276" w:lineRule="auto" w:before="276"/>
        <w:ind w:right="1912"/>
      </w:pPr>
      <w:r>
        <w:rPr/>
        <w:t>Securitization is complete only if the actions are legitimized. Securitization is necessarily intersubjective, because there is no objective measure of security. (</w:t>
      </w:r>
      <w:hyperlink w:history="true" w:anchor="_bookmark123">
        <w:r>
          <w:rPr/>
          <w:t>Buzan et al., 1998, p. 30</w:t>
        </w:r>
      </w:hyperlink>
      <w:r>
        <w:rPr/>
        <w:t>) All communications among actors and public are enacted via speech acts.</w:t>
      </w:r>
    </w:p>
    <w:p>
      <w:pPr>
        <w:pStyle w:val="BodyText"/>
        <w:spacing w:line="276" w:lineRule="auto"/>
        <w:ind w:right="1907" w:firstLine="720"/>
      </w:pPr>
      <w:r>
        <w:rPr/>
        <w:t>We need to mention that </w:t>
      </w:r>
      <w:r>
        <w:rPr>
          <w:sz w:val="27"/>
        </w:rPr>
        <w:t>Buzan </w:t>
      </w:r>
      <w:r>
        <w:rPr/>
        <w:t>and others, went beyond narrow traditional understanding of security (existential threat to state) instead</w:t>
      </w:r>
      <w:r>
        <w:rPr>
          <w:spacing w:val="40"/>
        </w:rPr>
        <w:t> </w:t>
      </w:r>
      <w:r>
        <w:rPr/>
        <w:t>they propose sectorial approach. Military, political, economic, societal and environmental sectors, each can be threatened and securitized.</w:t>
      </w:r>
    </w:p>
    <w:p>
      <w:pPr>
        <w:pStyle w:val="BodyText"/>
        <w:spacing w:line="276" w:lineRule="auto"/>
        <w:ind w:right="1909"/>
      </w:pPr>
      <w:r>
        <w:rPr/>
        <w:t>Now as we have analyzed basic literature on constructivism in IR, it is necessary to narrow down the approaches to common ground, to see how initial constructivist works are applied to the EU studies. The constructivist approach can be summarized the following way:</w:t>
      </w:r>
    </w:p>
    <w:p>
      <w:pPr>
        <w:pStyle w:val="BodyText"/>
        <w:spacing w:before="36"/>
        <w:ind w:left="0"/>
        <w:jc w:val="left"/>
      </w:pPr>
    </w:p>
    <w:p>
      <w:pPr>
        <w:pStyle w:val="ListParagraph"/>
        <w:numPr>
          <w:ilvl w:val="0"/>
          <w:numId w:val="9"/>
        </w:numPr>
        <w:tabs>
          <w:tab w:pos="1700" w:val="left" w:leader="none"/>
        </w:tabs>
        <w:spacing w:line="276" w:lineRule="auto" w:before="0" w:after="0"/>
        <w:ind w:left="1700" w:right="1905" w:hanging="360"/>
        <w:jc w:val="both"/>
        <w:rPr>
          <w:sz w:val="26"/>
        </w:rPr>
      </w:pPr>
      <w:r>
        <w:rPr>
          <w:sz w:val="26"/>
        </w:rPr>
        <w:t>First, the social world is made of intersubjective understandings, subjective knowledge and material objects.</w:t>
      </w:r>
    </w:p>
    <w:p>
      <w:pPr>
        <w:pStyle w:val="ListParagraph"/>
        <w:numPr>
          <w:ilvl w:val="0"/>
          <w:numId w:val="9"/>
        </w:numPr>
        <w:tabs>
          <w:tab w:pos="1699" w:val="left" w:leader="none"/>
        </w:tabs>
        <w:spacing w:line="240" w:lineRule="auto" w:before="0" w:after="0"/>
        <w:ind w:left="1699" w:right="0" w:hanging="359"/>
        <w:jc w:val="both"/>
        <w:rPr>
          <w:sz w:val="26"/>
        </w:rPr>
      </w:pPr>
      <w:r>
        <w:rPr>
          <w:sz w:val="26"/>
        </w:rPr>
        <w:t>Second,</w:t>
      </w:r>
      <w:r>
        <w:rPr>
          <w:spacing w:val="-6"/>
          <w:sz w:val="26"/>
        </w:rPr>
        <w:t> </w:t>
      </w:r>
      <w:r>
        <w:rPr>
          <w:sz w:val="26"/>
        </w:rPr>
        <w:t>social</w:t>
      </w:r>
      <w:r>
        <w:rPr>
          <w:spacing w:val="-9"/>
          <w:sz w:val="26"/>
        </w:rPr>
        <w:t> </w:t>
      </w:r>
      <w:r>
        <w:rPr>
          <w:sz w:val="26"/>
        </w:rPr>
        <w:t>facts</w:t>
      </w:r>
      <w:r>
        <w:rPr>
          <w:spacing w:val="-8"/>
          <w:sz w:val="26"/>
        </w:rPr>
        <w:t> </w:t>
      </w:r>
      <w:r>
        <w:rPr>
          <w:sz w:val="26"/>
        </w:rPr>
        <w:t>are</w:t>
      </w:r>
      <w:r>
        <w:rPr>
          <w:spacing w:val="-7"/>
          <w:sz w:val="26"/>
        </w:rPr>
        <w:t> </w:t>
      </w:r>
      <w:r>
        <w:rPr>
          <w:sz w:val="26"/>
        </w:rPr>
        <w:t>facts</w:t>
      </w:r>
      <w:r>
        <w:rPr>
          <w:spacing w:val="-8"/>
          <w:sz w:val="26"/>
        </w:rPr>
        <w:t> </w:t>
      </w:r>
      <w:r>
        <w:rPr>
          <w:sz w:val="26"/>
        </w:rPr>
        <w:t>only</w:t>
      </w:r>
      <w:r>
        <w:rPr>
          <w:spacing w:val="-7"/>
          <w:sz w:val="26"/>
        </w:rPr>
        <w:t> </w:t>
      </w:r>
      <w:r>
        <w:rPr>
          <w:sz w:val="26"/>
        </w:rPr>
        <w:t>by</w:t>
      </w:r>
      <w:r>
        <w:rPr>
          <w:spacing w:val="-6"/>
          <w:sz w:val="26"/>
        </w:rPr>
        <w:t> </w:t>
      </w:r>
      <w:r>
        <w:rPr>
          <w:sz w:val="26"/>
        </w:rPr>
        <w:t>human</w:t>
      </w:r>
      <w:r>
        <w:rPr>
          <w:spacing w:val="-5"/>
          <w:sz w:val="26"/>
        </w:rPr>
        <w:t> </w:t>
      </w:r>
      <w:r>
        <w:rPr>
          <w:spacing w:val="-2"/>
          <w:sz w:val="26"/>
        </w:rPr>
        <w:t>agreement.</w:t>
      </w:r>
    </w:p>
    <w:p>
      <w:pPr>
        <w:pStyle w:val="ListParagraph"/>
        <w:numPr>
          <w:ilvl w:val="0"/>
          <w:numId w:val="9"/>
        </w:numPr>
        <w:tabs>
          <w:tab w:pos="1700" w:val="left" w:leader="none"/>
        </w:tabs>
        <w:spacing w:line="276" w:lineRule="auto" w:before="51" w:after="0"/>
        <w:ind w:left="1700" w:right="1913" w:hanging="360"/>
        <w:jc w:val="both"/>
        <w:rPr>
          <w:sz w:val="26"/>
        </w:rPr>
      </w:pPr>
      <w:r>
        <w:rPr>
          <w:sz w:val="26"/>
        </w:rPr>
        <w:t>Third, it is from this context or background that people borrow the epistemic, normative and ideological understandings.</w:t>
      </w:r>
    </w:p>
    <w:p>
      <w:pPr>
        <w:pStyle w:val="ListParagraph"/>
        <w:numPr>
          <w:ilvl w:val="0"/>
          <w:numId w:val="9"/>
        </w:numPr>
        <w:tabs>
          <w:tab w:pos="1700" w:val="left" w:leader="none"/>
        </w:tabs>
        <w:spacing w:line="276" w:lineRule="auto" w:before="0" w:after="0"/>
        <w:ind w:left="1700" w:right="1914" w:hanging="360"/>
        <w:jc w:val="both"/>
        <w:rPr>
          <w:sz w:val="26"/>
        </w:rPr>
      </w:pPr>
      <w:r>
        <w:rPr>
          <w:sz w:val="26"/>
        </w:rPr>
        <w:t>Fourth, constructivists</w:t>
      </w:r>
      <w:r>
        <w:rPr>
          <w:spacing w:val="-2"/>
          <w:sz w:val="26"/>
        </w:rPr>
        <w:t> </w:t>
      </w:r>
      <w:r>
        <w:rPr>
          <w:sz w:val="26"/>
        </w:rPr>
        <w:t>(except for radical</w:t>
      </w:r>
      <w:r>
        <w:rPr>
          <w:spacing w:val="-2"/>
          <w:sz w:val="26"/>
        </w:rPr>
        <w:t> </w:t>
      </w:r>
      <w:r>
        <w:rPr>
          <w:sz w:val="26"/>
        </w:rPr>
        <w:t>constructivists) all</w:t>
      </w:r>
      <w:r>
        <w:rPr>
          <w:spacing w:val="-2"/>
          <w:sz w:val="26"/>
        </w:rPr>
        <w:t> </w:t>
      </w:r>
      <w:r>
        <w:rPr>
          <w:sz w:val="26"/>
        </w:rPr>
        <w:t>consider the mutual constitution of agents and structures to be part of constructivism's ontology.</w:t>
      </w:r>
    </w:p>
    <w:p>
      <w:pPr>
        <w:pStyle w:val="BodyText"/>
        <w:ind w:left="6410"/>
        <w:jc w:val="left"/>
      </w:pPr>
      <w:r>
        <w:rPr/>
        <w:t>(</w:t>
      </w:r>
      <w:hyperlink w:history="true" w:anchor="_bookmark68">
        <w:r>
          <w:rPr/>
          <w:t>Adler,</w:t>
        </w:r>
        <w:r>
          <w:rPr>
            <w:spacing w:val="-7"/>
          </w:rPr>
          <w:t> </w:t>
        </w:r>
        <w:r>
          <w:rPr/>
          <w:t>2002,</w:t>
        </w:r>
        <w:r>
          <w:rPr>
            <w:spacing w:val="-7"/>
          </w:rPr>
          <w:t> </w:t>
        </w:r>
        <w:r>
          <w:rPr/>
          <w:t>p.</w:t>
        </w:r>
        <w:r>
          <w:rPr>
            <w:spacing w:val="-3"/>
          </w:rPr>
          <w:t> </w:t>
        </w:r>
        <w:r>
          <w:rPr>
            <w:spacing w:val="-4"/>
          </w:rPr>
          <w:t>137</w:t>
        </w:r>
      </w:hyperlink>
      <w:r>
        <w:rPr>
          <w:spacing w:val="-4"/>
        </w:rPr>
        <w:t>)</w:t>
      </w:r>
    </w:p>
    <w:p>
      <w:pPr>
        <w:pStyle w:val="BodyText"/>
        <w:spacing w:before="93"/>
        <w:ind w:left="0"/>
        <w:jc w:val="left"/>
      </w:pPr>
    </w:p>
    <w:p>
      <w:pPr>
        <w:pStyle w:val="BodyText"/>
        <w:spacing w:line="273" w:lineRule="auto"/>
        <w:ind w:right="1905" w:firstLine="720"/>
      </w:pPr>
      <w:r>
        <w:rPr/>
        <w:t>In European Integration first major work was edited by</w:t>
      </w:r>
      <w:r>
        <w:rPr>
          <w:spacing w:val="40"/>
        </w:rPr>
        <w:t> </w:t>
      </w:r>
      <w:r>
        <w:rPr>
          <w:sz w:val="27"/>
        </w:rPr>
        <w:t>Thomas Christiansen, Knud Erik Jørgensen </w:t>
      </w:r>
      <w:r>
        <w:rPr/>
        <w:t>and </w:t>
      </w:r>
      <w:r>
        <w:rPr>
          <w:sz w:val="27"/>
        </w:rPr>
        <w:t>Antje Wiener (</w:t>
      </w:r>
      <w:hyperlink w:history="true" w:anchor="_bookmark132">
        <w:r>
          <w:rPr/>
          <w:t>2001</w:t>
        </w:r>
      </w:hyperlink>
      <w:r>
        <w:rPr>
          <w:sz w:val="27"/>
        </w:rPr>
        <w:t>)</w:t>
      </w:r>
      <w:r>
        <w:rPr/>
        <w:t>, the authors argue that including intersubjectivity and social context would help to explain “why and how European integration arrived at its current stage.” (</w:t>
      </w:r>
      <w:hyperlink w:history="true" w:anchor="_bookmark132">
        <w:r>
          <w:rPr/>
          <w:t>Christiansen et al., 2001, p. 1</w:t>
        </w:r>
      </w:hyperlink>
      <w:r>
        <w:rPr/>
        <w:t>) A starting argument is that process of Europeanization affects the the states; a transformative impact which new rules and regulations have, causes changes in identities. The authors stress on the</w:t>
      </w:r>
      <w:r>
        <w:rPr>
          <w:spacing w:val="-1"/>
        </w:rPr>
        <w:t> </w:t>
      </w:r>
      <w:r>
        <w:rPr/>
        <w:t>fact</w:t>
      </w:r>
      <w:r>
        <w:rPr>
          <w:spacing w:val="-1"/>
        </w:rPr>
        <w:t> </w:t>
      </w:r>
      <w:r>
        <w:rPr/>
        <w:t>that</w:t>
      </w:r>
      <w:r>
        <w:rPr>
          <w:spacing w:val="-1"/>
        </w:rPr>
        <w:t> </w:t>
      </w:r>
      <w:r>
        <w:rPr/>
        <w:t>they</w:t>
      </w:r>
      <w:r>
        <w:rPr>
          <w:spacing w:val="-1"/>
        </w:rPr>
        <w:t> </w:t>
      </w:r>
      <w:r>
        <w:rPr/>
        <w:t>see</w:t>
      </w:r>
      <w:r>
        <w:rPr>
          <w:spacing w:val="-1"/>
        </w:rPr>
        <w:t> </w:t>
      </w:r>
      <w:r>
        <w:rPr/>
        <w:t>constructivism as</w:t>
      </w:r>
      <w:r>
        <w:rPr>
          <w:spacing w:val="-3"/>
        </w:rPr>
        <w:t> </w:t>
      </w:r>
      <w:r>
        <w:rPr/>
        <w:t>a philosophic position and do</w:t>
      </w:r>
      <w:r>
        <w:rPr>
          <w:spacing w:val="-4"/>
        </w:rPr>
        <w:t> </w:t>
      </w:r>
      <w:r>
        <w:rPr/>
        <w:t>not aim to build a grand theory, which can be comparable to neo functionalism</w:t>
      </w:r>
    </w:p>
    <w:p>
      <w:pPr>
        <w:pStyle w:val="BodyText"/>
        <w:spacing w:after="0" w:line="273" w:lineRule="auto"/>
        <w:sectPr>
          <w:pgSz w:w="12240" w:h="15840"/>
          <w:pgMar w:header="1046" w:footer="0" w:top="1360" w:bottom="280" w:left="720" w:right="360"/>
        </w:sectPr>
      </w:pPr>
    </w:p>
    <w:p>
      <w:pPr>
        <w:pStyle w:val="BodyText"/>
        <w:spacing w:line="276" w:lineRule="auto" w:before="276"/>
        <w:ind w:right="1905"/>
      </w:pPr>
      <w:r>
        <w:rPr/>
        <w:t>or liberal intergovernmentalism. They take two philosophical paths, constructive realism and constructive idealism; for the first knowledge is constructive, but world is independent of agent, whereas the latter argues that both knowledge and the world can be constructed. (</w:t>
      </w:r>
      <w:hyperlink w:history="true" w:anchor="_bookmark132">
        <w:r>
          <w:rPr/>
          <w:t>Christiansen et al.,</w:t>
        </w:r>
      </w:hyperlink>
      <w:r>
        <w:rPr/>
        <w:t> </w:t>
      </w:r>
      <w:hyperlink w:history="true" w:anchor="_bookmark132">
        <w:r>
          <w:rPr/>
          <w:t>2001, p. 4</w:t>
        </w:r>
      </w:hyperlink>
      <w:r>
        <w:rPr/>
        <w:t>)</w:t>
      </w:r>
    </w:p>
    <w:p>
      <w:pPr>
        <w:pStyle w:val="BodyText"/>
        <w:spacing w:line="276" w:lineRule="auto"/>
        <w:ind w:right="1909" w:firstLine="720"/>
      </w:pPr>
      <w:r>
        <w:rPr/>
        <w:t>The authors see a potential of constructivism to be used in various ways.</w:t>
      </w:r>
      <w:r>
        <w:rPr>
          <w:spacing w:val="-1"/>
        </w:rPr>
        <w:t> </w:t>
      </w:r>
      <w:r>
        <w:rPr/>
        <w:t>The</w:t>
      </w:r>
      <w:r>
        <w:rPr>
          <w:spacing w:val="-2"/>
        </w:rPr>
        <w:t> </w:t>
      </w:r>
      <w:r>
        <w:rPr/>
        <w:t>approach</w:t>
      </w:r>
      <w:r>
        <w:rPr>
          <w:spacing w:val="-2"/>
        </w:rPr>
        <w:t> </w:t>
      </w:r>
      <w:r>
        <w:rPr/>
        <w:t>can</w:t>
      </w:r>
      <w:r>
        <w:rPr>
          <w:spacing w:val="-1"/>
        </w:rPr>
        <w:t> </w:t>
      </w:r>
      <w:r>
        <w:rPr/>
        <w:t>form</w:t>
      </w:r>
      <w:r>
        <w:rPr>
          <w:spacing w:val="-4"/>
        </w:rPr>
        <w:t> </w:t>
      </w:r>
      <w:r>
        <w:rPr/>
        <w:t>an independent</w:t>
      </w:r>
      <w:r>
        <w:rPr>
          <w:spacing w:val="-2"/>
        </w:rPr>
        <w:t> </w:t>
      </w:r>
      <w:r>
        <w:rPr/>
        <w:t>middle</w:t>
      </w:r>
      <w:r>
        <w:rPr>
          <w:spacing w:val="-2"/>
        </w:rPr>
        <w:t> </w:t>
      </w:r>
      <w:r>
        <w:rPr/>
        <w:t>ground theory, can</w:t>
      </w:r>
      <w:r>
        <w:rPr>
          <w:spacing w:val="-1"/>
        </w:rPr>
        <w:t> </w:t>
      </w:r>
      <w:r>
        <w:rPr/>
        <w:t>be combined in different frameworks with other theories, or represented as wider meta-theoretical approach which would focus on generalized problems. (</w:t>
      </w:r>
      <w:hyperlink w:history="true" w:anchor="_bookmark132">
        <w:r>
          <w:rPr/>
          <w:t>Christiansen et al., 2001, p. 12</w:t>
        </w:r>
      </w:hyperlink>
      <w:r>
        <w:rPr/>
        <w:t>)</w:t>
      </w:r>
      <w:r>
        <w:rPr>
          <w:spacing w:val="40"/>
        </w:rPr>
        <w:t> </w:t>
      </w:r>
      <w:r>
        <w:rPr/>
        <w:t>Social constructivism is able to grasp social ontologies, like norms, institutions, practices, and this capacity was considered as particularly useful for addressing the European Integration. The reason is the nature of the process, which is often</w:t>
      </w:r>
      <w:r>
        <w:rPr>
          <w:spacing w:val="40"/>
        </w:rPr>
        <w:t> </w:t>
      </w:r>
      <w:r>
        <w:rPr/>
        <w:t>described as “integration through law.”</w:t>
      </w:r>
    </w:p>
    <w:p>
      <w:pPr>
        <w:pStyle w:val="BodyText"/>
        <w:spacing w:line="276" w:lineRule="auto"/>
        <w:ind w:right="1900" w:firstLine="720"/>
      </w:pPr>
      <w:r>
        <w:rPr/>
        <w:t>Another important aspect, to study is </w:t>
      </w:r>
      <w:r>
        <w:rPr>
          <w:sz w:val="27"/>
        </w:rPr>
        <w:t>identity. </w:t>
      </w:r>
      <w:r>
        <w:rPr/>
        <w:t>The identity can be analyzed in three directions: first, what is a general identity of the EU, second, how national identities are affected by the process of integration, third, how the variety of identities shape common European identity (</w:t>
      </w:r>
      <w:hyperlink w:history="true" w:anchor="_bookmark132">
        <w:r>
          <w:rPr/>
          <w:t>Christiansen et al., 2001, p. 14</w:t>
        </w:r>
      </w:hyperlink>
      <w:r>
        <w:rPr/>
        <w:t>). And finally, the role of discourse and language of integration, the ‘Euro-speak’ and its influence on describing reality of the EU.</w:t>
      </w:r>
    </w:p>
    <w:p>
      <w:pPr>
        <w:pStyle w:val="BodyText"/>
        <w:spacing w:line="273" w:lineRule="auto"/>
        <w:ind w:right="1905" w:firstLine="720"/>
      </w:pPr>
      <w:r>
        <w:rPr/>
        <w:t>The volume is a collection of essays which analyze problems described above. Some of the chapters had been published before the book appeared elsewhere. For example, </w:t>
      </w:r>
      <w:r>
        <w:rPr>
          <w:sz w:val="27"/>
        </w:rPr>
        <w:t>Thomas Diez </w:t>
      </w:r>
      <w:r>
        <w:rPr/>
        <w:t>wrote an article about a political</w:t>
      </w:r>
      <w:r>
        <w:rPr>
          <w:spacing w:val="-5"/>
        </w:rPr>
        <w:t> </w:t>
      </w:r>
      <w:r>
        <w:rPr/>
        <w:t>discourse</w:t>
      </w:r>
      <w:r>
        <w:rPr>
          <w:spacing w:val="-2"/>
        </w:rPr>
        <w:t> </w:t>
      </w:r>
      <w:r>
        <w:rPr/>
        <w:t>of</w:t>
      </w:r>
      <w:r>
        <w:rPr>
          <w:spacing w:val="-5"/>
        </w:rPr>
        <w:t> </w:t>
      </w:r>
      <w:r>
        <w:rPr/>
        <w:t>European</w:t>
      </w:r>
      <w:r>
        <w:rPr>
          <w:spacing w:val="-2"/>
        </w:rPr>
        <w:t> </w:t>
      </w:r>
      <w:r>
        <w:rPr/>
        <w:t>integration.</w:t>
      </w:r>
      <w:r>
        <w:rPr>
          <w:spacing w:val="-2"/>
        </w:rPr>
        <w:t> </w:t>
      </w:r>
      <w:r>
        <w:rPr/>
        <w:t>(</w:t>
      </w:r>
      <w:hyperlink w:history="true" w:anchor="_bookmark159">
        <w:r>
          <w:rPr/>
          <w:t>Diez,</w:t>
        </w:r>
        <w:r>
          <w:rPr>
            <w:spacing w:val="-3"/>
          </w:rPr>
          <w:t> </w:t>
        </w:r>
        <w:r>
          <w:rPr/>
          <w:t>1999</w:t>
        </w:r>
      </w:hyperlink>
      <w:r>
        <w:rPr/>
        <w:t>)</w:t>
      </w:r>
      <w:r>
        <w:rPr>
          <w:spacing w:val="-3"/>
        </w:rPr>
        <w:t> </w:t>
      </w:r>
      <w:r>
        <w:rPr/>
        <w:t>The</w:t>
      </w:r>
      <w:r>
        <w:rPr>
          <w:spacing w:val="-4"/>
        </w:rPr>
        <w:t> </w:t>
      </w:r>
      <w:r>
        <w:rPr/>
        <w:t>article</w:t>
      </w:r>
      <w:r>
        <w:rPr>
          <w:spacing w:val="-4"/>
        </w:rPr>
        <w:t> </w:t>
      </w:r>
      <w:r>
        <w:rPr/>
        <w:t>explores the</w:t>
      </w:r>
      <w:r>
        <w:rPr>
          <w:spacing w:val="-3"/>
        </w:rPr>
        <w:t> </w:t>
      </w:r>
      <w:r>
        <w:rPr/>
        <w:t>role of language</w:t>
      </w:r>
      <w:r>
        <w:rPr>
          <w:spacing w:val="-3"/>
        </w:rPr>
        <w:t> </w:t>
      </w:r>
      <w:r>
        <w:rPr/>
        <w:t>in</w:t>
      </w:r>
      <w:r>
        <w:rPr>
          <w:spacing w:val="-2"/>
        </w:rPr>
        <w:t> </w:t>
      </w:r>
      <w:r>
        <w:rPr/>
        <w:t>building</w:t>
      </w:r>
      <w:r>
        <w:rPr>
          <w:spacing w:val="-3"/>
        </w:rPr>
        <w:t> </w:t>
      </w:r>
      <w:r>
        <w:rPr/>
        <w:t>the</w:t>
      </w:r>
      <w:r>
        <w:rPr>
          <w:spacing w:val="-3"/>
        </w:rPr>
        <w:t> </w:t>
      </w:r>
      <w:r>
        <w:rPr/>
        <w:t>EU. </w:t>
      </w:r>
      <w:r>
        <w:rPr>
          <w:sz w:val="27"/>
        </w:rPr>
        <w:t>Diez</w:t>
      </w:r>
      <w:r>
        <w:rPr>
          <w:spacing w:val="-2"/>
          <w:sz w:val="27"/>
        </w:rPr>
        <w:t> </w:t>
      </w:r>
      <w:r>
        <w:rPr/>
        <w:t>argues</w:t>
      </w:r>
      <w:r>
        <w:rPr>
          <w:spacing w:val="-5"/>
        </w:rPr>
        <w:t> </w:t>
      </w:r>
      <w:r>
        <w:rPr/>
        <w:t>that institutions</w:t>
      </w:r>
      <w:r>
        <w:rPr>
          <w:spacing w:val="-5"/>
        </w:rPr>
        <w:t> </w:t>
      </w:r>
      <w:r>
        <w:rPr/>
        <w:t>cannot exist independently from discourse, he stresses on classical speech act</w:t>
      </w:r>
      <w:r>
        <w:rPr>
          <w:spacing w:val="40"/>
        </w:rPr>
        <w:t> </w:t>
      </w:r>
      <w:r>
        <w:rPr/>
        <w:t>theory as early constructivists do and argues that system of governance which started with the ECSC “can be presented as a remarkable collection</w:t>
      </w:r>
      <w:r>
        <w:rPr>
          <w:spacing w:val="40"/>
        </w:rPr>
        <w:t> </w:t>
      </w:r>
      <w:r>
        <w:rPr/>
        <w:t>of speech acts and their effects, be it in the form of declarations, further treaties, decisions by the European Court of Justice, or Community legal acts.” (</w:t>
      </w:r>
      <w:hyperlink w:history="true" w:anchor="_bookmark159">
        <w:r>
          <w:rPr/>
          <w:t>Diez, 1999, p. 3</w:t>
        </w:r>
      </w:hyperlink>
      <w:r>
        <w:rPr/>
        <w:t>)</w:t>
      </w:r>
    </w:p>
    <w:p>
      <w:pPr>
        <w:pStyle w:val="BodyText"/>
        <w:spacing w:after="0" w:line="273" w:lineRule="auto"/>
        <w:sectPr>
          <w:pgSz w:w="12240" w:h="15840"/>
          <w:pgMar w:header="1046" w:footer="0" w:top="1360" w:bottom="280" w:left="720" w:right="360"/>
        </w:sectPr>
      </w:pPr>
    </w:p>
    <w:p>
      <w:pPr>
        <w:pStyle w:val="BodyText"/>
        <w:spacing w:line="273" w:lineRule="auto" w:before="276"/>
        <w:ind w:right="1911" w:firstLine="720"/>
      </w:pPr>
      <w:r>
        <w:rPr/>
        <w:t>Diez</w:t>
      </w:r>
      <w:r>
        <w:rPr>
          <w:spacing w:val="-1"/>
        </w:rPr>
        <w:t> </w:t>
      </w:r>
      <w:r>
        <w:rPr/>
        <w:t>analyzes</w:t>
      </w:r>
      <w:r>
        <w:rPr>
          <w:spacing w:val="-1"/>
        </w:rPr>
        <w:t> </w:t>
      </w:r>
      <w:r>
        <w:rPr/>
        <w:t>the power of discourse, considering concept of Europe, which “is not only a struggle between politicians but also between the different discourses.” (</w:t>
      </w:r>
      <w:hyperlink w:history="true" w:anchor="_bookmark159">
        <w:r>
          <w:rPr/>
          <w:t>Diez, 1999</w:t>
        </w:r>
      </w:hyperlink>
      <w:r>
        <w:rPr/>
        <w:t>) </w:t>
      </w:r>
      <w:r>
        <w:rPr>
          <w:sz w:val="27"/>
        </w:rPr>
        <w:t>Euro-speak </w:t>
      </w:r>
      <w:r>
        <w:rPr/>
        <w:t>is a Euro jargon, which is ‘hardly comprehensible’ for the outsiders. Not only the union has specific code-language</w:t>
      </w:r>
      <w:r>
        <w:rPr>
          <w:spacing w:val="-5"/>
        </w:rPr>
        <w:t> </w:t>
      </w:r>
      <w:r>
        <w:rPr/>
        <w:t>to</w:t>
      </w:r>
      <w:r>
        <w:rPr>
          <w:spacing w:val="-8"/>
        </w:rPr>
        <w:t> </w:t>
      </w:r>
      <w:r>
        <w:rPr/>
        <w:t>communicate</w:t>
      </w:r>
      <w:r>
        <w:rPr>
          <w:spacing w:val="-5"/>
        </w:rPr>
        <w:t> </w:t>
      </w:r>
      <w:r>
        <w:rPr/>
        <w:t>rules</w:t>
      </w:r>
      <w:r>
        <w:rPr>
          <w:spacing w:val="-7"/>
        </w:rPr>
        <w:t> </w:t>
      </w:r>
      <w:r>
        <w:rPr/>
        <w:t>and</w:t>
      </w:r>
      <w:r>
        <w:rPr>
          <w:spacing w:val="-3"/>
        </w:rPr>
        <w:t> </w:t>
      </w:r>
      <w:r>
        <w:rPr/>
        <w:t>policies,</w:t>
      </w:r>
      <w:r>
        <w:rPr>
          <w:spacing w:val="-4"/>
        </w:rPr>
        <w:t> </w:t>
      </w:r>
      <w:r>
        <w:rPr/>
        <w:t>but the</w:t>
      </w:r>
      <w:r>
        <w:rPr>
          <w:spacing w:val="-4"/>
        </w:rPr>
        <w:t> </w:t>
      </w:r>
      <w:r>
        <w:rPr/>
        <w:t>approaches</w:t>
      </w:r>
      <w:r>
        <w:rPr>
          <w:spacing w:val="-7"/>
        </w:rPr>
        <w:t> </w:t>
      </w:r>
      <w:r>
        <w:rPr/>
        <w:t>which study integration, use concepts which are not typical in political science.</w:t>
      </w:r>
    </w:p>
    <w:p>
      <w:pPr>
        <w:pStyle w:val="BodyText"/>
        <w:spacing w:line="273" w:lineRule="auto"/>
        <w:ind w:right="1908" w:firstLine="720"/>
      </w:pPr>
      <w:r>
        <w:rPr/>
        <w:t>In the later work </w:t>
      </w:r>
      <w:r>
        <w:rPr>
          <w:sz w:val="27"/>
        </w:rPr>
        <w:t>Diez </w:t>
      </w:r>
      <w:r>
        <w:rPr/>
        <w:t>tried to apply discursive nodal points (DNPs) to</w:t>
      </w:r>
      <w:r>
        <w:rPr>
          <w:spacing w:val="-3"/>
        </w:rPr>
        <w:t> </w:t>
      </w:r>
      <w:r>
        <w:rPr/>
        <w:t>the European governance. (</w:t>
      </w:r>
      <w:hyperlink w:history="true" w:anchor="_bookmark160">
        <w:r>
          <w:rPr/>
          <w:t>Diez, 2001</w:t>
        </w:r>
      </w:hyperlink>
      <w:r>
        <w:rPr/>
        <w:t>) He did so</w:t>
      </w:r>
      <w:r>
        <w:rPr>
          <w:spacing w:val="-3"/>
        </w:rPr>
        <w:t> </w:t>
      </w:r>
      <w:r>
        <w:rPr/>
        <w:t>to</w:t>
      </w:r>
      <w:r>
        <w:rPr>
          <w:spacing w:val="-3"/>
        </w:rPr>
        <w:t> </w:t>
      </w:r>
      <w:r>
        <w:rPr/>
        <w:t>fill in important gaps which according to his observations </w:t>
      </w:r>
      <w:r>
        <w:rPr>
          <w:sz w:val="27"/>
        </w:rPr>
        <w:t>Copenhagen School </w:t>
      </w:r>
      <w:r>
        <w:rPr/>
        <w:t>and governance theories leave in European discourse studies.</w:t>
      </w:r>
      <w:r>
        <w:rPr>
          <w:spacing w:val="40"/>
        </w:rPr>
        <w:t> </w:t>
      </w:r>
      <w:r>
        <w:rPr/>
        <w:t>Governance approaches uses discourse to explain process of legitimation, while</w:t>
      </w:r>
      <w:r>
        <w:rPr>
          <w:spacing w:val="40"/>
        </w:rPr>
        <w:t> </w:t>
      </w:r>
      <w:r>
        <w:rPr/>
        <w:t>Copenhagen school tries to “conceptualize Europe in general” via discursive practices. In those approaches it is unclear whether policies are the outcomes of discourses or, they are discourses by themselves. There are theree major problems to be addressed: explanatory status of discourse, national focus of each approach, and unclear understanding how the change occurs. (</w:t>
      </w:r>
      <w:hyperlink w:history="true" w:anchor="_bookmark160">
        <w:r>
          <w:rPr/>
          <w:t>Diez, 2001, p. 12</w:t>
        </w:r>
      </w:hyperlink>
      <w:r>
        <w:rPr/>
        <w:t>)</w:t>
      </w:r>
    </w:p>
    <w:p>
      <w:pPr>
        <w:pStyle w:val="BodyText"/>
        <w:spacing w:line="273" w:lineRule="auto" w:before="9"/>
        <w:ind w:right="1909" w:firstLine="720"/>
      </w:pPr>
      <w:r>
        <w:rPr/>
        <w:t>DNPs fills governance with meaning “through the tying together” various discourses on governance. (</w:t>
      </w:r>
      <w:hyperlink w:history="true" w:anchor="_bookmark160">
        <w:r>
          <w:rPr/>
          <w:t>Diez, 2001, p. 16</w:t>
        </w:r>
      </w:hyperlink>
      <w:r>
        <w:rPr/>
        <w:t>). “Meaning becomes stablized” via discoursive practices called </w:t>
      </w:r>
      <w:r>
        <w:rPr>
          <w:sz w:val="27"/>
        </w:rPr>
        <w:t>articulations. </w:t>
      </w:r>
      <w:r>
        <w:rPr/>
        <w:t>Articulations bring metanarratives “which often remain unquestioned” or are “taken for granted.</w:t>
      </w:r>
      <w:r>
        <w:rPr>
          <w:spacing w:val="-2"/>
        </w:rPr>
        <w:t> </w:t>
      </w:r>
      <w:r>
        <w:rPr/>
        <w:t>(2001,</w:t>
      </w:r>
      <w:r>
        <w:rPr>
          <w:spacing w:val="-6"/>
        </w:rPr>
        <w:t> </w:t>
      </w:r>
      <w:r>
        <w:rPr/>
        <w:t>p.16)</w:t>
      </w:r>
      <w:r>
        <w:rPr>
          <w:spacing w:val="-1"/>
        </w:rPr>
        <w:t> </w:t>
      </w:r>
      <w:r>
        <w:rPr/>
        <w:t>For</w:t>
      </w:r>
      <w:r>
        <w:rPr>
          <w:spacing w:val="-3"/>
        </w:rPr>
        <w:t> </w:t>
      </w:r>
      <w:r>
        <w:rPr/>
        <w:t>example,</w:t>
      </w:r>
      <w:r>
        <w:rPr>
          <w:spacing w:val="-3"/>
        </w:rPr>
        <w:t> </w:t>
      </w:r>
      <w:r>
        <w:rPr/>
        <w:t>“the</w:t>
      </w:r>
      <w:r>
        <w:rPr>
          <w:spacing w:val="-4"/>
        </w:rPr>
        <w:t> </w:t>
      </w:r>
      <w:r>
        <w:rPr/>
        <w:t>articulation</w:t>
      </w:r>
      <w:r>
        <w:rPr>
          <w:spacing w:val="-3"/>
        </w:rPr>
        <w:t> </w:t>
      </w:r>
      <w:r>
        <w:rPr/>
        <w:t>of</w:t>
      </w:r>
      <w:r>
        <w:rPr>
          <w:spacing w:val="-5"/>
        </w:rPr>
        <w:t> </w:t>
      </w:r>
      <w:r>
        <w:rPr/>
        <w:t>European</w:t>
      </w:r>
      <w:r>
        <w:rPr>
          <w:spacing w:val="-2"/>
        </w:rPr>
        <w:t> </w:t>
      </w:r>
      <w:r>
        <w:rPr/>
        <w:t>governance as a Free Trade Area,” ties together metanarratives on issues of “political</w:t>
      </w:r>
      <w:r>
        <w:rPr>
          <w:spacing w:val="40"/>
        </w:rPr>
        <w:t> </w:t>
      </w:r>
      <w:r>
        <w:rPr/>
        <w:t>and economic organization of society and the what we understand society itself, or history.” (</w:t>
      </w:r>
      <w:hyperlink w:history="true" w:anchor="_bookmark160">
        <w:r>
          <w:rPr/>
          <w:t>Diez, 2001, p. 16</w:t>
        </w:r>
      </w:hyperlink>
      <w:r>
        <w:rPr/>
        <w:t>)</w:t>
      </w:r>
    </w:p>
    <w:p>
      <w:pPr>
        <w:pStyle w:val="BodyText"/>
        <w:spacing w:before="68"/>
        <w:ind w:left="0"/>
        <w:jc w:val="left"/>
      </w:pPr>
    </w:p>
    <w:p>
      <w:pPr>
        <w:pStyle w:val="BodyText"/>
        <w:spacing w:line="276" w:lineRule="auto" w:before="1"/>
        <w:ind w:left="2420" w:right="1908"/>
      </w:pPr>
      <w:r>
        <w:rPr/>
        <mc:AlternateContent>
          <mc:Choice Requires="wps">
            <w:drawing>
              <wp:anchor distT="0" distB="0" distL="0" distR="0" allowOverlap="1" layoutInCell="1" locked="0" behindDoc="0" simplePos="0" relativeHeight="15771136">
                <wp:simplePos x="0" y="0"/>
                <wp:positionH relativeFrom="page">
                  <wp:posOffset>1923923</wp:posOffset>
                </wp:positionH>
                <wp:positionV relativeFrom="paragraph">
                  <wp:posOffset>-860</wp:posOffset>
                </wp:positionV>
                <wp:extent cx="1270" cy="1250315"/>
                <wp:effectExtent l="0" t="0" r="0" b="0"/>
                <wp:wrapNone/>
                <wp:docPr id="101" name="Graphic 101"/>
                <wp:cNvGraphicFramePr>
                  <a:graphicFrameLocks/>
                </wp:cNvGraphicFramePr>
                <a:graphic>
                  <a:graphicData uri="http://schemas.microsoft.com/office/word/2010/wordprocessingShape">
                    <wps:wsp>
                      <wps:cNvPr id="101" name="Graphic 101"/>
                      <wps:cNvSpPr/>
                      <wps:spPr>
                        <a:xfrm>
                          <a:off x="0" y="0"/>
                          <a:ext cx="1270" cy="1250315"/>
                        </a:xfrm>
                        <a:custGeom>
                          <a:avLst/>
                          <a:gdLst/>
                          <a:ahLst/>
                          <a:cxnLst/>
                          <a:rect l="l" t="t" r="r" b="b"/>
                          <a:pathLst>
                            <a:path w="0" h="1250315">
                              <a:moveTo>
                                <a:pt x="0" y="0"/>
                              </a:moveTo>
                              <a:lnTo>
                                <a:pt x="0" y="249935"/>
                              </a:lnTo>
                            </a:path>
                            <a:path w="0" h="1250315">
                              <a:moveTo>
                                <a:pt x="0" y="249935"/>
                              </a:moveTo>
                              <a:lnTo>
                                <a:pt x="0" y="499871"/>
                              </a:lnTo>
                            </a:path>
                            <a:path w="0" h="1250315">
                              <a:moveTo>
                                <a:pt x="0" y="499871"/>
                              </a:moveTo>
                              <a:lnTo>
                                <a:pt x="0" y="750061"/>
                              </a:lnTo>
                            </a:path>
                            <a:path w="0" h="1250315">
                              <a:moveTo>
                                <a:pt x="0" y="750061"/>
                              </a:moveTo>
                              <a:lnTo>
                                <a:pt x="0" y="999997"/>
                              </a:lnTo>
                            </a:path>
                            <a:path w="0" h="1250315">
                              <a:moveTo>
                                <a:pt x="0" y="999997"/>
                              </a:moveTo>
                              <a:lnTo>
                                <a:pt x="0" y="1249933"/>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67773pt;width:.1pt;height:98.45pt;mso-position-horizontal-relative:page;mso-position-vertical-relative:paragraph;z-index:15771136" id="docshape96" coordorigin="3030,-1" coordsize="0,1969" path="m3030,-1l3030,392m3030,392l3030,786m3030,786l3030,1180m3030,1180l3030,1573m3030,1573l3030,1967e" filled="false" stroked="true" strokeweight=".48pt" strokecolor="#000000">
                <v:path arrowok="t"/>
                <v:stroke dashstyle="shortdash"/>
                <w10:wrap type="none"/>
              </v:shape>
            </w:pict>
          </mc:Fallback>
        </mc:AlternateContent>
      </w:r>
      <w:r>
        <w:rPr/>
        <w:t>“the principal aim of an analysis of DNPs is first to reconstruct the</w:t>
      </w:r>
      <w:r>
        <w:rPr>
          <w:spacing w:val="-1"/>
        </w:rPr>
        <w:t> </w:t>
      </w:r>
      <w:r>
        <w:rPr/>
        <w:t>conceptualizations</w:t>
      </w:r>
      <w:r>
        <w:rPr>
          <w:spacing w:val="-3"/>
        </w:rPr>
        <w:t> </w:t>
      </w:r>
      <w:r>
        <w:rPr/>
        <w:t>of, in our case, European governance</w:t>
      </w:r>
      <w:r>
        <w:rPr>
          <w:spacing w:val="-5"/>
        </w:rPr>
        <w:t> </w:t>
      </w:r>
      <w:r>
        <w:rPr/>
        <w:t>in the various discourses present in the political debate, and then the metanarratives on which they draw, and the rules according to which these metanarratives are tied together.”</w:t>
      </w:r>
    </w:p>
    <w:p>
      <w:pPr>
        <w:pStyle w:val="BodyText"/>
        <w:spacing w:line="342" w:lineRule="exact"/>
        <w:ind w:left="7193"/>
      </w:pPr>
      <w:r>
        <w:rPr/>
        <w:t>(</w:t>
      </w:r>
      <w:hyperlink w:history="true" w:anchor="_bookmark160">
        <w:r>
          <w:rPr/>
          <w:t>Diez,</w:t>
        </w:r>
        <w:r>
          <w:rPr>
            <w:spacing w:val="25"/>
          </w:rPr>
          <w:t> </w:t>
        </w:r>
        <w:r>
          <w:rPr/>
          <w:t>2001,</w:t>
        </w:r>
        <w:r>
          <w:rPr>
            <w:spacing w:val="25"/>
          </w:rPr>
          <w:t> </w:t>
        </w:r>
        <w:r>
          <w:rPr/>
          <w:t>p.</w:t>
        </w:r>
        <w:r>
          <w:rPr>
            <w:spacing w:val="22"/>
          </w:rPr>
          <w:t> </w:t>
        </w:r>
        <w:r>
          <w:rPr>
            <w:spacing w:val="-5"/>
          </w:rPr>
          <w:t>17</w:t>
        </w:r>
      </w:hyperlink>
      <w:r>
        <w:rPr>
          <w:spacing w:val="-5"/>
        </w:rPr>
        <w:t>)</w:t>
      </w:r>
    </w:p>
    <w:p>
      <w:pPr>
        <w:pStyle w:val="BodyText"/>
        <w:spacing w:after="0" w:line="342" w:lineRule="exact"/>
        <w:sectPr>
          <w:pgSz w:w="12240" w:h="15840"/>
          <w:pgMar w:header="1046" w:footer="0" w:top="1360" w:bottom="280" w:left="720" w:right="360"/>
        </w:sectPr>
      </w:pPr>
    </w:p>
    <w:p>
      <w:pPr>
        <w:pStyle w:val="BodyText"/>
        <w:spacing w:line="276" w:lineRule="auto" w:before="266"/>
        <w:ind w:right="1905" w:firstLine="720"/>
      </w:pPr>
      <w:r>
        <w:rPr>
          <w:sz w:val="27"/>
        </w:rPr>
        <w:t>Diez </w:t>
      </w:r>
      <w:r>
        <w:rPr/>
        <w:t>illustrates the approach with the British case. Before the UK joined the Europe, there were discourse exchanges. British politicians, who were eager to integrate, tried to use speeches to sharpen economic identity of the European Community, while political dimension of the project was not taken into serious considerations. Supranational governance was presented</w:t>
      </w:r>
      <w:r>
        <w:rPr>
          <w:spacing w:val="-3"/>
        </w:rPr>
        <w:t> </w:t>
      </w:r>
      <w:r>
        <w:rPr/>
        <w:t>as</w:t>
      </w:r>
      <w:r>
        <w:rPr>
          <w:spacing w:val="-5"/>
        </w:rPr>
        <w:t> </w:t>
      </w:r>
      <w:r>
        <w:rPr/>
        <w:t>a</w:t>
      </w:r>
      <w:r>
        <w:rPr>
          <w:spacing w:val="40"/>
        </w:rPr>
        <w:t> </w:t>
      </w:r>
      <w:r>
        <w:rPr/>
        <w:t>guarantee</w:t>
      </w:r>
      <w:r>
        <w:rPr>
          <w:spacing w:val="-4"/>
        </w:rPr>
        <w:t> </w:t>
      </w:r>
      <w:r>
        <w:rPr/>
        <w:t>of</w:t>
      </w:r>
      <w:r>
        <w:rPr>
          <w:spacing w:val="-5"/>
        </w:rPr>
        <w:t> </w:t>
      </w:r>
      <w:r>
        <w:rPr/>
        <w:t>higher</w:t>
      </w:r>
      <w:r>
        <w:rPr>
          <w:spacing w:val="-3"/>
        </w:rPr>
        <w:t> </w:t>
      </w:r>
      <w:r>
        <w:rPr/>
        <w:t>economic</w:t>
      </w:r>
      <w:r>
        <w:rPr>
          <w:spacing w:val="-5"/>
        </w:rPr>
        <w:t> </w:t>
      </w:r>
      <w:r>
        <w:rPr/>
        <w:t>output.</w:t>
      </w:r>
      <w:r>
        <w:rPr>
          <w:spacing w:val="-3"/>
        </w:rPr>
        <w:t> </w:t>
      </w:r>
      <w:r>
        <w:rPr/>
        <w:t>E.g </w:t>
      </w:r>
      <w:r>
        <w:rPr>
          <w:sz w:val="27"/>
        </w:rPr>
        <w:t>Harold</w:t>
      </w:r>
      <w:r>
        <w:rPr>
          <w:spacing w:val="-5"/>
          <w:sz w:val="27"/>
        </w:rPr>
        <w:t> </w:t>
      </w:r>
      <w:r>
        <w:rPr>
          <w:sz w:val="27"/>
        </w:rPr>
        <w:t>Macmillan </w:t>
      </w:r>
      <w:r>
        <w:rPr/>
        <w:t>commented on Treaty of Rome as it was dedicated to matters of “trade and some of the social aspects of human life which are most connected with trade and production.” (</w:t>
      </w:r>
      <w:hyperlink w:history="true" w:anchor="_bookmark160">
        <w:r>
          <w:rPr/>
          <w:t>Diez, 2001, p. 21</w:t>
        </w:r>
      </w:hyperlink>
      <w:r>
        <w:rPr/>
        <w:t>) As we see, here, politics “is set apart” from the economics. Even dominant discourse cannot stay unchallenged: “once specific discourse becomes dominant it is already contested by alternative discourses with different metanarratives.” (</w:t>
      </w:r>
      <w:hyperlink w:history="true" w:anchor="_bookmark160">
        <w:r>
          <w:rPr/>
          <w:t>Diez,</w:t>
        </w:r>
      </w:hyperlink>
      <w:r>
        <w:rPr/>
        <w:t> </w:t>
      </w:r>
      <w:hyperlink w:history="true" w:anchor="_bookmark160">
        <w:r>
          <w:rPr/>
          <w:t>2001, p. 26</w:t>
        </w:r>
      </w:hyperlink>
      <w:r>
        <w:rPr/>
        <w:t>) That is why in the UK discourses has changed several times.</w:t>
      </w:r>
    </w:p>
    <w:p>
      <w:pPr>
        <w:spacing w:line="325" w:lineRule="exact" w:before="0"/>
        <w:ind w:left="1700" w:right="0" w:firstLine="0"/>
        <w:jc w:val="both"/>
        <w:rPr>
          <w:sz w:val="26"/>
        </w:rPr>
      </w:pPr>
      <w:r>
        <w:rPr>
          <w:sz w:val="27"/>
        </w:rPr>
        <w:t>Tanja</w:t>
      </w:r>
      <w:r>
        <w:rPr>
          <w:spacing w:val="73"/>
          <w:w w:val="150"/>
          <w:sz w:val="27"/>
        </w:rPr>
        <w:t> </w:t>
      </w:r>
      <w:r>
        <w:rPr>
          <w:sz w:val="27"/>
        </w:rPr>
        <w:t>Aalberts</w:t>
      </w:r>
      <w:r>
        <w:rPr>
          <w:spacing w:val="73"/>
          <w:w w:val="150"/>
          <w:sz w:val="27"/>
        </w:rPr>
        <w:t> </w:t>
      </w:r>
      <w:r>
        <w:rPr>
          <w:sz w:val="26"/>
        </w:rPr>
        <w:t>examined</w:t>
      </w:r>
      <w:r>
        <w:rPr>
          <w:spacing w:val="79"/>
          <w:w w:val="150"/>
          <w:sz w:val="26"/>
        </w:rPr>
        <w:t> </w:t>
      </w:r>
      <w:r>
        <w:rPr>
          <w:sz w:val="26"/>
        </w:rPr>
        <w:t>concept</w:t>
      </w:r>
      <w:r>
        <w:rPr>
          <w:spacing w:val="77"/>
          <w:w w:val="150"/>
          <w:sz w:val="26"/>
        </w:rPr>
        <w:t> </w:t>
      </w:r>
      <w:r>
        <w:rPr>
          <w:sz w:val="26"/>
        </w:rPr>
        <w:t>of</w:t>
      </w:r>
      <w:r>
        <w:rPr>
          <w:spacing w:val="77"/>
          <w:w w:val="150"/>
          <w:sz w:val="26"/>
        </w:rPr>
        <w:t> </w:t>
      </w:r>
      <w:r>
        <w:rPr>
          <w:sz w:val="26"/>
        </w:rPr>
        <w:t>sovereignty</w:t>
      </w:r>
      <w:r>
        <w:rPr>
          <w:spacing w:val="76"/>
          <w:w w:val="150"/>
          <w:sz w:val="26"/>
        </w:rPr>
        <w:t> </w:t>
      </w:r>
      <w:r>
        <w:rPr>
          <w:sz w:val="26"/>
        </w:rPr>
        <w:t>in</w:t>
      </w:r>
      <w:r>
        <w:rPr>
          <w:spacing w:val="79"/>
          <w:w w:val="150"/>
          <w:sz w:val="26"/>
        </w:rPr>
        <w:t> </w:t>
      </w:r>
      <w:r>
        <w:rPr>
          <w:spacing w:val="-2"/>
          <w:sz w:val="26"/>
        </w:rPr>
        <w:t>multilevel</w:t>
      </w:r>
    </w:p>
    <w:p>
      <w:pPr>
        <w:pStyle w:val="BodyText"/>
        <w:spacing w:line="273" w:lineRule="auto" w:before="48"/>
        <w:ind w:right="1908"/>
      </w:pPr>
      <w:r>
        <w:rPr/>
        <w:t>governance. The article is an attempt to “overcome the problems of state centrism,” by denying that sovereignty is an ‘absolete’ given fact. (</w:t>
      </w:r>
      <w:hyperlink w:history="true" w:anchor="_bookmark63">
        <w:r>
          <w:rPr/>
          <w:t>Aalberts,</w:t>
        </w:r>
      </w:hyperlink>
      <w:r>
        <w:rPr/>
        <w:t> </w:t>
      </w:r>
      <w:hyperlink w:history="true" w:anchor="_bookmark63">
        <w:r>
          <w:rPr/>
          <w:t>2004, p. 26</w:t>
        </w:r>
      </w:hyperlink>
      <w:r>
        <w:rPr/>
        <w:t>) Instead, </w:t>
      </w:r>
      <w:r>
        <w:rPr>
          <w:sz w:val="27"/>
        </w:rPr>
        <w:t>Aalberts </w:t>
      </w:r>
      <w:r>
        <w:rPr/>
        <w:t>proposes a constructivist approach, based on </w:t>
      </w:r>
      <w:r>
        <w:rPr>
          <w:sz w:val="27"/>
        </w:rPr>
        <w:t>Wendt</w:t>
      </w:r>
      <w:r>
        <w:rPr/>
        <w:t>’s intersubjectivity. Special attention is paid to identity formation process. As long as states interact and they reproduce the conception of</w:t>
      </w:r>
      <w:r>
        <w:rPr>
          <w:spacing w:val="40"/>
        </w:rPr>
        <w:t> </w:t>
      </w:r>
      <w:r>
        <w:rPr/>
        <w:t>each</w:t>
      </w:r>
      <w:r>
        <w:rPr>
          <w:spacing w:val="-1"/>
        </w:rPr>
        <w:t> </w:t>
      </w:r>
      <w:r>
        <w:rPr/>
        <w:t>others</w:t>
      </w:r>
      <w:r>
        <w:rPr>
          <w:spacing w:val="-3"/>
        </w:rPr>
        <w:t> </w:t>
      </w:r>
      <w:r>
        <w:rPr/>
        <w:t>identity, they</w:t>
      </w:r>
      <w:r>
        <w:rPr>
          <w:spacing w:val="-1"/>
        </w:rPr>
        <w:t> </w:t>
      </w:r>
      <w:r>
        <w:rPr/>
        <w:t>also re-afirm</w:t>
      </w:r>
      <w:r>
        <w:rPr>
          <w:spacing w:val="-3"/>
        </w:rPr>
        <w:t> </w:t>
      </w:r>
      <w:r>
        <w:rPr/>
        <w:t>sovereignty</w:t>
      </w:r>
      <w:r>
        <w:rPr>
          <w:spacing w:val="-1"/>
        </w:rPr>
        <w:t> </w:t>
      </w:r>
      <w:r>
        <w:rPr/>
        <w:t>of</w:t>
      </w:r>
      <w:r>
        <w:rPr>
          <w:spacing w:val="-2"/>
        </w:rPr>
        <w:t> </w:t>
      </w:r>
      <w:r>
        <w:rPr/>
        <w:t>each</w:t>
      </w:r>
      <w:r>
        <w:rPr>
          <w:spacing w:val="-1"/>
        </w:rPr>
        <w:t> </w:t>
      </w:r>
      <w:r>
        <w:rPr/>
        <w:t>other. (</w:t>
      </w:r>
      <w:hyperlink w:history="true" w:anchor="_bookmark63">
        <w:r>
          <w:rPr/>
          <w:t>Aalberts,</w:t>
        </w:r>
      </w:hyperlink>
      <w:r>
        <w:rPr/>
        <w:t> </w:t>
      </w:r>
      <w:hyperlink w:history="true" w:anchor="_bookmark63">
        <w:r>
          <w:rPr/>
          <w:t>2004, p. 36</w:t>
        </w:r>
      </w:hyperlink>
      <w:r>
        <w:rPr/>
        <w:t>) This, in the context of European integration means that while states interact collectively they shape collective identity:</w:t>
      </w:r>
    </w:p>
    <w:p>
      <w:pPr>
        <w:pStyle w:val="BodyText"/>
        <w:spacing w:before="49"/>
        <w:ind w:left="0"/>
        <w:jc w:val="left"/>
      </w:pPr>
    </w:p>
    <w:p>
      <w:pPr>
        <w:pStyle w:val="BodyText"/>
        <w:spacing w:line="276" w:lineRule="auto"/>
        <w:ind w:left="2420" w:right="1907"/>
      </w:pPr>
      <w:r>
        <w:rPr/>
        <mc:AlternateContent>
          <mc:Choice Requires="wps">
            <w:drawing>
              <wp:anchor distT="0" distB="0" distL="0" distR="0" allowOverlap="1" layoutInCell="1" locked="0" behindDoc="0" simplePos="0" relativeHeight="15771648">
                <wp:simplePos x="0" y="0"/>
                <wp:positionH relativeFrom="page">
                  <wp:posOffset>1923923</wp:posOffset>
                </wp:positionH>
                <wp:positionV relativeFrom="paragraph">
                  <wp:posOffset>-1683</wp:posOffset>
                </wp:positionV>
                <wp:extent cx="1270" cy="1003300"/>
                <wp:effectExtent l="0" t="0" r="0" b="0"/>
                <wp:wrapNone/>
                <wp:docPr id="102" name="Graphic 102"/>
                <wp:cNvGraphicFramePr>
                  <a:graphicFrameLocks/>
                </wp:cNvGraphicFramePr>
                <a:graphic>
                  <a:graphicData uri="http://schemas.microsoft.com/office/word/2010/wordprocessingShape">
                    <wps:wsp>
                      <wps:cNvPr id="102" name="Graphic 102"/>
                      <wps:cNvSpPr/>
                      <wps:spPr>
                        <a:xfrm>
                          <a:off x="0" y="0"/>
                          <a:ext cx="1270" cy="1003300"/>
                        </a:xfrm>
                        <a:custGeom>
                          <a:avLst/>
                          <a:gdLst/>
                          <a:ahLst/>
                          <a:cxnLst/>
                          <a:rect l="l" t="t" r="r" b="b"/>
                          <a:pathLst>
                            <a:path w="0" h="1003300">
                              <a:moveTo>
                                <a:pt x="0" y="0"/>
                              </a:moveTo>
                              <a:lnTo>
                                <a:pt x="0" y="250316"/>
                              </a:lnTo>
                            </a:path>
                            <a:path w="0" h="1003300">
                              <a:moveTo>
                                <a:pt x="0" y="250316"/>
                              </a:moveTo>
                              <a:lnTo>
                                <a:pt x="0" y="503300"/>
                              </a:lnTo>
                            </a:path>
                            <a:path w="0" h="1003300">
                              <a:moveTo>
                                <a:pt x="0" y="503300"/>
                              </a:moveTo>
                              <a:lnTo>
                                <a:pt x="0" y="753236"/>
                              </a:lnTo>
                            </a:path>
                            <a:path w="0" h="1003300">
                              <a:moveTo>
                                <a:pt x="0" y="753236"/>
                              </a:moveTo>
                              <a:lnTo>
                                <a:pt x="0" y="1003172"/>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132572pt;width:.1pt;height:79pt;mso-position-horizontal-relative:page;mso-position-vertical-relative:paragraph;z-index:15771648" id="docshape97" coordorigin="3030,-3" coordsize="0,1580" path="m3030,-3l3030,392m3030,392l3030,790m3030,790l3030,1184m3030,1184l3030,1577e" filled="false" stroked="true" strokeweight=".48pt" strokecolor="#000000">
                <v:path arrowok="t"/>
                <v:stroke dashstyle="shortdash"/>
                <w10:wrap type="none"/>
              </v:shape>
            </w:pict>
          </mc:Fallback>
        </mc:AlternateContent>
      </w:r>
      <w:r>
        <w:rPr/>
        <w:t>“as a result of interaction and shared meanings, a sort of ‘su- per-ordinate identity’ would develop, above and beyond the state, blurring the boundary between Self and Other and generating interests being defined on account of ‘us as a team”</w:t>
      </w:r>
    </w:p>
    <w:p>
      <w:pPr>
        <w:pStyle w:val="BodyText"/>
        <w:spacing w:line="276" w:lineRule="auto" w:before="4"/>
        <w:ind w:left="1700" w:right="1918" w:firstLine="4513"/>
      </w:pPr>
      <w:r>
        <w:rPr/>
        <w:t>(</w:t>
      </w:r>
      <w:hyperlink w:history="true" w:anchor="_bookmark63">
        <w:r>
          <w:rPr/>
          <w:t>Aalberts, 2004, p. 34</w:t>
        </w:r>
      </w:hyperlink>
      <w:r>
        <w:rPr/>
        <w:t>) Problems</w:t>
      </w:r>
      <w:r>
        <w:rPr>
          <w:spacing w:val="44"/>
        </w:rPr>
        <w:t> </w:t>
      </w:r>
      <w:r>
        <w:rPr/>
        <w:t>of</w:t>
      </w:r>
      <w:r>
        <w:rPr>
          <w:spacing w:val="41"/>
        </w:rPr>
        <w:t> </w:t>
      </w:r>
      <w:r>
        <w:rPr/>
        <w:t>identity</w:t>
      </w:r>
      <w:r>
        <w:rPr>
          <w:spacing w:val="42"/>
        </w:rPr>
        <w:t> </w:t>
      </w:r>
      <w:r>
        <w:rPr/>
        <w:t>in</w:t>
      </w:r>
      <w:r>
        <w:rPr>
          <w:spacing w:val="48"/>
        </w:rPr>
        <w:t> </w:t>
      </w:r>
      <w:r>
        <w:rPr/>
        <w:t>Europe</w:t>
      </w:r>
      <w:r>
        <w:rPr>
          <w:spacing w:val="42"/>
        </w:rPr>
        <w:t> </w:t>
      </w:r>
      <w:r>
        <w:rPr/>
        <w:t>were</w:t>
      </w:r>
      <w:r>
        <w:rPr>
          <w:spacing w:val="43"/>
        </w:rPr>
        <w:t> </w:t>
      </w:r>
      <w:r>
        <w:rPr/>
        <w:t>addressed</w:t>
      </w:r>
      <w:r>
        <w:rPr>
          <w:spacing w:val="43"/>
        </w:rPr>
        <w:t> </w:t>
      </w:r>
      <w:r>
        <w:rPr/>
        <w:t>in</w:t>
      </w:r>
      <w:r>
        <w:rPr>
          <w:spacing w:val="43"/>
        </w:rPr>
        <w:t> </w:t>
      </w:r>
      <w:r>
        <w:rPr/>
        <w:t>book</w:t>
      </w:r>
      <w:r>
        <w:rPr>
          <w:spacing w:val="43"/>
        </w:rPr>
        <w:t> </w:t>
      </w:r>
      <w:r>
        <w:rPr/>
        <w:t>edited</w:t>
      </w:r>
      <w:r>
        <w:rPr>
          <w:spacing w:val="43"/>
        </w:rPr>
        <w:t> </w:t>
      </w:r>
      <w:r>
        <w:rPr>
          <w:spacing w:val="-5"/>
        </w:rPr>
        <w:t>by</w:t>
      </w:r>
    </w:p>
    <w:p>
      <w:pPr>
        <w:pStyle w:val="BodyText"/>
        <w:spacing w:line="273" w:lineRule="auto"/>
        <w:ind w:right="1915"/>
      </w:pPr>
      <w:r>
        <w:rPr>
          <w:sz w:val="27"/>
        </w:rPr>
        <w:t>Checkel and Katzenstein. </w:t>
      </w:r>
      <w:r>
        <w:rPr/>
        <w:t>(</w:t>
      </w:r>
      <w:hyperlink w:history="true" w:anchor="_bookmark128">
        <w:r>
          <w:rPr/>
          <w:t>2009</w:t>
        </w:r>
      </w:hyperlink>
      <w:r>
        <w:rPr/>
        <w:t>) The authors argue that</w:t>
      </w:r>
      <w:r>
        <w:rPr>
          <w:spacing w:val="40"/>
        </w:rPr>
        <w:t> </w:t>
      </w:r>
      <w:r>
        <w:rPr/>
        <w:t>in order to understand changes of identity in multilevel setting like EU, interdisciplinary</w:t>
      </w:r>
      <w:r>
        <w:rPr>
          <w:spacing w:val="65"/>
        </w:rPr>
        <w:t> </w:t>
      </w:r>
      <w:r>
        <w:rPr/>
        <w:t>approach</w:t>
      </w:r>
      <w:r>
        <w:rPr>
          <w:spacing w:val="65"/>
        </w:rPr>
        <w:t> </w:t>
      </w:r>
      <w:r>
        <w:rPr/>
        <w:t>is</w:t>
      </w:r>
      <w:r>
        <w:rPr>
          <w:spacing w:val="64"/>
        </w:rPr>
        <w:t> </w:t>
      </w:r>
      <w:r>
        <w:rPr/>
        <w:t>necessary.</w:t>
      </w:r>
      <w:r>
        <w:rPr>
          <w:spacing w:val="67"/>
        </w:rPr>
        <w:t> </w:t>
      </w:r>
      <w:r>
        <w:rPr/>
        <w:t>That</w:t>
      </w:r>
      <w:r>
        <w:rPr>
          <w:spacing w:val="66"/>
        </w:rPr>
        <w:t> </w:t>
      </w:r>
      <w:r>
        <w:rPr/>
        <w:t>is</w:t>
      </w:r>
      <w:r>
        <w:rPr>
          <w:spacing w:val="63"/>
        </w:rPr>
        <w:t> </w:t>
      </w:r>
      <w:r>
        <w:rPr/>
        <w:t>why</w:t>
      </w:r>
      <w:r>
        <w:rPr>
          <w:spacing w:val="66"/>
        </w:rPr>
        <w:t> </w:t>
      </w:r>
      <w:r>
        <w:rPr/>
        <w:t>the</w:t>
      </w:r>
      <w:r>
        <w:rPr>
          <w:spacing w:val="65"/>
        </w:rPr>
        <w:t> </w:t>
      </w:r>
      <w:r>
        <w:rPr/>
        <w:t>book</w:t>
      </w:r>
      <w:r>
        <w:rPr>
          <w:spacing w:val="66"/>
        </w:rPr>
        <w:t> </w:t>
      </w:r>
      <w:r>
        <w:rPr>
          <w:spacing w:val="-2"/>
        </w:rPr>
        <w:t>includes</w:t>
      </w:r>
    </w:p>
    <w:p>
      <w:pPr>
        <w:pStyle w:val="BodyText"/>
        <w:spacing w:after="0" w:line="273" w:lineRule="auto"/>
        <w:sectPr>
          <w:pgSz w:w="12240" w:h="15840"/>
          <w:pgMar w:header="1046" w:footer="0" w:top="1360" w:bottom="280" w:left="720" w:right="360"/>
        </w:sectPr>
      </w:pPr>
    </w:p>
    <w:p>
      <w:pPr>
        <w:pStyle w:val="BodyText"/>
        <w:spacing w:line="276" w:lineRule="auto" w:before="276"/>
        <w:ind w:right="1909"/>
      </w:pPr>
      <w:r>
        <w:rPr/>
        <w:t>contributors, who combine social constructivism with other approaches. The editors argue that scholars who study identity in European Union, neglect</w:t>
      </w:r>
      <w:r>
        <w:rPr>
          <w:spacing w:val="-3"/>
        </w:rPr>
        <w:t> </w:t>
      </w:r>
      <w:r>
        <w:rPr/>
        <w:t>importance</w:t>
      </w:r>
      <w:r>
        <w:rPr>
          <w:spacing w:val="-3"/>
        </w:rPr>
        <w:t> </w:t>
      </w:r>
      <w:r>
        <w:rPr/>
        <w:t>of</w:t>
      </w:r>
      <w:r>
        <w:rPr>
          <w:spacing w:val="-4"/>
        </w:rPr>
        <w:t> </w:t>
      </w:r>
      <w:r>
        <w:rPr/>
        <w:t>political</w:t>
      </w:r>
      <w:r>
        <w:rPr>
          <w:spacing w:val="-6"/>
        </w:rPr>
        <w:t> </w:t>
      </w:r>
      <w:r>
        <w:rPr/>
        <w:t>dynamics (</w:t>
      </w:r>
      <w:hyperlink w:history="true" w:anchor="_bookmark128">
        <w:r>
          <w:rPr/>
          <w:t>J.</w:t>
        </w:r>
        <w:r>
          <w:rPr>
            <w:spacing w:val="-2"/>
          </w:rPr>
          <w:t> </w:t>
        </w:r>
        <w:r>
          <w:rPr/>
          <w:t>T.</w:t>
        </w:r>
        <w:r>
          <w:rPr>
            <w:spacing w:val="-2"/>
          </w:rPr>
          <w:t> </w:t>
        </w:r>
        <w:r>
          <w:rPr/>
          <w:t>Checkel</w:t>
        </w:r>
        <w:r>
          <w:rPr>
            <w:spacing w:val="-6"/>
          </w:rPr>
          <w:t> </w:t>
        </w:r>
        <w:r>
          <w:rPr/>
          <w:t>&amp;</w:t>
        </w:r>
        <w:r>
          <w:rPr>
            <w:spacing w:val="-6"/>
          </w:rPr>
          <w:t> </w:t>
        </w:r>
        <w:r>
          <w:rPr/>
          <w:t>Katzenstein,</w:t>
        </w:r>
        <w:r>
          <w:rPr>
            <w:spacing w:val="-2"/>
          </w:rPr>
          <w:t> </w:t>
        </w:r>
        <w:r>
          <w:rPr/>
          <w:t>2009,</w:t>
        </w:r>
      </w:hyperlink>
      <w:r>
        <w:rPr/>
        <w:t> </w:t>
      </w:r>
      <w:hyperlink w:history="true" w:anchor="_bookmark128">
        <w:r>
          <w:rPr/>
          <w:t>p. 8</w:t>
        </w:r>
      </w:hyperlink>
      <w:r>
        <w:rPr/>
        <w:t>).</w:t>
      </w:r>
    </w:p>
    <w:p>
      <w:pPr>
        <w:pStyle w:val="BodyText"/>
        <w:spacing w:line="276" w:lineRule="auto"/>
        <w:ind w:right="1906" w:firstLine="720"/>
      </w:pPr>
      <w:r>
        <w:rPr/>
        <w:t>Identity in European union is politicized; the political processes suggest two main identity projects in Europe, a) the cosmopolitan, includes mainly elites, b) pluralist reflects and responds to mass politics. (</w:t>
      </w:r>
      <w:hyperlink w:history="true" w:anchor="_bookmark128">
        <w:r>
          <w:rPr/>
          <w:t>2009</w:t>
        </w:r>
      </w:hyperlink>
      <w:r>
        <w:rPr/>
        <w:t>) “Cosmopolitan conceptions focus on political citizenship and rights.</w:t>
      </w:r>
      <w:r>
        <w:rPr>
          <w:spacing w:val="40"/>
        </w:rPr>
        <w:t> </w:t>
      </w:r>
      <w:r>
        <w:rPr/>
        <w:t>Populist conceptions center on issues of social citizenship and cultural authenticity.” (</w:t>
      </w:r>
      <w:hyperlink w:history="true" w:anchor="_bookmark128">
        <w:r>
          <w:rPr/>
          <w:t>2009, p. 12</w:t>
        </w:r>
      </w:hyperlink>
      <w:r>
        <w:rPr/>
        <w:t>)</w:t>
      </w:r>
    </w:p>
    <w:p>
      <w:pPr>
        <w:pStyle w:val="BodyText"/>
        <w:spacing w:line="268" w:lineRule="auto"/>
        <w:ind w:right="1907" w:firstLine="720"/>
      </w:pPr>
      <w:r>
        <w:rPr/>
        <w:t>Identity in Europe is shaped in on two levels; </w:t>
      </w:r>
      <w:r>
        <w:rPr>
          <w:sz w:val="27"/>
        </w:rPr>
        <w:t>first </w:t>
      </w:r>
      <w:r>
        <w:rPr/>
        <w:t>on political level, national and supranational elites initiate changes. </w:t>
      </w:r>
      <w:r>
        <w:rPr>
          <w:sz w:val="27"/>
        </w:rPr>
        <w:t>Second </w:t>
      </w:r>
      <w:r>
        <w:rPr/>
        <w:t>social level,</w:t>
      </w:r>
      <w:r>
        <w:rPr>
          <w:spacing w:val="40"/>
        </w:rPr>
        <w:t> </w:t>
      </w:r>
      <w:r>
        <w:rPr/>
        <w:t>where actors communicate and bargain, the process adjusts the identities.</w:t>
      </w:r>
    </w:p>
    <w:p>
      <w:pPr>
        <w:pStyle w:val="BodyText"/>
        <w:spacing w:line="276" w:lineRule="auto"/>
        <w:ind w:right="1903" w:firstLine="720"/>
      </w:pPr>
      <w:r>
        <w:rPr>
          <w:sz w:val="27"/>
        </w:rPr>
        <w:t>Dario Castiglione </w:t>
      </w:r>
      <w:r>
        <w:rPr/>
        <w:t>in the same volume argues that political identity has a social function as it “plays an important role in sustaining citizens’ allegiance and loyalty to their political community.” (</w:t>
      </w:r>
      <w:hyperlink w:history="true" w:anchor="_bookmark126">
        <w:r>
          <w:rPr/>
          <w:t>Castiglione, 2009, p.</w:t>
        </w:r>
      </w:hyperlink>
      <w:r>
        <w:rPr/>
        <w:t> </w:t>
      </w:r>
      <w:hyperlink w:history="true" w:anchor="_bookmark126">
        <w:r>
          <w:rPr/>
          <w:t>29</w:t>
        </w:r>
      </w:hyperlink>
      <w:r>
        <w:rPr/>
        <w:t>)</w:t>
      </w:r>
      <w:r>
        <w:rPr>
          <w:spacing w:val="40"/>
        </w:rPr>
        <w:t> </w:t>
      </w:r>
      <w:r>
        <w:rPr/>
        <w:t>Different forms of political identification may not be in conflict, but when</w:t>
      </w:r>
      <w:r>
        <w:rPr>
          <w:spacing w:val="-1"/>
        </w:rPr>
        <w:t> </w:t>
      </w:r>
      <w:r>
        <w:rPr/>
        <w:t>we</w:t>
      </w:r>
      <w:r>
        <w:rPr>
          <w:spacing w:val="-2"/>
        </w:rPr>
        <w:t> </w:t>
      </w:r>
      <w:r>
        <w:rPr/>
        <w:t>consider</w:t>
      </w:r>
      <w:r>
        <w:rPr>
          <w:spacing w:val="-1"/>
        </w:rPr>
        <w:t> </w:t>
      </w:r>
      <w:r>
        <w:rPr/>
        <w:t>the</w:t>
      </w:r>
      <w:r>
        <w:rPr>
          <w:spacing w:val="-7"/>
        </w:rPr>
        <w:t> </w:t>
      </w:r>
      <w:r>
        <w:rPr/>
        <w:t>same</w:t>
      </w:r>
      <w:r>
        <w:rPr>
          <w:spacing w:val="-2"/>
        </w:rPr>
        <w:t> </w:t>
      </w:r>
      <w:r>
        <w:rPr/>
        <w:t>from</w:t>
      </w:r>
      <w:r>
        <w:rPr>
          <w:spacing w:val="-4"/>
        </w:rPr>
        <w:t> </w:t>
      </w:r>
      <w:r>
        <w:rPr/>
        <w:t>the</w:t>
      </w:r>
      <w:r>
        <w:rPr>
          <w:spacing w:val="-2"/>
        </w:rPr>
        <w:t> </w:t>
      </w:r>
      <w:r>
        <w:rPr/>
        <w:t>point</w:t>
      </w:r>
      <w:r>
        <w:rPr>
          <w:spacing w:val="-2"/>
        </w:rPr>
        <w:t> </w:t>
      </w:r>
      <w:r>
        <w:rPr/>
        <w:t>of</w:t>
      </w:r>
      <w:r>
        <w:rPr>
          <w:spacing w:val="-3"/>
        </w:rPr>
        <w:t> </w:t>
      </w:r>
      <w:r>
        <w:rPr/>
        <w:t>view</w:t>
      </w:r>
      <w:r>
        <w:rPr>
          <w:spacing w:val="-1"/>
        </w:rPr>
        <w:t> </w:t>
      </w:r>
      <w:r>
        <w:rPr/>
        <w:t>of</w:t>
      </w:r>
      <w:r>
        <w:rPr>
          <w:spacing w:val="-3"/>
        </w:rPr>
        <w:t> </w:t>
      </w:r>
      <w:r>
        <w:rPr/>
        <w:t>allegiance, situation</w:t>
      </w:r>
      <w:r>
        <w:rPr>
          <w:spacing w:val="-1"/>
        </w:rPr>
        <w:t> </w:t>
      </w:r>
      <w:r>
        <w:rPr/>
        <w:t>is different. Political communities have legal rights to use force over their members, therefore, they require</w:t>
      </w:r>
      <w:r>
        <w:rPr>
          <w:spacing w:val="40"/>
        </w:rPr>
        <w:t> </w:t>
      </w:r>
      <w:r>
        <w:rPr/>
        <w:t>an exclusive loyalty of the population. However, in case of the EU, the same exclusivity does not apply in full. (</w:t>
      </w:r>
      <w:hyperlink w:history="true" w:anchor="_bookmark126">
        <w:r>
          <w:rPr/>
          <w:t>Castiglione, 2009, p. 32</w:t>
        </w:r>
      </w:hyperlink>
      <w:r>
        <w:rPr/>
        <w:t>) The European identity may not challenge the national identities, but it “enters into some kind of collision with the more historically and politically sedimented allegiances toward the nation-state.” (</w:t>
      </w:r>
      <w:hyperlink w:history="true" w:anchor="_bookmark126">
        <w:r>
          <w:rPr/>
          <w:t>2009, p. 32</w:t>
        </w:r>
      </w:hyperlink>
      <w:r>
        <w:rPr/>
        <w:t>)</w:t>
      </w:r>
    </w:p>
    <w:p>
      <w:pPr>
        <w:pStyle w:val="BodyText"/>
        <w:spacing w:line="276" w:lineRule="auto"/>
        <w:ind w:right="1903" w:firstLine="720"/>
      </w:pPr>
      <w:r>
        <w:rPr>
          <w:sz w:val="27"/>
        </w:rPr>
        <w:t>Castiglione </w:t>
      </w:r>
      <w:r>
        <w:rPr/>
        <w:t>argues that modern state projects of identity are adapted as a functional tools for sovereignty and territoriality. Therefore, new political identity, imposed from the Europe might challenge the very understanding of state identity. Citizens are asked to identify “with a different territory” and express loyalty toward “different sovereign institutions.”</w:t>
      </w:r>
      <w:r>
        <w:rPr>
          <w:spacing w:val="40"/>
        </w:rPr>
        <w:t> </w:t>
      </w:r>
      <w:r>
        <w:rPr/>
        <w:t>Or</w:t>
      </w:r>
      <w:r>
        <w:rPr>
          <w:spacing w:val="40"/>
        </w:rPr>
        <w:t> </w:t>
      </w:r>
      <w:r>
        <w:rPr/>
        <w:t>more</w:t>
      </w:r>
      <w:r>
        <w:rPr>
          <w:spacing w:val="40"/>
        </w:rPr>
        <w:t> </w:t>
      </w:r>
      <w:r>
        <w:rPr/>
        <w:t>radically,</w:t>
      </w:r>
      <w:r>
        <w:rPr>
          <w:spacing w:val="40"/>
        </w:rPr>
        <w:t> </w:t>
      </w:r>
      <w:r>
        <w:rPr/>
        <w:t>"</w:t>
      </w:r>
      <w:r>
        <w:rPr>
          <w:spacing w:val="40"/>
        </w:rPr>
        <w:t> </w:t>
      </w:r>
      <w:r>
        <w:rPr/>
        <w:t>EU,</w:t>
      </w:r>
      <w:r>
        <w:rPr>
          <w:spacing w:val="40"/>
        </w:rPr>
        <w:t> </w:t>
      </w:r>
      <w:r>
        <w:rPr/>
        <w:t>as</w:t>
      </w:r>
      <w:r>
        <w:rPr>
          <w:spacing w:val="39"/>
        </w:rPr>
        <w:t> </w:t>
      </w:r>
      <w:r>
        <w:rPr/>
        <w:t>a</w:t>
      </w:r>
      <w:r>
        <w:rPr>
          <w:spacing w:val="36"/>
        </w:rPr>
        <w:t> </w:t>
      </w:r>
      <w:r>
        <w:rPr/>
        <w:t>transnational</w:t>
      </w:r>
      <w:r>
        <w:rPr>
          <w:spacing w:val="39"/>
        </w:rPr>
        <w:t> </w:t>
      </w:r>
      <w:r>
        <w:rPr/>
        <w:t>entity,</w:t>
      </w:r>
      <w:r>
        <w:rPr>
          <w:spacing w:val="38"/>
        </w:rPr>
        <w:t> </w:t>
      </w:r>
      <w:r>
        <w:rPr/>
        <w:t>does</w:t>
      </w:r>
      <w:r>
        <w:rPr>
          <w:spacing w:val="39"/>
        </w:rPr>
        <w:t> </w:t>
      </w:r>
      <w:r>
        <w:rPr/>
        <w:t>not</w:t>
      </w:r>
    </w:p>
    <w:p>
      <w:pPr>
        <w:pStyle w:val="BodyText"/>
        <w:spacing w:after="0" w:line="276" w:lineRule="auto"/>
        <w:sectPr>
          <w:pgSz w:w="12240" w:h="15840"/>
          <w:pgMar w:header="1046" w:footer="0" w:top="1360" w:bottom="280" w:left="720" w:right="360"/>
        </w:sectPr>
      </w:pPr>
    </w:p>
    <w:p>
      <w:pPr>
        <w:pStyle w:val="BodyText"/>
        <w:spacing w:line="276" w:lineRule="auto" w:before="276"/>
        <w:ind w:right="1912"/>
      </w:pPr>
      <w:r>
        <w:rPr/>
        <w:t>simply take the place of the nation-state, but effectively undermines the very principles of territoriality and sovereignty.” (</w:t>
      </w:r>
      <w:hyperlink w:history="true" w:anchor="_bookmark126">
        <w:r>
          <w:rPr/>
          <w:t>Castiglione, 2009, p. 32</w:t>
        </w:r>
      </w:hyperlink>
      <w:r>
        <w:rPr/>
        <w:t>)</w:t>
      </w:r>
    </w:p>
    <w:p>
      <w:pPr>
        <w:pStyle w:val="BodyText"/>
        <w:spacing w:line="271" w:lineRule="auto"/>
        <w:ind w:right="1907" w:firstLine="720"/>
      </w:pPr>
      <w:r>
        <w:rPr/>
        <w:t>Importantly, </w:t>
      </w:r>
      <w:r>
        <w:rPr>
          <w:sz w:val="27"/>
        </w:rPr>
        <w:t>Castiglione </w:t>
      </w:r>
      <w:r>
        <w:rPr/>
        <w:t>analyses </w:t>
      </w:r>
      <w:r>
        <w:rPr>
          <w:sz w:val="27"/>
        </w:rPr>
        <w:t>Jürgen Habermas’s </w:t>
      </w:r>
      <w:r>
        <w:rPr/>
        <w:t>concept of ‘constitutional patriotism.’ </w:t>
      </w:r>
      <w:r>
        <w:rPr>
          <w:sz w:val="27"/>
        </w:rPr>
        <w:t>Habermas </w:t>
      </w:r>
      <w:r>
        <w:rPr/>
        <w:t>argued that the form of European political identity should be based on constitution. The idea claims that only the constitution can give a real political face to the community. Citizens need more than common currency to become self-aware of integration, “civic solidarity grows not so much out of identification with a national community, but out of membership in a democratic polity.” </w:t>
      </w:r>
      <w:r>
        <w:rPr>
          <w:sz w:val="27"/>
        </w:rPr>
        <w:t>Castiglione </w:t>
      </w:r>
      <w:r>
        <w:rPr/>
        <w:t>notes that </w:t>
      </w:r>
      <w:r>
        <w:rPr>
          <w:sz w:val="27"/>
        </w:rPr>
        <w:t>Habermas’s </w:t>
      </w:r>
      <w:r>
        <w:rPr/>
        <w:t>ideas are idealistic and too optimistic, undermining cultural and legal complexities of Europe. (</w:t>
      </w:r>
      <w:hyperlink w:history="true" w:anchor="_bookmark126">
        <w:r>
          <w:rPr/>
          <w:t>Castiglione, 2009, p. 45</w:t>
        </w:r>
      </w:hyperlink>
      <w:r>
        <w:rPr/>
        <w:t>)</w:t>
      </w:r>
    </w:p>
    <w:p>
      <w:pPr>
        <w:pStyle w:val="BodyText"/>
        <w:spacing w:line="276" w:lineRule="auto"/>
        <w:ind w:right="1902" w:firstLine="720"/>
      </w:pPr>
      <w:r>
        <w:rPr>
          <w:sz w:val="27"/>
        </w:rPr>
        <w:t>Thomas Risse </w:t>
      </w:r>
      <w:r>
        <w:rPr/>
        <w:t>underlines a trend in European integration studies, according to which the EU is a ‘two way’ process of policy making and institution building. (</w:t>
      </w:r>
      <w:hyperlink w:history="true" w:anchor="_bookmark353">
        <w:r>
          <w:rPr/>
          <w:t>Risse, 2009, p. 147</w:t>
        </w:r>
      </w:hyperlink>
      <w:r>
        <w:rPr/>
        <w:t>) This process intrinsically includes problem of structure and agency. Constructivist notion of mutual constitutivness of the social agents and institutions, goes beyond the behavioral ‘logic of consequentialism’ proposed by RCI</w:t>
      </w:r>
      <w:r>
        <w:rPr>
          <w:spacing w:val="40"/>
        </w:rPr>
        <w:t> </w:t>
      </w:r>
      <w:r>
        <w:rPr/>
        <w:t>and instead, bases on ‘logic of appropriateness.’</w:t>
      </w:r>
      <w:r>
        <w:rPr>
          <w:position w:val="7"/>
          <w:sz w:val="15"/>
        </w:rPr>
        <w:t>18</w:t>
      </w:r>
      <w:r>
        <w:rPr>
          <w:spacing w:val="80"/>
          <w:position w:val="7"/>
          <w:sz w:val="15"/>
        </w:rPr>
        <w:t> </w:t>
      </w:r>
      <w:r>
        <w:rPr/>
        <w:t>In later agents are guided by the rules and</w:t>
      </w:r>
      <w:r>
        <w:rPr>
          <w:spacing w:val="40"/>
        </w:rPr>
        <w:t> </w:t>
      </w:r>
      <w:r>
        <w:rPr/>
        <w:t>act according to the peculiarities of the given situation. Logic of appropriateness is identity based, in contrast to logic of consequentialism which is preference-based. (</w:t>
      </w:r>
      <w:hyperlink w:history="true" w:anchor="_bookmark279">
        <w:r>
          <w:rPr/>
          <w:t>March &amp; Olsen,</w:t>
        </w:r>
        <w:r>
          <w:rPr>
            <w:spacing w:val="-1"/>
          </w:rPr>
          <w:t> </w:t>
        </w:r>
        <w:r>
          <w:rPr/>
          <w:t>1998, p. 17</w:t>
        </w:r>
      </w:hyperlink>
      <w:r>
        <w:rPr/>
        <w:t>)</w:t>
      </w:r>
      <w:r>
        <w:rPr>
          <w:spacing w:val="-1"/>
        </w:rPr>
        <w:t> </w:t>
      </w:r>
      <w:r>
        <w:rPr/>
        <w:t>The</w:t>
      </w:r>
      <w:r>
        <w:rPr>
          <w:spacing w:val="-2"/>
        </w:rPr>
        <w:t> </w:t>
      </w:r>
      <w:r>
        <w:rPr/>
        <w:t>agents have to adjust</w:t>
      </w:r>
      <w:r>
        <w:rPr>
          <w:spacing w:val="-5"/>
        </w:rPr>
        <w:t> </w:t>
      </w:r>
      <w:r>
        <w:rPr/>
        <w:t>their</w:t>
      </w:r>
      <w:r>
        <w:rPr>
          <w:spacing w:val="-4"/>
        </w:rPr>
        <w:t> </w:t>
      </w:r>
      <w:r>
        <w:rPr/>
        <w:t>identities</w:t>
      </w:r>
      <w:r>
        <w:rPr>
          <w:spacing w:val="-7"/>
        </w:rPr>
        <w:t> </w:t>
      </w:r>
      <w:r>
        <w:rPr/>
        <w:t>to</w:t>
      </w:r>
      <w:r>
        <w:rPr>
          <w:spacing w:val="-8"/>
        </w:rPr>
        <w:t> </w:t>
      </w:r>
      <w:r>
        <w:rPr/>
        <w:t>those</w:t>
      </w:r>
      <w:r>
        <w:rPr>
          <w:spacing w:val="-5"/>
        </w:rPr>
        <w:t> </w:t>
      </w:r>
      <w:r>
        <w:rPr/>
        <w:t>of</w:t>
      </w:r>
      <w:r>
        <w:rPr>
          <w:spacing w:val="-2"/>
        </w:rPr>
        <w:t> </w:t>
      </w:r>
      <w:r>
        <w:rPr/>
        <w:t>other</w:t>
      </w:r>
      <w:r>
        <w:rPr>
          <w:spacing w:val="-4"/>
        </w:rPr>
        <w:t> </w:t>
      </w:r>
      <w:r>
        <w:rPr/>
        <w:t>actors. </w:t>
      </w:r>
      <w:r>
        <w:rPr>
          <w:sz w:val="27"/>
        </w:rPr>
        <w:t>Thomas</w:t>
      </w:r>
      <w:r>
        <w:rPr>
          <w:spacing w:val="-10"/>
          <w:sz w:val="27"/>
        </w:rPr>
        <w:t> </w:t>
      </w:r>
      <w:r>
        <w:rPr>
          <w:sz w:val="27"/>
        </w:rPr>
        <w:t>Risse</w:t>
      </w:r>
      <w:r>
        <w:rPr>
          <w:spacing w:val="-5"/>
          <w:sz w:val="27"/>
        </w:rPr>
        <w:t> </w:t>
      </w:r>
      <w:r>
        <w:rPr/>
        <w:t>argues</w:t>
      </w:r>
      <w:r>
        <w:rPr>
          <w:spacing w:val="-7"/>
        </w:rPr>
        <w:t> </w:t>
      </w:r>
      <w:r>
        <w:rPr/>
        <w:t>that</w:t>
      </w:r>
      <w:r>
        <w:rPr>
          <w:spacing w:val="-5"/>
        </w:rPr>
        <w:t> </w:t>
      </w:r>
      <w:r>
        <w:rPr/>
        <w:t>rule guided behavior makes the actors figure out “the appropriate rule in given social situation.” (</w:t>
      </w:r>
      <w:hyperlink w:history="true" w:anchor="_bookmark353">
        <w:r>
          <w:rPr/>
          <w:t>Risse, 2009, p. 148</w:t>
        </w:r>
      </w:hyperlink>
      <w:r>
        <w:rPr/>
        <w:t>)The rules of the institutions where the actors act, become primary guidelines for their actions. Institutional rules,</w:t>
      </w:r>
      <w:r>
        <w:rPr>
          <w:spacing w:val="40"/>
        </w:rPr>
        <w:t> </w:t>
      </w:r>
      <w:r>
        <w:rPr/>
        <w:t>in the most cases are regulators of appropriateness. On the state level, states which become part of the European Union can no longer be perceived as they used to be perceived before their membership:</w:t>
      </w:r>
    </w:p>
    <w:p>
      <w:pPr>
        <w:pStyle w:val="BodyText"/>
        <w:spacing w:before="27"/>
        <w:ind w:left="0"/>
        <w:jc w:val="left"/>
      </w:pPr>
    </w:p>
    <w:p>
      <w:pPr>
        <w:pStyle w:val="BodyText"/>
        <w:spacing w:line="276" w:lineRule="auto"/>
        <w:ind w:left="2420" w:right="1909"/>
        <w:jc w:val="left"/>
      </w:pPr>
      <w:r>
        <w:rPr/>
        <mc:AlternateContent>
          <mc:Choice Requires="wps">
            <w:drawing>
              <wp:anchor distT="0" distB="0" distL="0" distR="0" allowOverlap="1" layoutInCell="1" locked="0" behindDoc="0" simplePos="0" relativeHeight="15772672">
                <wp:simplePos x="0" y="0"/>
                <wp:positionH relativeFrom="page">
                  <wp:posOffset>1923923</wp:posOffset>
                </wp:positionH>
                <wp:positionV relativeFrom="paragraph">
                  <wp:posOffset>-1185</wp:posOffset>
                </wp:positionV>
                <wp:extent cx="1270" cy="500380"/>
                <wp:effectExtent l="0" t="0" r="0" b="0"/>
                <wp:wrapNone/>
                <wp:docPr id="103" name="Graphic 103"/>
                <wp:cNvGraphicFramePr>
                  <a:graphicFrameLocks/>
                </wp:cNvGraphicFramePr>
                <a:graphic>
                  <a:graphicData uri="http://schemas.microsoft.com/office/word/2010/wordprocessingShape">
                    <wps:wsp>
                      <wps:cNvPr id="103" name="Graphic 103"/>
                      <wps:cNvSpPr/>
                      <wps:spPr>
                        <a:xfrm>
                          <a:off x="0" y="0"/>
                          <a:ext cx="1270" cy="500380"/>
                        </a:xfrm>
                        <a:custGeom>
                          <a:avLst/>
                          <a:gdLst/>
                          <a:ahLst/>
                          <a:cxnLst/>
                          <a:rect l="l" t="t" r="r" b="b"/>
                          <a:pathLst>
                            <a:path w="0" h="500380">
                              <a:moveTo>
                                <a:pt x="0" y="0"/>
                              </a:moveTo>
                              <a:lnTo>
                                <a:pt x="0" y="249935"/>
                              </a:lnTo>
                            </a:path>
                            <a:path w="0" h="500380">
                              <a:moveTo>
                                <a:pt x="0" y="249935"/>
                              </a:moveTo>
                              <a:lnTo>
                                <a:pt x="0" y="499897"/>
                              </a:lnTo>
                            </a:path>
                          </a:pathLst>
                        </a:custGeom>
                        <a:ln w="6096">
                          <a:solidFill>
                            <a:srgbClr val="000000"/>
                          </a:solidFill>
                          <a:prstDash val="sysDashDot"/>
                        </a:ln>
                      </wps:spPr>
                      <wps:bodyPr wrap="square" lIns="0" tIns="0" rIns="0" bIns="0" rtlCol="0">
                        <a:prstTxWarp prst="textNoShape">
                          <a:avLst/>
                        </a:prstTxWarp>
                        <a:noAutofit/>
                      </wps:bodyPr>
                    </wps:wsp>
                  </a:graphicData>
                </a:graphic>
              </wp:anchor>
            </w:drawing>
          </mc:Choice>
          <mc:Fallback>
            <w:pict>
              <v:shape style="position:absolute;margin-left:151.490005pt;margin-top:-.093335pt;width:.1pt;height:39.4pt;mso-position-horizontal-relative:page;mso-position-vertical-relative:paragraph;z-index:15772672" id="docshape98" coordorigin="3030,-2" coordsize="0,788" path="m3030,-2l3030,392m3030,392l3030,785e" filled="false" stroked="true" strokeweight=".48pt" strokecolor="#000000">
                <v:path arrowok="t"/>
                <v:stroke dashstyle="shortdashdot"/>
                <w10:wrap type="none"/>
              </v:shape>
            </w:pict>
          </mc:Fallback>
        </mc:AlternateContent>
      </w:r>
      <w:r>
        <w:rPr/>
        <w:t>“Germany,</w:t>
      </w:r>
      <w:r>
        <w:rPr>
          <w:spacing w:val="40"/>
        </w:rPr>
        <w:t> </w:t>
      </w:r>
      <w:r>
        <w:rPr/>
        <w:t>France,</w:t>
      </w:r>
      <w:r>
        <w:rPr>
          <w:spacing w:val="40"/>
        </w:rPr>
        <w:t> </w:t>
      </w:r>
      <w:r>
        <w:rPr/>
        <w:t>Italy</w:t>
      </w:r>
      <w:r>
        <w:rPr>
          <w:spacing w:val="40"/>
        </w:rPr>
        <w:t> </w:t>
      </w:r>
      <w:r>
        <w:rPr/>
        <w:t>or</w:t>
      </w:r>
      <w:r>
        <w:rPr>
          <w:spacing w:val="40"/>
        </w:rPr>
        <w:t> </w:t>
      </w:r>
      <w:r>
        <w:rPr/>
        <w:t>the</w:t>
      </w:r>
      <w:r>
        <w:rPr>
          <w:spacing w:val="40"/>
        </w:rPr>
        <w:t> </w:t>
      </w:r>
      <w:r>
        <w:rPr/>
        <w:t>Netherlands</w:t>
      </w:r>
      <w:r>
        <w:rPr>
          <w:spacing w:val="40"/>
        </w:rPr>
        <w:t> </w:t>
      </w:r>
      <w:r>
        <w:rPr/>
        <w:t>are</w:t>
      </w:r>
      <w:r>
        <w:rPr>
          <w:spacing w:val="40"/>
        </w:rPr>
        <w:t> </w:t>
      </w:r>
      <w:r>
        <w:rPr/>
        <w:t>no</w:t>
      </w:r>
      <w:r>
        <w:rPr>
          <w:spacing w:val="40"/>
        </w:rPr>
        <w:t> </w:t>
      </w:r>
      <w:r>
        <w:rPr/>
        <w:t>longer</w:t>
      </w:r>
      <w:r>
        <w:rPr>
          <w:spacing w:val="40"/>
        </w:rPr>
        <w:t> </w:t>
      </w:r>
      <w:r>
        <w:rPr/>
        <w:t>simply</w:t>
      </w:r>
      <w:r>
        <w:rPr>
          <w:spacing w:val="28"/>
        </w:rPr>
        <w:t> </w:t>
      </w:r>
      <w:r>
        <w:rPr/>
        <w:t>European</w:t>
      </w:r>
      <w:r>
        <w:rPr>
          <w:spacing w:val="29"/>
        </w:rPr>
        <w:t> </w:t>
      </w:r>
      <w:r>
        <w:rPr/>
        <w:t>states.</w:t>
      </w:r>
      <w:r>
        <w:rPr>
          <w:spacing w:val="30"/>
        </w:rPr>
        <w:t> </w:t>
      </w:r>
      <w:r>
        <w:rPr/>
        <w:t>They</w:t>
      </w:r>
      <w:r>
        <w:rPr>
          <w:spacing w:val="28"/>
        </w:rPr>
        <w:t> </w:t>
      </w:r>
      <w:r>
        <w:rPr/>
        <w:t>are</w:t>
      </w:r>
      <w:r>
        <w:rPr>
          <w:spacing w:val="29"/>
        </w:rPr>
        <w:t> </w:t>
      </w:r>
      <w:r>
        <w:rPr/>
        <w:t>EU</w:t>
      </w:r>
      <w:r>
        <w:rPr>
          <w:spacing w:val="29"/>
        </w:rPr>
        <w:t> </w:t>
      </w:r>
      <w:r>
        <w:rPr/>
        <w:t>states</w:t>
      </w:r>
      <w:r>
        <w:rPr>
          <w:spacing w:val="22"/>
        </w:rPr>
        <w:t> </w:t>
      </w:r>
      <w:r>
        <w:rPr/>
        <w:t>in</w:t>
      </w:r>
      <w:r>
        <w:rPr>
          <w:spacing w:val="30"/>
        </w:rPr>
        <w:t> </w:t>
      </w:r>
      <w:r>
        <w:rPr/>
        <w:t>the</w:t>
      </w:r>
      <w:r>
        <w:rPr>
          <w:spacing w:val="29"/>
        </w:rPr>
        <w:t> </w:t>
      </w:r>
      <w:r>
        <w:rPr/>
        <w:t>sense</w:t>
      </w:r>
      <w:r>
        <w:rPr>
          <w:spacing w:val="29"/>
        </w:rPr>
        <w:t> </w:t>
      </w:r>
      <w:r>
        <w:rPr>
          <w:spacing w:val="-4"/>
        </w:rPr>
        <w:t>that</w:t>
      </w:r>
    </w:p>
    <w:p>
      <w:pPr>
        <w:pStyle w:val="BodyText"/>
        <w:spacing w:before="11"/>
        <w:ind w:left="0"/>
        <w:jc w:val="left"/>
        <w:rPr>
          <w:sz w:val="11"/>
        </w:rPr>
      </w:pPr>
      <w:r>
        <w:rPr>
          <w:sz w:val="11"/>
        </w:rPr>
        <mc:AlternateContent>
          <mc:Choice Requires="wps">
            <w:drawing>
              <wp:anchor distT="0" distB="0" distL="0" distR="0" allowOverlap="1" layoutInCell="1" locked="0" behindDoc="1" simplePos="0" relativeHeight="487631360">
                <wp:simplePos x="0" y="0"/>
                <wp:positionH relativeFrom="page">
                  <wp:posOffset>1079296</wp:posOffset>
                </wp:positionH>
                <wp:positionV relativeFrom="paragraph">
                  <wp:posOffset>114471</wp:posOffset>
                </wp:positionV>
                <wp:extent cx="1830070" cy="9525"/>
                <wp:effectExtent l="0" t="0" r="0" b="0"/>
                <wp:wrapTopAndBottom/>
                <wp:docPr id="104" name="Graphic 104"/>
                <wp:cNvGraphicFramePr>
                  <a:graphicFrameLocks/>
                </wp:cNvGraphicFramePr>
                <a:graphic>
                  <a:graphicData uri="http://schemas.microsoft.com/office/word/2010/wordprocessingShape">
                    <wps:wsp>
                      <wps:cNvPr id="104" name="Graphic 104"/>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9.013489pt;width:144.07pt;height:.72003pt;mso-position-horizontal-relative:page;mso-position-vertical-relative:paragraph;z-index:-15685120;mso-wrap-distance-left:0;mso-wrap-distance-right:0" id="docshape99" filled="true" fillcolor="#000000" stroked="false">
                <v:fill type="solid"/>
                <w10:wrap type="topAndBottom"/>
              </v:rect>
            </w:pict>
          </mc:Fallback>
        </mc:AlternateContent>
      </w:r>
    </w:p>
    <w:p>
      <w:pPr>
        <w:spacing w:before="103"/>
        <w:ind w:left="979" w:right="0" w:firstLine="0"/>
        <w:jc w:val="left"/>
        <w:rPr>
          <w:rFonts w:ascii="Calibri"/>
          <w:sz w:val="20"/>
        </w:rPr>
      </w:pPr>
      <w:r>
        <w:rPr>
          <w:rFonts w:ascii="Calibri"/>
          <w:sz w:val="20"/>
          <w:vertAlign w:val="superscript"/>
        </w:rPr>
        <w:t>18</w:t>
      </w:r>
      <w:r>
        <w:rPr>
          <w:rFonts w:ascii="Calibri"/>
          <w:sz w:val="20"/>
          <w:vertAlign w:val="baseline"/>
        </w:rPr>
        <w:t> See</w:t>
      </w:r>
      <w:r>
        <w:rPr>
          <w:rFonts w:ascii="Calibri"/>
          <w:spacing w:val="-5"/>
          <w:sz w:val="20"/>
          <w:vertAlign w:val="baseline"/>
        </w:rPr>
        <w:t> </w:t>
      </w:r>
      <w:r>
        <w:rPr>
          <w:rFonts w:ascii="Calibri"/>
          <w:sz w:val="20"/>
          <w:vertAlign w:val="baseline"/>
        </w:rPr>
        <w:t>also,</w:t>
      </w:r>
      <w:r>
        <w:rPr>
          <w:rFonts w:ascii="Calibri"/>
          <w:spacing w:val="-3"/>
          <w:sz w:val="20"/>
          <w:vertAlign w:val="baseline"/>
        </w:rPr>
        <w:t> </w:t>
      </w:r>
      <w:r>
        <w:rPr>
          <w:rFonts w:ascii="Calibri"/>
          <w:sz w:val="20"/>
          <w:vertAlign w:val="baseline"/>
        </w:rPr>
        <w:t>section</w:t>
      </w:r>
      <w:r>
        <w:rPr>
          <w:rFonts w:ascii="Calibri"/>
          <w:spacing w:val="-3"/>
          <w:sz w:val="20"/>
          <w:vertAlign w:val="baseline"/>
        </w:rPr>
        <w:t> </w:t>
      </w:r>
      <w:r>
        <w:rPr>
          <w:rFonts w:ascii="Calibri"/>
          <w:sz w:val="20"/>
          <w:vertAlign w:val="baseline"/>
        </w:rPr>
        <w:t>in</w:t>
      </w:r>
      <w:r>
        <w:rPr>
          <w:rFonts w:ascii="Calibri"/>
          <w:spacing w:val="-6"/>
          <w:sz w:val="20"/>
          <w:vertAlign w:val="baseline"/>
        </w:rPr>
        <w:t> </w:t>
      </w:r>
      <w:r>
        <w:rPr>
          <w:rFonts w:ascii="Calibri"/>
          <w:sz w:val="20"/>
          <w:vertAlign w:val="baseline"/>
        </w:rPr>
        <w:t>this</w:t>
      </w:r>
      <w:r>
        <w:rPr>
          <w:rFonts w:ascii="Calibri"/>
          <w:spacing w:val="-8"/>
          <w:sz w:val="20"/>
          <w:vertAlign w:val="baseline"/>
        </w:rPr>
        <w:t> </w:t>
      </w:r>
      <w:r>
        <w:rPr>
          <w:rFonts w:ascii="Calibri"/>
          <w:sz w:val="20"/>
          <w:vertAlign w:val="baseline"/>
        </w:rPr>
        <w:t>chapter</w:t>
      </w:r>
      <w:r>
        <w:rPr>
          <w:rFonts w:ascii="Calibri"/>
          <w:spacing w:val="-4"/>
          <w:sz w:val="20"/>
          <w:vertAlign w:val="baseline"/>
        </w:rPr>
        <w:t> </w:t>
      </w:r>
      <w:r>
        <w:rPr>
          <w:rFonts w:ascii="Calibri"/>
          <w:sz w:val="20"/>
          <w:vertAlign w:val="baseline"/>
        </w:rPr>
        <w:t>on</w:t>
      </w:r>
      <w:r>
        <w:rPr>
          <w:rFonts w:ascii="Calibri"/>
          <w:spacing w:val="-1"/>
          <w:sz w:val="20"/>
          <w:vertAlign w:val="baseline"/>
        </w:rPr>
        <w:t> </w:t>
      </w:r>
      <w:r>
        <w:rPr>
          <w:rFonts w:ascii="Calibri"/>
          <w:sz w:val="20"/>
          <w:vertAlign w:val="baseline"/>
        </w:rPr>
        <w:t>New</w:t>
      </w:r>
      <w:r>
        <w:rPr>
          <w:rFonts w:ascii="Calibri"/>
          <w:spacing w:val="-5"/>
          <w:sz w:val="20"/>
          <w:vertAlign w:val="baseline"/>
        </w:rPr>
        <w:t> </w:t>
      </w:r>
      <w:r>
        <w:rPr>
          <w:rFonts w:ascii="Calibri"/>
          <w:spacing w:val="-2"/>
          <w:sz w:val="20"/>
          <w:vertAlign w:val="baseline"/>
        </w:rPr>
        <w:t>Institutionalisms</w:t>
      </w:r>
    </w:p>
    <w:p>
      <w:pPr>
        <w:spacing w:after="0"/>
        <w:jc w:val="left"/>
        <w:rPr>
          <w:rFonts w:ascii="Calibri"/>
          <w:sz w:val="20"/>
        </w:rPr>
        <w:sectPr>
          <w:pgSz w:w="12240" w:h="15840"/>
          <w:pgMar w:header="1046" w:footer="0" w:top="1360" w:bottom="280" w:left="720" w:right="360"/>
        </w:sectPr>
      </w:pPr>
    </w:p>
    <w:p>
      <w:pPr>
        <w:pStyle w:val="BodyText"/>
        <w:tabs>
          <w:tab w:pos="3207" w:val="left" w:leader="none"/>
          <w:tab w:pos="4511" w:val="left" w:leader="none"/>
          <w:tab w:pos="4938" w:val="left" w:leader="none"/>
          <w:tab w:pos="6511" w:val="left" w:leader="none"/>
          <w:tab w:pos="7594" w:val="left" w:leader="none"/>
          <w:tab w:pos="8122" w:val="left" w:leader="none"/>
          <w:tab w:pos="8908" w:val="left" w:leader="none"/>
        </w:tabs>
        <w:spacing w:line="276" w:lineRule="auto" w:before="276"/>
        <w:ind w:left="2420" w:right="1909"/>
        <w:jc w:val="left"/>
      </w:pPr>
      <w:r>
        <w:rPr/>
        <mc:AlternateContent>
          <mc:Choice Requires="wps">
            <w:drawing>
              <wp:anchor distT="0" distB="0" distL="0" distR="0" allowOverlap="1" layoutInCell="1" locked="0" behindDoc="0" simplePos="0" relativeHeight="15773184">
                <wp:simplePos x="0" y="0"/>
                <wp:positionH relativeFrom="page">
                  <wp:posOffset>1923923</wp:posOffset>
                </wp:positionH>
                <wp:positionV relativeFrom="paragraph">
                  <wp:posOffset>174084</wp:posOffset>
                </wp:positionV>
                <wp:extent cx="1270" cy="500380"/>
                <wp:effectExtent l="0" t="0" r="0" b="0"/>
                <wp:wrapNone/>
                <wp:docPr id="105" name="Graphic 105"/>
                <wp:cNvGraphicFramePr>
                  <a:graphicFrameLocks/>
                </wp:cNvGraphicFramePr>
                <a:graphic>
                  <a:graphicData uri="http://schemas.microsoft.com/office/word/2010/wordprocessingShape">
                    <wps:wsp>
                      <wps:cNvPr id="105" name="Graphic 105"/>
                      <wps:cNvSpPr/>
                      <wps:spPr>
                        <a:xfrm>
                          <a:off x="0" y="0"/>
                          <a:ext cx="1270" cy="500380"/>
                        </a:xfrm>
                        <a:custGeom>
                          <a:avLst/>
                          <a:gdLst/>
                          <a:ahLst/>
                          <a:cxnLst/>
                          <a:rect l="l" t="t" r="r" b="b"/>
                          <a:pathLst>
                            <a:path w="0" h="500380">
                              <a:moveTo>
                                <a:pt x="0" y="0"/>
                              </a:moveTo>
                              <a:lnTo>
                                <a:pt x="0" y="249935"/>
                              </a:lnTo>
                            </a:path>
                            <a:path w="0" h="500380">
                              <a:moveTo>
                                <a:pt x="0" y="249935"/>
                              </a:moveTo>
                              <a:lnTo>
                                <a:pt x="0" y="499872"/>
                              </a:lnTo>
                            </a:path>
                          </a:pathLst>
                        </a:custGeom>
                        <a:ln w="6096">
                          <a:solidFill>
                            <a:srgbClr val="000000"/>
                          </a:solidFill>
                          <a:prstDash val="sysDashDot"/>
                        </a:ln>
                      </wps:spPr>
                      <wps:bodyPr wrap="square" lIns="0" tIns="0" rIns="0" bIns="0" rtlCol="0">
                        <a:prstTxWarp prst="textNoShape">
                          <a:avLst/>
                        </a:prstTxWarp>
                        <a:noAutofit/>
                      </wps:bodyPr>
                    </wps:wsp>
                  </a:graphicData>
                </a:graphic>
              </wp:anchor>
            </w:drawing>
          </mc:Choice>
          <mc:Fallback>
            <w:pict>
              <v:shape style="position:absolute;margin-left:151.490005pt;margin-top:13.707422pt;width:.1pt;height:39.4pt;mso-position-horizontal-relative:page;mso-position-vertical-relative:paragraph;z-index:15773184" id="docshape100" coordorigin="3030,274" coordsize="0,788" path="m3030,274l3030,668m3030,668l3030,1061e" filled="false" stroked="true" strokeweight=".48pt" strokecolor="#000000">
                <v:path arrowok="t"/>
                <v:stroke dashstyle="shortdashdot"/>
                <w10:wrap type="none"/>
              </v:shape>
            </w:pict>
          </mc:Fallback>
        </mc:AlternateContent>
      </w:r>
      <w:r>
        <w:rPr>
          <w:spacing w:val="-2"/>
        </w:rPr>
        <w:t>their</w:t>
      </w:r>
      <w:r>
        <w:rPr/>
        <w:tab/>
      </w:r>
      <w:r>
        <w:rPr>
          <w:spacing w:val="-2"/>
        </w:rPr>
        <w:t>statehood</w:t>
      </w:r>
      <w:r>
        <w:rPr/>
        <w:tab/>
      </w:r>
      <w:r>
        <w:rPr>
          <w:spacing w:val="-6"/>
        </w:rPr>
        <w:t>is</w:t>
      </w:r>
      <w:r>
        <w:rPr/>
        <w:tab/>
      </w:r>
      <w:r>
        <w:rPr>
          <w:spacing w:val="-2"/>
        </w:rPr>
        <w:t>increasingly</w:t>
      </w:r>
      <w:r>
        <w:rPr/>
        <w:tab/>
      </w:r>
      <w:r>
        <w:rPr>
          <w:spacing w:val="-2"/>
        </w:rPr>
        <w:t>defined</w:t>
      </w:r>
      <w:r>
        <w:rPr/>
        <w:tab/>
      </w:r>
      <w:r>
        <w:rPr>
          <w:spacing w:val="-6"/>
        </w:rPr>
        <w:t>by</w:t>
      </w:r>
      <w:r>
        <w:rPr/>
        <w:tab/>
      </w:r>
      <w:r>
        <w:rPr>
          <w:spacing w:val="-2"/>
        </w:rPr>
        <w:t>their</w:t>
      </w:r>
      <w:r>
        <w:rPr/>
        <w:tab/>
      </w:r>
      <w:r>
        <w:rPr>
          <w:spacing w:val="-6"/>
        </w:rPr>
        <w:t>EU </w:t>
      </w:r>
      <w:r>
        <w:rPr>
          <w:spacing w:val="-2"/>
        </w:rPr>
        <w:t>membership.”</w:t>
      </w:r>
    </w:p>
    <w:p>
      <w:pPr>
        <w:pStyle w:val="BodyText"/>
        <w:ind w:left="6804"/>
      </w:pPr>
      <w:r>
        <w:rPr/>
        <w:t>(</w:t>
      </w:r>
      <w:hyperlink w:history="true" w:anchor="_bookmark353">
        <w:r>
          <w:rPr/>
          <w:t>Risse,</w:t>
        </w:r>
        <w:r>
          <w:rPr>
            <w:spacing w:val="-5"/>
          </w:rPr>
          <w:t> </w:t>
        </w:r>
        <w:r>
          <w:rPr/>
          <w:t>2009,</w:t>
        </w:r>
        <w:r>
          <w:rPr>
            <w:spacing w:val="-5"/>
          </w:rPr>
          <w:t> </w:t>
        </w:r>
        <w:r>
          <w:rPr/>
          <w:t>p.</w:t>
        </w:r>
        <w:r>
          <w:rPr>
            <w:spacing w:val="-4"/>
          </w:rPr>
          <w:t> 148</w:t>
        </w:r>
      </w:hyperlink>
      <w:r>
        <w:rPr>
          <w:spacing w:val="-4"/>
        </w:rPr>
        <w:t>)</w:t>
      </w:r>
    </w:p>
    <w:p>
      <w:pPr>
        <w:pStyle w:val="BodyText"/>
        <w:spacing w:line="268" w:lineRule="auto" w:before="52"/>
        <w:ind w:right="1907" w:firstLine="720"/>
      </w:pPr>
      <w:r>
        <w:rPr/>
        <w:t>In</w:t>
      </w:r>
      <w:r>
        <w:rPr>
          <w:spacing w:val="-1"/>
        </w:rPr>
        <w:t> </w:t>
      </w:r>
      <w:r>
        <w:rPr/>
        <w:t>this</w:t>
      </w:r>
      <w:r>
        <w:rPr>
          <w:spacing w:val="-4"/>
        </w:rPr>
        <w:t> </w:t>
      </w:r>
      <w:r>
        <w:rPr/>
        <w:t>section,</w:t>
      </w:r>
      <w:r>
        <w:rPr>
          <w:spacing w:val="-1"/>
        </w:rPr>
        <w:t> </w:t>
      </w:r>
      <w:r>
        <w:rPr/>
        <w:t>we</w:t>
      </w:r>
      <w:r>
        <w:rPr>
          <w:spacing w:val="-2"/>
        </w:rPr>
        <w:t> </w:t>
      </w:r>
      <w:r>
        <w:rPr/>
        <w:t>tried to</w:t>
      </w:r>
      <w:r>
        <w:rPr>
          <w:spacing w:val="-5"/>
        </w:rPr>
        <w:t> </w:t>
      </w:r>
      <w:r>
        <w:rPr/>
        <w:t>present</w:t>
      </w:r>
      <w:r>
        <w:rPr>
          <w:spacing w:val="-7"/>
        </w:rPr>
        <w:t> </w:t>
      </w:r>
      <w:r>
        <w:rPr/>
        <w:t>forms</w:t>
      </w:r>
      <w:r>
        <w:rPr>
          <w:spacing w:val="-4"/>
        </w:rPr>
        <w:t> </w:t>
      </w:r>
      <w:r>
        <w:rPr/>
        <w:t>of</w:t>
      </w:r>
      <w:r>
        <w:rPr>
          <w:spacing w:val="-3"/>
        </w:rPr>
        <w:t> </w:t>
      </w:r>
      <w:r>
        <w:rPr/>
        <w:t>social</w:t>
      </w:r>
      <w:r>
        <w:rPr>
          <w:spacing w:val="-5"/>
        </w:rPr>
        <w:t> </w:t>
      </w:r>
      <w:r>
        <w:rPr/>
        <w:t>constructivism.</w:t>
      </w:r>
      <w:r>
        <w:rPr>
          <w:spacing w:val="-1"/>
        </w:rPr>
        <w:t> </w:t>
      </w:r>
      <w:r>
        <w:rPr/>
        <w:t>We have divided the review in two parts. </w:t>
      </w:r>
      <w:r>
        <w:rPr>
          <w:sz w:val="27"/>
        </w:rPr>
        <w:t>First </w:t>
      </w:r>
      <w:r>
        <w:rPr/>
        <w:t>part was dedicated to constructivist approaches from the field of IR. Baseline works included foundational texts by </w:t>
      </w:r>
      <w:r>
        <w:rPr>
          <w:sz w:val="27"/>
        </w:rPr>
        <w:t>Onuf</w:t>
      </w:r>
      <w:r>
        <w:rPr>
          <w:spacing w:val="40"/>
          <w:sz w:val="27"/>
        </w:rPr>
        <w:t> </w:t>
      </w:r>
      <w:r>
        <w:rPr/>
        <w:t>and </w:t>
      </w:r>
      <w:r>
        <w:rPr>
          <w:sz w:val="27"/>
        </w:rPr>
        <w:t>Kratochwil</w:t>
      </w:r>
      <w:r>
        <w:rPr/>
        <w:t>. We covered their linguistic constructivism, which focuses on rules enacted by the means on language. Agent-structural</w:t>
      </w:r>
      <w:r>
        <w:rPr>
          <w:spacing w:val="-11"/>
        </w:rPr>
        <w:t> </w:t>
      </w:r>
      <w:r>
        <w:rPr/>
        <w:t>problem</w:t>
      </w:r>
      <w:r>
        <w:rPr>
          <w:spacing w:val="-12"/>
        </w:rPr>
        <w:t> </w:t>
      </w:r>
      <w:r>
        <w:rPr/>
        <w:t>was</w:t>
      </w:r>
      <w:r>
        <w:rPr>
          <w:spacing w:val="-12"/>
        </w:rPr>
        <w:t> </w:t>
      </w:r>
      <w:r>
        <w:rPr/>
        <w:t>at</w:t>
      </w:r>
      <w:r>
        <w:rPr>
          <w:spacing w:val="-11"/>
        </w:rPr>
        <w:t> </w:t>
      </w:r>
      <w:r>
        <w:rPr/>
        <w:t>the</w:t>
      </w:r>
      <w:r>
        <w:rPr>
          <w:spacing w:val="-11"/>
        </w:rPr>
        <w:t> </w:t>
      </w:r>
      <w:r>
        <w:rPr/>
        <w:t>center</w:t>
      </w:r>
      <w:r>
        <w:rPr>
          <w:spacing w:val="-10"/>
        </w:rPr>
        <w:t> </w:t>
      </w:r>
      <w:r>
        <w:rPr/>
        <w:t>of</w:t>
      </w:r>
      <w:r>
        <w:rPr>
          <w:spacing w:val="-11"/>
        </w:rPr>
        <w:t> </w:t>
      </w:r>
      <w:r>
        <w:rPr/>
        <w:t>discussions</w:t>
      </w:r>
      <w:r>
        <w:rPr>
          <w:spacing w:val="-2"/>
        </w:rPr>
        <w:t> </w:t>
      </w:r>
      <w:r>
        <w:rPr>
          <w:sz w:val="27"/>
        </w:rPr>
        <w:t>Alexander</w:t>
      </w:r>
      <w:r>
        <w:rPr>
          <w:spacing w:val="-13"/>
          <w:sz w:val="27"/>
        </w:rPr>
        <w:t> </w:t>
      </w:r>
      <w:r>
        <w:rPr>
          <w:sz w:val="27"/>
        </w:rPr>
        <w:t>Wendt </w:t>
      </w:r>
      <w:r>
        <w:rPr/>
        <w:t>and </w:t>
      </w:r>
      <w:r>
        <w:rPr>
          <w:sz w:val="27"/>
        </w:rPr>
        <w:t>David Dessler </w:t>
      </w:r>
      <w:r>
        <w:rPr/>
        <w:t>presented their important works in IR. Their constructivist solution focused on mutual constitutiveness of interacting elements.</w:t>
      </w:r>
      <w:r>
        <w:rPr>
          <w:spacing w:val="-4"/>
        </w:rPr>
        <w:t> </w:t>
      </w:r>
      <w:r>
        <w:rPr/>
        <w:t>Later </w:t>
      </w:r>
      <w:r>
        <w:rPr>
          <w:sz w:val="27"/>
        </w:rPr>
        <w:t>Wendt</w:t>
      </w:r>
      <w:r>
        <w:rPr>
          <w:spacing w:val="-10"/>
          <w:sz w:val="27"/>
        </w:rPr>
        <w:t> </w:t>
      </w:r>
      <w:r>
        <w:rPr/>
        <w:t>developed</w:t>
      </w:r>
      <w:r>
        <w:rPr>
          <w:spacing w:val="-3"/>
        </w:rPr>
        <w:t> </w:t>
      </w:r>
      <w:r>
        <w:rPr/>
        <w:t>approach which</w:t>
      </w:r>
      <w:r>
        <w:rPr>
          <w:spacing w:val="-5"/>
        </w:rPr>
        <w:t> </w:t>
      </w:r>
      <w:r>
        <w:rPr/>
        <w:t>turn</w:t>
      </w:r>
      <w:r>
        <w:rPr>
          <w:spacing w:val="-4"/>
        </w:rPr>
        <w:t> </w:t>
      </w:r>
      <w:r>
        <w:rPr/>
        <w:t>out</w:t>
      </w:r>
      <w:r>
        <w:rPr>
          <w:spacing w:val="-5"/>
        </w:rPr>
        <w:t> </w:t>
      </w:r>
      <w:r>
        <w:rPr/>
        <w:t>to</w:t>
      </w:r>
      <w:r>
        <w:rPr>
          <w:spacing w:val="-3"/>
        </w:rPr>
        <w:t> </w:t>
      </w:r>
      <w:r>
        <w:rPr/>
        <w:t>be</w:t>
      </w:r>
      <w:r>
        <w:rPr>
          <w:spacing w:val="-5"/>
        </w:rPr>
        <w:t> </w:t>
      </w:r>
      <w:r>
        <w:rPr/>
        <w:t>central</w:t>
      </w:r>
      <w:r>
        <w:rPr>
          <w:spacing w:val="-7"/>
        </w:rPr>
        <w:t> </w:t>
      </w:r>
      <w:r>
        <w:rPr/>
        <w:t>for the constructivist reflection (</w:t>
      </w:r>
      <w:hyperlink w:history="true" w:anchor="_bookmark429">
        <w:r>
          <w:rPr/>
          <w:t>1992</w:t>
        </w:r>
      </w:hyperlink>
      <w:r>
        <w:rPr/>
        <w:t>). Review included two constructivist approaches</w:t>
      </w:r>
      <w:r>
        <w:rPr>
          <w:spacing w:val="-7"/>
        </w:rPr>
        <w:t> </w:t>
      </w:r>
      <w:r>
        <w:rPr/>
        <w:t>which</w:t>
      </w:r>
      <w:r>
        <w:rPr>
          <w:spacing w:val="-5"/>
        </w:rPr>
        <w:t> </w:t>
      </w:r>
      <w:r>
        <w:rPr/>
        <w:t>focus</w:t>
      </w:r>
      <w:r>
        <w:rPr>
          <w:spacing w:val="-7"/>
        </w:rPr>
        <w:t> </w:t>
      </w:r>
      <w:r>
        <w:rPr/>
        <w:t>on</w:t>
      </w:r>
      <w:r>
        <w:rPr>
          <w:spacing w:val="-4"/>
        </w:rPr>
        <w:t> </w:t>
      </w:r>
      <w:r>
        <w:rPr/>
        <w:t>security, </w:t>
      </w:r>
      <w:r>
        <w:rPr>
          <w:sz w:val="27"/>
        </w:rPr>
        <w:t>Copenhagen</w:t>
      </w:r>
      <w:r>
        <w:rPr>
          <w:spacing w:val="-7"/>
          <w:sz w:val="27"/>
        </w:rPr>
        <w:t> </w:t>
      </w:r>
      <w:r>
        <w:rPr>
          <w:sz w:val="27"/>
        </w:rPr>
        <w:t>School</w:t>
      </w:r>
      <w:r>
        <w:rPr>
          <w:spacing w:val="-8"/>
          <w:sz w:val="27"/>
        </w:rPr>
        <w:t> </w:t>
      </w:r>
      <w:r>
        <w:rPr/>
        <w:t>became</w:t>
      </w:r>
      <w:r>
        <w:rPr>
          <w:spacing w:val="-1"/>
        </w:rPr>
        <w:t> </w:t>
      </w:r>
      <w:r>
        <w:rPr/>
        <w:t>important with </w:t>
      </w:r>
      <w:r>
        <w:rPr>
          <w:sz w:val="27"/>
        </w:rPr>
        <w:t>securitization</w:t>
      </w:r>
      <w:r>
        <w:rPr/>
        <w:t>, and sectorial understanding of security system. </w:t>
      </w:r>
      <w:r>
        <w:rPr>
          <w:sz w:val="27"/>
        </w:rPr>
        <w:t>Peter J. Katzenstein</w:t>
      </w:r>
      <w:r>
        <w:rPr/>
        <w:t>’s work collected insights on identity formation and role of the norms in forming the culture of security.</w:t>
      </w:r>
    </w:p>
    <w:p>
      <w:pPr>
        <w:pStyle w:val="BodyText"/>
        <w:spacing w:line="276" w:lineRule="auto" w:before="15"/>
        <w:ind w:right="1911" w:firstLine="720"/>
      </w:pPr>
      <w:r>
        <w:rPr/>
        <w:t>In the </w:t>
      </w:r>
      <w:r>
        <w:rPr>
          <w:sz w:val="27"/>
        </w:rPr>
        <w:t>second </w:t>
      </w:r>
      <w:r>
        <w:rPr/>
        <w:t>part, we tried to show the basic direction constructivism takes to study European integration. We saw that there are three main ways to study European Integration from a constructivist point of view. First, examines mutual constructiveness of supranational and intergovernmental actors. Second, studies rules and institutions through which the process of integration takes place. Third, focuses on discourse about the European Union, and specific codes which the EU develops using language – Euro-speak.</w:t>
      </w:r>
    </w:p>
    <w:p>
      <w:pPr>
        <w:pStyle w:val="BodyText"/>
        <w:spacing w:after="0" w:line="276" w:lineRule="auto"/>
        <w:sectPr>
          <w:pgSz w:w="12240" w:h="15840"/>
          <w:pgMar w:header="1046" w:footer="0" w:top="1360" w:bottom="280" w:left="720" w:right="360"/>
        </w:sectPr>
      </w:pPr>
    </w:p>
    <w:p>
      <w:pPr>
        <w:pStyle w:val="BodyText"/>
        <w:spacing w:before="663"/>
        <w:ind w:left="0"/>
        <w:jc w:val="left"/>
        <w:rPr>
          <w:sz w:val="52"/>
        </w:rPr>
      </w:pPr>
    </w:p>
    <w:p>
      <w:pPr>
        <w:spacing w:before="0"/>
        <w:ind w:left="0" w:right="550" w:firstLine="0"/>
        <w:jc w:val="center"/>
        <w:rPr>
          <w:rFonts w:ascii="Georgia"/>
          <w:b/>
          <w:sz w:val="52"/>
        </w:rPr>
      </w:pPr>
      <w:r>
        <w:rPr>
          <w:rFonts w:ascii="Georgia"/>
          <w:b/>
          <w:sz w:val="52"/>
        </w:rPr>
        <w:drawing>
          <wp:anchor distT="0" distB="0" distL="0" distR="0" allowOverlap="1" layoutInCell="1" locked="0" behindDoc="0" simplePos="0" relativeHeight="15774720">
            <wp:simplePos x="0" y="0"/>
            <wp:positionH relativeFrom="page">
              <wp:posOffset>1112836</wp:posOffset>
            </wp:positionH>
            <wp:positionV relativeFrom="paragraph">
              <wp:posOffset>-431685</wp:posOffset>
            </wp:positionV>
            <wp:extent cx="878133" cy="754564"/>
            <wp:effectExtent l="0" t="0" r="0" b="0"/>
            <wp:wrapNone/>
            <wp:docPr id="106" name="Image 106"/>
            <wp:cNvGraphicFramePr>
              <a:graphicFrameLocks/>
            </wp:cNvGraphicFramePr>
            <a:graphic>
              <a:graphicData uri="http://schemas.openxmlformats.org/drawingml/2006/picture">
                <pic:pic>
                  <pic:nvPicPr>
                    <pic:cNvPr id="106" name="Image 106"/>
                    <pic:cNvPicPr/>
                  </pic:nvPicPr>
                  <pic:blipFill>
                    <a:blip r:embed="rId24" cstate="print"/>
                    <a:stretch>
                      <a:fillRect/>
                    </a:stretch>
                  </pic:blipFill>
                  <pic:spPr>
                    <a:xfrm>
                      <a:off x="0" y="0"/>
                      <a:ext cx="878133" cy="754564"/>
                    </a:xfrm>
                    <a:prstGeom prst="rect">
                      <a:avLst/>
                    </a:prstGeom>
                  </pic:spPr>
                </pic:pic>
              </a:graphicData>
            </a:graphic>
          </wp:anchor>
        </w:drawing>
      </w:r>
      <w:bookmarkStart w:name="_bookmark23" w:id="24"/>
      <w:bookmarkEnd w:id="24"/>
      <w:r>
        <w:rPr/>
      </w:r>
      <w:r>
        <w:rPr>
          <w:rFonts w:ascii="Georgia"/>
          <w:b/>
          <w:sz w:val="52"/>
        </w:rPr>
        <w:t>CHAPTER</w:t>
      </w:r>
      <w:r>
        <w:rPr>
          <w:rFonts w:ascii="Georgia"/>
          <w:b/>
          <w:spacing w:val="-5"/>
          <w:sz w:val="52"/>
        </w:rPr>
        <w:t> </w:t>
      </w:r>
      <w:r>
        <w:rPr>
          <w:rFonts w:ascii="Georgia"/>
          <w:b/>
          <w:spacing w:val="-2"/>
          <w:sz w:val="52"/>
        </w:rPr>
        <w:t>THREE</w:t>
      </w:r>
    </w:p>
    <w:p>
      <w:pPr>
        <w:pStyle w:val="BodyText"/>
        <w:spacing w:before="50"/>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32896">
                <wp:simplePos x="0" y="0"/>
                <wp:positionH relativeFrom="page">
                  <wp:posOffset>1080135</wp:posOffset>
                </wp:positionH>
                <wp:positionV relativeFrom="paragraph">
                  <wp:posOffset>191594</wp:posOffset>
                </wp:positionV>
                <wp:extent cx="5249545" cy="118110"/>
                <wp:effectExtent l="0" t="0" r="0" b="0"/>
                <wp:wrapTopAndBottom/>
                <wp:docPr id="107" name="Graphic 107"/>
                <wp:cNvGraphicFramePr>
                  <a:graphicFrameLocks/>
                </wp:cNvGraphicFramePr>
                <a:graphic>
                  <a:graphicData uri="http://schemas.microsoft.com/office/word/2010/wordprocessingShape">
                    <wps:wsp>
                      <wps:cNvPr id="107" name="Graphic 107"/>
                      <wps:cNvSpPr/>
                      <wps:spPr>
                        <a:xfrm>
                          <a:off x="0" y="0"/>
                          <a:ext cx="5249545" cy="118110"/>
                        </a:xfrm>
                        <a:custGeom>
                          <a:avLst/>
                          <a:gdLst/>
                          <a:ahLst/>
                          <a:cxnLst/>
                          <a:rect l="l" t="t" r="r" b="b"/>
                          <a:pathLst>
                            <a:path w="5249545" h="118110">
                              <a:moveTo>
                                <a:pt x="5249545" y="0"/>
                              </a:moveTo>
                              <a:lnTo>
                                <a:pt x="0" y="0"/>
                              </a:lnTo>
                              <a:lnTo>
                                <a:pt x="0" y="118109"/>
                              </a:lnTo>
                              <a:lnTo>
                                <a:pt x="5249545" y="118109"/>
                              </a:lnTo>
                              <a:lnTo>
                                <a:pt x="52495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5.050003pt;margin-top:15.086172pt;width:413.35pt;height:9.3pt;mso-position-horizontal-relative:page;mso-position-vertical-relative:paragraph;z-index:-15683584;mso-wrap-distance-left:0;mso-wrap-distance-right:0" id="docshape101" filled="true" fillcolor="#000000" stroked="false">
                <v:fill type="solid"/>
                <w10:wrap type="topAndBottom"/>
              </v:rect>
            </w:pict>
          </mc:Fallback>
        </mc:AlternateContent>
      </w:r>
    </w:p>
    <w:p>
      <w:pPr>
        <w:pStyle w:val="BodyText"/>
        <w:jc w:val="left"/>
      </w:pPr>
      <w:r>
        <w:rPr/>
        <w:t>System</w:t>
      </w:r>
      <w:r>
        <w:rPr>
          <w:spacing w:val="-11"/>
        </w:rPr>
        <w:t> </w:t>
      </w:r>
      <w:r>
        <w:rPr/>
        <w:t>types,</w:t>
      </w:r>
      <w:r>
        <w:rPr>
          <w:spacing w:val="-7"/>
        </w:rPr>
        <w:t> </w:t>
      </w:r>
      <w:r>
        <w:rPr/>
        <w:t>state</w:t>
      </w:r>
      <w:r>
        <w:rPr>
          <w:spacing w:val="-9"/>
        </w:rPr>
        <w:t> </w:t>
      </w:r>
      <w:r>
        <w:rPr/>
        <w:t>of</w:t>
      </w:r>
      <w:r>
        <w:rPr>
          <w:spacing w:val="-9"/>
        </w:rPr>
        <w:t> </w:t>
      </w:r>
      <w:r>
        <w:rPr/>
        <w:t>a</w:t>
      </w:r>
      <w:r>
        <w:rPr>
          <w:spacing w:val="-9"/>
        </w:rPr>
        <w:t> </w:t>
      </w:r>
      <w:r>
        <w:rPr/>
        <w:t>system,</w:t>
      </w:r>
      <w:r>
        <w:rPr>
          <w:spacing w:val="-7"/>
        </w:rPr>
        <w:t> </w:t>
      </w:r>
      <w:r>
        <w:rPr/>
        <w:t>organization,</w:t>
      </w:r>
      <w:r>
        <w:rPr>
          <w:spacing w:val="-8"/>
        </w:rPr>
        <w:t> </w:t>
      </w:r>
      <w:r>
        <w:rPr/>
        <w:t>political</w:t>
      </w:r>
      <w:r>
        <w:rPr>
          <w:spacing w:val="-11"/>
        </w:rPr>
        <w:t> </w:t>
      </w:r>
      <w:r>
        <w:rPr>
          <w:spacing w:val="-2"/>
        </w:rPr>
        <w:t>system</w:t>
      </w:r>
    </w:p>
    <w:p>
      <w:pPr>
        <w:pStyle w:val="BodyText"/>
        <w:ind w:left="0"/>
        <w:jc w:val="left"/>
      </w:pPr>
    </w:p>
    <w:p>
      <w:pPr>
        <w:pStyle w:val="BodyText"/>
        <w:ind w:left="0"/>
        <w:jc w:val="left"/>
      </w:pPr>
    </w:p>
    <w:p>
      <w:pPr>
        <w:pStyle w:val="BodyText"/>
        <w:ind w:left="0"/>
        <w:jc w:val="left"/>
      </w:pPr>
    </w:p>
    <w:p>
      <w:pPr>
        <w:pStyle w:val="BodyText"/>
        <w:spacing w:before="317"/>
        <w:ind w:left="0"/>
        <w:jc w:val="left"/>
      </w:pPr>
    </w:p>
    <w:p>
      <w:pPr>
        <w:pStyle w:val="Heading4"/>
        <w:numPr>
          <w:ilvl w:val="1"/>
          <w:numId w:val="10"/>
        </w:numPr>
        <w:tabs>
          <w:tab w:pos="1582" w:val="left" w:leader="none"/>
        </w:tabs>
        <w:spacing w:line="240" w:lineRule="auto" w:before="0" w:after="0"/>
        <w:ind w:left="1582" w:right="0" w:hanging="603"/>
        <w:jc w:val="left"/>
      </w:pPr>
      <w:bookmarkStart w:name="_bookmark24" w:id="25"/>
      <w:bookmarkEnd w:id="25"/>
      <w:r>
        <w:rPr>
          <w:b w:val="0"/>
        </w:rPr>
      </w:r>
      <w:r>
        <w:rPr>
          <w:spacing w:val="-10"/>
        </w:rPr>
        <w:t>General</w:t>
      </w:r>
      <w:r>
        <w:rPr>
          <w:spacing w:val="-4"/>
        </w:rPr>
        <w:t> </w:t>
      </w:r>
      <w:r>
        <w:rPr>
          <w:spacing w:val="-2"/>
        </w:rPr>
        <w:t>Overview</w:t>
      </w:r>
    </w:p>
    <w:p>
      <w:pPr>
        <w:pStyle w:val="BodyText"/>
        <w:spacing w:before="219"/>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33408">
                <wp:simplePos x="0" y="0"/>
                <wp:positionH relativeFrom="page">
                  <wp:posOffset>1078864</wp:posOffset>
                </wp:positionH>
                <wp:positionV relativeFrom="paragraph">
                  <wp:posOffset>298731</wp:posOffset>
                </wp:positionV>
                <wp:extent cx="5252085" cy="52069"/>
                <wp:effectExtent l="0" t="0" r="0" b="0"/>
                <wp:wrapTopAndBottom/>
                <wp:docPr id="108" name="Graphic 108"/>
                <wp:cNvGraphicFramePr>
                  <a:graphicFrameLocks/>
                </wp:cNvGraphicFramePr>
                <a:graphic>
                  <a:graphicData uri="http://schemas.microsoft.com/office/word/2010/wordprocessingShape">
                    <wps:wsp>
                      <wps:cNvPr id="108" name="Graphic 108"/>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3.522167pt;width:413.55pt;height:4.1pt;mso-position-horizontal-relative:page;mso-position-vertical-relative:paragraph;z-index:-15683072;mso-wrap-distance-left:0;mso-wrap-distance-right:0" id="docshape102" filled="true" fillcolor="#000000" stroked="false">
                <v:fill type="solid"/>
                <w10:wrap type="topAndBottom"/>
              </v:rect>
            </w:pict>
          </mc:Fallback>
        </mc:AlternateContent>
      </w:r>
    </w:p>
    <w:p>
      <w:pPr>
        <w:pStyle w:val="BodyText"/>
        <w:spacing w:before="212"/>
        <w:ind w:left="0"/>
        <w:jc w:val="left"/>
        <w:rPr>
          <w:rFonts w:ascii="Georgia"/>
          <w:b/>
        </w:rPr>
      </w:pPr>
    </w:p>
    <w:p>
      <w:pPr>
        <w:pStyle w:val="BodyText"/>
        <w:spacing w:line="276" w:lineRule="auto" w:before="1"/>
        <w:ind w:right="1905" w:firstLine="720"/>
      </w:pPr>
      <w:r>
        <w:rPr/>
        <w:t>The aim of the third chapter is to define the general nature of the systems. We have noted before that the social systems are constructed by the observers. Therefore, the success of research largely depends on proposing the relevant definitions. The starting point would be to show, which entity can be called a system and which not.</w:t>
      </w:r>
    </w:p>
    <w:p>
      <w:pPr>
        <w:pStyle w:val="BodyText"/>
        <w:spacing w:line="276" w:lineRule="auto"/>
        <w:ind w:right="1902" w:firstLine="720"/>
      </w:pPr>
      <w:r>
        <w:rPr/>
        <w:t>In order to</w:t>
      </w:r>
      <w:r>
        <w:rPr>
          <w:spacing w:val="-4"/>
        </w:rPr>
        <w:t> </w:t>
      </w:r>
      <w:r>
        <w:rPr/>
        <w:t>obtain a</w:t>
      </w:r>
      <w:r>
        <w:rPr>
          <w:spacing w:val="-1"/>
        </w:rPr>
        <w:t> </w:t>
      </w:r>
      <w:r>
        <w:rPr/>
        <w:t>broader picture</w:t>
      </w:r>
      <w:r>
        <w:rPr>
          <w:spacing w:val="-1"/>
        </w:rPr>
        <w:t> </w:t>
      </w:r>
      <w:r>
        <w:rPr/>
        <w:t>of the</w:t>
      </w:r>
      <w:r>
        <w:rPr>
          <w:spacing w:val="-1"/>
        </w:rPr>
        <w:t> </w:t>
      </w:r>
      <w:r>
        <w:rPr/>
        <w:t>concept, we</w:t>
      </w:r>
      <w:r>
        <w:rPr>
          <w:spacing w:val="-1"/>
        </w:rPr>
        <w:t> </w:t>
      </w:r>
      <w:r>
        <w:rPr/>
        <w:t>try</w:t>
      </w:r>
      <w:r>
        <w:rPr>
          <w:spacing w:val="-1"/>
        </w:rPr>
        <w:t> </w:t>
      </w:r>
      <w:r>
        <w:rPr/>
        <w:t>to indicate the common characteristics that the perceptible systems have. Determining the values and relations which are universally shared among the systems, will allow us to identify</w:t>
      </w:r>
      <w:r>
        <w:rPr>
          <w:spacing w:val="40"/>
        </w:rPr>
        <w:t> </w:t>
      </w:r>
      <w:r>
        <w:rPr/>
        <w:t>the features that distinguish one entity from the </w:t>
      </w:r>
      <w:r>
        <w:rPr>
          <w:spacing w:val="-2"/>
        </w:rPr>
        <w:t>other.</w:t>
      </w:r>
    </w:p>
    <w:p>
      <w:pPr>
        <w:pStyle w:val="BodyText"/>
        <w:spacing w:line="273" w:lineRule="auto"/>
        <w:ind w:right="1900" w:firstLine="720"/>
      </w:pPr>
      <w:r>
        <w:rPr/>
        <w:t>We should keep in mind that social systems are never</w:t>
      </w:r>
      <w:r>
        <w:rPr>
          <w:spacing w:val="-1"/>
        </w:rPr>
        <w:t> </w:t>
      </w:r>
      <w:r>
        <w:rPr/>
        <w:t>static. In order to</w:t>
      </w:r>
      <w:r>
        <w:rPr>
          <w:spacing w:val="-3"/>
        </w:rPr>
        <w:t> </w:t>
      </w:r>
      <w:r>
        <w:rPr/>
        <w:t>grasp</w:t>
      </w:r>
      <w:r>
        <w:rPr>
          <w:spacing w:val="-1"/>
        </w:rPr>
        <w:t> </w:t>
      </w:r>
      <w:r>
        <w:rPr/>
        <w:t>the change, we</w:t>
      </w:r>
      <w:r>
        <w:rPr>
          <w:spacing w:val="-4"/>
        </w:rPr>
        <w:t> </w:t>
      </w:r>
      <w:r>
        <w:rPr/>
        <w:t>have to</w:t>
      </w:r>
      <w:r>
        <w:rPr>
          <w:spacing w:val="-3"/>
        </w:rPr>
        <w:t> </w:t>
      </w:r>
      <w:r>
        <w:rPr/>
        <w:t>have a point of</w:t>
      </w:r>
      <w:r>
        <w:rPr>
          <w:spacing w:val="-1"/>
        </w:rPr>
        <w:t> </w:t>
      </w:r>
      <w:r>
        <w:rPr/>
        <w:t>reference. This</w:t>
      </w:r>
      <w:r>
        <w:rPr>
          <w:spacing w:val="-2"/>
        </w:rPr>
        <w:t> </w:t>
      </w:r>
      <w:r>
        <w:rPr/>
        <w:t>point, which combines</w:t>
      </w:r>
      <w:r>
        <w:rPr>
          <w:spacing w:val="-7"/>
        </w:rPr>
        <w:t> </w:t>
      </w:r>
      <w:r>
        <w:rPr/>
        <w:t>particular</w:t>
      </w:r>
      <w:r>
        <w:rPr>
          <w:spacing w:val="-2"/>
        </w:rPr>
        <w:t> </w:t>
      </w:r>
      <w:r>
        <w:rPr/>
        <w:t>events</w:t>
      </w:r>
      <w:r>
        <w:rPr>
          <w:spacing w:val="-7"/>
        </w:rPr>
        <w:t> </w:t>
      </w:r>
      <w:r>
        <w:rPr/>
        <w:t>at</w:t>
      </w:r>
      <w:r>
        <w:rPr>
          <w:spacing w:val="-3"/>
        </w:rPr>
        <w:t> </w:t>
      </w:r>
      <w:r>
        <w:rPr/>
        <w:t>a</w:t>
      </w:r>
      <w:r>
        <w:rPr>
          <w:spacing w:val="-5"/>
        </w:rPr>
        <w:t> </w:t>
      </w:r>
      <w:r>
        <w:rPr/>
        <w:t>particular</w:t>
      </w:r>
      <w:r>
        <w:rPr>
          <w:spacing w:val="-4"/>
        </w:rPr>
        <w:t> </w:t>
      </w:r>
      <w:r>
        <w:rPr/>
        <w:t>time,</w:t>
      </w:r>
      <w:r>
        <w:rPr>
          <w:spacing w:val="-4"/>
        </w:rPr>
        <w:t> </w:t>
      </w:r>
      <w:r>
        <w:rPr/>
        <w:t>is</w:t>
      </w:r>
      <w:r>
        <w:rPr>
          <w:spacing w:val="-7"/>
        </w:rPr>
        <w:t> </w:t>
      </w:r>
      <w:r>
        <w:rPr/>
        <w:t>widely</w:t>
      </w:r>
      <w:r>
        <w:rPr>
          <w:spacing w:val="-5"/>
        </w:rPr>
        <w:t> </w:t>
      </w:r>
      <w:r>
        <w:rPr/>
        <w:t>known</w:t>
      </w:r>
      <w:r>
        <w:rPr>
          <w:spacing w:val="-8"/>
        </w:rPr>
        <w:t> </w:t>
      </w:r>
      <w:r>
        <w:rPr/>
        <w:t>as</w:t>
      </w:r>
      <w:r>
        <w:rPr>
          <w:spacing w:val="-3"/>
        </w:rPr>
        <w:t> </w:t>
      </w:r>
      <w:r>
        <w:rPr>
          <w:sz w:val="27"/>
        </w:rPr>
        <w:t>a</w:t>
      </w:r>
      <w:r>
        <w:rPr>
          <w:spacing w:val="-8"/>
          <w:sz w:val="27"/>
        </w:rPr>
        <w:t> </w:t>
      </w:r>
      <w:r>
        <w:rPr>
          <w:sz w:val="27"/>
        </w:rPr>
        <w:t>state</w:t>
      </w:r>
      <w:r>
        <w:rPr>
          <w:spacing w:val="-7"/>
          <w:sz w:val="27"/>
        </w:rPr>
        <w:t> </w:t>
      </w:r>
      <w:r>
        <w:rPr>
          <w:sz w:val="27"/>
        </w:rPr>
        <w:t>of the system</w:t>
      </w:r>
      <w:r>
        <w:rPr/>
        <w:t>. Our task is tantamount, to give a general picture of possible states of social systems. The system is going through the changes when it gets away from the determined reference point. Systemic modifications are caused positive and negative factors. We strive to understand the patterns</w:t>
      </w:r>
      <w:r>
        <w:rPr>
          <w:spacing w:val="80"/>
        </w:rPr>
        <w:t> </w:t>
      </w:r>
      <w:r>
        <w:rPr/>
        <w:t>of organizational responses on those factors.</w:t>
      </w:r>
    </w:p>
    <w:p>
      <w:pPr>
        <w:pStyle w:val="BodyText"/>
        <w:spacing w:after="0" w:line="273" w:lineRule="auto"/>
        <w:sectPr>
          <w:pgSz w:w="12240" w:h="15840"/>
          <w:pgMar w:header="1046" w:footer="0" w:top="1360" w:bottom="280" w:left="720" w:right="360"/>
        </w:sectPr>
      </w:pPr>
    </w:p>
    <w:p>
      <w:pPr>
        <w:pStyle w:val="BodyText"/>
        <w:spacing w:line="276" w:lineRule="auto" w:before="276"/>
        <w:ind w:right="1908" w:firstLine="720"/>
      </w:pPr>
      <w:r>
        <w:rPr/>
        <w:t>Once the general idea of the system and its functionality are presented, we will address the concept of the political system. This theoretical build-up is necessary to differentiate between the two types of organizations: political and non-political. We examine the political organizations vis-à-vis</w:t>
      </w:r>
      <w:r>
        <w:rPr>
          <w:spacing w:val="40"/>
        </w:rPr>
        <w:t> </w:t>
      </w:r>
      <w:r>
        <w:rPr/>
        <w:t>the complex profit-based firms. The analysis aims to show similarities and differences among them.</w:t>
      </w:r>
    </w:p>
    <w:p>
      <w:pPr>
        <w:pStyle w:val="BodyText"/>
        <w:ind w:left="0"/>
        <w:jc w:val="left"/>
      </w:pPr>
    </w:p>
    <w:p>
      <w:pPr>
        <w:pStyle w:val="BodyText"/>
        <w:ind w:left="0"/>
        <w:jc w:val="left"/>
      </w:pPr>
    </w:p>
    <w:p>
      <w:pPr>
        <w:pStyle w:val="BodyText"/>
        <w:spacing w:before="309"/>
        <w:ind w:left="0"/>
        <w:jc w:val="left"/>
      </w:pPr>
    </w:p>
    <w:p>
      <w:pPr>
        <w:pStyle w:val="Heading4"/>
        <w:numPr>
          <w:ilvl w:val="1"/>
          <w:numId w:val="10"/>
        </w:numPr>
        <w:tabs>
          <w:tab w:pos="1582" w:val="left" w:leader="none"/>
        </w:tabs>
        <w:spacing w:line="240" w:lineRule="auto" w:before="0" w:after="0"/>
        <w:ind w:left="1582" w:right="0" w:hanging="603"/>
        <w:jc w:val="left"/>
      </w:pPr>
      <w:bookmarkStart w:name="_bookmark25" w:id="26"/>
      <w:bookmarkEnd w:id="26"/>
      <w:r>
        <w:rPr>
          <w:b w:val="0"/>
        </w:rPr>
      </w:r>
      <w:r>
        <w:rPr>
          <w:spacing w:val="-2"/>
        </w:rPr>
        <w:t>Defining</w:t>
      </w:r>
      <w:r>
        <w:rPr>
          <w:spacing w:val="-14"/>
        </w:rPr>
        <w:t> </w:t>
      </w:r>
      <w:r>
        <w:rPr>
          <w:spacing w:val="-2"/>
        </w:rPr>
        <w:t>A</w:t>
      </w:r>
      <w:r>
        <w:rPr>
          <w:spacing w:val="-9"/>
        </w:rPr>
        <w:t> </w:t>
      </w:r>
      <w:r>
        <w:rPr>
          <w:spacing w:val="-2"/>
        </w:rPr>
        <w:t>System</w:t>
      </w:r>
    </w:p>
    <w:p>
      <w:pPr>
        <w:pStyle w:val="BodyText"/>
        <w:spacing w:before="195"/>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34432">
                <wp:simplePos x="0" y="0"/>
                <wp:positionH relativeFrom="page">
                  <wp:posOffset>1078864</wp:posOffset>
                </wp:positionH>
                <wp:positionV relativeFrom="paragraph">
                  <wp:posOffset>283888</wp:posOffset>
                </wp:positionV>
                <wp:extent cx="5252085" cy="52069"/>
                <wp:effectExtent l="0" t="0" r="0" b="0"/>
                <wp:wrapTopAndBottom/>
                <wp:docPr id="109" name="Graphic 109"/>
                <wp:cNvGraphicFramePr>
                  <a:graphicFrameLocks/>
                </wp:cNvGraphicFramePr>
                <a:graphic>
                  <a:graphicData uri="http://schemas.microsoft.com/office/word/2010/wordprocessingShape">
                    <wps:wsp>
                      <wps:cNvPr id="109" name="Graphic 109"/>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353409pt;width:413.55pt;height:4.1pt;mso-position-horizontal-relative:page;mso-position-vertical-relative:paragraph;z-index:-15682048;mso-wrap-distance-left:0;mso-wrap-distance-right:0" id="docshape103"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spacing w:before="5"/>
        <w:ind w:left="0"/>
        <w:jc w:val="left"/>
        <w:rPr>
          <w:rFonts w:ascii="Georgia"/>
          <w:b/>
        </w:rPr>
      </w:pPr>
    </w:p>
    <w:p>
      <w:pPr>
        <w:pStyle w:val="BodyText"/>
        <w:spacing w:line="276" w:lineRule="auto" w:before="1"/>
        <w:ind w:right="1903" w:firstLine="720"/>
      </w:pPr>
      <w:r>
        <w:rPr/>
        <w:t>The term system is a widely used, but its meaning entirely depends on</w:t>
      </w:r>
      <w:r>
        <w:rPr>
          <w:spacing w:val="-2"/>
        </w:rPr>
        <w:t> </w:t>
      </w:r>
      <w:r>
        <w:rPr/>
        <w:t>the</w:t>
      </w:r>
      <w:r>
        <w:rPr>
          <w:spacing w:val="-3"/>
        </w:rPr>
        <w:t> </w:t>
      </w:r>
      <w:r>
        <w:rPr/>
        <w:t>context.</w:t>
      </w:r>
      <w:r>
        <w:rPr>
          <w:spacing w:val="-2"/>
        </w:rPr>
        <w:t> </w:t>
      </w:r>
      <w:r>
        <w:rPr/>
        <w:t>Systems</w:t>
      </w:r>
      <w:r>
        <w:rPr>
          <w:spacing w:val="-5"/>
        </w:rPr>
        <w:t> </w:t>
      </w:r>
      <w:r>
        <w:rPr/>
        <w:t>do</w:t>
      </w:r>
      <w:r>
        <w:rPr>
          <w:spacing w:val="-6"/>
        </w:rPr>
        <w:t> </w:t>
      </w:r>
      <w:r>
        <w:rPr/>
        <w:t>not exist</w:t>
      </w:r>
      <w:r>
        <w:rPr>
          <w:spacing w:val="-2"/>
        </w:rPr>
        <w:t> </w:t>
      </w:r>
      <w:r>
        <w:rPr/>
        <w:t>without an</w:t>
      </w:r>
      <w:r>
        <w:rPr>
          <w:spacing w:val="-1"/>
        </w:rPr>
        <w:t> </w:t>
      </w:r>
      <w:r>
        <w:rPr/>
        <w:t>observer.</w:t>
      </w:r>
      <w:r>
        <w:rPr>
          <w:spacing w:val="-2"/>
        </w:rPr>
        <w:t> </w:t>
      </w:r>
      <w:r>
        <w:rPr/>
        <w:t>Researchers</w:t>
      </w:r>
      <w:r>
        <w:rPr>
          <w:spacing w:val="-5"/>
        </w:rPr>
        <w:t> </w:t>
      </w:r>
      <w:r>
        <w:rPr/>
        <w:t>select entities on the basis of identifiable properties which correspond their subjective world views.</w:t>
      </w:r>
    </w:p>
    <w:p>
      <w:pPr>
        <w:pStyle w:val="BodyText"/>
        <w:spacing w:line="271" w:lineRule="auto"/>
        <w:ind w:right="1900" w:firstLine="720"/>
      </w:pPr>
      <w:r>
        <w:rPr>
          <w:sz w:val="27"/>
        </w:rPr>
        <w:t>Heinz</w:t>
      </w:r>
      <w:r>
        <w:rPr>
          <w:spacing w:val="-10"/>
          <w:sz w:val="27"/>
        </w:rPr>
        <w:t> </w:t>
      </w:r>
      <w:r>
        <w:rPr>
          <w:sz w:val="27"/>
        </w:rPr>
        <w:t>Von</w:t>
      </w:r>
      <w:r>
        <w:rPr>
          <w:spacing w:val="-3"/>
          <w:sz w:val="27"/>
        </w:rPr>
        <w:t> </w:t>
      </w:r>
      <w:r>
        <w:rPr>
          <w:sz w:val="27"/>
        </w:rPr>
        <w:t>Voerster</w:t>
      </w:r>
      <w:r>
        <w:rPr>
          <w:spacing w:val="-5"/>
          <w:sz w:val="27"/>
        </w:rPr>
        <w:t> </w:t>
      </w:r>
      <w:r>
        <w:rPr/>
        <w:t>states</w:t>
      </w:r>
      <w:r>
        <w:rPr>
          <w:spacing w:val="-5"/>
        </w:rPr>
        <w:t> </w:t>
      </w:r>
      <w:r>
        <w:rPr/>
        <w:t>that</w:t>
      </w:r>
      <w:r>
        <w:rPr>
          <w:spacing w:val="40"/>
        </w:rPr>
        <w:t> </w:t>
      </w:r>
      <w:r>
        <w:rPr/>
        <w:t>“the</w:t>
      </w:r>
      <w:r>
        <w:rPr>
          <w:spacing w:val="-7"/>
        </w:rPr>
        <w:t> </w:t>
      </w:r>
      <w:r>
        <w:rPr/>
        <w:t>environment</w:t>
      </w:r>
      <w:r>
        <w:rPr>
          <w:spacing w:val="-7"/>
        </w:rPr>
        <w:t> </w:t>
      </w:r>
      <w:r>
        <w:rPr/>
        <w:t>as</w:t>
      </w:r>
      <w:r>
        <w:rPr>
          <w:spacing w:val="-8"/>
        </w:rPr>
        <w:t> </w:t>
      </w:r>
      <w:r>
        <w:rPr/>
        <w:t>we</w:t>
      </w:r>
      <w:r>
        <w:rPr>
          <w:spacing w:val="-7"/>
        </w:rPr>
        <w:t> </w:t>
      </w:r>
      <w:r>
        <w:rPr/>
        <w:t>perceive</w:t>
      </w:r>
      <w:r>
        <w:rPr>
          <w:spacing w:val="-7"/>
        </w:rPr>
        <w:t> </w:t>
      </w:r>
      <w:r>
        <w:rPr/>
        <w:t>it</w:t>
      </w:r>
      <w:r>
        <w:rPr>
          <w:spacing w:val="-2"/>
        </w:rPr>
        <w:t> </w:t>
      </w:r>
      <w:r>
        <w:rPr/>
        <w:t>is our invention,” (</w:t>
      </w:r>
      <w:hyperlink w:history="true" w:anchor="_bookmark182">
        <w:r>
          <w:rPr/>
          <w:t>Foerster, 1973, p. 1</w:t>
        </w:r>
      </w:hyperlink>
      <w:r>
        <w:rPr/>
        <w:t>) therefore system as we perceive is our invention, “Everything said is</w:t>
      </w:r>
      <w:r>
        <w:rPr>
          <w:spacing w:val="-1"/>
        </w:rPr>
        <w:t> </w:t>
      </w:r>
      <w:r>
        <w:rPr/>
        <w:t>said by an observer”– argues </w:t>
      </w:r>
      <w:r>
        <w:rPr>
          <w:sz w:val="27"/>
        </w:rPr>
        <w:t>Maturana</w:t>
      </w:r>
      <w:r>
        <w:rPr/>
        <w:t>;</w:t>
      </w:r>
      <w:r>
        <w:rPr>
          <w:spacing w:val="40"/>
        </w:rPr>
        <w:t> </w:t>
      </w:r>
      <w:r>
        <w:rPr>
          <w:sz w:val="27"/>
        </w:rPr>
        <w:t>Ross Ashby</w:t>
      </w:r>
      <w:r>
        <w:rPr>
          <w:spacing w:val="-1"/>
          <w:sz w:val="27"/>
        </w:rPr>
        <w:t> </w:t>
      </w:r>
      <w:r>
        <w:rPr/>
        <w:t>believed that system is not a thing, but a list of variables, “that are to be taken into account.” (</w:t>
      </w:r>
      <w:hyperlink w:history="true" w:anchor="_bookmark81">
        <w:r>
          <w:rPr/>
          <w:t>Ashby, 1956, p. 40</w:t>
        </w:r>
      </w:hyperlink>
      <w:r>
        <w:rPr/>
        <w:t>) A primary task of the systems scientist is to find a proper framework for the system he/she aims to study.</w:t>
      </w:r>
    </w:p>
    <w:p>
      <w:pPr>
        <w:pStyle w:val="BodyText"/>
        <w:spacing w:line="276" w:lineRule="auto"/>
        <w:ind w:right="1909" w:firstLine="720"/>
      </w:pPr>
      <w:r>
        <w:rPr/>
        <w:t>A</w:t>
      </w:r>
      <w:r>
        <w:rPr>
          <w:spacing w:val="40"/>
        </w:rPr>
        <w:t> </w:t>
      </w:r>
      <w:r>
        <w:rPr/>
        <w:t>standard entry in dictionary describes a system as “a regularly interacting or interdependent group of items forming a unified whole,”</w:t>
      </w:r>
      <w:r>
        <w:rPr>
          <w:spacing w:val="80"/>
        </w:rPr>
        <w:t> </w:t>
      </w:r>
      <w:r>
        <w:rPr/>
        <w:t>or “a group of body organs that together perform one or more vital functions.”</w:t>
      </w:r>
      <w:r>
        <w:rPr>
          <w:position w:val="7"/>
          <w:sz w:val="15"/>
        </w:rPr>
        <w:t>19</w:t>
      </w:r>
      <w:r>
        <w:rPr>
          <w:spacing w:val="40"/>
          <w:position w:val="7"/>
          <w:sz w:val="15"/>
        </w:rPr>
        <w:t> </w:t>
      </w:r>
      <w:r>
        <w:rPr/>
        <w:t>System has to have components, like ‘items’ ‘body organs’ ‘mechanical parts’ etc. We need to acknowledge the fact that putting the things</w:t>
      </w:r>
      <w:r>
        <w:rPr>
          <w:spacing w:val="-7"/>
        </w:rPr>
        <w:t> </w:t>
      </w:r>
      <w:r>
        <w:rPr/>
        <w:t>together</w:t>
      </w:r>
      <w:r>
        <w:rPr>
          <w:spacing w:val="-5"/>
        </w:rPr>
        <w:t> </w:t>
      </w:r>
      <w:r>
        <w:rPr/>
        <w:t>does</w:t>
      </w:r>
      <w:r>
        <w:rPr>
          <w:spacing w:val="-6"/>
        </w:rPr>
        <w:t> </w:t>
      </w:r>
      <w:r>
        <w:rPr/>
        <w:t>not</w:t>
      </w:r>
      <w:r>
        <w:rPr>
          <w:spacing w:val="-1"/>
        </w:rPr>
        <w:t> </w:t>
      </w:r>
      <w:r>
        <w:rPr/>
        <w:t>mean</w:t>
      </w:r>
      <w:r>
        <w:rPr>
          <w:spacing w:val="-3"/>
        </w:rPr>
        <w:t> </w:t>
      </w:r>
      <w:r>
        <w:rPr/>
        <w:t>building</w:t>
      </w:r>
      <w:r>
        <w:rPr>
          <w:spacing w:val="-5"/>
        </w:rPr>
        <w:t> </w:t>
      </w:r>
      <w:r>
        <w:rPr/>
        <w:t>of</w:t>
      </w:r>
      <w:r>
        <w:rPr>
          <w:spacing w:val="-3"/>
        </w:rPr>
        <w:t> </w:t>
      </w:r>
      <w:r>
        <w:rPr/>
        <w:t>a</w:t>
      </w:r>
      <w:r>
        <w:rPr>
          <w:spacing w:val="-5"/>
        </w:rPr>
        <w:t> </w:t>
      </w:r>
      <w:r>
        <w:rPr/>
        <w:t>system:</w:t>
      </w:r>
      <w:r>
        <w:rPr>
          <w:spacing w:val="-4"/>
        </w:rPr>
        <w:t> </w:t>
      </w:r>
      <w:r>
        <w:rPr/>
        <w:t>“a</w:t>
      </w:r>
      <w:r>
        <w:rPr>
          <w:spacing w:val="-5"/>
        </w:rPr>
        <w:t> </w:t>
      </w:r>
      <w:r>
        <w:rPr/>
        <w:t>collection of</w:t>
      </w:r>
      <w:r>
        <w:rPr>
          <w:spacing w:val="-2"/>
        </w:rPr>
        <w:t> </w:t>
      </w:r>
      <w:r>
        <w:rPr/>
        <w:t>books</w:t>
      </w:r>
      <w:r>
        <w:rPr>
          <w:spacing w:val="-3"/>
        </w:rPr>
        <w:t> </w:t>
      </w:r>
      <w:r>
        <w:rPr>
          <w:spacing w:val="-5"/>
        </w:rPr>
        <w:t>is</w:t>
      </w:r>
    </w:p>
    <w:p>
      <w:pPr>
        <w:pStyle w:val="BodyText"/>
        <w:spacing w:before="70"/>
        <w:ind w:left="0"/>
        <w:jc w:val="left"/>
        <w:rPr>
          <w:sz w:val="20"/>
        </w:rPr>
      </w:pPr>
      <w:r>
        <w:rPr>
          <w:sz w:val="20"/>
        </w:rPr>
        <mc:AlternateContent>
          <mc:Choice Requires="wps">
            <w:drawing>
              <wp:anchor distT="0" distB="0" distL="0" distR="0" allowOverlap="1" layoutInCell="1" locked="0" behindDoc="1" simplePos="0" relativeHeight="487634944">
                <wp:simplePos x="0" y="0"/>
                <wp:positionH relativeFrom="page">
                  <wp:posOffset>1079296</wp:posOffset>
                </wp:positionH>
                <wp:positionV relativeFrom="paragraph">
                  <wp:posOffset>227559</wp:posOffset>
                </wp:positionV>
                <wp:extent cx="1830070" cy="9525"/>
                <wp:effectExtent l="0" t="0" r="0" b="0"/>
                <wp:wrapTopAndBottom/>
                <wp:docPr id="110" name="Graphic 110"/>
                <wp:cNvGraphicFramePr>
                  <a:graphicFrameLocks/>
                </wp:cNvGraphicFramePr>
                <a:graphic>
                  <a:graphicData uri="http://schemas.microsoft.com/office/word/2010/wordprocessingShape">
                    <wps:wsp>
                      <wps:cNvPr id="110" name="Graphic 110"/>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17.918089pt;width:144.07pt;height:.71997pt;mso-position-horizontal-relative:page;mso-position-vertical-relative:paragraph;z-index:-15681536;mso-wrap-distance-left:0;mso-wrap-distance-right:0" id="docshape104" filled="true" fillcolor="#000000" stroked="false">
                <v:fill type="solid"/>
                <w10:wrap type="topAndBottom"/>
              </v:rect>
            </w:pict>
          </mc:Fallback>
        </mc:AlternateContent>
      </w:r>
    </w:p>
    <w:p>
      <w:pPr>
        <w:spacing w:before="102"/>
        <w:ind w:left="979" w:right="0" w:firstLine="0"/>
        <w:jc w:val="left"/>
        <w:rPr>
          <w:rFonts w:ascii="Calibri" w:hAnsi="Calibri"/>
          <w:sz w:val="20"/>
        </w:rPr>
      </w:pPr>
      <w:r>
        <w:rPr>
          <w:rFonts w:ascii="Calibri" w:hAnsi="Calibri"/>
          <w:sz w:val="20"/>
          <w:vertAlign w:val="superscript"/>
        </w:rPr>
        <w:t>19</w:t>
      </w:r>
      <w:r>
        <w:rPr>
          <w:rFonts w:ascii="Calibri" w:hAnsi="Calibri"/>
          <w:spacing w:val="80"/>
          <w:sz w:val="20"/>
          <w:vertAlign w:val="baseline"/>
        </w:rPr>
        <w:t> </w:t>
      </w:r>
      <w:r>
        <w:rPr>
          <w:rFonts w:ascii="Calibri" w:hAnsi="Calibri"/>
          <w:sz w:val="20"/>
          <w:vertAlign w:val="baseline"/>
        </w:rPr>
        <w:t>"System,”</w:t>
      </w:r>
      <w:r>
        <w:rPr>
          <w:rFonts w:ascii="Calibri" w:hAnsi="Calibri"/>
          <w:spacing w:val="80"/>
          <w:sz w:val="20"/>
          <w:vertAlign w:val="baseline"/>
        </w:rPr>
        <w:t> </w:t>
      </w:r>
      <w:r>
        <w:rPr>
          <w:rFonts w:ascii="Calibri" w:hAnsi="Calibri"/>
          <w:sz w:val="20"/>
          <w:vertAlign w:val="baseline"/>
        </w:rPr>
        <w:t>Merriam-Webster,</w:t>
      </w:r>
      <w:r>
        <w:rPr>
          <w:rFonts w:ascii="Calibri" w:hAnsi="Calibri"/>
          <w:spacing w:val="80"/>
          <w:sz w:val="20"/>
          <w:vertAlign w:val="baseline"/>
        </w:rPr>
        <w:t> </w:t>
      </w:r>
      <w:r>
        <w:rPr>
          <w:rFonts w:ascii="Calibri" w:hAnsi="Calibri"/>
          <w:sz w:val="20"/>
          <w:vertAlign w:val="baseline"/>
        </w:rPr>
        <w:t>new</w:t>
      </w:r>
      <w:r>
        <w:rPr>
          <w:rFonts w:ascii="Calibri" w:hAnsi="Calibri"/>
          <w:spacing w:val="80"/>
          <w:sz w:val="20"/>
          <w:vertAlign w:val="baseline"/>
        </w:rPr>
        <w:t> </w:t>
      </w:r>
      <w:r>
        <w:rPr>
          <w:rFonts w:ascii="Calibri" w:hAnsi="Calibri"/>
          <w:sz w:val="20"/>
          <w:vertAlign w:val="baseline"/>
        </w:rPr>
        <w:t>dictionary.</w:t>
      </w:r>
      <w:r>
        <w:rPr>
          <w:rFonts w:ascii="Calibri" w:hAnsi="Calibri"/>
          <w:spacing w:val="80"/>
          <w:sz w:val="20"/>
          <w:vertAlign w:val="baseline"/>
        </w:rPr>
        <w:t> </w:t>
      </w:r>
      <w:r>
        <w:rPr>
          <w:rFonts w:ascii="Calibri" w:hAnsi="Calibri"/>
          <w:sz w:val="20"/>
          <w:vertAlign w:val="baseline"/>
        </w:rPr>
        <w:t>Web.</w:t>
      </w:r>
      <w:r>
        <w:rPr>
          <w:rFonts w:ascii="Calibri" w:hAnsi="Calibri"/>
          <w:spacing w:val="80"/>
          <w:sz w:val="20"/>
          <w:vertAlign w:val="baseline"/>
        </w:rPr>
        <w:t> </w:t>
      </w:r>
      <w:r>
        <w:rPr>
          <w:rFonts w:ascii="Calibri" w:hAnsi="Calibri"/>
          <w:sz w:val="20"/>
          <w:vertAlign w:val="baseline"/>
        </w:rPr>
        <w:t>24</w:t>
      </w:r>
      <w:r>
        <w:rPr>
          <w:rFonts w:ascii="Calibri" w:hAnsi="Calibri"/>
          <w:spacing w:val="80"/>
          <w:sz w:val="20"/>
          <w:vertAlign w:val="baseline"/>
        </w:rPr>
        <w:t> </w:t>
      </w:r>
      <w:r>
        <w:rPr>
          <w:rFonts w:ascii="Calibri" w:hAnsi="Calibri"/>
          <w:sz w:val="20"/>
          <w:vertAlign w:val="baseline"/>
        </w:rPr>
        <w:t>Aug.</w:t>
      </w:r>
      <w:r>
        <w:rPr>
          <w:rFonts w:ascii="Calibri" w:hAnsi="Calibri"/>
          <w:spacing w:val="80"/>
          <w:sz w:val="20"/>
          <w:vertAlign w:val="baseline"/>
        </w:rPr>
        <w:t> </w:t>
      </w:r>
      <w:r>
        <w:rPr>
          <w:rFonts w:ascii="Calibri" w:hAnsi="Calibri"/>
          <w:sz w:val="20"/>
          <w:vertAlign w:val="baseline"/>
        </w:rPr>
        <w:t>2015.</w:t>
      </w:r>
      <w:r>
        <w:rPr>
          <w:rFonts w:ascii="Calibri" w:hAnsi="Calibri"/>
          <w:spacing w:val="80"/>
          <w:sz w:val="20"/>
          <w:vertAlign w:val="baseline"/>
        </w:rPr>
        <w:t> </w:t>
      </w:r>
      <w:r>
        <w:rPr>
          <w:rFonts w:ascii="Calibri" w:hAnsi="Calibri"/>
          <w:sz w:val="20"/>
          <w:vertAlign w:val="baseline"/>
        </w:rPr>
        <w:t>&lt;http://www.merriam- </w:t>
      </w:r>
      <w:r>
        <w:rPr>
          <w:rFonts w:ascii="Calibri" w:hAnsi="Calibri"/>
          <w:spacing w:val="-2"/>
          <w:sz w:val="20"/>
          <w:vertAlign w:val="baseline"/>
        </w:rPr>
        <w:t>webster.com/dictionary/system&gt;</w:t>
      </w:r>
    </w:p>
    <w:p>
      <w:pPr>
        <w:spacing w:after="0"/>
        <w:jc w:val="left"/>
        <w:rPr>
          <w:rFonts w:ascii="Calibri" w:hAnsi="Calibri"/>
          <w:sz w:val="20"/>
        </w:rPr>
        <w:sectPr>
          <w:pgSz w:w="12240" w:h="15840"/>
          <w:pgMar w:header="1046" w:footer="0" w:top="1360" w:bottom="280" w:left="720" w:right="360"/>
        </w:sectPr>
      </w:pPr>
    </w:p>
    <w:p>
      <w:pPr>
        <w:pStyle w:val="BodyText"/>
        <w:spacing w:line="276" w:lineRule="auto" w:before="276"/>
        <w:ind w:right="1907"/>
      </w:pPr>
      <w:r>
        <w:rPr/>
        <w:t>not a system, only a set. However, when we organize the books</w:t>
      </w:r>
      <w:r>
        <w:rPr>
          <w:spacing w:val="40"/>
        </w:rPr>
        <w:t> </w:t>
      </w:r>
      <w:r>
        <w:rPr/>
        <w:t>in</w:t>
      </w:r>
      <w:r>
        <w:rPr>
          <w:spacing w:val="40"/>
        </w:rPr>
        <w:t> </w:t>
      </w:r>
      <w:r>
        <w:rPr/>
        <w:t>some way,</w:t>
      </w:r>
      <w:r>
        <w:rPr>
          <w:spacing w:val="40"/>
        </w:rPr>
        <w:t> </w:t>
      </w:r>
      <w:r>
        <w:rPr/>
        <w:t>the collection becomes a system.” (</w:t>
      </w:r>
      <w:hyperlink w:history="true" w:anchor="_bookmark239">
        <w:r>
          <w:rPr/>
          <w:t>Klir, 2001, p. 5</w:t>
        </w:r>
      </w:hyperlink>
      <w:r>
        <w:rPr/>
        <w:t>)</w:t>
      </w:r>
      <w:r>
        <w:rPr>
          <w:spacing w:val="40"/>
        </w:rPr>
        <w:t> </w:t>
      </w:r>
      <w:r>
        <w:rPr/>
        <w:t>Library, for example is a system, while the number of</w:t>
      </w:r>
      <w:r>
        <w:rPr>
          <w:spacing w:val="40"/>
        </w:rPr>
        <w:t> </w:t>
      </w:r>
      <w:r>
        <w:rPr/>
        <w:t>books</w:t>
      </w:r>
      <w:r>
        <w:rPr>
          <w:spacing w:val="40"/>
        </w:rPr>
        <w:t> </w:t>
      </w:r>
      <w:r>
        <w:rPr/>
        <w:t>placed on the top of the table cannot be called as one, organization is essential for the system.</w:t>
      </w:r>
    </w:p>
    <w:p>
      <w:pPr>
        <w:pStyle w:val="BodyText"/>
        <w:spacing w:line="273" w:lineRule="auto"/>
        <w:ind w:right="1908" w:firstLine="720"/>
      </w:pPr>
      <w:r>
        <w:rPr>
          <w:sz w:val="27"/>
        </w:rPr>
        <w:t>Robert Rosen </w:t>
      </w:r>
      <w:r>
        <w:rPr/>
        <w:t>observes that the word system is almost never used alone, it is always accompanied by the adjective, e.g, economic system, political system, legal system etc. The adjective here describes what is special about the particular system. (</w:t>
      </w:r>
      <w:hyperlink w:history="true" w:anchor="_bookmark362">
        <w:r>
          <w:rPr/>
          <w:t>Rosen, 1991b, p. 242</w:t>
        </w:r>
      </w:hyperlink>
      <w:r>
        <w:rPr/>
        <w:t>) The speciality of the</w:t>
      </w:r>
      <w:r>
        <w:rPr>
          <w:spacing w:val="-5"/>
        </w:rPr>
        <w:t> </w:t>
      </w:r>
      <w:r>
        <w:rPr/>
        <w:t>system</w:t>
      </w:r>
      <w:r>
        <w:rPr>
          <w:spacing w:val="-7"/>
        </w:rPr>
        <w:t> </w:t>
      </w:r>
      <w:r>
        <w:rPr/>
        <w:t>is</w:t>
      </w:r>
      <w:r>
        <w:rPr>
          <w:spacing w:val="-7"/>
        </w:rPr>
        <w:t> </w:t>
      </w:r>
      <w:r>
        <w:rPr/>
        <w:t>due</w:t>
      </w:r>
      <w:r>
        <w:rPr>
          <w:spacing w:val="-5"/>
        </w:rPr>
        <w:t> </w:t>
      </w:r>
      <w:r>
        <w:rPr/>
        <w:t>to</w:t>
      </w:r>
      <w:r>
        <w:rPr>
          <w:spacing w:val="-8"/>
        </w:rPr>
        <w:t> </w:t>
      </w:r>
      <w:r>
        <w:rPr/>
        <w:t>the</w:t>
      </w:r>
      <w:r>
        <w:rPr>
          <w:spacing w:val="-1"/>
        </w:rPr>
        <w:t> </w:t>
      </w:r>
      <w:r>
        <w:rPr>
          <w:sz w:val="27"/>
        </w:rPr>
        <w:t>thinghood</w:t>
      </w:r>
      <w:r>
        <w:rPr>
          <w:spacing w:val="-6"/>
          <w:sz w:val="27"/>
        </w:rPr>
        <w:t> </w:t>
      </w:r>
      <w:r>
        <w:rPr>
          <w:sz w:val="27"/>
        </w:rPr>
        <w:t>properties</w:t>
      </w:r>
      <w:r>
        <w:rPr>
          <w:spacing w:val="-10"/>
          <w:sz w:val="27"/>
        </w:rPr>
        <w:t> </w:t>
      </w:r>
      <w:r>
        <w:rPr/>
        <w:t>the</w:t>
      </w:r>
      <w:r>
        <w:rPr>
          <w:spacing w:val="-5"/>
        </w:rPr>
        <w:t> </w:t>
      </w:r>
      <w:r>
        <w:rPr/>
        <w:t>entity</w:t>
      </w:r>
      <w:r>
        <w:rPr>
          <w:spacing w:val="-6"/>
        </w:rPr>
        <w:t> </w:t>
      </w:r>
      <w:r>
        <w:rPr/>
        <w:t>has.</w:t>
      </w:r>
      <w:r>
        <w:rPr>
          <w:spacing w:val="-5"/>
        </w:rPr>
        <w:t> </w:t>
      </w:r>
      <w:r>
        <w:rPr/>
        <w:t>The</w:t>
      </w:r>
      <w:r>
        <w:rPr>
          <w:spacing w:val="-9"/>
        </w:rPr>
        <w:t> </w:t>
      </w:r>
      <w:r>
        <w:rPr/>
        <w:t>thinghood properties appear only when we describe relations between components or the sets included in the system. The same set of things can be a part of a different system, similarly the same relations can work in another system</w:t>
      </w:r>
      <w:r>
        <w:rPr>
          <w:spacing w:val="-2"/>
        </w:rPr>
        <w:t> </w:t>
      </w:r>
      <w:r>
        <w:rPr/>
        <w:t>as well. </w:t>
      </w:r>
      <w:r>
        <w:rPr>
          <w:sz w:val="27"/>
        </w:rPr>
        <w:t>Klir </w:t>
      </w:r>
      <w:r>
        <w:rPr/>
        <w:t>gave a simple illustration of this idea:</w:t>
      </w:r>
    </w:p>
    <w:p>
      <w:pPr>
        <w:pStyle w:val="BodyText"/>
        <w:spacing w:before="36"/>
        <w:ind w:left="0"/>
        <w:jc w:val="left"/>
      </w:pPr>
    </w:p>
    <w:p>
      <w:pPr>
        <w:pStyle w:val="BodyText"/>
        <w:spacing w:line="276" w:lineRule="auto" w:before="1"/>
        <w:ind w:left="2420" w:right="1915"/>
      </w:pPr>
      <w:r>
        <w:rPr/>
        <mc:AlternateContent>
          <mc:Choice Requires="wps">
            <w:drawing>
              <wp:anchor distT="0" distB="0" distL="0" distR="0" allowOverlap="1" layoutInCell="1" locked="0" behindDoc="0" simplePos="0" relativeHeight="15776256">
                <wp:simplePos x="0" y="0"/>
                <wp:positionH relativeFrom="page">
                  <wp:posOffset>1923923</wp:posOffset>
                </wp:positionH>
                <wp:positionV relativeFrom="paragraph">
                  <wp:posOffset>-784</wp:posOffset>
                </wp:positionV>
                <wp:extent cx="1270" cy="1250315"/>
                <wp:effectExtent l="0" t="0" r="0" b="0"/>
                <wp:wrapNone/>
                <wp:docPr id="111" name="Graphic 111"/>
                <wp:cNvGraphicFramePr>
                  <a:graphicFrameLocks/>
                </wp:cNvGraphicFramePr>
                <a:graphic>
                  <a:graphicData uri="http://schemas.microsoft.com/office/word/2010/wordprocessingShape">
                    <wps:wsp>
                      <wps:cNvPr id="111" name="Graphic 111"/>
                      <wps:cNvSpPr/>
                      <wps:spPr>
                        <a:xfrm>
                          <a:off x="0" y="0"/>
                          <a:ext cx="1270" cy="1250315"/>
                        </a:xfrm>
                        <a:custGeom>
                          <a:avLst/>
                          <a:gdLst/>
                          <a:ahLst/>
                          <a:cxnLst/>
                          <a:rect l="l" t="t" r="r" b="b"/>
                          <a:pathLst>
                            <a:path w="0" h="1250315">
                              <a:moveTo>
                                <a:pt x="0" y="0"/>
                              </a:moveTo>
                              <a:lnTo>
                                <a:pt x="0" y="250189"/>
                              </a:lnTo>
                            </a:path>
                            <a:path w="0" h="1250315">
                              <a:moveTo>
                                <a:pt x="0" y="250189"/>
                              </a:moveTo>
                              <a:lnTo>
                                <a:pt x="0" y="500125"/>
                              </a:lnTo>
                            </a:path>
                            <a:path w="0" h="1250315">
                              <a:moveTo>
                                <a:pt x="0" y="500125"/>
                              </a:moveTo>
                              <a:lnTo>
                                <a:pt x="0" y="750062"/>
                              </a:lnTo>
                            </a:path>
                            <a:path w="0" h="1250315">
                              <a:moveTo>
                                <a:pt x="0" y="750062"/>
                              </a:moveTo>
                              <a:lnTo>
                                <a:pt x="0" y="999998"/>
                              </a:lnTo>
                            </a:path>
                            <a:path w="0" h="1250315">
                              <a:moveTo>
                                <a:pt x="0" y="999998"/>
                              </a:moveTo>
                              <a:lnTo>
                                <a:pt x="0" y="1249934"/>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61782pt;width:.1pt;height:98.45pt;mso-position-horizontal-relative:page;mso-position-vertical-relative:paragraph;z-index:15776256" id="docshape105" coordorigin="3030,-1" coordsize="0,1969" path="m3030,-1l3030,393m3030,393l3030,786m3030,786l3030,1180m3030,1180l3030,1574m3030,1574l3030,1967e" filled="false" stroked="true" strokeweight=".48pt" strokecolor="#000000">
                <v:path arrowok="t"/>
                <v:stroke dashstyle="shortdash"/>
                <w10:wrap type="none"/>
              </v:shape>
            </w:pict>
          </mc:Fallback>
        </mc:AlternateContent>
      </w:r>
      <w:r>
        <w:rPr/>
        <w:t>“Observe now that a relation defined on a particular set of books, say the ordering by publication dates, may be applied not</w:t>
      </w:r>
      <w:r>
        <w:rPr>
          <w:spacing w:val="-1"/>
        </w:rPr>
        <w:t> </w:t>
      </w:r>
      <w:r>
        <w:rPr/>
        <w:t>only</w:t>
      </w:r>
      <w:r>
        <w:rPr>
          <w:spacing w:val="-1"/>
        </w:rPr>
        <w:t> </w:t>
      </w:r>
      <w:r>
        <w:rPr/>
        <w:t>to</w:t>
      </w:r>
      <w:r>
        <w:rPr>
          <w:spacing w:val="-4"/>
        </w:rPr>
        <w:t> </w:t>
      </w:r>
      <w:r>
        <w:rPr/>
        <w:t>other sets of books, but</w:t>
      </w:r>
      <w:r>
        <w:rPr>
          <w:spacing w:val="-1"/>
        </w:rPr>
        <w:t> </w:t>
      </w:r>
      <w:r>
        <w:rPr/>
        <w:t>also</w:t>
      </w:r>
      <w:r>
        <w:rPr>
          <w:spacing w:val="-4"/>
        </w:rPr>
        <w:t> </w:t>
      </w:r>
      <w:r>
        <w:rPr/>
        <w:t>to</w:t>
      </w:r>
      <w:r>
        <w:rPr>
          <w:spacing w:val="-4"/>
        </w:rPr>
        <w:t> </w:t>
      </w:r>
      <w:r>
        <w:rPr/>
        <w:t>sets</w:t>
      </w:r>
      <w:r>
        <w:rPr>
          <w:spacing w:val="-3"/>
        </w:rPr>
        <w:t> </w:t>
      </w:r>
      <w:r>
        <w:rPr/>
        <w:t>whose</w:t>
      </w:r>
      <w:r>
        <w:rPr>
          <w:spacing w:val="-1"/>
        </w:rPr>
        <w:t> </w:t>
      </w:r>
      <w:r>
        <w:rPr/>
        <w:t>elements are not books. For example, members of a human population may be ordered by their dates of birth.”</w:t>
      </w:r>
    </w:p>
    <w:p>
      <w:pPr>
        <w:pStyle w:val="BodyText"/>
        <w:ind w:left="7385"/>
      </w:pPr>
      <w:r>
        <w:rPr/>
        <w:t>(</w:t>
      </w:r>
      <w:hyperlink w:history="true" w:anchor="_bookmark239">
        <w:r>
          <w:rPr/>
          <w:t>Klir,</w:t>
        </w:r>
        <w:r>
          <w:rPr>
            <w:spacing w:val="-4"/>
          </w:rPr>
          <w:t> </w:t>
        </w:r>
        <w:r>
          <w:rPr/>
          <w:t>2001,</w:t>
        </w:r>
        <w:r>
          <w:rPr>
            <w:spacing w:val="-7"/>
          </w:rPr>
          <w:t> </w:t>
        </w:r>
        <w:r>
          <w:rPr/>
          <w:t>p.</w:t>
        </w:r>
        <w:r>
          <w:rPr>
            <w:spacing w:val="-3"/>
          </w:rPr>
          <w:t> </w:t>
        </w:r>
        <w:r>
          <w:rPr>
            <w:spacing w:val="-5"/>
          </w:rPr>
          <w:t>5</w:t>
        </w:r>
      </w:hyperlink>
      <w:r>
        <w:rPr>
          <w:spacing w:val="-5"/>
        </w:rPr>
        <w:t>)</w:t>
      </w:r>
    </w:p>
    <w:p>
      <w:pPr>
        <w:pStyle w:val="BodyText"/>
        <w:spacing w:line="273" w:lineRule="auto" w:before="41"/>
        <w:ind w:right="1908" w:firstLine="720"/>
      </w:pPr>
      <w:r>
        <w:rPr/>
        <w:t>The system always has a </w:t>
      </w:r>
      <w:r>
        <w:rPr>
          <w:sz w:val="27"/>
        </w:rPr>
        <w:t>meaning</w:t>
      </w:r>
      <w:r>
        <w:rPr/>
        <w:t>. Components of the system find their place</w:t>
      </w:r>
      <w:r>
        <w:rPr>
          <w:spacing w:val="-1"/>
        </w:rPr>
        <w:t> </w:t>
      </w:r>
      <w:r>
        <w:rPr/>
        <w:t>according</w:t>
      </w:r>
      <w:r>
        <w:rPr>
          <w:spacing w:val="-1"/>
        </w:rPr>
        <w:t> </w:t>
      </w:r>
      <w:r>
        <w:rPr/>
        <w:t>to</w:t>
      </w:r>
      <w:r>
        <w:rPr>
          <w:spacing w:val="-4"/>
        </w:rPr>
        <w:t> </w:t>
      </w:r>
      <w:r>
        <w:rPr/>
        <w:t>their functional</w:t>
      </w:r>
      <w:r>
        <w:rPr>
          <w:spacing w:val="-3"/>
        </w:rPr>
        <w:t> </w:t>
      </w:r>
      <w:r>
        <w:rPr/>
        <w:t>connection with</w:t>
      </w:r>
      <w:r>
        <w:rPr>
          <w:spacing w:val="-1"/>
        </w:rPr>
        <w:t> </w:t>
      </w:r>
      <w:r>
        <w:rPr/>
        <w:t>the</w:t>
      </w:r>
      <w:r>
        <w:rPr>
          <w:spacing w:val="-1"/>
        </w:rPr>
        <w:t> </w:t>
      </w:r>
      <w:r>
        <w:rPr/>
        <w:t>purpose of the organization. Components constitute, define, and represent the system. However, the system can be understood not as the sum of the individual qualities of the systemic units, but rather as relations between those qualities. According to </w:t>
      </w:r>
      <w:r>
        <w:rPr>
          <w:sz w:val="27"/>
        </w:rPr>
        <w:t>Collier</w:t>
      </w:r>
      <w:r>
        <w:rPr>
          <w:spacing w:val="-1"/>
          <w:sz w:val="27"/>
        </w:rPr>
        <w:t> </w:t>
      </w:r>
      <w:r>
        <w:rPr>
          <w:sz w:val="27"/>
        </w:rPr>
        <w:t>and Cumming</w:t>
      </w:r>
      <w:r>
        <w:rPr>
          <w:spacing w:val="40"/>
          <w:sz w:val="27"/>
        </w:rPr>
        <w:t> </w:t>
      </w:r>
      <w:r>
        <w:rPr/>
        <w:t>“Being a component must be understood in terms of having a relevant role in the overall functioning of the system, not just being there as a constituent of the system.” (</w:t>
      </w:r>
      <w:hyperlink w:history="true" w:anchor="_bookmark134">
        <w:r>
          <w:rPr/>
          <w:t>2005</w:t>
        </w:r>
      </w:hyperlink>
      <w:r>
        <w:rPr/>
        <w:t>)</w:t>
      </w:r>
    </w:p>
    <w:p>
      <w:pPr>
        <w:pStyle w:val="BodyText"/>
        <w:spacing w:line="276" w:lineRule="auto" w:before="12"/>
        <w:ind w:right="1908" w:firstLine="720"/>
      </w:pPr>
      <w:r>
        <w:rPr/>
        <w:t>The systemic laws regulate the relations among components. These laws keep processes within the logic of systemic development; they allow growth, but not deviations from the purpose of the entity. The scholars from</w:t>
      </w:r>
      <w:r>
        <w:rPr>
          <w:spacing w:val="26"/>
        </w:rPr>
        <w:t> </w:t>
      </w:r>
      <w:r>
        <w:rPr/>
        <w:t>the</w:t>
      </w:r>
      <w:r>
        <w:rPr>
          <w:spacing w:val="28"/>
        </w:rPr>
        <w:t> </w:t>
      </w:r>
      <w:r>
        <w:rPr/>
        <w:t>General</w:t>
      </w:r>
      <w:r>
        <w:rPr>
          <w:spacing w:val="25"/>
        </w:rPr>
        <w:t> </w:t>
      </w:r>
      <w:r>
        <w:rPr/>
        <w:t>Systems</w:t>
      </w:r>
      <w:r>
        <w:rPr>
          <w:spacing w:val="25"/>
        </w:rPr>
        <w:t> </w:t>
      </w:r>
      <w:r>
        <w:rPr/>
        <w:t>Theory</w:t>
      </w:r>
      <w:r>
        <w:rPr>
          <w:spacing w:val="34"/>
        </w:rPr>
        <w:t> </w:t>
      </w:r>
      <w:r>
        <w:rPr/>
        <w:t>argue</w:t>
      </w:r>
      <w:r>
        <w:rPr>
          <w:spacing w:val="28"/>
        </w:rPr>
        <w:t> </w:t>
      </w:r>
      <w:r>
        <w:rPr/>
        <w:t>that</w:t>
      </w:r>
      <w:r>
        <w:rPr>
          <w:spacing w:val="28"/>
        </w:rPr>
        <w:t> </w:t>
      </w:r>
      <w:r>
        <w:rPr/>
        <w:t>there</w:t>
      </w:r>
      <w:r>
        <w:rPr>
          <w:spacing w:val="28"/>
        </w:rPr>
        <w:t> </w:t>
      </w:r>
      <w:r>
        <w:rPr/>
        <w:t>are</w:t>
      </w:r>
      <w:r>
        <w:rPr>
          <w:spacing w:val="28"/>
        </w:rPr>
        <w:t> </w:t>
      </w:r>
      <w:r>
        <w:rPr/>
        <w:t>universal</w:t>
      </w:r>
      <w:r>
        <w:rPr>
          <w:spacing w:val="25"/>
        </w:rPr>
        <w:t> </w:t>
      </w:r>
      <w:r>
        <w:rPr/>
        <w:t>laws</w:t>
      </w:r>
      <w:r>
        <w:rPr>
          <w:spacing w:val="25"/>
        </w:rPr>
        <w:t> </w:t>
      </w:r>
      <w:r>
        <w:rPr/>
        <w:t>and</w:t>
      </w:r>
    </w:p>
    <w:p>
      <w:pPr>
        <w:pStyle w:val="BodyText"/>
        <w:spacing w:after="0" w:line="276" w:lineRule="auto"/>
        <w:sectPr>
          <w:pgSz w:w="12240" w:h="15840"/>
          <w:pgMar w:header="1046" w:footer="0" w:top="1360" w:bottom="280" w:left="720" w:right="360"/>
        </w:sectPr>
      </w:pPr>
    </w:p>
    <w:p>
      <w:pPr>
        <w:pStyle w:val="BodyText"/>
        <w:spacing w:line="276" w:lineRule="auto" w:before="276"/>
        <w:ind w:right="1910"/>
      </w:pPr>
      <w:r>
        <w:rPr/>
        <w:t>principles shared by systems in general, “irrespective of their particular kind, the nature of their component elements, and the relationships or "forces" between them.” (</w:t>
      </w:r>
      <w:hyperlink w:history="true" w:anchor="_bookmark98">
        <w:r>
          <w:rPr/>
          <w:t>Bertalanffy, 1969</w:t>
        </w:r>
      </w:hyperlink>
      <w:r>
        <w:rPr/>
        <w:t>, </w:t>
      </w:r>
      <w:hyperlink w:history="true" w:anchor="_bookmark99">
        <w:r>
          <w:rPr/>
          <w:t>1972</w:t>
        </w:r>
      </w:hyperlink>
      <w:r>
        <w:rPr/>
        <w:t>)</w:t>
      </w:r>
    </w:p>
    <w:p>
      <w:pPr>
        <w:pStyle w:val="BodyText"/>
        <w:spacing w:line="273" w:lineRule="auto"/>
        <w:ind w:right="1905" w:firstLine="720"/>
      </w:pPr>
      <w:r>
        <w:rPr/>
        <w:t>The system cannot be perceived in isolation with the environment. The</w:t>
      </w:r>
      <w:r>
        <w:rPr>
          <w:spacing w:val="-2"/>
        </w:rPr>
        <w:t> </w:t>
      </w:r>
      <w:r>
        <w:rPr/>
        <w:t>types</w:t>
      </w:r>
      <w:r>
        <w:rPr>
          <w:spacing w:val="-4"/>
        </w:rPr>
        <w:t> </w:t>
      </w:r>
      <w:r>
        <w:rPr/>
        <w:t>and</w:t>
      </w:r>
      <w:r>
        <w:rPr>
          <w:spacing w:val="-4"/>
        </w:rPr>
        <w:t> </w:t>
      </w:r>
      <w:r>
        <w:rPr/>
        <w:t>a</w:t>
      </w:r>
      <w:r>
        <w:rPr>
          <w:spacing w:val="-2"/>
        </w:rPr>
        <w:t> </w:t>
      </w:r>
      <w:r>
        <w:rPr/>
        <w:t>nature</w:t>
      </w:r>
      <w:r>
        <w:rPr>
          <w:spacing w:val="-6"/>
        </w:rPr>
        <w:t> </w:t>
      </w:r>
      <w:r>
        <w:rPr/>
        <w:t>of</w:t>
      </w:r>
      <w:r>
        <w:rPr>
          <w:spacing w:val="-3"/>
        </w:rPr>
        <w:t> </w:t>
      </w:r>
      <w:r>
        <w:rPr/>
        <w:t>the</w:t>
      </w:r>
      <w:r>
        <w:rPr>
          <w:spacing w:val="-2"/>
        </w:rPr>
        <w:t> </w:t>
      </w:r>
      <w:r>
        <w:rPr/>
        <w:t>system</w:t>
      </w:r>
      <w:r>
        <w:rPr>
          <w:spacing w:val="-4"/>
        </w:rPr>
        <w:t> </w:t>
      </w:r>
      <w:r>
        <w:rPr/>
        <w:t>are</w:t>
      </w:r>
      <w:r>
        <w:rPr>
          <w:spacing w:val="-2"/>
        </w:rPr>
        <w:t> </w:t>
      </w:r>
      <w:r>
        <w:rPr/>
        <w:t>generally</w:t>
      </w:r>
      <w:r>
        <w:rPr>
          <w:spacing w:val="-2"/>
        </w:rPr>
        <w:t> </w:t>
      </w:r>
      <w:r>
        <w:rPr/>
        <w:t>apprehended considering its relations with the external unities. Based on system-environment interaction, systems can be </w:t>
      </w:r>
      <w:r>
        <w:rPr>
          <w:sz w:val="27"/>
        </w:rPr>
        <w:t>open </w:t>
      </w:r>
      <w:r>
        <w:rPr/>
        <w:t>or </w:t>
      </w:r>
      <w:r>
        <w:rPr>
          <w:sz w:val="27"/>
        </w:rPr>
        <w:t>closed</w:t>
      </w:r>
      <w:r>
        <w:rPr/>
        <w:t>. Open system exchanges matter with the environment, closed system does not. According to </w:t>
      </w:r>
      <w:r>
        <w:rPr>
          <w:sz w:val="27"/>
        </w:rPr>
        <w:t>Mesarovic </w:t>
      </w:r>
      <w:r>
        <w:rPr/>
        <w:t>open systems can be partially isolated (1), – receive limited external disturbances. Self-organized/adaptive (2), – constantly adapt to the environment with permanent changes in own behavior. Experimenter oriented (3), - interacts with</w:t>
      </w:r>
      <w:r>
        <w:rPr>
          <w:spacing w:val="-2"/>
        </w:rPr>
        <w:t> </w:t>
      </w:r>
      <w:r>
        <w:rPr/>
        <w:t>experimenter affects him and is affected by his activities. (</w:t>
      </w:r>
      <w:hyperlink w:history="true" w:anchor="_bookmark293">
        <w:r>
          <w:rPr/>
          <w:t>Mesarovic</w:t>
        </w:r>
        <w:r>
          <w:rPr>
            <w:rFonts w:ascii="Times New Roman" w:hAnsi="Times New Roman"/>
          </w:rPr>
          <w:t>́</w:t>
        </w:r>
        <w:r>
          <w:rPr/>
          <w:t>, 1964, p. 9</w:t>
        </w:r>
      </w:hyperlink>
      <w:r>
        <w:rPr/>
        <w:t>)</w:t>
      </w:r>
    </w:p>
    <w:p>
      <w:pPr>
        <w:pStyle w:val="BodyText"/>
        <w:ind w:left="0"/>
        <w:jc w:val="left"/>
      </w:pPr>
    </w:p>
    <w:p>
      <w:pPr>
        <w:pStyle w:val="BodyText"/>
        <w:spacing w:before="310"/>
        <w:ind w:left="0"/>
        <w:jc w:val="left"/>
      </w:pPr>
    </w:p>
    <w:p>
      <w:pPr>
        <w:pStyle w:val="Heading4"/>
        <w:numPr>
          <w:ilvl w:val="1"/>
          <w:numId w:val="10"/>
        </w:numPr>
        <w:tabs>
          <w:tab w:pos="1582" w:val="left" w:leader="none"/>
        </w:tabs>
        <w:spacing w:line="240" w:lineRule="auto" w:before="0" w:after="0"/>
        <w:ind w:left="1582" w:right="0" w:hanging="603"/>
        <w:jc w:val="left"/>
      </w:pPr>
      <w:bookmarkStart w:name="_bookmark26" w:id="27"/>
      <w:bookmarkEnd w:id="27"/>
      <w:r>
        <w:rPr>
          <w:b w:val="0"/>
        </w:rPr>
      </w:r>
      <w:r>
        <w:rPr>
          <w:spacing w:val="-12"/>
        </w:rPr>
        <w:t>Feedback,</w:t>
      </w:r>
      <w:r>
        <w:rPr>
          <w:spacing w:val="-2"/>
        </w:rPr>
        <w:t> </w:t>
      </w:r>
      <w:r>
        <w:rPr>
          <w:spacing w:val="-12"/>
        </w:rPr>
        <w:t>Learning,</w:t>
      </w:r>
      <w:r>
        <w:rPr>
          <w:spacing w:val="-2"/>
        </w:rPr>
        <w:t> </w:t>
      </w:r>
      <w:r>
        <w:rPr>
          <w:spacing w:val="-12"/>
        </w:rPr>
        <w:t>Adaptation</w:t>
      </w:r>
    </w:p>
    <w:p>
      <w:pPr>
        <w:pStyle w:val="BodyText"/>
        <w:spacing w:before="195"/>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35968">
                <wp:simplePos x="0" y="0"/>
                <wp:positionH relativeFrom="page">
                  <wp:posOffset>1078864</wp:posOffset>
                </wp:positionH>
                <wp:positionV relativeFrom="paragraph">
                  <wp:posOffset>283473</wp:posOffset>
                </wp:positionV>
                <wp:extent cx="5252085" cy="52069"/>
                <wp:effectExtent l="0" t="0" r="0" b="0"/>
                <wp:wrapTopAndBottom/>
                <wp:docPr id="112" name="Graphic 112"/>
                <wp:cNvGraphicFramePr>
                  <a:graphicFrameLocks/>
                </wp:cNvGraphicFramePr>
                <a:graphic>
                  <a:graphicData uri="http://schemas.microsoft.com/office/word/2010/wordprocessingShape">
                    <wps:wsp>
                      <wps:cNvPr id="112" name="Graphic 112"/>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320728pt;width:413.55pt;height:4.1pt;mso-position-horizontal-relative:page;mso-position-vertical-relative:paragraph;z-index:-15680512;mso-wrap-distance-left:0;mso-wrap-distance-right:0" id="docshape106"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spacing w:before="6"/>
        <w:ind w:left="0"/>
        <w:jc w:val="left"/>
        <w:rPr>
          <w:rFonts w:ascii="Georgia"/>
          <w:b/>
        </w:rPr>
      </w:pPr>
    </w:p>
    <w:p>
      <w:pPr>
        <w:pStyle w:val="BodyText"/>
        <w:spacing w:line="273" w:lineRule="auto"/>
        <w:ind w:right="1909"/>
      </w:pPr>
      <w:r>
        <w:rPr/>
        <w:t>Systemic</w:t>
      </w:r>
      <w:r>
        <w:rPr>
          <w:spacing w:val="-5"/>
        </w:rPr>
        <w:t> </w:t>
      </w:r>
      <w:r>
        <w:rPr/>
        <w:t>operations</w:t>
      </w:r>
      <w:r>
        <w:rPr>
          <w:spacing w:val="-6"/>
        </w:rPr>
        <w:t> </w:t>
      </w:r>
      <w:r>
        <w:rPr/>
        <w:t>are</w:t>
      </w:r>
      <w:r>
        <w:rPr>
          <w:spacing w:val="-4"/>
        </w:rPr>
        <w:t> </w:t>
      </w:r>
      <w:r>
        <w:rPr/>
        <w:t>always</w:t>
      </w:r>
      <w:r>
        <w:rPr>
          <w:spacing w:val="-6"/>
        </w:rPr>
        <w:t> </w:t>
      </w:r>
      <w:r>
        <w:rPr/>
        <w:t>controlled.</w:t>
      </w:r>
      <w:r>
        <w:rPr>
          <w:spacing w:val="-3"/>
        </w:rPr>
        <w:t> </w:t>
      </w:r>
      <w:r>
        <w:rPr/>
        <w:t>However,</w:t>
      </w:r>
      <w:r>
        <w:rPr>
          <w:spacing w:val="-3"/>
        </w:rPr>
        <w:t> </w:t>
      </w:r>
      <w:r>
        <w:rPr/>
        <w:t>mechanisms</w:t>
      </w:r>
      <w:r>
        <w:rPr>
          <w:spacing w:val="-6"/>
        </w:rPr>
        <w:t> </w:t>
      </w:r>
      <w:r>
        <w:rPr/>
        <w:t>of</w:t>
      </w:r>
      <w:r>
        <w:rPr>
          <w:spacing w:val="-5"/>
        </w:rPr>
        <w:t> </w:t>
      </w:r>
      <w:r>
        <w:rPr/>
        <w:t>control are different. In majority of the entities, the mechanism involves centralized, top down distribution of information. Centralized control systems are organized hierarchically. In self-organized entities systemic operations, rather than the center control the working process. In both cases, </w:t>
      </w:r>
      <w:r>
        <w:rPr>
          <w:sz w:val="27"/>
        </w:rPr>
        <w:t>feedback </w:t>
      </w:r>
      <w:r>
        <w:rPr/>
        <w:t>is a vital tool for</w:t>
      </w:r>
      <w:r>
        <w:rPr>
          <w:spacing w:val="40"/>
        </w:rPr>
        <w:t> </w:t>
      </w:r>
      <w:r>
        <w:rPr/>
        <w:t>control.</w:t>
      </w:r>
    </w:p>
    <w:p>
      <w:pPr>
        <w:pStyle w:val="BodyText"/>
        <w:spacing w:line="276" w:lineRule="auto"/>
        <w:ind w:right="1905" w:firstLine="720"/>
      </w:pPr>
      <w:r>
        <w:rPr>
          <w:sz w:val="27"/>
        </w:rPr>
        <w:t>Feedback</w:t>
      </w:r>
      <w:r>
        <w:rPr>
          <w:spacing w:val="-1"/>
          <w:sz w:val="27"/>
        </w:rPr>
        <w:t> </w:t>
      </w:r>
      <w:r>
        <w:rPr/>
        <w:t>is</w:t>
      </w:r>
      <w:r>
        <w:rPr>
          <w:spacing w:val="-3"/>
        </w:rPr>
        <w:t> </w:t>
      </w:r>
      <w:r>
        <w:rPr/>
        <w:t>a</w:t>
      </w:r>
      <w:r>
        <w:rPr>
          <w:spacing w:val="-1"/>
        </w:rPr>
        <w:t> </w:t>
      </w:r>
      <w:r>
        <w:rPr/>
        <w:t>mechanism, which</w:t>
      </w:r>
      <w:r>
        <w:rPr>
          <w:spacing w:val="-1"/>
        </w:rPr>
        <w:t> </w:t>
      </w:r>
      <w:r>
        <w:rPr/>
        <w:t>preserves the preferable</w:t>
      </w:r>
      <w:r>
        <w:rPr>
          <w:spacing w:val="-1"/>
        </w:rPr>
        <w:t> </w:t>
      </w:r>
      <w:r>
        <w:rPr/>
        <w:t>state</w:t>
      </w:r>
      <w:r>
        <w:rPr>
          <w:spacing w:val="-1"/>
        </w:rPr>
        <w:t> </w:t>
      </w:r>
      <w:r>
        <w:rPr/>
        <w:t>of</w:t>
      </w:r>
      <w:r>
        <w:rPr>
          <w:spacing w:val="-2"/>
        </w:rPr>
        <w:t> </w:t>
      </w:r>
      <w:r>
        <w:rPr/>
        <w:t>the input-output system. Usually the output energy of the system returns to input “and includes the results of its own action in new information by which it modifies its subsequent behavior (</w:t>
      </w:r>
      <w:hyperlink w:history="true" w:anchor="_bookmark158">
        <w:r>
          <w:rPr/>
          <w:t>Deutsch, 1963, p. 88</w:t>
        </w:r>
      </w:hyperlink>
      <w:r>
        <w:rPr/>
        <w:t>).”</w:t>
      </w:r>
      <w:r>
        <w:rPr>
          <w:spacing w:val="40"/>
        </w:rPr>
        <w:t> </w:t>
      </w:r>
      <w:r>
        <w:rPr/>
        <w:t>The past performance determines the future of the system. Feedback is about experience</w:t>
      </w:r>
      <w:r>
        <w:rPr>
          <w:spacing w:val="28"/>
        </w:rPr>
        <w:t> </w:t>
      </w:r>
      <w:r>
        <w:rPr/>
        <w:t>of</w:t>
      </w:r>
      <w:r>
        <w:rPr>
          <w:spacing w:val="27"/>
        </w:rPr>
        <w:t> </w:t>
      </w:r>
      <w:r>
        <w:rPr/>
        <w:t>the</w:t>
      </w:r>
      <w:r>
        <w:rPr>
          <w:spacing w:val="29"/>
        </w:rPr>
        <w:t> </w:t>
      </w:r>
      <w:r>
        <w:rPr/>
        <w:t>mechanism</w:t>
      </w:r>
      <w:r>
        <w:rPr>
          <w:spacing w:val="32"/>
        </w:rPr>
        <w:t> </w:t>
      </w:r>
      <w:r>
        <w:rPr/>
        <w:t>(</w:t>
      </w:r>
      <w:hyperlink w:history="true" w:anchor="_bookmark434">
        <w:r>
          <w:rPr/>
          <w:t>N.</w:t>
        </w:r>
        <w:r>
          <w:rPr>
            <w:spacing w:val="30"/>
          </w:rPr>
          <w:t> </w:t>
        </w:r>
        <w:r>
          <w:rPr/>
          <w:t>Wiener,</w:t>
        </w:r>
        <w:r>
          <w:rPr>
            <w:spacing w:val="30"/>
          </w:rPr>
          <w:t> </w:t>
        </w:r>
        <w:r>
          <w:rPr/>
          <w:t>1954,</w:t>
        </w:r>
        <w:r>
          <w:rPr>
            <w:spacing w:val="30"/>
          </w:rPr>
          <w:t> </w:t>
        </w:r>
        <w:r>
          <w:rPr/>
          <w:t>p.</w:t>
        </w:r>
        <w:r>
          <w:rPr>
            <w:spacing w:val="30"/>
          </w:rPr>
          <w:t> </w:t>
        </w:r>
        <w:r>
          <w:rPr/>
          <w:t>33</w:t>
        </w:r>
      </w:hyperlink>
      <w:r>
        <w:rPr/>
        <w:t>).</w:t>
      </w:r>
      <w:r>
        <w:rPr>
          <w:spacing w:val="29"/>
        </w:rPr>
        <w:t> </w:t>
      </w:r>
      <w:r>
        <w:rPr/>
        <w:t>Even</w:t>
      </w:r>
      <w:r>
        <w:rPr>
          <w:spacing w:val="30"/>
        </w:rPr>
        <w:t> </w:t>
      </w:r>
      <w:r>
        <w:rPr/>
        <w:t>though,</w:t>
      </w:r>
      <w:r>
        <w:rPr>
          <w:spacing w:val="25"/>
        </w:rPr>
        <w:t> </w:t>
      </w:r>
      <w:r>
        <w:rPr>
          <w:spacing w:val="-5"/>
        </w:rPr>
        <w:t>the</w:t>
      </w:r>
    </w:p>
    <w:p>
      <w:pPr>
        <w:pStyle w:val="BodyText"/>
        <w:spacing w:after="0" w:line="276" w:lineRule="auto"/>
        <w:sectPr>
          <w:pgSz w:w="12240" w:h="15840"/>
          <w:pgMar w:header="1046" w:footer="0" w:top="1360" w:bottom="280" w:left="720" w:right="360"/>
        </w:sectPr>
      </w:pPr>
    </w:p>
    <w:p>
      <w:pPr>
        <w:pStyle w:val="BodyText"/>
        <w:spacing w:line="276" w:lineRule="auto" w:before="276"/>
        <w:ind w:right="1904"/>
      </w:pPr>
      <w:r>
        <w:rPr/>
        <w:t>feedback communication is</w:t>
      </w:r>
      <w:r>
        <w:rPr>
          <w:spacing w:val="-3"/>
        </w:rPr>
        <w:t> </w:t>
      </w:r>
      <w:r>
        <w:rPr/>
        <w:t>about</w:t>
      </w:r>
      <w:r>
        <w:rPr>
          <w:spacing w:val="-1"/>
        </w:rPr>
        <w:t> </w:t>
      </w:r>
      <w:r>
        <w:rPr/>
        <w:t>the</w:t>
      </w:r>
      <w:r>
        <w:rPr>
          <w:spacing w:val="-1"/>
        </w:rPr>
        <w:t> </w:t>
      </w:r>
      <w:r>
        <w:rPr/>
        <w:t>future, it</w:t>
      </w:r>
      <w:r>
        <w:rPr>
          <w:spacing w:val="-1"/>
        </w:rPr>
        <w:t> </w:t>
      </w:r>
      <w:r>
        <w:rPr/>
        <w:t>can only control</w:t>
      </w:r>
      <w:r>
        <w:rPr>
          <w:spacing w:val="-4"/>
        </w:rPr>
        <w:t> </w:t>
      </w:r>
      <w:r>
        <w:rPr/>
        <w:t>mechanism on “on the basis of its actual performance (</w:t>
      </w:r>
      <w:hyperlink w:history="true" w:anchor="_bookmark434">
        <w:r>
          <w:rPr/>
          <w:t>N. Wiener, 1954, p. 24</w:t>
        </w:r>
      </w:hyperlink>
      <w:r>
        <w:rPr/>
        <w:t>). A primary purpose of the negative feedback control is to ensure the equal</w:t>
      </w:r>
      <w:r>
        <w:rPr>
          <w:spacing w:val="40"/>
        </w:rPr>
        <w:t> </w:t>
      </w:r>
      <w:r>
        <w:rPr/>
        <w:t>level between controlled variable and command variable:</w:t>
      </w:r>
    </w:p>
    <w:p>
      <w:pPr>
        <w:pStyle w:val="BodyText"/>
        <w:spacing w:before="51"/>
        <w:ind w:left="0"/>
        <w:jc w:val="left"/>
      </w:pPr>
    </w:p>
    <w:p>
      <w:pPr>
        <w:pStyle w:val="BodyText"/>
        <w:spacing w:line="276" w:lineRule="auto"/>
        <w:ind w:left="2420" w:right="1910"/>
      </w:pPr>
      <w:r>
        <w:rPr/>
        <mc:AlternateContent>
          <mc:Choice Requires="wps">
            <w:drawing>
              <wp:anchor distT="0" distB="0" distL="0" distR="0" allowOverlap="1" layoutInCell="1" locked="0" behindDoc="0" simplePos="0" relativeHeight="15777280">
                <wp:simplePos x="0" y="0"/>
                <wp:positionH relativeFrom="page">
                  <wp:posOffset>1923923</wp:posOffset>
                </wp:positionH>
                <wp:positionV relativeFrom="paragraph">
                  <wp:posOffset>-1047</wp:posOffset>
                </wp:positionV>
                <wp:extent cx="1270" cy="1250315"/>
                <wp:effectExtent l="0" t="0" r="0" b="0"/>
                <wp:wrapNone/>
                <wp:docPr id="113" name="Graphic 113"/>
                <wp:cNvGraphicFramePr>
                  <a:graphicFrameLocks/>
                </wp:cNvGraphicFramePr>
                <a:graphic>
                  <a:graphicData uri="http://schemas.microsoft.com/office/word/2010/wordprocessingShape">
                    <wps:wsp>
                      <wps:cNvPr id="113" name="Graphic 113"/>
                      <wps:cNvSpPr/>
                      <wps:spPr>
                        <a:xfrm>
                          <a:off x="0" y="0"/>
                          <a:ext cx="1270" cy="1250315"/>
                        </a:xfrm>
                        <a:custGeom>
                          <a:avLst/>
                          <a:gdLst/>
                          <a:ahLst/>
                          <a:cxnLst/>
                          <a:rect l="l" t="t" r="r" b="b"/>
                          <a:pathLst>
                            <a:path w="0" h="1250315">
                              <a:moveTo>
                                <a:pt x="0" y="0"/>
                              </a:moveTo>
                              <a:lnTo>
                                <a:pt x="0" y="249936"/>
                              </a:lnTo>
                            </a:path>
                            <a:path w="0" h="1250315">
                              <a:moveTo>
                                <a:pt x="0" y="249936"/>
                              </a:moveTo>
                              <a:lnTo>
                                <a:pt x="0" y="500125"/>
                              </a:lnTo>
                            </a:path>
                            <a:path w="0" h="1250315">
                              <a:moveTo>
                                <a:pt x="0" y="500125"/>
                              </a:moveTo>
                              <a:lnTo>
                                <a:pt x="0" y="750062"/>
                              </a:lnTo>
                            </a:path>
                            <a:path w="0" h="1250315">
                              <a:moveTo>
                                <a:pt x="0" y="750062"/>
                              </a:moveTo>
                              <a:lnTo>
                                <a:pt x="0" y="999998"/>
                              </a:lnTo>
                            </a:path>
                            <a:path w="0" h="1250315">
                              <a:moveTo>
                                <a:pt x="0" y="999998"/>
                              </a:moveTo>
                              <a:lnTo>
                                <a:pt x="0" y="1249934"/>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0825pt;width:.1pt;height:98.45pt;mso-position-horizontal-relative:page;mso-position-vertical-relative:paragraph;z-index:15777280" id="docshape107" coordorigin="3030,-2" coordsize="0,1969" path="m3030,-2l3030,392m3030,392l3030,786m3030,786l3030,1180m3030,1180l3030,1573m3030,1573l3030,1967e" filled="false" stroked="true" strokeweight=".48pt" strokecolor="#000000">
                <v:path arrowok="t"/>
                <v:stroke dashstyle="shortdash"/>
                <w10:wrap type="none"/>
              </v:shape>
            </w:pict>
          </mc:Fallback>
        </mc:AlternateContent>
      </w:r>
      <w:r>
        <w:rPr/>
        <w:t>“Feedback devices have the function of automatically carrying out a command, that is, to control a machine or process in</w:t>
      </w:r>
      <w:r>
        <w:rPr>
          <w:spacing w:val="40"/>
        </w:rPr>
        <w:t> </w:t>
      </w:r>
      <w:r>
        <w:rPr/>
        <w:t>such manner that a controlled variable is maintained at equal level with a command variable coming from a higher </w:t>
      </w:r>
      <w:r>
        <w:rPr>
          <w:spacing w:val="-2"/>
        </w:rPr>
        <w:t>authority.”</w:t>
      </w:r>
    </w:p>
    <w:p>
      <w:pPr>
        <w:pStyle w:val="BodyText"/>
        <w:ind w:left="6871"/>
      </w:pPr>
      <w:r>
        <w:rPr/>
        <w:t>(</w:t>
      </w:r>
      <w:hyperlink w:history="true" w:anchor="_bookmark285">
        <w:r>
          <w:rPr/>
          <w:t>Mayr,</w:t>
        </w:r>
        <w:r>
          <w:rPr>
            <w:spacing w:val="-8"/>
          </w:rPr>
          <w:t> </w:t>
        </w:r>
        <w:r>
          <w:rPr/>
          <w:t>1970,</w:t>
        </w:r>
        <w:r>
          <w:rPr>
            <w:spacing w:val="-4"/>
          </w:rPr>
          <w:t> </w:t>
        </w:r>
        <w:r>
          <w:rPr/>
          <w:t>p.</w:t>
        </w:r>
        <w:r>
          <w:rPr>
            <w:spacing w:val="-8"/>
          </w:rPr>
          <w:t> </w:t>
        </w:r>
        <w:r>
          <w:rPr>
            <w:spacing w:val="-5"/>
          </w:rPr>
          <w:t>1</w:t>
        </w:r>
      </w:hyperlink>
      <w:r>
        <w:rPr>
          <w:spacing w:val="-5"/>
        </w:rPr>
        <w:t>)</w:t>
      </w:r>
    </w:p>
    <w:p>
      <w:pPr>
        <w:pStyle w:val="BodyText"/>
        <w:spacing w:line="276" w:lineRule="auto" w:before="52"/>
        <w:ind w:right="1919" w:firstLine="720"/>
      </w:pPr>
      <w:r>
        <w:rPr/>
        <w:t>Traditionally understood system has to adjust behavior to the challenges coming from the environment. However, it would be more precise</w:t>
      </w:r>
      <w:r>
        <w:rPr>
          <w:spacing w:val="-2"/>
        </w:rPr>
        <w:t> </w:t>
      </w:r>
      <w:r>
        <w:rPr/>
        <w:t>to</w:t>
      </w:r>
      <w:r>
        <w:rPr>
          <w:spacing w:val="-5"/>
        </w:rPr>
        <w:t> </w:t>
      </w:r>
      <w:r>
        <w:rPr/>
        <w:t>say</w:t>
      </w:r>
      <w:r>
        <w:rPr>
          <w:spacing w:val="-2"/>
        </w:rPr>
        <w:t> </w:t>
      </w:r>
      <w:r>
        <w:rPr/>
        <w:t>that,</w:t>
      </w:r>
      <w:r>
        <w:rPr>
          <w:spacing w:val="-1"/>
        </w:rPr>
        <w:t> </w:t>
      </w:r>
      <w:r>
        <w:rPr/>
        <w:t>instead</w:t>
      </w:r>
      <w:r>
        <w:rPr>
          <w:spacing w:val="-1"/>
        </w:rPr>
        <w:t> </w:t>
      </w:r>
      <w:r>
        <w:rPr/>
        <w:t>of</w:t>
      </w:r>
      <w:r>
        <w:rPr>
          <w:spacing w:val="-3"/>
        </w:rPr>
        <w:t> </w:t>
      </w:r>
      <w:r>
        <w:rPr/>
        <w:t>figuring</w:t>
      </w:r>
      <w:r>
        <w:rPr>
          <w:spacing w:val="-2"/>
        </w:rPr>
        <w:t> </w:t>
      </w:r>
      <w:r>
        <w:rPr/>
        <w:t>out</w:t>
      </w:r>
      <w:r>
        <w:rPr>
          <w:spacing w:val="-2"/>
        </w:rPr>
        <w:t> </w:t>
      </w:r>
      <w:r>
        <w:rPr/>
        <w:t>new</w:t>
      </w:r>
      <w:r>
        <w:rPr>
          <w:spacing w:val="-1"/>
        </w:rPr>
        <w:t> </w:t>
      </w:r>
      <w:r>
        <w:rPr/>
        <w:t>ways</w:t>
      </w:r>
      <w:r>
        <w:rPr>
          <w:spacing w:val="-4"/>
        </w:rPr>
        <w:t> </w:t>
      </w:r>
      <w:r>
        <w:rPr/>
        <w:t>of</w:t>
      </w:r>
      <w:r>
        <w:rPr>
          <w:spacing w:val="-3"/>
        </w:rPr>
        <w:t> </w:t>
      </w:r>
      <w:r>
        <w:rPr/>
        <w:t>interactions</w:t>
      </w:r>
      <w:r>
        <w:rPr>
          <w:spacing w:val="-4"/>
        </w:rPr>
        <w:t> </w:t>
      </w:r>
      <w:r>
        <w:rPr/>
        <w:t>with</w:t>
      </w:r>
      <w:r>
        <w:rPr>
          <w:spacing w:val="-2"/>
        </w:rPr>
        <w:t> </w:t>
      </w:r>
      <w:r>
        <w:rPr/>
        <w:t>the environment, system changes the ways to practice the meaning internally.</w:t>
      </w:r>
    </w:p>
    <w:p>
      <w:pPr>
        <w:pStyle w:val="BodyText"/>
        <w:spacing w:line="273" w:lineRule="auto"/>
        <w:ind w:right="1903" w:firstLine="720"/>
      </w:pPr>
      <w:r>
        <w:rPr/>
        <w:t>The feedback-based control systems include a learning mechanism. We can identify three broad types of the learning: a single-loop learning, a double-loop learning and</w:t>
      </w:r>
      <w:r>
        <w:rPr>
          <w:spacing w:val="40"/>
        </w:rPr>
        <w:t> </w:t>
      </w:r>
      <w:r>
        <w:rPr/>
        <w:t>a deutero-learning. 1) A </w:t>
      </w:r>
      <w:r>
        <w:rPr>
          <w:sz w:val="27"/>
        </w:rPr>
        <w:t>single-loop learning </w:t>
      </w:r>
      <w:r>
        <w:rPr/>
        <w:t>is used</w:t>
      </w:r>
      <w:r>
        <w:rPr>
          <w:spacing w:val="19"/>
        </w:rPr>
        <w:t> </w:t>
      </w:r>
      <w:r>
        <w:rPr/>
        <w:t>to</w:t>
      </w:r>
      <w:r>
        <w:rPr>
          <w:spacing w:val="15"/>
        </w:rPr>
        <w:t> </w:t>
      </w:r>
      <w:r>
        <w:rPr/>
        <w:t>detect</w:t>
      </w:r>
      <w:r>
        <w:rPr>
          <w:spacing w:val="18"/>
        </w:rPr>
        <w:t> </w:t>
      </w:r>
      <w:r>
        <w:rPr/>
        <w:t>and</w:t>
      </w:r>
      <w:r>
        <w:rPr>
          <w:spacing w:val="16"/>
        </w:rPr>
        <w:t> </w:t>
      </w:r>
      <w:r>
        <w:rPr/>
        <w:t>correct</w:t>
      </w:r>
      <w:r>
        <w:rPr>
          <w:spacing w:val="18"/>
        </w:rPr>
        <w:t> </w:t>
      </w:r>
      <w:r>
        <w:rPr/>
        <w:t>the</w:t>
      </w:r>
      <w:r>
        <w:rPr>
          <w:spacing w:val="14"/>
        </w:rPr>
        <w:t> </w:t>
      </w:r>
      <w:r>
        <w:rPr/>
        <w:t>errors</w:t>
      </w:r>
      <w:r>
        <w:rPr>
          <w:spacing w:val="16"/>
        </w:rPr>
        <w:t> </w:t>
      </w:r>
      <w:r>
        <w:rPr/>
        <w:t>using</w:t>
      </w:r>
      <w:r>
        <w:rPr>
          <w:spacing w:val="14"/>
        </w:rPr>
        <w:t> </w:t>
      </w:r>
      <w:r>
        <w:rPr/>
        <w:t>the</w:t>
      </w:r>
      <w:r>
        <w:rPr>
          <w:spacing w:val="18"/>
        </w:rPr>
        <w:t> </w:t>
      </w:r>
      <w:r>
        <w:rPr/>
        <w:t>existing</w:t>
      </w:r>
      <w:r>
        <w:rPr>
          <w:spacing w:val="19"/>
        </w:rPr>
        <w:t> </w:t>
      </w:r>
      <w:r>
        <w:rPr/>
        <w:t>systemic</w:t>
      </w:r>
      <w:r>
        <w:rPr>
          <w:spacing w:val="17"/>
        </w:rPr>
        <w:t> </w:t>
      </w:r>
      <w:r>
        <w:rPr>
          <w:spacing w:val="-2"/>
        </w:rPr>
        <w:t>structure.</w:t>
      </w:r>
    </w:p>
    <w:p>
      <w:pPr>
        <w:pStyle w:val="ListParagraph"/>
        <w:numPr>
          <w:ilvl w:val="0"/>
          <w:numId w:val="11"/>
        </w:numPr>
        <w:tabs>
          <w:tab w:pos="1399" w:val="left" w:leader="none"/>
        </w:tabs>
        <w:spacing w:line="268" w:lineRule="auto" w:before="0" w:after="0"/>
        <w:ind w:left="979" w:right="1912" w:firstLine="0"/>
        <w:jc w:val="both"/>
        <w:rPr>
          <w:sz w:val="26"/>
        </w:rPr>
      </w:pPr>
      <w:r>
        <w:rPr>
          <w:sz w:val="26"/>
        </w:rPr>
        <w:t>A </w:t>
      </w:r>
      <w:r>
        <w:rPr>
          <w:sz w:val="27"/>
        </w:rPr>
        <w:t>double-loop learning</w:t>
      </w:r>
      <w:r>
        <w:rPr>
          <w:spacing w:val="40"/>
          <w:sz w:val="27"/>
        </w:rPr>
        <w:t> </w:t>
      </w:r>
      <w:r>
        <w:rPr>
          <w:sz w:val="26"/>
        </w:rPr>
        <w:t>corrects the errors by modifying the organizational setting. 3) A </w:t>
      </w:r>
      <w:r>
        <w:rPr>
          <w:sz w:val="27"/>
        </w:rPr>
        <w:t>deutero-learning</w:t>
      </w:r>
      <w:r>
        <w:rPr>
          <w:spacing w:val="40"/>
          <w:sz w:val="27"/>
        </w:rPr>
        <w:t> </w:t>
      </w:r>
      <w:r>
        <w:rPr>
          <w:sz w:val="26"/>
        </w:rPr>
        <w:t>prepares and fixes the errors by reflecting on previous learning contexts. (</w:t>
      </w:r>
      <w:hyperlink w:history="true" w:anchor="_bookmark80">
        <w:r>
          <w:rPr>
            <w:sz w:val="26"/>
          </w:rPr>
          <w:t>Argyris &amp; Scho</w:t>
        </w:r>
        <w:r>
          <w:rPr>
            <w:rFonts w:ascii="Times New Roman" w:hAnsi="Times New Roman"/>
            <w:sz w:val="26"/>
          </w:rPr>
          <w:t>̈</w:t>
        </w:r>
        <w:r>
          <w:rPr>
            <w:sz w:val="26"/>
          </w:rPr>
          <w:t>n, 1978</w:t>
        </w:r>
      </w:hyperlink>
      <w:r>
        <w:rPr>
          <w:sz w:val="26"/>
        </w:rPr>
        <w:t>)</w:t>
      </w:r>
    </w:p>
    <w:p>
      <w:pPr>
        <w:pStyle w:val="BodyText"/>
        <w:spacing w:line="273" w:lineRule="auto"/>
        <w:ind w:right="1907" w:firstLine="720"/>
      </w:pPr>
      <w:r>
        <w:rPr/>
        <w:t>Those systems which are able to change behaviour in response to the challenges are </w:t>
      </w:r>
      <w:r>
        <w:rPr>
          <w:sz w:val="27"/>
        </w:rPr>
        <w:t>adaptive systems</w:t>
      </w:r>
      <w:r>
        <w:rPr/>
        <w:t>. </w:t>
      </w:r>
      <w:r>
        <w:rPr>
          <w:sz w:val="27"/>
        </w:rPr>
        <w:t>Russel L. Ackoff</w:t>
      </w:r>
      <w:r>
        <w:rPr>
          <w:spacing w:val="40"/>
          <w:sz w:val="27"/>
        </w:rPr>
        <w:t> </w:t>
      </w:r>
      <w:r>
        <w:rPr/>
        <w:t>explains that the definition of ‘adaptive’ implies four types of adaptation: Other-other adaptation, other-self adaptation, self-other adaptation, self-self adaptation. (</w:t>
      </w:r>
      <w:hyperlink w:history="true" w:anchor="_bookmark65">
        <w:r>
          <w:rPr/>
          <w:t>Ackoff, 1971, p. 668</w:t>
        </w:r>
      </w:hyperlink>
      <w:r>
        <w:rPr/>
        <w:t>)</w:t>
      </w:r>
    </w:p>
    <w:p>
      <w:pPr>
        <w:pStyle w:val="ListParagraph"/>
        <w:numPr>
          <w:ilvl w:val="1"/>
          <w:numId w:val="11"/>
        </w:numPr>
        <w:tabs>
          <w:tab w:pos="1980" w:val="left" w:leader="none"/>
        </w:tabs>
        <w:spacing w:line="273" w:lineRule="auto" w:before="0" w:after="0"/>
        <w:ind w:left="979" w:right="1912" w:firstLine="720"/>
        <w:jc w:val="both"/>
        <w:rPr>
          <w:sz w:val="26"/>
        </w:rPr>
      </w:pPr>
      <w:r>
        <w:rPr>
          <w:sz w:val="26"/>
        </w:rPr>
        <w:t>The</w:t>
      </w:r>
      <w:r>
        <w:rPr>
          <w:spacing w:val="-6"/>
          <w:sz w:val="26"/>
        </w:rPr>
        <w:t> </w:t>
      </w:r>
      <w:r>
        <w:rPr>
          <w:sz w:val="27"/>
        </w:rPr>
        <w:t>other-other</w:t>
      </w:r>
      <w:r>
        <w:rPr>
          <w:spacing w:val="-8"/>
          <w:sz w:val="27"/>
        </w:rPr>
        <w:t> </w:t>
      </w:r>
      <w:r>
        <w:rPr>
          <w:sz w:val="26"/>
        </w:rPr>
        <w:t>adaptation</w:t>
      </w:r>
      <w:r>
        <w:rPr>
          <w:spacing w:val="-2"/>
          <w:sz w:val="26"/>
        </w:rPr>
        <w:t> </w:t>
      </w:r>
      <w:r>
        <w:rPr>
          <w:sz w:val="26"/>
        </w:rPr>
        <w:t>happens</w:t>
      </w:r>
      <w:r>
        <w:rPr>
          <w:spacing w:val="-9"/>
          <w:sz w:val="26"/>
        </w:rPr>
        <w:t> </w:t>
      </w:r>
      <w:r>
        <w:rPr>
          <w:sz w:val="26"/>
        </w:rPr>
        <w:t>when</w:t>
      </w:r>
      <w:r>
        <w:rPr>
          <w:spacing w:val="-2"/>
          <w:sz w:val="26"/>
        </w:rPr>
        <w:t> </w:t>
      </w:r>
      <w:r>
        <w:rPr>
          <w:sz w:val="26"/>
        </w:rPr>
        <w:t>the</w:t>
      </w:r>
      <w:r>
        <w:rPr>
          <w:spacing w:val="-7"/>
          <w:sz w:val="26"/>
        </w:rPr>
        <w:t> </w:t>
      </w:r>
      <w:r>
        <w:rPr>
          <w:sz w:val="26"/>
        </w:rPr>
        <w:t>system</w:t>
      </w:r>
      <w:r>
        <w:rPr>
          <w:spacing w:val="-9"/>
          <w:sz w:val="26"/>
        </w:rPr>
        <w:t> </w:t>
      </w:r>
      <w:r>
        <w:rPr>
          <w:sz w:val="26"/>
        </w:rPr>
        <w:t>reacts</w:t>
      </w:r>
      <w:r>
        <w:rPr>
          <w:spacing w:val="-6"/>
          <w:sz w:val="26"/>
        </w:rPr>
        <w:t> </w:t>
      </w:r>
      <w:r>
        <w:rPr>
          <w:sz w:val="26"/>
        </w:rPr>
        <w:t>to</w:t>
      </w:r>
      <w:r>
        <w:rPr>
          <w:spacing w:val="-6"/>
          <w:sz w:val="26"/>
        </w:rPr>
        <w:t> </w:t>
      </w:r>
      <w:r>
        <w:rPr>
          <w:sz w:val="26"/>
        </w:rPr>
        <w:t>the external change, by modifying the environment. </w:t>
      </w:r>
      <w:r>
        <w:rPr>
          <w:sz w:val="27"/>
        </w:rPr>
        <w:t>Ackoff </w:t>
      </w:r>
      <w:r>
        <w:rPr>
          <w:sz w:val="26"/>
        </w:rPr>
        <w:t>gives an example on turning on the air conditioner in response to the heat outside. (</w:t>
      </w:r>
      <w:hyperlink w:history="true" w:anchor="_bookmark65">
        <w:r>
          <w:rPr>
            <w:sz w:val="26"/>
          </w:rPr>
          <w:t>Ackoff,</w:t>
        </w:r>
      </w:hyperlink>
      <w:r>
        <w:rPr>
          <w:sz w:val="26"/>
        </w:rPr>
        <w:t> </w:t>
      </w:r>
      <w:hyperlink w:history="true" w:anchor="_bookmark65">
        <w:r>
          <w:rPr>
            <w:sz w:val="26"/>
          </w:rPr>
          <w:t>1971, p. 668</w:t>
        </w:r>
      </w:hyperlink>
      <w:r>
        <w:rPr>
          <w:sz w:val="26"/>
        </w:rPr>
        <w:t>) If</w:t>
      </w:r>
      <w:r>
        <w:rPr>
          <w:spacing w:val="-3"/>
          <w:sz w:val="26"/>
        </w:rPr>
        <w:t> </w:t>
      </w:r>
      <w:r>
        <w:rPr>
          <w:sz w:val="26"/>
        </w:rPr>
        <w:t>we</w:t>
      </w:r>
      <w:r>
        <w:rPr>
          <w:spacing w:val="-1"/>
          <w:sz w:val="26"/>
        </w:rPr>
        <w:t> </w:t>
      </w:r>
      <w:r>
        <w:rPr>
          <w:sz w:val="26"/>
        </w:rPr>
        <w:t>try to</w:t>
      </w:r>
      <w:r>
        <w:rPr>
          <w:spacing w:val="-4"/>
          <w:sz w:val="26"/>
        </w:rPr>
        <w:t> </w:t>
      </w:r>
      <w:r>
        <w:rPr>
          <w:sz w:val="26"/>
        </w:rPr>
        <w:t>apply this to social, economic, or political systems, we say that if system is strong enough, economically, politically or socially</w:t>
      </w:r>
    </w:p>
    <w:p>
      <w:pPr>
        <w:pStyle w:val="ListParagraph"/>
        <w:spacing w:after="0" w:line="273" w:lineRule="auto"/>
        <w:jc w:val="both"/>
        <w:rPr>
          <w:sz w:val="26"/>
        </w:rPr>
        <w:sectPr>
          <w:pgSz w:w="12240" w:h="15840"/>
          <w:pgMar w:header="1046" w:footer="0" w:top="1360" w:bottom="280" w:left="720" w:right="360"/>
        </w:sectPr>
      </w:pPr>
    </w:p>
    <w:p>
      <w:pPr>
        <w:pStyle w:val="BodyText"/>
        <w:spacing w:line="273" w:lineRule="auto" w:before="276"/>
        <w:ind w:right="1902"/>
      </w:pPr>
      <w:r>
        <w:rPr/>
        <w:t>it can change the environment according to own functional preferences. Preemptive wars, economic interventions, social inclusion or exclusion of the minorities are good examples of this. 2) The </w:t>
      </w:r>
      <w:r>
        <w:rPr>
          <w:sz w:val="27"/>
        </w:rPr>
        <w:t>other-self </w:t>
      </w:r>
      <w:r>
        <w:rPr/>
        <w:t>adaptation is a process by which the system modifies itself to correspond the external change. For example, instead of turning on the air conditioner, a person might change clothes. In case of the social systems, we can follow </w:t>
      </w:r>
      <w:r>
        <w:rPr>
          <w:sz w:val="27"/>
        </w:rPr>
        <w:t>Luhmann</w:t>
      </w:r>
      <w:r>
        <w:rPr/>
        <w:t>’s version of autopoietic adaptability. When social system has to deal with the variety, it increases internal complexity. This complexity might mean building up special institutions, mobilizing funds etc. 3) The </w:t>
      </w:r>
      <w:r>
        <w:rPr>
          <w:sz w:val="27"/>
        </w:rPr>
        <w:t>self-other</w:t>
      </w:r>
      <w:r>
        <w:rPr>
          <w:spacing w:val="-1"/>
          <w:sz w:val="27"/>
        </w:rPr>
        <w:t> </w:t>
      </w:r>
      <w:r>
        <w:rPr/>
        <w:t>adaptation happens</w:t>
      </w:r>
      <w:r>
        <w:rPr>
          <w:spacing w:val="-2"/>
        </w:rPr>
        <w:t> </w:t>
      </w:r>
      <w:r>
        <w:rPr/>
        <w:t>when the system</w:t>
      </w:r>
      <w:r>
        <w:rPr>
          <w:spacing w:val="-2"/>
        </w:rPr>
        <w:t> </w:t>
      </w:r>
      <w:r>
        <w:rPr/>
        <w:t>responds</w:t>
      </w:r>
      <w:r>
        <w:rPr>
          <w:spacing w:val="-2"/>
        </w:rPr>
        <w:t> </w:t>
      </w:r>
      <w:r>
        <w:rPr/>
        <w:t>to internal</w:t>
      </w:r>
      <w:r>
        <w:rPr>
          <w:spacing w:val="-3"/>
        </w:rPr>
        <w:t> </w:t>
      </w:r>
      <w:r>
        <w:rPr/>
        <w:t>change by modifying the environment. (</w:t>
      </w:r>
      <w:hyperlink w:history="true" w:anchor="_bookmark65">
        <w:r>
          <w:rPr/>
          <w:t>Ackoff, 1971, p. 669</w:t>
        </w:r>
      </w:hyperlink>
      <w:r>
        <w:rPr/>
        <w:t>) For example, if a business organizations suffer due to the stagnant internal market, they might use their influence to modify it by political means. Self-self adaptation is a system’s response to internal changes. For example, if there</w:t>
      </w:r>
      <w:r>
        <w:rPr>
          <w:spacing w:val="40"/>
        </w:rPr>
        <w:t> </w:t>
      </w:r>
      <w:r>
        <w:rPr/>
        <w:t>is a political crisis, the political system has to change itself in order to continue functioning.</w:t>
      </w:r>
    </w:p>
    <w:p>
      <w:pPr>
        <w:pStyle w:val="BodyText"/>
        <w:ind w:left="0"/>
        <w:jc w:val="left"/>
      </w:pPr>
    </w:p>
    <w:p>
      <w:pPr>
        <w:pStyle w:val="BodyText"/>
        <w:ind w:left="0"/>
        <w:jc w:val="left"/>
      </w:pPr>
    </w:p>
    <w:p>
      <w:pPr>
        <w:pStyle w:val="BodyText"/>
        <w:ind w:left="0"/>
        <w:jc w:val="left"/>
      </w:pPr>
    </w:p>
    <w:p>
      <w:pPr>
        <w:pStyle w:val="BodyText"/>
        <w:spacing w:before="68"/>
        <w:ind w:left="0"/>
        <w:jc w:val="left"/>
      </w:pPr>
    </w:p>
    <w:p>
      <w:pPr>
        <w:pStyle w:val="Heading4"/>
        <w:numPr>
          <w:ilvl w:val="1"/>
          <w:numId w:val="10"/>
        </w:numPr>
        <w:tabs>
          <w:tab w:pos="1683" w:val="left" w:leader="none"/>
        </w:tabs>
        <w:spacing w:line="240" w:lineRule="auto" w:before="0" w:after="0"/>
        <w:ind w:left="1683" w:right="0" w:hanging="603"/>
        <w:jc w:val="left"/>
      </w:pPr>
      <w:bookmarkStart w:name="_bookmark27" w:id="28"/>
      <w:bookmarkEnd w:id="28"/>
      <w:r>
        <w:rPr>
          <w:b w:val="0"/>
        </w:rPr>
      </w:r>
      <w:r>
        <w:rPr/>
        <w:t>A</w:t>
      </w:r>
      <w:r>
        <w:rPr>
          <w:spacing w:val="-10"/>
        </w:rPr>
        <w:t> </w:t>
      </w:r>
      <w:r>
        <w:rPr/>
        <w:t>State</w:t>
      </w:r>
      <w:r>
        <w:rPr>
          <w:spacing w:val="-10"/>
        </w:rPr>
        <w:t> </w:t>
      </w:r>
      <w:r>
        <w:rPr/>
        <w:t>Of</w:t>
      </w:r>
      <w:r>
        <w:rPr>
          <w:spacing w:val="-5"/>
        </w:rPr>
        <w:t> </w:t>
      </w:r>
      <w:r>
        <w:rPr/>
        <w:t>The</w:t>
      </w:r>
      <w:r>
        <w:rPr>
          <w:spacing w:val="-6"/>
        </w:rPr>
        <w:t> </w:t>
      </w:r>
      <w:r>
        <w:rPr/>
        <w:t>System,</w:t>
      </w:r>
      <w:r>
        <w:rPr>
          <w:spacing w:val="-5"/>
        </w:rPr>
        <w:t> </w:t>
      </w:r>
      <w:r>
        <w:rPr>
          <w:spacing w:val="-2"/>
        </w:rPr>
        <w:t>Growth</w:t>
      </w:r>
    </w:p>
    <w:p>
      <w:pPr>
        <w:pStyle w:val="BodyText"/>
        <w:spacing w:before="194"/>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36992">
                <wp:simplePos x="0" y="0"/>
                <wp:positionH relativeFrom="page">
                  <wp:posOffset>1078864</wp:posOffset>
                </wp:positionH>
                <wp:positionV relativeFrom="paragraph">
                  <wp:posOffset>283150</wp:posOffset>
                </wp:positionV>
                <wp:extent cx="5252085" cy="51435"/>
                <wp:effectExtent l="0" t="0" r="0" b="0"/>
                <wp:wrapTopAndBottom/>
                <wp:docPr id="114" name="Graphic 114"/>
                <wp:cNvGraphicFramePr>
                  <a:graphicFrameLocks/>
                </wp:cNvGraphicFramePr>
                <a:graphic>
                  <a:graphicData uri="http://schemas.microsoft.com/office/word/2010/wordprocessingShape">
                    <wps:wsp>
                      <wps:cNvPr id="114" name="Graphic 114"/>
                      <wps:cNvSpPr/>
                      <wps:spPr>
                        <a:xfrm>
                          <a:off x="0" y="0"/>
                          <a:ext cx="5252085" cy="51435"/>
                        </a:xfrm>
                        <a:custGeom>
                          <a:avLst/>
                          <a:gdLst/>
                          <a:ahLst/>
                          <a:cxnLst/>
                          <a:rect l="l" t="t" r="r" b="b"/>
                          <a:pathLst>
                            <a:path w="5252085" h="51435">
                              <a:moveTo>
                                <a:pt x="5252085" y="0"/>
                              </a:moveTo>
                              <a:lnTo>
                                <a:pt x="0" y="0"/>
                              </a:lnTo>
                              <a:lnTo>
                                <a:pt x="0" y="51435"/>
                              </a:lnTo>
                              <a:lnTo>
                                <a:pt x="5252085" y="51435"/>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295298pt;width:413.55pt;height:4.05pt;mso-position-horizontal-relative:page;mso-position-vertical-relative:paragraph;z-index:-15679488;mso-wrap-distance-left:0;mso-wrap-distance-right:0" id="docshape108"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spacing w:before="7"/>
        <w:ind w:left="0"/>
        <w:jc w:val="left"/>
        <w:rPr>
          <w:rFonts w:ascii="Georgia"/>
          <w:b/>
        </w:rPr>
      </w:pPr>
    </w:p>
    <w:p>
      <w:pPr>
        <w:pStyle w:val="BodyText"/>
        <w:spacing w:line="276" w:lineRule="auto"/>
        <w:ind w:right="1907" w:firstLine="720"/>
      </w:pPr>
      <w:r>
        <w:rPr/>
        <w:t>The state of the system is “the set of relevant properties which that system has at a time,” (</w:t>
      </w:r>
      <w:hyperlink w:history="true" w:anchor="_bookmark65">
        <w:r>
          <w:rPr/>
          <w:t>Ackoff, 1971, p. 662</w:t>
        </w:r>
      </w:hyperlink>
      <w:r>
        <w:rPr/>
        <w:t>) the relevance of the properties is described by the observer.</w:t>
      </w:r>
    </w:p>
    <w:p>
      <w:pPr>
        <w:pStyle w:val="BodyText"/>
        <w:spacing w:line="276" w:lineRule="auto"/>
        <w:ind w:right="1913" w:firstLine="787"/>
      </w:pPr>
      <w:r>
        <w:rPr/>
        <w:t>In this work we intend to understand a dynamic system, which constantly changes the state. Therefore, we need to regard the laws of the dynamics which give us a possibility to understand a relation: “between the way</w:t>
      </w:r>
      <w:r>
        <w:rPr>
          <w:spacing w:val="30"/>
        </w:rPr>
        <w:t> </w:t>
      </w:r>
      <w:r>
        <w:rPr/>
        <w:t>the</w:t>
      </w:r>
      <w:r>
        <w:rPr>
          <w:spacing w:val="31"/>
        </w:rPr>
        <w:t> </w:t>
      </w:r>
      <w:r>
        <w:rPr/>
        <w:t>world</w:t>
      </w:r>
      <w:r>
        <w:rPr>
          <w:spacing w:val="32"/>
        </w:rPr>
        <w:t> </w:t>
      </w:r>
      <w:r>
        <w:rPr/>
        <w:t>is</w:t>
      </w:r>
      <w:r>
        <w:rPr>
          <w:spacing w:val="28"/>
        </w:rPr>
        <w:t> </w:t>
      </w:r>
      <w:r>
        <w:rPr/>
        <w:t>at</w:t>
      </w:r>
      <w:r>
        <w:rPr>
          <w:spacing w:val="31"/>
        </w:rPr>
        <w:t> </w:t>
      </w:r>
      <w:r>
        <w:rPr/>
        <w:t>the</w:t>
      </w:r>
      <w:r>
        <w:rPr>
          <w:spacing w:val="31"/>
        </w:rPr>
        <w:t> </w:t>
      </w:r>
      <w:r>
        <w:rPr/>
        <w:t>initial</w:t>
      </w:r>
      <w:r>
        <w:rPr>
          <w:spacing w:val="28"/>
        </w:rPr>
        <w:t> </w:t>
      </w:r>
      <w:r>
        <w:rPr/>
        <w:t>time</w:t>
      </w:r>
      <w:r>
        <w:rPr>
          <w:spacing w:val="36"/>
        </w:rPr>
        <w:t> </w:t>
      </w:r>
      <w:r>
        <w:rPr/>
        <w:t>–</w:t>
      </w:r>
      <w:r>
        <w:rPr>
          <w:spacing w:val="30"/>
        </w:rPr>
        <w:t> </w:t>
      </w:r>
      <w:r>
        <w:rPr/>
        <w:t>and</w:t>
      </w:r>
      <w:r>
        <w:rPr>
          <w:spacing w:val="27"/>
        </w:rPr>
        <w:t> </w:t>
      </w:r>
      <w:r>
        <w:rPr/>
        <w:t>the</w:t>
      </w:r>
      <w:r>
        <w:rPr>
          <w:spacing w:val="31"/>
        </w:rPr>
        <w:t> </w:t>
      </w:r>
      <w:r>
        <w:rPr/>
        <w:t>way</w:t>
      </w:r>
      <w:r>
        <w:rPr>
          <w:spacing w:val="31"/>
        </w:rPr>
        <w:t> </w:t>
      </w:r>
      <w:r>
        <w:rPr/>
        <w:t>it</w:t>
      </w:r>
      <w:r>
        <w:rPr>
          <w:spacing w:val="31"/>
        </w:rPr>
        <w:t> </w:t>
      </w:r>
      <w:r>
        <w:rPr/>
        <w:t>is</w:t>
      </w:r>
      <w:r>
        <w:rPr>
          <w:spacing w:val="28"/>
        </w:rPr>
        <w:t> </w:t>
      </w:r>
      <w:r>
        <w:rPr/>
        <w:t>at</w:t>
      </w:r>
      <w:r>
        <w:rPr>
          <w:spacing w:val="31"/>
        </w:rPr>
        <w:t> </w:t>
      </w:r>
      <w:r>
        <w:rPr/>
        <w:t>the</w:t>
      </w:r>
      <w:r>
        <w:rPr>
          <w:spacing w:val="31"/>
        </w:rPr>
        <w:t> </w:t>
      </w:r>
      <w:r>
        <w:rPr/>
        <w:t>some</w:t>
      </w:r>
      <w:r>
        <w:rPr>
          <w:spacing w:val="31"/>
        </w:rPr>
        <w:t> </w:t>
      </w:r>
      <w:r>
        <w:rPr>
          <w:spacing w:val="-2"/>
        </w:rPr>
        <w:t>later</w:t>
      </w:r>
    </w:p>
    <w:p>
      <w:pPr>
        <w:pStyle w:val="BodyText"/>
        <w:spacing w:after="0" w:line="276" w:lineRule="auto"/>
        <w:sectPr>
          <w:pgSz w:w="12240" w:h="15840"/>
          <w:pgMar w:header="1046" w:footer="0" w:top="1360" w:bottom="280" w:left="720" w:right="360"/>
        </w:sectPr>
      </w:pPr>
    </w:p>
    <w:p>
      <w:pPr>
        <w:pStyle w:val="BodyText"/>
        <w:spacing w:line="276" w:lineRule="auto" w:before="276"/>
        <w:ind w:right="1919"/>
      </w:pPr>
      <w:r>
        <w:rPr/>
        <w:t>time.” (</w:t>
      </w:r>
      <w:hyperlink w:history="true" w:anchor="_bookmark392">
        <w:r>
          <w:rPr/>
          <w:t>Simon, 1966</w:t>
        </w:r>
      </w:hyperlink>
      <w:r>
        <w:rPr/>
        <w:t>) This pedictament obliges us to clarify certain conceptual tools which are often used to describe a systemic state.</w:t>
      </w:r>
    </w:p>
    <w:p>
      <w:pPr>
        <w:pStyle w:val="BodyText"/>
        <w:spacing w:line="273" w:lineRule="auto"/>
        <w:ind w:right="1904" w:firstLine="720"/>
      </w:pPr>
      <w:r>
        <w:rPr/>
        <w:t>The state of the </w:t>
      </w:r>
      <w:r>
        <w:rPr>
          <w:sz w:val="27"/>
        </w:rPr>
        <w:t>equilibrium </w:t>
      </w:r>
      <w:r>
        <w:rPr/>
        <w:t>is often considered as a preferable state, or normal state of the system. In thermodynamics, equilibrium is a condition when entity shows no signs of spontaneous change.</w:t>
      </w:r>
      <w:r>
        <w:rPr>
          <w:spacing w:val="80"/>
        </w:rPr>
        <w:t> </w:t>
      </w:r>
      <w:r>
        <w:rPr/>
        <w:t>A system tries to come back to the state of the equilibrium every time it is disturbed. Equilibrium systems are static systems, as </w:t>
      </w:r>
      <w:r>
        <w:rPr>
          <w:sz w:val="27"/>
        </w:rPr>
        <w:t>Karl W. Deutsch </w:t>
      </w:r>
      <w:r>
        <w:rPr/>
        <w:t>argues: “in the world of equilibrium theory there is no growth, no evolution.” (</w:t>
      </w:r>
      <w:hyperlink w:history="true" w:anchor="_bookmark158">
        <w:r>
          <w:rPr/>
          <w:t>Deutsch,</w:t>
        </w:r>
      </w:hyperlink>
      <w:r>
        <w:rPr/>
        <w:t> </w:t>
      </w:r>
      <w:hyperlink w:history="true" w:anchor="_bookmark158">
        <w:r>
          <w:rPr/>
          <w:t>1963, p. 89</w:t>
        </w:r>
      </w:hyperlink>
      <w:r>
        <w:rPr/>
        <w:t>)</w:t>
      </w:r>
      <w:r>
        <w:rPr>
          <w:spacing w:val="-1"/>
        </w:rPr>
        <w:t> </w:t>
      </w:r>
      <w:r>
        <w:rPr/>
        <w:t>This is a rigid identification of the concept. Social sciences gave a different dimension to the equilibrium. The concept is often used as a reference point, or as an arbitrary representation of stability. </w:t>
      </w:r>
      <w:r>
        <w:rPr>
          <w:sz w:val="27"/>
        </w:rPr>
        <w:t>Parsonian </w:t>
      </w:r>
      <w:r>
        <w:rPr/>
        <w:t>social equilibrium, the political balance of power system, or economic equilibrium theory, all serve to show an approximate state in which the system is able to maintain functionality. Implicitly or explicitly all equilibrium theories are based on </w:t>
      </w:r>
      <w:r>
        <w:rPr>
          <w:sz w:val="27"/>
        </w:rPr>
        <w:t>negative feedback </w:t>
      </w:r>
      <w:r>
        <w:rPr/>
        <w:t>mechanism and emphasise the relations which maintain the order.</w:t>
      </w:r>
    </w:p>
    <w:p>
      <w:pPr>
        <w:pStyle w:val="BodyText"/>
        <w:spacing w:line="276" w:lineRule="auto"/>
        <w:ind w:right="1911" w:firstLine="720"/>
      </w:pPr>
      <w:r>
        <w:rPr>
          <w:sz w:val="27"/>
        </w:rPr>
        <w:t>David</w:t>
      </w:r>
      <w:r>
        <w:rPr>
          <w:spacing w:val="-6"/>
          <w:sz w:val="27"/>
        </w:rPr>
        <w:t> </w:t>
      </w:r>
      <w:r>
        <w:rPr>
          <w:sz w:val="27"/>
        </w:rPr>
        <w:t>Easton</w:t>
      </w:r>
      <w:r>
        <w:rPr>
          <w:spacing w:val="-4"/>
          <w:sz w:val="27"/>
        </w:rPr>
        <w:t> </w:t>
      </w:r>
      <w:r>
        <w:rPr/>
        <w:t>has</w:t>
      </w:r>
      <w:r>
        <w:rPr>
          <w:spacing w:val="-2"/>
        </w:rPr>
        <w:t> </w:t>
      </w:r>
      <w:r>
        <w:rPr/>
        <w:t>observed</w:t>
      </w:r>
      <w:r>
        <w:rPr>
          <w:spacing w:val="-3"/>
        </w:rPr>
        <w:t> </w:t>
      </w:r>
      <w:r>
        <w:rPr/>
        <w:t>that</w:t>
      </w:r>
      <w:r>
        <w:rPr>
          <w:spacing w:val="-5"/>
        </w:rPr>
        <w:t> </w:t>
      </w:r>
      <w:r>
        <w:rPr/>
        <w:t>even</w:t>
      </w:r>
      <w:r>
        <w:rPr>
          <w:spacing w:val="-4"/>
        </w:rPr>
        <w:t> </w:t>
      </w:r>
      <w:r>
        <w:rPr/>
        <w:t>if</w:t>
      </w:r>
      <w:r>
        <w:rPr>
          <w:spacing w:val="-6"/>
        </w:rPr>
        <w:t> </w:t>
      </w:r>
      <w:r>
        <w:rPr/>
        <w:t>we</w:t>
      </w:r>
      <w:r>
        <w:rPr>
          <w:spacing w:val="-5"/>
        </w:rPr>
        <w:t> </w:t>
      </w:r>
      <w:r>
        <w:rPr/>
        <w:t>see</w:t>
      </w:r>
      <w:r>
        <w:rPr>
          <w:spacing w:val="-5"/>
        </w:rPr>
        <w:t> </w:t>
      </w:r>
      <w:r>
        <w:rPr/>
        <w:t>stability</w:t>
      </w:r>
      <w:r>
        <w:rPr>
          <w:spacing w:val="-1"/>
        </w:rPr>
        <w:t> </w:t>
      </w:r>
      <w:r>
        <w:rPr/>
        <w:t>as</w:t>
      </w:r>
      <w:r>
        <w:rPr>
          <w:spacing w:val="-2"/>
        </w:rPr>
        <w:t> </w:t>
      </w:r>
      <w:r>
        <w:rPr/>
        <w:t>a</w:t>
      </w:r>
      <w:r>
        <w:rPr>
          <w:spacing w:val="-5"/>
        </w:rPr>
        <w:t> </w:t>
      </w:r>
      <w:r>
        <w:rPr/>
        <w:t>main</w:t>
      </w:r>
      <w:r>
        <w:rPr>
          <w:spacing w:val="-4"/>
        </w:rPr>
        <w:t> </w:t>
      </w:r>
      <w:r>
        <w:rPr/>
        <w:t>goal of the system, we have to aknowledge that social system might have “other goals than reaching the equilibrium.” (</w:t>
      </w:r>
      <w:hyperlink w:history="true" w:anchor="_bookmark170">
        <w:r>
          <w:rPr/>
          <w:t>Easton, 1966b, p. 146</w:t>
        </w:r>
      </w:hyperlink>
      <w:r>
        <w:rPr/>
        <w:t>) The dynamic equilibrium model argues, that system can remain stable, if changes occur regularly and those changes can be observed under a common pattern. For example, in static equilibrium, changing the government could be seen as a deviation from the regular order. However, if we consider the democratic change under the regularity of the dynamic equilibrium, we may see that stability of democratic system is ensured by the pattern of electoral change.</w:t>
      </w:r>
    </w:p>
    <w:p>
      <w:pPr>
        <w:pStyle w:val="BodyText"/>
        <w:spacing w:line="273" w:lineRule="auto"/>
        <w:ind w:right="1905" w:firstLine="720"/>
      </w:pPr>
      <w:r>
        <w:rPr>
          <w:sz w:val="27"/>
        </w:rPr>
        <w:t>Ludwig von Bertalanffy </w:t>
      </w:r>
      <w:r>
        <w:rPr/>
        <w:t>believed that “to perform work, the system must be, not in equilibrium but tending to attain it.” (</w:t>
      </w:r>
      <w:hyperlink w:history="true" w:anchor="_bookmark97">
        <w:r>
          <w:rPr/>
          <w:t>Bertalanffy, 1950, p.</w:t>
        </w:r>
      </w:hyperlink>
      <w:r>
        <w:rPr/>
        <w:t> </w:t>
      </w:r>
      <w:hyperlink w:history="true" w:anchor="_bookmark97">
        <w:r>
          <w:rPr/>
          <w:t>23</w:t>
        </w:r>
      </w:hyperlink>
      <w:r>
        <w:rPr/>
        <w:t>) </w:t>
      </w:r>
      <w:r>
        <w:rPr>
          <w:sz w:val="27"/>
        </w:rPr>
        <w:t>Bertalanffy </w:t>
      </w:r>
      <w:r>
        <w:rPr/>
        <w:t>addresses living open systems. Those systems maintain stability while being in constant relations with the environment, but they are not in equilibrium.</w:t>
      </w:r>
    </w:p>
    <w:p>
      <w:pPr>
        <w:pStyle w:val="BodyText"/>
        <w:spacing w:after="0" w:line="273" w:lineRule="auto"/>
        <w:sectPr>
          <w:pgSz w:w="12240" w:h="15840"/>
          <w:pgMar w:header="1046" w:footer="0" w:top="1360" w:bottom="280" w:left="720" w:right="360"/>
        </w:sectPr>
      </w:pPr>
    </w:p>
    <w:p>
      <w:pPr>
        <w:spacing w:line="276" w:lineRule="auto" w:before="272"/>
        <w:ind w:left="2420" w:right="1908" w:firstLine="0"/>
        <w:jc w:val="both"/>
        <w:rPr>
          <w:sz w:val="24"/>
        </w:rPr>
      </w:pPr>
      <w:r>
        <w:rPr>
          <w:sz w:val="24"/>
        </w:rPr>
        <mc:AlternateContent>
          <mc:Choice Requires="wps">
            <w:drawing>
              <wp:anchor distT="0" distB="0" distL="0" distR="0" allowOverlap="1" layoutInCell="1" locked="0" behindDoc="0" simplePos="0" relativeHeight="15778304">
                <wp:simplePos x="0" y="0"/>
                <wp:positionH relativeFrom="page">
                  <wp:posOffset>1923923</wp:posOffset>
                </wp:positionH>
                <wp:positionV relativeFrom="paragraph">
                  <wp:posOffset>174084</wp:posOffset>
                </wp:positionV>
                <wp:extent cx="1270" cy="923925"/>
                <wp:effectExtent l="0" t="0" r="0" b="0"/>
                <wp:wrapNone/>
                <wp:docPr id="115" name="Graphic 115"/>
                <wp:cNvGraphicFramePr>
                  <a:graphicFrameLocks/>
                </wp:cNvGraphicFramePr>
                <a:graphic>
                  <a:graphicData uri="http://schemas.microsoft.com/office/word/2010/wordprocessingShape">
                    <wps:wsp>
                      <wps:cNvPr id="115" name="Graphic 115"/>
                      <wps:cNvSpPr/>
                      <wps:spPr>
                        <a:xfrm>
                          <a:off x="0" y="0"/>
                          <a:ext cx="1270" cy="923925"/>
                        </a:xfrm>
                        <a:custGeom>
                          <a:avLst/>
                          <a:gdLst/>
                          <a:ahLst/>
                          <a:cxnLst/>
                          <a:rect l="l" t="t" r="r" b="b"/>
                          <a:pathLst>
                            <a:path w="0" h="923925">
                              <a:moveTo>
                                <a:pt x="0" y="0"/>
                              </a:moveTo>
                              <a:lnTo>
                                <a:pt x="0" y="228600"/>
                              </a:lnTo>
                            </a:path>
                            <a:path w="0" h="923925">
                              <a:moveTo>
                                <a:pt x="0" y="228600"/>
                              </a:moveTo>
                              <a:lnTo>
                                <a:pt x="0" y="460248"/>
                              </a:lnTo>
                            </a:path>
                            <a:path w="0" h="923925">
                              <a:moveTo>
                                <a:pt x="0" y="460248"/>
                              </a:moveTo>
                              <a:lnTo>
                                <a:pt x="0" y="692276"/>
                              </a:lnTo>
                            </a:path>
                            <a:path w="0" h="923925">
                              <a:moveTo>
                                <a:pt x="0" y="692276"/>
                              </a:moveTo>
                              <a:lnTo>
                                <a:pt x="0" y="923925"/>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13.707422pt;width:.1pt;height:72.75pt;mso-position-horizontal-relative:page;mso-position-vertical-relative:paragraph;z-index:15778304" id="docshape109" coordorigin="3030,274" coordsize="0,1455" path="m3030,274l3030,634m3030,634l3030,999m3030,999l3030,1364m3030,1364l3030,1729e" filled="false" stroked="true" strokeweight=".48pt" strokecolor="#000000">
                <v:path arrowok="t"/>
                <v:stroke dashstyle="shortdash"/>
                <w10:wrap type="none"/>
              </v:shape>
            </w:pict>
          </mc:Fallback>
        </mc:AlternateContent>
      </w:r>
      <w:r>
        <w:rPr>
          <w:sz w:val="24"/>
        </w:rPr>
        <w:t>“An open system may attain a time independent state where the system remains constant as a whole and in its phases, though there is a continuous flow of the component materials. This is called a steady state.”</w:t>
      </w:r>
    </w:p>
    <w:p>
      <w:pPr>
        <w:pStyle w:val="BodyText"/>
        <w:spacing w:before="5"/>
        <w:ind w:left="5954"/>
      </w:pPr>
      <w:r>
        <w:rPr/>
        <w:t>(</w:t>
      </w:r>
      <w:hyperlink w:history="true" w:anchor="_bookmark97">
        <w:r>
          <w:rPr/>
          <w:t>Bertalanffy,</w:t>
        </w:r>
        <w:r>
          <w:rPr>
            <w:spacing w:val="-5"/>
          </w:rPr>
          <w:t> </w:t>
        </w:r>
        <w:r>
          <w:rPr/>
          <w:t>1950,</w:t>
        </w:r>
        <w:r>
          <w:rPr>
            <w:spacing w:val="-9"/>
          </w:rPr>
          <w:t> </w:t>
        </w:r>
        <w:r>
          <w:rPr/>
          <w:t>p.</w:t>
        </w:r>
        <w:r>
          <w:rPr>
            <w:spacing w:val="-6"/>
          </w:rPr>
          <w:t> </w:t>
        </w:r>
        <w:r>
          <w:rPr>
            <w:spacing w:val="-5"/>
          </w:rPr>
          <w:t>23</w:t>
        </w:r>
      </w:hyperlink>
      <w:r>
        <w:rPr>
          <w:spacing w:val="-5"/>
        </w:rPr>
        <w:t>)</w:t>
      </w:r>
    </w:p>
    <w:p>
      <w:pPr>
        <w:pStyle w:val="BodyText"/>
        <w:spacing w:line="273" w:lineRule="auto" w:before="41"/>
        <w:ind w:right="1901" w:firstLine="720"/>
      </w:pPr>
      <w:r>
        <w:rPr/>
        <w:t>Even though, open systems as defined by </w:t>
      </w:r>
      <w:r>
        <w:rPr>
          <w:sz w:val="27"/>
        </w:rPr>
        <w:t>von Bertalanffy </w:t>
      </w:r>
      <w:r>
        <w:rPr/>
        <w:t>are different from </w:t>
      </w:r>
      <w:r>
        <w:rPr>
          <w:sz w:val="27"/>
        </w:rPr>
        <w:t>Maturana</w:t>
      </w:r>
      <w:r>
        <w:rPr/>
        <w:t>’s</w:t>
      </w:r>
      <w:r>
        <w:rPr>
          <w:spacing w:val="40"/>
        </w:rPr>
        <w:t> </w:t>
      </w:r>
      <w:r>
        <w:rPr/>
        <w:t>autopoietic systems, they discreetly share an important aspect of self-organization. While explaining the illustrative equation</w:t>
      </w:r>
      <w:r>
        <w:rPr>
          <w:spacing w:val="40"/>
        </w:rPr>
        <w:t> </w:t>
      </w:r>
      <w:r>
        <w:rPr/>
        <w:t>of an open system, </w:t>
      </w:r>
      <w:r>
        <w:rPr>
          <w:sz w:val="27"/>
        </w:rPr>
        <w:t>von Bertalanffy </w:t>
      </w:r>
      <w:r>
        <w:rPr/>
        <w:t>points out a fact that “the steady state ratio of the components depends only on the system constants not on the environmental condition.” (</w:t>
      </w:r>
      <w:hyperlink w:history="true" w:anchor="_bookmark97">
        <w:r>
          <w:rPr/>
          <w:t>Bertalanffy, 1950, p. 24</w:t>
        </w:r>
      </w:hyperlink>
      <w:r>
        <w:rPr/>
        <w:t>)</w:t>
      </w:r>
      <w:r>
        <w:rPr>
          <w:spacing w:val="40"/>
        </w:rPr>
        <w:t> </w:t>
      </w:r>
      <w:r>
        <w:rPr/>
        <w:t>Once the ratio of the components is maintained the environmental flow cannot change it. When the system is disturbed by the external stimulus, it reestablishes itself via self-regulation. (</w:t>
      </w:r>
      <w:hyperlink w:history="true" w:anchor="_bookmark97">
        <w:r>
          <w:rPr/>
          <w:t>1950, p. 24</w:t>
        </w:r>
      </w:hyperlink>
      <w:r>
        <w:rPr/>
        <w:t>) The System constants or the systemic invariants</w:t>
      </w:r>
      <w:r>
        <w:rPr>
          <w:spacing w:val="40"/>
        </w:rPr>
        <w:t> </w:t>
      </w:r>
      <w:r>
        <w:rPr/>
        <w:t>in autopoietic system are organizational operations. This condition implies that a typical state of the autopoietic system is a steady state. Steady does not imply of a state which is constant. </w:t>
      </w:r>
      <w:r>
        <w:rPr>
          <w:sz w:val="27"/>
        </w:rPr>
        <w:t>Anderson and others </w:t>
      </w:r>
      <w:r>
        <w:rPr/>
        <w:t>compare it with </w:t>
      </w:r>
      <w:r>
        <w:rPr>
          <w:sz w:val="27"/>
        </w:rPr>
        <w:t>Heraclitus</w:t>
      </w:r>
      <w:r>
        <w:rPr/>
        <w:t>’ river; steady state is a ‘flowing balance’ between the system and its environment. (</w:t>
      </w:r>
      <w:hyperlink w:history="true" w:anchor="_bookmark79">
        <w:r>
          <w:rPr/>
          <w:t>Anderson, Carter, &amp;</w:t>
        </w:r>
      </w:hyperlink>
      <w:r>
        <w:rPr/>
        <w:t> </w:t>
      </w:r>
      <w:hyperlink w:history="true" w:anchor="_bookmark79">
        <w:r>
          <w:rPr/>
          <w:t>Lowe, 1999, p. 24</w:t>
        </w:r>
      </w:hyperlink>
      <w:r>
        <w:rPr/>
        <w:t>) The steady state in the autopoietic system is maintained by</w:t>
      </w:r>
      <w:r>
        <w:rPr>
          <w:spacing w:val="-2"/>
        </w:rPr>
        <w:t> </w:t>
      </w:r>
      <w:r>
        <w:rPr/>
        <w:t>the</w:t>
      </w:r>
      <w:r>
        <w:rPr>
          <w:spacing w:val="-2"/>
        </w:rPr>
        <w:t> </w:t>
      </w:r>
      <w:r>
        <w:rPr/>
        <w:t>organization,</w:t>
      </w:r>
      <w:r>
        <w:rPr>
          <w:spacing w:val="-1"/>
        </w:rPr>
        <w:t> </w:t>
      </w:r>
      <w:r>
        <w:rPr/>
        <w:t>because</w:t>
      </w:r>
      <w:r>
        <w:rPr>
          <w:spacing w:val="-2"/>
        </w:rPr>
        <w:t> </w:t>
      </w:r>
      <w:r>
        <w:rPr/>
        <w:t>it</w:t>
      </w:r>
      <w:r>
        <w:rPr>
          <w:spacing w:val="40"/>
        </w:rPr>
        <w:t> </w:t>
      </w:r>
      <w:r>
        <w:rPr/>
        <w:t>“is</w:t>
      </w:r>
      <w:r>
        <w:rPr>
          <w:spacing w:val="-4"/>
        </w:rPr>
        <w:t> </w:t>
      </w:r>
      <w:r>
        <w:rPr/>
        <w:t>the</w:t>
      </w:r>
      <w:r>
        <w:rPr>
          <w:spacing w:val="-2"/>
        </w:rPr>
        <w:t> </w:t>
      </w:r>
      <w:r>
        <w:rPr/>
        <w:t>‘identity’</w:t>
      </w:r>
      <w:r>
        <w:rPr>
          <w:spacing w:val="-3"/>
        </w:rPr>
        <w:t> </w:t>
      </w:r>
      <w:r>
        <w:rPr/>
        <w:t>of</w:t>
      </w:r>
      <w:r>
        <w:rPr>
          <w:spacing w:val="-3"/>
        </w:rPr>
        <w:t> </w:t>
      </w:r>
      <w:r>
        <w:rPr/>
        <w:t>the</w:t>
      </w:r>
      <w:r>
        <w:rPr>
          <w:spacing w:val="-2"/>
        </w:rPr>
        <w:t> </w:t>
      </w:r>
      <w:r>
        <w:rPr/>
        <w:t>system,</w:t>
      </w:r>
      <w:r>
        <w:rPr>
          <w:spacing w:val="-1"/>
        </w:rPr>
        <w:t> </w:t>
      </w:r>
      <w:r>
        <w:rPr/>
        <w:t>its</w:t>
      </w:r>
      <w:r>
        <w:rPr>
          <w:spacing w:val="-4"/>
        </w:rPr>
        <w:t> </w:t>
      </w:r>
      <w:r>
        <w:rPr/>
        <w:t>continuity with the previous states through which it has passed, its newly emerged elements, and the states through which it will pass in the future.” (</w:t>
      </w:r>
      <w:hyperlink w:history="true" w:anchor="_bookmark79">
        <w:r>
          <w:rPr/>
          <w:t>1999, p.</w:t>
        </w:r>
      </w:hyperlink>
      <w:r>
        <w:rPr/>
        <w:t> </w:t>
      </w:r>
      <w:hyperlink w:history="true" w:anchor="_bookmark79">
        <w:r>
          <w:rPr/>
          <w:t>26</w:t>
        </w:r>
      </w:hyperlink>
      <w:r>
        <w:rPr/>
        <w:t>) Another reason to describe the normal state of a social system as a</w:t>
      </w:r>
      <w:r>
        <w:rPr>
          <w:spacing w:val="40"/>
        </w:rPr>
        <w:t> </w:t>
      </w:r>
      <w:r>
        <w:rPr/>
        <w:t>steady state, derives from the fact that every social system is characterised by the </w:t>
      </w:r>
      <w:r>
        <w:rPr>
          <w:sz w:val="27"/>
        </w:rPr>
        <w:t>growth phenomenon</w:t>
      </w:r>
      <w:r>
        <w:rPr/>
        <w:t>. Growth can be negative and positive. A structural growth “involves change in the relation of the parts.” (</w:t>
      </w:r>
      <w:hyperlink w:history="true" w:anchor="_bookmark110">
        <w:r>
          <w:rPr/>
          <w:t>Boulding,</w:t>
        </w:r>
      </w:hyperlink>
      <w:r>
        <w:rPr/>
        <w:t> </w:t>
      </w:r>
      <w:hyperlink w:history="true" w:anchor="_bookmark110">
        <w:r>
          <w:rPr/>
          <w:t>1953</w:t>
        </w:r>
      </w:hyperlink>
      <w:r>
        <w:rPr/>
        <w:t>) The first there is a systemic invariant or as </w:t>
      </w:r>
      <w:r>
        <w:rPr>
          <w:sz w:val="27"/>
        </w:rPr>
        <w:t>Boulding</w:t>
      </w:r>
      <w:r>
        <w:rPr>
          <w:spacing w:val="80"/>
          <w:sz w:val="27"/>
        </w:rPr>
        <w:t> </w:t>
      </w:r>
      <w:r>
        <w:rPr/>
        <w:t>calls it a </w:t>
      </w:r>
      <w:r>
        <w:rPr>
          <w:sz w:val="27"/>
        </w:rPr>
        <w:t>nucleus</w:t>
      </w:r>
      <w:r>
        <w:rPr/>
        <w:t>. This systemic invariant might not be “homogeneous with</w:t>
      </w:r>
      <w:r>
        <w:rPr>
          <w:spacing w:val="40"/>
        </w:rPr>
        <w:t> </w:t>
      </w:r>
      <w:r>
        <w:rPr/>
        <w:t>the structure</w:t>
      </w:r>
      <w:r>
        <w:rPr>
          <w:spacing w:val="40"/>
        </w:rPr>
        <w:t> </w:t>
      </w:r>
      <w:r>
        <w:rPr/>
        <w:t>that</w:t>
      </w:r>
      <w:r>
        <w:rPr>
          <w:spacing w:val="40"/>
        </w:rPr>
        <w:t> </w:t>
      </w:r>
      <w:r>
        <w:rPr/>
        <w:t>grows around it.” The structural development is non- proportional, “As any</w:t>
      </w:r>
      <w:r>
        <w:rPr>
          <w:spacing w:val="40"/>
        </w:rPr>
        <w:t> </w:t>
      </w:r>
      <w:r>
        <w:rPr/>
        <w:t>structure</w:t>
      </w:r>
      <w:r>
        <w:rPr>
          <w:spacing w:val="40"/>
        </w:rPr>
        <w:t> </w:t>
      </w:r>
      <w:r>
        <w:rPr/>
        <w:t>grows,</w:t>
      </w:r>
      <w:r>
        <w:rPr>
          <w:spacing w:val="40"/>
        </w:rPr>
        <w:t> </w:t>
      </w:r>
      <w:r>
        <w:rPr/>
        <w:t>the</w:t>
      </w:r>
      <w:r>
        <w:rPr>
          <w:spacing w:val="40"/>
        </w:rPr>
        <w:t> </w:t>
      </w:r>
      <w:r>
        <w:rPr/>
        <w:t>proportions of its parts and of its</w:t>
      </w:r>
      <w:r>
        <w:rPr>
          <w:spacing w:val="-6"/>
        </w:rPr>
        <w:t> </w:t>
      </w:r>
      <w:r>
        <w:rPr/>
        <w:t>significant</w:t>
      </w:r>
      <w:r>
        <w:rPr>
          <w:spacing w:val="-4"/>
        </w:rPr>
        <w:t> </w:t>
      </w:r>
      <w:r>
        <w:rPr/>
        <w:t>variables</w:t>
      </w:r>
      <w:r>
        <w:rPr>
          <w:spacing w:val="-6"/>
        </w:rPr>
        <w:t> </w:t>
      </w:r>
      <w:r>
        <w:rPr/>
        <w:t>cannot</w:t>
      </w:r>
      <w:r>
        <w:rPr>
          <w:spacing w:val="58"/>
        </w:rPr>
        <w:t> </w:t>
      </w:r>
      <w:r>
        <w:rPr/>
        <w:t>remain</w:t>
      </w:r>
      <w:r>
        <w:rPr>
          <w:spacing w:val="-3"/>
        </w:rPr>
        <w:t> </w:t>
      </w:r>
      <w:r>
        <w:rPr/>
        <w:t>constant.”</w:t>
      </w:r>
      <w:r>
        <w:rPr>
          <w:spacing w:val="-7"/>
        </w:rPr>
        <w:t> </w:t>
      </w:r>
      <w:r>
        <w:rPr/>
        <w:t>(</w:t>
      </w:r>
      <w:hyperlink w:history="true" w:anchor="_bookmark110">
        <w:r>
          <w:rPr/>
          <w:t>1953,</w:t>
        </w:r>
        <w:r>
          <w:rPr>
            <w:spacing w:val="-3"/>
          </w:rPr>
          <w:t> </w:t>
        </w:r>
        <w:r>
          <w:rPr/>
          <w:t>p.</w:t>
        </w:r>
        <w:r>
          <w:rPr>
            <w:spacing w:val="-7"/>
          </w:rPr>
          <w:t> </w:t>
        </w:r>
        <w:r>
          <w:rPr/>
          <w:t>335</w:t>
        </w:r>
      </w:hyperlink>
      <w:r>
        <w:rPr/>
        <w:t>)</w:t>
      </w:r>
      <w:r>
        <w:rPr>
          <w:spacing w:val="-3"/>
        </w:rPr>
        <w:t> </w:t>
      </w:r>
      <w:r>
        <w:rPr/>
        <w:t>In</w:t>
      </w:r>
      <w:r>
        <w:rPr>
          <w:spacing w:val="-7"/>
        </w:rPr>
        <w:t> </w:t>
      </w:r>
      <w:r>
        <w:rPr/>
        <w:t>a</w:t>
      </w:r>
      <w:r>
        <w:rPr>
          <w:spacing w:val="-4"/>
        </w:rPr>
        <w:t> </w:t>
      </w:r>
      <w:r>
        <w:rPr>
          <w:spacing w:val="-2"/>
        </w:rPr>
        <w:t>broader</w:t>
      </w:r>
    </w:p>
    <w:p>
      <w:pPr>
        <w:pStyle w:val="BodyText"/>
        <w:spacing w:after="0" w:line="273" w:lineRule="auto"/>
        <w:sectPr>
          <w:pgSz w:w="12240" w:h="15840"/>
          <w:pgMar w:header="1046" w:footer="0" w:top="1360" w:bottom="280" w:left="720" w:right="360"/>
        </w:sectPr>
      </w:pPr>
    </w:p>
    <w:p>
      <w:pPr>
        <w:pStyle w:val="BodyText"/>
        <w:spacing w:line="276" w:lineRule="auto" w:before="276"/>
        <w:ind w:right="1903"/>
      </w:pPr>
      <w:r>
        <w:rPr/>
        <w:t>sense “When the system is importing more than it is exporting, it is termed negative entropy, or negentropy, a state of system growth.” (</w:t>
      </w:r>
      <w:hyperlink w:history="true" w:anchor="_bookmark188">
        <w:r>
          <w:rPr/>
          <w:t>Friedman &amp;</w:t>
        </w:r>
      </w:hyperlink>
      <w:r>
        <w:rPr/>
        <w:t> </w:t>
      </w:r>
      <w:hyperlink w:history="true" w:anchor="_bookmark188">
        <w:r>
          <w:rPr/>
          <w:t>Allen, 2014, p. 4</w:t>
        </w:r>
      </w:hyperlink>
      <w:r>
        <w:rPr/>
        <w:t>) The structural changes of the system is limited, both negative and positive growth stop and change direction if they threaten the nucleus (organization).</w:t>
      </w:r>
    </w:p>
    <w:p>
      <w:pPr>
        <w:pStyle w:val="BodyText"/>
        <w:ind w:left="0"/>
        <w:jc w:val="left"/>
      </w:pPr>
    </w:p>
    <w:p>
      <w:pPr>
        <w:pStyle w:val="BodyText"/>
        <w:spacing w:before="340"/>
        <w:ind w:left="0"/>
        <w:jc w:val="left"/>
      </w:pPr>
    </w:p>
    <w:p>
      <w:pPr>
        <w:pStyle w:val="Heading4"/>
        <w:numPr>
          <w:ilvl w:val="1"/>
          <w:numId w:val="10"/>
        </w:numPr>
        <w:tabs>
          <w:tab w:pos="1581" w:val="left" w:leader="none"/>
        </w:tabs>
        <w:spacing w:line="240" w:lineRule="auto" w:before="0" w:after="0"/>
        <w:ind w:left="1581" w:right="0" w:hanging="602"/>
        <w:jc w:val="left"/>
      </w:pPr>
      <w:bookmarkStart w:name="_bookmark28" w:id="29"/>
      <w:bookmarkEnd w:id="29"/>
      <w:r>
        <w:rPr>
          <w:b w:val="0"/>
        </w:rPr>
      </w:r>
      <w:r>
        <w:rPr>
          <w:spacing w:val="-7"/>
        </w:rPr>
        <w:t>System </w:t>
      </w:r>
      <w:r>
        <w:rPr>
          <w:spacing w:val="-2"/>
        </w:rPr>
        <w:t>Behaviour</w:t>
      </w:r>
    </w:p>
    <w:p>
      <w:pPr>
        <w:pStyle w:val="BodyText"/>
        <w:spacing w:before="195"/>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38016">
                <wp:simplePos x="0" y="0"/>
                <wp:positionH relativeFrom="page">
                  <wp:posOffset>1078864</wp:posOffset>
                </wp:positionH>
                <wp:positionV relativeFrom="paragraph">
                  <wp:posOffset>283979</wp:posOffset>
                </wp:positionV>
                <wp:extent cx="5252085" cy="51435"/>
                <wp:effectExtent l="0" t="0" r="0" b="0"/>
                <wp:wrapTopAndBottom/>
                <wp:docPr id="116" name="Graphic 116"/>
                <wp:cNvGraphicFramePr>
                  <a:graphicFrameLocks/>
                </wp:cNvGraphicFramePr>
                <a:graphic>
                  <a:graphicData uri="http://schemas.microsoft.com/office/word/2010/wordprocessingShape">
                    <wps:wsp>
                      <wps:cNvPr id="116" name="Graphic 116"/>
                      <wps:cNvSpPr/>
                      <wps:spPr>
                        <a:xfrm>
                          <a:off x="0" y="0"/>
                          <a:ext cx="5252085" cy="51435"/>
                        </a:xfrm>
                        <a:custGeom>
                          <a:avLst/>
                          <a:gdLst/>
                          <a:ahLst/>
                          <a:cxnLst/>
                          <a:rect l="l" t="t" r="r" b="b"/>
                          <a:pathLst>
                            <a:path w="5252085" h="51435">
                              <a:moveTo>
                                <a:pt x="5252085" y="0"/>
                              </a:moveTo>
                              <a:lnTo>
                                <a:pt x="0" y="0"/>
                              </a:lnTo>
                              <a:lnTo>
                                <a:pt x="0" y="51434"/>
                              </a:lnTo>
                              <a:lnTo>
                                <a:pt x="5252085" y="51434"/>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360611pt;width:413.55pt;height:4.05pt;mso-position-horizontal-relative:page;mso-position-vertical-relative:paragraph;z-index:-15678464;mso-wrap-distance-left:0;mso-wrap-distance-right:0" id="docshape110"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ind w:left="0"/>
        <w:jc w:val="left"/>
        <w:rPr>
          <w:rFonts w:ascii="Georgia"/>
          <w:b/>
        </w:rPr>
      </w:pPr>
    </w:p>
    <w:p>
      <w:pPr>
        <w:pStyle w:val="BodyText"/>
        <w:spacing w:before="94"/>
        <w:ind w:left="0"/>
        <w:jc w:val="left"/>
        <w:rPr>
          <w:rFonts w:ascii="Georgia"/>
          <w:b/>
        </w:rPr>
      </w:pPr>
    </w:p>
    <w:p>
      <w:pPr>
        <w:pStyle w:val="BodyText"/>
        <w:spacing w:line="271" w:lineRule="auto"/>
        <w:ind w:right="1901" w:firstLine="720"/>
      </w:pPr>
      <w:r>
        <w:rPr>
          <w:sz w:val="27"/>
        </w:rPr>
        <w:t>Mihajlo D. Mesarovic </w:t>
      </w:r>
      <w:r>
        <w:rPr/>
        <w:t>argues that the open system changes its </w:t>
      </w:r>
      <w:r>
        <w:rPr>
          <w:sz w:val="27"/>
        </w:rPr>
        <w:t>behaviour </w:t>
      </w:r>
      <w:r>
        <w:rPr/>
        <w:t>in response to the outer impulses. (</w:t>
      </w:r>
      <w:hyperlink w:history="true" w:anchor="_bookmark293">
        <w:r>
          <w:rPr/>
          <w:t>Mesarovic</w:t>
        </w:r>
        <w:r>
          <w:rPr>
            <w:rFonts w:ascii="Times New Roman" w:hAnsi="Times New Roman"/>
          </w:rPr>
          <w:t>́</w:t>
        </w:r>
        <w:r>
          <w:rPr/>
          <w:t>, 1964, p. 9</w:t>
        </w:r>
      </w:hyperlink>
      <w:r>
        <w:rPr/>
        <w:t>) “behaviour is a system change which initiates other events.” (</w:t>
      </w:r>
      <w:hyperlink w:history="true" w:anchor="_bookmark65">
        <w:r>
          <w:rPr/>
          <w:t>Ackoff, 1971,</w:t>
        </w:r>
      </w:hyperlink>
      <w:r>
        <w:rPr/>
        <w:t> </w:t>
      </w:r>
      <w:hyperlink w:history="true" w:anchor="_bookmark65">
        <w:r>
          <w:rPr/>
          <w:t>p. 664</w:t>
        </w:r>
      </w:hyperlink>
      <w:r>
        <w:rPr/>
        <w:t>) The </w:t>
      </w:r>
      <w:r>
        <w:rPr>
          <w:sz w:val="27"/>
        </w:rPr>
        <w:t>events </w:t>
      </w:r>
      <w:r>
        <w:rPr/>
        <w:t>held within a system should always lead to system- desired consequences.</w:t>
      </w:r>
    </w:p>
    <w:p>
      <w:pPr>
        <w:pStyle w:val="BodyText"/>
        <w:spacing w:line="276" w:lineRule="auto" w:before="4"/>
        <w:ind w:right="1916" w:firstLine="720"/>
      </w:pPr>
      <w:r>
        <w:rPr/>
        <w:t>In the autopoietic system behavioral changes might occure only in the structure of the system, because self-referential operations in organization are closed for the exchanges with the environment.</w:t>
      </w:r>
    </w:p>
    <w:p>
      <w:pPr>
        <w:pStyle w:val="BodyText"/>
        <w:spacing w:line="273" w:lineRule="auto"/>
        <w:ind w:right="1903" w:firstLine="720"/>
      </w:pPr>
      <w:r>
        <w:rPr>
          <w:sz w:val="27"/>
        </w:rPr>
        <w:t>Russel J. Ackoff</w:t>
      </w:r>
      <w:r>
        <w:rPr>
          <w:spacing w:val="40"/>
          <w:sz w:val="27"/>
        </w:rPr>
        <w:t> </w:t>
      </w:r>
      <w:r>
        <w:rPr/>
        <w:t>presented a useful behavior-based classification of systems.</w:t>
      </w:r>
      <w:r>
        <w:rPr>
          <w:spacing w:val="18"/>
        </w:rPr>
        <w:t> </w:t>
      </w:r>
      <w:r>
        <w:rPr/>
        <w:t>Systems</w:t>
      </w:r>
      <w:r>
        <w:rPr>
          <w:spacing w:val="14"/>
        </w:rPr>
        <w:t> </w:t>
      </w:r>
      <w:r>
        <w:rPr/>
        <w:t>can</w:t>
      </w:r>
      <w:r>
        <w:rPr>
          <w:spacing w:val="17"/>
        </w:rPr>
        <w:t> </w:t>
      </w:r>
      <w:r>
        <w:rPr/>
        <w:t>be</w:t>
      </w:r>
      <w:r>
        <w:rPr>
          <w:spacing w:val="16"/>
        </w:rPr>
        <w:t> </w:t>
      </w:r>
      <w:r>
        <w:rPr/>
        <w:t>classified</w:t>
      </w:r>
      <w:r>
        <w:rPr>
          <w:spacing w:val="23"/>
        </w:rPr>
        <w:t> </w:t>
      </w:r>
      <w:r>
        <w:rPr/>
        <w:t>as:</w:t>
      </w:r>
      <w:r>
        <w:rPr>
          <w:spacing w:val="18"/>
        </w:rPr>
        <w:t> </w:t>
      </w:r>
      <w:r>
        <w:rPr/>
        <w:t>a)</w:t>
      </w:r>
      <w:r>
        <w:rPr>
          <w:spacing w:val="17"/>
        </w:rPr>
        <w:t> </w:t>
      </w:r>
      <w:r>
        <w:rPr/>
        <w:t>state</w:t>
      </w:r>
      <w:r>
        <w:rPr>
          <w:spacing w:val="16"/>
        </w:rPr>
        <w:t> </w:t>
      </w:r>
      <w:r>
        <w:rPr/>
        <w:t>maintaining,</w:t>
      </w:r>
      <w:r>
        <w:rPr>
          <w:spacing w:val="18"/>
        </w:rPr>
        <w:t> </w:t>
      </w:r>
      <w:r>
        <w:rPr/>
        <w:t>b)</w:t>
      </w:r>
      <w:r>
        <w:rPr>
          <w:spacing w:val="18"/>
        </w:rPr>
        <w:t> </w:t>
      </w:r>
      <w:r>
        <w:rPr/>
        <w:t>goal-</w:t>
      </w:r>
      <w:r>
        <w:rPr>
          <w:spacing w:val="-2"/>
        </w:rPr>
        <w:t>seeking,</w:t>
      </w:r>
    </w:p>
    <w:p>
      <w:pPr>
        <w:pStyle w:val="BodyText"/>
      </w:pPr>
      <w:r>
        <w:rPr/>
        <w:t>c)</w:t>
      </w:r>
      <w:r>
        <w:rPr>
          <w:spacing w:val="-11"/>
        </w:rPr>
        <w:t> </w:t>
      </w:r>
      <w:r>
        <w:rPr/>
        <w:t>multi-goal-seeking</w:t>
      </w:r>
      <w:r>
        <w:rPr>
          <w:spacing w:val="-10"/>
        </w:rPr>
        <w:t> </w:t>
      </w:r>
      <w:r>
        <w:rPr/>
        <w:t>and</w:t>
      </w:r>
      <w:r>
        <w:rPr>
          <w:spacing w:val="-9"/>
        </w:rPr>
        <w:t> </w:t>
      </w:r>
      <w:r>
        <w:rPr/>
        <w:t>purposive,</w:t>
      </w:r>
      <w:r>
        <w:rPr>
          <w:spacing w:val="-9"/>
        </w:rPr>
        <w:t> </w:t>
      </w:r>
      <w:r>
        <w:rPr/>
        <w:t>d)</w:t>
      </w:r>
      <w:r>
        <w:rPr>
          <w:spacing w:val="-9"/>
        </w:rPr>
        <w:t> </w:t>
      </w:r>
      <w:r>
        <w:rPr>
          <w:spacing w:val="-2"/>
        </w:rPr>
        <w:t>purposeful.</w:t>
      </w:r>
    </w:p>
    <w:p>
      <w:pPr>
        <w:pStyle w:val="BodyText"/>
        <w:spacing w:line="273" w:lineRule="auto" w:before="33"/>
        <w:ind w:right="1912" w:firstLine="720"/>
      </w:pPr>
      <w:r>
        <w:rPr/>
        <w:t>The actions of the </w:t>
      </w:r>
      <w:r>
        <w:rPr>
          <w:sz w:val="27"/>
        </w:rPr>
        <w:t>state maintaining system </w:t>
      </w:r>
      <w:r>
        <w:rPr/>
        <w:t>are fully governed by external and internal events. The system can adjust to the new challenges, but cannot learn from the past experiences. The function of the entity is to maintain a current state. State maintaining systems are </w:t>
      </w:r>
      <w:r>
        <w:rPr>
          <w:sz w:val="27"/>
        </w:rPr>
        <w:t>reactive </w:t>
      </w:r>
      <w:r>
        <w:rPr/>
        <w:t>systems, where, “a reaction is a system behavior for which an event in the environment is both necessary and sufficient.” (</w:t>
      </w:r>
      <w:hyperlink w:history="true" w:anchor="_bookmark194">
        <w:r>
          <w:rPr/>
          <w:t>Gharajedaghi, 2011, p. 36</w:t>
        </w:r>
      </w:hyperlink>
      <w:r>
        <w:rPr/>
        <w:t>)</w:t>
      </w:r>
    </w:p>
    <w:p>
      <w:pPr>
        <w:pStyle w:val="BodyText"/>
        <w:spacing w:line="266" w:lineRule="auto"/>
        <w:ind w:right="1906" w:firstLine="720"/>
        <w:rPr>
          <w:sz w:val="27"/>
        </w:rPr>
      </w:pPr>
      <w:r>
        <w:rPr>
          <w:sz w:val="27"/>
        </w:rPr>
        <w:t>Goal-seeking</w:t>
      </w:r>
      <w:r>
        <w:rPr>
          <w:spacing w:val="-3"/>
          <w:sz w:val="27"/>
        </w:rPr>
        <w:t> </w:t>
      </w:r>
      <w:r>
        <w:rPr/>
        <w:t>system</w:t>
      </w:r>
      <w:r>
        <w:rPr>
          <w:spacing w:val="-4"/>
        </w:rPr>
        <w:t> </w:t>
      </w:r>
      <w:r>
        <w:rPr/>
        <w:t>tries</w:t>
      </w:r>
      <w:r>
        <w:rPr>
          <w:spacing w:val="-4"/>
        </w:rPr>
        <w:t> </w:t>
      </w:r>
      <w:r>
        <w:rPr/>
        <w:t>to</w:t>
      </w:r>
      <w:r>
        <w:rPr>
          <w:spacing w:val="-5"/>
        </w:rPr>
        <w:t> </w:t>
      </w:r>
      <w:r>
        <w:rPr/>
        <w:t>accomplish</w:t>
      </w:r>
      <w:r>
        <w:rPr>
          <w:spacing w:val="-2"/>
        </w:rPr>
        <w:t> </w:t>
      </w:r>
      <w:r>
        <w:rPr/>
        <w:t>a</w:t>
      </w:r>
      <w:r>
        <w:rPr>
          <w:spacing w:val="-2"/>
        </w:rPr>
        <w:t> </w:t>
      </w:r>
      <w:r>
        <w:rPr/>
        <w:t>predefined</w:t>
      </w:r>
      <w:r>
        <w:rPr>
          <w:spacing w:val="-1"/>
        </w:rPr>
        <w:t> </w:t>
      </w:r>
      <w:r>
        <w:rPr/>
        <w:t>goal,</w:t>
      </w:r>
      <w:r>
        <w:rPr>
          <w:spacing w:val="-1"/>
        </w:rPr>
        <w:t> </w:t>
      </w:r>
      <w:r>
        <w:rPr/>
        <w:t>due</w:t>
      </w:r>
      <w:r>
        <w:rPr>
          <w:spacing w:val="-2"/>
        </w:rPr>
        <w:t> </w:t>
      </w:r>
      <w:r>
        <w:rPr/>
        <w:t>to</w:t>
      </w:r>
      <w:r>
        <w:rPr>
          <w:spacing w:val="-5"/>
        </w:rPr>
        <w:t> </w:t>
      </w:r>
      <w:r>
        <w:rPr/>
        <w:t>the learning</w:t>
      </w:r>
      <w:r>
        <w:rPr>
          <w:spacing w:val="41"/>
        </w:rPr>
        <w:t> </w:t>
      </w:r>
      <w:r>
        <w:rPr/>
        <w:t>capabilities,</w:t>
      </w:r>
      <w:r>
        <w:rPr>
          <w:spacing w:val="42"/>
        </w:rPr>
        <w:t> </w:t>
      </w:r>
      <w:r>
        <w:rPr/>
        <w:t>it</w:t>
      </w:r>
      <w:r>
        <w:rPr>
          <w:spacing w:val="42"/>
        </w:rPr>
        <w:t> </w:t>
      </w:r>
      <w:r>
        <w:rPr/>
        <w:t>can</w:t>
      </w:r>
      <w:r>
        <w:rPr>
          <w:spacing w:val="42"/>
        </w:rPr>
        <w:t> </w:t>
      </w:r>
      <w:r>
        <w:rPr/>
        <w:t>chose</w:t>
      </w:r>
      <w:r>
        <w:rPr>
          <w:spacing w:val="41"/>
        </w:rPr>
        <w:t> </w:t>
      </w:r>
      <w:r>
        <w:rPr/>
        <w:t>and</w:t>
      </w:r>
      <w:r>
        <w:rPr>
          <w:spacing w:val="39"/>
        </w:rPr>
        <w:t> </w:t>
      </w:r>
      <w:r>
        <w:rPr/>
        <w:t>improve</w:t>
      </w:r>
      <w:r>
        <w:rPr>
          <w:spacing w:val="41"/>
        </w:rPr>
        <w:t> </w:t>
      </w:r>
      <w:r>
        <w:rPr/>
        <w:t>behaviour.</w:t>
      </w:r>
      <w:r>
        <w:rPr>
          <w:spacing w:val="43"/>
        </w:rPr>
        <w:t> </w:t>
      </w:r>
      <w:r>
        <w:rPr/>
        <w:t>A</w:t>
      </w:r>
      <w:r>
        <w:rPr>
          <w:spacing w:val="48"/>
        </w:rPr>
        <w:t> </w:t>
      </w:r>
      <w:r>
        <w:rPr>
          <w:sz w:val="27"/>
        </w:rPr>
        <w:t>multi-</w:t>
      </w:r>
      <w:r>
        <w:rPr>
          <w:spacing w:val="-2"/>
          <w:sz w:val="27"/>
        </w:rPr>
        <w:t>goal-</w:t>
      </w:r>
    </w:p>
    <w:p>
      <w:pPr>
        <w:pStyle w:val="BodyText"/>
        <w:spacing w:after="0" w:line="266" w:lineRule="auto"/>
        <w:rPr>
          <w:sz w:val="27"/>
        </w:rPr>
        <w:sectPr>
          <w:pgSz w:w="12240" w:h="15840"/>
          <w:pgMar w:header="1046" w:footer="0" w:top="1360" w:bottom="280" w:left="720" w:right="360"/>
        </w:sectPr>
      </w:pPr>
    </w:p>
    <w:p>
      <w:pPr>
        <w:pStyle w:val="BodyText"/>
        <w:spacing w:line="273" w:lineRule="auto" w:before="266"/>
        <w:ind w:right="1905"/>
      </w:pPr>
      <w:r>
        <w:rPr>
          <w:sz w:val="27"/>
        </w:rPr>
        <w:t>seeking </w:t>
      </w:r>
      <w:r>
        <w:rPr/>
        <w:t>system seeks goals in at least two different states. The goal is defined</w:t>
      </w:r>
      <w:r>
        <w:rPr>
          <w:spacing w:val="-2"/>
        </w:rPr>
        <w:t> </w:t>
      </w:r>
      <w:r>
        <w:rPr/>
        <w:t>by</w:t>
      </w:r>
      <w:r>
        <w:rPr>
          <w:spacing w:val="-4"/>
        </w:rPr>
        <w:t> </w:t>
      </w:r>
      <w:r>
        <w:rPr/>
        <w:t>the</w:t>
      </w:r>
      <w:r>
        <w:rPr>
          <w:spacing w:val="-7"/>
        </w:rPr>
        <w:t> </w:t>
      </w:r>
      <w:r>
        <w:rPr/>
        <w:t>initial</w:t>
      </w:r>
      <w:r>
        <w:rPr>
          <w:spacing w:val="-5"/>
        </w:rPr>
        <w:t> </w:t>
      </w:r>
      <w:r>
        <w:rPr/>
        <w:t>state.</w:t>
      </w:r>
      <w:r>
        <w:rPr>
          <w:spacing w:val="-2"/>
        </w:rPr>
        <w:t> </w:t>
      </w:r>
      <w:r>
        <w:rPr/>
        <w:t>Goal-seeking</w:t>
      </w:r>
      <w:r>
        <w:rPr>
          <w:spacing w:val="-3"/>
        </w:rPr>
        <w:t> </w:t>
      </w:r>
      <w:r>
        <w:rPr/>
        <w:t>systems</w:t>
      </w:r>
      <w:r>
        <w:rPr>
          <w:spacing w:val="-5"/>
        </w:rPr>
        <w:t> </w:t>
      </w:r>
      <w:r>
        <w:rPr/>
        <w:t>are </w:t>
      </w:r>
      <w:r>
        <w:rPr>
          <w:sz w:val="27"/>
        </w:rPr>
        <w:t>responsive</w:t>
      </w:r>
      <w:r>
        <w:rPr>
          <w:spacing w:val="-3"/>
          <w:sz w:val="27"/>
        </w:rPr>
        <w:t> </w:t>
      </w:r>
      <w:r>
        <w:rPr/>
        <w:t>systems,</w:t>
      </w:r>
      <w:r>
        <w:rPr>
          <w:spacing w:val="-2"/>
        </w:rPr>
        <w:t> </w:t>
      </w:r>
      <w:r>
        <w:rPr/>
        <w:t>“A response is a system behavior for which an event in the environment is necessary but not sufficient. Thus a response is an event of which the</w:t>
      </w:r>
      <w:r>
        <w:rPr>
          <w:spacing w:val="40"/>
        </w:rPr>
        <w:t> </w:t>
      </w:r>
      <w:r>
        <w:rPr/>
        <w:t>system itself is a coproducer.” (</w:t>
      </w:r>
      <w:hyperlink w:history="true" w:anchor="_bookmark194">
        <w:r>
          <w:rPr/>
          <w:t>Gharajedaghi, 2011, p. 36</w:t>
        </w:r>
      </w:hyperlink>
      <w:r>
        <w:rPr/>
        <w:t>)</w:t>
      </w:r>
    </w:p>
    <w:p>
      <w:pPr>
        <w:pStyle w:val="BodyText"/>
        <w:spacing w:line="276" w:lineRule="auto"/>
        <w:ind w:right="1908" w:firstLine="720"/>
      </w:pPr>
      <w:r>
        <w:rPr>
          <w:sz w:val="27"/>
        </w:rPr>
        <w:t>Purposive </w:t>
      </w:r>
      <w:r>
        <w:rPr/>
        <w:t>system is a </w:t>
      </w:r>
      <w:r>
        <w:rPr>
          <w:sz w:val="27"/>
        </w:rPr>
        <w:t>multi-goal-seeking </w:t>
      </w:r>
      <w:r>
        <w:rPr/>
        <w:t>system “the different goals of which have a common property.” (</w:t>
      </w:r>
      <w:hyperlink w:history="true" w:anchor="_bookmark65">
        <w:r>
          <w:rPr/>
          <w:t>Ackoff, 1971, p. 666</w:t>
        </w:r>
      </w:hyperlink>
      <w:r>
        <w:rPr/>
        <w:t>) The system has to produce the common property. “The goal is determined by the initiating event.” (</w:t>
      </w:r>
      <w:hyperlink w:history="true" w:anchor="_bookmark65">
        <w:r>
          <w:rPr/>
          <w:t>Ackoff, 1971</w:t>
        </w:r>
      </w:hyperlink>
      <w:r>
        <w:rPr/>
        <w:t>) e.g:</w:t>
      </w:r>
    </w:p>
    <w:p>
      <w:pPr>
        <w:pStyle w:val="BodyText"/>
        <w:spacing w:before="33"/>
        <w:ind w:left="0"/>
        <w:jc w:val="left"/>
      </w:pPr>
    </w:p>
    <w:p>
      <w:pPr>
        <w:pStyle w:val="BodyText"/>
        <w:spacing w:line="276" w:lineRule="auto"/>
        <w:ind w:left="2420" w:right="1908"/>
      </w:pPr>
      <w:r>
        <w:rPr/>
        <mc:AlternateContent>
          <mc:Choice Requires="wps">
            <w:drawing>
              <wp:anchor distT="0" distB="0" distL="0" distR="0" allowOverlap="1" layoutInCell="1" locked="0" behindDoc="0" simplePos="0" relativeHeight="15779328">
                <wp:simplePos x="0" y="0"/>
                <wp:positionH relativeFrom="page">
                  <wp:posOffset>1923923</wp:posOffset>
                </wp:positionH>
                <wp:positionV relativeFrom="paragraph">
                  <wp:posOffset>-1306</wp:posOffset>
                </wp:positionV>
                <wp:extent cx="1270" cy="1500505"/>
                <wp:effectExtent l="0" t="0" r="0" b="0"/>
                <wp:wrapNone/>
                <wp:docPr id="117" name="Graphic 117"/>
                <wp:cNvGraphicFramePr>
                  <a:graphicFrameLocks/>
                </wp:cNvGraphicFramePr>
                <a:graphic>
                  <a:graphicData uri="http://schemas.microsoft.com/office/word/2010/wordprocessingShape">
                    <wps:wsp>
                      <wps:cNvPr id="117" name="Graphic 117"/>
                      <wps:cNvSpPr/>
                      <wps:spPr>
                        <a:xfrm>
                          <a:off x="0" y="0"/>
                          <a:ext cx="1270" cy="1500505"/>
                        </a:xfrm>
                        <a:custGeom>
                          <a:avLst/>
                          <a:gdLst/>
                          <a:ahLst/>
                          <a:cxnLst/>
                          <a:rect l="l" t="t" r="r" b="b"/>
                          <a:pathLst>
                            <a:path w="0" h="1500505">
                              <a:moveTo>
                                <a:pt x="0" y="0"/>
                              </a:moveTo>
                              <a:lnTo>
                                <a:pt x="0" y="250316"/>
                              </a:lnTo>
                            </a:path>
                            <a:path w="0" h="1500505">
                              <a:moveTo>
                                <a:pt x="0" y="250316"/>
                              </a:moveTo>
                              <a:lnTo>
                                <a:pt x="0" y="500252"/>
                              </a:lnTo>
                            </a:path>
                            <a:path w="0" h="1500505">
                              <a:moveTo>
                                <a:pt x="0" y="500252"/>
                              </a:moveTo>
                              <a:lnTo>
                                <a:pt x="0" y="750188"/>
                              </a:lnTo>
                            </a:path>
                            <a:path w="0" h="1500505">
                              <a:moveTo>
                                <a:pt x="0" y="750188"/>
                              </a:moveTo>
                              <a:lnTo>
                                <a:pt x="0" y="1000124"/>
                              </a:lnTo>
                            </a:path>
                            <a:path w="0" h="1500505">
                              <a:moveTo>
                                <a:pt x="0" y="1000124"/>
                              </a:moveTo>
                              <a:lnTo>
                                <a:pt x="0" y="1250314"/>
                              </a:lnTo>
                            </a:path>
                            <a:path w="0" h="1500505">
                              <a:moveTo>
                                <a:pt x="0" y="1250314"/>
                              </a:moveTo>
                              <a:lnTo>
                                <a:pt x="0" y="1500250"/>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102859pt;width:.1pt;height:118.15pt;mso-position-horizontal-relative:page;mso-position-vertical-relative:paragraph;z-index:15779328" id="docshape111" coordorigin="3030,-2" coordsize="0,2363" path="m3030,-2l3030,392m3030,392l3030,786m3030,786l3030,1179m3030,1179l3030,1573m3030,1573l3030,1967m3030,1967l3030,2361e" filled="false" stroked="true" strokeweight=".48pt" strokecolor="#000000">
                <v:path arrowok="t"/>
                <v:stroke dashstyle="shortdash"/>
                <w10:wrap type="none"/>
              </v:shape>
            </w:pict>
          </mc:Fallback>
        </mc:AlternateContent>
      </w:r>
      <w:r>
        <w:rPr/>
        <w:t>“A computer which is programmed to play more than one game (e.g., tic-tac-toe and checkers) is multi-goal-seeking. What game it plays is not a matter of its choice, however; it is usually determined by an instruction from an external source. Such a system is also purposive because ‘game winning’ is a common property of the different goals which it seeks.”</w:t>
      </w:r>
    </w:p>
    <w:p>
      <w:pPr>
        <w:pStyle w:val="BodyText"/>
        <w:ind w:left="6535"/>
      </w:pPr>
      <w:r>
        <w:rPr/>
        <w:t>(</w:t>
      </w:r>
      <w:hyperlink w:history="true" w:anchor="_bookmark65">
        <w:r>
          <w:rPr/>
          <w:t>Ackoff,</w:t>
        </w:r>
        <w:r>
          <w:rPr>
            <w:spacing w:val="-7"/>
          </w:rPr>
          <w:t> </w:t>
        </w:r>
        <w:r>
          <w:rPr/>
          <w:t>1971,</w:t>
        </w:r>
        <w:r>
          <w:rPr>
            <w:spacing w:val="-6"/>
          </w:rPr>
          <w:t> </w:t>
        </w:r>
        <w:r>
          <w:rPr/>
          <w:t>p.</w:t>
        </w:r>
        <w:r>
          <w:rPr>
            <w:spacing w:val="-6"/>
          </w:rPr>
          <w:t> </w:t>
        </w:r>
        <w:r>
          <w:rPr>
            <w:spacing w:val="-4"/>
          </w:rPr>
          <w:t>666</w:t>
        </w:r>
      </w:hyperlink>
      <w:r>
        <w:rPr>
          <w:spacing w:val="-4"/>
        </w:rPr>
        <w:t>)</w:t>
      </w:r>
    </w:p>
    <w:p>
      <w:pPr>
        <w:pStyle w:val="BodyText"/>
        <w:spacing w:line="271" w:lineRule="auto" w:before="41"/>
        <w:ind w:right="1903" w:firstLine="720"/>
      </w:pPr>
      <w:r>
        <w:rPr>
          <w:sz w:val="27"/>
        </w:rPr>
        <w:t>Purposful</w:t>
      </w:r>
      <w:r>
        <w:rPr>
          <w:spacing w:val="-9"/>
          <w:sz w:val="27"/>
        </w:rPr>
        <w:t> </w:t>
      </w:r>
      <w:r>
        <w:rPr>
          <w:sz w:val="27"/>
        </w:rPr>
        <w:t>system</w:t>
      </w:r>
      <w:r>
        <w:rPr>
          <w:spacing w:val="80"/>
          <w:sz w:val="27"/>
        </w:rPr>
        <w:t> </w:t>
      </w:r>
      <w:r>
        <w:rPr/>
        <w:t>can change goals in different states. Being an </w:t>
      </w:r>
      <w:r>
        <w:rPr>
          <w:sz w:val="27"/>
        </w:rPr>
        <w:t>active system </w:t>
      </w:r>
      <w:r>
        <w:rPr/>
        <w:t>it does not rely on environmental events. Purposful entity displays will and pursues: </w:t>
      </w:r>
      <w:r>
        <w:rPr>
          <w:sz w:val="27"/>
        </w:rPr>
        <w:t>goals </w:t>
      </w:r>
      <w:r>
        <w:rPr/>
        <w:t>– time specified outcomes,</w:t>
      </w:r>
      <w:r>
        <w:rPr>
          <w:spacing w:val="40"/>
        </w:rPr>
        <w:t> </w:t>
      </w:r>
      <w:r>
        <w:rPr/>
        <w:t>the </w:t>
      </w:r>
      <w:r>
        <w:rPr>
          <w:sz w:val="27"/>
        </w:rPr>
        <w:t>objectives </w:t>
      </w:r>
      <w:r>
        <w:rPr/>
        <w:t>– prefered outcomes in undefined time, and an </w:t>
      </w:r>
      <w:r>
        <w:rPr>
          <w:sz w:val="27"/>
        </w:rPr>
        <w:t>ideal </w:t>
      </w:r>
      <w:r>
        <w:rPr/>
        <w:t>– which can be approached without time limits in constant manner. (</w:t>
      </w:r>
      <w:hyperlink w:history="true" w:anchor="_bookmark65">
        <w:r>
          <w:rPr/>
          <w:t>Ackoff, 1971, p. 667</w:t>
        </w:r>
      </w:hyperlink>
      <w:r>
        <w:rPr/>
        <w:t>) Behaviour of the purposful system is equifinal because it reaches the final state “from different initial conditions and in different ways.” (</w:t>
      </w:r>
      <w:hyperlink w:history="true" w:anchor="_bookmark97">
        <w:r>
          <w:rPr/>
          <w:t>Bertalanffy,</w:t>
        </w:r>
      </w:hyperlink>
      <w:r>
        <w:rPr/>
        <w:t> </w:t>
      </w:r>
      <w:hyperlink w:history="true" w:anchor="_bookmark97">
        <w:r>
          <w:rPr/>
          <w:t>1950, p. 25</w:t>
        </w:r>
      </w:hyperlink>
      <w:r>
        <w:rPr/>
        <w:t>)</w:t>
      </w:r>
    </w:p>
    <w:p>
      <w:pPr>
        <w:pStyle w:val="BodyText"/>
        <w:spacing w:line="276" w:lineRule="auto" w:before="10"/>
        <w:ind w:right="1914" w:firstLine="720"/>
      </w:pPr>
      <w:r>
        <w:rPr/>
        <w:t>We have already mentioned that dynamic systems, like social</w:t>
      </w:r>
      <w:r>
        <w:rPr>
          <w:spacing w:val="40"/>
        </w:rPr>
        <w:t> </w:t>
      </w:r>
      <w:r>
        <w:rPr/>
        <w:t>systems are always in the process of growth, undertake structural changes and attain certain goals.</w:t>
      </w:r>
    </w:p>
    <w:p>
      <w:pPr>
        <w:pStyle w:val="BodyText"/>
        <w:spacing w:line="273" w:lineRule="auto"/>
        <w:ind w:right="1902" w:firstLine="720"/>
      </w:pPr>
      <w:r>
        <w:rPr/>
        <w:t>The final state in physical input-output systems is equilibrium.</w:t>
      </w:r>
      <w:r>
        <w:rPr>
          <w:spacing w:val="40"/>
        </w:rPr>
        <w:t> </w:t>
      </w:r>
      <w:r>
        <w:rPr/>
        <w:t>“every system attaining an equilibrium shows, in a certain way “finalistic” behavior,” (</w:t>
      </w:r>
      <w:hyperlink w:history="true" w:anchor="_bookmark98">
        <w:r>
          <w:rPr/>
          <w:t>Bertalanffy, 1969, p. 131</w:t>
        </w:r>
      </w:hyperlink>
      <w:r>
        <w:rPr/>
        <w:t>)</w:t>
      </w:r>
      <w:r>
        <w:rPr>
          <w:spacing w:val="40"/>
        </w:rPr>
        <w:t> </w:t>
      </w:r>
      <w:r>
        <w:rPr>
          <w:sz w:val="27"/>
        </w:rPr>
        <w:t>Finality </w:t>
      </w:r>
      <w:r>
        <w:rPr/>
        <w:t>as </w:t>
      </w:r>
      <w:r>
        <w:rPr>
          <w:sz w:val="27"/>
        </w:rPr>
        <w:t>von Bertalanffy </w:t>
      </w:r>
      <w:r>
        <w:rPr/>
        <w:t>observed can</w:t>
      </w:r>
      <w:r>
        <w:rPr>
          <w:spacing w:val="74"/>
          <w:w w:val="150"/>
        </w:rPr>
        <w:t> </w:t>
      </w:r>
      <w:r>
        <w:rPr/>
        <w:t>be</w:t>
      </w:r>
      <w:r>
        <w:rPr>
          <w:spacing w:val="74"/>
          <w:w w:val="150"/>
        </w:rPr>
        <w:t> </w:t>
      </w:r>
      <w:r>
        <w:rPr/>
        <w:t>“spoken</w:t>
      </w:r>
      <w:r>
        <w:rPr>
          <w:spacing w:val="74"/>
          <w:w w:val="150"/>
        </w:rPr>
        <w:t> </w:t>
      </w:r>
      <w:r>
        <w:rPr/>
        <w:t>of</w:t>
      </w:r>
      <w:r>
        <w:rPr>
          <w:spacing w:val="72"/>
          <w:w w:val="150"/>
        </w:rPr>
        <w:t> </w:t>
      </w:r>
      <w:r>
        <w:rPr/>
        <w:t>also</w:t>
      </w:r>
      <w:r>
        <w:rPr>
          <w:spacing w:val="75"/>
          <w:w w:val="150"/>
        </w:rPr>
        <w:t> </w:t>
      </w:r>
      <w:r>
        <w:rPr/>
        <w:t>in</w:t>
      </w:r>
      <w:r>
        <w:rPr>
          <w:spacing w:val="75"/>
          <w:w w:val="150"/>
        </w:rPr>
        <w:t> </w:t>
      </w:r>
      <w:r>
        <w:rPr/>
        <w:t>the</w:t>
      </w:r>
      <w:r>
        <w:rPr>
          <w:spacing w:val="73"/>
          <w:w w:val="150"/>
        </w:rPr>
        <w:t> </w:t>
      </w:r>
      <w:r>
        <w:rPr/>
        <w:t>sense</w:t>
      </w:r>
      <w:r>
        <w:rPr>
          <w:spacing w:val="74"/>
          <w:w w:val="150"/>
        </w:rPr>
        <w:t> </w:t>
      </w:r>
      <w:r>
        <w:rPr/>
        <w:t>of</w:t>
      </w:r>
      <w:r>
        <w:rPr>
          <w:spacing w:val="72"/>
          <w:w w:val="150"/>
        </w:rPr>
        <w:t> </w:t>
      </w:r>
      <w:r>
        <w:rPr/>
        <w:t>dependence</w:t>
      </w:r>
      <w:r>
        <w:rPr>
          <w:spacing w:val="73"/>
          <w:w w:val="150"/>
        </w:rPr>
        <w:t> </w:t>
      </w:r>
      <w:r>
        <w:rPr/>
        <w:t>on</w:t>
      </w:r>
      <w:r>
        <w:rPr>
          <w:spacing w:val="75"/>
          <w:w w:val="150"/>
        </w:rPr>
        <w:t> </w:t>
      </w:r>
      <w:r>
        <w:rPr/>
        <w:t>the</w:t>
      </w:r>
      <w:r>
        <w:rPr>
          <w:spacing w:val="73"/>
          <w:w w:val="150"/>
        </w:rPr>
        <w:t> </w:t>
      </w:r>
      <w:r>
        <w:rPr>
          <w:spacing w:val="-2"/>
        </w:rPr>
        <w:t>future.</w:t>
      </w:r>
    </w:p>
    <w:p>
      <w:pPr>
        <w:pStyle w:val="BodyText"/>
        <w:spacing w:after="0" w:line="273" w:lineRule="auto"/>
        <w:sectPr>
          <w:pgSz w:w="12240" w:h="15840"/>
          <w:pgMar w:header="1046" w:footer="0" w:top="1360" w:bottom="280" w:left="720" w:right="360"/>
        </w:sectPr>
      </w:pPr>
    </w:p>
    <w:p>
      <w:pPr>
        <w:pStyle w:val="BodyText"/>
        <w:spacing w:line="276" w:lineRule="auto" w:before="276"/>
        <w:ind w:right="1910"/>
      </w:pPr>
      <w:r>
        <w:rPr/>
        <w:t>(</w:t>
      </w:r>
      <w:hyperlink w:history="true" w:anchor="_bookmark98">
        <w:r>
          <w:rPr/>
          <w:t>Bertalanffy, 1969, p. 76</w:t>
        </w:r>
      </w:hyperlink>
      <w:r>
        <w:rPr/>
        <w:t>) It means that present operations of system depend on systemic conception of the final state. The preferred state can be achieved, but it is not a fact that the system will be able to complete the </w:t>
      </w:r>
      <w:r>
        <w:rPr>
          <w:spacing w:val="-2"/>
        </w:rPr>
        <w:t>attainment.</w:t>
      </w:r>
    </w:p>
    <w:p>
      <w:pPr>
        <w:pStyle w:val="BodyText"/>
        <w:spacing w:line="268" w:lineRule="auto"/>
        <w:ind w:right="1905" w:firstLine="720"/>
      </w:pPr>
      <w:r>
        <w:rPr/>
        <w:t>For purposeful social systems, which operate in the steady state the finality is often associated with the </w:t>
      </w:r>
      <w:r>
        <w:rPr>
          <w:sz w:val="27"/>
        </w:rPr>
        <w:t>ideal </w:t>
      </w:r>
      <w:r>
        <w:rPr/>
        <w:t>they try to achieve.</w:t>
      </w:r>
    </w:p>
    <w:p>
      <w:pPr>
        <w:pStyle w:val="BodyText"/>
        <w:spacing w:line="273" w:lineRule="auto" w:before="6"/>
        <w:ind w:right="1908" w:firstLine="720"/>
      </w:pPr>
      <w:r>
        <w:rPr/>
        <w:t>Organizations which are founded on the basis of pre-defined ideal, include an intrinsic impetus for self-reference and self-organization. They are founded by</w:t>
      </w:r>
      <w:r>
        <w:rPr>
          <w:spacing w:val="-1"/>
        </w:rPr>
        <w:t> </w:t>
      </w:r>
      <w:r>
        <w:rPr/>
        <w:t>the ideal, live with the ideal to</w:t>
      </w:r>
      <w:r>
        <w:rPr>
          <w:spacing w:val="-3"/>
        </w:rPr>
        <w:t> </w:t>
      </w:r>
      <w:r>
        <w:rPr/>
        <w:t>preserve the ideal. </w:t>
      </w:r>
      <w:r>
        <w:rPr>
          <w:sz w:val="27"/>
        </w:rPr>
        <w:t>Abraham Lincoln</w:t>
      </w:r>
      <w:r>
        <w:rPr>
          <w:spacing w:val="-7"/>
          <w:sz w:val="27"/>
        </w:rPr>
        <w:t> </w:t>
      </w:r>
      <w:r>
        <w:rPr/>
        <w:t>concluded</w:t>
      </w:r>
      <w:r>
        <w:rPr>
          <w:spacing w:val="-3"/>
        </w:rPr>
        <w:t> </w:t>
      </w:r>
      <w:r>
        <w:rPr/>
        <w:t>the</w:t>
      </w:r>
      <w:r>
        <w:rPr>
          <w:spacing w:val="-6"/>
        </w:rPr>
        <w:t> </w:t>
      </w:r>
      <w:r>
        <w:rPr/>
        <w:t>famous</w:t>
      </w:r>
      <w:r>
        <w:rPr>
          <w:spacing w:val="-8"/>
        </w:rPr>
        <w:t> </w:t>
      </w:r>
      <w:r>
        <w:rPr/>
        <w:t>Gettysburg</w:t>
      </w:r>
      <w:r>
        <w:rPr>
          <w:spacing w:val="-6"/>
        </w:rPr>
        <w:t> </w:t>
      </w:r>
      <w:r>
        <w:rPr/>
        <w:t>speech</w:t>
      </w:r>
      <w:r>
        <w:rPr>
          <w:spacing w:val="40"/>
        </w:rPr>
        <w:t> </w:t>
      </w:r>
      <w:r>
        <w:rPr/>
        <w:t>with</w:t>
      </w:r>
      <w:r>
        <w:rPr>
          <w:spacing w:val="-6"/>
        </w:rPr>
        <w:t> </w:t>
      </w:r>
      <w:r>
        <w:rPr/>
        <w:t>words</w:t>
      </w:r>
      <w:r>
        <w:rPr>
          <w:spacing w:val="-8"/>
        </w:rPr>
        <w:t> </w:t>
      </w:r>
      <w:r>
        <w:rPr/>
        <w:t>"Government of the people, by the people, for the people, shall not perish from the</w:t>
      </w:r>
      <w:r>
        <w:rPr>
          <w:spacing w:val="40"/>
        </w:rPr>
        <w:t> </w:t>
      </w:r>
      <w:r>
        <w:rPr/>
        <w:t>Earth." The President addresses the public – people, but in the speech meaning of the people is the ideal of people rather than a collective of persons. People were founders of the US government [purposeful system], which was to serve to the very people and this service have no time limits [shall not perish from the earth] as long as the idea of people prevails.</w:t>
      </w:r>
    </w:p>
    <w:p>
      <w:pPr>
        <w:pStyle w:val="BodyText"/>
        <w:spacing w:line="276" w:lineRule="auto" w:before="4"/>
        <w:ind w:right="1907" w:firstLine="787"/>
        <w:jc w:val="right"/>
      </w:pPr>
      <w:r>
        <w:rPr/>
        <w:t>The ideal dictates daily activities of the entity, however, in the most cases the social system only hypothetically perceives what the finality can really</w:t>
      </w:r>
      <w:r>
        <w:rPr>
          <w:spacing w:val="40"/>
        </w:rPr>
        <w:t> </w:t>
      </w:r>
      <w:r>
        <w:rPr/>
        <w:t>be.</w:t>
      </w:r>
      <w:r>
        <w:rPr>
          <w:spacing w:val="40"/>
        </w:rPr>
        <w:t> </w:t>
      </w:r>
      <w:r>
        <w:rPr/>
        <w:t>For</w:t>
      </w:r>
      <w:r>
        <w:rPr>
          <w:spacing w:val="40"/>
        </w:rPr>
        <w:t> </w:t>
      </w:r>
      <w:r>
        <w:rPr/>
        <w:t>example,</w:t>
      </w:r>
      <w:r>
        <w:rPr>
          <w:spacing w:val="40"/>
        </w:rPr>
        <w:t> </w:t>
      </w:r>
      <w:r>
        <w:rPr/>
        <w:t>newly</w:t>
      </w:r>
      <w:r>
        <w:rPr>
          <w:spacing w:val="40"/>
        </w:rPr>
        <w:t> </w:t>
      </w:r>
      <w:r>
        <w:rPr/>
        <w:t>established</w:t>
      </w:r>
      <w:r>
        <w:rPr>
          <w:spacing w:val="40"/>
        </w:rPr>
        <w:t> </w:t>
      </w:r>
      <w:r>
        <w:rPr/>
        <w:t>states</w:t>
      </w:r>
      <w:r>
        <w:rPr>
          <w:spacing w:val="40"/>
        </w:rPr>
        <w:t> </w:t>
      </w:r>
      <w:r>
        <w:rPr/>
        <w:t>try</w:t>
      </w:r>
      <w:r>
        <w:rPr>
          <w:spacing w:val="40"/>
        </w:rPr>
        <w:t> </w:t>
      </w:r>
      <w:r>
        <w:rPr/>
        <w:t>to</w:t>
      </w:r>
      <w:r>
        <w:rPr>
          <w:spacing w:val="40"/>
        </w:rPr>
        <w:t> </w:t>
      </w:r>
      <w:r>
        <w:rPr/>
        <w:t>consolidate</w:t>
      </w:r>
      <w:r>
        <w:rPr>
          <w:spacing w:val="40"/>
        </w:rPr>
        <w:t> </w:t>
      </w:r>
      <w:r>
        <w:rPr/>
        <w:t>their democracies</w:t>
      </w:r>
      <w:r>
        <w:rPr>
          <w:spacing w:val="-1"/>
        </w:rPr>
        <w:t> </w:t>
      </w:r>
      <w:r>
        <w:rPr/>
        <w:t>and follow the universal</w:t>
      </w:r>
      <w:r>
        <w:rPr>
          <w:spacing w:val="-2"/>
        </w:rPr>
        <w:t> </w:t>
      </w:r>
      <w:r>
        <w:rPr/>
        <w:t>western ideal. However,</w:t>
      </w:r>
      <w:r>
        <w:rPr>
          <w:spacing w:val="-2"/>
        </w:rPr>
        <w:t> </w:t>
      </w:r>
      <w:r>
        <w:rPr/>
        <w:t>for them</w:t>
      </w:r>
      <w:r>
        <w:rPr>
          <w:spacing w:val="-1"/>
        </w:rPr>
        <w:t> </w:t>
      </w:r>
      <w:r>
        <w:rPr/>
        <w:t>it is not coming back from disturbed state, to the preferred state. They move to the</w:t>
      </w:r>
      <w:r>
        <w:rPr>
          <w:spacing w:val="40"/>
        </w:rPr>
        <w:t> </w:t>
      </w:r>
      <w:r>
        <w:rPr/>
        <w:t>finality</w:t>
      </w:r>
      <w:r>
        <w:rPr>
          <w:spacing w:val="40"/>
        </w:rPr>
        <w:t> </w:t>
      </w:r>
      <w:r>
        <w:rPr/>
        <w:t>which</w:t>
      </w:r>
      <w:r>
        <w:rPr>
          <w:spacing w:val="40"/>
        </w:rPr>
        <w:t> </w:t>
      </w:r>
      <w:r>
        <w:rPr/>
        <w:t>is</w:t>
      </w:r>
      <w:r>
        <w:rPr>
          <w:spacing w:val="40"/>
        </w:rPr>
        <w:t> </w:t>
      </w:r>
      <w:r>
        <w:rPr/>
        <w:t>desired,</w:t>
      </w:r>
      <w:r>
        <w:rPr>
          <w:spacing w:val="40"/>
        </w:rPr>
        <w:t> </w:t>
      </w:r>
      <w:r>
        <w:rPr/>
        <w:t>but</w:t>
      </w:r>
      <w:r>
        <w:rPr>
          <w:spacing w:val="40"/>
        </w:rPr>
        <w:t> </w:t>
      </w:r>
      <w:r>
        <w:rPr/>
        <w:t>not</w:t>
      </w:r>
      <w:r>
        <w:rPr>
          <w:spacing w:val="40"/>
        </w:rPr>
        <w:t> </w:t>
      </w:r>
      <w:r>
        <w:rPr/>
        <w:t>experienced</w:t>
      </w:r>
      <w:r>
        <w:rPr>
          <w:spacing w:val="40"/>
        </w:rPr>
        <w:t> </w:t>
      </w:r>
      <w:r>
        <w:rPr/>
        <w:t>before.</w:t>
      </w:r>
      <w:r>
        <w:rPr>
          <w:spacing w:val="40"/>
        </w:rPr>
        <w:t> </w:t>
      </w:r>
      <w:r>
        <w:rPr/>
        <w:t>The</w:t>
      </w:r>
      <w:r>
        <w:rPr>
          <w:spacing w:val="40"/>
        </w:rPr>
        <w:t> </w:t>
      </w:r>
      <w:r>
        <w:rPr/>
        <w:t>states</w:t>
      </w:r>
      <w:r>
        <w:rPr>
          <w:spacing w:val="40"/>
        </w:rPr>
        <w:t> </w:t>
      </w:r>
      <w:r>
        <w:rPr/>
        <w:t>just assume</w:t>
      </w:r>
      <w:r>
        <w:rPr>
          <w:spacing w:val="-1"/>
        </w:rPr>
        <w:t> </w:t>
      </w:r>
      <w:r>
        <w:rPr/>
        <w:t>that</w:t>
      </w:r>
      <w:r>
        <w:rPr>
          <w:spacing w:val="-1"/>
        </w:rPr>
        <w:t> </w:t>
      </w:r>
      <w:r>
        <w:rPr/>
        <w:t>democracy</w:t>
      </w:r>
      <w:r>
        <w:rPr>
          <w:spacing w:val="-1"/>
        </w:rPr>
        <w:t> </w:t>
      </w:r>
      <w:r>
        <w:rPr/>
        <w:t>has</w:t>
      </w:r>
      <w:r>
        <w:rPr>
          <w:spacing w:val="-3"/>
        </w:rPr>
        <w:t> </w:t>
      </w:r>
      <w:r>
        <w:rPr/>
        <w:t>to</w:t>
      </w:r>
      <w:r>
        <w:rPr>
          <w:spacing w:val="-4"/>
        </w:rPr>
        <w:t> </w:t>
      </w:r>
      <w:r>
        <w:rPr/>
        <w:t>be</w:t>
      </w:r>
      <w:r>
        <w:rPr>
          <w:spacing w:val="-1"/>
        </w:rPr>
        <w:t> </w:t>
      </w:r>
      <w:r>
        <w:rPr/>
        <w:t>an outcome of</w:t>
      </w:r>
      <w:r>
        <w:rPr>
          <w:spacing w:val="-2"/>
        </w:rPr>
        <w:t> </w:t>
      </w:r>
      <w:r>
        <w:rPr/>
        <w:t>good political</w:t>
      </w:r>
      <w:r>
        <w:rPr>
          <w:spacing w:val="-4"/>
        </w:rPr>
        <w:t> </w:t>
      </w:r>
      <w:r>
        <w:rPr/>
        <w:t>development. To</w:t>
      </w:r>
      <w:r>
        <w:rPr>
          <w:spacing w:val="80"/>
        </w:rPr>
        <w:t> </w:t>
      </w:r>
      <w:r>
        <w:rPr/>
        <w:t>sum</w:t>
      </w:r>
      <w:r>
        <w:rPr>
          <w:spacing w:val="80"/>
        </w:rPr>
        <w:t> </w:t>
      </w:r>
      <w:r>
        <w:rPr/>
        <w:t>the</w:t>
      </w:r>
      <w:r>
        <w:rPr>
          <w:spacing w:val="80"/>
        </w:rPr>
        <w:t> </w:t>
      </w:r>
      <w:r>
        <w:rPr/>
        <w:t>above</w:t>
      </w:r>
      <w:r>
        <w:rPr>
          <w:spacing w:val="80"/>
        </w:rPr>
        <w:t> </w:t>
      </w:r>
      <w:r>
        <w:rPr/>
        <w:t>presented</w:t>
      </w:r>
      <w:r>
        <w:rPr>
          <w:spacing w:val="80"/>
        </w:rPr>
        <w:t> </w:t>
      </w:r>
      <w:r>
        <w:rPr/>
        <w:t>definitions</w:t>
      </w:r>
      <w:r>
        <w:rPr>
          <w:spacing w:val="80"/>
        </w:rPr>
        <w:t> </w:t>
      </w:r>
      <w:r>
        <w:rPr/>
        <w:t>we</w:t>
      </w:r>
      <w:r>
        <w:rPr>
          <w:spacing w:val="80"/>
        </w:rPr>
        <w:t> </w:t>
      </w:r>
      <w:r>
        <w:rPr/>
        <w:t>can</w:t>
      </w:r>
      <w:r>
        <w:rPr>
          <w:spacing w:val="80"/>
        </w:rPr>
        <w:t> </w:t>
      </w:r>
      <w:r>
        <w:rPr/>
        <w:t>say</w:t>
      </w:r>
      <w:r>
        <w:rPr>
          <w:spacing w:val="80"/>
        </w:rPr>
        <w:t> </w:t>
      </w:r>
      <w:r>
        <w:rPr/>
        <w:t>that</w:t>
      </w:r>
      <w:r>
        <w:rPr>
          <w:spacing w:val="80"/>
        </w:rPr>
        <w:t> </w:t>
      </w:r>
      <w:r>
        <w:rPr/>
        <w:t>social systems</w:t>
      </w:r>
      <w:r>
        <w:rPr>
          <w:spacing w:val="30"/>
        </w:rPr>
        <w:t> </w:t>
      </w:r>
      <w:r>
        <w:rPr/>
        <w:t>are</w:t>
      </w:r>
      <w:r>
        <w:rPr>
          <w:spacing w:val="33"/>
        </w:rPr>
        <w:t> </w:t>
      </w:r>
      <w:r>
        <w:rPr/>
        <w:t>purposeful</w:t>
      </w:r>
      <w:r>
        <w:rPr>
          <w:spacing w:val="30"/>
        </w:rPr>
        <w:t> </w:t>
      </w:r>
      <w:r>
        <w:rPr/>
        <w:t>entities</w:t>
      </w:r>
      <w:r>
        <w:rPr>
          <w:spacing w:val="37"/>
        </w:rPr>
        <w:t> </w:t>
      </w:r>
      <w:r>
        <w:rPr/>
        <w:t>that</w:t>
      </w:r>
      <w:r>
        <w:rPr>
          <w:spacing w:val="34"/>
        </w:rPr>
        <w:t> </w:t>
      </w:r>
      <w:r>
        <w:rPr/>
        <w:t>operate</w:t>
      </w:r>
      <w:r>
        <w:rPr>
          <w:spacing w:val="33"/>
        </w:rPr>
        <w:t> </w:t>
      </w:r>
      <w:r>
        <w:rPr/>
        <w:t>in</w:t>
      </w:r>
      <w:r>
        <w:rPr>
          <w:spacing w:val="36"/>
        </w:rPr>
        <w:t> </w:t>
      </w:r>
      <w:r>
        <w:rPr/>
        <w:t>a</w:t>
      </w:r>
      <w:r>
        <w:rPr>
          <w:spacing w:val="32"/>
        </w:rPr>
        <w:t> </w:t>
      </w:r>
      <w:r>
        <w:rPr/>
        <w:t>steady</w:t>
      </w:r>
      <w:r>
        <w:rPr>
          <w:spacing w:val="32"/>
        </w:rPr>
        <w:t> </w:t>
      </w:r>
      <w:r>
        <w:rPr/>
        <w:t>state.</w:t>
      </w:r>
      <w:r>
        <w:rPr>
          <w:spacing w:val="34"/>
        </w:rPr>
        <w:t> </w:t>
      </w:r>
      <w:r>
        <w:rPr/>
        <w:t>They</w:t>
      </w:r>
      <w:r>
        <w:rPr>
          <w:spacing w:val="32"/>
        </w:rPr>
        <w:t> </w:t>
      </w:r>
      <w:r>
        <w:rPr/>
        <w:t>try</w:t>
      </w:r>
      <w:r>
        <w:rPr>
          <w:spacing w:val="35"/>
        </w:rPr>
        <w:t> </w:t>
      </w:r>
      <w:r>
        <w:rPr/>
        <w:t>to attain the equilibrium, which can be transcribed as preferable</w:t>
      </w:r>
      <w:r>
        <w:rPr>
          <w:spacing w:val="31"/>
        </w:rPr>
        <w:t> </w:t>
      </w:r>
      <w:r>
        <w:rPr/>
        <w:t>ideal-based condition.</w:t>
      </w:r>
      <w:r>
        <w:rPr>
          <w:spacing w:val="15"/>
        </w:rPr>
        <w:t> </w:t>
      </w:r>
      <w:r>
        <w:rPr/>
        <w:t>Day</w:t>
      </w:r>
      <w:r>
        <w:rPr>
          <w:spacing w:val="13"/>
        </w:rPr>
        <w:t> </w:t>
      </w:r>
      <w:r>
        <w:rPr/>
        <w:t>to</w:t>
      </w:r>
      <w:r>
        <w:rPr>
          <w:spacing w:val="12"/>
        </w:rPr>
        <w:t> </w:t>
      </w:r>
      <w:r>
        <w:rPr/>
        <w:t>day</w:t>
      </w:r>
      <w:r>
        <w:rPr>
          <w:spacing w:val="13"/>
        </w:rPr>
        <w:t> </w:t>
      </w:r>
      <w:r>
        <w:rPr/>
        <w:t>actions</w:t>
      </w:r>
      <w:r>
        <w:rPr>
          <w:spacing w:val="12"/>
        </w:rPr>
        <w:t> </w:t>
      </w:r>
      <w:r>
        <w:rPr/>
        <w:t>of</w:t>
      </w:r>
      <w:r>
        <w:rPr>
          <w:spacing w:val="13"/>
        </w:rPr>
        <w:t> </w:t>
      </w:r>
      <w:r>
        <w:rPr/>
        <w:t>the</w:t>
      </w:r>
      <w:r>
        <w:rPr>
          <w:spacing w:val="13"/>
        </w:rPr>
        <w:t> </w:t>
      </w:r>
      <w:r>
        <w:rPr/>
        <w:t>system</w:t>
      </w:r>
      <w:r>
        <w:rPr>
          <w:spacing w:val="16"/>
        </w:rPr>
        <w:t> </w:t>
      </w:r>
      <w:r>
        <w:rPr/>
        <w:t>is</w:t>
      </w:r>
      <w:r>
        <w:rPr>
          <w:spacing w:val="12"/>
        </w:rPr>
        <w:t> </w:t>
      </w:r>
      <w:r>
        <w:rPr/>
        <w:t>determined</w:t>
      </w:r>
      <w:r>
        <w:rPr>
          <w:spacing w:val="15"/>
        </w:rPr>
        <w:t> </w:t>
      </w:r>
      <w:r>
        <w:rPr/>
        <w:t>by</w:t>
      </w:r>
      <w:r>
        <w:rPr>
          <w:spacing w:val="14"/>
        </w:rPr>
        <w:t> </w:t>
      </w:r>
      <w:r>
        <w:rPr/>
        <w:t>the</w:t>
      </w:r>
      <w:r>
        <w:rPr>
          <w:spacing w:val="13"/>
        </w:rPr>
        <w:t> </w:t>
      </w:r>
      <w:r>
        <w:rPr/>
        <w:t>values</w:t>
      </w:r>
      <w:r>
        <w:rPr>
          <w:spacing w:val="12"/>
        </w:rPr>
        <w:t> </w:t>
      </w:r>
      <w:r>
        <w:rPr>
          <w:spacing w:val="-5"/>
        </w:rPr>
        <w:t>of</w:t>
      </w:r>
    </w:p>
    <w:p>
      <w:pPr>
        <w:pStyle w:val="BodyText"/>
        <w:spacing w:before="4"/>
      </w:pPr>
      <w:r>
        <w:rPr/>
        <w:t>that</w:t>
      </w:r>
      <w:r>
        <w:rPr>
          <w:spacing w:val="-4"/>
        </w:rPr>
        <w:t> </w:t>
      </w:r>
      <w:r>
        <w:rPr>
          <w:spacing w:val="-2"/>
        </w:rPr>
        <w:t>ideal.</w:t>
      </w:r>
    </w:p>
    <w:p>
      <w:pPr>
        <w:pStyle w:val="BodyText"/>
        <w:spacing w:after="0"/>
        <w:sectPr>
          <w:pgSz w:w="12240" w:h="15840"/>
          <w:pgMar w:header="1046" w:footer="0" w:top="1360" w:bottom="280" w:left="720" w:right="360"/>
        </w:sectPr>
      </w:pPr>
    </w:p>
    <w:p>
      <w:pPr>
        <w:pStyle w:val="Heading4"/>
        <w:numPr>
          <w:ilvl w:val="1"/>
          <w:numId w:val="10"/>
        </w:numPr>
        <w:tabs>
          <w:tab w:pos="1577" w:val="left" w:leader="none"/>
        </w:tabs>
        <w:spacing w:line="240" w:lineRule="auto" w:before="288" w:after="0"/>
        <w:ind w:left="1577" w:right="0" w:hanging="598"/>
        <w:jc w:val="left"/>
      </w:pPr>
      <w:bookmarkStart w:name="_bookmark29" w:id="30"/>
      <w:bookmarkEnd w:id="30"/>
      <w:r>
        <w:rPr>
          <w:b w:val="0"/>
        </w:rPr>
      </w:r>
      <w:r>
        <w:rPr>
          <w:spacing w:val="-2"/>
        </w:rPr>
        <w:t>Organization</w:t>
      </w:r>
    </w:p>
    <w:p>
      <w:pPr>
        <w:pStyle w:val="BodyText"/>
        <w:spacing w:before="196"/>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39040">
                <wp:simplePos x="0" y="0"/>
                <wp:positionH relativeFrom="page">
                  <wp:posOffset>1078864</wp:posOffset>
                </wp:positionH>
                <wp:positionV relativeFrom="paragraph">
                  <wp:posOffset>284324</wp:posOffset>
                </wp:positionV>
                <wp:extent cx="5252085" cy="52069"/>
                <wp:effectExtent l="0" t="0" r="0" b="0"/>
                <wp:wrapTopAndBottom/>
                <wp:docPr id="118" name="Graphic 118"/>
                <wp:cNvGraphicFramePr>
                  <a:graphicFrameLocks/>
                </wp:cNvGraphicFramePr>
                <a:graphic>
                  <a:graphicData uri="http://schemas.microsoft.com/office/word/2010/wordprocessingShape">
                    <wps:wsp>
                      <wps:cNvPr id="118" name="Graphic 118"/>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387733pt;width:413.55pt;height:4.1pt;mso-position-horizontal-relative:page;mso-position-vertical-relative:paragraph;z-index:-15677440;mso-wrap-distance-left:0;mso-wrap-distance-right:0" id="docshape112"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ind w:left="0"/>
        <w:jc w:val="left"/>
        <w:rPr>
          <w:rFonts w:ascii="Georgia"/>
          <w:b/>
        </w:rPr>
      </w:pPr>
    </w:p>
    <w:p>
      <w:pPr>
        <w:pStyle w:val="BodyText"/>
        <w:spacing w:before="102"/>
        <w:ind w:left="0"/>
        <w:jc w:val="left"/>
        <w:rPr>
          <w:rFonts w:ascii="Georgia"/>
          <w:b/>
        </w:rPr>
      </w:pPr>
    </w:p>
    <w:p>
      <w:pPr>
        <w:pStyle w:val="BodyText"/>
        <w:spacing w:line="276" w:lineRule="auto"/>
        <w:ind w:right="1910" w:firstLine="720"/>
      </w:pPr>
      <w:r>
        <w:rPr/>
        <w:t>Communication is meaningful action. The meaning is acquired in a social context. This setting involves the agents, who are capable to reflect</w:t>
      </w:r>
      <w:r>
        <w:rPr>
          <w:spacing w:val="40"/>
        </w:rPr>
        <w:t> </w:t>
      </w:r>
      <w:r>
        <w:rPr/>
        <w:t>on previous communications and reproduce them according to new situations. Purposeful agents who come together to achieve the goals often benefit from the formalization of the process of communication. The formalization happens when particular types of reproductions are found to be the patterns. In benefit based organizations, like firms and corporations, formalization necessarily includes rigid </w:t>
      </w:r>
      <w:r>
        <w:rPr>
          <w:sz w:val="27"/>
        </w:rPr>
        <w:t>hiérarchisation</w:t>
      </w:r>
      <w:r>
        <w:rPr/>
        <w:t>.</w:t>
      </w:r>
      <w:r>
        <w:rPr>
          <w:spacing w:val="40"/>
        </w:rPr>
        <w:t> </w:t>
      </w:r>
      <w:r>
        <w:rPr/>
        <w:t>To put it simply, rules distinguish those, who hire (principals) and those who are hired (agents).</w:t>
      </w:r>
      <w:r>
        <w:rPr>
          <w:spacing w:val="-3"/>
        </w:rPr>
        <w:t> </w:t>
      </w:r>
      <w:r>
        <w:rPr/>
        <w:t>This</w:t>
      </w:r>
      <w:r>
        <w:rPr>
          <w:spacing w:val="-2"/>
        </w:rPr>
        <w:t> </w:t>
      </w:r>
      <w:r>
        <w:rPr/>
        <w:t>also</w:t>
      </w:r>
      <w:r>
        <w:rPr>
          <w:spacing w:val="-3"/>
        </w:rPr>
        <w:t> </w:t>
      </w:r>
      <w:r>
        <w:rPr/>
        <w:t>presupposes</w:t>
      </w:r>
      <w:r>
        <w:rPr>
          <w:spacing w:val="-2"/>
        </w:rPr>
        <w:t> </w:t>
      </w:r>
      <w:r>
        <w:rPr/>
        <w:t>that later ones</w:t>
      </w:r>
      <w:r>
        <w:rPr>
          <w:spacing w:val="-2"/>
        </w:rPr>
        <w:t> </w:t>
      </w:r>
      <w:r>
        <w:rPr/>
        <w:t>follow formal directives given by the first. This model of hierarchy can explain relationships in simple organizations. However, if we introduce qualitative aspects of hierarchy (authority, influence, legitimacy, power), we</w:t>
      </w:r>
      <w:r>
        <w:rPr>
          <w:spacing w:val="-3"/>
        </w:rPr>
        <w:t> </w:t>
      </w:r>
      <w:r>
        <w:rPr/>
        <w:t>will</w:t>
      </w:r>
      <w:r>
        <w:rPr>
          <w:spacing w:val="-1"/>
        </w:rPr>
        <w:t> </w:t>
      </w:r>
      <w:r>
        <w:rPr/>
        <w:t>necessarily add another,</w:t>
      </w:r>
      <w:r>
        <w:rPr>
          <w:spacing w:val="-2"/>
        </w:rPr>
        <w:t> </w:t>
      </w:r>
      <w:r>
        <w:rPr/>
        <w:t>a constructivist dimension to the problem.</w:t>
      </w:r>
    </w:p>
    <w:p>
      <w:pPr>
        <w:pStyle w:val="BodyText"/>
        <w:spacing w:line="276" w:lineRule="auto"/>
        <w:ind w:right="1902" w:firstLine="720"/>
      </w:pPr>
      <w:r>
        <w:rPr/>
        <w:t>Researches on decision-making in private firms have shown that</w:t>
      </w:r>
      <w:r>
        <w:rPr>
          <w:spacing w:val="40"/>
        </w:rPr>
        <w:t> </w:t>
      </w:r>
      <w:r>
        <w:rPr/>
        <w:t>even</w:t>
      </w:r>
      <w:r>
        <w:rPr>
          <w:spacing w:val="-1"/>
        </w:rPr>
        <w:t> </w:t>
      </w:r>
      <w:r>
        <w:rPr/>
        <w:t>if</w:t>
      </w:r>
      <w:r>
        <w:rPr>
          <w:spacing w:val="-3"/>
        </w:rPr>
        <w:t> </w:t>
      </w:r>
      <w:r>
        <w:rPr/>
        <w:t>a</w:t>
      </w:r>
      <w:r>
        <w:rPr>
          <w:spacing w:val="-2"/>
        </w:rPr>
        <w:t> </w:t>
      </w:r>
      <w:r>
        <w:rPr/>
        <w:t>rigid hierarchical</w:t>
      </w:r>
      <w:r>
        <w:rPr>
          <w:spacing w:val="-5"/>
        </w:rPr>
        <w:t> </w:t>
      </w:r>
      <w:r>
        <w:rPr/>
        <w:t>model</w:t>
      </w:r>
      <w:r>
        <w:rPr>
          <w:spacing w:val="-5"/>
        </w:rPr>
        <w:t> </w:t>
      </w:r>
      <w:r>
        <w:rPr/>
        <w:t>gives</w:t>
      </w:r>
      <w:r>
        <w:rPr>
          <w:spacing w:val="-4"/>
        </w:rPr>
        <w:t> </w:t>
      </w:r>
      <w:r>
        <w:rPr/>
        <w:t>formal</w:t>
      </w:r>
      <w:r>
        <w:rPr>
          <w:spacing w:val="-4"/>
        </w:rPr>
        <w:t> </w:t>
      </w:r>
      <w:r>
        <w:rPr/>
        <w:t>authority</w:t>
      </w:r>
      <w:r>
        <w:rPr>
          <w:spacing w:val="-2"/>
        </w:rPr>
        <w:t> </w:t>
      </w:r>
      <w:r>
        <w:rPr/>
        <w:t>to</w:t>
      </w:r>
      <w:r>
        <w:rPr>
          <w:spacing w:val="-5"/>
        </w:rPr>
        <w:t> </w:t>
      </w:r>
      <w:r>
        <w:rPr/>
        <w:t>the</w:t>
      </w:r>
      <w:r>
        <w:rPr>
          <w:spacing w:val="-2"/>
        </w:rPr>
        <w:t> </w:t>
      </w:r>
      <w:r>
        <w:rPr/>
        <w:t>boss,</w:t>
      </w:r>
      <w:r>
        <w:rPr>
          <w:spacing w:val="-1"/>
        </w:rPr>
        <w:t> </w:t>
      </w:r>
      <w:r>
        <w:rPr/>
        <w:t>in</w:t>
      </w:r>
      <w:r>
        <w:rPr>
          <w:spacing w:val="-1"/>
        </w:rPr>
        <w:t> </w:t>
      </w:r>
      <w:r>
        <w:rPr/>
        <w:t>some cases</w:t>
      </w:r>
      <w:r>
        <w:rPr>
          <w:spacing w:val="-4"/>
        </w:rPr>
        <w:t> </w:t>
      </w:r>
      <w:r>
        <w:rPr/>
        <w:t>subordinates</w:t>
      </w:r>
      <w:r>
        <w:rPr>
          <w:spacing w:val="-4"/>
        </w:rPr>
        <w:t> </w:t>
      </w:r>
      <w:r>
        <w:rPr/>
        <w:t>might</w:t>
      </w:r>
      <w:r>
        <w:rPr>
          <w:spacing w:val="-2"/>
        </w:rPr>
        <w:t> </w:t>
      </w:r>
      <w:r>
        <w:rPr/>
        <w:t>have</w:t>
      </w:r>
      <w:r>
        <w:rPr>
          <w:spacing w:val="-2"/>
        </w:rPr>
        <w:t> </w:t>
      </w:r>
      <w:r>
        <w:rPr/>
        <w:t>a</w:t>
      </w:r>
      <w:r>
        <w:rPr>
          <w:spacing w:val="-2"/>
        </w:rPr>
        <w:t> </w:t>
      </w:r>
      <w:r>
        <w:rPr/>
        <w:t>real</w:t>
      </w:r>
      <w:r>
        <w:rPr>
          <w:spacing w:val="-4"/>
        </w:rPr>
        <w:t> </w:t>
      </w:r>
      <w:r>
        <w:rPr/>
        <w:t>influence. (</w:t>
      </w:r>
      <w:hyperlink w:history="true" w:anchor="_bookmark208">
        <w:r>
          <w:rPr/>
          <w:t>Hart</w:t>
        </w:r>
        <w:r>
          <w:rPr>
            <w:spacing w:val="-7"/>
          </w:rPr>
          <w:t> </w:t>
        </w:r>
        <w:r>
          <w:rPr/>
          <w:t>&amp;</w:t>
        </w:r>
        <w:r>
          <w:rPr>
            <w:spacing w:val="-5"/>
          </w:rPr>
          <w:t> </w:t>
        </w:r>
        <w:r>
          <w:rPr/>
          <w:t>Holmstrom,</w:t>
        </w:r>
        <w:r>
          <w:rPr>
            <w:spacing w:val="-1"/>
          </w:rPr>
          <w:t> </w:t>
        </w:r>
        <w:r>
          <w:rPr/>
          <w:t>2010,</w:t>
        </w:r>
        <w:r>
          <w:rPr>
            <w:spacing w:val="-1"/>
          </w:rPr>
          <w:t> </w:t>
        </w:r>
        <w:r>
          <w:rPr/>
          <w:t>p.</w:t>
        </w:r>
      </w:hyperlink>
      <w:r>
        <w:rPr/>
        <w:t> </w:t>
      </w:r>
      <w:hyperlink w:history="true" w:anchor="_bookmark208">
        <w:r>
          <w:rPr/>
          <w:t>489</w:t>
        </w:r>
      </w:hyperlink>
      <w:r>
        <w:rPr/>
        <w:t>) The actor, who has relevant information about the matter at hand, is one with the capacity to act as a relevant authority. The principals, who delegate power to the agents, promote initiative, but sacrifice certain amount of control over subordinates. (</w:t>
      </w:r>
      <w:hyperlink w:history="true" w:anchor="_bookmark70">
        <w:r>
          <w:rPr/>
          <w:t>Aghion &amp; Tirole, 1997, p. 1</w:t>
        </w:r>
      </w:hyperlink>
      <w:r>
        <w:rPr/>
        <w:t>) It is true that</w:t>
      </w:r>
      <w:r>
        <w:rPr>
          <w:spacing w:val="-1"/>
        </w:rPr>
        <w:t> </w:t>
      </w:r>
      <w:r>
        <w:rPr/>
        <w:t>principals</w:t>
      </w:r>
      <w:r>
        <w:rPr>
          <w:spacing w:val="-3"/>
        </w:rPr>
        <w:t> </w:t>
      </w:r>
      <w:r>
        <w:rPr/>
        <w:t>have</w:t>
      </w:r>
      <w:r>
        <w:rPr>
          <w:spacing w:val="-1"/>
        </w:rPr>
        <w:t> </w:t>
      </w:r>
      <w:r>
        <w:rPr/>
        <w:t>formal</w:t>
      </w:r>
      <w:r>
        <w:rPr>
          <w:spacing w:val="-4"/>
        </w:rPr>
        <w:t> </w:t>
      </w:r>
      <w:r>
        <w:rPr/>
        <w:t>authority</w:t>
      </w:r>
      <w:r>
        <w:rPr>
          <w:spacing w:val="-1"/>
        </w:rPr>
        <w:t> </w:t>
      </w:r>
      <w:r>
        <w:rPr/>
        <w:t>to</w:t>
      </w:r>
      <w:r>
        <w:rPr>
          <w:spacing w:val="-4"/>
        </w:rPr>
        <w:t> </w:t>
      </w:r>
      <w:r>
        <w:rPr/>
        <w:t>get</w:t>
      </w:r>
      <w:r>
        <w:rPr>
          <w:spacing w:val="-1"/>
        </w:rPr>
        <w:t> </w:t>
      </w:r>
      <w:r>
        <w:rPr/>
        <w:t>as</w:t>
      </w:r>
      <w:r>
        <w:rPr>
          <w:spacing w:val="-3"/>
        </w:rPr>
        <w:t> </w:t>
      </w:r>
      <w:r>
        <w:rPr/>
        <w:t>much information as</w:t>
      </w:r>
      <w:r>
        <w:rPr>
          <w:spacing w:val="-3"/>
        </w:rPr>
        <w:t> </w:t>
      </w:r>
      <w:r>
        <w:rPr/>
        <w:t>they</w:t>
      </w:r>
      <w:r>
        <w:rPr>
          <w:spacing w:val="-1"/>
        </w:rPr>
        <w:t> </w:t>
      </w:r>
      <w:r>
        <w:rPr/>
        <w:t>ask for, but in reality, the environment does not allow them</w:t>
      </w:r>
      <w:r>
        <w:rPr>
          <w:spacing w:val="-2"/>
        </w:rPr>
        <w:t> </w:t>
      </w:r>
      <w:r>
        <w:rPr/>
        <w:t>to</w:t>
      </w:r>
      <w:r>
        <w:rPr>
          <w:spacing w:val="-3"/>
        </w:rPr>
        <w:t> </w:t>
      </w:r>
      <w:r>
        <w:rPr/>
        <w:t>go into in-depth enquiries. Urgency of decision-making, diversity of multi-profile firms and the amount of information produced in different structural branches of the organization is practically incomprehensible for the principals.</w:t>
      </w:r>
    </w:p>
    <w:p>
      <w:pPr>
        <w:pStyle w:val="BodyText"/>
        <w:spacing w:after="0" w:line="276" w:lineRule="auto"/>
        <w:sectPr>
          <w:pgSz w:w="12240" w:h="15840"/>
          <w:pgMar w:header="1046" w:footer="0" w:top="1360" w:bottom="280" w:left="720" w:right="360"/>
        </w:sectPr>
      </w:pPr>
    </w:p>
    <w:p>
      <w:pPr>
        <w:pStyle w:val="BodyText"/>
        <w:spacing w:line="276" w:lineRule="auto" w:before="276"/>
        <w:ind w:right="1909" w:firstLine="720"/>
      </w:pPr>
      <w:r>
        <w:rPr/>
        <w:t>These conditions imply that measuring the organizational power distribution by studying the individuals according to the hierarchic charts can be misleading. Well-built companies are always viable enough, to use persons in an interchangeable manner. They are “free of dependence upon</w:t>
      </w:r>
    </w:p>
    <w:p>
      <w:pPr>
        <w:spacing w:before="110"/>
        <w:ind w:left="1008" w:right="0" w:firstLine="0"/>
        <w:jc w:val="left"/>
        <w:rPr>
          <w:rFonts w:ascii="Calibri"/>
          <w:b/>
          <w:sz w:val="18"/>
        </w:rPr>
      </w:pPr>
      <w:r>
        <w:rPr>
          <w:rFonts w:ascii="Calibri"/>
          <w:b/>
          <w:sz w:val="18"/>
        </w:rPr>
        <mc:AlternateContent>
          <mc:Choice Requires="wps">
            <w:drawing>
              <wp:anchor distT="0" distB="0" distL="0" distR="0" allowOverlap="1" layoutInCell="1" locked="0" behindDoc="0" simplePos="0" relativeHeight="15780864">
                <wp:simplePos x="0" y="0"/>
                <wp:positionH relativeFrom="page">
                  <wp:posOffset>2694368</wp:posOffset>
                </wp:positionH>
                <wp:positionV relativeFrom="paragraph">
                  <wp:posOffset>50954</wp:posOffset>
                </wp:positionV>
                <wp:extent cx="2657475" cy="2190750"/>
                <wp:effectExtent l="0" t="0" r="0" b="0"/>
                <wp:wrapNone/>
                <wp:docPr id="119" name="Group 119"/>
                <wp:cNvGraphicFramePr>
                  <a:graphicFrameLocks/>
                </wp:cNvGraphicFramePr>
                <a:graphic>
                  <a:graphicData uri="http://schemas.microsoft.com/office/word/2010/wordprocessingGroup">
                    <wpg:wgp>
                      <wpg:cNvPr id="119" name="Group 119"/>
                      <wpg:cNvGrpSpPr/>
                      <wpg:grpSpPr>
                        <a:xfrm>
                          <a:off x="0" y="0"/>
                          <a:ext cx="2657475" cy="2190750"/>
                          <a:chExt cx="2657475" cy="2190750"/>
                        </a:xfrm>
                      </wpg:grpSpPr>
                      <pic:pic>
                        <pic:nvPicPr>
                          <pic:cNvPr id="120" name="Image 120" descr="C:\Users\user\Desktop\diagrams\overflow.bmp"/>
                          <pic:cNvPicPr/>
                        </pic:nvPicPr>
                        <pic:blipFill>
                          <a:blip r:embed="rId25" cstate="print"/>
                          <a:stretch>
                            <a:fillRect/>
                          </a:stretch>
                        </pic:blipFill>
                        <pic:spPr>
                          <a:xfrm>
                            <a:off x="18986" y="19113"/>
                            <a:ext cx="2628899" cy="1990724"/>
                          </a:xfrm>
                          <a:prstGeom prst="rect">
                            <a:avLst/>
                          </a:prstGeom>
                        </pic:spPr>
                      </pic:pic>
                      <wps:wsp>
                        <wps:cNvPr id="121" name="Graphic 121"/>
                        <wps:cNvSpPr/>
                        <wps:spPr>
                          <a:xfrm>
                            <a:off x="4762" y="4762"/>
                            <a:ext cx="2647950" cy="2181225"/>
                          </a:xfrm>
                          <a:custGeom>
                            <a:avLst/>
                            <a:gdLst/>
                            <a:ahLst/>
                            <a:cxnLst/>
                            <a:rect l="l" t="t" r="r" b="b"/>
                            <a:pathLst>
                              <a:path w="2647950" h="2181225">
                                <a:moveTo>
                                  <a:pt x="0" y="2181225"/>
                                </a:moveTo>
                                <a:lnTo>
                                  <a:pt x="2647949" y="2181225"/>
                                </a:lnTo>
                                <a:lnTo>
                                  <a:pt x="2647949" y="0"/>
                                </a:lnTo>
                                <a:lnTo>
                                  <a:pt x="0" y="0"/>
                                </a:lnTo>
                                <a:lnTo>
                                  <a:pt x="0" y="2181225"/>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12.154999pt;margin-top:4.012129pt;width:209.25pt;height:172.5pt;mso-position-horizontal-relative:page;mso-position-vertical-relative:paragraph;z-index:15780864" id="docshapegroup113" coordorigin="4243,80" coordsize="4185,3450">
                <v:shape style="position:absolute;left:4273;top:110;width:4140;height:3135" type="#_x0000_t75" id="docshape114" alt="C:\Users\user\Desktop\diagrams\overflow.bmp" stroked="false">
                  <v:imagedata r:id="rId25" o:title=""/>
                </v:shape>
                <v:rect style="position:absolute;left:4250;top:87;width:4170;height:3435" id="docshape115" filled="false" stroked="true" strokeweight=".75pt" strokecolor="#000000">
                  <v:stroke dashstyle="solid"/>
                </v:rect>
                <w10:wrap type="none"/>
              </v:group>
            </w:pict>
          </mc:Fallback>
        </mc:AlternateContent>
      </w:r>
      <w:r>
        <w:rPr>
          <w:rFonts w:ascii="Calibri"/>
          <w:b/>
          <w:color w:val="4F81BC"/>
          <w:sz w:val="18"/>
        </w:rPr>
        <w:t>Figure 6.</w:t>
      </w:r>
      <w:r>
        <w:rPr>
          <w:rFonts w:ascii="Calibri"/>
          <w:b/>
          <w:color w:val="4F81BC"/>
          <w:spacing w:val="-5"/>
          <w:sz w:val="18"/>
        </w:rPr>
        <w:t> </w:t>
      </w:r>
      <w:r>
        <w:rPr>
          <w:rFonts w:ascii="Calibri"/>
          <w:b/>
          <w:color w:val="4F81BC"/>
          <w:sz w:val="18"/>
        </w:rPr>
        <w:t>Common</w:t>
      </w:r>
      <w:r>
        <w:rPr>
          <w:rFonts w:ascii="Calibri"/>
          <w:b/>
          <w:color w:val="4F81BC"/>
          <w:spacing w:val="-2"/>
          <w:sz w:val="18"/>
        </w:rPr>
        <w:t> Ground</w:t>
      </w:r>
    </w:p>
    <w:p>
      <w:pPr>
        <w:pStyle w:val="BodyText"/>
        <w:ind w:left="0"/>
        <w:jc w:val="left"/>
        <w:rPr>
          <w:rFonts w:ascii="Calibri"/>
          <w:b/>
        </w:rPr>
      </w:pPr>
    </w:p>
    <w:p>
      <w:pPr>
        <w:pStyle w:val="BodyText"/>
        <w:ind w:left="0"/>
        <w:jc w:val="left"/>
        <w:rPr>
          <w:rFonts w:ascii="Calibri"/>
          <w:b/>
        </w:rPr>
      </w:pPr>
    </w:p>
    <w:p>
      <w:pPr>
        <w:pStyle w:val="BodyText"/>
        <w:ind w:left="0"/>
        <w:jc w:val="left"/>
        <w:rPr>
          <w:rFonts w:ascii="Calibri"/>
          <w:b/>
        </w:rPr>
      </w:pPr>
    </w:p>
    <w:p>
      <w:pPr>
        <w:pStyle w:val="BodyText"/>
        <w:ind w:left="0"/>
        <w:jc w:val="left"/>
        <w:rPr>
          <w:rFonts w:ascii="Calibri"/>
          <w:b/>
        </w:rPr>
      </w:pPr>
    </w:p>
    <w:p>
      <w:pPr>
        <w:pStyle w:val="BodyText"/>
        <w:ind w:left="0"/>
        <w:jc w:val="left"/>
        <w:rPr>
          <w:rFonts w:ascii="Calibri"/>
          <w:b/>
        </w:rPr>
      </w:pPr>
    </w:p>
    <w:p>
      <w:pPr>
        <w:pStyle w:val="BodyText"/>
        <w:ind w:left="0"/>
        <w:jc w:val="left"/>
        <w:rPr>
          <w:rFonts w:ascii="Calibri"/>
          <w:b/>
        </w:rPr>
      </w:pPr>
    </w:p>
    <w:p>
      <w:pPr>
        <w:pStyle w:val="BodyText"/>
        <w:ind w:left="0"/>
        <w:jc w:val="left"/>
        <w:rPr>
          <w:rFonts w:ascii="Calibri"/>
          <w:b/>
        </w:rPr>
      </w:pPr>
    </w:p>
    <w:p>
      <w:pPr>
        <w:pStyle w:val="BodyText"/>
        <w:ind w:left="0"/>
        <w:jc w:val="left"/>
        <w:rPr>
          <w:rFonts w:ascii="Calibri"/>
          <w:b/>
        </w:rPr>
      </w:pPr>
    </w:p>
    <w:p>
      <w:pPr>
        <w:pStyle w:val="BodyText"/>
        <w:ind w:left="0"/>
        <w:jc w:val="left"/>
        <w:rPr>
          <w:rFonts w:ascii="Calibri"/>
          <w:b/>
        </w:rPr>
      </w:pPr>
    </w:p>
    <w:p>
      <w:pPr>
        <w:pStyle w:val="BodyText"/>
        <w:spacing w:before="45"/>
        <w:ind w:left="0"/>
        <w:jc w:val="left"/>
        <w:rPr>
          <w:rFonts w:ascii="Calibri"/>
          <w:b/>
        </w:rPr>
      </w:pPr>
    </w:p>
    <w:p>
      <w:pPr>
        <w:pStyle w:val="BodyText"/>
        <w:spacing w:line="271" w:lineRule="auto"/>
        <w:ind w:right="1900"/>
      </w:pPr>
      <w:r>
        <w:rPr/>
        <w:t>individual qualities.” (</w:t>
      </w:r>
      <w:hyperlink w:history="true" w:anchor="_bookmark388">
        <w:r>
          <w:rPr/>
          <w:t>Selznick, 1948, p. 25</w:t>
        </w:r>
      </w:hyperlink>
      <w:r>
        <w:rPr/>
        <w:t>) We believe that in order to understand a profit-based organization, middle range </w:t>
      </w:r>
      <w:r>
        <w:rPr>
          <w:sz w:val="27"/>
        </w:rPr>
        <w:t>holonic </w:t>
      </w:r>
      <w:r>
        <w:rPr/>
        <w:t>scope is enough. It means that we differentiate two basic levels of </w:t>
      </w:r>
      <w:r>
        <w:rPr>
          <w:sz w:val="27"/>
        </w:rPr>
        <w:t>holonic</w:t>
      </w:r>
      <w:r>
        <w:rPr>
          <w:spacing w:val="40"/>
          <w:sz w:val="27"/>
        </w:rPr>
        <w:t> </w:t>
      </w:r>
      <w:r>
        <w:rPr/>
        <w:t>hierarchy. First one includes the </w:t>
      </w:r>
      <w:r>
        <w:rPr>
          <w:sz w:val="27"/>
        </w:rPr>
        <w:t>agency</w:t>
      </w:r>
      <w:r>
        <w:rPr>
          <w:spacing w:val="-2"/>
          <w:sz w:val="27"/>
        </w:rPr>
        <w:t> </w:t>
      </w:r>
      <w:r>
        <w:rPr>
          <w:sz w:val="27"/>
        </w:rPr>
        <w:t>of principals </w:t>
      </w:r>
      <w:r>
        <w:rPr/>
        <w:t>A</w:t>
      </w:r>
      <w:r>
        <w:rPr>
          <w:vertAlign w:val="subscript"/>
        </w:rPr>
        <w:t>P,</w:t>
      </w:r>
      <w:r>
        <w:rPr>
          <w:spacing w:val="-17"/>
          <w:vertAlign w:val="baseline"/>
        </w:rPr>
        <w:t> </w:t>
      </w:r>
      <w:r>
        <w:rPr>
          <w:vertAlign w:val="baseline"/>
        </w:rPr>
        <w:t>second, </w:t>
      </w:r>
      <w:r>
        <w:rPr>
          <w:sz w:val="27"/>
          <w:vertAlign w:val="baseline"/>
        </w:rPr>
        <w:t>agency</w:t>
      </w:r>
      <w:r>
        <w:rPr>
          <w:spacing w:val="-2"/>
          <w:sz w:val="27"/>
          <w:vertAlign w:val="baseline"/>
        </w:rPr>
        <w:t> </w:t>
      </w:r>
      <w:r>
        <w:rPr>
          <w:sz w:val="27"/>
          <w:vertAlign w:val="baseline"/>
        </w:rPr>
        <w:t>of agent-subordinates </w:t>
      </w:r>
      <w:r>
        <w:rPr>
          <w:vertAlign w:val="baseline"/>
        </w:rPr>
        <w:t>A</w:t>
      </w:r>
      <w:r>
        <w:rPr>
          <w:vertAlign w:val="subscript"/>
        </w:rPr>
        <w:t>A</w:t>
      </w:r>
      <w:r>
        <w:rPr>
          <w:vertAlign w:val="baseline"/>
        </w:rPr>
        <w:t>. Those two levels engage in meaningful communication, their common ground (CG) is a meaning (3.1).</w:t>
      </w:r>
      <w:r>
        <w:rPr>
          <w:spacing w:val="40"/>
          <w:vertAlign w:val="baseline"/>
        </w:rPr>
        <w:t> </w:t>
      </w:r>
      <w:r>
        <w:rPr>
          <w:vertAlign w:val="baseline"/>
        </w:rPr>
        <w:t>To apprehend a below given scheme, we have to position ourselves among various</w:t>
      </w:r>
      <w:r>
        <w:rPr>
          <w:spacing w:val="-2"/>
          <w:vertAlign w:val="baseline"/>
        </w:rPr>
        <w:t> </w:t>
      </w:r>
      <w:r>
        <w:rPr>
          <w:vertAlign w:val="baseline"/>
        </w:rPr>
        <w:t>theoretical strands, which describe the organization differently. We follow </w:t>
      </w:r>
      <w:r>
        <w:rPr>
          <w:sz w:val="27"/>
          <w:vertAlign w:val="baseline"/>
        </w:rPr>
        <w:t>Maturana’s </w:t>
      </w:r>
      <w:r>
        <w:rPr>
          <w:vertAlign w:val="baseline"/>
        </w:rPr>
        <w:t>distinction between organization and structure.</w:t>
      </w:r>
      <w:r>
        <w:rPr>
          <w:position w:val="7"/>
          <w:sz w:val="15"/>
          <w:vertAlign w:val="baseline"/>
        </w:rPr>
        <w:t>20</w:t>
      </w:r>
      <w:r>
        <w:rPr>
          <w:spacing w:val="40"/>
          <w:position w:val="7"/>
          <w:sz w:val="15"/>
          <w:vertAlign w:val="baseline"/>
        </w:rPr>
        <w:t> </w:t>
      </w:r>
      <w:r>
        <w:rPr>
          <w:vertAlign w:val="baseline"/>
        </w:rPr>
        <w:t>We cannot use his </w:t>
      </w:r>
      <w:r>
        <w:rPr>
          <w:sz w:val="27"/>
          <w:vertAlign w:val="baseline"/>
        </w:rPr>
        <w:t>‘organization’ </w:t>
      </w:r>
      <w:r>
        <w:rPr>
          <w:vertAlign w:val="baseline"/>
        </w:rPr>
        <w:t>reciprocally with a company or firm. In the framework of autopoiesis, a firm itself is an autopoietic system with organizational and structural properties. The Organizational component O, describes the identity of the system and ensures its operability. O subsets</w:t>
      </w:r>
      <w:r>
        <w:rPr>
          <w:spacing w:val="40"/>
          <w:vertAlign w:val="baseline"/>
        </w:rPr>
        <w:t> </w:t>
      </w:r>
      <w:r>
        <w:rPr>
          <w:vertAlign w:val="baseline"/>
        </w:rPr>
        <w:t>the decisions made by the principals within the common communicative </w:t>
      </w:r>
      <w:r>
        <w:rPr>
          <w:spacing w:val="-2"/>
          <w:vertAlign w:val="baseline"/>
        </w:rPr>
        <w:t>ground.</w:t>
      </w:r>
    </w:p>
    <w:p>
      <w:pPr>
        <w:pStyle w:val="Heading6"/>
        <w:spacing w:before="7"/>
        <w:ind w:right="925"/>
        <w:jc w:val="center"/>
      </w:pPr>
      <w:r>
        <w:rPr/>
        <w:t>A</w:t>
      </w:r>
      <w:r>
        <w:rPr>
          <w:vertAlign w:val="subscript"/>
        </w:rPr>
        <w:t>P</w:t>
      </w:r>
      <w:r>
        <w:rPr>
          <w:vertAlign w:val="baseline"/>
        </w:rPr>
        <w:t>CG</w:t>
      </w:r>
      <w:r>
        <w:rPr>
          <w:spacing w:val="31"/>
          <w:vertAlign w:val="baseline"/>
        </w:rPr>
        <w:t> </w:t>
      </w:r>
      <w:r>
        <w:rPr>
          <w:spacing w:val="-20"/>
          <w:position w:val="1"/>
          <w:vertAlign w:val="baseline"/>
        </w:rPr>
        <w:drawing>
          <wp:inline distT="0" distB="0" distL="0" distR="0">
            <wp:extent cx="85725" cy="95248"/>
            <wp:effectExtent l="0" t="0" r="0" b="0"/>
            <wp:docPr id="122" name="Image 122" descr="http://whatis.techtarget.com/WhatIs/images/subset.jpg"/>
            <wp:cNvGraphicFramePr>
              <a:graphicFrameLocks/>
            </wp:cNvGraphicFramePr>
            <a:graphic>
              <a:graphicData uri="http://schemas.openxmlformats.org/drawingml/2006/picture">
                <pic:pic>
                  <pic:nvPicPr>
                    <pic:cNvPr id="122" name="Image 122" descr="http://whatis.techtarget.com/WhatIs/images/subset.jpg"/>
                    <pic:cNvPicPr/>
                  </pic:nvPicPr>
                  <pic:blipFill>
                    <a:blip r:embed="rId26" cstate="print"/>
                    <a:stretch>
                      <a:fillRect/>
                    </a:stretch>
                  </pic:blipFill>
                  <pic:spPr>
                    <a:xfrm>
                      <a:off x="0" y="0"/>
                      <a:ext cx="85725" cy="95248"/>
                    </a:xfrm>
                    <a:prstGeom prst="rect">
                      <a:avLst/>
                    </a:prstGeom>
                  </pic:spPr>
                </pic:pic>
              </a:graphicData>
            </a:graphic>
          </wp:inline>
        </w:drawing>
      </w:r>
      <w:r>
        <w:rPr>
          <w:spacing w:val="-20"/>
          <w:position w:val="1"/>
          <w:vertAlign w:val="baseline"/>
        </w:rPr>
      </w:r>
      <w:r>
        <w:rPr>
          <w:rFonts w:ascii="Times New Roman"/>
          <w:spacing w:val="18"/>
          <w:vertAlign w:val="baseline"/>
        </w:rPr>
        <w:t> </w:t>
      </w:r>
      <w:r>
        <w:rPr>
          <w:spacing w:val="-10"/>
          <w:vertAlign w:val="baseline"/>
        </w:rPr>
        <w:t>O</w:t>
      </w:r>
    </w:p>
    <w:p>
      <w:pPr>
        <w:pStyle w:val="BodyText"/>
        <w:spacing w:line="276" w:lineRule="auto" w:before="49"/>
        <w:ind w:right="1909"/>
        <w:jc w:val="left"/>
      </w:pPr>
      <w:r>
        <w:rPr/>
        <w:t>Structural side (Str) therefore, consists of the agency of subordinate agents and yet undecided information (Inf):</w:t>
      </w:r>
    </w:p>
    <w:p>
      <w:pPr>
        <w:pStyle w:val="BodyText"/>
        <w:spacing w:before="6"/>
        <w:ind w:left="0"/>
        <w:jc w:val="left"/>
        <w:rPr>
          <w:sz w:val="11"/>
        </w:rPr>
      </w:pPr>
      <w:r>
        <w:rPr>
          <w:sz w:val="11"/>
        </w:rPr>
        <mc:AlternateContent>
          <mc:Choice Requires="wps">
            <w:drawing>
              <wp:anchor distT="0" distB="0" distL="0" distR="0" allowOverlap="1" layoutInCell="1" locked="0" behindDoc="1" simplePos="0" relativeHeight="487639552">
                <wp:simplePos x="0" y="0"/>
                <wp:positionH relativeFrom="page">
                  <wp:posOffset>1079296</wp:posOffset>
                </wp:positionH>
                <wp:positionV relativeFrom="paragraph">
                  <wp:posOffset>111076</wp:posOffset>
                </wp:positionV>
                <wp:extent cx="1830070" cy="9525"/>
                <wp:effectExtent l="0" t="0" r="0" b="0"/>
                <wp:wrapTopAndBottom/>
                <wp:docPr id="123" name="Graphic 123"/>
                <wp:cNvGraphicFramePr>
                  <a:graphicFrameLocks/>
                </wp:cNvGraphicFramePr>
                <a:graphic>
                  <a:graphicData uri="http://schemas.microsoft.com/office/word/2010/wordprocessingShape">
                    <wps:wsp>
                      <wps:cNvPr id="123" name="Graphic 123"/>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8.74616pt;width:144.07pt;height:.72003pt;mso-position-horizontal-relative:page;mso-position-vertical-relative:paragraph;z-index:-15676928;mso-wrap-distance-left:0;mso-wrap-distance-right:0" id="docshape116" filled="true" fillcolor="#000000" stroked="false">
                <v:fill type="solid"/>
                <w10:wrap type="topAndBottom"/>
              </v:rect>
            </w:pict>
          </mc:Fallback>
        </mc:AlternateContent>
      </w:r>
    </w:p>
    <w:p>
      <w:pPr>
        <w:spacing w:before="103"/>
        <w:ind w:left="979" w:right="0" w:firstLine="0"/>
        <w:jc w:val="left"/>
        <w:rPr>
          <w:rFonts w:ascii="Calibri"/>
          <w:sz w:val="20"/>
        </w:rPr>
      </w:pPr>
      <w:r>
        <w:rPr>
          <w:rFonts w:ascii="Calibri"/>
          <w:sz w:val="20"/>
          <w:vertAlign w:val="superscript"/>
        </w:rPr>
        <w:t>20</w:t>
      </w:r>
      <w:r>
        <w:rPr>
          <w:rFonts w:ascii="Calibri"/>
          <w:spacing w:val="-1"/>
          <w:sz w:val="20"/>
          <w:vertAlign w:val="baseline"/>
        </w:rPr>
        <w:t> </w:t>
      </w:r>
      <w:r>
        <w:rPr>
          <w:rFonts w:ascii="Calibri"/>
          <w:sz w:val="20"/>
          <w:vertAlign w:val="baseline"/>
        </w:rPr>
        <w:t>See</w:t>
      </w:r>
      <w:r>
        <w:rPr>
          <w:rFonts w:ascii="Calibri"/>
          <w:spacing w:val="-6"/>
          <w:sz w:val="20"/>
          <w:vertAlign w:val="baseline"/>
        </w:rPr>
        <w:t> </w:t>
      </w:r>
      <w:r>
        <w:rPr>
          <w:rFonts w:ascii="Calibri"/>
          <w:sz w:val="20"/>
          <w:vertAlign w:val="baseline"/>
        </w:rPr>
        <w:t>first</w:t>
      </w:r>
      <w:r>
        <w:rPr>
          <w:rFonts w:ascii="Calibri"/>
          <w:spacing w:val="-3"/>
          <w:sz w:val="20"/>
          <w:vertAlign w:val="baseline"/>
        </w:rPr>
        <w:t> </w:t>
      </w:r>
      <w:r>
        <w:rPr>
          <w:rFonts w:ascii="Calibri"/>
          <w:sz w:val="20"/>
          <w:vertAlign w:val="baseline"/>
        </w:rPr>
        <w:t>chapter,</w:t>
      </w:r>
      <w:r>
        <w:rPr>
          <w:rFonts w:ascii="Calibri"/>
          <w:spacing w:val="-4"/>
          <w:sz w:val="20"/>
          <w:vertAlign w:val="baseline"/>
        </w:rPr>
        <w:t> </w:t>
      </w:r>
      <w:r>
        <w:rPr>
          <w:rFonts w:ascii="Calibri"/>
          <w:spacing w:val="-2"/>
          <w:sz w:val="20"/>
          <w:vertAlign w:val="baseline"/>
        </w:rPr>
        <w:t>Autopoiesis</w:t>
      </w:r>
    </w:p>
    <w:p>
      <w:pPr>
        <w:spacing w:after="0"/>
        <w:jc w:val="left"/>
        <w:rPr>
          <w:rFonts w:ascii="Calibri"/>
          <w:sz w:val="20"/>
        </w:rPr>
        <w:sectPr>
          <w:pgSz w:w="12240" w:h="15840"/>
          <w:pgMar w:header="1046" w:footer="0" w:top="1360" w:bottom="280" w:left="720" w:right="360"/>
        </w:sectPr>
      </w:pPr>
    </w:p>
    <w:p>
      <w:pPr>
        <w:pStyle w:val="Heading6"/>
        <w:spacing w:before="266"/>
        <w:ind w:right="931"/>
        <w:jc w:val="center"/>
      </w:pPr>
      <w:r>
        <w:rPr>
          <w:spacing w:val="-2"/>
        </w:rPr>
        <w:t>A</w:t>
      </w:r>
      <w:r>
        <w:rPr>
          <w:spacing w:val="-2"/>
          <w:vertAlign w:val="subscript"/>
        </w:rPr>
        <w:t>A</w:t>
      </w:r>
      <w:r>
        <w:rPr>
          <w:spacing w:val="-2"/>
          <w:vertAlign w:val="baseline"/>
        </w:rPr>
        <w:t>+Inf=Srt</w:t>
      </w:r>
    </w:p>
    <w:p>
      <w:pPr>
        <w:pStyle w:val="BodyText"/>
        <w:spacing w:line="273" w:lineRule="auto" w:before="38"/>
        <w:ind w:right="1911"/>
      </w:pPr>
      <w:r>
        <w:rPr/>
        <w:t>Considering these differences, instead of the term </w:t>
      </w:r>
      <w:r>
        <w:rPr>
          <w:sz w:val="27"/>
        </w:rPr>
        <w:t>organization, </w:t>
      </w:r>
      <w:r>
        <w:rPr/>
        <w:t>we will be using unity, company, or firm.</w:t>
      </w:r>
    </w:p>
    <w:p>
      <w:pPr>
        <w:pStyle w:val="BodyText"/>
        <w:spacing w:line="276" w:lineRule="auto" w:before="2"/>
        <w:ind w:right="1909" w:firstLine="720"/>
      </w:pPr>
      <w:r>
        <w:rPr/>
        <w:t>Before we move to the main arguments of our study, we have to propose a few theoretical statements, which are relevant for further </w:t>
      </w:r>
      <w:r>
        <w:rPr>
          <w:spacing w:val="-2"/>
        </w:rPr>
        <w:t>inquiries.</w:t>
      </w:r>
    </w:p>
    <w:p>
      <w:pPr>
        <w:pStyle w:val="BodyText"/>
        <w:spacing w:line="271" w:lineRule="auto"/>
        <w:ind w:right="1902" w:firstLine="720"/>
      </w:pPr>
      <w:r>
        <w:rPr/>
        <w:t>First, we are required to show the characteristics held by the individual </w:t>
      </w:r>
      <w:r>
        <w:rPr>
          <w:sz w:val="27"/>
        </w:rPr>
        <w:t>holonic level</w:t>
      </w:r>
      <w:r>
        <w:rPr/>
        <w:t>. As </w:t>
      </w:r>
      <w:r>
        <w:rPr>
          <w:sz w:val="27"/>
        </w:rPr>
        <w:t>holonic </w:t>
      </w:r>
      <w:r>
        <w:rPr/>
        <w:t>approach states: each level of the hierarchy is autonomous, self-reliant and dependent. (</w:t>
      </w:r>
      <w:hyperlink w:history="true" w:anchor="_bookmark289">
        <w:r>
          <w:rPr/>
          <w:t>Mella, 2009, p. 4</w:t>
        </w:r>
      </w:hyperlink>
      <w:r>
        <w:rPr/>
        <w:t>) </w:t>
      </w:r>
      <w:r>
        <w:rPr>
          <w:sz w:val="27"/>
        </w:rPr>
        <w:t>Autonomous </w:t>
      </w:r>
      <w:r>
        <w:rPr/>
        <w:t>agency implies that agents are able to produce independent cycle of communication. </w:t>
      </w:r>
      <w:r>
        <w:rPr>
          <w:sz w:val="27"/>
        </w:rPr>
        <w:t>Self-reliance </w:t>
      </w:r>
      <w:r>
        <w:rPr/>
        <w:t>means that the autonomous communications do not require authorization from the higher levels. </w:t>
      </w:r>
      <w:r>
        <w:rPr>
          <w:sz w:val="27"/>
        </w:rPr>
        <w:t>Dependence </w:t>
      </w:r>
      <w:r>
        <w:rPr/>
        <w:t>is a vital connection between the organization and structure. This approach shares similarities with </w:t>
      </w:r>
      <w:r>
        <w:rPr>
          <w:sz w:val="27"/>
        </w:rPr>
        <w:t>Stafford Beer</w:t>
      </w:r>
      <w:r>
        <w:rPr/>
        <w:t>’s viable system model</w:t>
      </w:r>
      <w:r>
        <w:rPr>
          <w:sz w:val="27"/>
        </w:rPr>
        <w:t>, </w:t>
      </w:r>
      <w:r>
        <w:rPr/>
        <w:t>which describes the process of balancing between “the autonomy of the parts and cohesion of the whole,” (</w:t>
      </w:r>
      <w:hyperlink w:history="true" w:anchor="_bookmark227">
        <w:r>
          <w:rPr/>
          <w:t>Hoverstadt, 2010, p. 91</w:t>
        </w:r>
      </w:hyperlink>
      <w:r>
        <w:rPr/>
        <w:t>) in the state of constant interaction with the environment.</w:t>
      </w:r>
    </w:p>
    <w:p>
      <w:pPr>
        <w:pStyle w:val="BodyText"/>
        <w:spacing w:line="273" w:lineRule="auto"/>
        <w:ind w:right="1913" w:firstLine="720"/>
      </w:pPr>
      <w:r>
        <w:rPr/>
        <w:t>Our logic derives from the modern theories of organization. Those theories imply that a meaning defines the unity and the communication produces the meaning. We follow </w:t>
      </w:r>
      <w:r>
        <w:rPr>
          <w:sz w:val="27"/>
        </w:rPr>
        <w:t>Stanley Deetz’</w:t>
      </w:r>
      <w:r>
        <w:rPr/>
        <w:t>s rejection of the assumption that meaning is centered in the individual and “social interaction [is] merely the means by which consensus is reached and meaning is shared.” (</w:t>
      </w:r>
      <w:hyperlink w:history="true" w:anchor="_bookmark156">
        <w:r>
          <w:rPr/>
          <w:t>Deetz, 1982, p. 133</w:t>
        </w:r>
      </w:hyperlink>
      <w:r>
        <w:rPr/>
        <w:t>)</w:t>
      </w:r>
    </w:p>
    <w:p>
      <w:pPr>
        <w:pStyle w:val="BodyText"/>
        <w:spacing w:line="276" w:lineRule="auto" w:before="6"/>
        <w:ind w:right="1907" w:firstLine="720"/>
      </w:pPr>
      <w:r>
        <w:rPr/>
        <w:t>CCO</w:t>
      </w:r>
      <w:r>
        <w:rPr>
          <w:position w:val="7"/>
          <w:sz w:val="15"/>
        </w:rPr>
        <w:t>21</w:t>
      </w:r>
      <w:r>
        <w:rPr>
          <w:spacing w:val="36"/>
          <w:position w:val="7"/>
          <w:sz w:val="15"/>
        </w:rPr>
        <w:t> </w:t>
      </w:r>
      <w:r>
        <w:rPr/>
        <w:t>theory in organization studies argues that communication has a central constitutive role for the organization. “communicating is organizing and organizing is communicating.”(</w:t>
      </w:r>
      <w:hyperlink w:history="true" w:anchor="_bookmark347">
        <w:r>
          <w:rPr/>
          <w:t>Putnam &amp; Nicotera, 2009, p.</w:t>
        </w:r>
      </w:hyperlink>
      <w:r>
        <w:rPr/>
        <w:t> </w:t>
      </w:r>
      <w:hyperlink w:history="true" w:anchor="_bookmark347">
        <w:r>
          <w:rPr/>
          <w:t>7</w:t>
        </w:r>
      </w:hyperlink>
      <w:r>
        <w:rPr/>
        <w:t>)</w:t>
      </w:r>
      <w:r>
        <w:rPr>
          <w:spacing w:val="-1"/>
        </w:rPr>
        <w:t> </w:t>
      </w:r>
      <w:r>
        <w:rPr/>
        <w:t>The</w:t>
      </w:r>
      <w:r>
        <w:rPr>
          <w:spacing w:val="-8"/>
        </w:rPr>
        <w:t> </w:t>
      </w:r>
      <w:r>
        <w:rPr/>
        <w:t>approach</w:t>
      </w:r>
      <w:r>
        <w:rPr>
          <w:spacing w:val="-3"/>
        </w:rPr>
        <w:t> </w:t>
      </w:r>
      <w:r>
        <w:rPr/>
        <w:t>suggests</w:t>
      </w:r>
      <w:r>
        <w:rPr>
          <w:spacing w:val="-5"/>
        </w:rPr>
        <w:t> </w:t>
      </w:r>
      <w:r>
        <w:rPr/>
        <w:t>that</w:t>
      </w:r>
      <w:r>
        <w:rPr>
          <w:spacing w:val="-3"/>
        </w:rPr>
        <w:t> </w:t>
      </w:r>
      <w:r>
        <w:rPr/>
        <w:t>organization</w:t>
      </w:r>
      <w:r>
        <w:rPr>
          <w:spacing w:val="-2"/>
        </w:rPr>
        <w:t> </w:t>
      </w:r>
      <w:r>
        <w:rPr/>
        <w:t>is</w:t>
      </w:r>
      <w:r>
        <w:rPr>
          <w:spacing w:val="-1"/>
        </w:rPr>
        <w:t> </w:t>
      </w:r>
      <w:r>
        <w:rPr/>
        <w:t>not</w:t>
      </w:r>
      <w:r>
        <w:rPr>
          <w:spacing w:val="-3"/>
        </w:rPr>
        <w:t> </w:t>
      </w:r>
      <w:r>
        <w:rPr/>
        <w:t>a</w:t>
      </w:r>
      <w:r>
        <w:rPr>
          <w:spacing w:val="-3"/>
        </w:rPr>
        <w:t> </w:t>
      </w:r>
      <w:r>
        <w:rPr/>
        <w:t>collection</w:t>
      </w:r>
      <w:r>
        <w:rPr>
          <w:spacing w:val="-2"/>
        </w:rPr>
        <w:t> </w:t>
      </w:r>
      <w:r>
        <w:rPr/>
        <w:t>of</w:t>
      </w:r>
      <w:r>
        <w:rPr>
          <w:spacing w:val="-4"/>
        </w:rPr>
        <w:t> </w:t>
      </w:r>
      <w:r>
        <w:rPr/>
        <w:t>its</w:t>
      </w:r>
      <w:r>
        <w:rPr>
          <w:spacing w:val="-5"/>
        </w:rPr>
        <w:t> </w:t>
      </w:r>
      <w:r>
        <w:rPr/>
        <w:t>members as defined in classical theories, but it is rather “a construction made of conversation.”(</w:t>
      </w:r>
      <w:hyperlink w:history="true" w:anchor="_bookmark380">
        <w:r>
          <w:rPr/>
          <w:t>Schoeneborn, 2011</w:t>
        </w:r>
      </w:hyperlink>
      <w:r>
        <w:rPr/>
        <w:t>) There are different strands in CCO. Scholars from those strands understand communication in various ways. It is typical to study particular forms of communicating: texts, conversations,</w:t>
      </w:r>
    </w:p>
    <w:p>
      <w:pPr>
        <w:pStyle w:val="BodyText"/>
        <w:spacing w:before="2"/>
        <w:ind w:left="0"/>
        <w:jc w:val="left"/>
        <w:rPr>
          <w:sz w:val="12"/>
        </w:rPr>
      </w:pPr>
      <w:r>
        <w:rPr>
          <w:sz w:val="12"/>
        </w:rPr>
        <mc:AlternateContent>
          <mc:Choice Requires="wps">
            <w:drawing>
              <wp:anchor distT="0" distB="0" distL="0" distR="0" allowOverlap="1" layoutInCell="1" locked="0" behindDoc="1" simplePos="0" relativeHeight="487640576">
                <wp:simplePos x="0" y="0"/>
                <wp:positionH relativeFrom="page">
                  <wp:posOffset>1079296</wp:posOffset>
                </wp:positionH>
                <wp:positionV relativeFrom="paragraph">
                  <wp:posOffset>117202</wp:posOffset>
                </wp:positionV>
                <wp:extent cx="1830070" cy="9525"/>
                <wp:effectExtent l="0" t="0" r="0" b="0"/>
                <wp:wrapTopAndBottom/>
                <wp:docPr id="124" name="Graphic 124"/>
                <wp:cNvGraphicFramePr>
                  <a:graphicFrameLocks/>
                </wp:cNvGraphicFramePr>
                <a:graphic>
                  <a:graphicData uri="http://schemas.microsoft.com/office/word/2010/wordprocessingShape">
                    <wps:wsp>
                      <wps:cNvPr id="124" name="Graphic 124"/>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9.22852pt;width:144.07pt;height:.72003pt;mso-position-horizontal-relative:page;mso-position-vertical-relative:paragraph;z-index:-15675904;mso-wrap-distance-left:0;mso-wrap-distance-right:0" id="docshape117" filled="true" fillcolor="#000000" stroked="false">
                <v:fill type="solid"/>
                <w10:wrap type="topAndBottom"/>
              </v:rect>
            </w:pict>
          </mc:Fallback>
        </mc:AlternateContent>
      </w:r>
    </w:p>
    <w:p>
      <w:pPr>
        <w:spacing w:before="103"/>
        <w:ind w:left="979" w:right="0" w:firstLine="0"/>
        <w:jc w:val="left"/>
        <w:rPr>
          <w:rFonts w:ascii="Calibri"/>
          <w:sz w:val="20"/>
        </w:rPr>
      </w:pPr>
      <w:r>
        <w:rPr>
          <w:rFonts w:ascii="Calibri"/>
          <w:sz w:val="20"/>
          <w:vertAlign w:val="superscript"/>
        </w:rPr>
        <w:t>21</w:t>
      </w:r>
      <w:r>
        <w:rPr>
          <w:rFonts w:ascii="Calibri"/>
          <w:spacing w:val="-6"/>
          <w:sz w:val="20"/>
          <w:vertAlign w:val="baseline"/>
        </w:rPr>
        <w:t> </w:t>
      </w:r>
      <w:r>
        <w:rPr>
          <w:rFonts w:ascii="Calibri"/>
          <w:sz w:val="20"/>
          <w:vertAlign w:val="baseline"/>
        </w:rPr>
        <w:t>Abbreviation:</w:t>
      </w:r>
      <w:r>
        <w:rPr>
          <w:rFonts w:ascii="Calibri"/>
          <w:spacing w:val="-11"/>
          <w:sz w:val="20"/>
          <w:vertAlign w:val="baseline"/>
        </w:rPr>
        <w:t> </w:t>
      </w:r>
      <w:r>
        <w:rPr>
          <w:rFonts w:ascii="Calibri"/>
          <w:sz w:val="20"/>
          <w:vertAlign w:val="baseline"/>
        </w:rPr>
        <w:t>communication</w:t>
      </w:r>
      <w:r>
        <w:rPr>
          <w:rFonts w:ascii="Calibri"/>
          <w:spacing w:val="-10"/>
          <w:sz w:val="20"/>
          <w:vertAlign w:val="baseline"/>
        </w:rPr>
        <w:t> </w:t>
      </w:r>
      <w:r>
        <w:rPr>
          <w:rFonts w:ascii="Calibri"/>
          <w:sz w:val="20"/>
          <w:vertAlign w:val="baseline"/>
        </w:rPr>
        <w:t>constitutes</w:t>
      </w:r>
      <w:r>
        <w:rPr>
          <w:rFonts w:ascii="Calibri"/>
          <w:spacing w:val="-9"/>
          <w:sz w:val="20"/>
          <w:vertAlign w:val="baseline"/>
        </w:rPr>
        <w:t> </w:t>
      </w:r>
      <w:r>
        <w:rPr>
          <w:rFonts w:ascii="Calibri"/>
          <w:spacing w:val="-2"/>
          <w:sz w:val="20"/>
          <w:vertAlign w:val="baseline"/>
        </w:rPr>
        <w:t>organizations</w:t>
      </w:r>
    </w:p>
    <w:p>
      <w:pPr>
        <w:spacing w:after="0"/>
        <w:jc w:val="left"/>
        <w:rPr>
          <w:rFonts w:ascii="Calibri"/>
          <w:sz w:val="20"/>
        </w:rPr>
        <w:sectPr>
          <w:pgSz w:w="12240" w:h="15840"/>
          <w:pgMar w:header="1046" w:footer="0" w:top="1360" w:bottom="280" w:left="720" w:right="360"/>
        </w:sectPr>
      </w:pPr>
    </w:p>
    <w:p>
      <w:pPr>
        <w:pStyle w:val="BodyText"/>
        <w:spacing w:line="271" w:lineRule="auto" w:before="276"/>
        <w:ind w:right="1907"/>
      </w:pPr>
      <w:r>
        <w:rPr/>
        <w:t>discourses etc. The scientists from the North American school were largely influenced by </w:t>
      </w:r>
      <w:r>
        <w:rPr>
          <w:sz w:val="27"/>
        </w:rPr>
        <w:t>Luhmann</w:t>
      </w:r>
      <w:r>
        <w:rPr/>
        <w:t>, they share the idea of self-organization via communication. (</w:t>
      </w:r>
      <w:hyperlink w:history="true" w:anchor="_bookmark139">
        <w:r>
          <w:rPr/>
          <w:t>Cooren, Kuhn, Cornelissen, &amp; Clark, 2011, p. 8</w:t>
        </w:r>
      </w:hyperlink>
      <w:r>
        <w:rPr/>
        <w:t>)</w:t>
      </w:r>
    </w:p>
    <w:p>
      <w:pPr>
        <w:pStyle w:val="BodyText"/>
        <w:spacing w:line="273" w:lineRule="auto"/>
        <w:ind w:right="1904" w:firstLine="720"/>
      </w:pPr>
      <w:r>
        <w:rPr/>
        <w:t>According to </w:t>
      </w:r>
      <w:r>
        <w:rPr>
          <w:sz w:val="27"/>
        </w:rPr>
        <w:t>Luhmann </w:t>
      </w:r>
      <w:r>
        <w:rPr/>
        <w:t>constitutive communication for the organization is decision making. Communicating decisions in organizations happen only when “</w:t>
      </w:r>
      <w:r>
        <w:rPr>
          <w:sz w:val="27"/>
        </w:rPr>
        <w:t>undecidable decisions</w:t>
      </w:r>
      <w:r>
        <w:rPr/>
        <w:t>” are being decided: “Only those questions that are in principle undecidable, we can decide… the decidable questions are already decided by the choice of the framework.” (</w:t>
      </w:r>
      <w:hyperlink w:history="true" w:anchor="_bookmark183">
        <w:r>
          <w:rPr/>
          <w:t>Foerster,</w:t>
        </w:r>
      </w:hyperlink>
      <w:r>
        <w:rPr/>
        <w:t> </w:t>
      </w:r>
      <w:hyperlink w:history="true" w:anchor="_bookmark183">
        <w:r>
          <w:rPr/>
          <w:t>1995, p. 5</w:t>
        </w:r>
      </w:hyperlink>
      <w:r>
        <w:rPr/>
        <w:t>) If the question does not allow uncertainty, there is nothing to decide about. When one takes a decision, one makes a selection from every other</w:t>
      </w:r>
      <w:r>
        <w:rPr>
          <w:spacing w:val="40"/>
        </w:rPr>
        <w:t> </w:t>
      </w:r>
      <w:r>
        <w:rPr/>
        <w:t>available possibility. This selection is nothing but accepting own old </w:t>
      </w:r>
      <w:r>
        <w:rPr>
          <w:sz w:val="27"/>
        </w:rPr>
        <w:t>contingency</w:t>
      </w:r>
      <w:r>
        <w:rPr/>
        <w:t>, while building up a new one for future decisions. As argued by </w:t>
      </w:r>
      <w:r>
        <w:rPr>
          <w:sz w:val="27"/>
        </w:rPr>
        <w:t>Luhmann</w:t>
      </w:r>
      <w:r>
        <w:rPr/>
        <w:t>: “contingency is the state that is reached if necessity and impossibility are negated.” (</w:t>
      </w:r>
      <w:hyperlink w:history="true" w:anchor="_bookmark380">
        <w:r>
          <w:rPr/>
          <w:t>in Schoeneborn, 2011</w:t>
        </w:r>
      </w:hyperlink>
      <w:r>
        <w:rPr/>
        <w:t>)</w:t>
      </w:r>
      <w:r>
        <w:rPr>
          <w:spacing w:val="80"/>
        </w:rPr>
        <w:t> </w:t>
      </w:r>
      <w:r>
        <w:rPr/>
        <w:t>The recursive work done by the organization aims to generate and tackle its own contingency. “Decisions are fundamentally paradoxical and the paradoxy is threefold,” (</w:t>
      </w:r>
      <w:hyperlink w:history="true" w:anchor="_bookmark78">
        <w:r>
          <w:rPr/>
          <w:t>Andersen,</w:t>
        </w:r>
        <w:r>
          <w:rPr>
            <w:spacing w:val="-4"/>
          </w:rPr>
          <w:t> </w:t>
        </w:r>
        <w:r>
          <w:rPr/>
          <w:t>2001,</w:t>
        </w:r>
        <w:r>
          <w:rPr>
            <w:spacing w:val="-4"/>
          </w:rPr>
          <w:t> </w:t>
        </w:r>
        <w:r>
          <w:rPr/>
          <w:t>p.</w:t>
        </w:r>
        <w:r>
          <w:rPr>
            <w:spacing w:val="-4"/>
          </w:rPr>
          <w:t> </w:t>
        </w:r>
        <w:r>
          <w:rPr/>
          <w:t>9</w:t>
        </w:r>
      </w:hyperlink>
      <w:r>
        <w:rPr/>
        <w:t>)</w:t>
      </w:r>
      <w:r>
        <w:rPr>
          <w:spacing w:val="-4"/>
        </w:rPr>
        <w:t> </w:t>
      </w:r>
      <w:r>
        <w:rPr/>
        <w:t>writes</w:t>
      </w:r>
      <w:r>
        <w:rPr>
          <w:spacing w:val="-2"/>
        </w:rPr>
        <w:t> </w:t>
      </w:r>
      <w:r>
        <w:rPr>
          <w:sz w:val="27"/>
        </w:rPr>
        <w:t>Andersen</w:t>
      </w:r>
      <w:r>
        <w:rPr/>
        <w:t>.</w:t>
      </w:r>
      <w:r>
        <w:rPr>
          <w:spacing w:val="-4"/>
        </w:rPr>
        <w:t> </w:t>
      </w:r>
      <w:r>
        <w:rPr/>
        <w:t>Firstly,</w:t>
      </w:r>
      <w:r>
        <w:rPr>
          <w:spacing w:val="-3"/>
        </w:rPr>
        <w:t> </w:t>
      </w:r>
      <w:r>
        <w:rPr/>
        <w:t>the</w:t>
      </w:r>
      <w:r>
        <w:rPr>
          <w:spacing w:val="-5"/>
        </w:rPr>
        <w:t> </w:t>
      </w:r>
      <w:r>
        <w:rPr/>
        <w:t>non-decidable</w:t>
      </w:r>
      <w:r>
        <w:rPr>
          <w:spacing w:val="-1"/>
        </w:rPr>
        <w:t> </w:t>
      </w:r>
      <w:r>
        <w:rPr/>
        <w:t>nature</w:t>
      </w:r>
      <w:r>
        <w:rPr>
          <w:spacing w:val="-5"/>
        </w:rPr>
        <w:t> </w:t>
      </w:r>
      <w:r>
        <w:rPr/>
        <w:t>of a decision, makes it impossible to define it in classical terms. Any decision “simultaneously potensialises different decisions.” (</w:t>
      </w:r>
      <w:hyperlink w:history="true" w:anchor="_bookmark78">
        <w:r>
          <w:rPr/>
          <w:t>Andersen, 2001, p. 10</w:t>
        </w:r>
      </w:hyperlink>
      <w:r>
        <w:rPr/>
        <w:t>) Secondly, a communication is ascertained as decision only when it is followed by another decision. “thus second paradox consists in a communicative demarcation of the accomplishment of a decision that</w:t>
      </w:r>
      <w:r>
        <w:rPr>
          <w:spacing w:val="40"/>
        </w:rPr>
        <w:t> </w:t>
      </w:r>
      <w:r>
        <w:rPr/>
        <w:t>makes a decision a decision.” (</w:t>
      </w:r>
      <w:hyperlink w:history="true" w:anchor="_bookmark78">
        <w:r>
          <w:rPr/>
          <w:t>2001, p. 10</w:t>
        </w:r>
      </w:hyperlink>
      <w:r>
        <w:rPr/>
        <w:t>) And finally, deciding on what is decision and what is not, is itself a decision.</w:t>
      </w:r>
    </w:p>
    <w:p>
      <w:pPr>
        <w:pStyle w:val="BodyText"/>
        <w:spacing w:line="271" w:lineRule="auto"/>
        <w:ind w:right="1904" w:firstLine="720"/>
        <w:rPr>
          <w:sz w:val="27"/>
        </w:rPr>
      </w:pPr>
      <w:r>
        <w:rPr>
          <w:sz w:val="27"/>
        </w:rPr>
        <w:t>Andersen</w:t>
      </w:r>
      <w:r>
        <w:rPr>
          <w:spacing w:val="-2"/>
          <w:sz w:val="27"/>
        </w:rPr>
        <w:t> </w:t>
      </w:r>
      <w:r>
        <w:rPr/>
        <w:t>clarifies</w:t>
      </w:r>
      <w:r>
        <w:rPr>
          <w:spacing w:val="-4"/>
        </w:rPr>
        <w:t> </w:t>
      </w:r>
      <w:r>
        <w:rPr/>
        <w:t>that</w:t>
      </w:r>
      <w:r>
        <w:rPr>
          <w:spacing w:val="-3"/>
        </w:rPr>
        <w:t> </w:t>
      </w:r>
      <w:r>
        <w:rPr/>
        <w:t>when</w:t>
      </w:r>
      <w:r>
        <w:rPr>
          <w:spacing w:val="-2"/>
        </w:rPr>
        <w:t> </w:t>
      </w:r>
      <w:r>
        <w:rPr/>
        <w:t>an</w:t>
      </w:r>
      <w:r>
        <w:rPr>
          <w:spacing w:val="-5"/>
        </w:rPr>
        <w:t> </w:t>
      </w:r>
      <w:r>
        <w:rPr/>
        <w:t>organization</w:t>
      </w:r>
      <w:r>
        <w:rPr>
          <w:spacing w:val="-2"/>
        </w:rPr>
        <w:t> </w:t>
      </w:r>
      <w:r>
        <w:rPr/>
        <w:t>faces</w:t>
      </w:r>
      <w:r>
        <w:rPr>
          <w:spacing w:val="-4"/>
        </w:rPr>
        <w:t> </w:t>
      </w:r>
      <w:r>
        <w:rPr/>
        <w:t>its</w:t>
      </w:r>
      <w:r>
        <w:rPr>
          <w:spacing w:val="-4"/>
        </w:rPr>
        <w:t> </w:t>
      </w:r>
      <w:r>
        <w:rPr/>
        <w:t>own</w:t>
      </w:r>
      <w:r>
        <w:rPr>
          <w:spacing w:val="-2"/>
        </w:rPr>
        <w:t> </w:t>
      </w:r>
      <w:r>
        <w:rPr/>
        <w:t>paradox</w:t>
      </w:r>
      <w:r>
        <w:rPr>
          <w:spacing w:val="-4"/>
        </w:rPr>
        <w:t> </w:t>
      </w:r>
      <w:r>
        <w:rPr/>
        <w:t>it is paralyzed. In order to continue functioning </w:t>
      </w:r>
      <w:r>
        <w:rPr>
          <w:sz w:val="27"/>
        </w:rPr>
        <w:t>deparadoxification </w:t>
      </w:r>
      <w:r>
        <w:rPr/>
        <w:t>is required. There are three distinguished ways of deparadoxification: temporal, factual and social. </w:t>
      </w:r>
      <w:r>
        <w:rPr>
          <w:sz w:val="27"/>
        </w:rPr>
        <w:t>Temporal </w:t>
      </w:r>
      <w:r>
        <w:rPr/>
        <w:t>deparadoxification creates the moment, which makes reaching the decision unavoidable. For example, the deadline is such a moment. (</w:t>
      </w:r>
      <w:hyperlink w:history="true" w:anchor="_bookmark380">
        <w:r>
          <w:rPr/>
          <w:t>see also, Schoeneborn, 2011</w:t>
        </w:r>
      </w:hyperlink>
      <w:r>
        <w:rPr/>
        <w:t>) With </w:t>
      </w:r>
      <w:r>
        <w:rPr>
          <w:sz w:val="27"/>
        </w:rPr>
        <w:t>factual </w:t>
      </w:r>
      <w:r>
        <w:rPr/>
        <w:t>deparadoxification, organization narrows the variety of possible decisions into</w:t>
      </w:r>
      <w:r>
        <w:rPr>
          <w:spacing w:val="-5"/>
        </w:rPr>
        <w:t> </w:t>
      </w:r>
      <w:r>
        <w:rPr/>
        <w:t>clearly</w:t>
      </w:r>
      <w:r>
        <w:rPr>
          <w:spacing w:val="-2"/>
        </w:rPr>
        <w:t> </w:t>
      </w:r>
      <w:r>
        <w:rPr/>
        <w:t>selectable</w:t>
      </w:r>
      <w:r>
        <w:rPr>
          <w:spacing w:val="3"/>
        </w:rPr>
        <w:t> </w:t>
      </w:r>
      <w:r>
        <w:rPr/>
        <w:t>minimum ones.</w:t>
      </w:r>
      <w:r>
        <w:rPr>
          <w:spacing w:val="-1"/>
        </w:rPr>
        <w:t> </w:t>
      </w:r>
      <w:r>
        <w:rPr/>
        <w:t>This</w:t>
      </w:r>
      <w:r>
        <w:rPr>
          <w:spacing w:val="-3"/>
        </w:rPr>
        <w:t> </w:t>
      </w:r>
      <w:r>
        <w:rPr/>
        <w:t>happens</w:t>
      </w:r>
      <w:r>
        <w:rPr>
          <w:spacing w:val="-3"/>
        </w:rPr>
        <w:t> </w:t>
      </w:r>
      <w:r>
        <w:rPr/>
        <w:t>in</w:t>
      </w:r>
      <w:r>
        <w:rPr>
          <w:spacing w:val="-1"/>
        </w:rPr>
        <w:t> </w:t>
      </w:r>
      <w:r>
        <w:rPr/>
        <w:t>a</w:t>
      </w:r>
      <w:r>
        <w:rPr>
          <w:spacing w:val="-2"/>
        </w:rPr>
        <w:t> </w:t>
      </w:r>
      <w:r>
        <w:rPr/>
        <w:t>logic</w:t>
      </w:r>
      <w:r>
        <w:rPr>
          <w:spacing w:val="2"/>
        </w:rPr>
        <w:t> </w:t>
      </w:r>
      <w:r>
        <w:rPr/>
        <w:t>of</w:t>
      </w:r>
      <w:r>
        <w:rPr>
          <w:spacing w:val="-2"/>
        </w:rPr>
        <w:t> </w:t>
      </w:r>
      <w:r>
        <w:rPr/>
        <w:t>‘</w:t>
      </w:r>
      <w:r>
        <w:rPr>
          <w:sz w:val="27"/>
        </w:rPr>
        <w:t>the</w:t>
      </w:r>
      <w:r>
        <w:rPr>
          <w:spacing w:val="-4"/>
          <w:sz w:val="27"/>
        </w:rPr>
        <w:t> </w:t>
      </w:r>
      <w:r>
        <w:rPr>
          <w:spacing w:val="-2"/>
          <w:sz w:val="27"/>
        </w:rPr>
        <w:t>nature</w:t>
      </w:r>
    </w:p>
    <w:p>
      <w:pPr>
        <w:pStyle w:val="BodyText"/>
        <w:spacing w:after="0" w:line="271" w:lineRule="auto"/>
        <w:rPr>
          <w:sz w:val="27"/>
        </w:rPr>
        <w:sectPr>
          <w:pgSz w:w="12240" w:h="15840"/>
          <w:pgMar w:header="1046" w:footer="0" w:top="1360" w:bottom="280" w:left="720" w:right="360"/>
        </w:sectPr>
      </w:pPr>
    </w:p>
    <w:p>
      <w:pPr>
        <w:pStyle w:val="BodyText"/>
        <w:spacing w:line="273" w:lineRule="auto" w:before="266"/>
        <w:ind w:right="1907"/>
      </w:pPr>
      <w:r>
        <w:rPr>
          <w:sz w:val="27"/>
        </w:rPr>
        <w:t>of the case</w:t>
      </w:r>
      <w:r>
        <w:rPr/>
        <w:t>,’ objectifying environmental happenings into decision patterns, facilitates overcoming the paradox. </w:t>
      </w:r>
      <w:r>
        <w:rPr>
          <w:sz w:val="27"/>
        </w:rPr>
        <w:t>Nature of the case </w:t>
      </w:r>
      <w:r>
        <w:rPr/>
        <w:t>requires us to select from a fixed number of appropriate habitual decisions at hand, instead of whole variety decisions that can be communicated. E.g. If it is raining outside and our friend has to get home on time, we may propose him a ride back, offer an umbrella, or call the taxi. If we don’t have a car, we would just offer a cab or</w:t>
      </w:r>
      <w:r>
        <w:rPr>
          <w:spacing w:val="80"/>
        </w:rPr>
        <w:t> </w:t>
      </w:r>
      <w:r>
        <w:rPr/>
        <w:t>an umbrella. We made these selections as a response to the state of the environment considering our resources. The decisions we could have come to were infinite, however feeling of urgency made us to narrow down the choice. </w:t>
      </w:r>
      <w:r>
        <w:rPr>
          <w:sz w:val="27"/>
        </w:rPr>
        <w:t>Social </w:t>
      </w:r>
      <w:r>
        <w:rPr/>
        <w:t>deparadoxification “is about making decisions look as if they had in fact already been made so that their formalization is the thing left.” (</w:t>
      </w:r>
      <w:hyperlink w:history="true" w:anchor="_bookmark78">
        <w:r>
          <w:rPr/>
          <w:t>Andersen, 2001, pp. 11-13</w:t>
        </w:r>
      </w:hyperlink>
      <w:r>
        <w:rPr/>
        <w:t>)</w:t>
      </w:r>
    </w:p>
    <w:p>
      <w:pPr>
        <w:pStyle w:val="BodyText"/>
        <w:spacing w:line="273" w:lineRule="auto" w:before="6"/>
        <w:ind w:right="1904" w:firstLine="720"/>
      </w:pPr>
      <w:r>
        <w:rPr/>
        <w:t>Social deparadoxification is closely connected with a problem of </w:t>
      </w:r>
      <w:r>
        <w:rPr>
          <w:sz w:val="27"/>
        </w:rPr>
        <w:t>legitimacy</w:t>
      </w:r>
      <w:r>
        <w:rPr/>
        <w:t>. Legitimacy, for the theorists of organization, is mostly related with unity’s relations with the social environment. The questions are posed this way: which organizations are legitimate? And how do we know that they are legitimate? First, as </w:t>
      </w:r>
      <w:r>
        <w:rPr>
          <w:sz w:val="27"/>
        </w:rPr>
        <w:t>Meyer </w:t>
      </w:r>
      <w:r>
        <w:rPr/>
        <w:t>and </w:t>
      </w:r>
      <w:r>
        <w:rPr>
          <w:sz w:val="27"/>
        </w:rPr>
        <w:t>Scott </w:t>
      </w:r>
      <w:r>
        <w:rPr/>
        <w:t>argue, “a completely legitimate organization would be one about which no question could be raised.” (</w:t>
      </w:r>
      <w:hyperlink w:history="true" w:anchor="_bookmark155">
        <w:r>
          <w:rPr/>
          <w:t>In: Deephouse &amp; Suchman, p. 50</w:t>
        </w:r>
      </w:hyperlink>
      <w:r>
        <w:rPr/>
        <w:t>) Second, if the first condition applies; the organizational output, cannot not be in conflict with core functional values of the environment. In </w:t>
      </w:r>
      <w:r>
        <w:rPr>
          <w:sz w:val="27"/>
        </w:rPr>
        <w:t>Suchman</w:t>
      </w:r>
      <w:r>
        <w:rPr/>
        <w:t>’s words the unity is legitimate when: “the actions of an entity are desirable, proper, or appropriate within some socially constructed system of norms, values, beliefs and definitions.” (</w:t>
      </w:r>
      <w:hyperlink w:history="true" w:anchor="_bookmark406">
        <w:r>
          <w:rPr/>
          <w:t>1995, p. 574</w:t>
        </w:r>
      </w:hyperlink>
      <w:r>
        <w:rPr/>
        <w:t>) However, dynamic nature of the society implies that organizational legitimacy cannot be static. Once established, it requires the constant maintenance, according to changes in the environment.</w:t>
      </w:r>
      <w:r>
        <w:rPr>
          <w:spacing w:val="40"/>
        </w:rPr>
        <w:t> </w:t>
      </w:r>
      <w:r>
        <w:rPr/>
        <w:t>The societal transformations pressure organizations to prepare legitimation strategies. If the unity does not posses tools to deal</w:t>
      </w:r>
      <w:r>
        <w:rPr>
          <w:spacing w:val="40"/>
        </w:rPr>
        <w:t> </w:t>
      </w:r>
      <w:r>
        <w:rPr/>
        <w:t>with the hostile societal discourses, then it has to modify the outputs. For example,</w:t>
      </w:r>
      <w:r>
        <w:rPr>
          <w:spacing w:val="-1"/>
        </w:rPr>
        <w:t> </w:t>
      </w:r>
      <w:r>
        <w:rPr/>
        <w:t>transnational companies who operate</w:t>
      </w:r>
      <w:r>
        <w:rPr>
          <w:spacing w:val="-2"/>
        </w:rPr>
        <w:t> </w:t>
      </w:r>
      <w:r>
        <w:rPr/>
        <w:t>in</w:t>
      </w:r>
      <w:r>
        <w:rPr>
          <w:spacing w:val="-1"/>
        </w:rPr>
        <w:t> </w:t>
      </w:r>
      <w:r>
        <w:rPr/>
        <w:t>different</w:t>
      </w:r>
      <w:r>
        <w:rPr>
          <w:spacing w:val="-2"/>
        </w:rPr>
        <w:t> </w:t>
      </w:r>
      <w:r>
        <w:rPr/>
        <w:t>countries,</w:t>
      </w:r>
      <w:r>
        <w:rPr>
          <w:spacing w:val="-1"/>
        </w:rPr>
        <w:t> </w:t>
      </w:r>
      <w:r>
        <w:rPr/>
        <w:t>might have different environmental policies, according to local regulations. In the USA</w:t>
      </w:r>
      <w:r>
        <w:rPr>
          <w:spacing w:val="-3"/>
        </w:rPr>
        <w:t> </w:t>
      </w:r>
      <w:r>
        <w:rPr/>
        <w:t>most of republicans do</w:t>
      </w:r>
      <w:r>
        <w:rPr>
          <w:spacing w:val="-4"/>
        </w:rPr>
        <w:t> </w:t>
      </w:r>
      <w:r>
        <w:rPr/>
        <w:t>not believe that global</w:t>
      </w:r>
      <w:r>
        <w:rPr>
          <w:spacing w:val="-4"/>
        </w:rPr>
        <w:t> </w:t>
      </w:r>
      <w:r>
        <w:rPr/>
        <w:t>warming is a</w:t>
      </w:r>
      <w:r>
        <w:rPr>
          <w:spacing w:val="-1"/>
        </w:rPr>
        <w:t> </w:t>
      </w:r>
      <w:r>
        <w:rPr/>
        <w:t>real</w:t>
      </w:r>
      <w:r>
        <w:rPr>
          <w:spacing w:val="-3"/>
        </w:rPr>
        <w:t> </w:t>
      </w:r>
      <w:r>
        <w:rPr/>
        <w:t>threat,</w:t>
      </w:r>
    </w:p>
    <w:p>
      <w:pPr>
        <w:pStyle w:val="BodyText"/>
        <w:spacing w:after="0" w:line="273" w:lineRule="auto"/>
        <w:sectPr>
          <w:pgSz w:w="12240" w:h="15840"/>
          <w:pgMar w:header="1046" w:footer="0" w:top="1360" w:bottom="280" w:left="720" w:right="360"/>
        </w:sectPr>
      </w:pPr>
    </w:p>
    <w:p>
      <w:pPr>
        <w:pStyle w:val="BodyText"/>
        <w:spacing w:line="276" w:lineRule="auto" w:before="276"/>
        <w:ind w:right="1911"/>
      </w:pPr>
      <w:r>
        <w:rPr/>
        <w:t>while their Democrat opponents argue the opposite. Those companies who produce ‘green’ cars, are more likely to support democrats, while others who are not willing to change their outputs, would arguably support the </w:t>
      </w:r>
      <w:r>
        <w:rPr>
          <w:spacing w:val="-2"/>
        </w:rPr>
        <w:t>Republicans.</w:t>
      </w:r>
    </w:p>
    <w:p>
      <w:pPr>
        <w:pStyle w:val="BodyText"/>
        <w:spacing w:line="273" w:lineRule="auto"/>
        <w:ind w:right="1907" w:firstLine="720"/>
      </w:pPr>
      <w:r>
        <w:rPr/>
        <w:t>We will return to the system/environment discussions later in this chapter. Nevertheless, our primary interest is not to examine how the</w:t>
      </w:r>
      <w:r>
        <w:rPr>
          <w:spacing w:val="80"/>
        </w:rPr>
        <w:t> </w:t>
      </w:r>
      <w:r>
        <w:rPr/>
        <w:t>entity achieves external legitimacy. Instead, we seek to clarify the ways in which operational legitimacy of the organization is maintained in relation with the systemic structure.</w:t>
      </w:r>
      <w:r>
        <w:rPr>
          <w:position w:val="7"/>
          <w:sz w:val="15"/>
        </w:rPr>
        <w:t>22</w:t>
      </w:r>
      <w:r>
        <w:rPr>
          <w:spacing w:val="39"/>
          <w:position w:val="7"/>
          <w:sz w:val="15"/>
        </w:rPr>
        <w:t> </w:t>
      </w:r>
      <w:r>
        <w:rPr/>
        <w:t>We may think of each </w:t>
      </w:r>
      <w:r>
        <w:rPr>
          <w:sz w:val="27"/>
        </w:rPr>
        <w:t>holonic </w:t>
      </w:r>
      <w:r>
        <w:rPr/>
        <w:t>level as being environments for the others. The decisions made by the principals have to be taken for granted, without questioning.</w:t>
      </w:r>
    </w:p>
    <w:p>
      <w:pPr>
        <w:pStyle w:val="BodyText"/>
        <w:spacing w:line="273" w:lineRule="auto" w:before="9"/>
        <w:ind w:right="1905" w:firstLine="720"/>
      </w:pPr>
      <w:r>
        <w:rPr/>
        <w:t>In highly centralized companies, where the principals give a little flexibility to the agents, legitimacy is ensured by the formal rules. A</w:t>
      </w:r>
      <w:r>
        <w:rPr>
          <w:vertAlign w:val="subscript"/>
        </w:rPr>
        <w:t>A</w:t>
      </w:r>
      <w:r>
        <w:rPr>
          <w:spacing w:val="-15"/>
          <w:vertAlign w:val="baseline"/>
        </w:rPr>
        <w:t> </w:t>
      </w:r>
      <w:r>
        <w:rPr>
          <w:vertAlign w:val="baseline"/>
        </w:rPr>
        <w:t>is not allowed to question A</w:t>
      </w:r>
      <w:r>
        <w:rPr>
          <w:vertAlign w:val="subscript"/>
        </w:rPr>
        <w:t>P,</w:t>
      </w:r>
      <w:r>
        <w:rPr>
          <w:vertAlign w:val="baseline"/>
        </w:rPr>
        <w:t> even if the questioning leads to a better solution. This model of asserting legitimacy comes from the old way of managing a work process involving the mostly uneducated employees. Principals were experts not only in the management, they had an in depth knowledge of</w:t>
      </w:r>
      <w:r>
        <w:rPr>
          <w:spacing w:val="40"/>
          <w:vertAlign w:val="baseline"/>
        </w:rPr>
        <w:t> </w:t>
      </w:r>
      <w:r>
        <w:rPr>
          <w:vertAlign w:val="baseline"/>
        </w:rPr>
        <w:t>the</w:t>
      </w:r>
      <w:r>
        <w:rPr>
          <w:spacing w:val="40"/>
          <w:vertAlign w:val="baseline"/>
        </w:rPr>
        <w:t> </w:t>
      </w:r>
      <w:r>
        <w:rPr>
          <w:vertAlign w:val="baseline"/>
        </w:rPr>
        <w:t>technical matters. The directors had to monitor and supervise the agents, who needed a constant guidance for fulfilling their objectives properly. Employees had no right to initiate decisions, because they did not have enough knowledge to do so. Situation has largely changed in the modern world, as </w:t>
      </w:r>
      <w:r>
        <w:rPr>
          <w:sz w:val="27"/>
          <w:vertAlign w:val="baseline"/>
        </w:rPr>
        <w:t>Russel Ackoff</w:t>
      </w:r>
      <w:r>
        <w:rPr>
          <w:spacing w:val="40"/>
          <w:sz w:val="27"/>
          <w:vertAlign w:val="baseline"/>
        </w:rPr>
        <w:t> </w:t>
      </w:r>
      <w:r>
        <w:rPr>
          <w:vertAlign w:val="baseline"/>
        </w:rPr>
        <w:t>argues: “today, most employees can do their jobs better than their bosses can…this in turn requires the ability to control a significant part of what they do, to exercise freedom of choice.” (</w:t>
      </w:r>
      <w:hyperlink w:history="true" w:anchor="_bookmark67">
        <w:r>
          <w:rPr>
            <w:vertAlign w:val="baseline"/>
          </w:rPr>
          <w:t>Ackoff, 1999b, p. 180</w:t>
        </w:r>
      </w:hyperlink>
      <w:r>
        <w:rPr>
          <w:vertAlign w:val="baseline"/>
        </w:rPr>
        <w:t>) We have mentioned before, that the agents on a single </w:t>
      </w:r>
      <w:r>
        <w:rPr>
          <w:sz w:val="27"/>
          <w:vertAlign w:val="baseline"/>
        </w:rPr>
        <w:t>holonic </w:t>
      </w:r>
      <w:r>
        <w:rPr>
          <w:vertAlign w:val="baseline"/>
        </w:rPr>
        <w:t>level are autonomous and self-reliant but they are also dependent on systemic organization. In the old style firms, dependence corresponded to the amount of control imposed on the agents. In</w:t>
      </w:r>
      <w:r>
        <w:rPr>
          <w:spacing w:val="-1"/>
          <w:vertAlign w:val="baseline"/>
        </w:rPr>
        <w:t> </w:t>
      </w:r>
      <w:r>
        <w:rPr>
          <w:vertAlign w:val="baseline"/>
        </w:rPr>
        <w:t>unity that we have in mind, dependence is determined by the </w:t>
      </w:r>
      <w:r>
        <w:rPr>
          <w:sz w:val="27"/>
          <w:vertAlign w:val="baseline"/>
        </w:rPr>
        <w:t>operational</w:t>
      </w:r>
      <w:r>
        <w:rPr>
          <w:spacing w:val="-2"/>
          <w:sz w:val="27"/>
          <w:vertAlign w:val="baseline"/>
        </w:rPr>
        <w:t> </w:t>
      </w:r>
      <w:r>
        <w:rPr>
          <w:sz w:val="27"/>
          <w:vertAlign w:val="baseline"/>
        </w:rPr>
        <w:t>legitimacy</w:t>
      </w:r>
      <w:r>
        <w:rPr>
          <w:vertAlign w:val="baseline"/>
        </w:rPr>
        <w:t>.</w:t>
      </w:r>
    </w:p>
    <w:p>
      <w:pPr>
        <w:pStyle w:val="BodyText"/>
        <w:spacing w:line="276" w:lineRule="auto" w:before="20"/>
        <w:ind w:right="1909" w:firstLine="720"/>
      </w:pPr>
      <w:r>
        <w:rPr/>
        <w:t>The starting point for understanding the organizational control resides</w:t>
      </w:r>
      <w:r>
        <w:rPr>
          <w:spacing w:val="31"/>
        </w:rPr>
        <w:t> </w:t>
      </w:r>
      <w:r>
        <w:rPr/>
        <w:t>in</w:t>
      </w:r>
      <w:r>
        <w:rPr>
          <w:spacing w:val="36"/>
        </w:rPr>
        <w:t> </w:t>
      </w:r>
      <w:r>
        <w:rPr/>
        <w:t>a</w:t>
      </w:r>
      <w:r>
        <w:rPr>
          <w:spacing w:val="33"/>
        </w:rPr>
        <w:t> </w:t>
      </w:r>
      <w:r>
        <w:rPr/>
        <w:t>fact</w:t>
      </w:r>
      <w:r>
        <w:rPr>
          <w:spacing w:val="33"/>
        </w:rPr>
        <w:t> </w:t>
      </w:r>
      <w:r>
        <w:rPr/>
        <w:t>that</w:t>
      </w:r>
      <w:r>
        <w:rPr>
          <w:spacing w:val="30"/>
        </w:rPr>
        <w:t> </w:t>
      </w:r>
      <w:r>
        <w:rPr/>
        <w:t>in</w:t>
      </w:r>
      <w:r>
        <w:rPr>
          <w:spacing w:val="34"/>
        </w:rPr>
        <w:t> </w:t>
      </w:r>
      <w:r>
        <w:rPr/>
        <w:t>most</w:t>
      </w:r>
      <w:r>
        <w:rPr>
          <w:spacing w:val="33"/>
        </w:rPr>
        <w:t> </w:t>
      </w:r>
      <w:r>
        <w:rPr/>
        <w:t>cases</w:t>
      </w:r>
      <w:r>
        <w:rPr>
          <w:spacing w:val="32"/>
        </w:rPr>
        <w:t> </w:t>
      </w:r>
      <w:r>
        <w:rPr/>
        <w:t>principals</w:t>
      </w:r>
      <w:r>
        <w:rPr>
          <w:spacing w:val="31"/>
        </w:rPr>
        <w:t> </w:t>
      </w:r>
      <w:r>
        <w:rPr/>
        <w:t>and</w:t>
      </w:r>
      <w:r>
        <w:rPr>
          <w:spacing w:val="35"/>
        </w:rPr>
        <w:t> </w:t>
      </w:r>
      <w:r>
        <w:rPr/>
        <w:t>agents</w:t>
      </w:r>
      <w:r>
        <w:rPr>
          <w:spacing w:val="39"/>
        </w:rPr>
        <w:t> </w:t>
      </w:r>
      <w:r>
        <w:rPr/>
        <w:t>have</w:t>
      </w:r>
      <w:r>
        <w:rPr>
          <w:spacing w:val="34"/>
        </w:rPr>
        <w:t> </w:t>
      </w:r>
      <w:r>
        <w:rPr>
          <w:spacing w:val="-2"/>
        </w:rPr>
        <w:t>conflicting</w:t>
      </w:r>
    </w:p>
    <w:p>
      <w:pPr>
        <w:pStyle w:val="BodyText"/>
        <w:spacing w:before="11"/>
        <w:ind w:left="0"/>
        <w:jc w:val="left"/>
        <w:rPr>
          <w:sz w:val="11"/>
        </w:rPr>
      </w:pPr>
      <w:r>
        <w:rPr>
          <w:sz w:val="11"/>
        </w:rPr>
        <mc:AlternateContent>
          <mc:Choice Requires="wps">
            <w:drawing>
              <wp:anchor distT="0" distB="0" distL="0" distR="0" allowOverlap="1" layoutInCell="1" locked="0" behindDoc="1" simplePos="0" relativeHeight="487641088">
                <wp:simplePos x="0" y="0"/>
                <wp:positionH relativeFrom="page">
                  <wp:posOffset>1079296</wp:posOffset>
                </wp:positionH>
                <wp:positionV relativeFrom="paragraph">
                  <wp:posOffset>114706</wp:posOffset>
                </wp:positionV>
                <wp:extent cx="1830070" cy="9525"/>
                <wp:effectExtent l="0" t="0" r="0" b="0"/>
                <wp:wrapTopAndBottom/>
                <wp:docPr id="125" name="Graphic 125"/>
                <wp:cNvGraphicFramePr>
                  <a:graphicFrameLocks/>
                </wp:cNvGraphicFramePr>
                <a:graphic>
                  <a:graphicData uri="http://schemas.microsoft.com/office/word/2010/wordprocessingShape">
                    <wps:wsp>
                      <wps:cNvPr id="125" name="Graphic 125"/>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9.032009pt;width:144.07pt;height:.72003pt;mso-position-horizontal-relative:page;mso-position-vertical-relative:paragraph;z-index:-15675392;mso-wrap-distance-left:0;mso-wrap-distance-right:0" id="docshape118" filled="true" fillcolor="#000000" stroked="false">
                <v:fill type="solid"/>
                <w10:wrap type="topAndBottom"/>
              </v:rect>
            </w:pict>
          </mc:Fallback>
        </mc:AlternateContent>
      </w:r>
    </w:p>
    <w:p>
      <w:pPr>
        <w:spacing w:before="103"/>
        <w:ind w:left="979" w:right="0" w:firstLine="0"/>
        <w:jc w:val="left"/>
        <w:rPr>
          <w:rFonts w:ascii="Calibri" w:hAnsi="Calibri"/>
          <w:sz w:val="20"/>
        </w:rPr>
      </w:pPr>
      <w:r>
        <w:rPr>
          <w:rFonts w:ascii="Calibri" w:hAnsi="Calibri"/>
          <w:sz w:val="20"/>
          <w:vertAlign w:val="superscript"/>
        </w:rPr>
        <w:t>22</w:t>
      </w:r>
      <w:r>
        <w:rPr>
          <w:rFonts w:ascii="Calibri" w:hAnsi="Calibri"/>
          <w:spacing w:val="-4"/>
          <w:sz w:val="20"/>
          <w:vertAlign w:val="baseline"/>
        </w:rPr>
        <w:t> </w:t>
      </w:r>
      <w:r>
        <w:rPr>
          <w:rFonts w:ascii="Calibri" w:hAnsi="Calibri"/>
          <w:sz w:val="20"/>
          <w:vertAlign w:val="baseline"/>
        </w:rPr>
        <w:t>Organization/structure</w:t>
      </w:r>
      <w:r>
        <w:rPr>
          <w:rFonts w:ascii="Calibri" w:hAnsi="Calibri"/>
          <w:spacing w:val="-9"/>
          <w:sz w:val="20"/>
          <w:vertAlign w:val="baseline"/>
        </w:rPr>
        <w:t> </w:t>
      </w:r>
      <w:r>
        <w:rPr>
          <w:rFonts w:ascii="Calibri" w:hAnsi="Calibri"/>
          <w:sz w:val="20"/>
          <w:vertAlign w:val="baseline"/>
        </w:rPr>
        <w:t>–</w:t>
      </w:r>
      <w:r>
        <w:rPr>
          <w:rFonts w:ascii="Calibri" w:hAnsi="Calibri"/>
          <w:spacing w:val="-9"/>
          <w:sz w:val="20"/>
          <w:vertAlign w:val="baseline"/>
        </w:rPr>
        <w:t> </w:t>
      </w:r>
      <w:r>
        <w:rPr>
          <w:rFonts w:ascii="Calibri" w:hAnsi="Calibri"/>
          <w:sz w:val="20"/>
          <w:vertAlign w:val="baseline"/>
        </w:rPr>
        <w:t>as</w:t>
      </w:r>
      <w:r>
        <w:rPr>
          <w:rFonts w:ascii="Calibri" w:hAnsi="Calibri"/>
          <w:spacing w:val="-8"/>
          <w:sz w:val="20"/>
          <w:vertAlign w:val="baseline"/>
        </w:rPr>
        <w:t> </w:t>
      </w:r>
      <w:r>
        <w:rPr>
          <w:rFonts w:ascii="Calibri" w:hAnsi="Calibri"/>
          <w:sz w:val="20"/>
          <w:vertAlign w:val="baseline"/>
        </w:rPr>
        <w:t>in</w:t>
      </w:r>
      <w:r>
        <w:rPr>
          <w:rFonts w:ascii="Calibri" w:hAnsi="Calibri"/>
          <w:spacing w:val="-5"/>
          <w:sz w:val="20"/>
          <w:vertAlign w:val="baseline"/>
        </w:rPr>
        <w:t> </w:t>
      </w:r>
      <w:r>
        <w:rPr>
          <w:rFonts w:ascii="Calibri" w:hAnsi="Calibri"/>
          <w:i/>
          <w:sz w:val="20"/>
          <w:vertAlign w:val="baseline"/>
        </w:rPr>
        <w:t>Maturana</w:t>
      </w:r>
      <w:r>
        <w:rPr>
          <w:rFonts w:ascii="Calibri" w:hAnsi="Calibri"/>
          <w:sz w:val="20"/>
          <w:vertAlign w:val="baseline"/>
        </w:rPr>
        <w:t>’s</w:t>
      </w:r>
      <w:r>
        <w:rPr>
          <w:rFonts w:ascii="Calibri" w:hAnsi="Calibri"/>
          <w:spacing w:val="-8"/>
          <w:sz w:val="20"/>
          <w:vertAlign w:val="baseline"/>
        </w:rPr>
        <w:t> </w:t>
      </w:r>
      <w:r>
        <w:rPr>
          <w:rFonts w:ascii="Calibri" w:hAnsi="Calibri"/>
          <w:spacing w:val="-2"/>
          <w:sz w:val="20"/>
          <w:vertAlign w:val="baseline"/>
        </w:rPr>
        <w:t>distinction</w:t>
      </w:r>
    </w:p>
    <w:p>
      <w:pPr>
        <w:spacing w:after="0"/>
        <w:jc w:val="left"/>
        <w:rPr>
          <w:rFonts w:ascii="Calibri" w:hAnsi="Calibri"/>
          <w:sz w:val="20"/>
        </w:rPr>
        <w:sectPr>
          <w:pgSz w:w="12240" w:h="15840"/>
          <w:pgMar w:header="1046" w:footer="0" w:top="1360" w:bottom="280" w:left="720" w:right="360"/>
        </w:sectPr>
      </w:pPr>
    </w:p>
    <w:p>
      <w:pPr>
        <w:pStyle w:val="BodyText"/>
        <w:spacing w:line="276" w:lineRule="auto" w:before="276"/>
        <w:ind w:right="1906"/>
      </w:pPr>
      <w:r>
        <w:rPr/>
        <w:t>interests. There are different ways of control described by the scholars: direct, technological, bureaucratic, ideological, disciplinary. (</w:t>
      </w:r>
      <w:hyperlink w:history="true" w:anchor="_bookmark309">
        <w:r>
          <w:rPr/>
          <w:t>Mumby, 2013,</w:t>
        </w:r>
      </w:hyperlink>
      <w:r>
        <w:rPr/>
        <w:t> </w:t>
      </w:r>
      <w:hyperlink w:history="true" w:anchor="_bookmark309">
        <w:r>
          <w:rPr/>
          <w:t>pp. 8-14</w:t>
        </w:r>
      </w:hyperlink>
      <w:r>
        <w:rPr/>
        <w:t>) Usually, companies combine several mechanisms for good results. However, their preference in the selection of the methods largely depends on the general culture of the organization.</w:t>
      </w:r>
    </w:p>
    <w:p>
      <w:pPr>
        <w:pStyle w:val="BodyText"/>
        <w:spacing w:line="276" w:lineRule="auto"/>
        <w:ind w:right="1903" w:firstLine="787"/>
      </w:pPr>
      <w:r>
        <w:rPr/>
        <w:t>Control</w:t>
      </w:r>
      <w:r>
        <w:rPr>
          <w:spacing w:val="-17"/>
        </w:rPr>
        <w:t> </w:t>
      </w:r>
      <w:r>
        <w:rPr/>
        <w:t>is</w:t>
      </w:r>
      <w:r>
        <w:rPr>
          <w:spacing w:val="-6"/>
        </w:rPr>
        <w:t> </w:t>
      </w:r>
      <w:r>
        <w:rPr/>
        <w:t>a</w:t>
      </w:r>
      <w:r>
        <w:rPr>
          <w:spacing w:val="-2"/>
        </w:rPr>
        <w:t> </w:t>
      </w:r>
      <w:r>
        <w:rPr/>
        <w:t>method</w:t>
      </w:r>
      <w:r>
        <w:rPr>
          <w:spacing w:val="-1"/>
        </w:rPr>
        <w:t> </w:t>
      </w:r>
      <w:r>
        <w:rPr/>
        <w:t>of</w:t>
      </w:r>
      <w:r>
        <w:rPr>
          <w:spacing w:val="-3"/>
        </w:rPr>
        <w:t> </w:t>
      </w:r>
      <w:r>
        <w:rPr/>
        <w:t>communication</w:t>
      </w:r>
      <w:r>
        <w:rPr>
          <w:spacing w:val="-2"/>
        </w:rPr>
        <w:t> </w:t>
      </w:r>
      <w:r>
        <w:rPr/>
        <w:t>that helps</w:t>
      </w:r>
      <w:r>
        <w:rPr>
          <w:spacing w:val="-4"/>
        </w:rPr>
        <w:t> </w:t>
      </w:r>
      <w:r>
        <w:rPr/>
        <w:t>A</w:t>
      </w:r>
      <w:r>
        <w:rPr>
          <w:vertAlign w:val="subscript"/>
        </w:rPr>
        <w:t>P</w:t>
      </w:r>
      <w:r>
        <w:rPr>
          <w:spacing w:val="-17"/>
          <w:vertAlign w:val="baseline"/>
        </w:rPr>
        <w:t> </w:t>
      </w:r>
      <w:r>
        <w:rPr>
          <w:vertAlign w:val="baseline"/>
        </w:rPr>
        <w:t>to</w:t>
      </w:r>
      <w:r>
        <w:rPr>
          <w:spacing w:val="-5"/>
          <w:vertAlign w:val="baseline"/>
        </w:rPr>
        <w:t> </w:t>
      </w:r>
      <w:r>
        <w:rPr>
          <w:vertAlign w:val="baseline"/>
        </w:rPr>
        <w:t>keep</w:t>
      </w:r>
      <w:r>
        <w:rPr>
          <w:spacing w:val="-3"/>
          <w:vertAlign w:val="baseline"/>
        </w:rPr>
        <w:t> </w:t>
      </w:r>
      <w:r>
        <w:rPr>
          <w:vertAlign w:val="baseline"/>
        </w:rPr>
        <w:t>A</w:t>
      </w:r>
      <w:r>
        <w:rPr>
          <w:vertAlign w:val="subscript"/>
        </w:rPr>
        <w:t>A</w:t>
      </w:r>
      <w:r>
        <w:rPr>
          <w:vertAlign w:val="baseline"/>
        </w:rPr>
        <w:t> close to</w:t>
      </w:r>
      <w:r>
        <w:rPr>
          <w:spacing w:val="-5"/>
          <w:vertAlign w:val="baseline"/>
        </w:rPr>
        <w:t> </w:t>
      </w:r>
      <w:r>
        <w:rPr>
          <w:vertAlign w:val="baseline"/>
        </w:rPr>
        <w:t>the</w:t>
      </w:r>
      <w:r>
        <w:rPr>
          <w:spacing w:val="-2"/>
          <w:vertAlign w:val="baseline"/>
        </w:rPr>
        <w:t> </w:t>
      </w:r>
      <w:r>
        <w:rPr>
          <w:vertAlign w:val="baseline"/>
        </w:rPr>
        <w:t>organizational ideal.</w:t>
      </w:r>
      <w:r>
        <w:rPr>
          <w:spacing w:val="-1"/>
          <w:vertAlign w:val="baseline"/>
        </w:rPr>
        <w:t> </w:t>
      </w:r>
      <w:r>
        <w:rPr>
          <w:vertAlign w:val="baseline"/>
        </w:rPr>
        <w:t>In</w:t>
      </w:r>
      <w:r>
        <w:rPr>
          <w:spacing w:val="-1"/>
          <w:vertAlign w:val="baseline"/>
        </w:rPr>
        <w:t> </w:t>
      </w:r>
      <w:r>
        <w:rPr>
          <w:vertAlign w:val="baseline"/>
        </w:rPr>
        <w:t>the</w:t>
      </w:r>
      <w:r>
        <w:rPr>
          <w:spacing w:val="-2"/>
          <w:vertAlign w:val="baseline"/>
        </w:rPr>
        <w:t> </w:t>
      </w:r>
      <w:r>
        <w:rPr>
          <w:vertAlign w:val="baseline"/>
        </w:rPr>
        <w:t>profit</w:t>
      </w:r>
      <w:r>
        <w:rPr>
          <w:spacing w:val="-2"/>
          <w:vertAlign w:val="baseline"/>
        </w:rPr>
        <w:t> </w:t>
      </w:r>
      <w:r>
        <w:rPr>
          <w:vertAlign w:val="baseline"/>
        </w:rPr>
        <w:t>based firms,</w:t>
      </w:r>
      <w:r>
        <w:rPr>
          <w:spacing w:val="-1"/>
          <w:vertAlign w:val="baseline"/>
        </w:rPr>
        <w:t> </w:t>
      </w:r>
      <w:r>
        <w:rPr>
          <w:vertAlign w:val="baseline"/>
        </w:rPr>
        <w:t>this ideal</w:t>
      </w:r>
      <w:r>
        <w:rPr>
          <w:spacing w:val="-4"/>
          <w:vertAlign w:val="baseline"/>
        </w:rPr>
        <w:t> </w:t>
      </w:r>
      <w:r>
        <w:rPr>
          <w:vertAlign w:val="baseline"/>
        </w:rPr>
        <w:t>is</w:t>
      </w:r>
      <w:r>
        <w:rPr>
          <w:spacing w:val="-4"/>
          <w:vertAlign w:val="baseline"/>
        </w:rPr>
        <w:t> </w:t>
      </w:r>
      <w:r>
        <w:rPr>
          <w:vertAlign w:val="baseline"/>
        </w:rPr>
        <w:t>achieving a maximum benefit, at the lowest cost. The costs include possible deviations caused by the agents.</w:t>
      </w:r>
      <w:r>
        <w:rPr>
          <w:spacing w:val="-2"/>
          <w:vertAlign w:val="baseline"/>
        </w:rPr>
        <w:t> </w:t>
      </w:r>
      <w:r>
        <w:rPr>
          <w:vertAlign w:val="baseline"/>
        </w:rPr>
        <w:t>In the authoritative firms, controlling communication is formal, based on constant top down checks and instructions. However, in non authoritarian companies, “superior and subordinate members negotiate for their particular interests, they create, reproduce, and transform the organizational context in which they interact.” (</w:t>
      </w:r>
      <w:hyperlink w:history="true" w:anchor="_bookmark199">
        <w:r>
          <w:rPr>
            <w:vertAlign w:val="baseline"/>
          </w:rPr>
          <w:t>Gossett, 2012, p. 1</w:t>
        </w:r>
      </w:hyperlink>
      <w:r>
        <w:rPr>
          <w:vertAlign w:val="baseline"/>
        </w:rPr>
        <w:t>) This interaction is nothing but bargaining for the level of </w:t>
      </w:r>
      <w:r>
        <w:rPr>
          <w:sz w:val="27"/>
          <w:vertAlign w:val="baseline"/>
        </w:rPr>
        <w:t>median legitimacy</w:t>
      </w:r>
      <w:r>
        <w:rPr>
          <w:vertAlign w:val="baseline"/>
        </w:rPr>
        <w:t>. Median legitimacy involves unquestionability of the authority of principals, and heterarchic autonomy of the agents. Legitimate organization gives power of initiative to the agents involved, however the principals are ones who promote or reject those initiatives.</w:t>
      </w:r>
    </w:p>
    <w:p>
      <w:pPr>
        <w:pStyle w:val="BodyText"/>
        <w:spacing w:line="327" w:lineRule="exact"/>
        <w:ind w:left="1700"/>
      </w:pPr>
      <w:r>
        <w:rPr/>
        <w:t>Unquestionability</w:t>
      </w:r>
      <w:r>
        <w:rPr>
          <w:spacing w:val="28"/>
        </w:rPr>
        <w:t> </w:t>
      </w:r>
      <w:r>
        <w:rPr/>
        <w:t>of</w:t>
      </w:r>
      <w:r>
        <w:rPr>
          <w:spacing w:val="24"/>
        </w:rPr>
        <w:t> </w:t>
      </w:r>
      <w:r>
        <w:rPr/>
        <w:t>the</w:t>
      </w:r>
      <w:r>
        <w:rPr>
          <w:spacing w:val="25"/>
        </w:rPr>
        <w:t> </w:t>
      </w:r>
      <w:r>
        <w:rPr/>
        <w:t>A</w:t>
      </w:r>
      <w:r>
        <w:rPr>
          <w:vertAlign w:val="subscript"/>
        </w:rPr>
        <w:t>P</w:t>
      </w:r>
      <w:r>
        <w:rPr>
          <w:spacing w:val="2"/>
          <w:vertAlign w:val="baseline"/>
        </w:rPr>
        <w:t> </w:t>
      </w:r>
      <w:r>
        <w:rPr>
          <w:vertAlign w:val="baseline"/>
        </w:rPr>
        <w:t>is</w:t>
      </w:r>
      <w:r>
        <w:rPr>
          <w:spacing w:val="23"/>
          <w:vertAlign w:val="baseline"/>
        </w:rPr>
        <w:t> </w:t>
      </w:r>
      <w:r>
        <w:rPr>
          <w:vertAlign w:val="baseline"/>
        </w:rPr>
        <w:t>connected</w:t>
      </w:r>
      <w:r>
        <w:rPr>
          <w:spacing w:val="26"/>
          <w:vertAlign w:val="baseline"/>
        </w:rPr>
        <w:t> </w:t>
      </w:r>
      <w:r>
        <w:rPr>
          <w:vertAlign w:val="baseline"/>
        </w:rPr>
        <w:t>with</w:t>
      </w:r>
      <w:r>
        <w:rPr>
          <w:spacing w:val="28"/>
          <w:vertAlign w:val="baseline"/>
        </w:rPr>
        <w:t> </w:t>
      </w:r>
      <w:r>
        <w:rPr>
          <w:vertAlign w:val="baseline"/>
        </w:rPr>
        <w:t>subordinates’</w:t>
      </w:r>
      <w:r>
        <w:rPr>
          <w:spacing w:val="23"/>
          <w:vertAlign w:val="baseline"/>
        </w:rPr>
        <w:t> </w:t>
      </w:r>
      <w:r>
        <w:rPr>
          <w:spacing w:val="-2"/>
          <w:vertAlign w:val="baseline"/>
        </w:rPr>
        <w:t>loyalty</w:t>
      </w:r>
    </w:p>
    <w:p>
      <w:pPr>
        <w:pStyle w:val="BodyText"/>
        <w:spacing w:line="276" w:lineRule="auto" w:before="52"/>
        <w:ind w:right="1910"/>
      </w:pPr>
      <w:r>
        <w:rPr/>
        <w:t>to the system. Caring about the loyalty of the employees was introduced as</w:t>
      </w:r>
      <w:r>
        <w:rPr>
          <w:spacing w:val="40"/>
        </w:rPr>
        <w:t> </w:t>
      </w:r>
      <w:r>
        <w:rPr/>
        <w:t>a</w:t>
      </w:r>
      <w:r>
        <w:rPr>
          <w:spacing w:val="-3"/>
        </w:rPr>
        <w:t> </w:t>
      </w:r>
      <w:r>
        <w:rPr/>
        <w:t>control</w:t>
      </w:r>
      <w:r>
        <w:rPr>
          <w:spacing w:val="-6"/>
        </w:rPr>
        <w:t> </w:t>
      </w:r>
      <w:r>
        <w:rPr/>
        <w:t>tool</w:t>
      </w:r>
      <w:r>
        <w:rPr>
          <w:spacing w:val="-2"/>
        </w:rPr>
        <w:t> </w:t>
      </w:r>
      <w:r>
        <w:rPr/>
        <w:t>by</w:t>
      </w:r>
      <w:r>
        <w:rPr>
          <w:spacing w:val="-4"/>
        </w:rPr>
        <w:t> </w:t>
      </w:r>
      <w:r>
        <w:rPr/>
        <w:t>the </w:t>
      </w:r>
      <w:r>
        <w:rPr>
          <w:sz w:val="27"/>
        </w:rPr>
        <w:t>welfare</w:t>
      </w:r>
      <w:r>
        <w:rPr>
          <w:spacing w:val="-6"/>
          <w:sz w:val="27"/>
        </w:rPr>
        <w:t> </w:t>
      </w:r>
      <w:r>
        <w:rPr>
          <w:sz w:val="27"/>
        </w:rPr>
        <w:t>capitalism.</w:t>
      </w:r>
      <w:r>
        <w:rPr>
          <w:spacing w:val="-2"/>
          <w:sz w:val="27"/>
        </w:rPr>
        <w:t> </w:t>
      </w:r>
      <w:r>
        <w:rPr/>
        <w:t>In</w:t>
      </w:r>
      <w:r>
        <w:rPr>
          <w:spacing w:val="-3"/>
        </w:rPr>
        <w:t> </w:t>
      </w:r>
      <w:r>
        <w:rPr/>
        <w:t>order</w:t>
      </w:r>
      <w:r>
        <w:rPr>
          <w:spacing w:val="-3"/>
        </w:rPr>
        <w:t> </w:t>
      </w:r>
      <w:r>
        <w:rPr/>
        <w:t>to</w:t>
      </w:r>
      <w:r>
        <w:rPr>
          <w:spacing w:val="-6"/>
        </w:rPr>
        <w:t> </w:t>
      </w:r>
      <w:r>
        <w:rPr/>
        <w:t>harmonize</w:t>
      </w:r>
      <w:r>
        <w:rPr>
          <w:spacing w:val="-3"/>
        </w:rPr>
        <w:t> </w:t>
      </w:r>
      <w:r>
        <w:rPr/>
        <w:t>the</w:t>
      </w:r>
      <w:r>
        <w:rPr>
          <w:spacing w:val="-3"/>
        </w:rPr>
        <w:t> </w:t>
      </w:r>
      <w:r>
        <w:rPr/>
        <w:t>interests of labor and capital, corporations started offering social packages to the workers, the mechanism “promised considerable tangible benefits to those who submitted to the company's paternalism.” (</w:t>
      </w:r>
      <w:hyperlink w:history="true" w:anchor="_bookmark174">
        <w:r>
          <w:rPr/>
          <w:t>Edwards, 1979, pp. 91-95</w:t>
        </w:r>
      </w:hyperlink>
      <w:r>
        <w:rPr/>
        <w:t>) This strategy has failed due to the various reasons. First, welfare system, tries to solve non-systemic issues with limited systemic tools, it requires additional recourses and causes the distractions from the innate systemic operations. Second, once it is launched, the system not only addresses the existing problems but constantly explores new ones. Third, as Edwards argues, “welfare capitalism failed because it did not deal with the fundamental issue of power within the firm.” (</w:t>
      </w:r>
      <w:hyperlink w:history="true" w:anchor="_bookmark174">
        <w:r>
          <w:rPr/>
          <w:t>Edwards, 1979</w:t>
        </w:r>
      </w:hyperlink>
      <w:r>
        <w:rPr/>
        <w:t>)</w:t>
      </w:r>
    </w:p>
    <w:p>
      <w:pPr>
        <w:pStyle w:val="BodyText"/>
        <w:spacing w:after="0" w:line="276" w:lineRule="auto"/>
        <w:sectPr>
          <w:pgSz w:w="12240" w:h="15840"/>
          <w:pgMar w:header="1046" w:footer="0" w:top="1360" w:bottom="280" w:left="720" w:right="360"/>
        </w:sectPr>
      </w:pPr>
    </w:p>
    <w:p>
      <w:pPr>
        <w:pStyle w:val="BodyText"/>
        <w:spacing w:line="273" w:lineRule="auto" w:before="266"/>
        <w:ind w:right="1900" w:firstLine="787"/>
      </w:pPr>
      <w:r>
        <w:rPr>
          <w:sz w:val="27"/>
        </w:rPr>
        <w:t>Pfiffner </w:t>
      </w:r>
      <w:r>
        <w:rPr/>
        <w:t>and </w:t>
      </w:r>
      <w:r>
        <w:rPr>
          <w:sz w:val="27"/>
        </w:rPr>
        <w:t>Sherwood </w:t>
      </w:r>
      <w:r>
        <w:rPr/>
        <w:t>distinguish two different types of </w:t>
      </w:r>
      <w:r>
        <w:rPr>
          <w:sz w:val="27"/>
        </w:rPr>
        <w:t>power </w:t>
      </w:r>
      <w:r>
        <w:rPr/>
        <w:t>in organization.</w:t>
      </w:r>
      <w:r>
        <w:rPr>
          <w:spacing w:val="-7"/>
        </w:rPr>
        <w:t> </w:t>
      </w:r>
      <w:r>
        <w:rPr/>
        <w:t>First</w:t>
      </w:r>
      <w:r>
        <w:rPr>
          <w:spacing w:val="-8"/>
        </w:rPr>
        <w:t> </w:t>
      </w:r>
      <w:r>
        <w:rPr/>
        <w:t>is</w:t>
      </w:r>
      <w:r>
        <w:rPr>
          <w:spacing w:val="-10"/>
        </w:rPr>
        <w:t> </w:t>
      </w:r>
      <w:r>
        <w:rPr/>
        <w:t>a</w:t>
      </w:r>
      <w:r>
        <w:rPr>
          <w:spacing w:val="-4"/>
        </w:rPr>
        <w:t> </w:t>
      </w:r>
      <w:r>
        <w:rPr>
          <w:sz w:val="27"/>
        </w:rPr>
        <w:t>structural</w:t>
      </w:r>
      <w:r>
        <w:rPr>
          <w:spacing w:val="-12"/>
          <w:sz w:val="27"/>
        </w:rPr>
        <w:t> </w:t>
      </w:r>
      <w:r>
        <w:rPr>
          <w:sz w:val="27"/>
        </w:rPr>
        <w:t>power</w:t>
      </w:r>
      <w:r>
        <w:rPr/>
        <w:t>.</w:t>
      </w:r>
      <w:r>
        <w:rPr>
          <w:spacing w:val="-7"/>
        </w:rPr>
        <w:t> </w:t>
      </w:r>
      <w:r>
        <w:rPr/>
        <w:t>It</w:t>
      </w:r>
      <w:r>
        <w:rPr>
          <w:spacing w:val="-8"/>
        </w:rPr>
        <w:t> </w:t>
      </w:r>
      <w:r>
        <w:rPr/>
        <w:t>is</w:t>
      </w:r>
      <w:r>
        <w:rPr>
          <w:spacing w:val="-10"/>
        </w:rPr>
        <w:t> </w:t>
      </w:r>
      <w:r>
        <w:rPr/>
        <w:t>based</w:t>
      </w:r>
      <w:r>
        <w:rPr>
          <w:spacing w:val="-6"/>
        </w:rPr>
        <w:t> </w:t>
      </w:r>
      <w:r>
        <w:rPr/>
        <w:t>on</w:t>
      </w:r>
      <w:r>
        <w:rPr>
          <w:spacing w:val="-7"/>
        </w:rPr>
        <w:t> </w:t>
      </w:r>
      <w:r>
        <w:rPr/>
        <w:t>formal</w:t>
      </w:r>
      <w:r>
        <w:rPr>
          <w:spacing w:val="-6"/>
        </w:rPr>
        <w:t> </w:t>
      </w:r>
      <w:r>
        <w:rPr/>
        <w:t>legitimacy</w:t>
      </w:r>
      <w:r>
        <w:rPr>
          <w:spacing w:val="-9"/>
        </w:rPr>
        <w:t> </w:t>
      </w:r>
      <w:r>
        <w:rPr/>
        <w:t>and uses sanctions as tool of control. Second, is a </w:t>
      </w:r>
      <w:r>
        <w:rPr>
          <w:sz w:val="27"/>
        </w:rPr>
        <w:t>functional power</w:t>
      </w:r>
      <w:r>
        <w:rPr/>
        <w:t>, which is allocated through “specialization and division of the labor.” (</w:t>
      </w:r>
      <w:hyperlink w:history="true" w:anchor="_bookmark334">
        <w:r>
          <w:rPr/>
          <w:t>Pfiffner &amp;</w:t>
        </w:r>
      </w:hyperlink>
      <w:r>
        <w:rPr/>
        <w:t> </w:t>
      </w:r>
      <w:hyperlink w:history="true" w:anchor="_bookmark334">
        <w:r>
          <w:rPr/>
          <w:t>Sherwood, 1960, p. 335</w:t>
        </w:r>
      </w:hyperlink>
      <w:r>
        <w:rPr/>
        <w:t>) In the latter, the “fundamental element is work performed,</w:t>
      </w:r>
      <w:r>
        <w:rPr>
          <w:spacing w:val="-1"/>
        </w:rPr>
        <w:t> </w:t>
      </w:r>
      <w:r>
        <w:rPr/>
        <w:t>rather</w:t>
      </w:r>
      <w:r>
        <w:rPr>
          <w:spacing w:val="-6"/>
        </w:rPr>
        <w:t> </w:t>
      </w:r>
      <w:r>
        <w:rPr/>
        <w:t>than the</w:t>
      </w:r>
      <w:r>
        <w:rPr>
          <w:spacing w:val="-2"/>
        </w:rPr>
        <w:t> </w:t>
      </w:r>
      <w:r>
        <w:rPr/>
        <w:t>status</w:t>
      </w:r>
      <w:r>
        <w:rPr>
          <w:spacing w:val="-4"/>
        </w:rPr>
        <w:t> </w:t>
      </w:r>
      <w:r>
        <w:rPr/>
        <w:t>position</w:t>
      </w:r>
      <w:r>
        <w:rPr>
          <w:spacing w:val="-1"/>
        </w:rPr>
        <w:t> </w:t>
      </w:r>
      <w:r>
        <w:rPr/>
        <w:t>occupied.”</w:t>
      </w:r>
      <w:r>
        <w:rPr>
          <w:spacing w:val="-1"/>
        </w:rPr>
        <w:t> </w:t>
      </w:r>
      <w:r>
        <w:rPr/>
        <w:t>(</w:t>
      </w:r>
      <w:hyperlink w:history="true" w:anchor="_bookmark334">
        <w:r>
          <w:rPr/>
          <w:t>1960,</w:t>
        </w:r>
        <w:r>
          <w:rPr>
            <w:spacing w:val="-1"/>
          </w:rPr>
          <w:t> </w:t>
        </w:r>
        <w:r>
          <w:rPr/>
          <w:t>p.</w:t>
        </w:r>
        <w:r>
          <w:rPr>
            <w:spacing w:val="-1"/>
          </w:rPr>
          <w:t> </w:t>
        </w:r>
        <w:r>
          <w:rPr/>
          <w:t>336</w:t>
        </w:r>
      </w:hyperlink>
      <w:r>
        <w:rPr/>
        <w:t>)</w:t>
      </w:r>
      <w:r>
        <w:rPr>
          <w:spacing w:val="-1"/>
        </w:rPr>
        <w:t> </w:t>
      </w:r>
      <w:r>
        <w:rPr/>
        <w:t>As</w:t>
      </w:r>
      <w:r>
        <w:rPr>
          <w:spacing w:val="-4"/>
        </w:rPr>
        <w:t> </w:t>
      </w:r>
      <w:r>
        <w:rPr/>
        <w:t>far</w:t>
      </w:r>
      <w:r>
        <w:rPr>
          <w:spacing w:val="-1"/>
        </w:rPr>
        <w:t> </w:t>
      </w:r>
      <w:r>
        <w:rPr/>
        <w:t>as every agent has a certain functional role, and therefore some amount of power, the notion of absolute power becomes irrelevant. Power of a function</w:t>
      </w:r>
      <w:r>
        <w:rPr>
          <w:spacing w:val="-2"/>
        </w:rPr>
        <w:t> </w:t>
      </w:r>
      <w:r>
        <w:rPr/>
        <w:t>dominates</w:t>
      </w:r>
      <w:r>
        <w:rPr>
          <w:spacing w:val="-5"/>
        </w:rPr>
        <w:t> </w:t>
      </w:r>
      <w:r>
        <w:rPr/>
        <w:t>the</w:t>
      </w:r>
      <w:r>
        <w:rPr>
          <w:spacing w:val="-3"/>
        </w:rPr>
        <w:t> </w:t>
      </w:r>
      <w:r>
        <w:rPr/>
        <w:t>power</w:t>
      </w:r>
      <w:r>
        <w:rPr>
          <w:spacing w:val="-2"/>
        </w:rPr>
        <w:t> </w:t>
      </w:r>
      <w:r>
        <w:rPr/>
        <w:t>of the</w:t>
      </w:r>
      <w:r>
        <w:rPr>
          <w:spacing w:val="-2"/>
        </w:rPr>
        <w:t> </w:t>
      </w:r>
      <w:r>
        <w:rPr/>
        <w:t>individual. The</w:t>
      </w:r>
      <w:r>
        <w:rPr>
          <w:spacing w:val="-3"/>
        </w:rPr>
        <w:t> </w:t>
      </w:r>
      <w:r>
        <w:rPr/>
        <w:t>researches</w:t>
      </w:r>
      <w:r>
        <w:rPr>
          <w:spacing w:val="-5"/>
        </w:rPr>
        <w:t> </w:t>
      </w:r>
      <w:r>
        <w:rPr/>
        <w:t>have</w:t>
      </w:r>
      <w:r>
        <w:rPr>
          <w:spacing w:val="-3"/>
        </w:rPr>
        <w:t> </w:t>
      </w:r>
      <w:r>
        <w:rPr/>
        <w:t>shown that organizational charts often describe only a formal position of the agents, (</w:t>
      </w:r>
      <w:hyperlink w:history="true" w:anchor="_bookmark165">
        <w:r>
          <w:rPr/>
          <w:t>Dubin, 1963</w:t>
        </w:r>
      </w:hyperlink>
      <w:r>
        <w:rPr/>
        <w:t>) whilst the real distribution can be seen only in the communicative dynamics. It is not surprising that A</w:t>
      </w:r>
      <w:r>
        <w:rPr>
          <w:vertAlign w:val="subscript"/>
        </w:rPr>
        <w:t>A</w:t>
      </w:r>
      <w:r>
        <w:rPr>
          <w:spacing w:val="-17"/>
          <w:vertAlign w:val="baseline"/>
        </w:rPr>
        <w:t> </w:t>
      </w:r>
      <w:r>
        <w:rPr>
          <w:vertAlign w:val="baseline"/>
        </w:rPr>
        <w:t>often creates informal functional coalitions to counterpart A</w:t>
      </w:r>
      <w:r>
        <w:rPr>
          <w:vertAlign w:val="subscript"/>
        </w:rPr>
        <w:t>P.</w:t>
      </w:r>
      <w:r>
        <w:rPr>
          <w:vertAlign w:val="baseline"/>
        </w:rPr>
        <w:t> However the inter-level coalitions are also possible, e.g. when the principal appoints a loyal agent to monitor others at structural level.</w:t>
      </w:r>
    </w:p>
    <w:p>
      <w:pPr>
        <w:pStyle w:val="BodyText"/>
        <w:spacing w:line="273" w:lineRule="auto" w:before="6"/>
        <w:ind w:right="1915" w:firstLine="720"/>
      </w:pPr>
      <w:r>
        <w:rPr>
          <w:sz w:val="27"/>
        </w:rPr>
        <w:t>Pfiffner</w:t>
      </w:r>
      <w:r>
        <w:rPr>
          <w:spacing w:val="-12"/>
          <w:sz w:val="27"/>
        </w:rPr>
        <w:t> </w:t>
      </w:r>
      <w:r>
        <w:rPr/>
        <w:t>and</w:t>
      </w:r>
      <w:r>
        <w:rPr>
          <w:spacing w:val="-10"/>
        </w:rPr>
        <w:t> </w:t>
      </w:r>
      <w:r>
        <w:rPr>
          <w:sz w:val="27"/>
        </w:rPr>
        <w:t>Sherwood</w:t>
      </w:r>
      <w:r>
        <w:rPr>
          <w:spacing w:val="-11"/>
          <w:sz w:val="27"/>
        </w:rPr>
        <w:t> </w:t>
      </w:r>
      <w:r>
        <w:rPr/>
        <w:t>argue</w:t>
      </w:r>
      <w:r>
        <w:rPr>
          <w:spacing w:val="-11"/>
        </w:rPr>
        <w:t> </w:t>
      </w:r>
      <w:r>
        <w:rPr/>
        <w:t>that</w:t>
      </w:r>
      <w:r>
        <w:rPr>
          <w:spacing w:val="-11"/>
        </w:rPr>
        <w:t> </w:t>
      </w:r>
      <w:r>
        <w:rPr/>
        <w:t>describing</w:t>
      </w:r>
      <w:r>
        <w:rPr>
          <w:spacing w:val="-11"/>
        </w:rPr>
        <w:t> </w:t>
      </w:r>
      <w:r>
        <w:rPr/>
        <w:t>organizational</w:t>
      </w:r>
      <w:r>
        <w:rPr>
          <w:spacing w:val="-10"/>
        </w:rPr>
        <w:t> </w:t>
      </w:r>
      <w:r>
        <w:rPr/>
        <w:t>processes with static notions like power and influence, is impossible without acknowledging that organizational developments are intrinsically political.</w:t>
      </w:r>
    </w:p>
    <w:p>
      <w:pPr>
        <w:pStyle w:val="BodyText"/>
        <w:spacing w:line="273" w:lineRule="auto"/>
        <w:ind w:right="1904" w:firstLine="720"/>
      </w:pPr>
      <w:r>
        <w:rPr/>
        <w:t>There</w:t>
      </w:r>
      <w:r>
        <w:rPr>
          <w:spacing w:val="-4"/>
        </w:rPr>
        <w:t> </w:t>
      </w:r>
      <w:r>
        <w:rPr/>
        <w:t>are</w:t>
      </w:r>
      <w:r>
        <w:rPr>
          <w:spacing w:val="-4"/>
        </w:rPr>
        <w:t> </w:t>
      </w:r>
      <w:r>
        <w:rPr/>
        <w:t>two</w:t>
      </w:r>
      <w:r>
        <w:rPr>
          <w:spacing w:val="-7"/>
        </w:rPr>
        <w:t> </w:t>
      </w:r>
      <w:r>
        <w:rPr/>
        <w:t>types</w:t>
      </w:r>
      <w:r>
        <w:rPr>
          <w:spacing w:val="-6"/>
        </w:rPr>
        <w:t> </w:t>
      </w:r>
      <w:r>
        <w:rPr/>
        <w:t>of</w:t>
      </w:r>
      <w:r>
        <w:rPr>
          <w:spacing w:val="-5"/>
        </w:rPr>
        <w:t> </w:t>
      </w:r>
      <w:r>
        <w:rPr/>
        <w:t>decisions</w:t>
      </w:r>
      <w:r>
        <w:rPr>
          <w:spacing w:val="-2"/>
        </w:rPr>
        <w:t> </w:t>
      </w:r>
      <w:r>
        <w:rPr/>
        <w:t>made</w:t>
      </w:r>
      <w:r>
        <w:rPr>
          <w:spacing w:val="-4"/>
        </w:rPr>
        <w:t> </w:t>
      </w:r>
      <w:r>
        <w:rPr/>
        <w:t>via</w:t>
      </w:r>
      <w:r>
        <w:rPr>
          <w:spacing w:val="-4"/>
        </w:rPr>
        <w:t> </w:t>
      </w:r>
      <w:r>
        <w:rPr/>
        <w:t>A</w:t>
      </w:r>
      <w:r>
        <w:rPr>
          <w:vertAlign w:val="subscript"/>
        </w:rPr>
        <w:t>P</w:t>
      </w:r>
      <w:r>
        <w:rPr>
          <w:vertAlign w:val="baseline"/>
        </w:rPr>
        <w:t>.</w:t>
      </w:r>
      <w:r>
        <w:rPr>
          <w:spacing w:val="-3"/>
          <w:vertAlign w:val="baseline"/>
        </w:rPr>
        <w:t> </w:t>
      </w:r>
      <w:r>
        <w:rPr>
          <w:vertAlign w:val="baseline"/>
        </w:rPr>
        <w:t>First,</w:t>
      </w:r>
      <w:r>
        <w:rPr>
          <w:spacing w:val="-4"/>
          <w:vertAlign w:val="baseline"/>
        </w:rPr>
        <w:t> </w:t>
      </w:r>
      <w:r>
        <w:rPr>
          <w:vertAlign w:val="baseline"/>
        </w:rPr>
        <w:t>an</w:t>
      </w:r>
      <w:r>
        <w:rPr>
          <w:spacing w:val="-1"/>
          <w:vertAlign w:val="baseline"/>
        </w:rPr>
        <w:t> </w:t>
      </w:r>
      <w:r>
        <w:rPr>
          <w:sz w:val="27"/>
          <w:vertAlign w:val="baseline"/>
        </w:rPr>
        <w:t>organizational decisions. </w:t>
      </w:r>
      <w:r>
        <w:rPr>
          <w:vertAlign w:val="baseline"/>
        </w:rPr>
        <w:t>These decisions fulfil the operation of self-reference and always orientate with the environment (self/other). Organizational decisions do</w:t>
      </w:r>
      <w:r>
        <w:rPr>
          <w:spacing w:val="40"/>
          <w:vertAlign w:val="baseline"/>
        </w:rPr>
        <w:t> </w:t>
      </w:r>
      <w:r>
        <w:rPr>
          <w:vertAlign w:val="baseline"/>
        </w:rPr>
        <w:t>not happen on a daily basis, neither they address the entities outside the system. Second, </w:t>
      </w:r>
      <w:r>
        <w:rPr>
          <w:sz w:val="27"/>
          <w:vertAlign w:val="baseline"/>
        </w:rPr>
        <w:t>structural decisions </w:t>
      </w:r>
      <w:r>
        <w:rPr>
          <w:vertAlign w:val="baseline"/>
        </w:rPr>
        <w:t>involve initiatives produced through the A</w:t>
      </w:r>
      <w:r>
        <w:rPr>
          <w:vertAlign w:val="subscript"/>
        </w:rPr>
        <w:t>A</w:t>
      </w:r>
      <w:r>
        <w:rPr>
          <w:vertAlign w:val="baseline"/>
        </w:rPr>
        <w:t>. This framework includes day-to-day communications on vertical and horizontal level, the organizational decisions are often simplified to the structural ones, in order to work with the environment.</w:t>
      </w:r>
    </w:p>
    <w:p>
      <w:pPr>
        <w:pStyle w:val="BodyText"/>
        <w:spacing w:after="0" w:line="273" w:lineRule="auto"/>
        <w:sectPr>
          <w:pgSz w:w="12240" w:h="15840"/>
          <w:pgMar w:header="1046" w:footer="0" w:top="1360" w:bottom="280" w:left="720" w:right="360"/>
        </w:sectPr>
      </w:pPr>
    </w:p>
    <w:p>
      <w:pPr>
        <w:pStyle w:val="BodyText"/>
        <w:spacing w:line="273" w:lineRule="auto" w:before="276"/>
        <w:ind w:right="1909" w:firstLine="720"/>
      </w:pPr>
      <w:r>
        <w:rPr/>
        <w:t>From the functional perspective we can differentiate three basic A</w:t>
      </w:r>
      <w:r>
        <w:rPr>
          <w:vertAlign w:val="subscript"/>
        </w:rPr>
        <w:t>A</w:t>
      </w:r>
      <w:r>
        <w:rPr>
          <w:vertAlign w:val="baseline"/>
        </w:rPr>
        <w:t> positions: </w:t>
      </w:r>
      <w:r>
        <w:rPr>
          <w:sz w:val="27"/>
          <w:vertAlign w:val="baseline"/>
        </w:rPr>
        <w:t>Informative</w:t>
      </w:r>
      <w:r>
        <w:rPr>
          <w:vertAlign w:val="baseline"/>
        </w:rPr>
        <w:t>, </w:t>
      </w:r>
      <w:r>
        <w:rPr>
          <w:sz w:val="27"/>
          <w:vertAlign w:val="baseline"/>
        </w:rPr>
        <w:t>executive </w:t>
      </w:r>
      <w:r>
        <w:rPr>
          <w:vertAlign w:val="baseline"/>
        </w:rPr>
        <w:t>and </w:t>
      </w:r>
      <w:r>
        <w:rPr>
          <w:sz w:val="27"/>
          <w:vertAlign w:val="baseline"/>
        </w:rPr>
        <w:t>advisory</w:t>
      </w:r>
      <w:r>
        <w:rPr>
          <w:vertAlign w:val="baseline"/>
        </w:rPr>
        <w:t>. Within the executive position, the agents implement the decisions communicated by the principals. Informative position includes producing the information for the A</w:t>
      </w:r>
      <w:r>
        <w:rPr>
          <w:vertAlign w:val="subscript"/>
        </w:rPr>
        <w:t>P</w:t>
      </w:r>
      <w:r>
        <w:rPr>
          <w:vertAlign w:val="baseline"/>
        </w:rPr>
        <w:t>. The agents in the advisory position, help and supervise those, who act via the A</w:t>
      </w:r>
      <w:r>
        <w:rPr>
          <w:vertAlign w:val="subscript"/>
        </w:rPr>
        <w:t>A</w:t>
      </w:r>
      <w:r>
        <w:rPr>
          <w:vertAlign w:val="baseline"/>
        </w:rPr>
        <w:t>. The latter position can tolerate the actors who are not the</w:t>
      </w:r>
      <w:r>
        <w:rPr>
          <w:spacing w:val="40"/>
          <w:vertAlign w:val="baseline"/>
        </w:rPr>
        <w:t> </w:t>
      </w:r>
      <w:r>
        <w:rPr>
          <w:vertAlign w:val="baseline"/>
        </w:rPr>
        <w:t>formal members of the system, like invited experts, external trustees etc.</w:t>
      </w:r>
    </w:p>
    <w:p>
      <w:pPr>
        <w:spacing w:before="3"/>
        <w:ind w:left="1109" w:right="0" w:firstLine="0"/>
        <w:jc w:val="left"/>
        <w:rPr>
          <w:rFonts w:ascii="Calibri"/>
          <w:b/>
          <w:sz w:val="18"/>
        </w:rPr>
      </w:pPr>
      <w:r>
        <w:rPr>
          <w:rFonts w:ascii="Calibri"/>
          <w:b/>
          <w:color w:val="4F81BC"/>
          <w:sz w:val="18"/>
        </w:rPr>
        <w:t>Figure 7.</w:t>
      </w:r>
      <w:r>
        <w:rPr>
          <w:rFonts w:ascii="Calibri"/>
          <w:b/>
          <w:color w:val="4F81BC"/>
          <w:spacing w:val="-6"/>
          <w:sz w:val="18"/>
        </w:rPr>
        <w:t> </w:t>
      </w:r>
      <w:r>
        <w:rPr>
          <w:rFonts w:ascii="Calibri"/>
          <w:b/>
          <w:color w:val="4F81BC"/>
          <w:sz w:val="18"/>
        </w:rPr>
        <w:t>Two-level</w:t>
      </w:r>
      <w:r>
        <w:rPr>
          <w:rFonts w:ascii="Calibri"/>
          <w:b/>
          <w:color w:val="4F81BC"/>
          <w:spacing w:val="-1"/>
          <w:sz w:val="18"/>
        </w:rPr>
        <w:t> </w:t>
      </w:r>
      <w:r>
        <w:rPr>
          <w:rFonts w:ascii="Calibri"/>
          <w:b/>
          <w:color w:val="4F81BC"/>
          <w:spacing w:val="-2"/>
          <w:sz w:val="18"/>
        </w:rPr>
        <w:t>communication</w:t>
      </w:r>
    </w:p>
    <w:p>
      <w:pPr>
        <w:pStyle w:val="BodyText"/>
        <w:spacing w:before="2"/>
        <w:ind w:left="0"/>
        <w:jc w:val="left"/>
        <w:rPr>
          <w:rFonts w:ascii="Calibri"/>
          <w:b/>
          <w:sz w:val="13"/>
        </w:rPr>
      </w:pPr>
      <w:r>
        <w:rPr>
          <w:rFonts w:ascii="Calibri"/>
          <w:b/>
          <w:sz w:val="13"/>
        </w:rPr>
        <mc:AlternateContent>
          <mc:Choice Requires="wps">
            <w:drawing>
              <wp:anchor distT="0" distB="0" distL="0" distR="0" allowOverlap="1" layoutInCell="1" locked="0" behindDoc="1" simplePos="0" relativeHeight="487641600">
                <wp:simplePos x="0" y="0"/>
                <wp:positionH relativeFrom="page">
                  <wp:posOffset>1478343</wp:posOffset>
                </wp:positionH>
                <wp:positionV relativeFrom="paragraph">
                  <wp:posOffset>117612</wp:posOffset>
                </wp:positionV>
                <wp:extent cx="4191000" cy="3643629"/>
                <wp:effectExtent l="0" t="0" r="0" b="0"/>
                <wp:wrapTopAndBottom/>
                <wp:docPr id="126" name="Group 126"/>
                <wp:cNvGraphicFramePr>
                  <a:graphicFrameLocks/>
                </wp:cNvGraphicFramePr>
                <a:graphic>
                  <a:graphicData uri="http://schemas.microsoft.com/office/word/2010/wordprocessingGroup">
                    <wpg:wgp>
                      <wpg:cNvPr id="126" name="Group 126"/>
                      <wpg:cNvGrpSpPr/>
                      <wpg:grpSpPr>
                        <a:xfrm>
                          <a:off x="0" y="0"/>
                          <a:ext cx="4191000" cy="3643629"/>
                          <a:chExt cx="4191000" cy="3643629"/>
                        </a:xfrm>
                      </wpg:grpSpPr>
                      <pic:pic>
                        <pic:nvPicPr>
                          <pic:cNvPr id="127" name="Image 127" descr="C:\Users\user\Desktop\diagrams\organization.bmp"/>
                          <pic:cNvPicPr/>
                        </pic:nvPicPr>
                        <pic:blipFill>
                          <a:blip r:embed="rId27" cstate="print"/>
                          <a:stretch>
                            <a:fillRect/>
                          </a:stretch>
                        </pic:blipFill>
                        <pic:spPr>
                          <a:xfrm>
                            <a:off x="33966" y="27956"/>
                            <a:ext cx="4098435" cy="3606212"/>
                          </a:xfrm>
                          <a:prstGeom prst="rect">
                            <a:avLst/>
                          </a:prstGeom>
                        </pic:spPr>
                      </pic:pic>
                      <wps:wsp>
                        <wps:cNvPr id="128" name="Graphic 128"/>
                        <wps:cNvSpPr/>
                        <wps:spPr>
                          <a:xfrm>
                            <a:off x="4762" y="4762"/>
                            <a:ext cx="4181475" cy="3634104"/>
                          </a:xfrm>
                          <a:custGeom>
                            <a:avLst/>
                            <a:gdLst/>
                            <a:ahLst/>
                            <a:cxnLst/>
                            <a:rect l="l" t="t" r="r" b="b"/>
                            <a:pathLst>
                              <a:path w="4181475" h="3634104">
                                <a:moveTo>
                                  <a:pt x="0" y="3634104"/>
                                </a:moveTo>
                                <a:lnTo>
                                  <a:pt x="4181475" y="3634104"/>
                                </a:lnTo>
                                <a:lnTo>
                                  <a:pt x="4181475" y="0"/>
                                </a:lnTo>
                                <a:lnTo>
                                  <a:pt x="0" y="0"/>
                                </a:lnTo>
                                <a:lnTo>
                                  <a:pt x="0" y="3634104"/>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16.404999pt;margin-top:9.260825pt;width:330pt;height:286.9pt;mso-position-horizontal-relative:page;mso-position-vertical-relative:paragraph;z-index:-15674880;mso-wrap-distance-left:0;mso-wrap-distance-right:0" id="docshapegroup119" coordorigin="2328,185" coordsize="6600,5738">
                <v:shape style="position:absolute;left:2381;top:229;width:6455;height:5680" type="#_x0000_t75" id="docshape120" alt="C:\Users\user\Desktop\diagrams\organization.bmp" stroked="false">
                  <v:imagedata r:id="rId27" o:title=""/>
                </v:shape>
                <v:rect style="position:absolute;left:2335;top:192;width:6585;height:5723" id="docshape121" filled="false" stroked="true" strokeweight=".75pt" strokecolor="#000000">
                  <v:stroke dashstyle="solid"/>
                </v:rect>
                <w10:wrap type="topAndBottom"/>
              </v:group>
            </w:pict>
          </mc:Fallback>
        </mc:AlternateContent>
      </w:r>
    </w:p>
    <w:p>
      <w:pPr>
        <w:pStyle w:val="BodyText"/>
        <w:spacing w:before="90"/>
        <w:ind w:left="0"/>
        <w:jc w:val="left"/>
        <w:rPr>
          <w:rFonts w:ascii="Calibri"/>
          <w:b/>
        </w:rPr>
      </w:pPr>
    </w:p>
    <w:p>
      <w:pPr>
        <w:pStyle w:val="BodyText"/>
        <w:spacing w:line="273" w:lineRule="auto"/>
        <w:ind w:right="1903"/>
      </w:pPr>
      <w:r>
        <w:rPr/>
        <w:t>The</w:t>
      </w:r>
      <w:r>
        <w:rPr>
          <w:spacing w:val="-1"/>
        </w:rPr>
        <w:t> </w:t>
      </w:r>
      <w:r>
        <w:rPr/>
        <w:t>scheme</w:t>
      </w:r>
      <w:r>
        <w:rPr>
          <w:spacing w:val="-2"/>
        </w:rPr>
        <w:t> </w:t>
      </w:r>
      <w:r>
        <w:rPr/>
        <w:t>(figure</w:t>
      </w:r>
      <w:r>
        <w:rPr>
          <w:spacing w:val="-1"/>
        </w:rPr>
        <w:t> </w:t>
      </w:r>
      <w:r>
        <w:rPr/>
        <w:t>7)</w:t>
      </w:r>
      <w:r>
        <w:rPr>
          <w:spacing w:val="-2"/>
        </w:rPr>
        <w:t> </w:t>
      </w:r>
      <w:r>
        <w:rPr/>
        <w:t>represents</w:t>
      </w:r>
      <w:r>
        <w:rPr>
          <w:spacing w:val="-5"/>
        </w:rPr>
        <w:t> </w:t>
      </w:r>
      <w:r>
        <w:rPr/>
        <w:t>the</w:t>
      </w:r>
      <w:r>
        <w:rPr>
          <w:spacing w:val="-3"/>
        </w:rPr>
        <w:t> </w:t>
      </w:r>
      <w:r>
        <w:rPr/>
        <w:t>cyclical</w:t>
      </w:r>
      <w:r>
        <w:rPr>
          <w:spacing w:val="-1"/>
        </w:rPr>
        <w:t> </w:t>
      </w:r>
      <w:r>
        <w:rPr/>
        <w:t>picture</w:t>
      </w:r>
      <w:r>
        <w:rPr>
          <w:spacing w:val="-3"/>
        </w:rPr>
        <w:t> </w:t>
      </w:r>
      <w:r>
        <w:rPr/>
        <w:t>of self-organization</w:t>
      </w:r>
      <w:r>
        <w:rPr>
          <w:spacing w:val="-2"/>
        </w:rPr>
        <w:t> </w:t>
      </w:r>
      <w:r>
        <w:rPr/>
        <w:t>via communication and implies that: a) the communication at the organizational level produces the decisions via A</w:t>
      </w:r>
      <w:r>
        <w:rPr>
          <w:vertAlign w:val="subscript"/>
        </w:rPr>
        <w:t>P</w:t>
      </w:r>
      <w:r>
        <w:rPr>
          <w:vertAlign w:val="baseline"/>
        </w:rPr>
        <w:t>; b) in order to make decisions organization needs contextual information(R). The contextual information or </w:t>
      </w:r>
      <w:r>
        <w:rPr>
          <w:sz w:val="27"/>
          <w:vertAlign w:val="baseline"/>
        </w:rPr>
        <w:t>system relevant information </w:t>
      </w:r>
      <w:r>
        <w:rPr>
          <w:vertAlign w:val="baseline"/>
        </w:rPr>
        <w:t>is produced via the A</w:t>
      </w:r>
      <w:r>
        <w:rPr>
          <w:vertAlign w:val="subscript"/>
        </w:rPr>
        <w:t>A</w:t>
      </w:r>
      <w:r>
        <w:rPr>
          <w:vertAlign w:val="baseline"/>
        </w:rPr>
        <w:t>. Contextual information (input) includes </w:t>
      </w:r>
      <w:r>
        <w:rPr>
          <w:sz w:val="27"/>
          <w:vertAlign w:val="baseline"/>
        </w:rPr>
        <w:t>initiatives </w:t>
      </w:r>
      <w:r>
        <w:rPr>
          <w:vertAlign w:val="baseline"/>
        </w:rPr>
        <w:t>(INT), information selected from the environment (INFE), and information about the executed decisions (INF); c) information is a resource for the organizational decision-</w:t>
      </w:r>
    </w:p>
    <w:p>
      <w:pPr>
        <w:pStyle w:val="BodyText"/>
        <w:spacing w:after="0" w:line="273" w:lineRule="auto"/>
        <w:sectPr>
          <w:pgSz w:w="12240" w:h="15840"/>
          <w:pgMar w:header="1046" w:footer="0" w:top="1360" w:bottom="280" w:left="720" w:right="360"/>
        </w:sectPr>
      </w:pPr>
    </w:p>
    <w:p>
      <w:pPr>
        <w:pStyle w:val="BodyText"/>
        <w:spacing w:line="273" w:lineRule="auto" w:before="266"/>
        <w:ind w:right="1904"/>
      </w:pPr>
      <w:r>
        <w:rPr/>
        <w:t>making. The A</w:t>
      </w:r>
      <w:r>
        <w:rPr>
          <w:vertAlign w:val="subscript"/>
        </w:rPr>
        <w:t>P</w:t>
      </w:r>
      <w:r>
        <w:rPr>
          <w:vertAlign w:val="baseline"/>
        </w:rPr>
        <w:t> produces two connected outputs: </w:t>
      </w:r>
      <w:r>
        <w:rPr>
          <w:sz w:val="27"/>
          <w:vertAlign w:val="baseline"/>
        </w:rPr>
        <w:t>feedback </w:t>
      </w:r>
      <w:r>
        <w:rPr>
          <w:vertAlign w:val="baseline"/>
        </w:rPr>
        <w:t>(FDB), and </w:t>
      </w:r>
      <w:r>
        <w:rPr>
          <w:sz w:val="27"/>
          <w:vertAlign w:val="baseline"/>
        </w:rPr>
        <w:t>decision </w:t>
      </w:r>
      <w:r>
        <w:rPr>
          <w:vertAlign w:val="baseline"/>
        </w:rPr>
        <w:t>(DEC). When the output reaches the subordinate level, it is communicated via the A</w:t>
      </w:r>
      <w:r>
        <w:rPr>
          <w:vertAlign w:val="subscript"/>
        </w:rPr>
        <w:t>A.</w:t>
      </w:r>
      <w:r>
        <w:rPr>
          <w:vertAlign w:val="baseline"/>
        </w:rPr>
        <w:t> The feedback helps the agents to produce the initiatives, in accordance with the systemic policies. It also gives a general direction on how to execute the decisions; d) the execution happens via structural coupling, considering the amount of resistance from the </w:t>
      </w:r>
      <w:r>
        <w:rPr>
          <w:spacing w:val="-2"/>
          <w:vertAlign w:val="baseline"/>
        </w:rPr>
        <w:t>environment.</w:t>
      </w:r>
    </w:p>
    <w:p>
      <w:pPr>
        <w:pStyle w:val="BodyText"/>
        <w:spacing w:line="273" w:lineRule="auto" w:before="4"/>
        <w:ind w:right="1904" w:firstLine="720"/>
      </w:pPr>
      <w:r>
        <w:rPr/>
        <w:t>Decisions are communications, which produce and re-produce systemic organization, but they are temporal events, happen and pass away. (Seidl, 2005b, p. 158) The question is how this event-like happenings create systemic invariants. The solution of this problem can be found in </w:t>
      </w:r>
      <w:r>
        <w:rPr>
          <w:sz w:val="27"/>
        </w:rPr>
        <w:t>critical approach to organization. </w:t>
      </w:r>
      <w:r>
        <w:rPr/>
        <w:t>(</w:t>
      </w:r>
      <w:hyperlink w:history="true" w:anchor="_bookmark156">
        <w:r>
          <w:rPr/>
          <w:t>Deetz, 1982</w:t>
        </w:r>
      </w:hyperlink>
      <w:r>
        <w:rPr/>
        <w:t>) The approach is based on </w:t>
      </w:r>
      <w:r>
        <w:rPr>
          <w:sz w:val="27"/>
        </w:rPr>
        <w:t>Paul Ricoeur</w:t>
      </w:r>
      <w:r>
        <w:rPr/>
        <w:t>’s classic paradigm of text. (</w:t>
      </w:r>
      <w:hyperlink w:history="true" w:anchor="_bookmark352">
        <w:r>
          <w:rPr/>
          <w:t>Ricœur, 1973</w:t>
        </w:r>
      </w:hyperlink>
      <w:r>
        <w:rPr/>
        <w:t>) </w:t>
      </w:r>
      <w:r>
        <w:rPr>
          <w:sz w:val="27"/>
        </w:rPr>
        <w:t>Ricoeur </w:t>
      </w:r>
      <w:r>
        <w:rPr/>
        <w:t>distinguishes written language from the spoken language. He elaborates the concept of discourse in four traits: 1) discourse is realized temporally and in the present; 2) discourse is self-referential, we can always trace it back to the speaker; 3) discourse always refers to the world, which it describes, it is always about something, 4) discourse is always social and requires more than one person.</w:t>
      </w:r>
    </w:p>
    <w:p>
      <w:pPr>
        <w:pStyle w:val="BodyText"/>
        <w:spacing w:line="276" w:lineRule="auto"/>
        <w:ind w:right="1902" w:firstLine="720"/>
      </w:pPr>
      <w:r>
        <w:rPr/>
        <w:t>As far as discourse is a “fleeting event” it appears and disappears. Therefore, to preserve it one needs to fix it. Fixing happens via inscription. When we record the speech we try to keep “the meaning of speech event, not the event as event.” (</w:t>
      </w:r>
      <w:hyperlink w:history="true" w:anchor="_bookmark352">
        <w:r>
          <w:rPr/>
          <w:t>Ricœur, 1973</w:t>
        </w:r>
      </w:hyperlink>
      <w:r>
        <w:rPr/>
        <w:t>) By doing so, we distance the speech from the author. It means that text gathers significance independently from the original intentions of the speaker. The idea becomes open to interpretations. As </w:t>
      </w:r>
      <w:r>
        <w:rPr>
          <w:sz w:val="27"/>
        </w:rPr>
        <w:t>Roland Barthes </w:t>
      </w:r>
      <w:r>
        <w:rPr/>
        <w:t>stated, “the birth of the reader must be at the cost of the death of the Author.” (</w:t>
      </w:r>
      <w:hyperlink w:history="true" w:anchor="_bookmark86">
        <w:r>
          <w:rPr/>
          <w:t>Barthes &amp; Heath, 1977, p. 148</w:t>
        </w:r>
      </w:hyperlink>
      <w:r>
        <w:rPr/>
        <w:t>)</w:t>
      </w:r>
    </w:p>
    <w:p>
      <w:pPr>
        <w:spacing w:line="335" w:lineRule="exact" w:before="0"/>
        <w:ind w:left="1700" w:right="0" w:firstLine="0"/>
        <w:jc w:val="both"/>
        <w:rPr>
          <w:sz w:val="26"/>
        </w:rPr>
      </w:pPr>
      <w:r>
        <w:rPr>
          <w:sz w:val="26"/>
        </w:rPr>
        <w:t>Organizational</w:t>
      </w:r>
      <w:r>
        <w:rPr>
          <w:spacing w:val="-16"/>
          <w:sz w:val="26"/>
        </w:rPr>
        <w:t> </w:t>
      </w:r>
      <w:r>
        <w:rPr>
          <w:sz w:val="27"/>
        </w:rPr>
        <w:t>decisions</w:t>
      </w:r>
      <w:r>
        <w:rPr>
          <w:spacing w:val="-17"/>
          <w:sz w:val="27"/>
        </w:rPr>
        <w:t> </w:t>
      </w:r>
      <w:r>
        <w:rPr>
          <w:sz w:val="27"/>
        </w:rPr>
        <w:t>are</w:t>
      </w:r>
      <w:r>
        <w:rPr>
          <w:spacing w:val="-16"/>
          <w:sz w:val="27"/>
        </w:rPr>
        <w:t> </w:t>
      </w:r>
      <w:r>
        <w:rPr>
          <w:sz w:val="27"/>
        </w:rPr>
        <w:t>discourses</w:t>
      </w:r>
      <w:r>
        <w:rPr>
          <w:spacing w:val="-16"/>
          <w:sz w:val="27"/>
        </w:rPr>
        <w:t> </w:t>
      </w:r>
      <w:r>
        <w:rPr>
          <w:sz w:val="26"/>
        </w:rPr>
        <w:t>which</w:t>
      </w:r>
      <w:r>
        <w:rPr>
          <w:spacing w:val="-15"/>
          <w:sz w:val="26"/>
        </w:rPr>
        <w:t> </w:t>
      </w:r>
      <w:r>
        <w:rPr>
          <w:sz w:val="26"/>
        </w:rPr>
        <w:t>become</w:t>
      </w:r>
      <w:r>
        <w:rPr>
          <w:spacing w:val="-12"/>
          <w:sz w:val="26"/>
        </w:rPr>
        <w:t> </w:t>
      </w:r>
      <w:r>
        <w:rPr>
          <w:sz w:val="26"/>
        </w:rPr>
        <w:t>inscriptions</w:t>
      </w:r>
      <w:r>
        <w:rPr>
          <w:spacing w:val="-16"/>
          <w:sz w:val="26"/>
        </w:rPr>
        <w:t> </w:t>
      </w:r>
      <w:r>
        <w:rPr>
          <w:spacing w:val="-5"/>
          <w:sz w:val="26"/>
        </w:rPr>
        <w:t>as</w:t>
      </w:r>
    </w:p>
    <w:p>
      <w:pPr>
        <w:pStyle w:val="BodyText"/>
        <w:spacing w:line="276" w:lineRule="auto" w:before="44"/>
        <w:ind w:right="1913"/>
      </w:pPr>
      <w:r>
        <w:rPr/>
        <w:t>soon as they are uttered. Cyclic nature of self-reference necessarily</w:t>
      </w:r>
      <w:r>
        <w:rPr>
          <w:spacing w:val="40"/>
        </w:rPr>
        <w:t> </w:t>
      </w:r>
      <w:r>
        <w:rPr/>
        <w:t>produces learning mechanisms. Learning</w:t>
      </w:r>
      <w:r>
        <w:rPr>
          <w:spacing w:val="40"/>
        </w:rPr>
        <w:t> </w:t>
      </w:r>
      <w:r>
        <w:rPr/>
        <w:t>intrinsically refers to the past communications. This reference is possible only if the records about previous decisions are preserved. It is obvious that inscripted decisions can</w:t>
      </w:r>
    </w:p>
    <w:p>
      <w:pPr>
        <w:pStyle w:val="BodyText"/>
        <w:spacing w:after="0" w:line="276" w:lineRule="auto"/>
        <w:sectPr>
          <w:pgSz w:w="12240" w:h="15840"/>
          <w:pgMar w:header="1046" w:footer="0" w:top="1360" w:bottom="280" w:left="720" w:right="360"/>
        </w:sectPr>
      </w:pPr>
    </w:p>
    <w:p>
      <w:pPr>
        <w:spacing w:line="271" w:lineRule="auto" w:before="276"/>
        <w:ind w:left="979" w:right="1906" w:firstLine="0"/>
        <w:jc w:val="both"/>
        <w:rPr>
          <w:sz w:val="27"/>
        </w:rPr>
      </w:pPr>
      <w:r>
        <w:rPr>
          <w:sz w:val="26"/>
        </w:rPr>
        <w:t>be objects of interpretations. However “the orientations are inscribed in the text as grounding for the text’s meaning.” (</w:t>
      </w:r>
      <w:hyperlink w:history="true" w:anchor="_bookmark156">
        <w:r>
          <w:rPr>
            <w:sz w:val="26"/>
          </w:rPr>
          <w:t>Deetz, 1982, p. 137</w:t>
        </w:r>
      </w:hyperlink>
      <w:r>
        <w:rPr>
          <w:sz w:val="26"/>
        </w:rPr>
        <w:t>) The invariant orientations give the directions to perceptions, they create background conditions for the new meanings and decisions. Considering this logic, we argue that: </w:t>
      </w:r>
      <w:r>
        <w:rPr>
          <w:sz w:val="27"/>
        </w:rPr>
        <w:t>Systemic invariants combine fixed decisions, organizational orientations and operations through which they are </w:t>
      </w:r>
      <w:r>
        <w:rPr>
          <w:spacing w:val="-2"/>
          <w:sz w:val="27"/>
        </w:rPr>
        <w:t>produced.</w:t>
      </w:r>
    </w:p>
    <w:p>
      <w:pPr>
        <w:pStyle w:val="BodyText"/>
        <w:spacing w:line="273" w:lineRule="auto" w:before="3"/>
        <w:ind w:right="1906" w:firstLine="720"/>
      </w:pPr>
      <w:r>
        <w:rPr/>
        <w:t>Environmental information is a selected via operation of structural coupling. Nevertheless, besides this selection, there is a wide variety of unknown issues, which might</w:t>
      </w:r>
      <w:r>
        <w:rPr>
          <w:spacing w:val="-1"/>
        </w:rPr>
        <w:t> </w:t>
      </w:r>
      <w:r>
        <w:rPr/>
        <w:t>disturb</w:t>
      </w:r>
      <w:r>
        <w:rPr>
          <w:spacing w:val="-3"/>
        </w:rPr>
        <w:t> </w:t>
      </w:r>
      <w:r>
        <w:rPr/>
        <w:t>the</w:t>
      </w:r>
      <w:r>
        <w:rPr>
          <w:spacing w:val="-1"/>
        </w:rPr>
        <w:t> </w:t>
      </w:r>
      <w:r>
        <w:rPr/>
        <w:t>state</w:t>
      </w:r>
      <w:r>
        <w:rPr>
          <w:spacing w:val="-1"/>
        </w:rPr>
        <w:t> </w:t>
      </w:r>
      <w:r>
        <w:rPr/>
        <w:t>of</w:t>
      </w:r>
      <w:r>
        <w:rPr>
          <w:spacing w:val="-2"/>
        </w:rPr>
        <w:t> </w:t>
      </w:r>
      <w:r>
        <w:rPr/>
        <w:t>the</w:t>
      </w:r>
      <w:r>
        <w:rPr>
          <w:spacing w:val="-1"/>
        </w:rPr>
        <w:t> </w:t>
      </w:r>
      <w:r>
        <w:rPr/>
        <w:t>system</w:t>
      </w:r>
      <w:r>
        <w:rPr>
          <w:spacing w:val="-3"/>
        </w:rPr>
        <w:t> </w:t>
      </w:r>
      <w:r>
        <w:rPr/>
        <w:t>[organization]. The famous quote by </w:t>
      </w:r>
      <w:r>
        <w:rPr>
          <w:sz w:val="27"/>
        </w:rPr>
        <w:t>Donald Rumsfeld </w:t>
      </w:r>
      <w:r>
        <w:rPr/>
        <w:t>proposes a good description of uncertainties that challenge every organization:</w:t>
      </w:r>
    </w:p>
    <w:p>
      <w:pPr>
        <w:pStyle w:val="BodyText"/>
        <w:spacing w:before="49"/>
        <w:ind w:left="0"/>
        <w:jc w:val="left"/>
      </w:pPr>
    </w:p>
    <w:p>
      <w:pPr>
        <w:spacing w:line="276" w:lineRule="auto" w:before="1"/>
        <w:ind w:left="1700" w:right="1907" w:firstLine="0"/>
        <w:jc w:val="both"/>
        <w:rPr>
          <w:sz w:val="24"/>
        </w:rPr>
      </w:pPr>
      <w:r>
        <w:rPr>
          <w:sz w:val="24"/>
        </w:rPr>
        <w:t>“There are known knowns. These are things we know that we know.</w:t>
      </w:r>
      <w:r>
        <w:rPr>
          <w:spacing w:val="40"/>
          <w:sz w:val="24"/>
        </w:rPr>
        <w:t> </w:t>
      </w:r>
      <w:r>
        <w:rPr>
          <w:sz w:val="24"/>
        </w:rPr>
        <w:t>There are known unknowns. That is to say, there are things that we know we don't know. But there are also unknown unknowns. There are things we don't know we don't know.”</w:t>
      </w:r>
    </w:p>
    <w:p>
      <w:pPr>
        <w:pStyle w:val="BodyText"/>
        <w:spacing w:before="53"/>
        <w:ind w:left="0"/>
        <w:jc w:val="left"/>
        <w:rPr>
          <w:sz w:val="24"/>
        </w:rPr>
      </w:pPr>
    </w:p>
    <w:p>
      <w:pPr>
        <w:pStyle w:val="BodyText"/>
        <w:spacing w:line="276" w:lineRule="auto"/>
        <w:ind w:right="1909" w:firstLine="720"/>
      </w:pPr>
      <w:r>
        <w:rPr/>
        <w:t>Structural coupling is a tool which works with “known knowns” or “known unknowns.” The A</w:t>
      </w:r>
      <w:r>
        <w:rPr>
          <w:sz w:val="15"/>
        </w:rPr>
        <w:t>A</w:t>
      </w:r>
      <w:r>
        <w:rPr>
          <w:spacing w:val="40"/>
          <w:sz w:val="15"/>
        </w:rPr>
        <w:t> </w:t>
      </w:r>
      <w:r>
        <w:rPr/>
        <w:t>notifies the organization about things which could be processed as information and which are yet unreachable. Unreachable information is information which describes the unknown situation we know we will have to deal with. For example the information about</w:t>
      </w:r>
      <w:r>
        <w:rPr>
          <w:spacing w:val="-17"/>
        </w:rPr>
        <w:t> </w:t>
      </w:r>
      <w:r>
        <w:rPr>
          <w:sz w:val="27"/>
        </w:rPr>
        <w:t>any</w:t>
      </w:r>
      <w:r>
        <w:rPr>
          <w:spacing w:val="-17"/>
          <w:sz w:val="27"/>
        </w:rPr>
        <w:t> </w:t>
      </w:r>
      <w:r>
        <w:rPr>
          <w:sz w:val="27"/>
        </w:rPr>
        <w:t>N</w:t>
      </w:r>
      <w:r>
        <w:rPr>
          <w:spacing w:val="-16"/>
          <w:sz w:val="27"/>
        </w:rPr>
        <w:t> </w:t>
      </w:r>
      <w:r>
        <w:rPr>
          <w:sz w:val="27"/>
        </w:rPr>
        <w:t>company</w:t>
      </w:r>
      <w:r>
        <w:rPr>
          <w:spacing w:val="-17"/>
          <w:sz w:val="27"/>
        </w:rPr>
        <w:t> </w:t>
      </w:r>
      <w:r>
        <w:rPr>
          <w:sz w:val="27"/>
        </w:rPr>
        <w:t>is</w:t>
      </w:r>
      <w:r>
        <w:rPr>
          <w:spacing w:val="-17"/>
          <w:sz w:val="27"/>
        </w:rPr>
        <w:t> </w:t>
      </w:r>
      <w:r>
        <w:rPr>
          <w:sz w:val="27"/>
        </w:rPr>
        <w:t>reportedly</w:t>
      </w:r>
      <w:r>
        <w:rPr>
          <w:spacing w:val="-17"/>
          <w:sz w:val="27"/>
        </w:rPr>
        <w:t> </w:t>
      </w:r>
      <w:r>
        <w:rPr>
          <w:sz w:val="27"/>
        </w:rPr>
        <w:t>producing</w:t>
      </w:r>
      <w:r>
        <w:rPr>
          <w:spacing w:val="-17"/>
          <w:sz w:val="27"/>
        </w:rPr>
        <w:t> </w:t>
      </w:r>
      <w:r>
        <w:rPr>
          <w:sz w:val="27"/>
        </w:rPr>
        <w:t>P</w:t>
      </w:r>
      <w:r>
        <w:rPr>
          <w:spacing w:val="-17"/>
          <w:sz w:val="27"/>
        </w:rPr>
        <w:t> </w:t>
      </w:r>
      <w:r>
        <w:rPr>
          <w:sz w:val="27"/>
        </w:rPr>
        <w:t>product</w:t>
      </w:r>
      <w:r>
        <w:rPr>
          <w:spacing w:val="-17"/>
          <w:sz w:val="27"/>
        </w:rPr>
        <w:t> </w:t>
      </w:r>
      <w:r>
        <w:rPr/>
        <w:t>will</w:t>
      </w:r>
      <w:r>
        <w:rPr>
          <w:spacing w:val="-16"/>
        </w:rPr>
        <w:t> </w:t>
      </w:r>
      <w:r>
        <w:rPr/>
        <w:t>encourage</w:t>
      </w:r>
      <w:r>
        <w:rPr>
          <w:spacing w:val="-16"/>
        </w:rPr>
        <w:t> </w:t>
      </w:r>
      <w:r>
        <w:rPr/>
        <w:t>the firm</w:t>
      </w:r>
      <w:r>
        <w:rPr>
          <w:spacing w:val="-3"/>
        </w:rPr>
        <w:t> </w:t>
      </w:r>
      <w:r>
        <w:rPr/>
        <w:t>to</w:t>
      </w:r>
      <w:r>
        <w:rPr>
          <w:spacing w:val="-4"/>
        </w:rPr>
        <w:t> </w:t>
      </w:r>
      <w:r>
        <w:rPr/>
        <w:t>find out more</w:t>
      </w:r>
      <w:r>
        <w:rPr>
          <w:spacing w:val="-2"/>
        </w:rPr>
        <w:t> </w:t>
      </w:r>
      <w:r>
        <w:rPr/>
        <w:t>about</w:t>
      </w:r>
      <w:r>
        <w:rPr>
          <w:spacing w:val="-2"/>
        </w:rPr>
        <w:t> </w:t>
      </w:r>
      <w:r>
        <w:rPr/>
        <w:t>the product, or make</w:t>
      </w:r>
      <w:r>
        <w:rPr>
          <w:spacing w:val="-1"/>
        </w:rPr>
        <w:t> </w:t>
      </w:r>
      <w:r>
        <w:rPr/>
        <w:t>the</w:t>
      </w:r>
      <w:r>
        <w:rPr>
          <w:spacing w:val="-1"/>
        </w:rPr>
        <w:t> </w:t>
      </w:r>
      <w:r>
        <w:rPr/>
        <w:t>management to invest more in innovations. “Unknown unknowns” cannot be included in structural couplings because the structure of the entity is able to select information only from the available variety of things. It is hard to call a person if we don’t know his/her mobile number (we might find the number), but it is impossible to call the person if we don’t know he/she exists.</w:t>
      </w:r>
      <w:r>
        <w:rPr>
          <w:spacing w:val="40"/>
        </w:rPr>
        <w:t> </w:t>
      </w:r>
      <w:r>
        <w:rPr/>
        <w:t>The</w:t>
      </w:r>
      <w:r>
        <w:rPr>
          <w:spacing w:val="40"/>
        </w:rPr>
        <w:t> </w:t>
      </w:r>
      <w:r>
        <w:rPr/>
        <w:t>Unknown</w:t>
      </w:r>
      <w:r>
        <w:rPr>
          <w:spacing w:val="40"/>
        </w:rPr>
        <w:t> </w:t>
      </w:r>
      <w:r>
        <w:rPr/>
        <w:t>unknowns</w:t>
      </w:r>
      <w:r>
        <w:rPr>
          <w:spacing w:val="40"/>
        </w:rPr>
        <w:t> </w:t>
      </w:r>
      <w:r>
        <w:rPr/>
        <w:t>are</w:t>
      </w:r>
      <w:r>
        <w:rPr>
          <w:spacing w:val="40"/>
        </w:rPr>
        <w:t> </w:t>
      </w:r>
      <w:r>
        <w:rPr/>
        <w:t>what</w:t>
      </w:r>
      <w:r>
        <w:rPr>
          <w:spacing w:val="38"/>
        </w:rPr>
        <w:t> </w:t>
      </w:r>
      <w:r>
        <w:rPr/>
        <w:t>we</w:t>
      </w:r>
      <w:r>
        <w:rPr>
          <w:spacing w:val="40"/>
        </w:rPr>
        <w:t> </w:t>
      </w:r>
      <w:r>
        <w:rPr/>
        <w:t>call</w:t>
      </w:r>
      <w:r>
        <w:rPr>
          <w:spacing w:val="40"/>
        </w:rPr>
        <w:t> </w:t>
      </w:r>
      <w:r>
        <w:rPr/>
        <w:t>uncertainty.</w:t>
      </w:r>
      <w:r>
        <w:rPr>
          <w:spacing w:val="40"/>
        </w:rPr>
        <w:t> </w:t>
      </w:r>
      <w:r>
        <w:rPr/>
        <w:t>Reducing</w:t>
      </w:r>
    </w:p>
    <w:p>
      <w:pPr>
        <w:pStyle w:val="BodyText"/>
        <w:spacing w:after="0" w:line="276" w:lineRule="auto"/>
        <w:sectPr>
          <w:pgSz w:w="12240" w:h="15840"/>
          <w:pgMar w:header="1046" w:footer="0" w:top="1360" w:bottom="280" w:left="720" w:right="360"/>
        </w:sectPr>
      </w:pPr>
    </w:p>
    <w:p>
      <w:pPr>
        <w:pStyle w:val="BodyText"/>
        <w:spacing w:line="276" w:lineRule="auto" w:before="276"/>
        <w:ind w:right="1902"/>
      </w:pPr>
      <w:r>
        <w:rPr/>
        <w:t>the uncertainty is like a deduction exercise. Companies can organize the structure to face the worst case scenarios, but costs for doing so is high.</w:t>
      </w:r>
    </w:p>
    <w:p>
      <w:pPr>
        <w:pStyle w:val="BodyText"/>
        <w:spacing w:line="273" w:lineRule="auto"/>
        <w:ind w:right="1906" w:firstLine="720"/>
      </w:pPr>
      <w:r>
        <w:rPr/>
        <w:t>Operations within the system are always related to the environment. Even the</w:t>
      </w:r>
      <w:r>
        <w:rPr>
          <w:spacing w:val="-1"/>
        </w:rPr>
        <w:t> </w:t>
      </w:r>
      <w:r>
        <w:rPr/>
        <w:t>decisions that</w:t>
      </w:r>
      <w:r>
        <w:rPr>
          <w:spacing w:val="-1"/>
        </w:rPr>
        <w:t> </w:t>
      </w:r>
      <w:r>
        <w:rPr/>
        <w:t>were intended to</w:t>
      </w:r>
      <w:r>
        <w:rPr>
          <w:spacing w:val="-4"/>
        </w:rPr>
        <w:t> </w:t>
      </w:r>
      <w:r>
        <w:rPr/>
        <w:t>make</w:t>
      </w:r>
      <w:r>
        <w:rPr>
          <w:spacing w:val="-1"/>
        </w:rPr>
        <w:t> </w:t>
      </w:r>
      <w:r>
        <w:rPr/>
        <w:t>internal</w:t>
      </w:r>
      <w:r>
        <w:rPr>
          <w:spacing w:val="-3"/>
        </w:rPr>
        <w:t> </w:t>
      </w:r>
      <w:r>
        <w:rPr/>
        <w:t>changes,</w:t>
      </w:r>
      <w:r>
        <w:rPr>
          <w:spacing w:val="40"/>
        </w:rPr>
        <w:t> </w:t>
      </w:r>
      <w:r>
        <w:rPr/>
        <w:t>happen in reference to the environment. In a similar manner, the feedback mechanisms are enacted in response to external information. </w:t>
      </w:r>
      <w:r>
        <w:rPr>
          <w:sz w:val="27"/>
        </w:rPr>
        <w:t>Norbert Wiener</w:t>
      </w:r>
      <w:r>
        <w:rPr/>
        <w:t>’s</w:t>
      </w:r>
      <w:r>
        <w:rPr>
          <w:spacing w:val="-8"/>
        </w:rPr>
        <w:t> </w:t>
      </w:r>
      <w:r>
        <w:rPr/>
        <w:t>words</w:t>
      </w:r>
      <w:r>
        <w:rPr>
          <w:spacing w:val="-8"/>
        </w:rPr>
        <w:t> </w:t>
      </w:r>
      <w:r>
        <w:rPr/>
        <w:t>are</w:t>
      </w:r>
      <w:r>
        <w:rPr>
          <w:spacing w:val="-6"/>
        </w:rPr>
        <w:t> </w:t>
      </w:r>
      <w:r>
        <w:rPr/>
        <w:t>essential</w:t>
      </w:r>
      <w:r>
        <w:rPr>
          <w:spacing w:val="-4"/>
        </w:rPr>
        <w:t> </w:t>
      </w:r>
      <w:r>
        <w:rPr/>
        <w:t>for</w:t>
      </w:r>
      <w:r>
        <w:rPr>
          <w:spacing w:val="-5"/>
        </w:rPr>
        <w:t> </w:t>
      </w:r>
      <w:r>
        <w:rPr/>
        <w:t>understanding</w:t>
      </w:r>
      <w:r>
        <w:rPr>
          <w:spacing w:val="-6"/>
        </w:rPr>
        <w:t> </w:t>
      </w:r>
      <w:r>
        <w:rPr/>
        <w:t>our</w:t>
      </w:r>
      <w:r>
        <w:rPr>
          <w:spacing w:val="-5"/>
        </w:rPr>
        <w:t> </w:t>
      </w:r>
      <w:r>
        <w:rPr/>
        <w:t>argument,</w:t>
      </w:r>
      <w:r>
        <w:rPr>
          <w:spacing w:val="-5"/>
        </w:rPr>
        <w:t> </w:t>
      </w:r>
      <w:r>
        <w:rPr/>
        <w:t>he</w:t>
      </w:r>
      <w:r>
        <w:rPr>
          <w:spacing w:val="-6"/>
        </w:rPr>
        <w:t> </w:t>
      </w:r>
      <w:r>
        <w:rPr/>
        <w:t>stated</w:t>
      </w:r>
      <w:r>
        <w:rPr>
          <w:spacing w:val="-4"/>
        </w:rPr>
        <w:t> </w:t>
      </w:r>
      <w:r>
        <w:rPr/>
        <w:t>that “For effective action on the outer world, it is not only essential that we possess good effectors, but that the performance of these effectors be properly monitored back to the central nervous system.” (</w:t>
      </w:r>
      <w:hyperlink w:history="true" w:anchor="_bookmark435">
        <w:r>
          <w:rPr/>
          <w:t>1961, p. 96</w:t>
        </w:r>
      </w:hyperlink>
      <w:r>
        <w:rPr/>
        <w:t>)</w:t>
      </w:r>
    </w:p>
    <w:p>
      <w:pPr>
        <w:pStyle w:val="BodyText"/>
        <w:spacing w:line="276" w:lineRule="auto"/>
        <w:ind w:right="1907" w:firstLine="720"/>
      </w:pPr>
      <w:r>
        <w:rPr/>
        <w:t>The</w:t>
      </w:r>
      <w:r>
        <w:rPr>
          <w:spacing w:val="-4"/>
        </w:rPr>
        <w:t> </w:t>
      </w:r>
      <w:r>
        <w:rPr/>
        <w:t>structural</w:t>
      </w:r>
      <w:r>
        <w:rPr>
          <w:spacing w:val="-6"/>
        </w:rPr>
        <w:t> </w:t>
      </w:r>
      <w:r>
        <w:rPr/>
        <w:t>coupling</w:t>
      </w:r>
      <w:r>
        <w:rPr>
          <w:spacing w:val="-4"/>
        </w:rPr>
        <w:t> </w:t>
      </w:r>
      <w:r>
        <w:rPr/>
        <w:t>operates</w:t>
      </w:r>
      <w:r>
        <w:rPr>
          <w:spacing w:val="-1"/>
        </w:rPr>
        <w:t> </w:t>
      </w:r>
      <w:r>
        <w:rPr/>
        <w:t>as</w:t>
      </w:r>
      <w:r>
        <w:rPr>
          <w:spacing w:val="-6"/>
        </w:rPr>
        <w:t> </w:t>
      </w:r>
      <w:r>
        <w:rPr/>
        <w:t>an</w:t>
      </w:r>
      <w:r>
        <w:rPr>
          <w:spacing w:val="-2"/>
        </w:rPr>
        <w:t> </w:t>
      </w:r>
      <w:r>
        <w:rPr/>
        <w:t>effector,</w:t>
      </w:r>
      <w:r>
        <w:rPr>
          <w:spacing w:val="-3"/>
        </w:rPr>
        <w:t> </w:t>
      </w:r>
      <w:r>
        <w:rPr/>
        <w:t>however</w:t>
      </w:r>
      <w:r>
        <w:rPr>
          <w:spacing w:val="-3"/>
        </w:rPr>
        <w:t> </w:t>
      </w:r>
      <w:r>
        <w:rPr/>
        <w:t>proper</w:t>
      </w:r>
      <w:r>
        <w:rPr>
          <w:spacing w:val="-3"/>
        </w:rPr>
        <w:t> </w:t>
      </w:r>
      <w:r>
        <w:rPr/>
        <w:t>usage of the environmental information depends on the internal setups. If the communication between the A</w:t>
      </w:r>
      <w:r>
        <w:rPr>
          <w:vertAlign w:val="subscript"/>
        </w:rPr>
        <w:t>A</w:t>
      </w:r>
      <w:r>
        <w:rPr>
          <w:vertAlign w:val="baseline"/>
        </w:rPr>
        <w:t> and the A</w:t>
      </w:r>
      <w:r>
        <w:rPr>
          <w:vertAlign w:val="subscript"/>
        </w:rPr>
        <w:t>P</w:t>
      </w:r>
      <w:r>
        <w:rPr>
          <w:vertAlign w:val="baseline"/>
        </w:rPr>
        <w:t> is effective, the organization will easily maintain viability. The firms use a simple logic - ‘learn from the experience!’ It implies that some problems effectively resolved in the past, can be resolved the same way in the present as well. While some decisions, which were</w:t>
      </w:r>
      <w:r>
        <w:rPr>
          <w:spacing w:val="-5"/>
          <w:vertAlign w:val="baseline"/>
        </w:rPr>
        <w:t> </w:t>
      </w:r>
      <w:r>
        <w:rPr>
          <w:vertAlign w:val="baseline"/>
        </w:rPr>
        <w:t>proved wrong</w:t>
      </w:r>
      <w:r>
        <w:rPr>
          <w:spacing w:val="-4"/>
          <w:vertAlign w:val="baseline"/>
        </w:rPr>
        <w:t> </w:t>
      </w:r>
      <w:r>
        <w:rPr>
          <w:vertAlign w:val="baseline"/>
        </w:rPr>
        <w:t>in the</w:t>
      </w:r>
      <w:r>
        <w:rPr>
          <w:spacing w:val="-5"/>
          <w:vertAlign w:val="baseline"/>
        </w:rPr>
        <w:t> </w:t>
      </w:r>
      <w:r>
        <w:rPr>
          <w:vertAlign w:val="baseline"/>
        </w:rPr>
        <w:t>past, might</w:t>
      </w:r>
      <w:r>
        <w:rPr>
          <w:spacing w:val="-5"/>
          <w:vertAlign w:val="baseline"/>
        </w:rPr>
        <w:t> </w:t>
      </w:r>
      <w:r>
        <w:rPr>
          <w:vertAlign w:val="baseline"/>
        </w:rPr>
        <w:t>be wrong</w:t>
      </w:r>
      <w:r>
        <w:rPr>
          <w:spacing w:val="-4"/>
          <w:vertAlign w:val="baseline"/>
        </w:rPr>
        <w:t> </w:t>
      </w:r>
      <w:r>
        <w:rPr>
          <w:vertAlign w:val="baseline"/>
        </w:rPr>
        <w:t>in the</w:t>
      </w:r>
      <w:r>
        <w:rPr>
          <w:spacing w:val="-5"/>
          <w:vertAlign w:val="baseline"/>
        </w:rPr>
        <w:t> </w:t>
      </w:r>
      <w:r>
        <w:rPr>
          <w:vertAlign w:val="baseline"/>
        </w:rPr>
        <w:t>future as</w:t>
      </w:r>
      <w:r>
        <w:rPr>
          <w:spacing w:val="-2"/>
          <w:vertAlign w:val="baseline"/>
        </w:rPr>
        <w:t> </w:t>
      </w:r>
      <w:r>
        <w:rPr>
          <w:vertAlign w:val="baseline"/>
        </w:rPr>
        <w:t>well.</w:t>
      </w:r>
    </w:p>
    <w:p>
      <w:pPr>
        <w:pStyle w:val="BodyText"/>
        <w:spacing w:before="15"/>
        <w:ind w:left="0"/>
        <w:jc w:val="left"/>
      </w:pPr>
    </w:p>
    <w:p>
      <w:pPr>
        <w:spacing w:line="276" w:lineRule="auto" w:before="0"/>
        <w:ind w:left="2420" w:right="1908" w:firstLine="0"/>
        <w:jc w:val="both"/>
        <w:rPr>
          <w:sz w:val="24"/>
        </w:rPr>
      </w:pPr>
      <w:r>
        <w:rPr>
          <w:sz w:val="24"/>
        </w:rPr>
        <mc:AlternateContent>
          <mc:Choice Requires="wps">
            <w:drawing>
              <wp:anchor distT="0" distB="0" distL="0" distR="0" allowOverlap="1" layoutInCell="1" locked="0" behindDoc="0" simplePos="0" relativeHeight="15782912">
                <wp:simplePos x="0" y="0"/>
                <wp:positionH relativeFrom="page">
                  <wp:posOffset>1923923</wp:posOffset>
                </wp:positionH>
                <wp:positionV relativeFrom="paragraph">
                  <wp:posOffset>1490</wp:posOffset>
                </wp:positionV>
                <wp:extent cx="1270" cy="1155700"/>
                <wp:effectExtent l="0" t="0" r="0" b="0"/>
                <wp:wrapNone/>
                <wp:docPr id="129" name="Graphic 129"/>
                <wp:cNvGraphicFramePr>
                  <a:graphicFrameLocks/>
                </wp:cNvGraphicFramePr>
                <a:graphic>
                  <a:graphicData uri="http://schemas.microsoft.com/office/word/2010/wordprocessingShape">
                    <wps:wsp>
                      <wps:cNvPr id="129" name="Graphic 129"/>
                      <wps:cNvSpPr/>
                      <wps:spPr>
                        <a:xfrm>
                          <a:off x="0" y="0"/>
                          <a:ext cx="1270" cy="1155700"/>
                        </a:xfrm>
                        <a:custGeom>
                          <a:avLst/>
                          <a:gdLst/>
                          <a:ahLst/>
                          <a:cxnLst/>
                          <a:rect l="l" t="t" r="r" b="b"/>
                          <a:pathLst>
                            <a:path w="0" h="1155700">
                              <a:moveTo>
                                <a:pt x="0" y="0"/>
                              </a:moveTo>
                              <a:lnTo>
                                <a:pt x="0" y="231648"/>
                              </a:lnTo>
                            </a:path>
                            <a:path w="0" h="1155700">
                              <a:moveTo>
                                <a:pt x="0" y="231648"/>
                              </a:moveTo>
                              <a:lnTo>
                                <a:pt x="0" y="460501"/>
                              </a:lnTo>
                            </a:path>
                            <a:path w="0" h="1155700">
                              <a:moveTo>
                                <a:pt x="0" y="460501"/>
                              </a:moveTo>
                              <a:lnTo>
                                <a:pt x="0" y="692150"/>
                              </a:lnTo>
                            </a:path>
                            <a:path w="0" h="1155700">
                              <a:moveTo>
                                <a:pt x="0" y="692150"/>
                              </a:moveTo>
                              <a:lnTo>
                                <a:pt x="0" y="923798"/>
                              </a:lnTo>
                            </a:path>
                            <a:path w="0" h="1155700">
                              <a:moveTo>
                                <a:pt x="0" y="923798"/>
                              </a:moveTo>
                              <a:lnTo>
                                <a:pt x="0" y="1155446"/>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51.490005pt;margin-top:.117358pt;width:.1pt;height:91pt;mso-position-horizontal-relative:page;mso-position-vertical-relative:paragraph;z-index:15782912" id="docshape122" coordorigin="3030,2" coordsize="0,1820" path="m3030,2l3030,367m3030,367l3030,728m3030,728l3030,1092m3030,1092l3030,1457m3030,1457l3030,1822e" filled="false" stroked="true" strokeweight=".48pt" strokecolor="#000000">
                <v:path arrowok="t"/>
                <v:stroke dashstyle="shortdash"/>
                <w10:wrap type="none"/>
              </v:shape>
            </w:pict>
          </mc:Fallback>
        </mc:AlternateContent>
      </w:r>
      <w:r>
        <w:rPr>
          <w:sz w:val="24"/>
        </w:rPr>
        <w:t>“in each occurrence of a perturbation, the system will select the activity that reduced or eliminated that specific kind of</w:t>
      </w:r>
      <w:r>
        <w:rPr>
          <w:spacing w:val="40"/>
          <w:sz w:val="24"/>
        </w:rPr>
        <w:t> </w:t>
      </w:r>
      <w:r>
        <w:rPr>
          <w:sz w:val="24"/>
        </w:rPr>
        <w:t>perturbation in the past. Implicitly or explicitly, there must be the belief that connections that turned out to be successful will be successful also in the future.”</w:t>
      </w:r>
    </w:p>
    <w:p>
      <w:pPr>
        <w:pStyle w:val="BodyText"/>
        <w:spacing w:before="7"/>
        <w:ind w:left="1700" w:firstLine="4191"/>
      </w:pPr>
      <w:r>
        <w:rPr/>
        <w:t>(</w:t>
      </w:r>
      <w:hyperlink w:history="true" w:anchor="_bookmark420">
        <w:r>
          <w:rPr/>
          <w:t>von</w:t>
        </w:r>
        <w:r>
          <w:rPr>
            <w:spacing w:val="-8"/>
          </w:rPr>
          <w:t> </w:t>
        </w:r>
        <w:r>
          <w:rPr/>
          <w:t>Glasersfeld,</w:t>
        </w:r>
        <w:r>
          <w:rPr>
            <w:spacing w:val="-8"/>
          </w:rPr>
          <w:t> </w:t>
        </w:r>
        <w:r>
          <w:rPr/>
          <w:t>1981,</w:t>
        </w:r>
        <w:r>
          <w:rPr>
            <w:spacing w:val="-8"/>
          </w:rPr>
          <w:t> </w:t>
        </w:r>
        <w:r>
          <w:rPr/>
          <w:t>p.</w:t>
        </w:r>
        <w:r>
          <w:rPr>
            <w:spacing w:val="-8"/>
          </w:rPr>
          <w:t> </w:t>
        </w:r>
        <w:r>
          <w:rPr>
            <w:spacing w:val="-4"/>
          </w:rPr>
          <w:t>713</w:t>
        </w:r>
      </w:hyperlink>
      <w:r>
        <w:rPr>
          <w:spacing w:val="-4"/>
        </w:rPr>
        <w:t>)</w:t>
      </w:r>
    </w:p>
    <w:p>
      <w:pPr>
        <w:pStyle w:val="BodyText"/>
        <w:spacing w:line="273" w:lineRule="auto" w:before="51"/>
        <w:ind w:right="1907" w:firstLine="720"/>
      </w:pPr>
      <w:r>
        <w:rPr/>
        <w:t>As we have noted above the self-organized entities usually operate using negative feedback mechanisms. As </w:t>
      </w:r>
      <w:r>
        <w:rPr>
          <w:sz w:val="27"/>
        </w:rPr>
        <w:t>von Glasersfeld </w:t>
      </w:r>
      <w:r>
        <w:rPr/>
        <w:t>argues: “control system acts when there is a discrepancy between what it senses (sensory signal) and what it is supposed to sense or would like to sense.“ (</w:t>
      </w:r>
      <w:hyperlink w:history="true" w:anchor="_bookmark420">
        <w:r>
          <w:rPr/>
          <w:t>1981, p.</w:t>
        </w:r>
      </w:hyperlink>
      <w:r>
        <w:rPr/>
        <w:t> </w:t>
      </w:r>
      <w:hyperlink w:history="true" w:anchor="_bookmark420">
        <w:r>
          <w:rPr/>
          <w:t>712</w:t>
        </w:r>
      </w:hyperlink>
      <w:r>
        <w:rPr/>
        <w:t>) Even if so, the organization might produce positive feedbacks as well. Some scholars argue that in some cases the positive feedback can be more useful than the negative one. For example </w:t>
      </w:r>
      <w:r>
        <w:rPr>
          <w:sz w:val="27"/>
        </w:rPr>
        <w:t>Wheatley</w:t>
      </w:r>
      <w:r>
        <w:rPr>
          <w:spacing w:val="40"/>
          <w:sz w:val="27"/>
        </w:rPr>
        <w:t> </w:t>
      </w:r>
      <w:r>
        <w:rPr/>
        <w:t>maintained that to achieve</w:t>
      </w:r>
      <w:r>
        <w:rPr>
          <w:spacing w:val="40"/>
        </w:rPr>
        <w:t> </w:t>
      </w:r>
      <w:r>
        <w:rPr/>
        <w:t>more</w:t>
      </w:r>
      <w:r>
        <w:rPr>
          <w:spacing w:val="40"/>
        </w:rPr>
        <w:t> </w:t>
      </w:r>
      <w:r>
        <w:rPr/>
        <w:t>organizational</w:t>
      </w:r>
      <w:r>
        <w:rPr>
          <w:spacing w:val="40"/>
        </w:rPr>
        <w:t> </w:t>
      </w:r>
      <w:r>
        <w:rPr/>
        <w:t>order;</w:t>
      </w:r>
      <w:r>
        <w:rPr>
          <w:spacing w:val="40"/>
        </w:rPr>
        <w:t> </w:t>
      </w:r>
      <w:r>
        <w:rPr/>
        <w:t>the</w:t>
      </w:r>
      <w:r>
        <w:rPr>
          <w:spacing w:val="40"/>
        </w:rPr>
        <w:t> </w:t>
      </w:r>
      <w:r>
        <w:rPr/>
        <w:t>system</w:t>
      </w:r>
      <w:r>
        <w:rPr>
          <w:spacing w:val="40"/>
        </w:rPr>
        <w:t> </w:t>
      </w:r>
      <w:r>
        <w:rPr/>
        <w:t>should</w:t>
      </w:r>
      <w:r>
        <w:rPr>
          <w:spacing w:val="40"/>
        </w:rPr>
        <w:t> </w:t>
      </w:r>
      <w:r>
        <w:rPr/>
        <w:t>loosen</w:t>
      </w:r>
      <w:r>
        <w:rPr>
          <w:spacing w:val="40"/>
        </w:rPr>
        <w:t> </w:t>
      </w:r>
      <w:r>
        <w:rPr/>
        <w:t>the</w:t>
      </w:r>
      <w:r>
        <w:rPr>
          <w:spacing w:val="40"/>
        </w:rPr>
        <w:t> </w:t>
      </w:r>
      <w:r>
        <w:rPr/>
        <w:t>control</w:t>
      </w:r>
    </w:p>
    <w:p>
      <w:pPr>
        <w:pStyle w:val="BodyText"/>
        <w:spacing w:after="0" w:line="273" w:lineRule="auto"/>
        <w:sectPr>
          <w:pgSz w:w="12240" w:h="15840"/>
          <w:pgMar w:header="1046" w:footer="0" w:top="1360" w:bottom="280" w:left="720" w:right="360"/>
        </w:sectPr>
      </w:pPr>
    </w:p>
    <w:p>
      <w:pPr>
        <w:pStyle w:val="BodyText"/>
        <w:spacing w:line="276" w:lineRule="auto" w:before="276"/>
        <w:ind w:right="1911"/>
      </w:pPr>
      <w:r>
        <w:rPr/>
        <w:t>and allow more self-referential freedom (an initative). By being open to changes the organization can acquire a structural flexibility. Neglecting minor disturbances, can serve as impetus for generating more creativity. This openness is possible only if the system uses positive feedbacks, that instead of regulating “notice something new and amplify it into messages that signal a need to change.”</w:t>
      </w:r>
      <w:r>
        <w:rPr>
          <w:spacing w:val="40"/>
        </w:rPr>
        <w:t> </w:t>
      </w:r>
      <w:r>
        <w:rPr/>
        <w:t>(</w:t>
      </w:r>
      <w:hyperlink w:history="true" w:anchor="_bookmark431">
        <w:r>
          <w:rPr/>
          <w:t>Wheatley, 2006, p. 78</w:t>
        </w:r>
      </w:hyperlink>
      <w:r>
        <w:rPr/>
        <w:t>)</w:t>
      </w:r>
    </w:p>
    <w:p>
      <w:pPr>
        <w:pStyle w:val="BodyText"/>
        <w:spacing w:line="276" w:lineRule="auto"/>
        <w:ind w:right="1917" w:firstLine="720"/>
      </w:pPr>
      <w:r>
        <w:rPr/>
        <w:t>Positive feedback can sharpen certain issues, but it can also</w:t>
      </w:r>
      <w:r>
        <w:rPr>
          <w:spacing w:val="40"/>
        </w:rPr>
        <w:t> </w:t>
      </w:r>
      <w:r>
        <w:rPr/>
        <w:t>encourage constructive changes. We can think about innovative initiative coming from the structure of the organization. If the organization approves the</w:t>
      </w:r>
      <w:r>
        <w:rPr>
          <w:spacing w:val="-1"/>
        </w:rPr>
        <w:t> </w:t>
      </w:r>
      <w:r>
        <w:rPr/>
        <w:t>initiative</w:t>
      </w:r>
      <w:r>
        <w:rPr>
          <w:spacing w:val="-1"/>
        </w:rPr>
        <w:t> </w:t>
      </w:r>
      <w:r>
        <w:rPr/>
        <w:t>with positive</w:t>
      </w:r>
      <w:r>
        <w:rPr>
          <w:spacing w:val="-1"/>
        </w:rPr>
        <w:t> </w:t>
      </w:r>
      <w:r>
        <w:rPr/>
        <w:t>feedback, the</w:t>
      </w:r>
      <w:r>
        <w:rPr>
          <w:spacing w:val="-1"/>
        </w:rPr>
        <w:t> </w:t>
      </w:r>
      <w:r>
        <w:rPr/>
        <w:t>idea</w:t>
      </w:r>
      <w:r>
        <w:rPr>
          <w:spacing w:val="-1"/>
        </w:rPr>
        <w:t> </w:t>
      </w:r>
      <w:r>
        <w:rPr/>
        <w:t>will</w:t>
      </w:r>
      <w:r>
        <w:rPr>
          <w:spacing w:val="-4"/>
        </w:rPr>
        <w:t> </w:t>
      </w:r>
      <w:r>
        <w:rPr/>
        <w:t>bring</w:t>
      </w:r>
      <w:r>
        <w:rPr>
          <w:spacing w:val="-1"/>
        </w:rPr>
        <w:t> </w:t>
      </w:r>
      <w:r>
        <w:rPr/>
        <w:t>a</w:t>
      </w:r>
      <w:r>
        <w:rPr>
          <w:spacing w:val="-1"/>
        </w:rPr>
        <w:t> </w:t>
      </w:r>
      <w:r>
        <w:rPr/>
        <w:t>new product. The new product creates new departments etc.</w:t>
      </w:r>
    </w:p>
    <w:p>
      <w:pPr>
        <w:pStyle w:val="BodyText"/>
        <w:spacing w:line="276" w:lineRule="auto"/>
        <w:ind w:right="1904" w:firstLine="720"/>
      </w:pPr>
      <w:r>
        <w:rPr/>
        <w:t>In this section, we tried to show how modern profit oriented organizations work. We have divided the system into two functional parts an agency of the principals and an agency of the agent-subordinates. By doing so, we have identified two types of operations; first, day to day operations, which work to execute decisions and prepare information for the</w:t>
      </w:r>
      <w:r>
        <w:rPr>
          <w:spacing w:val="-2"/>
        </w:rPr>
        <w:t> </w:t>
      </w:r>
      <w:r>
        <w:rPr/>
        <w:t>future</w:t>
      </w:r>
      <w:r>
        <w:rPr>
          <w:spacing w:val="-2"/>
        </w:rPr>
        <w:t> </w:t>
      </w:r>
      <w:r>
        <w:rPr/>
        <w:t>decisions.</w:t>
      </w:r>
      <w:r>
        <w:rPr>
          <w:spacing w:val="-1"/>
        </w:rPr>
        <w:t> </w:t>
      </w:r>
      <w:r>
        <w:rPr/>
        <w:t>Second,</w:t>
      </w:r>
      <w:r>
        <w:rPr>
          <w:spacing w:val="-1"/>
        </w:rPr>
        <w:t> </w:t>
      </w:r>
      <w:r>
        <w:rPr/>
        <w:t>top</w:t>
      </w:r>
      <w:r>
        <w:rPr>
          <w:spacing w:val="-3"/>
        </w:rPr>
        <w:t> </w:t>
      </w:r>
      <w:r>
        <w:rPr/>
        <w:t>down</w:t>
      </w:r>
      <w:r>
        <w:rPr>
          <w:spacing w:val="-1"/>
        </w:rPr>
        <w:t> </w:t>
      </w:r>
      <w:r>
        <w:rPr/>
        <w:t>decisions.</w:t>
      </w:r>
      <w:r>
        <w:rPr>
          <w:spacing w:val="-1"/>
        </w:rPr>
        <w:t> </w:t>
      </w:r>
      <w:r>
        <w:rPr/>
        <w:t>The</w:t>
      </w:r>
      <w:r>
        <w:rPr>
          <w:spacing w:val="-2"/>
        </w:rPr>
        <w:t> </w:t>
      </w:r>
      <w:r>
        <w:rPr/>
        <w:t>decisions</w:t>
      </w:r>
      <w:r>
        <w:rPr>
          <w:spacing w:val="-4"/>
        </w:rPr>
        <w:t> </w:t>
      </w:r>
      <w:r>
        <w:rPr/>
        <w:t>are</w:t>
      </w:r>
      <w:r>
        <w:rPr>
          <w:spacing w:val="-2"/>
        </w:rPr>
        <w:t> </w:t>
      </w:r>
      <w:r>
        <w:rPr/>
        <w:t>made</w:t>
      </w:r>
      <w:r>
        <w:rPr>
          <w:spacing w:val="-2"/>
        </w:rPr>
        <w:t> </w:t>
      </w:r>
      <w:r>
        <w:rPr/>
        <w:t>by the principals to answer the environmental challenges, to approve the initiative of subordinates, or to</w:t>
      </w:r>
      <w:r>
        <w:rPr>
          <w:spacing w:val="40"/>
        </w:rPr>
        <w:t> </w:t>
      </w:r>
      <w:r>
        <w:rPr/>
        <w:t>reflect on the consequences of the previous decisions. This operation always causes changes in the structure of the system. Both A</w:t>
      </w:r>
      <w:r>
        <w:rPr>
          <w:vertAlign w:val="subscript"/>
        </w:rPr>
        <w:t>A</w:t>
      </w:r>
      <w:r>
        <w:rPr>
          <w:vertAlign w:val="baseline"/>
        </w:rPr>
        <w:t> and A</w:t>
      </w:r>
      <w:r>
        <w:rPr>
          <w:vertAlign w:val="subscript"/>
        </w:rPr>
        <w:t>P</w:t>
      </w:r>
      <w:r>
        <w:rPr>
          <w:spacing w:val="-17"/>
          <w:vertAlign w:val="baseline"/>
        </w:rPr>
        <w:t> </w:t>
      </w:r>
      <w:r>
        <w:rPr>
          <w:vertAlign w:val="baseline"/>
        </w:rPr>
        <w:t>are communications; however, the outcomes of the A</w:t>
      </w:r>
      <w:r>
        <w:rPr>
          <w:vertAlign w:val="subscript"/>
        </w:rPr>
        <w:t>p</w:t>
      </w:r>
      <w:r>
        <w:rPr>
          <w:spacing w:val="-18"/>
          <w:vertAlign w:val="baseline"/>
        </w:rPr>
        <w:t> </w:t>
      </w:r>
      <w:r>
        <w:rPr>
          <w:vertAlign w:val="baseline"/>
        </w:rPr>
        <w:t>have to be fixed, for the system-learning purposes.</w:t>
      </w:r>
    </w:p>
    <w:p>
      <w:pPr>
        <w:pStyle w:val="BodyText"/>
        <w:spacing w:after="0" w:line="276" w:lineRule="auto"/>
        <w:sectPr>
          <w:pgSz w:w="12240" w:h="15840"/>
          <w:pgMar w:header="1046" w:footer="0" w:top="1360" w:bottom="280" w:left="720" w:right="360"/>
        </w:sectPr>
      </w:pPr>
    </w:p>
    <w:p>
      <w:pPr>
        <w:pStyle w:val="Heading4"/>
        <w:numPr>
          <w:ilvl w:val="1"/>
          <w:numId w:val="10"/>
        </w:numPr>
        <w:tabs>
          <w:tab w:pos="1581" w:val="left" w:leader="none"/>
        </w:tabs>
        <w:spacing w:line="240" w:lineRule="auto" w:before="288" w:after="0"/>
        <w:ind w:left="1581" w:right="0" w:hanging="602"/>
        <w:jc w:val="left"/>
      </w:pPr>
      <w:bookmarkStart w:name="_bookmark30" w:id="31"/>
      <w:bookmarkEnd w:id="31"/>
      <w:r>
        <w:rPr>
          <w:b w:val="0"/>
        </w:rPr>
      </w:r>
      <w:r>
        <w:rPr>
          <w:spacing w:val="-7"/>
        </w:rPr>
        <w:t>Political</w:t>
      </w:r>
      <w:r>
        <w:rPr>
          <w:spacing w:val="-1"/>
        </w:rPr>
        <w:t> </w:t>
      </w:r>
      <w:r>
        <w:rPr>
          <w:spacing w:val="-2"/>
        </w:rPr>
        <w:t>System</w:t>
      </w:r>
    </w:p>
    <w:p>
      <w:pPr>
        <w:pStyle w:val="BodyText"/>
        <w:spacing w:before="196"/>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42624">
                <wp:simplePos x="0" y="0"/>
                <wp:positionH relativeFrom="page">
                  <wp:posOffset>1078864</wp:posOffset>
                </wp:positionH>
                <wp:positionV relativeFrom="paragraph">
                  <wp:posOffset>284324</wp:posOffset>
                </wp:positionV>
                <wp:extent cx="5252085" cy="52069"/>
                <wp:effectExtent l="0" t="0" r="0" b="0"/>
                <wp:wrapTopAndBottom/>
                <wp:docPr id="130" name="Graphic 130"/>
                <wp:cNvGraphicFramePr>
                  <a:graphicFrameLocks/>
                </wp:cNvGraphicFramePr>
                <a:graphic>
                  <a:graphicData uri="http://schemas.microsoft.com/office/word/2010/wordprocessingShape">
                    <wps:wsp>
                      <wps:cNvPr id="130" name="Graphic 130"/>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387733pt;width:413.55pt;height:4.1pt;mso-position-horizontal-relative:page;mso-position-vertical-relative:paragraph;z-index:-15673856;mso-wrap-distance-left:0;mso-wrap-distance-right:0" id="docshape123"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ind w:left="0"/>
        <w:jc w:val="left"/>
        <w:rPr>
          <w:rFonts w:ascii="Georgia"/>
          <w:b/>
        </w:rPr>
      </w:pPr>
    </w:p>
    <w:p>
      <w:pPr>
        <w:pStyle w:val="BodyText"/>
        <w:spacing w:before="92"/>
        <w:ind w:left="0"/>
        <w:jc w:val="left"/>
        <w:rPr>
          <w:rFonts w:ascii="Georgia"/>
          <w:b/>
        </w:rPr>
      </w:pPr>
    </w:p>
    <w:p>
      <w:pPr>
        <w:pStyle w:val="BodyText"/>
        <w:spacing w:line="276" w:lineRule="auto"/>
        <w:ind w:right="1903" w:firstLine="720"/>
      </w:pPr>
      <w:r>
        <w:rPr/>
        <w:t>The </w:t>
      </w:r>
      <w:r>
        <w:rPr>
          <w:sz w:val="27"/>
        </w:rPr>
        <w:t>Eastonian </w:t>
      </w:r>
      <w:r>
        <w:rPr/>
        <w:t>classical approach to the political system suggests two level differentiation, between those who decide and who are affected by those decisions. This view includes input/output model. Where input (support or demand) is converted by the political system into output (decisions and policies). (</w:t>
      </w:r>
      <w:hyperlink w:history="true" w:anchor="_bookmark167">
        <w:r>
          <w:rPr/>
          <w:t>Easton, 1957</w:t>
        </w:r>
      </w:hyperlink>
      <w:r>
        <w:rPr/>
        <w:t>) This approach presupposes a rudimentary hierarchic mode of governance, with the power center at the top</w:t>
      </w:r>
      <w:r>
        <w:rPr>
          <w:spacing w:val="-6"/>
        </w:rPr>
        <w:t> </w:t>
      </w:r>
      <w:r>
        <w:rPr/>
        <w:t>of</w:t>
      </w:r>
      <w:r>
        <w:rPr>
          <w:spacing w:val="-6"/>
        </w:rPr>
        <w:t> </w:t>
      </w:r>
      <w:r>
        <w:rPr/>
        <w:t>the</w:t>
      </w:r>
      <w:r>
        <w:rPr>
          <w:spacing w:val="-5"/>
        </w:rPr>
        <w:t> </w:t>
      </w:r>
      <w:r>
        <w:rPr/>
        <w:t>hierarchy. Development</w:t>
      </w:r>
      <w:r>
        <w:rPr>
          <w:spacing w:val="-5"/>
        </w:rPr>
        <w:t> </w:t>
      </w:r>
      <w:r>
        <w:rPr/>
        <w:t>of</w:t>
      </w:r>
      <w:r>
        <w:rPr>
          <w:spacing w:val="-6"/>
        </w:rPr>
        <w:t> </w:t>
      </w:r>
      <w:r>
        <w:rPr/>
        <w:t>new</w:t>
      </w:r>
      <w:r>
        <w:rPr>
          <w:spacing w:val="-4"/>
        </w:rPr>
        <w:t> </w:t>
      </w:r>
      <w:r>
        <w:rPr/>
        <w:t>governance</w:t>
      </w:r>
      <w:r>
        <w:rPr>
          <w:spacing w:val="-5"/>
        </w:rPr>
        <w:t> </w:t>
      </w:r>
      <w:r>
        <w:rPr/>
        <w:t>methods, has</w:t>
      </w:r>
      <w:r>
        <w:rPr>
          <w:spacing w:val="-6"/>
        </w:rPr>
        <w:t> </w:t>
      </w:r>
      <w:r>
        <w:rPr/>
        <w:t>spurred the complexities, which necessitate scholars to look beyond structures, actors, hierarchies and pay more attention to processes, communications and meanings. </w:t>
      </w:r>
      <w:r>
        <w:rPr>
          <w:sz w:val="27"/>
        </w:rPr>
        <w:t>Agnieszka Rothert </w:t>
      </w:r>
      <w:r>
        <w:rPr/>
        <w:t>argues that finding “true command centers” in modern political organizations is hard, because we live in the world where communications within networks become more important than personalities and positions they occupy in that networks (</w:t>
      </w:r>
      <w:hyperlink w:history="true" w:anchor="_bookmark364">
        <w:r>
          <w:rPr/>
          <w:t>Rothert,</w:t>
        </w:r>
      </w:hyperlink>
      <w:r>
        <w:rPr/>
        <w:t> </w:t>
      </w:r>
      <w:hyperlink w:history="true" w:anchor="_bookmark364">
        <w:r>
          <w:rPr/>
          <w:t>2014, p. 48</w:t>
        </w:r>
      </w:hyperlink>
      <w:r>
        <w:rPr/>
        <w:t>). “The process occupies a central place as a goal in itself and is about creating an alternative world in which the how is fixed, but the who is fluid.” (</w:t>
      </w:r>
      <w:hyperlink w:history="true" w:anchor="_bookmark364">
        <w:r>
          <w:rPr/>
          <w:t>Miller in Rothert, 2014</w:t>
        </w:r>
      </w:hyperlink>
      <w:r>
        <w:rPr/>
        <w:t>)</w:t>
      </w:r>
    </w:p>
    <w:p>
      <w:pPr>
        <w:pStyle w:val="BodyText"/>
        <w:spacing w:line="326" w:lineRule="exact"/>
        <w:ind w:left="1700"/>
      </w:pPr>
      <w:r>
        <w:rPr/>
        <w:t>Shifting</w:t>
      </w:r>
      <w:r>
        <w:rPr>
          <w:spacing w:val="15"/>
        </w:rPr>
        <w:t> </w:t>
      </w:r>
      <w:r>
        <w:rPr/>
        <w:t>the</w:t>
      </w:r>
      <w:r>
        <w:rPr>
          <w:spacing w:val="15"/>
        </w:rPr>
        <w:t> </w:t>
      </w:r>
      <w:r>
        <w:rPr/>
        <w:t>focus</w:t>
      </w:r>
      <w:r>
        <w:rPr>
          <w:spacing w:val="13"/>
        </w:rPr>
        <w:t> </w:t>
      </w:r>
      <w:r>
        <w:rPr/>
        <w:t>from</w:t>
      </w:r>
      <w:r>
        <w:rPr>
          <w:spacing w:val="13"/>
        </w:rPr>
        <w:t> </w:t>
      </w:r>
      <w:r>
        <w:rPr/>
        <w:t>hierarchy</w:t>
      </w:r>
      <w:r>
        <w:rPr>
          <w:spacing w:val="15"/>
        </w:rPr>
        <w:t> </w:t>
      </w:r>
      <w:r>
        <w:rPr/>
        <w:t>to</w:t>
      </w:r>
      <w:r>
        <w:rPr>
          <w:spacing w:val="17"/>
        </w:rPr>
        <w:t> </w:t>
      </w:r>
      <w:r>
        <w:rPr/>
        <w:t>self-organization</w:t>
      </w:r>
      <w:r>
        <w:rPr>
          <w:spacing w:val="16"/>
        </w:rPr>
        <w:t> </w:t>
      </w:r>
      <w:r>
        <w:rPr/>
        <w:t>does</w:t>
      </w:r>
      <w:r>
        <w:rPr>
          <w:spacing w:val="13"/>
        </w:rPr>
        <w:t> </w:t>
      </w:r>
      <w:r>
        <w:rPr/>
        <w:t>not</w:t>
      </w:r>
      <w:r>
        <w:rPr>
          <w:spacing w:val="23"/>
        </w:rPr>
        <w:t> </w:t>
      </w:r>
      <w:r>
        <w:rPr>
          <w:spacing w:val="-2"/>
        </w:rPr>
        <w:t>alter</w:t>
      </w:r>
    </w:p>
    <w:p>
      <w:pPr>
        <w:pStyle w:val="BodyText"/>
        <w:spacing w:line="276" w:lineRule="auto" w:before="52"/>
        <w:ind w:right="1901"/>
      </w:pPr>
      <w:r>
        <w:rPr/>
        <w:t>the importance of power in politics. "Who gets what, when, and how” (</w:t>
      </w:r>
      <w:hyperlink w:history="true" w:anchor="_bookmark252">
        <w:r>
          <w:rPr/>
          <w:t>Lasswell,</w:t>
        </w:r>
        <w:r>
          <w:rPr>
            <w:spacing w:val="-2"/>
          </w:rPr>
          <w:t> </w:t>
        </w:r>
        <w:r>
          <w:rPr/>
          <w:t>1936</w:t>
        </w:r>
      </w:hyperlink>
      <w:r>
        <w:rPr/>
        <w:t>)</w:t>
      </w:r>
      <w:r>
        <w:rPr>
          <w:spacing w:val="-2"/>
        </w:rPr>
        <w:t> </w:t>
      </w:r>
      <w:r>
        <w:rPr/>
        <w:t>is still</w:t>
      </w:r>
      <w:r>
        <w:rPr>
          <w:spacing w:val="-5"/>
        </w:rPr>
        <w:t> </w:t>
      </w:r>
      <w:r>
        <w:rPr/>
        <w:t>determined</w:t>
      </w:r>
      <w:r>
        <w:rPr>
          <w:spacing w:val="-1"/>
        </w:rPr>
        <w:t> </w:t>
      </w:r>
      <w:r>
        <w:rPr/>
        <w:t>by</w:t>
      </w:r>
      <w:r>
        <w:rPr>
          <w:spacing w:val="-3"/>
        </w:rPr>
        <w:t> </w:t>
      </w:r>
      <w:r>
        <w:rPr/>
        <w:t>the</w:t>
      </w:r>
      <w:r>
        <w:rPr>
          <w:spacing w:val="-3"/>
        </w:rPr>
        <w:t> </w:t>
      </w:r>
      <w:r>
        <w:rPr/>
        <w:t>political</w:t>
      </w:r>
      <w:r>
        <w:rPr>
          <w:spacing w:val="-6"/>
        </w:rPr>
        <w:t> </w:t>
      </w:r>
      <w:r>
        <w:rPr/>
        <w:t>process. However,</w:t>
      </w:r>
      <w:r>
        <w:rPr>
          <w:spacing w:val="-2"/>
        </w:rPr>
        <w:t> </w:t>
      </w:r>
      <w:r>
        <w:rPr/>
        <w:t>power in new forms of governance is co-produced via communications among all involved actors, not only by those at the at the top of hierarchy. Power is understood as one’s domination over another: “A</w:t>
      </w:r>
      <w:r>
        <w:rPr>
          <w:spacing w:val="40"/>
        </w:rPr>
        <w:t> </w:t>
      </w:r>
      <w:r>
        <w:rPr/>
        <w:t>has</w:t>
      </w:r>
      <w:r>
        <w:rPr>
          <w:spacing w:val="40"/>
        </w:rPr>
        <w:t> </w:t>
      </w:r>
      <w:r>
        <w:rPr/>
        <w:t>power over B</w:t>
      </w:r>
      <w:r>
        <w:rPr>
          <w:spacing w:val="40"/>
        </w:rPr>
        <w:t> </w:t>
      </w:r>
      <w:r>
        <w:rPr/>
        <w:t>to the extent</w:t>
      </w:r>
      <w:r>
        <w:rPr>
          <w:spacing w:val="80"/>
        </w:rPr>
        <w:t> </w:t>
      </w:r>
      <w:r>
        <w:rPr/>
        <w:t>that</w:t>
      </w:r>
      <w:r>
        <w:rPr>
          <w:spacing w:val="80"/>
        </w:rPr>
        <w:t> </w:t>
      </w:r>
      <w:r>
        <w:rPr/>
        <w:t>he</w:t>
      </w:r>
      <w:r>
        <w:rPr>
          <w:spacing w:val="80"/>
        </w:rPr>
        <w:t> </w:t>
      </w:r>
      <w:r>
        <w:rPr/>
        <w:t>can</w:t>
      </w:r>
      <w:r>
        <w:rPr>
          <w:spacing w:val="80"/>
        </w:rPr>
        <w:t> </w:t>
      </w:r>
      <w:r>
        <w:rPr/>
        <w:t>get</w:t>
      </w:r>
      <w:r>
        <w:rPr>
          <w:spacing w:val="80"/>
        </w:rPr>
        <w:t> </w:t>
      </w:r>
      <w:r>
        <w:rPr/>
        <w:t>B</w:t>
      </w:r>
      <w:r>
        <w:rPr>
          <w:spacing w:val="80"/>
        </w:rPr>
        <w:t> </w:t>
      </w:r>
      <w:r>
        <w:rPr/>
        <w:t>to do something</w:t>
      </w:r>
      <w:r>
        <w:rPr>
          <w:spacing w:val="80"/>
        </w:rPr>
        <w:t> </w:t>
      </w:r>
      <w:r>
        <w:rPr/>
        <w:t>that B would not otherwise do. (</w:t>
      </w:r>
      <w:hyperlink w:history="true" w:anchor="_bookmark148">
        <w:r>
          <w:rPr/>
          <w:t>Dahl, 1957, p. 202</w:t>
        </w:r>
      </w:hyperlink>
      <w:r>
        <w:rPr/>
        <w:t>) Nevertheless, in complex political systems power does not only describe how A affects B, but it is also relative capacity of the each</w:t>
      </w:r>
      <w:r>
        <w:rPr>
          <w:spacing w:val="-5"/>
        </w:rPr>
        <w:t> </w:t>
      </w:r>
      <w:r>
        <w:rPr/>
        <w:t>to</w:t>
      </w:r>
      <w:r>
        <w:rPr>
          <w:spacing w:val="-7"/>
        </w:rPr>
        <w:t> </w:t>
      </w:r>
      <w:r>
        <w:rPr/>
        <w:t>affect</w:t>
      </w:r>
      <w:r>
        <w:rPr>
          <w:spacing w:val="-4"/>
        </w:rPr>
        <w:t> </w:t>
      </w:r>
      <w:r>
        <w:rPr/>
        <w:t>C.</w:t>
      </w:r>
      <w:r>
        <w:rPr>
          <w:spacing w:val="-3"/>
        </w:rPr>
        <w:t> </w:t>
      </w:r>
      <w:r>
        <w:rPr/>
        <w:t>If</w:t>
      </w:r>
      <w:r>
        <w:rPr>
          <w:spacing w:val="-6"/>
        </w:rPr>
        <w:t> </w:t>
      </w:r>
      <w:r>
        <w:rPr/>
        <w:t>we</w:t>
      </w:r>
      <w:r>
        <w:rPr>
          <w:spacing w:val="-4"/>
        </w:rPr>
        <w:t> </w:t>
      </w:r>
      <w:r>
        <w:rPr/>
        <w:t>consider</w:t>
      </w:r>
      <w:r>
        <w:rPr>
          <w:spacing w:val="-3"/>
        </w:rPr>
        <w:t> </w:t>
      </w:r>
      <w:r>
        <w:rPr/>
        <w:t>every</w:t>
      </w:r>
      <w:r>
        <w:rPr>
          <w:spacing w:val="-5"/>
        </w:rPr>
        <w:t> </w:t>
      </w:r>
      <w:r>
        <w:rPr/>
        <w:t>actor</w:t>
      </w:r>
      <w:r>
        <w:rPr>
          <w:spacing w:val="-3"/>
        </w:rPr>
        <w:t> </w:t>
      </w:r>
      <w:r>
        <w:rPr/>
        <w:t>and</w:t>
      </w:r>
      <w:r>
        <w:rPr>
          <w:spacing w:val="-2"/>
        </w:rPr>
        <w:t> </w:t>
      </w:r>
      <w:r>
        <w:rPr/>
        <w:t>act</w:t>
      </w:r>
      <w:r>
        <w:rPr>
          <w:spacing w:val="-5"/>
        </w:rPr>
        <w:t> </w:t>
      </w:r>
      <w:r>
        <w:rPr/>
        <w:t>which</w:t>
      </w:r>
      <w:r>
        <w:rPr>
          <w:spacing w:val="-4"/>
        </w:rPr>
        <w:t> </w:t>
      </w:r>
      <w:r>
        <w:rPr/>
        <w:t>participates</w:t>
      </w:r>
      <w:r>
        <w:rPr>
          <w:spacing w:val="-6"/>
        </w:rPr>
        <w:t> </w:t>
      </w:r>
      <w:r>
        <w:rPr/>
        <w:t>in</w:t>
      </w:r>
      <w:r>
        <w:rPr>
          <w:spacing w:val="-3"/>
        </w:rPr>
        <w:t> </w:t>
      </w:r>
      <w:r>
        <w:rPr>
          <w:spacing w:val="-5"/>
        </w:rPr>
        <w:t>co-</w:t>
      </w:r>
    </w:p>
    <w:p>
      <w:pPr>
        <w:pStyle w:val="BodyText"/>
        <w:spacing w:after="0" w:line="276" w:lineRule="auto"/>
        <w:sectPr>
          <w:pgSz w:w="12240" w:h="15840"/>
          <w:pgMar w:header="1046" w:footer="0" w:top="1360" w:bottom="280" w:left="720" w:right="360"/>
        </w:sectPr>
      </w:pPr>
    </w:p>
    <w:p>
      <w:pPr>
        <w:pStyle w:val="BodyText"/>
        <w:spacing w:line="276" w:lineRule="auto" w:before="276"/>
        <w:ind w:right="1925"/>
      </w:pPr>
      <w:r>
        <w:rPr/>
        <w:t>production of power, we will see that it is almost impossible to give precise answer on question, who holds political power.</w:t>
      </w:r>
    </w:p>
    <w:p>
      <w:pPr>
        <w:pStyle w:val="BodyText"/>
        <w:spacing w:line="276" w:lineRule="auto"/>
        <w:ind w:right="1907" w:firstLine="720"/>
      </w:pPr>
      <w:r>
        <w:rPr/>
        <w:t>Political power is the only resource at the disposal of the political system to produce collectively binding decisions. (</w:t>
      </w:r>
      <w:hyperlink w:history="true" w:anchor="_bookmark237">
        <w:r>
          <w:rPr/>
          <w:t>King &amp; Thornhill, 2005,</w:t>
        </w:r>
      </w:hyperlink>
      <w:r>
        <w:rPr/>
        <w:t> </w:t>
      </w:r>
      <w:hyperlink w:history="true" w:anchor="_bookmark237">
        <w:r>
          <w:rPr/>
          <w:t>p. 70</w:t>
        </w:r>
      </w:hyperlink>
      <w:r>
        <w:rPr/>
        <w:t>) Political system addresses problems which can be resolved only by political means. Its interventions are necessary only if a crisis produced by the external system threatens the whole mechanism (e.g economic crisis threatens the healhcare).</w:t>
      </w:r>
    </w:p>
    <w:p>
      <w:pPr>
        <w:pStyle w:val="BodyText"/>
        <w:spacing w:line="276" w:lineRule="auto"/>
        <w:ind w:right="1904" w:firstLine="720"/>
      </w:pPr>
      <w:r>
        <w:rPr/>
        <mc:AlternateContent>
          <mc:Choice Requires="wps">
            <w:drawing>
              <wp:anchor distT="0" distB="0" distL="0" distR="0" allowOverlap="1" layoutInCell="1" locked="0" behindDoc="0" simplePos="0" relativeHeight="15783936">
                <wp:simplePos x="0" y="0"/>
                <wp:positionH relativeFrom="page">
                  <wp:posOffset>2381376</wp:posOffset>
                </wp:positionH>
                <wp:positionV relativeFrom="paragraph">
                  <wp:posOffset>3248746</wp:posOffset>
                </wp:positionV>
                <wp:extent cx="1270" cy="1003300"/>
                <wp:effectExtent l="0" t="0" r="0" b="0"/>
                <wp:wrapNone/>
                <wp:docPr id="131" name="Graphic 131"/>
                <wp:cNvGraphicFramePr>
                  <a:graphicFrameLocks/>
                </wp:cNvGraphicFramePr>
                <a:graphic>
                  <a:graphicData uri="http://schemas.microsoft.com/office/word/2010/wordprocessingShape">
                    <wps:wsp>
                      <wps:cNvPr id="131" name="Graphic 131"/>
                      <wps:cNvSpPr/>
                      <wps:spPr>
                        <a:xfrm>
                          <a:off x="0" y="0"/>
                          <a:ext cx="1270" cy="1003300"/>
                        </a:xfrm>
                        <a:custGeom>
                          <a:avLst/>
                          <a:gdLst/>
                          <a:ahLst/>
                          <a:cxnLst/>
                          <a:rect l="l" t="t" r="r" b="b"/>
                          <a:pathLst>
                            <a:path w="0" h="1003300">
                              <a:moveTo>
                                <a:pt x="0" y="0"/>
                              </a:moveTo>
                              <a:lnTo>
                                <a:pt x="0" y="249936"/>
                              </a:lnTo>
                            </a:path>
                            <a:path w="0" h="1003300">
                              <a:moveTo>
                                <a:pt x="0" y="249936"/>
                              </a:moveTo>
                              <a:lnTo>
                                <a:pt x="0" y="499872"/>
                              </a:lnTo>
                            </a:path>
                            <a:path w="0" h="1003300">
                              <a:moveTo>
                                <a:pt x="0" y="499872"/>
                              </a:moveTo>
                              <a:lnTo>
                                <a:pt x="0" y="750188"/>
                              </a:lnTo>
                            </a:path>
                            <a:path w="0" h="1003300">
                              <a:moveTo>
                                <a:pt x="0" y="750188"/>
                              </a:moveTo>
                              <a:lnTo>
                                <a:pt x="0" y="1003172"/>
                              </a:lnTo>
                            </a:path>
                          </a:pathLst>
                        </a:custGeom>
                        <a:ln w="6096">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187.509995pt;margin-top:255.806839pt;width:.1pt;height:79pt;mso-position-horizontal-relative:page;mso-position-vertical-relative:paragraph;z-index:15783936" id="docshape124" coordorigin="3750,5116" coordsize="0,1580" path="m3750,5116l3750,5510m3750,5510l3750,5903m3750,5903l3750,6298m3750,6298l3750,6696e" filled="false" stroked="true" strokeweight=".48pt" strokecolor="#000000">
                <v:path arrowok="t"/>
                <v:stroke dashstyle="shortdash"/>
                <w10:wrap type="none"/>
              </v:shape>
            </w:pict>
          </mc:Fallback>
        </mc:AlternateContent>
      </w:r>
      <w:r>
        <w:rPr/>
        <w:t>According to </w:t>
      </w:r>
      <w:r>
        <w:rPr>
          <w:sz w:val="27"/>
        </w:rPr>
        <w:t>Luhmann</w:t>
      </w:r>
      <w:r>
        <w:rPr/>
        <w:t>’s theory, political system is enacted via two level coding: a) Government and governed, b) Government and opposition. (</w:t>
      </w:r>
      <w:hyperlink w:history="true" w:anchor="_bookmark237">
        <w:r>
          <w:rPr/>
          <w:t>King &amp; Thornhill, 2005, p. 71</w:t>
        </w:r>
      </w:hyperlink>
      <w:r>
        <w:rPr/>
        <w:t>) Political system has to regenerate justifications to own decisions. This process is nothing but acquiring a legitimacy. Legitimacy is necessary for the political system to act as a political system. With successful self-legitimation, system defines the issues which are political, draws mechanisms how the politics is done and “generates sufficient plausability to gain acceptance for its decisions concerning these issues.” (</w:t>
      </w:r>
      <w:hyperlink w:history="true" w:anchor="_bookmark237">
        <w:r>
          <w:rPr/>
          <w:t>King &amp; Thornhill, 2005, p. 75</w:t>
        </w:r>
      </w:hyperlink>
      <w:r>
        <w:rPr/>
        <w:t>)</w:t>
      </w:r>
      <w:r>
        <w:rPr>
          <w:spacing w:val="40"/>
        </w:rPr>
        <w:t> </w:t>
      </w:r>
      <w:r>
        <w:rPr/>
        <w:t>Political system communicates with those who are not holders of power. </w:t>
      </w:r>
      <w:r>
        <w:rPr>
          <w:sz w:val="27"/>
        </w:rPr>
        <w:t>Luhmann </w:t>
      </w:r>
      <w:r>
        <w:rPr/>
        <w:t>argues that the state is the most popular self-representation of the political system because communication which ‘uses this formula is likely to be treated as understandable’. State therefore is,</w:t>
      </w:r>
    </w:p>
    <w:p>
      <w:pPr>
        <w:pStyle w:val="BodyText"/>
        <w:spacing w:line="322" w:lineRule="exact"/>
        <w:ind w:left="3207"/>
      </w:pPr>
      <w:r>
        <w:rPr/>
        <w:t>“a</w:t>
      </w:r>
      <w:r>
        <w:rPr>
          <w:spacing w:val="23"/>
        </w:rPr>
        <w:t> </w:t>
      </w:r>
      <w:r>
        <w:rPr/>
        <w:t>paradox</w:t>
      </w:r>
      <w:r>
        <w:rPr>
          <w:spacing w:val="21"/>
        </w:rPr>
        <w:t> </w:t>
      </w:r>
      <w:r>
        <w:rPr/>
        <w:t>or</w:t>
      </w:r>
      <w:r>
        <w:rPr>
          <w:spacing w:val="23"/>
        </w:rPr>
        <w:t> </w:t>
      </w:r>
      <w:r>
        <w:rPr/>
        <w:t>fiction,</w:t>
      </w:r>
      <w:r>
        <w:rPr>
          <w:spacing w:val="26"/>
        </w:rPr>
        <w:t> </w:t>
      </w:r>
      <w:r>
        <w:rPr/>
        <w:t>which</w:t>
      </w:r>
      <w:r>
        <w:rPr>
          <w:spacing w:val="23"/>
        </w:rPr>
        <w:t> </w:t>
      </w:r>
      <w:r>
        <w:rPr/>
        <w:t>the</w:t>
      </w:r>
      <w:r>
        <w:rPr>
          <w:spacing w:val="24"/>
        </w:rPr>
        <w:t> </w:t>
      </w:r>
      <w:r>
        <w:rPr/>
        <w:t>political</w:t>
      </w:r>
      <w:r>
        <w:rPr>
          <w:spacing w:val="25"/>
        </w:rPr>
        <w:t> </w:t>
      </w:r>
      <w:r>
        <w:rPr/>
        <w:t>system</w:t>
      </w:r>
      <w:r>
        <w:rPr>
          <w:spacing w:val="22"/>
        </w:rPr>
        <w:t> </w:t>
      </w:r>
      <w:r>
        <w:rPr>
          <w:spacing w:val="-2"/>
        </w:rPr>
        <w:t>itself</w:t>
      </w:r>
    </w:p>
    <w:p>
      <w:pPr>
        <w:pStyle w:val="BodyText"/>
        <w:spacing w:line="276" w:lineRule="auto" w:before="41"/>
        <w:ind w:left="3140" w:right="1914"/>
      </w:pPr>
      <w:r>
        <w:rPr/>
        <w:t>produces (for simplicity’s sake) in order to grasp its unity as a recursive and formally autonomous set of </w:t>
      </w:r>
      <w:r>
        <w:rPr>
          <w:spacing w:val="-2"/>
        </w:rPr>
        <w:t>communications.”</w:t>
      </w:r>
    </w:p>
    <w:p>
      <w:pPr>
        <w:pStyle w:val="BodyText"/>
        <w:spacing w:line="276" w:lineRule="auto" w:before="5"/>
        <w:ind w:left="1700" w:right="1911" w:firstLine="3601"/>
      </w:pPr>
      <w:r>
        <w:rPr/>
        <w:t>(</w:t>
      </w:r>
      <w:hyperlink w:history="true" w:anchor="_bookmark237">
        <w:r>
          <w:rPr/>
          <w:t>King &amp; Thornhill, 2005, p. 77</w:t>
        </w:r>
      </w:hyperlink>
      <w:r>
        <w:rPr/>
        <w:t>) Where</w:t>
      </w:r>
      <w:r>
        <w:rPr>
          <w:spacing w:val="54"/>
          <w:w w:val="150"/>
        </w:rPr>
        <w:t> </w:t>
      </w:r>
      <w:r>
        <w:rPr/>
        <w:t>do</w:t>
      </w:r>
      <w:r>
        <w:rPr>
          <w:spacing w:val="52"/>
          <w:w w:val="150"/>
        </w:rPr>
        <w:t> </w:t>
      </w:r>
      <w:r>
        <w:rPr/>
        <w:t>people</w:t>
      </w:r>
      <w:r>
        <w:rPr>
          <w:spacing w:val="55"/>
          <w:w w:val="150"/>
        </w:rPr>
        <w:t> </w:t>
      </w:r>
      <w:r>
        <w:rPr/>
        <w:t>fit</w:t>
      </w:r>
      <w:r>
        <w:rPr>
          <w:spacing w:val="54"/>
          <w:w w:val="150"/>
        </w:rPr>
        <w:t> </w:t>
      </w:r>
      <w:r>
        <w:rPr/>
        <w:t>in</w:t>
      </w:r>
      <w:r>
        <w:rPr>
          <w:spacing w:val="56"/>
          <w:w w:val="150"/>
        </w:rPr>
        <w:t> </w:t>
      </w:r>
      <w:r>
        <w:rPr/>
        <w:t>this</w:t>
      </w:r>
      <w:r>
        <w:rPr>
          <w:spacing w:val="52"/>
          <w:w w:val="150"/>
        </w:rPr>
        <w:t> </w:t>
      </w:r>
      <w:r>
        <w:rPr/>
        <w:t>scheme?</w:t>
      </w:r>
      <w:r>
        <w:rPr>
          <w:spacing w:val="60"/>
          <w:w w:val="150"/>
        </w:rPr>
        <w:t> </w:t>
      </w:r>
      <w:r>
        <w:rPr/>
        <w:t>To</w:t>
      </w:r>
      <w:r>
        <w:rPr>
          <w:spacing w:val="57"/>
          <w:w w:val="150"/>
        </w:rPr>
        <w:t> </w:t>
      </w:r>
      <w:r>
        <w:rPr/>
        <w:t>answer</w:t>
      </w:r>
      <w:r>
        <w:rPr>
          <w:spacing w:val="55"/>
          <w:w w:val="150"/>
        </w:rPr>
        <w:t> </w:t>
      </w:r>
      <w:r>
        <w:rPr/>
        <w:t>this</w:t>
      </w:r>
      <w:r>
        <w:rPr>
          <w:spacing w:val="53"/>
          <w:w w:val="150"/>
        </w:rPr>
        <w:t> </w:t>
      </w:r>
      <w:r>
        <w:rPr>
          <w:spacing w:val="-2"/>
        </w:rPr>
        <w:t>question,</w:t>
      </w:r>
    </w:p>
    <w:p>
      <w:pPr>
        <w:pStyle w:val="BodyText"/>
        <w:spacing w:line="276" w:lineRule="auto"/>
        <w:ind w:right="1901"/>
      </w:pPr>
      <w:r>
        <w:rPr/>
        <w:t>Luhmann uses the sociological principle of inclusion. “Concept of inclusion means</w:t>
      </w:r>
      <w:r>
        <w:rPr>
          <w:spacing w:val="-6"/>
        </w:rPr>
        <w:t> </w:t>
      </w:r>
      <w:r>
        <w:rPr/>
        <w:t>the</w:t>
      </w:r>
      <w:r>
        <w:rPr>
          <w:spacing w:val="-4"/>
        </w:rPr>
        <w:t> </w:t>
      </w:r>
      <w:r>
        <w:rPr/>
        <w:t>encompassing</w:t>
      </w:r>
      <w:r>
        <w:rPr>
          <w:spacing w:val="-4"/>
        </w:rPr>
        <w:t> </w:t>
      </w:r>
      <w:r>
        <w:rPr/>
        <w:t>of</w:t>
      </w:r>
      <w:r>
        <w:rPr>
          <w:spacing w:val="-5"/>
        </w:rPr>
        <w:t> </w:t>
      </w:r>
      <w:r>
        <w:rPr/>
        <w:t>the</w:t>
      </w:r>
      <w:r>
        <w:rPr>
          <w:spacing w:val="-4"/>
        </w:rPr>
        <w:t> </w:t>
      </w:r>
      <w:r>
        <w:rPr/>
        <w:t>entire</w:t>
      </w:r>
      <w:r>
        <w:rPr>
          <w:spacing w:val="-4"/>
        </w:rPr>
        <w:t> </w:t>
      </w:r>
      <w:r>
        <w:rPr/>
        <w:t>population</w:t>
      </w:r>
      <w:r>
        <w:rPr>
          <w:spacing w:val="-3"/>
        </w:rPr>
        <w:t> </w:t>
      </w:r>
      <w:r>
        <w:rPr/>
        <w:t>in</w:t>
      </w:r>
      <w:r>
        <w:rPr>
          <w:spacing w:val="-3"/>
        </w:rPr>
        <w:t> </w:t>
      </w:r>
      <w:r>
        <w:rPr/>
        <w:t>the</w:t>
      </w:r>
      <w:r>
        <w:rPr>
          <w:spacing w:val="-4"/>
        </w:rPr>
        <w:t> </w:t>
      </w:r>
      <w:r>
        <w:rPr/>
        <w:t>performances</w:t>
      </w:r>
      <w:r>
        <w:rPr>
          <w:spacing w:val="-6"/>
        </w:rPr>
        <w:t> </w:t>
      </w:r>
      <w:r>
        <w:rPr/>
        <w:t>of the individual function systems.” (</w:t>
      </w:r>
      <w:hyperlink w:history="true" w:anchor="_bookmark265">
        <w:r>
          <w:rPr/>
          <w:t>Luhmann, 1990b, p. 34</w:t>
        </w:r>
      </w:hyperlink>
      <w:r>
        <w:rPr/>
        <w:t>) Inclusion does not follow that an individual is being included to organization of the system, “but every individual</w:t>
      </w:r>
      <w:r>
        <w:rPr>
          <w:spacing w:val="17"/>
        </w:rPr>
        <w:t> </w:t>
      </w:r>
      <w:r>
        <w:rPr/>
        <w:t>has to have</w:t>
      </w:r>
      <w:r>
        <w:rPr>
          <w:spacing w:val="19"/>
        </w:rPr>
        <w:t> </w:t>
      </w:r>
      <w:r>
        <w:rPr/>
        <w:t>an</w:t>
      </w:r>
      <w:r>
        <w:rPr>
          <w:spacing w:val="16"/>
        </w:rPr>
        <w:t> </w:t>
      </w:r>
      <w:r>
        <w:rPr/>
        <w:t>access</w:t>
      </w:r>
      <w:r>
        <w:rPr>
          <w:spacing w:val="17"/>
        </w:rPr>
        <w:t> </w:t>
      </w:r>
      <w:r>
        <w:rPr/>
        <w:t>to every function</w:t>
      </w:r>
      <w:r>
        <w:rPr>
          <w:spacing w:val="20"/>
        </w:rPr>
        <w:t> </w:t>
      </w:r>
      <w:r>
        <w:rPr/>
        <w:t>system as his</w:t>
      </w:r>
    </w:p>
    <w:p>
      <w:pPr>
        <w:pStyle w:val="BodyText"/>
        <w:spacing w:after="0" w:line="276" w:lineRule="auto"/>
        <w:sectPr>
          <w:pgSz w:w="12240" w:h="15840"/>
          <w:pgMar w:header="1046" w:footer="0" w:top="1360" w:bottom="280" w:left="720" w:right="360"/>
        </w:sectPr>
      </w:pPr>
    </w:p>
    <w:p>
      <w:pPr>
        <w:pStyle w:val="BodyText"/>
        <w:spacing w:line="273" w:lineRule="auto" w:before="276"/>
        <w:ind w:right="1902"/>
      </w:pPr>
      <w:r>
        <w:rPr/>
        <w:t>or her mode requires</w:t>
      </w:r>
      <w:r>
        <w:rPr>
          <w:spacing w:val="-2"/>
        </w:rPr>
        <w:t> </w:t>
      </w:r>
      <w:r>
        <w:rPr/>
        <w:t>the use of the functions</w:t>
      </w:r>
      <w:r>
        <w:rPr>
          <w:spacing w:val="-2"/>
        </w:rPr>
        <w:t> </w:t>
      </w:r>
      <w:r>
        <w:rPr/>
        <w:t>of society.” (</w:t>
      </w:r>
      <w:hyperlink w:history="true" w:anchor="_bookmark265">
        <w:r>
          <w:rPr/>
          <w:t>Luhmann, 1990b,</w:t>
        </w:r>
      </w:hyperlink>
      <w:r>
        <w:rPr/>
        <w:t> </w:t>
      </w:r>
      <w:hyperlink w:history="true" w:anchor="_bookmark265">
        <w:r>
          <w:rPr/>
          <w:t>p. 34</w:t>
        </w:r>
      </w:hyperlink>
      <w:r>
        <w:rPr/>
        <w:t>)</w:t>
      </w:r>
      <w:r>
        <w:rPr>
          <w:spacing w:val="40"/>
        </w:rPr>
        <w:t> </w:t>
      </w:r>
      <w:r>
        <w:rPr/>
        <w:t>This sort of inclusion leads to the welfare state. Self-reference of the political systems makes it possible “the inclusion of the entire population – regardless who determines what is a political theme.” (</w:t>
      </w:r>
      <w:hyperlink w:history="true" w:anchor="_bookmark265">
        <w:r>
          <w:rPr/>
          <w:t>Luhmann, 1990b, p.</w:t>
        </w:r>
      </w:hyperlink>
      <w:r>
        <w:rPr/>
        <w:t> </w:t>
      </w:r>
      <w:hyperlink w:history="true" w:anchor="_bookmark265">
        <w:r>
          <w:rPr/>
          <w:t>41</w:t>
        </w:r>
      </w:hyperlink>
      <w:r>
        <w:rPr/>
        <w:t>) Political systems, as </w:t>
      </w:r>
      <w:r>
        <w:rPr>
          <w:sz w:val="27"/>
        </w:rPr>
        <w:t>Luhmann </w:t>
      </w:r>
      <w:r>
        <w:rPr/>
        <w:t>argues, are based on threefold differentiation of </w:t>
      </w:r>
      <w:r>
        <w:rPr>
          <w:sz w:val="27"/>
        </w:rPr>
        <w:t>politics</w:t>
      </w:r>
      <w:r>
        <w:rPr/>
        <w:t>, </w:t>
      </w:r>
      <w:r>
        <w:rPr>
          <w:sz w:val="27"/>
        </w:rPr>
        <w:t>administration </w:t>
      </w:r>
      <w:r>
        <w:rPr/>
        <w:t>and </w:t>
      </w:r>
      <w:r>
        <w:rPr>
          <w:sz w:val="27"/>
        </w:rPr>
        <w:t>public</w:t>
      </w:r>
      <w:r>
        <w:rPr/>
        <w:t>. Each component, needs to be self-referential and therefore consider another as an environment. Political system is accordingly “directed towards the environments created within itself.” The cyclic dynamic of the political system follows this pattern: “Politics sets the boundaries and priorities for administrative</w:t>
      </w:r>
      <w:r>
        <w:rPr>
          <w:spacing w:val="-2"/>
        </w:rPr>
        <w:t> </w:t>
      </w:r>
      <w:r>
        <w:rPr/>
        <w:t>decisions.</w:t>
      </w:r>
      <w:r>
        <w:rPr>
          <w:spacing w:val="-1"/>
        </w:rPr>
        <w:t> </w:t>
      </w:r>
      <w:r>
        <w:rPr/>
        <w:t>The</w:t>
      </w:r>
      <w:r>
        <w:rPr>
          <w:spacing w:val="-2"/>
        </w:rPr>
        <w:t> </w:t>
      </w:r>
      <w:r>
        <w:rPr/>
        <w:t>administration uses</w:t>
      </w:r>
      <w:r>
        <w:rPr>
          <w:spacing w:val="-4"/>
        </w:rPr>
        <w:t> </w:t>
      </w:r>
      <w:r>
        <w:rPr/>
        <w:t>the</w:t>
      </w:r>
      <w:r>
        <w:rPr>
          <w:spacing w:val="-2"/>
        </w:rPr>
        <w:t> </w:t>
      </w:r>
      <w:r>
        <w:rPr/>
        <w:t>decisions</w:t>
      </w:r>
      <w:r>
        <w:rPr>
          <w:spacing w:val="-4"/>
        </w:rPr>
        <w:t> </w:t>
      </w:r>
      <w:r>
        <w:rPr/>
        <w:t>to</w:t>
      </w:r>
      <w:r>
        <w:rPr>
          <w:spacing w:val="-5"/>
        </w:rPr>
        <w:t> </w:t>
      </w:r>
      <w:r>
        <w:rPr/>
        <w:t>bind itself and public, while the later, in turn, can react to the decisions through political</w:t>
      </w:r>
      <w:r>
        <w:rPr>
          <w:spacing w:val="-4"/>
        </w:rPr>
        <w:t> </w:t>
      </w:r>
      <w:r>
        <w:rPr/>
        <w:t>elections</w:t>
      </w:r>
      <w:r>
        <w:rPr>
          <w:spacing w:val="-5"/>
        </w:rPr>
        <w:t> </w:t>
      </w:r>
      <w:r>
        <w:rPr/>
        <w:t>or</w:t>
      </w:r>
      <w:r>
        <w:rPr>
          <w:spacing w:val="-2"/>
        </w:rPr>
        <w:t> </w:t>
      </w:r>
      <w:r>
        <w:rPr/>
        <w:t>other</w:t>
      </w:r>
      <w:r>
        <w:rPr>
          <w:spacing w:val="-2"/>
        </w:rPr>
        <w:t> </w:t>
      </w:r>
      <w:r>
        <w:rPr/>
        <w:t>expressions</w:t>
      </w:r>
      <w:r>
        <w:rPr>
          <w:spacing w:val="-5"/>
        </w:rPr>
        <w:t> </w:t>
      </w:r>
      <w:r>
        <w:rPr/>
        <w:t>of opinion</w:t>
      </w:r>
      <w:r>
        <w:rPr>
          <w:spacing w:val="-2"/>
        </w:rPr>
        <w:t> </w:t>
      </w:r>
      <w:r>
        <w:rPr/>
        <w:t>based</w:t>
      </w:r>
      <w:r>
        <w:rPr>
          <w:spacing w:val="-1"/>
        </w:rPr>
        <w:t> </w:t>
      </w:r>
      <w:r>
        <w:rPr/>
        <w:t>on</w:t>
      </w:r>
      <w:r>
        <w:rPr>
          <w:spacing w:val="-2"/>
        </w:rPr>
        <w:t> </w:t>
      </w:r>
      <w:r>
        <w:rPr/>
        <w:t>them (</w:t>
      </w:r>
      <w:hyperlink w:history="true" w:anchor="_bookmark265">
        <w:r>
          <w:rPr/>
          <w:t>Luhmann,</w:t>
        </w:r>
      </w:hyperlink>
      <w:r>
        <w:rPr/>
        <w:t> </w:t>
      </w:r>
      <w:hyperlink w:history="true" w:anchor="_bookmark265">
        <w:r>
          <w:rPr/>
          <w:t>1990b, p. 48</w:t>
        </w:r>
      </w:hyperlink>
      <w:r>
        <w:rPr/>
        <w:t>)</w:t>
      </w:r>
    </w:p>
    <w:p>
      <w:pPr>
        <w:pStyle w:val="BodyText"/>
        <w:spacing w:line="276" w:lineRule="auto" w:before="17"/>
        <w:ind w:right="1916" w:firstLine="720"/>
      </w:pPr>
      <w:r>
        <w:rPr/>
        <w:t>Parliament produces a legislative framework for the executives to “decide” programs “politically.” Politics via party organizations suggest to publics how to react on administrative input (figure 8)</w:t>
      </w:r>
    </w:p>
    <w:p>
      <w:pPr>
        <w:spacing w:line="180" w:lineRule="exact" w:before="0"/>
        <w:ind w:left="1517" w:right="0" w:firstLine="0"/>
        <w:jc w:val="left"/>
        <w:rPr>
          <w:rFonts w:ascii="Calibri"/>
          <w:b/>
          <w:sz w:val="18"/>
        </w:rPr>
      </w:pPr>
      <w:r>
        <w:rPr>
          <w:rFonts w:ascii="Calibri"/>
          <w:b/>
          <w:color w:val="4F81BC"/>
          <w:sz w:val="18"/>
        </w:rPr>
        <w:t>Figure</w:t>
      </w:r>
      <w:r>
        <w:rPr>
          <w:rFonts w:ascii="Calibri"/>
          <w:b/>
          <w:color w:val="4F81BC"/>
          <w:spacing w:val="-1"/>
          <w:sz w:val="18"/>
        </w:rPr>
        <w:t> </w:t>
      </w:r>
      <w:r>
        <w:rPr>
          <w:rFonts w:ascii="Calibri"/>
          <w:b/>
          <w:color w:val="4F81BC"/>
          <w:sz w:val="18"/>
        </w:rPr>
        <w:t>8.</w:t>
      </w:r>
      <w:r>
        <w:rPr>
          <w:rFonts w:ascii="Calibri"/>
          <w:b/>
          <w:color w:val="4F81BC"/>
          <w:spacing w:val="-6"/>
          <w:sz w:val="18"/>
        </w:rPr>
        <w:t> </w:t>
      </w:r>
      <w:r>
        <w:rPr>
          <w:rFonts w:ascii="Calibri"/>
          <w:b/>
          <w:color w:val="4F81BC"/>
          <w:sz w:val="18"/>
        </w:rPr>
        <w:t>Political</w:t>
      </w:r>
      <w:r>
        <w:rPr>
          <w:rFonts w:ascii="Calibri"/>
          <w:b/>
          <w:color w:val="4F81BC"/>
          <w:spacing w:val="-3"/>
          <w:sz w:val="18"/>
        </w:rPr>
        <w:t> </w:t>
      </w:r>
      <w:r>
        <w:rPr>
          <w:rFonts w:ascii="Calibri"/>
          <w:b/>
          <w:color w:val="4F81BC"/>
          <w:spacing w:val="-2"/>
          <w:sz w:val="18"/>
        </w:rPr>
        <w:t>Communication</w:t>
      </w:r>
    </w:p>
    <w:p>
      <w:pPr>
        <w:pStyle w:val="BodyText"/>
        <w:spacing w:before="79"/>
        <w:ind w:left="0"/>
        <w:jc w:val="left"/>
        <w:rPr>
          <w:rFonts w:ascii="Calibri"/>
          <w:b/>
          <w:sz w:val="20"/>
        </w:rPr>
      </w:pPr>
      <w:r>
        <w:rPr>
          <w:rFonts w:ascii="Calibri"/>
          <w:b/>
          <w:sz w:val="20"/>
        </w:rPr>
        <mc:AlternateContent>
          <mc:Choice Requires="wps">
            <w:drawing>
              <wp:anchor distT="0" distB="0" distL="0" distR="0" allowOverlap="1" layoutInCell="1" locked="0" behindDoc="1" simplePos="0" relativeHeight="487643648">
                <wp:simplePos x="0" y="0"/>
                <wp:positionH relativeFrom="page">
                  <wp:posOffset>1510030</wp:posOffset>
                </wp:positionH>
                <wp:positionV relativeFrom="paragraph">
                  <wp:posOffset>220434</wp:posOffset>
                </wp:positionV>
                <wp:extent cx="4548505" cy="3414395"/>
                <wp:effectExtent l="0" t="0" r="0" b="0"/>
                <wp:wrapTopAndBottom/>
                <wp:docPr id="132" name="Group 132"/>
                <wp:cNvGraphicFramePr>
                  <a:graphicFrameLocks/>
                </wp:cNvGraphicFramePr>
                <a:graphic>
                  <a:graphicData uri="http://schemas.microsoft.com/office/word/2010/wordprocessingGroup">
                    <wpg:wgp>
                      <wpg:cNvPr id="132" name="Group 132"/>
                      <wpg:cNvGrpSpPr/>
                      <wpg:grpSpPr>
                        <a:xfrm>
                          <a:off x="0" y="0"/>
                          <a:ext cx="4548505" cy="3414395"/>
                          <a:chExt cx="4548505" cy="3414395"/>
                        </a:xfrm>
                      </wpg:grpSpPr>
                      <pic:pic>
                        <pic:nvPicPr>
                          <pic:cNvPr id="133" name="Image 133" descr="POLITICAL SYSTEM"/>
                          <pic:cNvPicPr/>
                        </pic:nvPicPr>
                        <pic:blipFill>
                          <a:blip r:embed="rId28" cstate="print"/>
                          <a:stretch>
                            <a:fillRect/>
                          </a:stretch>
                        </pic:blipFill>
                        <pic:spPr>
                          <a:xfrm>
                            <a:off x="30638" y="87758"/>
                            <a:ext cx="4505444" cy="3314472"/>
                          </a:xfrm>
                          <a:prstGeom prst="rect">
                            <a:avLst/>
                          </a:prstGeom>
                        </pic:spPr>
                      </pic:pic>
                      <wps:wsp>
                        <wps:cNvPr id="134" name="Graphic 134"/>
                        <wps:cNvSpPr/>
                        <wps:spPr>
                          <a:xfrm>
                            <a:off x="3175" y="3175"/>
                            <a:ext cx="4542155" cy="3408045"/>
                          </a:xfrm>
                          <a:custGeom>
                            <a:avLst/>
                            <a:gdLst/>
                            <a:ahLst/>
                            <a:cxnLst/>
                            <a:rect l="l" t="t" r="r" b="b"/>
                            <a:pathLst>
                              <a:path w="4542155" h="3408045">
                                <a:moveTo>
                                  <a:pt x="0" y="3408045"/>
                                </a:moveTo>
                                <a:lnTo>
                                  <a:pt x="4542155" y="3408045"/>
                                </a:lnTo>
                                <a:lnTo>
                                  <a:pt x="4542155" y="0"/>
                                </a:lnTo>
                                <a:lnTo>
                                  <a:pt x="0" y="0"/>
                                </a:lnTo>
                                <a:lnTo>
                                  <a:pt x="0" y="3408045"/>
                                </a:lnTo>
                                <a:close/>
                              </a:path>
                            </a:pathLst>
                          </a:custGeom>
                          <a:ln w="6350">
                            <a:solidFill>
                              <a:srgbClr val="000000"/>
                            </a:solidFill>
                            <a:prstDash val="solid"/>
                          </a:ln>
                        </wps:spPr>
                        <wps:bodyPr wrap="square" lIns="0" tIns="0" rIns="0" bIns="0" rtlCol="0">
                          <a:prstTxWarp prst="textNoShape">
                            <a:avLst/>
                          </a:prstTxWarp>
                          <a:noAutofit/>
                        </wps:bodyPr>
                      </wps:wsp>
                      <wps:wsp>
                        <wps:cNvPr id="135" name="Textbox 135"/>
                        <wps:cNvSpPr txBox="1"/>
                        <wps:spPr>
                          <a:xfrm>
                            <a:off x="2949575" y="2623692"/>
                            <a:ext cx="1486535" cy="514350"/>
                          </a:xfrm>
                          <a:prstGeom prst="rect">
                            <a:avLst/>
                          </a:prstGeom>
                          <a:ln w="9525">
                            <a:solidFill>
                              <a:srgbClr val="000000"/>
                            </a:solidFill>
                            <a:prstDash val="lgDashDot"/>
                          </a:ln>
                        </wps:spPr>
                        <wps:txbx>
                          <w:txbxContent>
                            <w:p>
                              <w:pPr>
                                <w:spacing w:line="240" w:lineRule="auto" w:before="8"/>
                                <w:rPr>
                                  <w:rFonts w:ascii="Calibri"/>
                                  <w:b/>
                                  <w:sz w:val="16"/>
                                </w:rPr>
                              </w:pPr>
                            </w:p>
                            <w:p>
                              <w:pPr>
                                <w:spacing w:line="235" w:lineRule="auto" w:before="0"/>
                                <w:ind w:left="148" w:right="139" w:firstLine="0"/>
                                <w:jc w:val="left"/>
                                <w:rPr>
                                  <w:rFonts w:ascii="Calibri"/>
                                  <w:sz w:val="16"/>
                                </w:rPr>
                              </w:pPr>
                              <w:r>
                                <w:rPr>
                                  <w:rFonts w:ascii="Calibri"/>
                                  <w:sz w:val="16"/>
                                </w:rPr>
                                <w:t>Recursive</w:t>
                              </w:r>
                              <w:r>
                                <w:rPr>
                                  <w:rFonts w:ascii="Calibri"/>
                                  <w:spacing w:val="32"/>
                                  <w:sz w:val="16"/>
                                </w:rPr>
                                <w:t> </w:t>
                              </w:r>
                              <w:r>
                                <w:rPr>
                                  <w:rFonts w:ascii="Calibri"/>
                                  <w:sz w:val="16"/>
                                </w:rPr>
                                <w:t>dynamics</w:t>
                              </w:r>
                              <w:r>
                                <w:rPr>
                                  <w:rFonts w:ascii="Calibri"/>
                                  <w:spacing w:val="34"/>
                                  <w:sz w:val="16"/>
                                </w:rPr>
                                <w:t> </w:t>
                              </w:r>
                              <w:r>
                                <w:rPr>
                                  <w:rFonts w:ascii="Calibri"/>
                                  <w:sz w:val="16"/>
                                </w:rPr>
                                <w:t>of</w:t>
                              </w:r>
                              <w:r>
                                <w:rPr>
                                  <w:rFonts w:ascii="Calibri"/>
                                  <w:spacing w:val="33"/>
                                  <w:sz w:val="16"/>
                                </w:rPr>
                                <w:t> </w:t>
                              </w:r>
                              <w:r>
                                <w:rPr>
                                  <w:rFonts w:ascii="Calibri"/>
                                  <w:sz w:val="16"/>
                                </w:rPr>
                                <w:t>a</w:t>
                              </w:r>
                              <w:r>
                                <w:rPr>
                                  <w:rFonts w:ascii="Calibri"/>
                                  <w:spacing w:val="30"/>
                                  <w:sz w:val="16"/>
                                </w:rPr>
                                <w:t> </w:t>
                              </w:r>
                              <w:r>
                                <w:rPr>
                                  <w:rFonts w:ascii="Calibri"/>
                                  <w:sz w:val="16"/>
                                </w:rPr>
                                <w:t>self-</w:t>
                              </w:r>
                              <w:r>
                                <w:rPr>
                                  <w:rFonts w:ascii="Calibri"/>
                                  <w:spacing w:val="40"/>
                                  <w:sz w:val="16"/>
                                </w:rPr>
                                <w:t> </w:t>
                              </w:r>
                              <w:r>
                                <w:rPr>
                                  <w:rFonts w:ascii="Calibri"/>
                                  <w:sz w:val="16"/>
                                </w:rPr>
                                <w:t>referential</w:t>
                              </w:r>
                              <w:r>
                                <w:rPr>
                                  <w:rFonts w:ascii="Calibri"/>
                                  <w:spacing w:val="-7"/>
                                  <w:sz w:val="16"/>
                                </w:rPr>
                                <w:t> </w:t>
                              </w:r>
                              <w:r>
                                <w:rPr>
                                  <w:rFonts w:ascii="Calibri"/>
                                  <w:sz w:val="16"/>
                                </w:rPr>
                                <w:t>system</w:t>
                              </w:r>
                            </w:p>
                          </w:txbxContent>
                        </wps:txbx>
                        <wps:bodyPr wrap="square" lIns="0" tIns="0" rIns="0" bIns="0" rtlCol="0">
                          <a:noAutofit/>
                        </wps:bodyPr>
                      </wps:wsp>
                    </wpg:wgp>
                  </a:graphicData>
                </a:graphic>
              </wp:anchor>
            </w:drawing>
          </mc:Choice>
          <mc:Fallback>
            <w:pict>
              <v:group style="position:absolute;margin-left:118.900002pt;margin-top:17.357031pt;width:358.15pt;height:268.850pt;mso-position-horizontal-relative:page;mso-position-vertical-relative:paragraph;z-index:-15672832;mso-wrap-distance-left:0;mso-wrap-distance-right:0" id="docshapegroup125" coordorigin="2378,347" coordsize="7163,5377">
                <v:shape style="position:absolute;left:2426;top:485;width:7096;height:5220" type="#_x0000_t75" id="docshape126" alt="POLITICAL SYSTEM" stroked="false">
                  <v:imagedata r:id="rId28" o:title=""/>
                </v:shape>
                <v:rect style="position:absolute;left:2383;top:352;width:7153;height:5367" id="docshape127" filled="false" stroked="true" strokeweight=".5pt" strokecolor="#000000">
                  <v:stroke dashstyle="solid"/>
                </v:rect>
                <v:shape style="position:absolute;left:7023;top:4478;width:2341;height:810" type="#_x0000_t202" id="docshape128" filled="false" stroked="true" strokeweight=".75pt" strokecolor="#000000">
                  <v:textbox inset="0,0,0,0">
                    <w:txbxContent>
                      <w:p>
                        <w:pPr>
                          <w:spacing w:line="240" w:lineRule="auto" w:before="8"/>
                          <w:rPr>
                            <w:rFonts w:ascii="Calibri"/>
                            <w:b/>
                            <w:sz w:val="16"/>
                          </w:rPr>
                        </w:pPr>
                      </w:p>
                      <w:p>
                        <w:pPr>
                          <w:spacing w:line="235" w:lineRule="auto" w:before="0"/>
                          <w:ind w:left="148" w:right="139" w:firstLine="0"/>
                          <w:jc w:val="left"/>
                          <w:rPr>
                            <w:rFonts w:ascii="Calibri"/>
                            <w:sz w:val="16"/>
                          </w:rPr>
                        </w:pPr>
                        <w:r>
                          <w:rPr>
                            <w:rFonts w:ascii="Calibri"/>
                            <w:sz w:val="16"/>
                          </w:rPr>
                          <w:t>Recursive</w:t>
                        </w:r>
                        <w:r>
                          <w:rPr>
                            <w:rFonts w:ascii="Calibri"/>
                            <w:spacing w:val="32"/>
                            <w:sz w:val="16"/>
                          </w:rPr>
                          <w:t> </w:t>
                        </w:r>
                        <w:r>
                          <w:rPr>
                            <w:rFonts w:ascii="Calibri"/>
                            <w:sz w:val="16"/>
                          </w:rPr>
                          <w:t>dynamics</w:t>
                        </w:r>
                        <w:r>
                          <w:rPr>
                            <w:rFonts w:ascii="Calibri"/>
                            <w:spacing w:val="34"/>
                            <w:sz w:val="16"/>
                          </w:rPr>
                          <w:t> </w:t>
                        </w:r>
                        <w:r>
                          <w:rPr>
                            <w:rFonts w:ascii="Calibri"/>
                            <w:sz w:val="16"/>
                          </w:rPr>
                          <w:t>of</w:t>
                        </w:r>
                        <w:r>
                          <w:rPr>
                            <w:rFonts w:ascii="Calibri"/>
                            <w:spacing w:val="33"/>
                            <w:sz w:val="16"/>
                          </w:rPr>
                          <w:t> </w:t>
                        </w:r>
                        <w:r>
                          <w:rPr>
                            <w:rFonts w:ascii="Calibri"/>
                            <w:sz w:val="16"/>
                          </w:rPr>
                          <w:t>a</w:t>
                        </w:r>
                        <w:r>
                          <w:rPr>
                            <w:rFonts w:ascii="Calibri"/>
                            <w:spacing w:val="30"/>
                            <w:sz w:val="16"/>
                          </w:rPr>
                          <w:t> </w:t>
                        </w:r>
                        <w:r>
                          <w:rPr>
                            <w:rFonts w:ascii="Calibri"/>
                            <w:sz w:val="16"/>
                          </w:rPr>
                          <w:t>self-</w:t>
                        </w:r>
                        <w:r>
                          <w:rPr>
                            <w:rFonts w:ascii="Calibri"/>
                            <w:spacing w:val="40"/>
                            <w:sz w:val="16"/>
                          </w:rPr>
                          <w:t> </w:t>
                        </w:r>
                        <w:r>
                          <w:rPr>
                            <w:rFonts w:ascii="Calibri"/>
                            <w:sz w:val="16"/>
                          </w:rPr>
                          <w:t>referential</w:t>
                        </w:r>
                        <w:r>
                          <w:rPr>
                            <w:rFonts w:ascii="Calibri"/>
                            <w:spacing w:val="-7"/>
                            <w:sz w:val="16"/>
                          </w:rPr>
                          <w:t> </w:t>
                        </w:r>
                        <w:r>
                          <w:rPr>
                            <w:rFonts w:ascii="Calibri"/>
                            <w:sz w:val="16"/>
                          </w:rPr>
                          <w:t>system</w:t>
                        </w:r>
                      </w:p>
                    </w:txbxContent>
                  </v:textbox>
                  <v:stroke dashstyle="longdashdotdot"/>
                  <w10:wrap type="none"/>
                </v:shape>
                <w10:wrap type="topAndBottom"/>
              </v:group>
            </w:pict>
          </mc:Fallback>
        </mc:AlternateContent>
      </w:r>
    </w:p>
    <w:p>
      <w:pPr>
        <w:pStyle w:val="BodyText"/>
        <w:spacing w:after="0"/>
        <w:jc w:val="left"/>
        <w:rPr>
          <w:rFonts w:ascii="Calibri"/>
          <w:b/>
          <w:sz w:val="20"/>
        </w:rPr>
        <w:sectPr>
          <w:pgSz w:w="12240" w:h="15840"/>
          <w:pgMar w:header="1046" w:footer="0" w:top="1360" w:bottom="280" w:left="720" w:right="360"/>
        </w:sectPr>
      </w:pPr>
    </w:p>
    <w:p>
      <w:pPr>
        <w:pStyle w:val="BodyText"/>
        <w:spacing w:line="273" w:lineRule="auto" w:before="276"/>
        <w:ind w:right="1903" w:firstLine="720"/>
      </w:pPr>
      <w:r>
        <w:rPr/>
        <w:t>Each subsystem of the political system tries to understand another, but their relations, as Luhmann states, resemble a </w:t>
      </w:r>
      <w:r>
        <w:rPr>
          <w:sz w:val="27"/>
        </w:rPr>
        <w:t>black box. </w:t>
      </w:r>
      <w:r>
        <w:rPr/>
        <w:t>“no subsystem can explain the actual states of affairs of the other and further.” (</w:t>
      </w:r>
      <w:hyperlink w:history="true" w:anchor="_bookmark265">
        <w:r>
          <w:rPr/>
          <w:t>Luhmann,</w:t>
        </w:r>
      </w:hyperlink>
      <w:r>
        <w:rPr/>
        <w:t> </w:t>
      </w:r>
      <w:hyperlink w:history="true" w:anchor="_bookmark265">
        <w:r>
          <w:rPr/>
          <w:t>1990b, p. 52</w:t>
        </w:r>
      </w:hyperlink>
      <w:r>
        <w:rPr/>
        <w:t>)</w:t>
      </w:r>
    </w:p>
    <w:p>
      <w:pPr>
        <w:pStyle w:val="BodyText"/>
        <w:spacing w:line="273" w:lineRule="auto"/>
        <w:ind w:right="1901" w:firstLine="787"/>
      </w:pPr>
      <w:r>
        <w:rPr>
          <w:sz w:val="27"/>
        </w:rPr>
        <w:t>W. Ross Ashby </w:t>
      </w:r>
      <w:r>
        <w:rPr/>
        <w:t>has indicated that every real system has indefinite number of possible inputs, and therefore, “indefinitely large number of possible</w:t>
      </w:r>
      <w:r>
        <w:rPr>
          <w:spacing w:val="-2"/>
        </w:rPr>
        <w:t> </w:t>
      </w:r>
      <w:r>
        <w:rPr/>
        <w:t>outcomes.”</w:t>
      </w:r>
      <w:r>
        <w:rPr>
          <w:spacing w:val="-2"/>
        </w:rPr>
        <w:t> </w:t>
      </w:r>
      <w:r>
        <w:rPr/>
        <w:t>(</w:t>
      </w:r>
      <w:hyperlink w:history="true" w:anchor="_bookmark81">
        <w:r>
          <w:rPr/>
          <w:t>Ashby,</w:t>
        </w:r>
        <w:r>
          <w:rPr>
            <w:spacing w:val="-1"/>
          </w:rPr>
          <w:t> </w:t>
        </w:r>
        <w:r>
          <w:rPr/>
          <w:t>1956,</w:t>
        </w:r>
        <w:r>
          <w:rPr>
            <w:spacing w:val="-2"/>
          </w:rPr>
          <w:t> </w:t>
        </w:r>
        <w:r>
          <w:rPr/>
          <w:t>p.</w:t>
        </w:r>
        <w:r>
          <w:rPr>
            <w:spacing w:val="-2"/>
          </w:rPr>
          <w:t> </w:t>
        </w:r>
        <w:r>
          <w:rPr/>
          <w:t>87</w:t>
        </w:r>
      </w:hyperlink>
      <w:r>
        <w:rPr/>
        <w:t>)</w:t>
      </w:r>
      <w:r>
        <w:rPr>
          <w:spacing w:val="40"/>
        </w:rPr>
        <w:t> </w:t>
      </w:r>
      <w:r>
        <w:rPr/>
        <w:t>All</w:t>
      </w:r>
      <w:r>
        <w:rPr>
          <w:spacing w:val="-5"/>
        </w:rPr>
        <w:t> </w:t>
      </w:r>
      <w:r>
        <w:rPr/>
        <w:t>knowledge</w:t>
      </w:r>
      <w:r>
        <w:rPr>
          <w:spacing w:val="-6"/>
        </w:rPr>
        <w:t> </w:t>
      </w:r>
      <w:r>
        <w:rPr/>
        <w:t>which</w:t>
      </w:r>
      <w:r>
        <w:rPr>
          <w:spacing w:val="-2"/>
        </w:rPr>
        <w:t> </w:t>
      </w:r>
      <w:r>
        <w:rPr/>
        <w:t>is</w:t>
      </w:r>
      <w:r>
        <w:rPr>
          <w:spacing w:val="-4"/>
        </w:rPr>
        <w:t> </w:t>
      </w:r>
      <w:r>
        <w:rPr/>
        <w:t>possible</w:t>
      </w:r>
      <w:r>
        <w:rPr>
          <w:spacing w:val="-2"/>
        </w:rPr>
        <w:t> </w:t>
      </w:r>
      <w:r>
        <w:rPr/>
        <w:t>to obtain with experimenting the black box, is “such as can be obtained by re- coding the protocol, all</w:t>
      </w:r>
      <w:r>
        <w:rPr>
          <w:spacing w:val="-3"/>
        </w:rPr>
        <w:t> </w:t>
      </w:r>
      <w:r>
        <w:rPr/>
        <w:t>that and nothing more.” (</w:t>
      </w:r>
      <w:hyperlink w:history="true" w:anchor="_bookmark81">
        <w:r>
          <w:rPr/>
          <w:t>Ashby, 1956, p. 89</w:t>
        </w:r>
      </w:hyperlink>
      <w:r>
        <w:rPr/>
        <w:t>)</w:t>
      </w:r>
      <w:r>
        <w:rPr>
          <w:spacing w:val="40"/>
        </w:rPr>
        <w:t> </w:t>
      </w:r>
      <w:r>
        <w:rPr/>
        <w:t>In the protocol the observer has to look for regularities and repetitiveness in behavior. Black box can be considered as a ‘machine of distinguishing.’ </w:t>
      </w:r>
      <w:r>
        <w:rPr>
          <w:sz w:val="27"/>
        </w:rPr>
        <w:t>Ranulph Glanville </w:t>
      </w:r>
      <w:r>
        <w:rPr/>
        <w:t>argues that “Black Box maps onto </w:t>
      </w:r>
      <w:r>
        <w:rPr>
          <w:sz w:val="27"/>
        </w:rPr>
        <w:t>Spencer-Brown’s </w:t>
      </w:r>
      <w:r>
        <w:rPr/>
        <w:t>command: draw a</w:t>
      </w:r>
      <w:r>
        <w:rPr>
          <w:spacing w:val="-3"/>
        </w:rPr>
        <w:t> </w:t>
      </w:r>
      <w:r>
        <w:rPr/>
        <w:t>distinction = insert a Black Box.” (</w:t>
      </w:r>
      <w:hyperlink w:history="true" w:anchor="_bookmark195">
        <w:r>
          <w:rPr/>
          <w:t>Glanville, 2009, p. 155</w:t>
        </w:r>
      </w:hyperlink>
      <w:r>
        <w:rPr/>
        <w:t>) When investigator tries to understand the black box, he or she holds the possibilities to manipulate the input, output of the black box is recycled to input, “so that regularities may appear.” (</w:t>
      </w:r>
      <w:hyperlink w:history="true" w:anchor="_bookmark195">
        <w:r>
          <w:rPr/>
          <w:t>2009, p. 156</w:t>
        </w:r>
      </w:hyperlink>
      <w:r>
        <w:rPr/>
        <w:t>)</w:t>
      </w:r>
    </w:p>
    <w:p>
      <w:pPr>
        <w:pStyle w:val="BodyText"/>
        <w:spacing w:line="276" w:lineRule="auto" w:before="9"/>
        <w:ind w:right="1907" w:firstLine="720"/>
      </w:pPr>
      <w:r>
        <w:rPr/>
        <w:t>The political process in cyclic self-referential political system is nothing but a constant attempt of subsystems to manipulate the inputs of each other. This means that inputs are recycled outputs. It is clear that the recycling output differs from the input. The entire system works to narrow down the differences.</w:t>
      </w:r>
    </w:p>
    <w:p>
      <w:pPr>
        <w:pStyle w:val="BodyText"/>
        <w:spacing w:line="273" w:lineRule="auto"/>
        <w:ind w:right="1904" w:firstLine="720"/>
      </w:pPr>
      <w:r>
        <w:rPr/>
        <w:t>A primary tool for the system to keep the subsystem input stable is a legislature.</w:t>
      </w:r>
      <w:r>
        <w:rPr>
          <w:spacing w:val="-1"/>
        </w:rPr>
        <w:t> </w:t>
      </w:r>
      <w:r>
        <w:rPr/>
        <w:t>The</w:t>
      </w:r>
      <w:r>
        <w:rPr>
          <w:spacing w:val="-2"/>
        </w:rPr>
        <w:t> </w:t>
      </w:r>
      <w:r>
        <w:rPr/>
        <w:t>collection</w:t>
      </w:r>
      <w:r>
        <w:rPr>
          <w:spacing w:val="-1"/>
        </w:rPr>
        <w:t> </w:t>
      </w:r>
      <w:r>
        <w:rPr/>
        <w:t>of</w:t>
      </w:r>
      <w:r>
        <w:rPr>
          <w:spacing w:val="-3"/>
        </w:rPr>
        <w:t> </w:t>
      </w:r>
      <w:r>
        <w:rPr/>
        <w:t>rules</w:t>
      </w:r>
      <w:r>
        <w:rPr>
          <w:spacing w:val="-4"/>
        </w:rPr>
        <w:t> </w:t>
      </w:r>
      <w:r>
        <w:rPr/>
        <w:t>dictates</w:t>
      </w:r>
      <w:r>
        <w:rPr>
          <w:spacing w:val="-4"/>
        </w:rPr>
        <w:t> </w:t>
      </w:r>
      <w:r>
        <w:rPr/>
        <w:t>what</w:t>
      </w:r>
      <w:r>
        <w:rPr>
          <w:spacing w:val="-2"/>
        </w:rPr>
        <w:t> </w:t>
      </w:r>
      <w:r>
        <w:rPr/>
        <w:t>is permitted to</w:t>
      </w:r>
      <w:r>
        <w:rPr>
          <w:spacing w:val="-5"/>
        </w:rPr>
        <w:t> </w:t>
      </w:r>
      <w:r>
        <w:rPr/>
        <w:t>do</w:t>
      </w:r>
      <w:r>
        <w:rPr>
          <w:spacing w:val="-5"/>
        </w:rPr>
        <w:t> </w:t>
      </w:r>
      <w:r>
        <w:rPr/>
        <w:t>and what is</w:t>
      </w:r>
      <w:r>
        <w:rPr>
          <w:spacing w:val="-2"/>
        </w:rPr>
        <w:t> </w:t>
      </w:r>
      <w:r>
        <w:rPr/>
        <w:t>not. The second is</w:t>
      </w:r>
      <w:r>
        <w:rPr>
          <w:spacing w:val="-2"/>
        </w:rPr>
        <w:t> </w:t>
      </w:r>
      <w:r>
        <w:rPr/>
        <w:t>a</w:t>
      </w:r>
      <w:r>
        <w:rPr>
          <w:spacing w:val="40"/>
        </w:rPr>
        <w:t> </w:t>
      </w:r>
      <w:r>
        <w:rPr>
          <w:sz w:val="27"/>
        </w:rPr>
        <w:t>general</w:t>
      </w:r>
      <w:r>
        <w:rPr>
          <w:spacing w:val="-4"/>
          <w:sz w:val="27"/>
        </w:rPr>
        <w:t> </w:t>
      </w:r>
      <w:r>
        <w:rPr>
          <w:sz w:val="27"/>
        </w:rPr>
        <w:t>nature</w:t>
      </w:r>
      <w:r>
        <w:rPr>
          <w:spacing w:val="-2"/>
          <w:sz w:val="27"/>
        </w:rPr>
        <w:t> </w:t>
      </w:r>
      <w:r>
        <w:rPr>
          <w:sz w:val="27"/>
        </w:rPr>
        <w:t>of</w:t>
      </w:r>
      <w:r>
        <w:rPr>
          <w:spacing w:val="-3"/>
          <w:sz w:val="27"/>
        </w:rPr>
        <w:t> </w:t>
      </w:r>
      <w:r>
        <w:rPr>
          <w:sz w:val="27"/>
        </w:rPr>
        <w:t>politics </w:t>
      </w:r>
      <w:r>
        <w:rPr/>
        <w:t>in the </w:t>
      </w:r>
      <w:r>
        <w:rPr>
          <w:sz w:val="27"/>
        </w:rPr>
        <w:t>current</w:t>
      </w:r>
      <w:r>
        <w:rPr>
          <w:spacing w:val="-2"/>
          <w:sz w:val="27"/>
        </w:rPr>
        <w:t> </w:t>
      </w:r>
      <w:r>
        <w:rPr>
          <w:sz w:val="27"/>
        </w:rPr>
        <w:t>state </w:t>
      </w:r>
      <w:r>
        <w:rPr/>
        <w:t>of the system. For example, an ideology of the ruling party might exclude, some sorts of inputs, while necessarily include others. Third, past decisions affect ongoing decisions and keep them in the boundaries. </w:t>
      </w:r>
      <w:r>
        <w:rPr>
          <w:sz w:val="27"/>
        </w:rPr>
        <w:t>Luhmann </w:t>
      </w:r>
      <w:r>
        <w:rPr/>
        <w:t>calls those boundaries the decisional premises. Fourth, the public can put restraints with inputs on administration and vice versa; the administration can affect public with decisions to generate the desired input. Here when we say public we follow </w:t>
      </w:r>
      <w:r>
        <w:rPr>
          <w:sz w:val="27"/>
        </w:rPr>
        <w:t>Merriam</w:t>
      </w:r>
      <w:r>
        <w:rPr/>
        <w:t>'s observation,</w:t>
      </w:r>
      <w:r>
        <w:rPr>
          <w:spacing w:val="40"/>
        </w:rPr>
        <w:t> </w:t>
      </w:r>
      <w:r>
        <w:rPr/>
        <w:t>that government deals not only with</w:t>
      </w:r>
      <w:r>
        <w:rPr>
          <w:spacing w:val="35"/>
        </w:rPr>
        <w:t> </w:t>
      </w:r>
      <w:r>
        <w:rPr/>
        <w:t>individuals</w:t>
      </w:r>
      <w:r>
        <w:rPr>
          <w:spacing w:val="34"/>
        </w:rPr>
        <w:t> </w:t>
      </w:r>
      <w:r>
        <w:rPr/>
        <w:t>"but</w:t>
      </w:r>
      <w:r>
        <w:rPr>
          <w:spacing w:val="35"/>
        </w:rPr>
        <w:t> </w:t>
      </w:r>
      <w:r>
        <w:rPr/>
        <w:t>with</w:t>
      </w:r>
      <w:r>
        <w:rPr>
          <w:spacing w:val="35"/>
        </w:rPr>
        <w:t> </w:t>
      </w:r>
      <w:r>
        <w:rPr/>
        <w:t>clusters</w:t>
      </w:r>
      <w:r>
        <w:rPr>
          <w:spacing w:val="38"/>
        </w:rPr>
        <w:t> </w:t>
      </w:r>
      <w:r>
        <w:rPr/>
        <w:t>of</w:t>
      </w:r>
      <w:r>
        <w:rPr>
          <w:spacing w:val="35"/>
        </w:rPr>
        <w:t> </w:t>
      </w:r>
      <w:r>
        <w:rPr/>
        <w:t>persons</w:t>
      </w:r>
      <w:r>
        <w:rPr>
          <w:spacing w:val="34"/>
        </w:rPr>
        <w:t> </w:t>
      </w:r>
      <w:r>
        <w:rPr/>
        <w:t>associating</w:t>
      </w:r>
      <w:r>
        <w:rPr>
          <w:spacing w:val="40"/>
        </w:rPr>
        <w:t> </w:t>
      </w:r>
      <w:r>
        <w:rPr/>
        <w:t>in</w:t>
      </w:r>
      <w:r>
        <w:rPr>
          <w:spacing w:val="80"/>
          <w:w w:val="150"/>
        </w:rPr>
        <w:t> </w:t>
      </w:r>
      <w:r>
        <w:rPr/>
        <w:t>many</w:t>
      </w:r>
      <w:r>
        <w:rPr>
          <w:spacing w:val="35"/>
        </w:rPr>
        <w:t> </w:t>
      </w:r>
      <w:r>
        <w:rPr/>
        <w:t>other</w:t>
      </w:r>
    </w:p>
    <w:p>
      <w:pPr>
        <w:pStyle w:val="BodyText"/>
        <w:spacing w:after="0" w:line="273" w:lineRule="auto"/>
        <w:sectPr>
          <w:pgSz w:w="12240" w:h="15840"/>
          <w:pgMar w:header="1046" w:footer="0" w:top="1360" w:bottom="280" w:left="720" w:right="360"/>
        </w:sectPr>
      </w:pPr>
    </w:p>
    <w:p>
      <w:pPr>
        <w:pStyle w:val="BodyText"/>
        <w:spacing w:line="276" w:lineRule="auto" w:before="276"/>
        <w:ind w:right="1912"/>
      </w:pPr>
      <w:r>
        <w:rPr/>
        <w:t>forms of other activities than governmental.” (</w:t>
      </w:r>
      <w:hyperlink w:history="true" w:anchor="_bookmark290">
        <w:r>
          <w:rPr/>
          <w:t>Merriam, 1945, p. 6</w:t>
        </w:r>
      </w:hyperlink>
      <w:r>
        <w:rPr/>
        <w:t>)</w:t>
      </w:r>
      <w:r>
        <w:rPr>
          <w:spacing w:val="40"/>
        </w:rPr>
        <w:t> </w:t>
      </w:r>
      <w:r>
        <w:rPr/>
        <w:t>And finally, the administration, has to correspond a general nature of politics</w:t>
      </w:r>
      <w:r>
        <w:rPr>
          <w:spacing w:val="40"/>
        </w:rPr>
        <w:t> </w:t>
      </w:r>
      <w:r>
        <w:rPr/>
        <w:t>and bind itself within the framework of the politics.</w:t>
      </w:r>
    </w:p>
    <w:p>
      <w:pPr>
        <w:pStyle w:val="BodyText"/>
        <w:spacing w:line="276" w:lineRule="auto"/>
        <w:ind w:right="1906" w:firstLine="720"/>
      </w:pPr>
      <w:r>
        <w:rPr/>
        <w:t>The uncertainty of black box, or to say it another way, a question, what happens when we are not there? Is central to political decision making. Cyclical recursive dynamics of the political system not only allows to re-produce the structure of the system, but constantly creates situations where prior decisions do not apply any more. This is a systemic condition when everything is too certain, or too uncertain. The first case is a</w:t>
      </w:r>
      <w:r>
        <w:rPr>
          <w:spacing w:val="40"/>
        </w:rPr>
        <w:t> </w:t>
      </w:r>
      <w:r>
        <w:rPr/>
        <w:t>condition of stagnation, it happens when bureaucracy becomes extremely influential and leaves no room for innovative political process. Second, is a revolutionary condition when the state of the system is changing. In both situations game changing decisions are made and leave past decisions</w:t>
      </w:r>
      <w:r>
        <w:rPr>
          <w:spacing w:val="40"/>
        </w:rPr>
        <w:t> </w:t>
      </w:r>
      <w:r>
        <w:rPr/>
        <w:t>behind as the passive reference points.</w:t>
      </w:r>
    </w:p>
    <w:p>
      <w:pPr>
        <w:pStyle w:val="BodyText"/>
        <w:spacing w:line="273" w:lineRule="auto"/>
        <w:ind w:right="1911" w:firstLine="720"/>
      </w:pPr>
      <w:r>
        <w:rPr/>
        <w:t>As we have already indicated subsystems of the political system can be viewed as systems of their own. In order to comprehend the nature of the relations between the subsystems we need to address the concept of </w:t>
      </w:r>
      <w:r>
        <w:rPr>
          <w:spacing w:val="-2"/>
          <w:sz w:val="27"/>
        </w:rPr>
        <w:t>complexity</w:t>
      </w:r>
      <w:r>
        <w:rPr>
          <w:spacing w:val="-2"/>
        </w:rPr>
        <w:t>.</w:t>
      </w:r>
    </w:p>
    <w:p>
      <w:pPr>
        <w:pStyle w:val="BodyText"/>
        <w:spacing w:line="273" w:lineRule="auto"/>
        <w:ind w:right="1902" w:firstLine="787"/>
      </w:pPr>
      <w:r>
        <w:rPr/>
        <w:t>Standard dictionary entry defines complexity as “the quality or state of not being simple,” the etymology [Fr. Complexe, Lat. complexus] of the word suggests that complex entity has to be “composed of parts.” We share </w:t>
      </w:r>
      <w:r>
        <w:rPr>
          <w:sz w:val="27"/>
        </w:rPr>
        <w:t>Joseph M. Williams’s </w:t>
      </w:r>
      <w:r>
        <w:rPr/>
        <w:t>opinion, who argued that when we explain what we mean</w:t>
      </w:r>
      <w:r>
        <w:rPr>
          <w:spacing w:val="80"/>
        </w:rPr>
        <w:t> </w:t>
      </w:r>
      <w:r>
        <w:rPr/>
        <w:t>by</w:t>
      </w:r>
      <w:r>
        <w:rPr>
          <w:spacing w:val="80"/>
        </w:rPr>
        <w:t> </w:t>
      </w:r>
      <w:r>
        <w:rPr/>
        <w:t>a word complex it is not how we define this word, but rather why we want to define it in the first place. (</w:t>
      </w:r>
      <w:hyperlink w:history="true" w:anchor="_bookmark439">
        <w:r>
          <w:rPr/>
          <w:t>1979, p. 595</w:t>
        </w:r>
      </w:hyperlink>
      <w:r>
        <w:rPr/>
        <w:t>) Complexity as </w:t>
      </w:r>
      <w:r>
        <w:rPr>
          <w:sz w:val="27"/>
        </w:rPr>
        <w:t>Robert Rosen </w:t>
      </w:r>
      <w:r>
        <w:rPr/>
        <w:t>argues is not an innate quality of the system,“but rather manifests our capabilities to interact with</w:t>
      </w:r>
      <w:r>
        <w:rPr>
          <w:spacing w:val="40"/>
        </w:rPr>
        <w:t> </w:t>
      </w:r>
      <w:r>
        <w:rPr/>
        <w:t>the</w:t>
      </w:r>
      <w:r>
        <w:rPr>
          <w:spacing w:val="40"/>
        </w:rPr>
        <w:t> </w:t>
      </w:r>
      <w:r>
        <w:rPr/>
        <w:t>system.” (</w:t>
      </w:r>
      <w:hyperlink w:history="true" w:anchor="_bookmark361">
        <w:r>
          <w:rPr/>
          <w:t>1991a, p. 477</w:t>
        </w:r>
      </w:hyperlink>
      <w:r>
        <w:rPr/>
        <w:t>) It is “the quantity of information necessary to understand the system.” (</w:t>
      </w:r>
      <w:hyperlink w:history="true" w:anchor="_bookmark85">
        <w:r>
          <w:rPr/>
          <w:t>Barbaresi, 2004, p. 356</w:t>
        </w:r>
      </w:hyperlink>
      <w:r>
        <w:rPr/>
        <w:t>) Complexity of political entity (subsystem as clarified above) depends not on the amount of elements it consists of, but rather on </w:t>
      </w:r>
      <w:r>
        <w:rPr>
          <w:sz w:val="27"/>
        </w:rPr>
        <w:t>its abilities to form structural couplings with the environment</w:t>
      </w:r>
      <w:r>
        <w:rPr/>
        <w:t>. These abilities, on their own, do not</w:t>
      </w:r>
      <w:r>
        <w:rPr>
          <w:spacing w:val="40"/>
        </w:rPr>
        <w:t> </w:t>
      </w:r>
      <w:r>
        <w:rPr/>
        <w:t>represent the image of a complex system,</w:t>
      </w:r>
      <w:r>
        <w:rPr>
          <w:spacing w:val="40"/>
        </w:rPr>
        <w:t> </w:t>
      </w:r>
      <w:r>
        <w:rPr/>
        <w:t>they</w:t>
      </w:r>
      <w:r>
        <w:rPr>
          <w:spacing w:val="40"/>
        </w:rPr>
        <w:t> </w:t>
      </w:r>
      <w:r>
        <w:rPr/>
        <w:t>have</w:t>
      </w:r>
      <w:r>
        <w:rPr>
          <w:spacing w:val="40"/>
        </w:rPr>
        <w:t> </w:t>
      </w:r>
      <w:r>
        <w:rPr/>
        <w:t>to</w:t>
      </w:r>
      <w:r>
        <w:rPr>
          <w:spacing w:val="40"/>
        </w:rPr>
        <w:t> </w:t>
      </w:r>
      <w:r>
        <w:rPr/>
        <w:t>be</w:t>
      </w:r>
      <w:r>
        <w:rPr>
          <w:spacing w:val="40"/>
        </w:rPr>
        <w:t> </w:t>
      </w:r>
      <w:r>
        <w:rPr/>
        <w:t>observed</w:t>
      </w:r>
      <w:r>
        <w:rPr>
          <w:spacing w:val="40"/>
        </w:rPr>
        <w:t> </w:t>
      </w:r>
      <w:r>
        <w:rPr/>
        <w:t>by</w:t>
      </w:r>
      <w:r>
        <w:rPr>
          <w:spacing w:val="40"/>
        </w:rPr>
        <w:t> </w:t>
      </w:r>
      <w:r>
        <w:rPr/>
        <w:t>the</w:t>
      </w:r>
      <w:r>
        <w:rPr>
          <w:spacing w:val="40"/>
        </w:rPr>
        <w:t> </w:t>
      </w:r>
      <w:r>
        <w:rPr/>
        <w:t>observer</w:t>
      </w:r>
      <w:r>
        <w:rPr>
          <w:spacing w:val="40"/>
        </w:rPr>
        <w:t> </w:t>
      </w:r>
      <w:r>
        <w:rPr/>
        <w:t>(another</w:t>
      </w:r>
      <w:r>
        <w:rPr>
          <w:spacing w:val="40"/>
        </w:rPr>
        <w:t> </w:t>
      </w:r>
      <w:r>
        <w:rPr/>
        <w:t>system).</w:t>
      </w:r>
      <w:r>
        <w:rPr>
          <w:spacing w:val="40"/>
        </w:rPr>
        <w:t> </w:t>
      </w:r>
      <w:r>
        <w:rPr/>
        <w:t>For</w:t>
      </w:r>
    </w:p>
    <w:p>
      <w:pPr>
        <w:pStyle w:val="BodyText"/>
        <w:spacing w:after="0" w:line="273" w:lineRule="auto"/>
        <w:sectPr>
          <w:pgSz w:w="12240" w:h="15840"/>
          <w:pgMar w:header="1046" w:footer="0" w:top="1360" w:bottom="280" w:left="720" w:right="360"/>
        </w:sectPr>
      </w:pPr>
    </w:p>
    <w:p>
      <w:pPr>
        <w:pStyle w:val="BodyText"/>
        <w:spacing w:line="273" w:lineRule="auto" w:before="276"/>
        <w:ind w:right="1903"/>
      </w:pPr>
      <w:r>
        <w:rPr/>
        <w:t>example, we can think of a multi-party system: Party A is well connected with the lobby groups, deals well with influential public clusters, has friendly ties with international agencies. These connections (couplings) are resources, which provide</w:t>
      </w:r>
      <w:r>
        <w:rPr>
          <w:spacing w:val="-1"/>
        </w:rPr>
        <w:t> </w:t>
      </w:r>
      <w:r>
        <w:rPr/>
        <w:t>possibilities for</w:t>
      </w:r>
      <w:r>
        <w:rPr>
          <w:spacing w:val="-1"/>
        </w:rPr>
        <w:t> </w:t>
      </w:r>
      <w:r>
        <w:rPr/>
        <w:t>A to</w:t>
      </w:r>
      <w:r>
        <w:rPr>
          <w:spacing w:val="-5"/>
        </w:rPr>
        <w:t> </w:t>
      </w:r>
      <w:r>
        <w:rPr/>
        <w:t>affect political processes from different angles, with different tools in different dimensions. This networking mechanism makes sense only if party B is there to observe the process. If B needs </w:t>
      </w:r>
      <w:r>
        <w:rPr>
          <w:sz w:val="27"/>
        </w:rPr>
        <w:t>n </w:t>
      </w:r>
      <w:r>
        <w:rPr/>
        <w:t>amount of information to understand the behavior of A, then complexity of A will approximately be equal to n plus the effort, which was taken to get the information.</w:t>
      </w:r>
    </w:p>
    <w:p>
      <w:pPr>
        <w:pStyle w:val="BodyText"/>
        <w:spacing w:line="276" w:lineRule="auto" w:before="16"/>
        <w:ind w:right="1906" w:firstLine="720"/>
      </w:pPr>
      <w:r>
        <w:rPr/>
        <w:t>When two entities try to cooperate, they necessarily reduce own complexities. Effective cooperation brings to co-production of information about each other. For instance, the governmental branches constantly exchange information about the work they do. If this exchange is interrupted, environmentally oriented subsystems become aware of each others complexity. This condition necessarily produces a need to search for more information and accordingly involves additional operational costs.</w:t>
      </w:r>
      <w:r>
        <w:rPr>
          <w:spacing w:val="40"/>
        </w:rPr>
        <w:t> </w:t>
      </w:r>
      <w:r>
        <w:rPr/>
        <w:t>The exceptions are those institutions which deal with security issues. Their organizations require to stay out of reach of outsiders. For example, even if civilians are ones who decide on security policies, only few of them can access the information that the military system produces.</w:t>
      </w:r>
    </w:p>
    <w:p>
      <w:pPr>
        <w:pStyle w:val="BodyText"/>
        <w:spacing w:line="276" w:lineRule="auto"/>
        <w:ind w:right="1908" w:firstLine="787"/>
      </w:pPr>
      <w:r>
        <w:rPr/>
        <w:t>We have already mentioned above that political system is about those who are in power and those who are in opposition. For a healthy political process it is good to have some conflict among the complex</w:t>
      </w:r>
      <w:r>
        <w:rPr>
          <w:spacing w:val="40"/>
        </w:rPr>
        <w:t> </w:t>
      </w:r>
      <w:r>
        <w:rPr/>
        <w:t>political organizations.</w:t>
      </w:r>
    </w:p>
    <w:p>
      <w:pPr>
        <w:pStyle w:val="BodyText"/>
        <w:spacing w:line="273" w:lineRule="auto"/>
        <w:ind w:right="1909" w:firstLine="720"/>
      </w:pPr>
      <w:r>
        <w:rPr/>
        <w:t>In</w:t>
      </w:r>
      <w:r>
        <w:rPr>
          <w:spacing w:val="-2"/>
        </w:rPr>
        <w:t> </w:t>
      </w:r>
      <w:r>
        <w:rPr/>
        <w:t>democratic</w:t>
      </w:r>
      <w:r>
        <w:rPr>
          <w:spacing w:val="-4"/>
        </w:rPr>
        <w:t> </w:t>
      </w:r>
      <w:r>
        <w:rPr/>
        <w:t>systems,</w:t>
      </w:r>
      <w:r>
        <w:rPr>
          <w:spacing w:val="-1"/>
        </w:rPr>
        <w:t> </w:t>
      </w:r>
      <w:r>
        <w:rPr/>
        <w:t>party</w:t>
      </w:r>
      <w:r>
        <w:rPr>
          <w:spacing w:val="-3"/>
        </w:rPr>
        <w:t> </w:t>
      </w:r>
      <w:r>
        <w:rPr/>
        <w:t>complexity makes</w:t>
      </w:r>
      <w:r>
        <w:rPr>
          <w:spacing w:val="-4"/>
        </w:rPr>
        <w:t> </w:t>
      </w:r>
      <w:r>
        <w:rPr/>
        <w:t>sense</w:t>
      </w:r>
      <w:r>
        <w:rPr>
          <w:spacing w:val="-3"/>
        </w:rPr>
        <w:t> </w:t>
      </w:r>
      <w:r>
        <w:rPr/>
        <w:t>only in</w:t>
      </w:r>
      <w:r>
        <w:rPr>
          <w:spacing w:val="-2"/>
        </w:rPr>
        <w:t> </w:t>
      </w:r>
      <w:r>
        <w:rPr/>
        <w:t>relation with the </w:t>
      </w:r>
      <w:r>
        <w:rPr>
          <w:sz w:val="27"/>
        </w:rPr>
        <w:t>state changing event </w:t>
      </w:r>
      <w:r>
        <w:rPr/>
        <w:t>– the elections. In order to get elected party has to persuade the public about its ability to be complex (capacity to govern). But the process of persuasion necessarily involves a mechanism which reduces the very complexity. Otherwise, messages would be unclear for the publics.</w:t>
      </w:r>
    </w:p>
    <w:p>
      <w:pPr>
        <w:pStyle w:val="BodyText"/>
        <w:spacing w:line="276" w:lineRule="auto" w:before="9"/>
        <w:ind w:right="1904" w:firstLine="720"/>
      </w:pPr>
      <w:r>
        <w:rPr/>
        <w:t>The political messages usually include event-based promises. For example,</w:t>
      </w:r>
      <w:r>
        <w:rPr>
          <w:spacing w:val="9"/>
        </w:rPr>
        <w:t> </w:t>
      </w:r>
      <w:r>
        <w:rPr/>
        <w:t>increase</w:t>
      </w:r>
      <w:r>
        <w:rPr>
          <w:spacing w:val="8"/>
        </w:rPr>
        <w:t> </w:t>
      </w:r>
      <w:r>
        <w:rPr/>
        <w:t>of</w:t>
      </w:r>
      <w:r>
        <w:rPr>
          <w:spacing w:val="47"/>
          <w:w w:val="150"/>
        </w:rPr>
        <w:t> </w:t>
      </w:r>
      <w:r>
        <w:rPr/>
        <w:t>minimum</w:t>
      </w:r>
      <w:r>
        <w:rPr>
          <w:spacing w:val="6"/>
        </w:rPr>
        <w:t> </w:t>
      </w:r>
      <w:r>
        <w:rPr/>
        <w:t>wage,</w:t>
      </w:r>
      <w:r>
        <w:rPr>
          <w:spacing w:val="14"/>
        </w:rPr>
        <w:t> </w:t>
      </w:r>
      <w:r>
        <w:rPr/>
        <w:t>the</w:t>
      </w:r>
      <w:r>
        <w:rPr>
          <w:spacing w:val="8"/>
        </w:rPr>
        <w:t> </w:t>
      </w:r>
      <w:r>
        <w:rPr/>
        <w:t>health</w:t>
      </w:r>
      <w:r>
        <w:rPr>
          <w:spacing w:val="7"/>
        </w:rPr>
        <w:t> </w:t>
      </w:r>
      <w:r>
        <w:rPr/>
        <w:t>care</w:t>
      </w:r>
      <w:r>
        <w:rPr>
          <w:spacing w:val="11"/>
        </w:rPr>
        <w:t> </w:t>
      </w:r>
      <w:r>
        <w:rPr/>
        <w:t>for</w:t>
      </w:r>
      <w:r>
        <w:rPr>
          <w:spacing w:val="8"/>
        </w:rPr>
        <w:t> </w:t>
      </w:r>
      <w:r>
        <w:rPr/>
        <w:t>everyone,</w:t>
      </w:r>
      <w:r>
        <w:rPr>
          <w:spacing w:val="6"/>
        </w:rPr>
        <w:t> </w:t>
      </w:r>
      <w:r>
        <w:rPr>
          <w:spacing w:val="-2"/>
        </w:rPr>
        <w:t>ending</w:t>
      </w:r>
    </w:p>
    <w:p>
      <w:pPr>
        <w:pStyle w:val="BodyText"/>
        <w:spacing w:after="0" w:line="276" w:lineRule="auto"/>
        <w:sectPr>
          <w:pgSz w:w="12240" w:h="15840"/>
          <w:pgMar w:header="1046" w:footer="0" w:top="1360" w:bottom="280" w:left="720" w:right="360"/>
        </w:sectPr>
      </w:pPr>
    </w:p>
    <w:p>
      <w:pPr>
        <w:pStyle w:val="BodyText"/>
        <w:spacing w:line="273" w:lineRule="auto" w:before="276"/>
        <w:ind w:right="1901"/>
      </w:pPr>
      <w:r>
        <w:rPr/>
        <w:t>the war, - are game changing events. In order to fulfil those promises the organization has to undertake extremely complex tasks. Politicians have to persuade people that they</w:t>
      </w:r>
      <w:r>
        <w:rPr>
          <w:spacing w:val="40"/>
        </w:rPr>
        <w:t> </w:t>
      </w:r>
      <w:r>
        <w:rPr/>
        <w:t>hold a needed requisite variety to adderess the challenges imposed by environmental variety. Nevertheless the process of persuasion has to be simple and even entertaining for the public, as </w:t>
      </w:r>
      <w:r>
        <w:rPr>
          <w:sz w:val="27"/>
        </w:rPr>
        <w:t>Mario Bunge </w:t>
      </w:r>
      <w:r>
        <w:rPr/>
        <w:t>observed: “one crafty TV spot is likely to win more votes than a hundred technical reports.” (</w:t>
      </w:r>
      <w:hyperlink w:history="true" w:anchor="_bookmark120">
        <w:r>
          <w:rPr/>
          <w:t>Bunge, 1998, p. 175</w:t>
        </w:r>
      </w:hyperlink>
      <w:r>
        <w:rPr/>
        <w:t>)</w:t>
      </w:r>
    </w:p>
    <w:p>
      <w:pPr>
        <w:pStyle w:val="BodyText"/>
        <w:spacing w:line="276" w:lineRule="auto"/>
        <w:ind w:right="1903" w:firstLine="720"/>
      </w:pPr>
      <w:r>
        <w:rPr/>
        <w:t>Political input addresses not the public directly, but gets into the discursive flows, which combine administrative decisions and electoral reactions. The input is coupled with two discursive states, the present and the future. The present</w:t>
      </w:r>
      <w:r>
        <w:rPr>
          <w:spacing w:val="-3"/>
        </w:rPr>
        <w:t> </w:t>
      </w:r>
      <w:r>
        <w:rPr/>
        <w:t>is</w:t>
      </w:r>
      <w:r>
        <w:rPr>
          <w:spacing w:val="-1"/>
        </w:rPr>
        <w:t> </w:t>
      </w:r>
      <w:r>
        <w:rPr/>
        <w:t>about already politicized problems. Here, those in opposition</w:t>
      </w:r>
      <w:r>
        <w:rPr>
          <w:spacing w:val="-1"/>
        </w:rPr>
        <w:t> </w:t>
      </w:r>
      <w:r>
        <w:rPr/>
        <w:t>criticize</w:t>
      </w:r>
      <w:r>
        <w:rPr>
          <w:spacing w:val="-2"/>
        </w:rPr>
        <w:t> </w:t>
      </w:r>
      <w:r>
        <w:rPr/>
        <w:t>the</w:t>
      </w:r>
      <w:r>
        <w:rPr>
          <w:spacing w:val="-3"/>
        </w:rPr>
        <w:t> </w:t>
      </w:r>
      <w:r>
        <w:rPr/>
        <w:t>government</w:t>
      </w:r>
      <w:r>
        <w:rPr>
          <w:spacing w:val="-1"/>
        </w:rPr>
        <w:t> </w:t>
      </w:r>
      <w:r>
        <w:rPr/>
        <w:t>for</w:t>
      </w:r>
      <w:r>
        <w:rPr>
          <w:spacing w:val="-2"/>
        </w:rPr>
        <w:t> </w:t>
      </w:r>
      <w:r>
        <w:rPr/>
        <w:t>lacking</w:t>
      </w:r>
      <w:r>
        <w:rPr>
          <w:spacing w:val="-4"/>
        </w:rPr>
        <w:t> </w:t>
      </w:r>
      <w:r>
        <w:rPr/>
        <w:t>the</w:t>
      </w:r>
      <w:r>
        <w:rPr>
          <w:spacing w:val="-4"/>
        </w:rPr>
        <w:t> </w:t>
      </w:r>
      <w:r>
        <w:rPr/>
        <w:t>expertise</w:t>
      </w:r>
      <w:r>
        <w:rPr>
          <w:spacing w:val="-3"/>
        </w:rPr>
        <w:t> </w:t>
      </w:r>
      <w:r>
        <w:rPr/>
        <w:t>or/and</w:t>
      </w:r>
      <w:r>
        <w:rPr>
          <w:spacing w:val="-2"/>
        </w:rPr>
        <w:t> </w:t>
      </w:r>
      <w:r>
        <w:rPr/>
        <w:t>the</w:t>
      </w:r>
      <w:r>
        <w:rPr>
          <w:spacing w:val="-7"/>
        </w:rPr>
        <w:t> </w:t>
      </w:r>
      <w:r>
        <w:rPr/>
        <w:t>will to address the public needs; while the party in power stresses on the successes of the administration. The future state involves present day systems (parties) with plans to politicize non-political issues. Every political promise is a future event. Those events, or communications about them, shape a new reality (usually post election state). In both cases, the political input has to have four qualities:</w:t>
      </w:r>
    </w:p>
    <w:p>
      <w:pPr>
        <w:pStyle w:val="ListParagraph"/>
        <w:numPr>
          <w:ilvl w:val="0"/>
          <w:numId w:val="12"/>
        </w:numPr>
        <w:tabs>
          <w:tab w:pos="2058" w:val="left" w:leader="none"/>
        </w:tabs>
        <w:spacing w:line="342" w:lineRule="exact" w:before="0" w:after="0"/>
        <w:ind w:left="2058" w:right="0" w:hanging="358"/>
        <w:jc w:val="both"/>
        <w:rPr>
          <w:sz w:val="26"/>
        </w:rPr>
      </w:pPr>
      <w:r>
        <w:rPr>
          <w:sz w:val="26"/>
        </w:rPr>
        <w:t>A</w:t>
      </w:r>
      <w:r>
        <w:rPr>
          <w:spacing w:val="-7"/>
          <w:sz w:val="26"/>
        </w:rPr>
        <w:t> </w:t>
      </w:r>
      <w:r>
        <w:rPr>
          <w:sz w:val="26"/>
        </w:rPr>
        <w:t>general</w:t>
      </w:r>
      <w:r>
        <w:rPr>
          <w:spacing w:val="-11"/>
          <w:sz w:val="26"/>
        </w:rPr>
        <w:t> </w:t>
      </w:r>
      <w:r>
        <w:rPr>
          <w:sz w:val="26"/>
        </w:rPr>
        <w:t>direction</w:t>
      </w:r>
      <w:r>
        <w:rPr>
          <w:spacing w:val="-1"/>
          <w:sz w:val="26"/>
        </w:rPr>
        <w:t> </w:t>
      </w:r>
      <w:r>
        <w:rPr>
          <w:sz w:val="26"/>
        </w:rPr>
        <w:t>-</w:t>
      </w:r>
      <w:r>
        <w:rPr>
          <w:spacing w:val="54"/>
          <w:sz w:val="26"/>
        </w:rPr>
        <w:t> </w:t>
      </w:r>
      <w:r>
        <w:rPr>
          <w:sz w:val="26"/>
        </w:rPr>
        <w:t>political</w:t>
      </w:r>
      <w:r>
        <w:rPr>
          <w:spacing w:val="-8"/>
          <w:sz w:val="26"/>
        </w:rPr>
        <w:t> </w:t>
      </w:r>
      <w:r>
        <w:rPr>
          <w:spacing w:val="-2"/>
          <w:sz w:val="26"/>
        </w:rPr>
        <w:t>ideology.</w:t>
      </w:r>
    </w:p>
    <w:p>
      <w:pPr>
        <w:pStyle w:val="ListParagraph"/>
        <w:numPr>
          <w:ilvl w:val="0"/>
          <w:numId w:val="12"/>
        </w:numPr>
        <w:tabs>
          <w:tab w:pos="2058" w:val="left" w:leader="none"/>
        </w:tabs>
        <w:spacing w:line="240" w:lineRule="auto" w:before="46" w:after="0"/>
        <w:ind w:left="2058" w:right="0" w:hanging="358"/>
        <w:jc w:val="both"/>
        <w:rPr>
          <w:sz w:val="26"/>
        </w:rPr>
      </w:pPr>
      <w:r>
        <w:rPr>
          <w:sz w:val="26"/>
        </w:rPr>
        <w:t>Explanatory</w:t>
      </w:r>
      <w:r>
        <w:rPr>
          <w:spacing w:val="-11"/>
          <w:sz w:val="26"/>
        </w:rPr>
        <w:t> </w:t>
      </w:r>
      <w:r>
        <w:rPr>
          <w:sz w:val="26"/>
        </w:rPr>
        <w:t>mechanism</w:t>
      </w:r>
      <w:r>
        <w:rPr>
          <w:spacing w:val="-9"/>
          <w:sz w:val="26"/>
        </w:rPr>
        <w:t> </w:t>
      </w:r>
      <w:r>
        <w:rPr>
          <w:sz w:val="26"/>
        </w:rPr>
        <w:t>–</w:t>
      </w:r>
      <w:r>
        <w:rPr>
          <w:spacing w:val="-11"/>
          <w:sz w:val="26"/>
        </w:rPr>
        <w:t> </w:t>
      </w:r>
      <w:r>
        <w:rPr>
          <w:sz w:val="26"/>
        </w:rPr>
        <w:t>indicating</w:t>
      </w:r>
      <w:r>
        <w:rPr>
          <w:spacing w:val="-10"/>
          <w:sz w:val="26"/>
        </w:rPr>
        <w:t> </w:t>
      </w:r>
      <w:r>
        <w:rPr>
          <w:spacing w:val="-2"/>
          <w:sz w:val="26"/>
        </w:rPr>
        <w:t>problems.</w:t>
      </w:r>
    </w:p>
    <w:p>
      <w:pPr>
        <w:pStyle w:val="ListParagraph"/>
        <w:numPr>
          <w:ilvl w:val="0"/>
          <w:numId w:val="12"/>
        </w:numPr>
        <w:tabs>
          <w:tab w:pos="2058" w:val="left" w:leader="none"/>
          <w:tab w:pos="2060" w:val="left" w:leader="none"/>
        </w:tabs>
        <w:spacing w:line="276" w:lineRule="auto" w:before="51" w:after="0"/>
        <w:ind w:left="2060" w:right="1908" w:hanging="360"/>
        <w:jc w:val="both"/>
        <w:rPr>
          <w:sz w:val="26"/>
        </w:rPr>
      </w:pPr>
      <w:r>
        <w:rPr>
          <w:sz w:val="26"/>
        </w:rPr>
        <w:t>Politicization mechanism – making issues, political (creating </w:t>
      </w:r>
      <w:r>
        <w:rPr>
          <w:spacing w:val="-2"/>
          <w:sz w:val="26"/>
        </w:rPr>
        <w:t>problems)</w:t>
      </w:r>
    </w:p>
    <w:p>
      <w:pPr>
        <w:pStyle w:val="ListParagraph"/>
        <w:numPr>
          <w:ilvl w:val="0"/>
          <w:numId w:val="12"/>
        </w:numPr>
        <w:tabs>
          <w:tab w:pos="2058" w:val="left" w:leader="none"/>
          <w:tab w:pos="2060" w:val="left" w:leader="none"/>
        </w:tabs>
        <w:spacing w:line="276" w:lineRule="auto" w:before="0" w:after="0"/>
        <w:ind w:left="2060" w:right="1911" w:hanging="360"/>
        <w:jc w:val="both"/>
        <w:rPr>
          <w:sz w:val="26"/>
        </w:rPr>
      </w:pPr>
      <w:r>
        <w:rPr>
          <w:sz w:val="26"/>
        </w:rPr>
        <w:t>Executioner mechanism – proposing solutions (persuading the public in own complexity).</w:t>
      </w:r>
    </w:p>
    <w:p>
      <w:pPr>
        <w:pStyle w:val="BodyText"/>
        <w:spacing w:line="276" w:lineRule="auto"/>
        <w:ind w:right="1911" w:firstLine="720"/>
      </w:pPr>
      <w:r>
        <w:rPr/>
        <w:t>The last two qualities distinguish the political parties from other public organizations. NGOs, for example, often have well defined ideology and</w:t>
      </w:r>
      <w:r>
        <w:rPr>
          <w:spacing w:val="-2"/>
        </w:rPr>
        <w:t> </w:t>
      </w:r>
      <w:r>
        <w:rPr/>
        <w:t>capacities</w:t>
      </w:r>
      <w:r>
        <w:rPr>
          <w:spacing w:val="-6"/>
        </w:rPr>
        <w:t> </w:t>
      </w:r>
      <w:r>
        <w:rPr/>
        <w:t>to</w:t>
      </w:r>
      <w:r>
        <w:rPr>
          <w:spacing w:val="-7"/>
        </w:rPr>
        <w:t> </w:t>
      </w:r>
      <w:r>
        <w:rPr/>
        <w:t>indicate</w:t>
      </w:r>
      <w:r>
        <w:rPr>
          <w:spacing w:val="-4"/>
        </w:rPr>
        <w:t> </w:t>
      </w:r>
      <w:r>
        <w:rPr/>
        <w:t>and</w:t>
      </w:r>
      <w:r>
        <w:rPr>
          <w:spacing w:val="-2"/>
        </w:rPr>
        <w:t> </w:t>
      </w:r>
      <w:r>
        <w:rPr/>
        <w:t>address</w:t>
      </w:r>
      <w:r>
        <w:rPr>
          <w:spacing w:val="-6"/>
        </w:rPr>
        <w:t> </w:t>
      </w:r>
      <w:r>
        <w:rPr/>
        <w:t>some</w:t>
      </w:r>
      <w:r>
        <w:rPr>
          <w:spacing w:val="-4"/>
        </w:rPr>
        <w:t> </w:t>
      </w:r>
      <w:r>
        <w:rPr/>
        <w:t>problems, but</w:t>
      </w:r>
      <w:r>
        <w:rPr>
          <w:spacing w:val="-4"/>
        </w:rPr>
        <w:t> </w:t>
      </w:r>
      <w:r>
        <w:rPr/>
        <w:t>their</w:t>
      </w:r>
      <w:r>
        <w:rPr>
          <w:spacing w:val="-3"/>
        </w:rPr>
        <w:t> </w:t>
      </w:r>
      <w:r>
        <w:rPr/>
        <w:t>primary</w:t>
      </w:r>
      <w:r>
        <w:rPr>
          <w:spacing w:val="-4"/>
        </w:rPr>
        <w:t> </w:t>
      </w:r>
      <w:r>
        <w:rPr/>
        <w:t>task is not to politicize daily issues. They might have enough influence to push for solutions, but they do it by non political means.</w:t>
      </w:r>
    </w:p>
    <w:p>
      <w:pPr>
        <w:pStyle w:val="BodyText"/>
        <w:spacing w:line="276" w:lineRule="auto" w:before="4"/>
        <w:ind w:right="1909" w:firstLine="720"/>
      </w:pPr>
      <w:r>
        <w:rPr/>
        <w:t>The political process is a continual manipulation with complexity. Ideologically oriented political parties selectively increase and reduce own complexities. During elections the party A has to be complex for opponents</w:t>
      </w:r>
    </w:p>
    <w:p>
      <w:pPr>
        <w:pStyle w:val="BodyText"/>
        <w:spacing w:after="0" w:line="276" w:lineRule="auto"/>
        <w:sectPr>
          <w:pgSz w:w="12240" w:h="15840"/>
          <w:pgMar w:header="1046" w:footer="0" w:top="1360" w:bottom="280" w:left="720" w:right="360"/>
        </w:sectPr>
      </w:pPr>
    </w:p>
    <w:p>
      <w:pPr>
        <w:pStyle w:val="BodyText"/>
        <w:spacing w:line="276" w:lineRule="auto" w:before="276"/>
        <w:ind w:right="1902"/>
      </w:pPr>
      <w:r>
        <w:rPr/>
        <w:t>B,C…</w:t>
      </w:r>
      <w:r>
        <w:rPr>
          <w:spacing w:val="-1"/>
        </w:rPr>
        <w:t> </w:t>
      </w:r>
      <w:r>
        <w:rPr/>
        <w:t>but not for the public. In order to</w:t>
      </w:r>
      <w:r>
        <w:rPr>
          <w:spacing w:val="-3"/>
        </w:rPr>
        <w:t> </w:t>
      </w:r>
      <w:r>
        <w:rPr/>
        <w:t>persuade the electorate full</w:t>
      </w:r>
      <w:r>
        <w:rPr>
          <w:spacing w:val="-3"/>
        </w:rPr>
        <w:t> </w:t>
      </w:r>
      <w:r>
        <w:rPr/>
        <w:t>process of communication (information, utterance, understanding) should take place. The parties reach maximum level of complexity for both public and opponents after winning the elections.</w:t>
      </w:r>
    </w:p>
    <w:p>
      <w:pPr>
        <w:pStyle w:val="BodyText"/>
        <w:spacing w:line="273" w:lineRule="auto"/>
        <w:ind w:right="1907" w:firstLine="720"/>
      </w:pPr>
      <w:r>
        <w:rPr>
          <w:sz w:val="27"/>
        </w:rPr>
        <w:t>Robert Merton </w:t>
      </w:r>
      <w:r>
        <w:rPr/>
        <w:t>argues that “Bureaucracy is administration which almost completely avoids</w:t>
      </w:r>
      <w:r>
        <w:rPr>
          <w:spacing w:val="-1"/>
        </w:rPr>
        <w:t> </w:t>
      </w:r>
      <w:r>
        <w:rPr/>
        <w:t>public discussion of its</w:t>
      </w:r>
      <w:r>
        <w:rPr>
          <w:spacing w:val="-1"/>
        </w:rPr>
        <w:t> </w:t>
      </w:r>
      <w:r>
        <w:rPr/>
        <w:t>techniques, although there may occur public discussion of its policies.” (</w:t>
      </w:r>
      <w:hyperlink w:history="true" w:anchor="_bookmark291">
        <w:r>
          <w:rPr/>
          <w:t>Merton, 1957, pp. 195-206</w:t>
        </w:r>
      </w:hyperlink>
      <w:r>
        <w:rPr/>
        <w:t>).</w:t>
      </w:r>
    </w:p>
    <w:p>
      <w:pPr>
        <w:pStyle w:val="BodyText"/>
        <w:spacing w:line="276" w:lineRule="auto"/>
        <w:ind w:right="1913"/>
      </w:pPr>
      <w:r>
        <w:rPr/>
        <w:t>The figure 9 illustrates the relevance of information at any discovered level of complexity.</w:t>
      </w:r>
      <w:r>
        <w:rPr>
          <w:spacing w:val="40"/>
        </w:rPr>
        <w:t> </w:t>
      </w:r>
      <w:r>
        <w:rPr/>
        <w:t>As we have indicated above, when political party increases the</w:t>
      </w:r>
      <w:r>
        <w:rPr>
          <w:spacing w:val="13"/>
        </w:rPr>
        <w:t> </w:t>
      </w:r>
      <w:r>
        <w:rPr/>
        <w:t>variety</w:t>
      </w:r>
      <w:r>
        <w:rPr>
          <w:spacing w:val="13"/>
        </w:rPr>
        <w:t> </w:t>
      </w:r>
      <w:r>
        <w:rPr/>
        <w:t>of</w:t>
      </w:r>
      <w:r>
        <w:rPr>
          <w:spacing w:val="11"/>
        </w:rPr>
        <w:t> </w:t>
      </w:r>
      <w:r>
        <w:rPr/>
        <w:t>actions,</w:t>
      </w:r>
      <w:r>
        <w:rPr>
          <w:spacing w:val="15"/>
        </w:rPr>
        <w:t> </w:t>
      </w:r>
      <w:r>
        <w:rPr/>
        <w:t>its</w:t>
      </w:r>
      <w:r>
        <w:rPr>
          <w:spacing w:val="14"/>
        </w:rPr>
        <w:t> </w:t>
      </w:r>
      <w:r>
        <w:rPr/>
        <w:t>behavior</w:t>
      </w:r>
      <w:r>
        <w:rPr>
          <w:spacing w:val="19"/>
        </w:rPr>
        <w:t> </w:t>
      </w:r>
      <w:r>
        <w:rPr/>
        <w:t>becomes</w:t>
      </w:r>
      <w:r>
        <w:rPr>
          <w:spacing w:val="15"/>
        </w:rPr>
        <w:t> </w:t>
      </w:r>
      <w:r>
        <w:rPr/>
        <w:t>complex</w:t>
      </w:r>
      <w:r>
        <w:rPr>
          <w:spacing w:val="11"/>
        </w:rPr>
        <w:t> </w:t>
      </w:r>
      <w:r>
        <w:rPr/>
        <w:t>for</w:t>
      </w:r>
      <w:r>
        <w:rPr>
          <w:spacing w:val="14"/>
        </w:rPr>
        <w:t> </w:t>
      </w:r>
      <w:r>
        <w:rPr/>
        <w:t>the</w:t>
      </w:r>
      <w:r>
        <w:rPr>
          <w:spacing w:val="12"/>
        </w:rPr>
        <w:t> </w:t>
      </w:r>
      <w:r>
        <w:rPr/>
        <w:t>opponents.</w:t>
      </w:r>
      <w:r>
        <w:rPr>
          <w:spacing w:val="15"/>
        </w:rPr>
        <w:t> </w:t>
      </w:r>
      <w:r>
        <w:rPr>
          <w:spacing w:val="-5"/>
        </w:rPr>
        <w:t>In</w:t>
      </w:r>
    </w:p>
    <w:p>
      <w:pPr>
        <w:pStyle w:val="BodyText"/>
        <w:spacing w:after="0" w:line="276" w:lineRule="auto"/>
        <w:sectPr>
          <w:pgSz w:w="12240" w:h="15840"/>
          <w:pgMar w:header="1046" w:footer="0" w:top="1360" w:bottom="280" w:left="720" w:right="360"/>
        </w:sectPr>
      </w:pPr>
    </w:p>
    <w:p>
      <w:pPr>
        <w:spacing w:before="119"/>
        <w:ind w:left="1561" w:right="0" w:firstLine="0"/>
        <w:jc w:val="left"/>
        <w:rPr>
          <w:rFonts w:ascii="Calibri"/>
          <w:b/>
          <w:sz w:val="18"/>
        </w:rPr>
      </w:pPr>
      <w:r>
        <w:rPr>
          <w:rFonts w:ascii="Calibri"/>
          <w:b/>
          <w:color w:val="4F81BC"/>
          <w:sz w:val="18"/>
        </w:rPr>
        <w:t>Figure 9.</w:t>
      </w:r>
      <w:r>
        <w:rPr>
          <w:rFonts w:ascii="Calibri"/>
          <w:b/>
          <w:color w:val="4F81BC"/>
          <w:spacing w:val="-5"/>
          <w:sz w:val="18"/>
        </w:rPr>
        <w:t> </w:t>
      </w:r>
      <w:r>
        <w:rPr>
          <w:rFonts w:ascii="Calibri"/>
          <w:b/>
          <w:color w:val="4F81BC"/>
          <w:sz w:val="18"/>
        </w:rPr>
        <w:t>Information</w:t>
      </w:r>
      <w:r>
        <w:rPr>
          <w:rFonts w:ascii="Calibri"/>
          <w:b/>
          <w:color w:val="4F81BC"/>
          <w:spacing w:val="-6"/>
          <w:sz w:val="18"/>
        </w:rPr>
        <w:t> </w:t>
      </w:r>
      <w:r>
        <w:rPr>
          <w:rFonts w:ascii="Calibri"/>
          <w:b/>
          <w:color w:val="4F81BC"/>
          <w:sz w:val="18"/>
        </w:rPr>
        <w:t>and</w:t>
      </w:r>
      <w:r>
        <w:rPr>
          <w:rFonts w:ascii="Calibri"/>
          <w:b/>
          <w:color w:val="4F81BC"/>
          <w:spacing w:val="-2"/>
          <w:sz w:val="18"/>
        </w:rPr>
        <w:t> complexity</w:t>
      </w:r>
    </w:p>
    <w:p>
      <w:pPr>
        <w:pStyle w:val="BodyText"/>
        <w:spacing w:line="297" w:lineRule="auto"/>
        <w:ind w:left="1258" w:right="1903" w:firstLine="24"/>
      </w:pPr>
      <w:r>
        <w:rPr/>
        <w:br w:type="column"/>
      </w:r>
      <w:r>
        <w:rPr/>
        <w:t>order to envisage the possible actions of the A, B has to find</w:t>
      </w:r>
      <w:r>
        <w:rPr>
          <w:spacing w:val="40"/>
        </w:rPr>
        <w:t> </w:t>
      </w:r>
      <w:r>
        <w:rPr/>
        <w:t>out</w:t>
      </w:r>
      <w:r>
        <w:rPr>
          <w:spacing w:val="70"/>
          <w:w w:val="150"/>
        </w:rPr>
        <w:t> </w:t>
      </w:r>
      <w:r>
        <w:rPr/>
        <w:t>more</w:t>
      </w:r>
      <w:r>
        <w:rPr>
          <w:spacing w:val="70"/>
          <w:w w:val="150"/>
        </w:rPr>
        <w:t> </w:t>
      </w:r>
      <w:r>
        <w:rPr/>
        <w:t>about</w:t>
      </w:r>
      <w:r>
        <w:rPr>
          <w:spacing w:val="70"/>
          <w:w w:val="150"/>
        </w:rPr>
        <w:t> </w:t>
      </w:r>
      <w:r>
        <w:rPr/>
        <w:t>its</w:t>
      </w:r>
      <w:r>
        <w:rPr>
          <w:spacing w:val="71"/>
          <w:w w:val="150"/>
        </w:rPr>
        <w:t> </w:t>
      </w:r>
      <w:r>
        <w:rPr>
          <w:spacing w:val="-2"/>
        </w:rPr>
        <w:t>behavioral</w:t>
      </w:r>
    </w:p>
    <w:p>
      <w:pPr>
        <w:pStyle w:val="BodyText"/>
        <w:spacing w:line="312" w:lineRule="exact"/>
        <w:ind w:left="1258"/>
      </w:pPr>
      <w:r>
        <w:rPr/>
        <mc:AlternateContent>
          <mc:Choice Requires="wps">
            <w:drawing>
              <wp:anchor distT="0" distB="0" distL="0" distR="0" allowOverlap="1" layoutInCell="1" locked="0" behindDoc="0" simplePos="0" relativeHeight="15784960">
                <wp:simplePos x="0" y="0"/>
                <wp:positionH relativeFrom="page">
                  <wp:posOffset>1166152</wp:posOffset>
                </wp:positionH>
                <wp:positionV relativeFrom="paragraph">
                  <wp:posOffset>-475746</wp:posOffset>
                </wp:positionV>
                <wp:extent cx="2742565" cy="2444750"/>
                <wp:effectExtent l="0" t="0" r="0" b="0"/>
                <wp:wrapNone/>
                <wp:docPr id="136" name="Group 136"/>
                <wp:cNvGraphicFramePr>
                  <a:graphicFrameLocks/>
                </wp:cNvGraphicFramePr>
                <a:graphic>
                  <a:graphicData uri="http://schemas.microsoft.com/office/word/2010/wordprocessingGroup">
                    <wpg:wgp>
                      <wpg:cNvPr id="136" name="Group 136"/>
                      <wpg:cNvGrpSpPr/>
                      <wpg:grpSpPr>
                        <a:xfrm>
                          <a:off x="0" y="0"/>
                          <a:ext cx="2742565" cy="2444750"/>
                          <a:chExt cx="2742565" cy="2444750"/>
                        </a:xfrm>
                      </wpg:grpSpPr>
                      <pic:pic>
                        <pic:nvPicPr>
                          <pic:cNvPr id="137" name="Image 137"/>
                          <pic:cNvPicPr/>
                        </pic:nvPicPr>
                        <pic:blipFill>
                          <a:blip r:embed="rId29" cstate="print"/>
                          <a:stretch>
                            <a:fillRect/>
                          </a:stretch>
                        </pic:blipFill>
                        <pic:spPr>
                          <a:xfrm>
                            <a:off x="100122" y="17476"/>
                            <a:ext cx="2572177" cy="2420669"/>
                          </a:xfrm>
                          <a:prstGeom prst="rect">
                            <a:avLst/>
                          </a:prstGeom>
                        </pic:spPr>
                      </pic:pic>
                      <wps:wsp>
                        <wps:cNvPr id="138" name="Graphic 138"/>
                        <wps:cNvSpPr/>
                        <wps:spPr>
                          <a:xfrm>
                            <a:off x="3175" y="3175"/>
                            <a:ext cx="2736215" cy="2438400"/>
                          </a:xfrm>
                          <a:custGeom>
                            <a:avLst/>
                            <a:gdLst/>
                            <a:ahLst/>
                            <a:cxnLst/>
                            <a:rect l="l" t="t" r="r" b="b"/>
                            <a:pathLst>
                              <a:path w="2736215" h="2438400">
                                <a:moveTo>
                                  <a:pt x="0" y="2438019"/>
                                </a:moveTo>
                                <a:lnTo>
                                  <a:pt x="2735834" y="2438019"/>
                                </a:lnTo>
                                <a:lnTo>
                                  <a:pt x="2735834" y="0"/>
                                </a:lnTo>
                                <a:lnTo>
                                  <a:pt x="0" y="0"/>
                                </a:lnTo>
                                <a:lnTo>
                                  <a:pt x="0" y="2438019"/>
                                </a:lnTo>
                                <a:close/>
                              </a:path>
                            </a:pathLst>
                          </a:custGeom>
                          <a:ln w="634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91.822998pt;margin-top:-37.460373pt;width:215.95pt;height:192.5pt;mso-position-horizontal-relative:page;mso-position-vertical-relative:paragraph;z-index:15784960" id="docshapegroup129" coordorigin="1836,-749" coordsize="4319,3850">
                <v:shape style="position:absolute;left:1994;top:-722;width:4051;height:3813" type="#_x0000_t75" id="docshape130" stroked="false">
                  <v:imagedata r:id="rId29" o:title=""/>
                </v:shape>
                <v:rect style="position:absolute;left:1841;top:-745;width:4309;height:3840" id="docshape131" filled="false" stroked="true" strokeweight=".5pt" strokecolor="#000000">
                  <v:stroke dashstyle="solid"/>
                </v:rect>
                <w10:wrap type="none"/>
              </v:group>
            </w:pict>
          </mc:Fallback>
        </mc:AlternateContent>
      </w:r>
      <w:r>
        <w:rPr/>
        <w:t>variety.</w:t>
      </w:r>
      <w:r>
        <w:rPr>
          <w:spacing w:val="8"/>
        </w:rPr>
        <w:t> </w:t>
      </w:r>
      <w:r>
        <w:rPr/>
        <w:t>Therefore</w:t>
      </w:r>
      <w:r>
        <w:rPr>
          <w:spacing w:val="5"/>
        </w:rPr>
        <w:t> </w:t>
      </w:r>
      <w:r>
        <w:rPr/>
        <w:t>the</w:t>
      </w:r>
      <w:r>
        <w:rPr>
          <w:spacing w:val="6"/>
        </w:rPr>
        <w:t> </w:t>
      </w:r>
      <w:r>
        <w:rPr/>
        <w:t>amount</w:t>
      </w:r>
      <w:r>
        <w:rPr>
          <w:spacing w:val="5"/>
        </w:rPr>
        <w:t> </w:t>
      </w:r>
      <w:r>
        <w:rPr>
          <w:spacing w:val="-5"/>
        </w:rPr>
        <w:t>of</w:t>
      </w:r>
    </w:p>
    <w:p>
      <w:pPr>
        <w:pStyle w:val="BodyText"/>
        <w:spacing w:line="276" w:lineRule="auto" w:before="46"/>
        <w:ind w:left="1258" w:right="1898"/>
      </w:pPr>
      <w:r>
        <w:rPr/>
        <w:t>required information equals to the behavioral complexity of the opponent. When parties address the publics in pre-election period, the task is different. Simple campaign messages, one the</w:t>
      </w:r>
      <w:r>
        <w:rPr>
          <w:spacing w:val="57"/>
          <w:w w:val="150"/>
        </w:rPr>
        <w:t> </w:t>
      </w:r>
      <w:r>
        <w:rPr/>
        <w:t>one</w:t>
      </w:r>
      <w:r>
        <w:rPr>
          <w:spacing w:val="57"/>
          <w:w w:val="150"/>
        </w:rPr>
        <w:t> </w:t>
      </w:r>
      <w:r>
        <w:rPr/>
        <w:t>hand</w:t>
      </w:r>
      <w:r>
        <w:rPr>
          <w:spacing w:val="59"/>
          <w:w w:val="150"/>
        </w:rPr>
        <w:t> </w:t>
      </w:r>
      <w:r>
        <w:rPr/>
        <w:t>are</w:t>
      </w:r>
      <w:r>
        <w:rPr>
          <w:spacing w:val="58"/>
          <w:w w:val="150"/>
        </w:rPr>
        <w:t> </w:t>
      </w:r>
      <w:r>
        <w:rPr/>
        <w:t>intended</w:t>
      </w:r>
      <w:r>
        <w:rPr>
          <w:spacing w:val="59"/>
          <w:w w:val="150"/>
        </w:rPr>
        <w:t> </w:t>
      </w:r>
      <w:r>
        <w:rPr>
          <w:spacing w:val="-5"/>
        </w:rPr>
        <w:t>to</w:t>
      </w:r>
    </w:p>
    <w:p>
      <w:pPr>
        <w:pStyle w:val="BodyText"/>
        <w:spacing w:after="0" w:line="276" w:lineRule="auto"/>
        <w:sectPr>
          <w:type w:val="continuous"/>
          <w:pgSz w:w="12240" w:h="15840"/>
          <w:pgMar w:header="1046" w:footer="0" w:top="660" w:bottom="0" w:left="720" w:right="360"/>
          <w:cols w:num="2" w:equalWidth="0">
            <w:col w:w="4330" w:space="40"/>
            <w:col w:w="6790"/>
          </w:cols>
        </w:sectPr>
      </w:pPr>
    </w:p>
    <w:p>
      <w:pPr>
        <w:pStyle w:val="BodyText"/>
        <w:spacing w:line="276" w:lineRule="auto" w:before="5"/>
        <w:ind w:right="1902"/>
      </w:pPr>
      <w:r>
        <w:rPr/>
        <w:t>show the simplicity of the organization (honesty), and on the other hand imply on the complex tools which the party holds to govern the state. The messages often include the symbols which deal with emotions, like fear and hope. (</w:t>
      </w:r>
      <w:hyperlink w:history="true" w:anchor="_bookmark315">
        <w:r>
          <w:rPr/>
          <w:t>Newman, 1999, p. 89</w:t>
        </w:r>
      </w:hyperlink>
      <w:r>
        <w:rPr/>
        <w:t>) The politicians promise to free people from their worst fears and give hopes for the better future.</w:t>
      </w:r>
    </w:p>
    <w:p>
      <w:pPr>
        <w:pStyle w:val="BodyText"/>
        <w:spacing w:after="0" w:line="276" w:lineRule="auto"/>
        <w:sectPr>
          <w:type w:val="continuous"/>
          <w:pgSz w:w="12240" w:h="15840"/>
          <w:pgMar w:header="1046" w:footer="0" w:top="660" w:bottom="0" w:left="720" w:right="360"/>
        </w:sectPr>
      </w:pPr>
    </w:p>
    <w:p>
      <w:pPr>
        <w:pStyle w:val="Heading4"/>
        <w:numPr>
          <w:ilvl w:val="1"/>
          <w:numId w:val="10"/>
        </w:numPr>
        <w:tabs>
          <w:tab w:pos="1582" w:val="left" w:leader="none"/>
        </w:tabs>
        <w:spacing w:line="240" w:lineRule="auto" w:before="288" w:after="0"/>
        <w:ind w:left="1582" w:right="0" w:hanging="603"/>
        <w:jc w:val="left"/>
      </w:pPr>
      <w:bookmarkStart w:name="_bookmark31" w:id="32"/>
      <w:bookmarkEnd w:id="32"/>
      <w:r>
        <w:rPr>
          <w:b w:val="0"/>
        </w:rPr>
      </w:r>
      <w:r>
        <w:rPr>
          <w:spacing w:val="-7"/>
        </w:rPr>
        <w:t>Political</w:t>
      </w:r>
      <w:r>
        <w:rPr>
          <w:spacing w:val="-2"/>
        </w:rPr>
        <w:t> Orientation</w:t>
      </w:r>
    </w:p>
    <w:p>
      <w:pPr>
        <w:pStyle w:val="BodyText"/>
        <w:spacing w:before="220"/>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44672">
                <wp:simplePos x="0" y="0"/>
                <wp:positionH relativeFrom="page">
                  <wp:posOffset>1078864</wp:posOffset>
                </wp:positionH>
                <wp:positionV relativeFrom="paragraph">
                  <wp:posOffset>299564</wp:posOffset>
                </wp:positionV>
                <wp:extent cx="5252085" cy="52069"/>
                <wp:effectExtent l="0" t="0" r="0" b="0"/>
                <wp:wrapTopAndBottom/>
                <wp:docPr id="139" name="Graphic 139"/>
                <wp:cNvGraphicFramePr>
                  <a:graphicFrameLocks/>
                </wp:cNvGraphicFramePr>
                <a:graphic>
                  <a:graphicData uri="http://schemas.microsoft.com/office/word/2010/wordprocessingShape">
                    <wps:wsp>
                      <wps:cNvPr id="139" name="Graphic 139"/>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3.587734pt;width:413.55pt;height:4.1pt;mso-position-horizontal-relative:page;mso-position-vertical-relative:paragraph;z-index:-15671808;mso-wrap-distance-left:0;mso-wrap-distance-right:0" id="docshape132"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ind w:left="0"/>
        <w:jc w:val="left"/>
        <w:rPr>
          <w:rFonts w:ascii="Georgia"/>
          <w:b/>
        </w:rPr>
      </w:pPr>
    </w:p>
    <w:p>
      <w:pPr>
        <w:pStyle w:val="BodyText"/>
        <w:spacing w:before="107"/>
        <w:ind w:left="0"/>
        <w:jc w:val="left"/>
        <w:rPr>
          <w:rFonts w:ascii="Georgia"/>
          <w:b/>
        </w:rPr>
      </w:pPr>
    </w:p>
    <w:p>
      <w:pPr>
        <w:pStyle w:val="BodyText"/>
        <w:spacing w:line="276" w:lineRule="auto"/>
        <w:ind w:right="1907" w:firstLine="720"/>
      </w:pPr>
      <w:r>
        <w:rPr/>
        <w:t>Every organization involves political relations. However, these relations are often considered to be beyond the normal working process. Politics within the organization has a negative connotation, ‘politics’ is considered as a dirty word. Whether to accept this assumption or not, depends how idealistic we are about the mechanical operations and human involvement in it. If we take a functionalist set of logic as an example, we would argue that development and progress almost entirely depends on eradicating politics from the mechanism of the management. Nevertheless, we should not forget that business firms operate in the</w:t>
      </w:r>
      <w:r>
        <w:rPr>
          <w:spacing w:val="-2"/>
        </w:rPr>
        <w:t> </w:t>
      </w:r>
      <w:r>
        <w:rPr/>
        <w:t>environment largely defined by the general political direction of the society. “It is important to look not only at the basic game of business itself but also at those arenas of social interaction where the rules of the game are created, amended, or agreed on.” (</w:t>
      </w:r>
      <w:hyperlink w:history="true" w:anchor="_bookmark339">
        <w:r>
          <w:rPr/>
          <w:t>Pies, Beckmann, &amp; Hielscher, 2014, p. 232</w:t>
        </w:r>
      </w:hyperlink>
      <w:r>
        <w:rPr/>
        <w:t>)</w:t>
      </w:r>
    </w:p>
    <w:p>
      <w:pPr>
        <w:pStyle w:val="BodyText"/>
        <w:spacing w:line="276" w:lineRule="auto" w:before="5"/>
        <w:ind w:right="1906" w:firstLine="787"/>
      </w:pPr>
      <w:r>
        <w:rPr/>
        <w:t>In order to deal with the politically oriented entities, every organization has to have a requisite political variety. A shift from authoritarian to more democratic forms of the managerial practices shows that, the process of democratization went step-by-step with general trend</w:t>
      </w:r>
      <w:r>
        <w:rPr>
          <w:spacing w:val="80"/>
        </w:rPr>
        <w:t> </w:t>
      </w:r>
      <w:r>
        <w:rPr/>
        <w:t>of growing importance of human rights. If it used to be a common practice to address protesting worker in following manner: “You can vote with your feet. If you don’t like it here, you don’t have</w:t>
      </w:r>
      <w:r>
        <w:rPr>
          <w:spacing w:val="-2"/>
        </w:rPr>
        <w:t> </w:t>
      </w:r>
      <w:r>
        <w:rPr/>
        <w:t>to stay,”(</w:t>
      </w:r>
      <w:hyperlink w:history="true" w:anchor="_bookmark308">
        <w:r>
          <w:rPr/>
          <w:t>Morgan, 1998, p. 148</w:t>
        </w:r>
      </w:hyperlink>
      <w:r>
        <w:rPr/>
        <w:t>) nowadays in it is harder for the managers to ignore basic demands of the labor force. Business firms and the general politics have to be in reciprocal relation. A smart way to lead the organization often includes the expansion of</w:t>
      </w:r>
      <w:r>
        <w:rPr>
          <w:spacing w:val="-2"/>
        </w:rPr>
        <w:t> </w:t>
      </w:r>
      <w:r>
        <w:rPr/>
        <w:t>political</w:t>
      </w:r>
      <w:r>
        <w:rPr>
          <w:spacing w:val="-4"/>
        </w:rPr>
        <w:t> </w:t>
      </w:r>
      <w:r>
        <w:rPr/>
        <w:t>requisites</w:t>
      </w:r>
      <w:r>
        <w:rPr>
          <w:spacing w:val="-3"/>
        </w:rPr>
        <w:t> </w:t>
      </w:r>
      <w:r>
        <w:rPr/>
        <w:t>of</w:t>
      </w:r>
      <w:r>
        <w:rPr>
          <w:spacing w:val="-2"/>
        </w:rPr>
        <w:t> </w:t>
      </w:r>
      <w:r>
        <w:rPr/>
        <w:t>the</w:t>
      </w:r>
      <w:r>
        <w:rPr>
          <w:spacing w:val="-1"/>
        </w:rPr>
        <w:t> </w:t>
      </w:r>
      <w:r>
        <w:rPr/>
        <w:t>firms on the</w:t>
      </w:r>
      <w:r>
        <w:rPr>
          <w:spacing w:val="-1"/>
        </w:rPr>
        <w:t> </w:t>
      </w:r>
      <w:r>
        <w:rPr/>
        <w:t>public</w:t>
      </w:r>
      <w:r>
        <w:rPr>
          <w:spacing w:val="-2"/>
        </w:rPr>
        <w:t> </w:t>
      </w:r>
      <w:r>
        <w:rPr/>
        <w:t>sector. Numerous</w:t>
      </w:r>
      <w:r>
        <w:rPr>
          <w:spacing w:val="-3"/>
        </w:rPr>
        <w:t> </w:t>
      </w:r>
      <w:r>
        <w:rPr/>
        <w:t>researches show the importance of political maneuvers used by the executives in creating favorable environments for their businesses.</w:t>
      </w:r>
    </w:p>
    <w:p>
      <w:pPr>
        <w:pStyle w:val="BodyText"/>
        <w:spacing w:after="0" w:line="276" w:lineRule="auto"/>
        <w:sectPr>
          <w:pgSz w:w="12240" w:h="15840"/>
          <w:pgMar w:header="1046" w:footer="0" w:top="1360" w:bottom="280" w:left="720" w:right="360"/>
        </w:sectPr>
      </w:pPr>
    </w:p>
    <w:p>
      <w:pPr>
        <w:pStyle w:val="BodyText"/>
        <w:spacing w:line="276" w:lineRule="auto" w:before="276"/>
        <w:ind w:right="1906" w:firstLine="720"/>
      </w:pPr>
      <w:r>
        <w:rPr/>
        <w:t>It is often argued that large corporations, while being representatives of the public clusters, have a decisive role in forming the general political establishment of the states.</w:t>
      </w:r>
      <w:r>
        <w:rPr>
          <w:spacing w:val="40"/>
        </w:rPr>
        <w:t> </w:t>
      </w:r>
      <w:r>
        <w:rPr/>
        <w:t>The lobbying capacities, direct or indirect support of preferred political organizations, ability to mobilize human and non-human resources on the short call, make business figures influential enough</w:t>
      </w:r>
      <w:r>
        <w:rPr>
          <w:spacing w:val="-2"/>
        </w:rPr>
        <w:t> </w:t>
      </w:r>
      <w:r>
        <w:rPr/>
        <w:t>to</w:t>
      </w:r>
      <w:r>
        <w:rPr>
          <w:spacing w:val="-4"/>
        </w:rPr>
        <w:t> </w:t>
      </w:r>
      <w:r>
        <w:rPr/>
        <w:t>pressure</w:t>
      </w:r>
      <w:r>
        <w:rPr>
          <w:spacing w:val="-2"/>
        </w:rPr>
        <w:t> </w:t>
      </w:r>
      <w:r>
        <w:rPr/>
        <w:t>the</w:t>
      </w:r>
      <w:r>
        <w:rPr>
          <w:spacing w:val="-2"/>
        </w:rPr>
        <w:t> </w:t>
      </w:r>
      <w:r>
        <w:rPr/>
        <w:t>governments</w:t>
      </w:r>
      <w:r>
        <w:rPr>
          <w:spacing w:val="-3"/>
        </w:rPr>
        <w:t> </w:t>
      </w:r>
      <w:r>
        <w:rPr/>
        <w:t>when</w:t>
      </w:r>
      <w:r>
        <w:rPr>
          <w:spacing w:val="-1"/>
        </w:rPr>
        <w:t> </w:t>
      </w:r>
      <w:r>
        <w:rPr/>
        <w:t>the</w:t>
      </w:r>
      <w:r>
        <w:rPr>
          <w:spacing w:val="-2"/>
        </w:rPr>
        <w:t> </w:t>
      </w:r>
      <w:r>
        <w:rPr/>
        <w:t>situation</w:t>
      </w:r>
      <w:r>
        <w:rPr>
          <w:spacing w:val="-1"/>
        </w:rPr>
        <w:t> </w:t>
      </w:r>
      <w:r>
        <w:rPr/>
        <w:t>requires from</w:t>
      </w:r>
      <w:r>
        <w:rPr>
          <w:spacing w:val="-3"/>
        </w:rPr>
        <w:t> </w:t>
      </w:r>
      <w:r>
        <w:rPr/>
        <w:t>them to do so. The problem is how general nature of structural coupling between the firms and politics affect the systemic operations of both. </w:t>
      </w:r>
      <w:r>
        <w:rPr>
          <w:sz w:val="27"/>
        </w:rPr>
        <w:t>Vanden Bergh </w:t>
      </w:r>
      <w:r>
        <w:rPr/>
        <w:t>and </w:t>
      </w:r>
      <w:r>
        <w:rPr>
          <w:sz w:val="27"/>
        </w:rPr>
        <w:t>Holburn </w:t>
      </w:r>
      <w:r>
        <w:rPr/>
        <w:t>argue that “politicians value recourses that firm can provide,” and firms value political support they get in exchange. (</w:t>
      </w:r>
      <w:hyperlink w:history="true" w:anchor="_bookmark417">
        <w:r>
          <w:rPr/>
          <w:t>2007, p. 4</w:t>
        </w:r>
      </w:hyperlink>
      <w:r>
        <w:rPr/>
        <w:t>) Nevertheless, we need to recognize that business organizations try to influence those actors and institutes, which have a capacity to act on behalf of political system. Political preferences of the firm are generated through the communications described above. Business firms understand the environment in economic terms. The operational agencies of the organization monitor the external actors and gather information “to create profit-maximizing political strategies.” However, the way they do so and</w:t>
      </w:r>
      <w:r>
        <w:rPr>
          <w:spacing w:val="40"/>
        </w:rPr>
        <w:t> </w:t>
      </w:r>
      <w:r>
        <w:rPr/>
        <w:t>the political decisions they produce is largely influenced by the “organizational composition” of the system. (</w:t>
      </w:r>
      <w:hyperlink w:history="true" w:anchor="_bookmark382">
        <w:r>
          <w:rPr/>
          <w:t>Schüler, 1999, pp. 86-87</w:t>
        </w:r>
      </w:hyperlink>
      <w:r>
        <w:rPr/>
        <w:t>)</w:t>
      </w:r>
    </w:p>
    <w:p>
      <w:pPr>
        <w:pStyle w:val="BodyText"/>
        <w:spacing w:line="312" w:lineRule="exact"/>
        <w:ind w:left="1700"/>
      </w:pPr>
      <w:r>
        <w:rPr/>
        <w:t>Corporate</w:t>
      </w:r>
      <w:r>
        <w:rPr>
          <w:spacing w:val="37"/>
        </w:rPr>
        <w:t> </w:t>
      </w:r>
      <w:r>
        <w:rPr/>
        <w:t>elites</w:t>
      </w:r>
      <w:r>
        <w:rPr>
          <w:spacing w:val="36"/>
        </w:rPr>
        <w:t> </w:t>
      </w:r>
      <w:r>
        <w:rPr/>
        <w:t>not</w:t>
      </w:r>
      <w:r>
        <w:rPr>
          <w:spacing w:val="42"/>
        </w:rPr>
        <w:t> </w:t>
      </w:r>
      <w:r>
        <w:rPr/>
        <w:t>only</w:t>
      </w:r>
      <w:r>
        <w:rPr>
          <w:spacing w:val="37"/>
        </w:rPr>
        <w:t> </w:t>
      </w:r>
      <w:r>
        <w:rPr/>
        <w:t>get</w:t>
      </w:r>
      <w:r>
        <w:rPr>
          <w:spacing w:val="38"/>
        </w:rPr>
        <w:t> </w:t>
      </w:r>
      <w:r>
        <w:rPr/>
        <w:t>involved</w:t>
      </w:r>
      <w:r>
        <w:rPr>
          <w:spacing w:val="39"/>
        </w:rPr>
        <w:t> </w:t>
      </w:r>
      <w:r>
        <w:rPr/>
        <w:t>in</w:t>
      </w:r>
      <w:r>
        <w:rPr>
          <w:spacing w:val="43"/>
        </w:rPr>
        <w:t> </w:t>
      </w:r>
      <w:r>
        <w:rPr/>
        <w:t>politics</w:t>
      </w:r>
      <w:r>
        <w:rPr>
          <w:spacing w:val="36"/>
        </w:rPr>
        <w:t> </w:t>
      </w:r>
      <w:r>
        <w:rPr/>
        <w:t>during</w:t>
      </w:r>
      <w:r>
        <w:rPr>
          <w:spacing w:val="38"/>
        </w:rPr>
        <w:t> </w:t>
      </w:r>
      <w:r>
        <w:rPr/>
        <w:t>the</w:t>
      </w:r>
      <w:r>
        <w:rPr>
          <w:spacing w:val="38"/>
        </w:rPr>
        <w:t> </w:t>
      </w:r>
      <w:r>
        <w:rPr>
          <w:spacing w:val="-4"/>
        </w:rPr>
        <w:t>game</w:t>
      </w:r>
    </w:p>
    <w:p>
      <w:pPr>
        <w:pStyle w:val="BodyText"/>
        <w:spacing w:line="273" w:lineRule="auto" w:before="51"/>
        <w:ind w:right="1901"/>
      </w:pPr>
      <w:r>
        <w:rPr/>
        <w:t>changing events like elections, they are always around in the political process. The data gathered in the</w:t>
      </w:r>
      <w:r>
        <w:rPr>
          <w:spacing w:val="-1"/>
        </w:rPr>
        <w:t> </w:t>
      </w:r>
      <w:r>
        <w:rPr/>
        <w:t>USA in 2004-2010 shows that the amount of money spent to finance the electoral campaigns is significantly low, in comparison</w:t>
      </w:r>
      <w:r>
        <w:rPr>
          <w:spacing w:val="-2"/>
        </w:rPr>
        <w:t> </w:t>
      </w:r>
      <w:r>
        <w:rPr/>
        <w:t>to</w:t>
      </w:r>
      <w:r>
        <w:rPr>
          <w:spacing w:val="-5"/>
        </w:rPr>
        <w:t> </w:t>
      </w:r>
      <w:r>
        <w:rPr/>
        <w:t>the</w:t>
      </w:r>
      <w:r>
        <w:rPr>
          <w:spacing w:val="-2"/>
        </w:rPr>
        <w:t> </w:t>
      </w:r>
      <w:r>
        <w:rPr/>
        <w:t>money</w:t>
      </w:r>
      <w:r>
        <w:rPr>
          <w:spacing w:val="-2"/>
        </w:rPr>
        <w:t> </w:t>
      </w:r>
      <w:r>
        <w:rPr/>
        <w:t>spent</w:t>
      </w:r>
      <w:r>
        <w:rPr>
          <w:spacing w:val="-2"/>
        </w:rPr>
        <w:t> </w:t>
      </w:r>
      <w:r>
        <w:rPr/>
        <w:t>on</w:t>
      </w:r>
      <w:r>
        <w:rPr>
          <w:spacing w:val="-2"/>
        </w:rPr>
        <w:t> </w:t>
      </w:r>
      <w:r>
        <w:rPr/>
        <w:t>daily</w:t>
      </w:r>
      <w:r>
        <w:rPr>
          <w:spacing w:val="-2"/>
        </w:rPr>
        <w:t> </w:t>
      </w:r>
      <w:r>
        <w:rPr/>
        <w:t>lobbying</w:t>
      </w:r>
      <w:r>
        <w:rPr>
          <w:spacing w:val="-2"/>
        </w:rPr>
        <w:t> </w:t>
      </w:r>
      <w:r>
        <w:rPr/>
        <w:t>operations. (</w:t>
      </w:r>
      <w:hyperlink w:history="true" w:anchor="_bookmark104">
        <w:r>
          <w:rPr/>
          <w:t>Bonica,</w:t>
        </w:r>
        <w:r>
          <w:rPr>
            <w:spacing w:val="-2"/>
          </w:rPr>
          <w:t> </w:t>
        </w:r>
        <w:r>
          <w:rPr/>
          <w:t>2013,</w:t>
        </w:r>
      </w:hyperlink>
      <w:r>
        <w:rPr/>
        <w:t> </w:t>
      </w:r>
      <w:hyperlink w:history="true" w:anchor="_bookmark104">
        <w:r>
          <w:rPr/>
          <w:t>pp. 7-8</w:t>
        </w:r>
      </w:hyperlink>
      <w:r>
        <w:rPr/>
        <w:t>) The potential of firms to influence the politics with direct actions represents their </w:t>
      </w:r>
      <w:r>
        <w:rPr>
          <w:sz w:val="27"/>
        </w:rPr>
        <w:t>instrumental </w:t>
      </w:r>
      <w:r>
        <w:rPr/>
        <w:t>political power. There is a second type of power - a </w:t>
      </w:r>
      <w:r>
        <w:rPr>
          <w:sz w:val="27"/>
        </w:rPr>
        <w:t>structural </w:t>
      </w:r>
      <w:r>
        <w:rPr/>
        <w:t>power. “Regardless of who won elections in the capitalist democracies, the holders of capital can [could] sabotage government policy simply by sitting on their money, rather than investing it.” (</w:t>
      </w:r>
      <w:hyperlink w:history="true" w:anchor="_bookmark146">
        <w:r>
          <w:rPr/>
          <w:t>Culpepper, 2015, p. 392</w:t>
        </w:r>
      </w:hyperlink>
      <w:r>
        <w:rPr/>
        <w:t>) Even if the firms have no interest in political process, their resources are still considered by the politicians, as a latent form</w:t>
      </w:r>
      <w:r>
        <w:rPr>
          <w:spacing w:val="40"/>
        </w:rPr>
        <w:t> </w:t>
      </w:r>
      <w:r>
        <w:rPr/>
        <w:t>of</w:t>
      </w:r>
      <w:r>
        <w:rPr>
          <w:spacing w:val="40"/>
        </w:rPr>
        <w:t> </w:t>
      </w:r>
      <w:r>
        <w:rPr/>
        <w:t>political</w:t>
      </w:r>
      <w:r>
        <w:rPr>
          <w:spacing w:val="40"/>
        </w:rPr>
        <w:t> </w:t>
      </w:r>
      <w:r>
        <w:rPr/>
        <w:t>power.</w:t>
      </w:r>
      <w:r>
        <w:rPr>
          <w:spacing w:val="40"/>
        </w:rPr>
        <w:t>  </w:t>
      </w:r>
      <w:r>
        <w:rPr/>
        <w:t>If</w:t>
      </w:r>
      <w:r>
        <w:rPr>
          <w:spacing w:val="40"/>
        </w:rPr>
        <w:t> </w:t>
      </w:r>
      <w:r>
        <w:rPr/>
        <w:t>we</w:t>
      </w:r>
      <w:r>
        <w:rPr>
          <w:spacing w:val="40"/>
        </w:rPr>
        <w:t> </w:t>
      </w:r>
      <w:r>
        <w:rPr/>
        <w:t>re-formulate</w:t>
      </w:r>
      <w:r>
        <w:rPr>
          <w:spacing w:val="40"/>
        </w:rPr>
        <w:t> </w:t>
      </w:r>
      <w:r>
        <w:rPr>
          <w:sz w:val="27"/>
        </w:rPr>
        <w:t>Saul</w:t>
      </w:r>
      <w:r>
        <w:rPr>
          <w:spacing w:val="40"/>
          <w:sz w:val="27"/>
        </w:rPr>
        <w:t> </w:t>
      </w:r>
      <w:r>
        <w:rPr>
          <w:sz w:val="27"/>
        </w:rPr>
        <w:t>Alinsky’s</w:t>
      </w:r>
      <w:r>
        <w:rPr>
          <w:spacing w:val="40"/>
          <w:sz w:val="27"/>
        </w:rPr>
        <w:t> </w:t>
      </w:r>
      <w:r>
        <w:rPr/>
        <w:t>famous</w:t>
      </w:r>
      <w:r>
        <w:rPr>
          <w:spacing w:val="40"/>
        </w:rPr>
        <w:t> </w:t>
      </w:r>
      <w:r>
        <w:rPr/>
        <w:t>rule:</w:t>
      </w:r>
    </w:p>
    <w:p>
      <w:pPr>
        <w:pStyle w:val="BodyText"/>
        <w:spacing w:after="0" w:line="273" w:lineRule="auto"/>
        <w:sectPr>
          <w:pgSz w:w="12240" w:h="15840"/>
          <w:pgMar w:header="1046" w:footer="0" w:top="1360" w:bottom="280" w:left="720" w:right="360"/>
        </w:sectPr>
      </w:pPr>
    </w:p>
    <w:p>
      <w:pPr>
        <w:pStyle w:val="BodyText"/>
        <w:spacing w:line="273" w:lineRule="auto" w:before="266"/>
        <w:ind w:right="1908"/>
      </w:pPr>
      <w:r>
        <w:rPr>
          <w:sz w:val="27"/>
        </w:rPr>
        <w:t>political</w:t>
      </w:r>
      <w:r>
        <w:rPr>
          <w:spacing w:val="-4"/>
          <w:sz w:val="27"/>
        </w:rPr>
        <w:t> </w:t>
      </w:r>
      <w:r>
        <w:rPr>
          <w:sz w:val="27"/>
        </w:rPr>
        <w:t>power</w:t>
      </w:r>
      <w:r>
        <w:rPr>
          <w:spacing w:val="-2"/>
          <w:sz w:val="27"/>
        </w:rPr>
        <w:t> </w:t>
      </w:r>
      <w:r>
        <w:rPr>
          <w:sz w:val="27"/>
        </w:rPr>
        <w:t>of</w:t>
      </w:r>
      <w:r>
        <w:rPr>
          <w:spacing w:val="-3"/>
          <w:sz w:val="27"/>
        </w:rPr>
        <w:t> </w:t>
      </w:r>
      <w:r>
        <w:rPr>
          <w:sz w:val="27"/>
        </w:rPr>
        <w:t>the</w:t>
      </w:r>
      <w:r>
        <w:rPr>
          <w:spacing w:val="-2"/>
          <w:sz w:val="27"/>
        </w:rPr>
        <w:t> </w:t>
      </w:r>
      <w:r>
        <w:rPr>
          <w:sz w:val="27"/>
        </w:rPr>
        <w:t>firms</w:t>
      </w:r>
      <w:r>
        <w:rPr>
          <w:spacing w:val="-4"/>
          <w:sz w:val="27"/>
        </w:rPr>
        <w:t> </w:t>
      </w:r>
      <w:r>
        <w:rPr>
          <w:sz w:val="27"/>
        </w:rPr>
        <w:t>is</w:t>
      </w:r>
      <w:r>
        <w:rPr>
          <w:spacing w:val="-4"/>
          <w:sz w:val="27"/>
        </w:rPr>
        <w:t> </w:t>
      </w:r>
      <w:r>
        <w:rPr>
          <w:sz w:val="27"/>
        </w:rPr>
        <w:t>not</w:t>
      </w:r>
      <w:r>
        <w:rPr>
          <w:spacing w:val="-2"/>
          <w:sz w:val="27"/>
        </w:rPr>
        <w:t> </w:t>
      </w:r>
      <w:r>
        <w:rPr>
          <w:sz w:val="27"/>
        </w:rPr>
        <w:t>only</w:t>
      </w:r>
      <w:r>
        <w:rPr>
          <w:spacing w:val="-2"/>
          <w:sz w:val="27"/>
        </w:rPr>
        <w:t> </w:t>
      </w:r>
      <w:r>
        <w:rPr>
          <w:sz w:val="27"/>
        </w:rPr>
        <w:t>what</w:t>
      </w:r>
      <w:r>
        <w:rPr>
          <w:spacing w:val="-2"/>
          <w:sz w:val="27"/>
        </w:rPr>
        <w:t> </w:t>
      </w:r>
      <w:r>
        <w:rPr>
          <w:sz w:val="27"/>
        </w:rPr>
        <w:t>they</w:t>
      </w:r>
      <w:r>
        <w:rPr>
          <w:spacing w:val="-2"/>
          <w:sz w:val="27"/>
        </w:rPr>
        <w:t> </w:t>
      </w:r>
      <w:r>
        <w:rPr>
          <w:sz w:val="27"/>
        </w:rPr>
        <w:t>actually</w:t>
      </w:r>
      <w:r>
        <w:rPr>
          <w:spacing w:val="-2"/>
          <w:sz w:val="27"/>
        </w:rPr>
        <w:t> </w:t>
      </w:r>
      <w:r>
        <w:rPr>
          <w:sz w:val="27"/>
        </w:rPr>
        <w:t>have,</w:t>
      </w:r>
      <w:r>
        <w:rPr>
          <w:spacing w:val="-1"/>
          <w:sz w:val="27"/>
        </w:rPr>
        <w:t> </w:t>
      </w:r>
      <w:r>
        <w:rPr>
          <w:sz w:val="27"/>
        </w:rPr>
        <w:t>but</w:t>
      </w:r>
      <w:r>
        <w:rPr>
          <w:spacing w:val="-2"/>
          <w:sz w:val="27"/>
        </w:rPr>
        <w:t> </w:t>
      </w:r>
      <w:r>
        <w:rPr>
          <w:sz w:val="27"/>
        </w:rPr>
        <w:t>what politicians think they have.</w:t>
      </w:r>
      <w:r>
        <w:rPr>
          <w:position w:val="7"/>
          <w:sz w:val="15"/>
        </w:rPr>
        <w:t>23</w:t>
      </w:r>
      <w:r>
        <w:rPr>
          <w:spacing w:val="40"/>
          <w:position w:val="7"/>
          <w:sz w:val="15"/>
        </w:rPr>
        <w:t> </w:t>
      </w:r>
      <w:r>
        <w:rPr/>
        <w:t>The success of power-usage of business organizations depends on the matters they are addressing. The level of politicization</w:t>
      </w:r>
      <w:r>
        <w:rPr>
          <w:spacing w:val="-2"/>
        </w:rPr>
        <w:t> </w:t>
      </w:r>
      <w:r>
        <w:rPr/>
        <w:t>of</w:t>
      </w:r>
      <w:r>
        <w:rPr>
          <w:spacing w:val="-4"/>
        </w:rPr>
        <w:t> </w:t>
      </w:r>
      <w:r>
        <w:rPr/>
        <w:t>their</w:t>
      </w:r>
      <w:r>
        <w:rPr>
          <w:spacing w:val="-2"/>
        </w:rPr>
        <w:t> </w:t>
      </w:r>
      <w:r>
        <w:rPr/>
        <w:t>involvement</w:t>
      </w:r>
      <w:r>
        <w:rPr>
          <w:spacing w:val="-3"/>
        </w:rPr>
        <w:t> </w:t>
      </w:r>
      <w:r>
        <w:rPr/>
        <w:t>increases with</w:t>
      </w:r>
      <w:r>
        <w:rPr>
          <w:spacing w:val="-3"/>
        </w:rPr>
        <w:t> </w:t>
      </w:r>
      <w:r>
        <w:rPr/>
        <w:t>shifting</w:t>
      </w:r>
      <w:r>
        <w:rPr>
          <w:spacing w:val="-3"/>
        </w:rPr>
        <w:t> </w:t>
      </w:r>
      <w:r>
        <w:rPr/>
        <w:t>from</w:t>
      </w:r>
      <w:r>
        <w:rPr>
          <w:spacing w:val="-5"/>
        </w:rPr>
        <w:t> </w:t>
      </w:r>
      <w:r>
        <w:rPr/>
        <w:t>low</w:t>
      </w:r>
      <w:r>
        <w:rPr>
          <w:spacing w:val="-2"/>
        </w:rPr>
        <w:t> </w:t>
      </w:r>
      <w:r>
        <w:rPr/>
        <w:t>salience issues to high salience ones. If in the case of first the managers can almost entirely negotiate the problems in conversations with political actors, in second case “business organizations must work through the democratic process, which means </w:t>
      </w:r>
      <w:r>
        <w:rPr>
          <w:sz w:val="27"/>
        </w:rPr>
        <w:t>acquiring allies and persuading voters.</w:t>
      </w:r>
      <w:r>
        <w:rPr/>
        <w:t>” (</w:t>
      </w:r>
      <w:hyperlink w:history="true" w:anchor="_bookmark351">
        <w:r>
          <w:rPr/>
          <w:t>Rhodes,</w:t>
        </w:r>
      </w:hyperlink>
      <w:r>
        <w:rPr/>
        <w:t> </w:t>
      </w:r>
      <w:hyperlink w:history="true" w:anchor="_bookmark351">
        <w:r>
          <w:rPr/>
          <w:t>2011, p. 509</w:t>
        </w:r>
      </w:hyperlink>
      <w:r>
        <w:rPr/>
        <w:t>) When this later process is frequent, to keep their legitimate presence in politics, the firms have to develop politically oriented clusters.</w:t>
      </w:r>
    </w:p>
    <w:p>
      <w:pPr>
        <w:pStyle w:val="BodyText"/>
        <w:spacing w:line="276" w:lineRule="auto"/>
        <w:ind w:right="1905" w:firstLine="720"/>
      </w:pPr>
      <w:r>
        <w:rPr/>
        <w:t>The transactionalist logic suggests that constant transactions among businesses and the politics have to cultivate certain sort of integrative dependencies. This dependency influences not only the nature of the organizations, but their structures as well. </w:t>
      </w:r>
      <w:r>
        <w:rPr>
          <w:sz w:val="27"/>
        </w:rPr>
        <w:t>Robert Dahl </w:t>
      </w:r>
      <w:r>
        <w:rPr/>
        <w:t>argues that, “A business firm, like a trade union, religious organization, or state, has a political order.” (</w:t>
      </w:r>
      <w:hyperlink w:history="true" w:anchor="_bookmark149">
        <w:r>
          <w:rPr/>
          <w:t>Dahl, 1959</w:t>
        </w:r>
      </w:hyperlink>
      <w:r>
        <w:rPr/>
        <w:t>) As we have already indicated, the primary purpose</w:t>
      </w:r>
      <w:r>
        <w:rPr>
          <w:spacing w:val="-1"/>
        </w:rPr>
        <w:t> </w:t>
      </w:r>
      <w:r>
        <w:rPr/>
        <w:t>of</w:t>
      </w:r>
      <w:r>
        <w:rPr>
          <w:spacing w:val="-2"/>
        </w:rPr>
        <w:t> </w:t>
      </w:r>
      <w:r>
        <w:rPr/>
        <w:t>the</w:t>
      </w:r>
      <w:r>
        <w:rPr>
          <w:spacing w:val="-1"/>
        </w:rPr>
        <w:t> </w:t>
      </w:r>
      <w:r>
        <w:rPr/>
        <w:t>business</w:t>
      </w:r>
      <w:r>
        <w:rPr>
          <w:spacing w:val="-3"/>
        </w:rPr>
        <w:t> </w:t>
      </w:r>
      <w:r>
        <w:rPr/>
        <w:t>organization is</w:t>
      </w:r>
      <w:r>
        <w:rPr>
          <w:spacing w:val="-3"/>
        </w:rPr>
        <w:t> </w:t>
      </w:r>
      <w:r>
        <w:rPr/>
        <w:t>to</w:t>
      </w:r>
      <w:r>
        <w:rPr>
          <w:spacing w:val="-4"/>
        </w:rPr>
        <w:t> </w:t>
      </w:r>
      <w:r>
        <w:rPr/>
        <w:t>generate</w:t>
      </w:r>
      <w:r>
        <w:rPr>
          <w:spacing w:val="-1"/>
        </w:rPr>
        <w:t> </w:t>
      </w:r>
      <w:r>
        <w:rPr/>
        <w:t>a</w:t>
      </w:r>
      <w:r>
        <w:rPr>
          <w:spacing w:val="-1"/>
        </w:rPr>
        <w:t> </w:t>
      </w:r>
      <w:r>
        <w:rPr/>
        <w:t>profit, however, “to</w:t>
      </w:r>
      <w:r>
        <w:rPr>
          <w:spacing w:val="-4"/>
        </w:rPr>
        <w:t> </w:t>
      </w:r>
      <w:r>
        <w:rPr/>
        <w:t>say that</w:t>
      </w:r>
      <w:r>
        <w:rPr>
          <w:spacing w:val="-3"/>
        </w:rPr>
        <w:t> </w:t>
      </w:r>
      <w:r>
        <w:rPr/>
        <w:t>profits</w:t>
      </w:r>
      <w:r>
        <w:rPr>
          <w:spacing w:val="-5"/>
        </w:rPr>
        <w:t> </w:t>
      </w:r>
      <w:r>
        <w:rPr/>
        <w:t>drive</w:t>
      </w:r>
      <w:r>
        <w:rPr>
          <w:spacing w:val="-3"/>
        </w:rPr>
        <w:t> </w:t>
      </w:r>
      <w:r>
        <w:rPr/>
        <w:t>all</w:t>
      </w:r>
      <w:r>
        <w:rPr>
          <w:spacing w:val="-6"/>
        </w:rPr>
        <w:t> </w:t>
      </w:r>
      <w:r>
        <w:rPr/>
        <w:t>corporate</w:t>
      </w:r>
      <w:r>
        <w:rPr>
          <w:spacing w:val="-3"/>
        </w:rPr>
        <w:t> </w:t>
      </w:r>
      <w:r>
        <w:rPr/>
        <w:t>action</w:t>
      </w:r>
      <w:r>
        <w:rPr>
          <w:spacing w:val="-2"/>
        </w:rPr>
        <w:t> </w:t>
      </w:r>
      <w:r>
        <w:rPr/>
        <w:t>is like</w:t>
      </w:r>
      <w:r>
        <w:rPr>
          <w:spacing w:val="-3"/>
        </w:rPr>
        <w:t> </w:t>
      </w:r>
      <w:r>
        <w:rPr/>
        <w:t>saying</w:t>
      </w:r>
      <w:r>
        <w:rPr>
          <w:spacing w:val="-3"/>
        </w:rPr>
        <w:t> </w:t>
      </w:r>
      <w:r>
        <w:rPr/>
        <w:t>that</w:t>
      </w:r>
      <w:r>
        <w:rPr>
          <w:spacing w:val="-3"/>
        </w:rPr>
        <w:t> </w:t>
      </w:r>
      <w:r>
        <w:rPr/>
        <w:t>sustenance</w:t>
      </w:r>
      <w:r>
        <w:rPr>
          <w:spacing w:val="-3"/>
        </w:rPr>
        <w:t> </w:t>
      </w:r>
      <w:r>
        <w:rPr/>
        <w:t>underlies all human behavior.” (</w:t>
      </w:r>
      <w:hyperlink w:history="true" w:anchor="_bookmark280">
        <w:r>
          <w:rPr/>
          <w:t>Martin, 2000, p. 96</w:t>
        </w:r>
      </w:hyperlink>
      <w:r>
        <w:rPr/>
        <w:t>) The political adjustments of the business firms do not happen merely due to the needs to be better oriented in political environment. We have to keep in mind that the management of the organization often has political preferences on their own and those preferences sometimes determine a general nature if the firm. For instance, </w:t>
      </w:r>
      <w:r>
        <w:rPr>
          <w:sz w:val="27"/>
        </w:rPr>
        <w:t>Hutton,</w:t>
      </w:r>
      <w:r>
        <w:rPr>
          <w:spacing w:val="-6"/>
          <w:sz w:val="27"/>
        </w:rPr>
        <w:t> </w:t>
      </w:r>
      <w:r>
        <w:rPr>
          <w:sz w:val="27"/>
        </w:rPr>
        <w:t>Jiang</w:t>
      </w:r>
      <w:r>
        <w:rPr>
          <w:spacing w:val="-5"/>
          <w:sz w:val="27"/>
        </w:rPr>
        <w:t> </w:t>
      </w:r>
      <w:r>
        <w:rPr/>
        <w:t>and</w:t>
      </w:r>
      <w:r>
        <w:rPr>
          <w:spacing w:val="-3"/>
        </w:rPr>
        <w:t> </w:t>
      </w:r>
      <w:r>
        <w:rPr>
          <w:sz w:val="27"/>
        </w:rPr>
        <w:t>Kumar</w:t>
      </w:r>
      <w:r>
        <w:rPr>
          <w:spacing w:val="-6"/>
          <w:sz w:val="27"/>
        </w:rPr>
        <w:t> </w:t>
      </w:r>
      <w:r>
        <w:rPr/>
        <w:t>argue</w:t>
      </w:r>
      <w:r>
        <w:rPr>
          <w:spacing w:val="-5"/>
        </w:rPr>
        <w:t> </w:t>
      </w:r>
      <w:r>
        <w:rPr/>
        <w:t>that</w:t>
      </w:r>
      <w:r>
        <w:rPr>
          <w:spacing w:val="-5"/>
        </w:rPr>
        <w:t> </w:t>
      </w:r>
      <w:r>
        <w:rPr/>
        <w:t>those</w:t>
      </w:r>
      <w:r>
        <w:rPr>
          <w:spacing w:val="-1"/>
        </w:rPr>
        <w:t> </w:t>
      </w:r>
      <w:r>
        <w:rPr/>
        <w:t>managers</w:t>
      </w:r>
      <w:r>
        <w:rPr>
          <w:spacing w:val="-7"/>
        </w:rPr>
        <w:t> </w:t>
      </w:r>
      <w:r>
        <w:rPr/>
        <w:t>who</w:t>
      </w:r>
      <w:r>
        <w:rPr>
          <w:spacing w:val="-8"/>
        </w:rPr>
        <w:t> </w:t>
      </w:r>
      <w:r>
        <w:rPr/>
        <w:t>have</w:t>
      </w:r>
      <w:r>
        <w:rPr>
          <w:spacing w:val="-5"/>
        </w:rPr>
        <w:t> </w:t>
      </w:r>
      <w:r>
        <w:rPr/>
        <w:t>conservative political views, lead the firm accordingly. They are less innovative and concentrate on maintaining organizational stability. (</w:t>
      </w:r>
      <w:hyperlink w:history="true" w:anchor="_bookmark230">
        <w:r>
          <w:rPr/>
          <w:t>2011</w:t>
        </w:r>
      </w:hyperlink>
      <w:r>
        <w:rPr/>
        <w:t>) Nevertheless, there were cases in</w:t>
      </w:r>
      <w:r>
        <w:rPr>
          <w:spacing w:val="-2"/>
        </w:rPr>
        <w:t> </w:t>
      </w:r>
      <w:r>
        <w:rPr/>
        <w:t>which the managers have not followed their companies’ official political directions. For instance, several CEOs have financed the politicians who deny climate change, even though the organizations they lead participate in movements to prevent the ecologic catastrophes, including</w:t>
      </w:r>
      <w:r>
        <w:rPr>
          <w:spacing w:val="18"/>
        </w:rPr>
        <w:t> </w:t>
      </w:r>
      <w:r>
        <w:rPr/>
        <w:t>global</w:t>
      </w:r>
      <w:r>
        <w:rPr>
          <w:spacing w:val="16"/>
        </w:rPr>
        <w:t> </w:t>
      </w:r>
      <w:r>
        <w:rPr/>
        <w:t>warming.</w:t>
      </w:r>
      <w:r>
        <w:rPr>
          <w:spacing w:val="19"/>
        </w:rPr>
        <w:t> </w:t>
      </w:r>
      <w:r>
        <w:rPr/>
        <w:t>(</w:t>
      </w:r>
      <w:hyperlink w:history="true" w:anchor="_bookmark322">
        <w:r>
          <w:rPr/>
          <w:t>Olson,</w:t>
        </w:r>
        <w:r>
          <w:rPr>
            <w:spacing w:val="20"/>
          </w:rPr>
          <w:t> </w:t>
        </w:r>
        <w:r>
          <w:rPr/>
          <w:t>Kessler,</w:t>
        </w:r>
        <w:r>
          <w:rPr>
            <w:spacing w:val="19"/>
          </w:rPr>
          <w:t> </w:t>
        </w:r>
        <w:r>
          <w:rPr/>
          <w:t>Bruno,</w:t>
        </w:r>
        <w:r>
          <w:rPr>
            <w:spacing w:val="20"/>
          </w:rPr>
          <w:t> </w:t>
        </w:r>
        <w:r>
          <w:rPr/>
          <w:t>&amp;</w:t>
        </w:r>
        <w:r>
          <w:rPr>
            <w:spacing w:val="14"/>
          </w:rPr>
          <w:t> </w:t>
        </w:r>
        <w:r>
          <w:rPr/>
          <w:t>Magidson,</w:t>
        </w:r>
        <w:r>
          <w:rPr>
            <w:spacing w:val="20"/>
          </w:rPr>
          <w:t> </w:t>
        </w:r>
        <w:r>
          <w:rPr/>
          <w:t>2014</w:t>
        </w:r>
      </w:hyperlink>
      <w:r>
        <w:rPr/>
        <w:t>)</w:t>
      </w:r>
      <w:r>
        <w:rPr>
          <w:spacing w:val="18"/>
        </w:rPr>
        <w:t> </w:t>
      </w:r>
      <w:r>
        <w:rPr>
          <w:spacing w:val="-5"/>
        </w:rPr>
        <w:t>The</w:t>
      </w:r>
    </w:p>
    <w:p>
      <w:pPr>
        <w:pStyle w:val="BodyText"/>
        <w:spacing w:before="10"/>
        <w:ind w:left="0"/>
        <w:jc w:val="left"/>
        <w:rPr>
          <w:sz w:val="9"/>
        </w:rPr>
      </w:pPr>
      <w:r>
        <w:rPr>
          <w:sz w:val="9"/>
        </w:rPr>
        <mc:AlternateContent>
          <mc:Choice Requires="wps">
            <w:drawing>
              <wp:anchor distT="0" distB="0" distL="0" distR="0" allowOverlap="1" layoutInCell="1" locked="0" behindDoc="1" simplePos="0" relativeHeight="487645184">
                <wp:simplePos x="0" y="0"/>
                <wp:positionH relativeFrom="page">
                  <wp:posOffset>1079296</wp:posOffset>
                </wp:positionH>
                <wp:positionV relativeFrom="paragraph">
                  <wp:posOffset>97158</wp:posOffset>
                </wp:positionV>
                <wp:extent cx="1830070" cy="9525"/>
                <wp:effectExtent l="0" t="0" r="0" b="0"/>
                <wp:wrapTopAndBottom/>
                <wp:docPr id="140" name="Graphic 140"/>
                <wp:cNvGraphicFramePr>
                  <a:graphicFrameLocks/>
                </wp:cNvGraphicFramePr>
                <a:graphic>
                  <a:graphicData uri="http://schemas.microsoft.com/office/word/2010/wordprocessingShape">
                    <wps:wsp>
                      <wps:cNvPr id="140" name="Graphic 140"/>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7.650266pt;width:144.07pt;height:.72003pt;mso-position-horizontal-relative:page;mso-position-vertical-relative:paragraph;z-index:-15671296;mso-wrap-distance-left:0;mso-wrap-distance-right:0" id="docshape133" filled="true" fillcolor="#000000" stroked="false">
                <v:fill type="solid"/>
                <w10:wrap type="topAndBottom"/>
              </v:rect>
            </w:pict>
          </mc:Fallback>
        </mc:AlternateContent>
      </w:r>
    </w:p>
    <w:p>
      <w:pPr>
        <w:spacing w:before="103"/>
        <w:ind w:left="979" w:right="0" w:firstLine="0"/>
        <w:jc w:val="left"/>
        <w:rPr>
          <w:rFonts w:ascii="Calibri" w:hAnsi="Calibri"/>
          <w:sz w:val="20"/>
        </w:rPr>
      </w:pPr>
      <w:r>
        <w:rPr>
          <w:rFonts w:ascii="Calibri" w:hAnsi="Calibri"/>
          <w:sz w:val="20"/>
          <w:vertAlign w:val="superscript"/>
        </w:rPr>
        <w:t>23</w:t>
      </w:r>
      <w:r>
        <w:rPr>
          <w:rFonts w:ascii="Calibri" w:hAnsi="Calibri"/>
          <w:sz w:val="20"/>
          <w:vertAlign w:val="baseline"/>
        </w:rPr>
        <w:t> Original</w:t>
      </w:r>
      <w:r>
        <w:rPr>
          <w:rFonts w:ascii="Calibri" w:hAnsi="Calibri"/>
          <w:spacing w:val="-3"/>
          <w:sz w:val="20"/>
          <w:vertAlign w:val="baseline"/>
        </w:rPr>
        <w:t> </w:t>
      </w:r>
      <w:r>
        <w:rPr>
          <w:rFonts w:ascii="Calibri" w:hAnsi="Calibri"/>
          <w:sz w:val="20"/>
          <w:vertAlign w:val="baseline"/>
        </w:rPr>
        <w:t>-</w:t>
      </w:r>
      <w:r>
        <w:rPr>
          <w:rFonts w:ascii="Calibri" w:hAnsi="Calibri"/>
          <w:spacing w:val="-5"/>
          <w:sz w:val="20"/>
          <w:vertAlign w:val="baseline"/>
        </w:rPr>
        <w:t> </w:t>
      </w:r>
      <w:r>
        <w:rPr>
          <w:rFonts w:ascii="Calibri" w:hAnsi="Calibri"/>
          <w:sz w:val="20"/>
          <w:vertAlign w:val="baseline"/>
        </w:rPr>
        <w:t>“Power</w:t>
      </w:r>
      <w:r>
        <w:rPr>
          <w:rFonts w:ascii="Calibri" w:hAnsi="Calibri"/>
          <w:spacing w:val="-3"/>
          <w:sz w:val="20"/>
          <w:vertAlign w:val="baseline"/>
        </w:rPr>
        <w:t> </w:t>
      </w:r>
      <w:r>
        <w:rPr>
          <w:rFonts w:ascii="Calibri" w:hAnsi="Calibri"/>
          <w:sz w:val="20"/>
          <w:vertAlign w:val="baseline"/>
        </w:rPr>
        <w:t>is</w:t>
      </w:r>
      <w:r>
        <w:rPr>
          <w:rFonts w:ascii="Calibri" w:hAnsi="Calibri"/>
          <w:spacing w:val="-3"/>
          <w:sz w:val="20"/>
          <w:vertAlign w:val="baseline"/>
        </w:rPr>
        <w:t> </w:t>
      </w:r>
      <w:r>
        <w:rPr>
          <w:rFonts w:ascii="Calibri" w:hAnsi="Calibri"/>
          <w:sz w:val="20"/>
          <w:vertAlign w:val="baseline"/>
        </w:rPr>
        <w:t>not</w:t>
      </w:r>
      <w:r>
        <w:rPr>
          <w:rFonts w:ascii="Calibri" w:hAnsi="Calibri"/>
          <w:spacing w:val="-6"/>
          <w:sz w:val="20"/>
          <w:vertAlign w:val="baseline"/>
        </w:rPr>
        <w:t> </w:t>
      </w:r>
      <w:r>
        <w:rPr>
          <w:rFonts w:ascii="Calibri" w:hAnsi="Calibri"/>
          <w:sz w:val="20"/>
          <w:vertAlign w:val="baseline"/>
        </w:rPr>
        <w:t>only</w:t>
      </w:r>
      <w:r>
        <w:rPr>
          <w:rFonts w:ascii="Calibri" w:hAnsi="Calibri"/>
          <w:spacing w:val="-1"/>
          <w:sz w:val="20"/>
          <w:vertAlign w:val="baseline"/>
        </w:rPr>
        <w:t> </w:t>
      </w:r>
      <w:r>
        <w:rPr>
          <w:rFonts w:ascii="Calibri" w:hAnsi="Calibri"/>
          <w:sz w:val="20"/>
          <w:vertAlign w:val="baseline"/>
        </w:rPr>
        <w:t>what</w:t>
      </w:r>
      <w:r>
        <w:rPr>
          <w:rFonts w:ascii="Calibri" w:hAnsi="Calibri"/>
          <w:spacing w:val="-1"/>
          <w:sz w:val="20"/>
          <w:vertAlign w:val="baseline"/>
        </w:rPr>
        <w:t> </w:t>
      </w:r>
      <w:r>
        <w:rPr>
          <w:rFonts w:ascii="Calibri" w:hAnsi="Calibri"/>
          <w:sz w:val="20"/>
          <w:vertAlign w:val="baseline"/>
        </w:rPr>
        <w:t>you</w:t>
      </w:r>
      <w:r>
        <w:rPr>
          <w:rFonts w:ascii="Calibri" w:hAnsi="Calibri"/>
          <w:spacing w:val="-6"/>
          <w:sz w:val="20"/>
          <w:vertAlign w:val="baseline"/>
        </w:rPr>
        <w:t> </w:t>
      </w:r>
      <w:r>
        <w:rPr>
          <w:rFonts w:ascii="Calibri" w:hAnsi="Calibri"/>
          <w:sz w:val="20"/>
          <w:vertAlign w:val="baseline"/>
        </w:rPr>
        <w:t>have,</w:t>
      </w:r>
      <w:r>
        <w:rPr>
          <w:rFonts w:ascii="Calibri" w:hAnsi="Calibri"/>
          <w:spacing w:val="-3"/>
          <w:sz w:val="20"/>
          <w:vertAlign w:val="baseline"/>
        </w:rPr>
        <w:t> </w:t>
      </w:r>
      <w:r>
        <w:rPr>
          <w:rFonts w:ascii="Calibri" w:hAnsi="Calibri"/>
          <w:sz w:val="20"/>
          <w:vertAlign w:val="baseline"/>
        </w:rPr>
        <w:t>but</w:t>
      </w:r>
      <w:r>
        <w:rPr>
          <w:rFonts w:ascii="Calibri" w:hAnsi="Calibri"/>
          <w:spacing w:val="-7"/>
          <w:sz w:val="20"/>
          <w:vertAlign w:val="baseline"/>
        </w:rPr>
        <w:t> </w:t>
      </w:r>
      <w:r>
        <w:rPr>
          <w:rFonts w:ascii="Calibri" w:hAnsi="Calibri"/>
          <w:sz w:val="20"/>
          <w:vertAlign w:val="baseline"/>
        </w:rPr>
        <w:t>what</w:t>
      </w:r>
      <w:r>
        <w:rPr>
          <w:rFonts w:ascii="Calibri" w:hAnsi="Calibri"/>
          <w:spacing w:val="-6"/>
          <w:sz w:val="20"/>
          <w:vertAlign w:val="baseline"/>
        </w:rPr>
        <w:t> </w:t>
      </w:r>
      <w:r>
        <w:rPr>
          <w:rFonts w:ascii="Calibri" w:hAnsi="Calibri"/>
          <w:sz w:val="20"/>
          <w:vertAlign w:val="baseline"/>
        </w:rPr>
        <w:t>the</w:t>
      </w:r>
      <w:r>
        <w:rPr>
          <w:rFonts w:ascii="Calibri" w:hAnsi="Calibri"/>
          <w:spacing w:val="-5"/>
          <w:sz w:val="20"/>
          <w:vertAlign w:val="baseline"/>
        </w:rPr>
        <w:t> </w:t>
      </w:r>
      <w:r>
        <w:rPr>
          <w:rFonts w:ascii="Calibri" w:hAnsi="Calibri"/>
          <w:sz w:val="20"/>
          <w:vertAlign w:val="baseline"/>
        </w:rPr>
        <w:t>enemy</w:t>
      </w:r>
      <w:r>
        <w:rPr>
          <w:rFonts w:ascii="Calibri" w:hAnsi="Calibri"/>
          <w:spacing w:val="-6"/>
          <w:sz w:val="20"/>
          <w:vertAlign w:val="baseline"/>
        </w:rPr>
        <w:t> </w:t>
      </w:r>
      <w:r>
        <w:rPr>
          <w:rFonts w:ascii="Calibri" w:hAnsi="Calibri"/>
          <w:sz w:val="20"/>
          <w:vertAlign w:val="baseline"/>
        </w:rPr>
        <w:t>thinks</w:t>
      </w:r>
      <w:r>
        <w:rPr>
          <w:rFonts w:ascii="Calibri" w:hAnsi="Calibri"/>
          <w:spacing w:val="-3"/>
          <w:sz w:val="20"/>
          <w:vertAlign w:val="baseline"/>
        </w:rPr>
        <w:t> </w:t>
      </w:r>
      <w:r>
        <w:rPr>
          <w:rFonts w:ascii="Calibri" w:hAnsi="Calibri"/>
          <w:sz w:val="20"/>
          <w:vertAlign w:val="baseline"/>
        </w:rPr>
        <w:t>you</w:t>
      </w:r>
      <w:r>
        <w:rPr>
          <w:rFonts w:ascii="Calibri" w:hAnsi="Calibri"/>
          <w:spacing w:val="-6"/>
          <w:sz w:val="20"/>
          <w:vertAlign w:val="baseline"/>
        </w:rPr>
        <w:t> </w:t>
      </w:r>
      <w:r>
        <w:rPr>
          <w:rFonts w:ascii="Calibri" w:hAnsi="Calibri"/>
          <w:spacing w:val="-2"/>
          <w:sz w:val="20"/>
          <w:vertAlign w:val="baseline"/>
        </w:rPr>
        <w:t>have.”</w:t>
      </w:r>
    </w:p>
    <w:p>
      <w:pPr>
        <w:spacing w:after="0"/>
        <w:jc w:val="left"/>
        <w:rPr>
          <w:rFonts w:ascii="Calibri" w:hAnsi="Calibri"/>
          <w:sz w:val="20"/>
        </w:rPr>
        <w:sectPr>
          <w:pgSz w:w="12240" w:h="15840"/>
          <w:pgMar w:header="1046" w:footer="0" w:top="1360" w:bottom="280" w:left="720" w:right="360"/>
        </w:sectPr>
      </w:pPr>
    </w:p>
    <w:p>
      <w:pPr>
        <w:pStyle w:val="BodyText"/>
        <w:spacing w:line="276" w:lineRule="auto" w:before="276"/>
        <w:ind w:right="1909"/>
      </w:pPr>
      <w:r>
        <w:rPr/>
        <w:t>other studies have shown that, the business actors often contribute to the electoral campaigns, according to their personal ideologies and largely neglect firm-based calculations. (</w:t>
      </w:r>
      <w:hyperlink w:history="true" w:anchor="_bookmark105">
        <w:r>
          <w:rPr/>
          <w:t>Bonica, 2014</w:t>
        </w:r>
      </w:hyperlink>
      <w:r>
        <w:rPr/>
        <w:t>; </w:t>
      </w:r>
      <w:hyperlink w:history="true" w:anchor="_bookmark286">
        <w:r>
          <w:rPr/>
          <w:t>McCarty, Poole, &amp;</w:t>
        </w:r>
      </w:hyperlink>
      <w:r>
        <w:rPr/>
        <w:t> </w:t>
      </w:r>
      <w:hyperlink w:history="true" w:anchor="_bookmark286">
        <w:r>
          <w:rPr/>
          <w:t>Rosenthal, 2006</w:t>
        </w:r>
      </w:hyperlink>
      <w:r>
        <w:rPr/>
        <w:t>)</w:t>
      </w:r>
    </w:p>
    <w:p>
      <w:pPr>
        <w:pStyle w:val="BodyText"/>
        <w:spacing w:line="276" w:lineRule="auto"/>
        <w:ind w:right="1901" w:firstLine="720"/>
      </w:pPr>
      <w:r>
        <w:rPr/>
        <w:t>Business organizations have to behave politically when the government intervenes in the economy. As we have indicated above political system gets involved with the economic system, when the latter is troubled, or causes the problems for other closely coupled systems. In the first case, the companies willingly accept the help proposed by the Government. The firms acknowledge that they will have to go through the crisis, with some form of external political involvement in their organizational affairs. In the second situation, the political system tries to serve as a regulator between the economic system and the others; for instance, the politicians often pressure the employers to provide the health insurance for the employees, by imposing on them external regulations.</w:t>
      </w:r>
    </w:p>
    <w:p>
      <w:pPr>
        <w:pStyle w:val="BodyText"/>
        <w:spacing w:line="276" w:lineRule="auto"/>
        <w:ind w:right="1901" w:firstLine="720"/>
      </w:pPr>
      <w:r>
        <w:rPr/>
        <w:t>Due</w:t>
      </w:r>
      <w:r>
        <w:rPr>
          <w:spacing w:val="-2"/>
        </w:rPr>
        <w:t> </w:t>
      </w:r>
      <w:r>
        <w:rPr/>
        <w:t>to</w:t>
      </w:r>
      <w:r>
        <w:rPr>
          <w:spacing w:val="-4"/>
        </w:rPr>
        <w:t> </w:t>
      </w:r>
      <w:r>
        <w:rPr/>
        <w:t>the</w:t>
      </w:r>
      <w:r>
        <w:rPr>
          <w:spacing w:val="-2"/>
        </w:rPr>
        <w:t> </w:t>
      </w:r>
      <w:r>
        <w:rPr/>
        <w:t>globalization,</w:t>
      </w:r>
      <w:r>
        <w:rPr>
          <w:spacing w:val="-1"/>
        </w:rPr>
        <w:t> </w:t>
      </w:r>
      <w:r>
        <w:rPr/>
        <w:t>“nation-states</w:t>
      </w:r>
      <w:r>
        <w:rPr>
          <w:spacing w:val="-4"/>
        </w:rPr>
        <w:t> </w:t>
      </w:r>
      <w:r>
        <w:rPr/>
        <w:t>are </w:t>
      </w:r>
      <w:r>
        <w:rPr>
          <w:sz w:val="27"/>
        </w:rPr>
        <w:t>opening</w:t>
      </w:r>
      <w:r>
        <w:rPr>
          <w:spacing w:val="-5"/>
          <w:sz w:val="27"/>
        </w:rPr>
        <w:t> </w:t>
      </w:r>
      <w:r>
        <w:rPr>
          <w:sz w:val="27"/>
        </w:rPr>
        <w:t>themselves</w:t>
      </w:r>
      <w:r>
        <w:rPr>
          <w:spacing w:val="-4"/>
          <w:sz w:val="27"/>
        </w:rPr>
        <w:t> </w:t>
      </w:r>
      <w:r>
        <w:rPr/>
        <w:t>to</w:t>
      </w:r>
      <w:r>
        <w:rPr>
          <w:spacing w:val="-4"/>
        </w:rPr>
        <w:t> </w:t>
      </w:r>
      <w:r>
        <w:rPr/>
        <w:t>an economically driven world society.” (</w:t>
      </w:r>
      <w:hyperlink w:history="true" w:anchor="_bookmark204">
        <w:r>
          <w:rPr/>
          <w:t>Habermas, 2001a, p. 61</w:t>
        </w:r>
      </w:hyperlink>
      <w:r>
        <w:rPr/>
        <w:t>) In the </w:t>
      </w:r>
      <w:r>
        <w:rPr>
          <w:sz w:val="27"/>
        </w:rPr>
        <w:t>Postnational</w:t>
      </w:r>
      <w:r>
        <w:rPr>
          <w:spacing w:val="-17"/>
          <w:sz w:val="27"/>
        </w:rPr>
        <w:t> </w:t>
      </w:r>
      <w:r>
        <w:rPr>
          <w:sz w:val="27"/>
        </w:rPr>
        <w:t>Constellation,</w:t>
      </w:r>
      <w:r>
        <w:rPr>
          <w:spacing w:val="-17"/>
          <w:sz w:val="27"/>
        </w:rPr>
        <w:t> </w:t>
      </w:r>
      <w:r>
        <w:rPr/>
        <w:t>non-state</w:t>
      </w:r>
      <w:r>
        <w:rPr>
          <w:spacing w:val="-16"/>
        </w:rPr>
        <w:t> </w:t>
      </w:r>
      <w:r>
        <w:rPr/>
        <w:t>actors</w:t>
      </w:r>
      <w:r>
        <w:rPr>
          <w:spacing w:val="-17"/>
        </w:rPr>
        <w:t> </w:t>
      </w:r>
      <w:r>
        <w:rPr/>
        <w:t>become</w:t>
      </w:r>
      <w:r>
        <w:rPr>
          <w:spacing w:val="-16"/>
        </w:rPr>
        <w:t> </w:t>
      </w:r>
      <w:r>
        <w:rPr/>
        <w:t>increasingly</w:t>
      </w:r>
      <w:r>
        <w:rPr>
          <w:spacing w:val="-16"/>
        </w:rPr>
        <w:t> </w:t>
      </w:r>
      <w:r>
        <w:rPr/>
        <w:t>important. Even in the well-developed countries, the private organizations have</w:t>
      </w:r>
      <w:r>
        <w:rPr>
          <w:spacing w:val="80"/>
        </w:rPr>
        <w:t> </w:t>
      </w:r>
      <w:r>
        <w:rPr/>
        <w:t>started to take responsibilities on the spheres, which used to be in the area of governmental control. (</w:t>
      </w:r>
      <w:hyperlink w:history="true" w:anchor="_bookmark312">
        <w:r>
          <w:rPr/>
          <w:t>Nabers, 2012</w:t>
        </w:r>
      </w:hyperlink>
      <w:r>
        <w:rPr/>
        <w:t>) This shift is more evident in the places where the public institutions have “no enforcement mechanisms or do not have the willingness to take care of the issues.” (</w:t>
      </w:r>
      <w:hyperlink w:history="true" w:anchor="_bookmark373">
        <w:r>
          <w:rPr/>
          <w:t>Scherer, Palazzo, &amp;</w:t>
        </w:r>
      </w:hyperlink>
      <w:r>
        <w:rPr/>
        <w:t> </w:t>
      </w:r>
      <w:hyperlink w:history="true" w:anchor="_bookmark373">
        <w:r>
          <w:rPr/>
          <w:t>Matten, 2013, p. 148</w:t>
        </w:r>
      </w:hyperlink>
      <w:r>
        <w:rPr/>
        <w:t>) The corporations try to create favorable environment for their activities, and therefore, contribute in generating public goods.</w:t>
      </w:r>
      <w:r>
        <w:rPr>
          <w:spacing w:val="40"/>
        </w:rPr>
        <w:t> </w:t>
      </w:r>
      <w:r>
        <w:rPr/>
        <w:t>The firms have moved from the state of confronting the civil society actors, who were trying to “inject values” in corporate activities. Instead, of escaping the responsibility many business actors have already accustomed their role in creating common societal goods. (</w:t>
      </w:r>
      <w:hyperlink w:history="true" w:anchor="_bookmark87">
        <w:r>
          <w:rPr/>
          <w:t>Baur &amp; Arenas, 2012, p. 158</w:t>
        </w:r>
      </w:hyperlink>
      <w:r>
        <w:rPr/>
        <w:t>) As a result, the entrepreneurs have started to affect politics directly, “rather than through the mediation of state.” Of course, not every company qualifies to be a good case of the public actor, but ‘corrupted deeds’ are also</w:t>
      </w:r>
    </w:p>
    <w:p>
      <w:pPr>
        <w:pStyle w:val="BodyText"/>
        <w:spacing w:after="0" w:line="276" w:lineRule="auto"/>
        <w:sectPr>
          <w:pgSz w:w="12240" w:h="15840"/>
          <w:pgMar w:header="1046" w:footer="0" w:top="1360" w:bottom="280" w:left="720" w:right="360"/>
        </w:sectPr>
      </w:pPr>
    </w:p>
    <w:p>
      <w:pPr>
        <w:pStyle w:val="BodyText"/>
        <w:spacing w:line="276" w:lineRule="auto" w:before="276"/>
        <w:ind w:right="1914"/>
      </w:pPr>
      <w:r>
        <w:rPr/>
        <w:t>part of political life. (</w:t>
      </w:r>
      <w:hyperlink w:history="true" w:anchor="_bookmark251">
        <w:r>
          <w:rPr/>
          <w:t>Krugman, 2012</w:t>
        </w:r>
      </w:hyperlink>
      <w:r>
        <w:rPr/>
        <w:t>) The new forms of governance imply that “the social costs of modernization,” require private actors to “learn to redistribute burdens, rather than simply sharing risks,” with the government. (</w:t>
      </w:r>
      <w:hyperlink w:history="true" w:anchor="_bookmark218">
        <w:r>
          <w:rPr/>
          <w:t>Hill, 2002</w:t>
        </w:r>
      </w:hyperlink>
      <w:r>
        <w:rPr/>
        <w:t>)</w:t>
      </w:r>
    </w:p>
    <w:p>
      <w:pPr>
        <w:pStyle w:val="BodyText"/>
        <w:spacing w:line="273" w:lineRule="auto"/>
        <w:ind w:right="1898" w:firstLine="720"/>
      </w:pPr>
      <w:r>
        <w:rPr>
          <w:sz w:val="27"/>
        </w:rPr>
        <w:t>James G. March </w:t>
      </w:r>
      <w:r>
        <w:rPr/>
        <w:t>argues that a business firm “is a political coalition” headed by the executive “a political broker.” According to him, the composition of the business organization is a matter of negotiations and systemic goals are identified via bargains. (</w:t>
      </w:r>
      <w:hyperlink w:history="true" w:anchor="_bookmark275">
        <w:r>
          <w:rPr/>
          <w:t>March, 1962, p. 672</w:t>
        </w:r>
      </w:hyperlink>
      <w:r>
        <w:rPr/>
        <w:t>) A</w:t>
      </w:r>
      <w:r>
        <w:rPr>
          <w:spacing w:val="80"/>
        </w:rPr>
        <w:t> </w:t>
      </w:r>
      <w:r>
        <w:rPr/>
        <w:t>possibility to consider corporations as political</w:t>
      </w:r>
      <w:r>
        <w:rPr>
          <w:spacing w:val="-1"/>
        </w:rPr>
        <w:t> </w:t>
      </w:r>
      <w:r>
        <w:rPr/>
        <w:t>entities was noted by </w:t>
      </w:r>
      <w:r>
        <w:rPr>
          <w:sz w:val="27"/>
        </w:rPr>
        <w:t>Robert Dahl</w:t>
      </w:r>
      <w:r>
        <w:rPr/>
        <w:t>. According to him “business enterprise is worth studying as a governmental institution,” (</w:t>
      </w:r>
      <w:hyperlink w:history="true" w:anchor="_bookmark149">
        <w:r>
          <w:rPr/>
          <w:t>1959, p. 4</w:t>
        </w:r>
      </w:hyperlink>
      <w:r>
        <w:rPr/>
        <w:t>)</w:t>
      </w:r>
      <w:r>
        <w:rPr>
          <w:spacing w:val="40"/>
        </w:rPr>
        <w:t> </w:t>
      </w:r>
      <w:r>
        <w:rPr/>
        <w:t>because in numerous cases firms behave politically.</w:t>
      </w:r>
    </w:p>
    <w:p>
      <w:pPr>
        <w:pStyle w:val="BodyText"/>
        <w:spacing w:line="273" w:lineRule="auto"/>
        <w:ind w:right="1905" w:firstLine="720"/>
      </w:pPr>
      <w:r>
        <w:rPr/>
        <w:t>The importance to understand private firms as political entities largely derives from the view that, business organizations are political </w:t>
      </w:r>
      <w:r>
        <w:rPr>
          <w:sz w:val="27"/>
        </w:rPr>
        <w:t>per se</w:t>
      </w:r>
      <w:r>
        <w:rPr/>
        <w:t>.</w:t>
      </w:r>
      <w:r>
        <w:rPr>
          <w:spacing w:val="40"/>
        </w:rPr>
        <w:t> </w:t>
      </w:r>
      <w:r>
        <w:rPr/>
        <w:t>This view implies the notion of communitarian rather than contractual buildup</w:t>
      </w:r>
      <w:r>
        <w:rPr>
          <w:spacing w:val="-1"/>
        </w:rPr>
        <w:t> </w:t>
      </w:r>
      <w:r>
        <w:rPr/>
        <w:t>of</w:t>
      </w:r>
      <w:r>
        <w:rPr>
          <w:spacing w:val="-1"/>
        </w:rPr>
        <w:t> </w:t>
      </w:r>
      <w:r>
        <w:rPr/>
        <w:t>firms. </w:t>
      </w:r>
      <w:r>
        <w:rPr>
          <w:sz w:val="27"/>
        </w:rPr>
        <w:t>Herbert</w:t>
      </w:r>
      <w:r>
        <w:rPr>
          <w:spacing w:val="-2"/>
          <w:sz w:val="27"/>
        </w:rPr>
        <w:t> </w:t>
      </w:r>
      <w:r>
        <w:rPr>
          <w:sz w:val="27"/>
        </w:rPr>
        <w:t>Simon</w:t>
      </w:r>
      <w:r>
        <w:rPr>
          <w:spacing w:val="-1"/>
          <w:sz w:val="27"/>
        </w:rPr>
        <w:t> </w:t>
      </w:r>
      <w:r>
        <w:rPr/>
        <w:t>posed an essential</w:t>
      </w:r>
      <w:r>
        <w:rPr>
          <w:spacing w:val="-2"/>
        </w:rPr>
        <w:t> </w:t>
      </w:r>
      <w:r>
        <w:rPr/>
        <w:t>question “why there are firms at all. Why are not all the actors independent contractors?” (</w:t>
      </w:r>
      <w:hyperlink w:history="true" w:anchor="_bookmark393">
        <w:r>
          <w:rPr/>
          <w:t>1991, p.</w:t>
        </w:r>
      </w:hyperlink>
      <w:r>
        <w:rPr/>
        <w:t> </w:t>
      </w:r>
      <w:hyperlink w:history="true" w:anchor="_bookmark393">
        <w:r>
          <w:rPr/>
          <w:t>26</w:t>
        </w:r>
      </w:hyperlink>
      <w:r>
        <w:rPr/>
        <w:t>) The answer is not a simple one. </w:t>
      </w:r>
      <w:r>
        <w:rPr>
          <w:sz w:val="27"/>
        </w:rPr>
        <w:t>Simon </w:t>
      </w:r>
      <w:r>
        <w:rPr/>
        <w:t>himself has observed that organizations have mechanisms to increase the motivation of the</w:t>
      </w:r>
      <w:r>
        <w:rPr>
          <w:spacing w:val="40"/>
        </w:rPr>
        <w:t> </w:t>
      </w:r>
      <w:r>
        <w:rPr/>
        <w:t>individuals and even make them loyal to the company’s goals. These mechanisms are similar to the procedures that political entities utilize to gain a public support. “Pride in work” and pride in the general community are closely interconnected. As above cited work argues it might be more appropriate to use “organizational economy,” than “market economy” because real market transactions are only a small part of daily economic relations. (</w:t>
      </w:r>
      <w:hyperlink w:history="true" w:anchor="_bookmark393">
        <w:r>
          <w:rPr/>
          <w:t>Simon, 1991, p. 28</w:t>
        </w:r>
      </w:hyperlink>
      <w:r>
        <w:rPr/>
        <w:t>) </w:t>
      </w:r>
      <w:r>
        <w:rPr>
          <w:sz w:val="27"/>
        </w:rPr>
        <w:t>Andrew Crane </w:t>
      </w:r>
      <w:r>
        <w:rPr/>
        <w:t>and others argue that stakeholders of a corporation are similar to citizens. The authors indicate that the modern firms do not deal with simple consumers, employees etc. beyond</w:t>
      </w:r>
      <w:r>
        <w:rPr>
          <w:spacing w:val="-2"/>
        </w:rPr>
        <w:t> </w:t>
      </w:r>
      <w:r>
        <w:rPr/>
        <w:t>the</w:t>
      </w:r>
      <w:r>
        <w:rPr>
          <w:spacing w:val="-4"/>
        </w:rPr>
        <w:t> </w:t>
      </w:r>
      <w:r>
        <w:rPr/>
        <w:t>basic</w:t>
      </w:r>
      <w:r>
        <w:rPr>
          <w:spacing w:val="-5"/>
        </w:rPr>
        <w:t> </w:t>
      </w:r>
      <w:r>
        <w:rPr/>
        <w:t>transactional</w:t>
      </w:r>
      <w:r>
        <w:rPr>
          <w:spacing w:val="-5"/>
        </w:rPr>
        <w:t> </w:t>
      </w:r>
      <w:r>
        <w:rPr/>
        <w:t>roles,</w:t>
      </w:r>
      <w:r>
        <w:rPr>
          <w:spacing w:val="-3"/>
        </w:rPr>
        <w:t> </w:t>
      </w:r>
      <w:r>
        <w:rPr/>
        <w:t>stakeholders</w:t>
      </w:r>
      <w:r>
        <w:rPr>
          <w:spacing w:val="-5"/>
        </w:rPr>
        <w:t> </w:t>
      </w:r>
      <w:r>
        <w:rPr/>
        <w:t>possess</w:t>
      </w:r>
      <w:r>
        <w:rPr>
          <w:spacing w:val="-5"/>
        </w:rPr>
        <w:t> </w:t>
      </w:r>
      <w:r>
        <w:rPr/>
        <w:t>influence,</w:t>
      </w:r>
      <w:r>
        <w:rPr>
          <w:spacing w:val="-2"/>
        </w:rPr>
        <w:t> </w:t>
      </w:r>
      <w:r>
        <w:rPr/>
        <w:t>practice moral standards, and often pose social demands. (</w:t>
      </w:r>
      <w:hyperlink w:history="true" w:anchor="_bookmark144">
        <w:r>
          <w:rPr/>
          <w:t>Crane, Matten, &amp; Moon,</w:t>
        </w:r>
      </w:hyperlink>
      <w:r>
        <w:rPr/>
        <w:t> </w:t>
      </w:r>
      <w:hyperlink w:history="true" w:anchor="_bookmark144">
        <w:r>
          <w:rPr/>
          <w:t>2004</w:t>
        </w:r>
      </w:hyperlink>
      <w:r>
        <w:rPr/>
        <w:t>) </w:t>
      </w:r>
      <w:r>
        <w:rPr>
          <w:sz w:val="27"/>
        </w:rPr>
        <w:t>Néron </w:t>
      </w:r>
      <w:r>
        <w:rPr/>
        <w:t>refers to </w:t>
      </w:r>
      <w:r>
        <w:rPr>
          <w:sz w:val="27"/>
        </w:rPr>
        <w:t>Joshua Cohen </w:t>
      </w:r>
      <w:r>
        <w:rPr/>
        <w:t>who assumed that “workers stand in relation</w:t>
      </w:r>
      <w:r>
        <w:rPr>
          <w:spacing w:val="77"/>
        </w:rPr>
        <w:t> </w:t>
      </w:r>
      <w:r>
        <w:rPr/>
        <w:t>to</w:t>
      </w:r>
      <w:r>
        <w:rPr>
          <w:spacing w:val="78"/>
        </w:rPr>
        <w:t> </w:t>
      </w:r>
      <w:r>
        <w:rPr/>
        <w:t>economic</w:t>
      </w:r>
      <w:r>
        <w:rPr>
          <w:spacing w:val="80"/>
        </w:rPr>
        <w:t> </w:t>
      </w:r>
      <w:r>
        <w:rPr/>
        <w:t>enterprises</w:t>
      </w:r>
      <w:r>
        <w:rPr>
          <w:spacing w:val="78"/>
        </w:rPr>
        <w:t> </w:t>
      </w:r>
      <w:r>
        <w:rPr/>
        <w:t>in</w:t>
      </w:r>
      <w:r>
        <w:rPr>
          <w:spacing w:val="77"/>
        </w:rPr>
        <w:t> </w:t>
      </w:r>
      <w:r>
        <w:rPr/>
        <w:t>a</w:t>
      </w:r>
      <w:r>
        <w:rPr>
          <w:spacing w:val="76"/>
        </w:rPr>
        <w:t> </w:t>
      </w:r>
      <w:r>
        <w:rPr/>
        <w:t>similar</w:t>
      </w:r>
      <w:r>
        <w:rPr>
          <w:spacing w:val="77"/>
        </w:rPr>
        <w:t> </w:t>
      </w:r>
      <w:r>
        <w:rPr/>
        <w:t>way</w:t>
      </w:r>
      <w:r>
        <w:rPr>
          <w:spacing w:val="76"/>
        </w:rPr>
        <w:t> </w:t>
      </w:r>
      <w:r>
        <w:rPr/>
        <w:t>as</w:t>
      </w:r>
      <w:r>
        <w:rPr>
          <w:spacing w:val="74"/>
        </w:rPr>
        <w:t> </w:t>
      </w:r>
      <w:r>
        <w:rPr/>
        <w:t>citizens</w:t>
      </w:r>
      <w:r>
        <w:rPr>
          <w:spacing w:val="78"/>
        </w:rPr>
        <w:t> </w:t>
      </w:r>
      <w:r>
        <w:rPr/>
        <w:t>stand</w:t>
      </w:r>
      <w:r>
        <w:rPr>
          <w:spacing w:val="77"/>
        </w:rPr>
        <w:t> </w:t>
      </w:r>
      <w:r>
        <w:rPr/>
        <w:t>in</w:t>
      </w:r>
    </w:p>
    <w:p>
      <w:pPr>
        <w:pStyle w:val="BodyText"/>
        <w:spacing w:after="0" w:line="273" w:lineRule="auto"/>
        <w:sectPr>
          <w:pgSz w:w="12240" w:h="15840"/>
          <w:pgMar w:header="1046" w:footer="0" w:top="1360" w:bottom="280" w:left="720" w:right="360"/>
        </w:sectPr>
      </w:pPr>
    </w:p>
    <w:p>
      <w:pPr>
        <w:pStyle w:val="BodyText"/>
        <w:spacing w:line="276" w:lineRule="auto" w:before="266"/>
        <w:ind w:right="1912"/>
      </w:pPr>
      <w:r>
        <w:rPr/>
        <w:t>relation</w:t>
      </w:r>
      <w:r>
        <w:rPr>
          <w:spacing w:val="-3"/>
        </w:rPr>
        <w:t> </w:t>
      </w:r>
      <w:r>
        <w:rPr/>
        <w:t>to</w:t>
      </w:r>
      <w:r>
        <w:rPr>
          <w:spacing w:val="-2"/>
        </w:rPr>
        <w:t> </w:t>
      </w:r>
      <w:r>
        <w:rPr/>
        <w:t>the</w:t>
      </w:r>
      <w:r>
        <w:rPr>
          <w:spacing w:val="-4"/>
        </w:rPr>
        <w:t> </w:t>
      </w:r>
      <w:r>
        <w:rPr/>
        <w:t>state.”</w:t>
      </w:r>
      <w:r>
        <w:rPr>
          <w:spacing w:val="-3"/>
        </w:rPr>
        <w:t> </w:t>
      </w:r>
      <w:r>
        <w:rPr/>
        <w:t>(</w:t>
      </w:r>
      <w:hyperlink w:history="true" w:anchor="_bookmark314">
        <w:r>
          <w:rPr/>
          <w:t>Néron,</w:t>
        </w:r>
        <w:r>
          <w:rPr>
            <w:spacing w:val="-3"/>
          </w:rPr>
          <w:t> </w:t>
        </w:r>
        <w:r>
          <w:rPr/>
          <w:t>2010,</w:t>
        </w:r>
        <w:r>
          <w:rPr>
            <w:spacing w:val="-3"/>
          </w:rPr>
          <w:t> </w:t>
        </w:r>
        <w:r>
          <w:rPr/>
          <w:t>p.</w:t>
        </w:r>
        <w:r>
          <w:rPr>
            <w:spacing w:val="-3"/>
          </w:rPr>
          <w:t> </w:t>
        </w:r>
        <w:r>
          <w:rPr/>
          <w:t>337</w:t>
        </w:r>
      </w:hyperlink>
      <w:r>
        <w:rPr/>
        <w:t>)</w:t>
      </w:r>
      <w:r>
        <w:rPr>
          <w:spacing w:val="40"/>
        </w:rPr>
        <w:t> </w:t>
      </w:r>
      <w:r>
        <w:rPr>
          <w:sz w:val="27"/>
        </w:rPr>
        <w:t>McMahon</w:t>
      </w:r>
      <w:r>
        <w:rPr>
          <w:spacing w:val="-3"/>
          <w:sz w:val="27"/>
        </w:rPr>
        <w:t> </w:t>
      </w:r>
      <w:r>
        <w:rPr/>
        <w:t>has</w:t>
      </w:r>
      <w:r>
        <w:rPr>
          <w:spacing w:val="-5"/>
        </w:rPr>
        <w:t> </w:t>
      </w:r>
      <w:r>
        <w:rPr/>
        <w:t>noted</w:t>
      </w:r>
      <w:r>
        <w:rPr>
          <w:spacing w:val="-2"/>
        </w:rPr>
        <w:t> </w:t>
      </w:r>
      <w:r>
        <w:rPr/>
        <w:t>that in</w:t>
      </w:r>
      <w:r>
        <w:rPr>
          <w:spacing w:val="-3"/>
        </w:rPr>
        <w:t> </w:t>
      </w:r>
      <w:r>
        <w:rPr/>
        <w:t>the organizations beyond the legal relations, there are other communications, which can by their nature understood as being political. Firstly, management always has a moral context. This context includes goals and constraints. Moral constraints point out “unfair treatment of individuals, that are to be avoided” during pursuing both moral and immoral goals. However, in a manner of politicization: “when agents have moral goals (or can be regarded as promoting moral goals), some relaxation of these constraints may be justified.” (</w:t>
      </w:r>
      <w:hyperlink w:history="true" w:anchor="_bookmark288">
        <w:r>
          <w:rPr/>
          <w:t>McMahon, 1995, p. 299</w:t>
        </w:r>
      </w:hyperlink>
      <w:r>
        <w:rPr/>
        <w:t>) Secondly, once</w:t>
      </w:r>
      <w:r>
        <w:rPr>
          <w:spacing w:val="40"/>
        </w:rPr>
        <w:t> </w:t>
      </w:r>
      <w:r>
        <w:rPr/>
        <w:t>there is a notion of managerial authority, there always arises a question, how this authority should be exercised. It is important to understand why “people who disagree about how their common affairs should be</w:t>
      </w:r>
      <w:r>
        <w:rPr>
          <w:spacing w:val="40"/>
        </w:rPr>
        <w:t> </w:t>
      </w:r>
      <w:r>
        <w:rPr/>
        <w:t>conducted” to act in concert. (</w:t>
      </w:r>
      <w:hyperlink w:history="true" w:anchor="_bookmark288">
        <w:r>
          <w:rPr/>
          <w:t>1995, p. 301</w:t>
        </w:r>
      </w:hyperlink>
      <w:r>
        <w:rPr/>
        <w:t>) These are matters of credibility, accountability, legitimacy and therefore, from the domain of politics.</w:t>
      </w:r>
    </w:p>
    <w:p>
      <w:pPr>
        <w:pStyle w:val="BodyText"/>
        <w:spacing w:line="276" w:lineRule="auto"/>
        <w:ind w:right="1906" w:firstLine="720"/>
      </w:pPr>
      <w:r>
        <w:rPr/>
        <w:t>We have underlined some key features, which suggest that business organizations</w:t>
      </w:r>
      <w:r>
        <w:rPr>
          <w:spacing w:val="-5"/>
        </w:rPr>
        <w:t> </w:t>
      </w:r>
      <w:r>
        <w:rPr/>
        <w:t>could</w:t>
      </w:r>
      <w:r>
        <w:rPr>
          <w:spacing w:val="-2"/>
        </w:rPr>
        <w:t> </w:t>
      </w:r>
      <w:r>
        <w:rPr/>
        <w:t>be</w:t>
      </w:r>
      <w:r>
        <w:rPr>
          <w:spacing w:val="-4"/>
        </w:rPr>
        <w:t> </w:t>
      </w:r>
      <w:r>
        <w:rPr/>
        <w:t>the</w:t>
      </w:r>
      <w:r>
        <w:rPr>
          <w:spacing w:val="-4"/>
        </w:rPr>
        <w:t> </w:t>
      </w:r>
      <w:r>
        <w:rPr/>
        <w:t>subjects</w:t>
      </w:r>
      <w:r>
        <w:rPr>
          <w:spacing w:val="-1"/>
        </w:rPr>
        <w:t> </w:t>
      </w:r>
      <w:r>
        <w:rPr/>
        <w:t>of</w:t>
      </w:r>
      <w:r>
        <w:rPr>
          <w:spacing w:val="-4"/>
        </w:rPr>
        <w:t> </w:t>
      </w:r>
      <w:r>
        <w:rPr/>
        <w:t>political</w:t>
      </w:r>
      <w:r>
        <w:rPr>
          <w:spacing w:val="-5"/>
        </w:rPr>
        <w:t> </w:t>
      </w:r>
      <w:r>
        <w:rPr/>
        <w:t>studies.</w:t>
      </w:r>
      <w:r>
        <w:rPr>
          <w:spacing w:val="-3"/>
        </w:rPr>
        <w:t> </w:t>
      </w:r>
      <w:r>
        <w:rPr/>
        <w:t>However,</w:t>
      </w:r>
      <w:r>
        <w:rPr>
          <w:spacing w:val="-3"/>
        </w:rPr>
        <w:t> </w:t>
      </w:r>
      <w:r>
        <w:rPr/>
        <w:t>we</w:t>
      </w:r>
      <w:r>
        <w:rPr>
          <w:spacing w:val="-4"/>
        </w:rPr>
        <w:t> </w:t>
      </w:r>
      <w:r>
        <w:rPr/>
        <w:t>need</w:t>
      </w:r>
      <w:r>
        <w:rPr>
          <w:spacing w:val="-2"/>
        </w:rPr>
        <w:t> </w:t>
      </w:r>
      <w:r>
        <w:rPr/>
        <w:t>to keep in mind that the relations between the firms are by a large extent matter of the economic system. Does it mean that even if organizations share</w:t>
      </w:r>
      <w:r>
        <w:rPr>
          <w:spacing w:val="-2"/>
        </w:rPr>
        <w:t> </w:t>
      </w:r>
      <w:r>
        <w:rPr/>
        <w:t>some</w:t>
      </w:r>
      <w:r>
        <w:rPr>
          <w:spacing w:val="-2"/>
        </w:rPr>
        <w:t> </w:t>
      </w:r>
      <w:r>
        <w:rPr/>
        <w:t>political features</w:t>
      </w:r>
      <w:r>
        <w:rPr>
          <w:spacing w:val="-3"/>
        </w:rPr>
        <w:t> </w:t>
      </w:r>
      <w:r>
        <w:rPr/>
        <w:t>they</w:t>
      </w:r>
      <w:r>
        <w:rPr>
          <w:spacing w:val="-2"/>
        </w:rPr>
        <w:t> </w:t>
      </w:r>
      <w:r>
        <w:rPr/>
        <w:t>can</w:t>
      </w:r>
      <w:r>
        <w:rPr>
          <w:spacing w:val="-1"/>
        </w:rPr>
        <w:t> </w:t>
      </w:r>
      <w:r>
        <w:rPr/>
        <w:t>exist</w:t>
      </w:r>
      <w:r>
        <w:rPr>
          <w:spacing w:val="-2"/>
        </w:rPr>
        <w:t> </w:t>
      </w:r>
      <w:r>
        <w:rPr/>
        <w:t>independently</w:t>
      </w:r>
      <w:r>
        <w:rPr>
          <w:spacing w:val="-2"/>
        </w:rPr>
        <w:t> </w:t>
      </w:r>
      <w:r>
        <w:rPr/>
        <w:t>from the</w:t>
      </w:r>
      <w:r>
        <w:rPr>
          <w:spacing w:val="-2"/>
        </w:rPr>
        <w:t> </w:t>
      </w:r>
      <w:r>
        <w:rPr/>
        <w:t>politics? </w:t>
      </w:r>
      <w:r>
        <w:rPr>
          <w:sz w:val="27"/>
        </w:rPr>
        <w:t>Milton Friedman </w:t>
      </w:r>
      <w:r>
        <w:rPr/>
        <w:t>argues that connecting business activities with politics, including giving social responsibilities to firms “is nothing more than an ideological and subversive way to politicize economic institutions.” (</w:t>
      </w:r>
      <w:hyperlink w:history="true" w:anchor="_bookmark314">
        <w:r>
          <w:rPr/>
          <w:t>in</w:t>
        </w:r>
      </w:hyperlink>
      <w:r>
        <w:rPr/>
        <w:t> </w:t>
      </w:r>
      <w:hyperlink w:history="true" w:anchor="_bookmark314">
        <w:r>
          <w:rPr/>
          <w:t>Néron, 2010, p. 335</w:t>
        </w:r>
      </w:hyperlink>
      <w:r>
        <w:rPr/>
        <w:t>) It means that firms free from the ideologies can</w:t>
      </w:r>
      <w:r>
        <w:rPr>
          <w:spacing w:val="80"/>
        </w:rPr>
        <w:t> </w:t>
      </w:r>
      <w:r>
        <w:rPr/>
        <w:t>survive without political orientation.</w:t>
      </w:r>
    </w:p>
    <w:p>
      <w:pPr>
        <w:spacing w:line="330" w:lineRule="exact" w:before="0"/>
        <w:ind w:left="1700" w:right="0" w:firstLine="0"/>
        <w:jc w:val="both"/>
        <w:rPr>
          <w:sz w:val="26"/>
        </w:rPr>
      </w:pPr>
      <w:r>
        <w:rPr>
          <w:sz w:val="26"/>
        </w:rPr>
        <w:t>The</w:t>
      </w:r>
      <w:r>
        <w:rPr>
          <w:spacing w:val="39"/>
          <w:sz w:val="26"/>
        </w:rPr>
        <w:t> </w:t>
      </w:r>
      <w:r>
        <w:rPr>
          <w:sz w:val="27"/>
        </w:rPr>
        <w:t>communitarian</w:t>
      </w:r>
      <w:r>
        <w:rPr>
          <w:spacing w:val="36"/>
          <w:sz w:val="27"/>
        </w:rPr>
        <w:t> </w:t>
      </w:r>
      <w:r>
        <w:rPr>
          <w:sz w:val="27"/>
        </w:rPr>
        <w:t>view</w:t>
      </w:r>
      <w:r>
        <w:rPr>
          <w:spacing w:val="43"/>
          <w:sz w:val="27"/>
        </w:rPr>
        <w:t> </w:t>
      </w:r>
      <w:r>
        <w:rPr>
          <w:sz w:val="26"/>
        </w:rPr>
        <w:t>is</w:t>
      </w:r>
      <w:r>
        <w:rPr>
          <w:spacing w:val="36"/>
          <w:sz w:val="26"/>
        </w:rPr>
        <w:t> </w:t>
      </w:r>
      <w:r>
        <w:rPr>
          <w:sz w:val="26"/>
        </w:rPr>
        <w:t>rather</w:t>
      </w:r>
      <w:r>
        <w:rPr>
          <w:spacing w:val="38"/>
          <w:sz w:val="26"/>
        </w:rPr>
        <w:t> </w:t>
      </w:r>
      <w:r>
        <w:rPr>
          <w:sz w:val="26"/>
        </w:rPr>
        <w:t>different:</w:t>
      </w:r>
      <w:r>
        <w:rPr>
          <w:spacing w:val="40"/>
          <w:sz w:val="26"/>
        </w:rPr>
        <w:t> </w:t>
      </w:r>
      <w:r>
        <w:rPr>
          <w:sz w:val="26"/>
        </w:rPr>
        <w:t>“communitarians</w:t>
      </w:r>
      <w:r>
        <w:rPr>
          <w:spacing w:val="40"/>
          <w:sz w:val="26"/>
        </w:rPr>
        <w:t> </w:t>
      </w:r>
      <w:r>
        <w:rPr>
          <w:spacing w:val="-5"/>
          <w:sz w:val="26"/>
        </w:rPr>
        <w:t>see</w:t>
      </w:r>
    </w:p>
    <w:p>
      <w:pPr>
        <w:pStyle w:val="BodyText"/>
        <w:spacing w:line="271" w:lineRule="auto" w:before="47"/>
        <w:ind w:right="1903"/>
      </w:pPr>
      <w:r>
        <w:rPr/>
        <w:t>corporations as more than just agglomerations of private contract; they are powerful institutions whose conduct has substantial public implications.” (</w:t>
      </w:r>
      <w:hyperlink w:history="true" w:anchor="_bookmark294">
        <w:r>
          <w:rPr/>
          <w:t>Millon, 1993</w:t>
        </w:r>
      </w:hyperlink>
      <w:r>
        <w:rPr/>
        <w:t>) The public implications are central for politics. </w:t>
      </w:r>
      <w:r>
        <w:rPr>
          <w:sz w:val="27"/>
        </w:rPr>
        <w:t>Pierre-Yves Neron </w:t>
      </w:r>
      <w:r>
        <w:rPr/>
        <w:t>shares this idea, arguing that firms are social institutions, which cannot be limited to the markets. They are intrinsically political “and serve larger purposes than profit-seeking.” (</w:t>
      </w:r>
      <w:hyperlink w:history="true" w:anchor="_bookmark314">
        <w:r>
          <w:rPr/>
          <w:t>2010, p. 336</w:t>
        </w:r>
      </w:hyperlink>
      <w:r>
        <w:rPr/>
        <w:t>)</w:t>
      </w:r>
    </w:p>
    <w:p>
      <w:pPr>
        <w:pStyle w:val="BodyText"/>
        <w:spacing w:after="0" w:line="271" w:lineRule="auto"/>
        <w:sectPr>
          <w:pgSz w:w="12240" w:h="15840"/>
          <w:pgMar w:header="1046" w:footer="0" w:top="1360" w:bottom="280" w:left="720" w:right="360"/>
        </w:sectPr>
      </w:pPr>
    </w:p>
    <w:p>
      <w:pPr>
        <w:pStyle w:val="BodyText"/>
        <w:spacing w:line="276" w:lineRule="auto" w:before="276"/>
        <w:ind w:right="1912" w:firstLine="720"/>
      </w:pPr>
      <w:r>
        <w:rPr/>
        <w:t>We have observed so far that boundaries between business organizations and political system are blurred. We have indicated that constant communication between the political entities and the firms; help to develop special politically oriented features in the later. In the</w:t>
      </w:r>
      <w:r>
        <w:rPr>
          <w:spacing w:val="40"/>
        </w:rPr>
        <w:t> </w:t>
      </w:r>
      <w:r>
        <w:rPr/>
        <w:t>concluding part of the section, we will try to propose, key distinctive features of the business organizations and public bureaucracy.</w:t>
      </w:r>
    </w:p>
    <w:p>
      <w:pPr>
        <w:pStyle w:val="BodyText"/>
        <w:spacing w:line="276" w:lineRule="auto"/>
        <w:ind w:right="1902" w:firstLine="720"/>
      </w:pPr>
      <w:r>
        <w:rPr>
          <w:sz w:val="27"/>
        </w:rPr>
        <w:t>First </w:t>
      </w:r>
      <w:r>
        <w:rPr/>
        <w:t>difference is who serves whom. In modern democracies “the people are not understood as the agents of the state; rather the government is understood as the agent or trustee of the people.” (</w:t>
      </w:r>
      <w:hyperlink w:history="true" w:anchor="_bookmark288">
        <w:r>
          <w:rPr/>
          <w:t>McMahon, 1995, p.</w:t>
        </w:r>
      </w:hyperlink>
      <w:r>
        <w:rPr/>
        <w:t> </w:t>
      </w:r>
      <w:hyperlink w:history="true" w:anchor="_bookmark288">
        <w:r>
          <w:rPr/>
          <w:t>296</w:t>
        </w:r>
      </w:hyperlink>
      <w:r>
        <w:rPr/>
        <w:t>) To the contrary, in the business organizations employees acknowledge that they work for the employer. One could argue that totalitarian regimes treat the people similarly to the highly hierarchic firms. However, under the heavy ideology of the state, even those regimes provide basic services</w:t>
      </w:r>
      <w:r>
        <w:rPr>
          <w:spacing w:val="40"/>
        </w:rPr>
        <w:t> </w:t>
      </w:r>
      <w:r>
        <w:rPr/>
        <w:t>for the citizens.</w:t>
      </w:r>
    </w:p>
    <w:p>
      <w:pPr>
        <w:pStyle w:val="BodyText"/>
        <w:spacing w:line="340" w:lineRule="exact"/>
        <w:ind w:left="1700"/>
      </w:pPr>
      <w:r>
        <w:rPr>
          <w:sz w:val="27"/>
        </w:rPr>
        <w:t>Second</w:t>
      </w:r>
      <w:r>
        <w:rPr/>
        <w:t>,</w:t>
      </w:r>
      <w:r>
        <w:rPr>
          <w:spacing w:val="-1"/>
        </w:rPr>
        <w:t> </w:t>
      </w:r>
      <w:r>
        <w:rPr/>
        <w:t>let</w:t>
      </w:r>
      <w:r>
        <w:rPr>
          <w:spacing w:val="-3"/>
        </w:rPr>
        <w:t> </w:t>
      </w:r>
      <w:r>
        <w:rPr/>
        <w:t>us</w:t>
      </w:r>
      <w:r>
        <w:rPr>
          <w:spacing w:val="-5"/>
        </w:rPr>
        <w:t> </w:t>
      </w:r>
      <w:r>
        <w:rPr/>
        <w:t>assume</w:t>
      </w:r>
      <w:r>
        <w:rPr>
          <w:spacing w:val="-2"/>
        </w:rPr>
        <w:t> </w:t>
      </w:r>
      <w:r>
        <w:rPr/>
        <w:t>that</w:t>
      </w:r>
      <w:r>
        <w:rPr>
          <w:spacing w:val="-3"/>
        </w:rPr>
        <w:t> </w:t>
      </w:r>
      <w:r>
        <w:rPr/>
        <w:t>business</w:t>
      </w:r>
      <w:r>
        <w:rPr>
          <w:spacing w:val="-4"/>
        </w:rPr>
        <w:t> </w:t>
      </w:r>
      <w:r>
        <w:rPr/>
        <w:t>organizations</w:t>
      </w:r>
      <w:r>
        <w:rPr>
          <w:spacing w:val="-5"/>
        </w:rPr>
        <w:t> </w:t>
      </w:r>
      <w:r>
        <w:rPr/>
        <w:t>can</w:t>
      </w:r>
      <w:r>
        <w:rPr>
          <w:spacing w:val="-2"/>
        </w:rPr>
        <w:t> </w:t>
      </w:r>
      <w:r>
        <w:rPr/>
        <w:t>and</w:t>
      </w:r>
      <w:r>
        <w:rPr>
          <w:spacing w:val="-1"/>
        </w:rPr>
        <w:t> </w:t>
      </w:r>
      <w:r>
        <w:rPr/>
        <w:t>do</w:t>
      </w:r>
      <w:r>
        <w:rPr>
          <w:spacing w:val="-6"/>
        </w:rPr>
        <w:t> </w:t>
      </w:r>
      <w:r>
        <w:rPr>
          <w:spacing w:val="-2"/>
        </w:rPr>
        <w:t>produce</w:t>
      </w:r>
    </w:p>
    <w:p>
      <w:pPr>
        <w:pStyle w:val="BodyText"/>
        <w:spacing w:line="276" w:lineRule="auto" w:before="39"/>
        <w:ind w:right="1915"/>
      </w:pPr>
      <w:r>
        <w:rPr/>
        <w:t>binding decisions. As the prospective employees sign the contract, they accept their responsibilities and rights, proposed by the organization. The employees get into the structure of the firm, which is divided into functional departments. The departments have their own goals and simultaneously serve to the general purpose of the system. If we consider above proposed definitions of the politics, without the deeper analysis, we might</w:t>
      </w:r>
      <w:r>
        <w:rPr>
          <w:spacing w:val="-2"/>
        </w:rPr>
        <w:t> </w:t>
      </w:r>
      <w:r>
        <w:rPr/>
        <w:t>not</w:t>
      </w:r>
      <w:r>
        <w:rPr>
          <w:spacing w:val="-2"/>
        </w:rPr>
        <w:t> </w:t>
      </w:r>
      <w:r>
        <w:rPr/>
        <w:t>be</w:t>
      </w:r>
      <w:r>
        <w:rPr>
          <w:spacing w:val="-2"/>
        </w:rPr>
        <w:t> </w:t>
      </w:r>
      <w:r>
        <w:rPr/>
        <w:t>able</w:t>
      </w:r>
      <w:r>
        <w:rPr>
          <w:spacing w:val="-2"/>
        </w:rPr>
        <w:t> </w:t>
      </w:r>
      <w:r>
        <w:rPr/>
        <w:t>to</w:t>
      </w:r>
      <w:r>
        <w:rPr>
          <w:spacing w:val="-4"/>
        </w:rPr>
        <w:t> </w:t>
      </w:r>
      <w:r>
        <w:rPr/>
        <w:t>distinguish</w:t>
      </w:r>
      <w:r>
        <w:rPr>
          <w:spacing w:val="-2"/>
        </w:rPr>
        <w:t> </w:t>
      </w:r>
      <w:r>
        <w:rPr/>
        <w:t>political</w:t>
      </w:r>
      <w:r>
        <w:rPr>
          <w:spacing w:val="-4"/>
        </w:rPr>
        <w:t> </w:t>
      </w:r>
      <w:r>
        <w:rPr/>
        <w:t>apparatus</w:t>
      </w:r>
      <w:r>
        <w:rPr>
          <w:spacing w:val="-4"/>
        </w:rPr>
        <w:t> </w:t>
      </w:r>
      <w:r>
        <w:rPr/>
        <w:t>from</w:t>
      </w:r>
      <w:r>
        <w:rPr>
          <w:spacing w:val="-4"/>
        </w:rPr>
        <w:t> </w:t>
      </w:r>
      <w:r>
        <w:rPr/>
        <w:t>the</w:t>
      </w:r>
      <w:r>
        <w:rPr>
          <w:spacing w:val="-2"/>
        </w:rPr>
        <w:t> </w:t>
      </w:r>
      <w:r>
        <w:rPr/>
        <w:t>structure</w:t>
      </w:r>
      <w:r>
        <w:rPr>
          <w:spacing w:val="-2"/>
        </w:rPr>
        <w:t> </w:t>
      </w:r>
      <w:r>
        <w:rPr/>
        <w:t>of</w:t>
      </w:r>
      <w:r>
        <w:rPr>
          <w:spacing w:val="-3"/>
        </w:rPr>
        <w:t> </w:t>
      </w:r>
      <w:r>
        <w:rPr/>
        <w:t>the </w:t>
      </w:r>
      <w:r>
        <w:rPr>
          <w:spacing w:val="-2"/>
        </w:rPr>
        <w:t>company.</w:t>
      </w:r>
    </w:p>
    <w:p>
      <w:pPr>
        <w:pStyle w:val="BodyText"/>
        <w:spacing w:line="276" w:lineRule="auto"/>
        <w:ind w:right="1911" w:firstLine="720"/>
      </w:pPr>
      <w:r>
        <w:rPr/>
        <w:t>The binding decisions in the political system and decisions in the company are not the same. In democratic political organizations decisions are </w:t>
      </w:r>
      <w:r>
        <w:rPr>
          <w:sz w:val="27"/>
        </w:rPr>
        <w:t>constitutive, operational and inclusive</w:t>
      </w:r>
      <w:r>
        <w:rPr/>
        <w:t>. These three always come together. We might observe the same sort of decisions in the business organization as</w:t>
      </w:r>
      <w:r>
        <w:rPr>
          <w:spacing w:val="-1"/>
        </w:rPr>
        <w:t> </w:t>
      </w:r>
      <w:r>
        <w:rPr/>
        <w:t>well, but they usually operate in separation. For example, to decide some X issue, the organization does not have to include every agent, but</w:t>
      </w:r>
      <w:r>
        <w:rPr>
          <w:spacing w:val="-1"/>
        </w:rPr>
        <w:t> </w:t>
      </w:r>
      <w:r>
        <w:rPr/>
        <w:t>only</w:t>
      </w:r>
      <w:r>
        <w:rPr>
          <w:spacing w:val="-1"/>
        </w:rPr>
        <w:t> </w:t>
      </w:r>
      <w:r>
        <w:rPr/>
        <w:t>those</w:t>
      </w:r>
      <w:r>
        <w:rPr>
          <w:spacing w:val="-1"/>
        </w:rPr>
        <w:t> </w:t>
      </w:r>
      <w:r>
        <w:rPr/>
        <w:t>who</w:t>
      </w:r>
      <w:r>
        <w:rPr>
          <w:spacing w:val="-4"/>
        </w:rPr>
        <w:t> </w:t>
      </w:r>
      <w:r>
        <w:rPr/>
        <w:t>directly</w:t>
      </w:r>
      <w:r>
        <w:rPr>
          <w:spacing w:val="-1"/>
        </w:rPr>
        <w:t> </w:t>
      </w:r>
      <w:r>
        <w:rPr/>
        <w:t>influence</w:t>
      </w:r>
      <w:r>
        <w:rPr>
          <w:spacing w:val="-1"/>
        </w:rPr>
        <w:t> </w:t>
      </w:r>
      <w:r>
        <w:rPr/>
        <w:t>the</w:t>
      </w:r>
      <w:r>
        <w:rPr>
          <w:spacing w:val="-1"/>
        </w:rPr>
        <w:t> </w:t>
      </w:r>
      <w:r>
        <w:rPr/>
        <w:t>matter. This</w:t>
      </w:r>
      <w:r>
        <w:rPr>
          <w:spacing w:val="-3"/>
        </w:rPr>
        <w:t> </w:t>
      </w:r>
      <w:r>
        <w:rPr/>
        <w:t>later type</w:t>
      </w:r>
      <w:r>
        <w:rPr>
          <w:spacing w:val="-1"/>
        </w:rPr>
        <w:t> </w:t>
      </w:r>
      <w:r>
        <w:rPr/>
        <w:t>of</w:t>
      </w:r>
      <w:r>
        <w:rPr>
          <w:spacing w:val="-2"/>
        </w:rPr>
        <w:t> </w:t>
      </w:r>
      <w:r>
        <w:rPr/>
        <w:t>decision making is quite frequent in small governmental agencies as well, but not at the level of the political system itself.</w:t>
      </w:r>
    </w:p>
    <w:p>
      <w:pPr>
        <w:pStyle w:val="BodyText"/>
        <w:spacing w:after="0" w:line="276" w:lineRule="auto"/>
        <w:sectPr>
          <w:pgSz w:w="12240" w:h="15840"/>
          <w:pgMar w:header="1046" w:footer="0" w:top="1360" w:bottom="280" w:left="720" w:right="360"/>
        </w:sectPr>
      </w:pPr>
    </w:p>
    <w:p>
      <w:pPr>
        <w:pStyle w:val="BodyText"/>
        <w:spacing w:line="273" w:lineRule="auto" w:before="266"/>
        <w:ind w:right="1905" w:firstLine="720"/>
      </w:pPr>
      <w:r>
        <w:rPr/>
        <w:t>The </w:t>
      </w:r>
      <w:r>
        <w:rPr>
          <w:sz w:val="27"/>
        </w:rPr>
        <w:t>Third </w:t>
      </w:r>
      <w:r>
        <w:rPr/>
        <w:t>difference is connected with the inclusiveness. We mean both, the ways organization includes the population in the operational process and the ways population attaches self to the organization. During the structural reorganization the firms can downsize the </w:t>
      </w:r>
      <w:r>
        <w:rPr>
          <w:sz w:val="27"/>
        </w:rPr>
        <w:t>staff</w:t>
      </w:r>
      <w:r>
        <w:rPr/>
        <w:t>, but political system cannot fire citizens during the crisis. People can leave the workplaces</w:t>
      </w:r>
      <w:r>
        <w:rPr>
          <w:spacing w:val="-3"/>
        </w:rPr>
        <w:t> </w:t>
      </w:r>
      <w:r>
        <w:rPr/>
        <w:t>for personal</w:t>
      </w:r>
      <w:r>
        <w:rPr>
          <w:spacing w:val="-4"/>
        </w:rPr>
        <w:t> </w:t>
      </w:r>
      <w:r>
        <w:rPr/>
        <w:t>reasons, but</w:t>
      </w:r>
      <w:r>
        <w:rPr>
          <w:spacing w:val="-1"/>
        </w:rPr>
        <w:t> </w:t>
      </w:r>
      <w:r>
        <w:rPr/>
        <w:t>it</w:t>
      </w:r>
      <w:r>
        <w:rPr>
          <w:spacing w:val="-1"/>
        </w:rPr>
        <w:t> </w:t>
      </w:r>
      <w:r>
        <w:rPr/>
        <w:t>would be</w:t>
      </w:r>
      <w:r>
        <w:rPr>
          <w:spacing w:val="-1"/>
        </w:rPr>
        <w:t> </w:t>
      </w:r>
      <w:r>
        <w:rPr/>
        <w:t>almost</w:t>
      </w:r>
      <w:r>
        <w:rPr>
          <w:spacing w:val="-1"/>
        </w:rPr>
        <w:t> </w:t>
      </w:r>
      <w:r>
        <w:rPr/>
        <w:t>impossible</w:t>
      </w:r>
      <w:r>
        <w:rPr>
          <w:spacing w:val="-1"/>
        </w:rPr>
        <w:t> </w:t>
      </w:r>
      <w:r>
        <w:rPr/>
        <w:t>for them to</w:t>
      </w:r>
      <w:r>
        <w:rPr>
          <w:spacing w:val="-5"/>
        </w:rPr>
        <w:t> </w:t>
      </w:r>
      <w:r>
        <w:rPr/>
        <w:t>quit</w:t>
      </w:r>
      <w:r>
        <w:rPr>
          <w:spacing w:val="-2"/>
        </w:rPr>
        <w:t> </w:t>
      </w:r>
      <w:r>
        <w:rPr/>
        <w:t>the</w:t>
      </w:r>
      <w:r>
        <w:rPr>
          <w:spacing w:val="-2"/>
        </w:rPr>
        <w:t> </w:t>
      </w:r>
      <w:r>
        <w:rPr/>
        <w:t>entire</w:t>
      </w:r>
      <w:r>
        <w:rPr>
          <w:spacing w:val="-7"/>
        </w:rPr>
        <w:t> </w:t>
      </w:r>
      <w:r>
        <w:rPr/>
        <w:t>political</w:t>
      </w:r>
      <w:r>
        <w:rPr>
          <w:spacing w:val="-5"/>
        </w:rPr>
        <w:t> </w:t>
      </w:r>
      <w:r>
        <w:rPr/>
        <w:t>system. (</w:t>
      </w:r>
      <w:hyperlink w:history="true" w:anchor="_bookmark335">
        <w:r>
          <w:rPr/>
          <w:t>Phillips</w:t>
        </w:r>
        <w:r>
          <w:rPr>
            <w:spacing w:val="-4"/>
          </w:rPr>
          <w:t> </w:t>
        </w:r>
        <w:r>
          <w:rPr/>
          <w:t>&amp; Margolis,</w:t>
        </w:r>
        <w:r>
          <w:rPr>
            <w:spacing w:val="-1"/>
          </w:rPr>
          <w:t> </w:t>
        </w:r>
        <w:r>
          <w:rPr/>
          <w:t>1999,</w:t>
        </w:r>
        <w:r>
          <w:rPr>
            <w:spacing w:val="-1"/>
          </w:rPr>
          <w:t> </w:t>
        </w:r>
        <w:r>
          <w:rPr/>
          <w:t>p.</w:t>
        </w:r>
        <w:r>
          <w:rPr>
            <w:spacing w:val="-1"/>
          </w:rPr>
          <w:t> </w:t>
        </w:r>
        <w:r>
          <w:rPr/>
          <w:t>623</w:t>
        </w:r>
      </w:hyperlink>
      <w:r>
        <w:rPr/>
        <w:t>)</w:t>
      </w:r>
      <w:r>
        <w:rPr>
          <w:spacing w:val="-5"/>
        </w:rPr>
        <w:t> </w:t>
      </w:r>
      <w:r>
        <w:rPr/>
        <w:t>Even</w:t>
      </w:r>
      <w:r>
        <w:rPr>
          <w:spacing w:val="-1"/>
        </w:rPr>
        <w:t> </w:t>
      </w:r>
      <w:r>
        <w:rPr/>
        <w:t>if some public groups decide that, they want to “opt out the system” and live “individually or join others in peaceful communes or in criminal gangs.” (</w:t>
      </w:r>
      <w:hyperlink w:history="true" w:anchor="_bookmark120">
        <w:r>
          <w:rPr/>
          <w:t>Bunge, 1998, p. 165</w:t>
        </w:r>
      </w:hyperlink>
      <w:r>
        <w:rPr/>
        <w:t>) One</w:t>
      </w:r>
      <w:r>
        <w:rPr>
          <w:spacing w:val="-1"/>
        </w:rPr>
        <w:t> </w:t>
      </w:r>
      <w:r>
        <w:rPr/>
        <w:t>way or another they would still continue to exist for the system.</w:t>
      </w:r>
    </w:p>
    <w:p>
      <w:pPr>
        <w:pStyle w:val="BodyText"/>
        <w:spacing w:line="276" w:lineRule="auto" w:before="8"/>
        <w:ind w:right="1918" w:firstLine="720"/>
      </w:pPr>
      <w:r>
        <w:rPr>
          <w:sz w:val="27"/>
        </w:rPr>
        <w:t>Fourth, </w:t>
      </w:r>
      <w:r>
        <w:rPr/>
        <w:t>unsatisfied people can change the government. The political opposition not only criticizes the administration, but also proposes the alternatives for the development. In the private firms, even if the conflicts among the departments or individual agents are often habitual,</w:t>
      </w:r>
      <w:r>
        <w:rPr>
          <w:spacing w:val="40"/>
        </w:rPr>
        <w:t> </w:t>
      </w:r>
      <w:r>
        <w:rPr/>
        <w:t>disappointed employees cannot take over the management.</w:t>
      </w:r>
    </w:p>
    <w:p>
      <w:pPr>
        <w:pStyle w:val="BodyText"/>
        <w:spacing w:line="276" w:lineRule="auto"/>
        <w:ind w:right="1913" w:firstLine="720"/>
      </w:pPr>
      <w:r>
        <w:rPr/>
        <w:t>Fifth, the ideals of the political organization at least hypothetically connect the purpose of the system with the common good of the publics. This is not a case in profit oriented firms.</w:t>
      </w:r>
    </w:p>
    <w:p>
      <w:pPr>
        <w:pStyle w:val="BodyText"/>
        <w:ind w:left="0"/>
        <w:jc w:val="left"/>
      </w:pPr>
    </w:p>
    <w:p>
      <w:pPr>
        <w:pStyle w:val="BodyText"/>
        <w:spacing w:before="180"/>
        <w:ind w:left="0"/>
        <w:jc w:val="left"/>
      </w:pPr>
    </w:p>
    <w:p>
      <w:pPr>
        <w:pStyle w:val="Heading4"/>
        <w:numPr>
          <w:ilvl w:val="1"/>
          <w:numId w:val="10"/>
        </w:numPr>
        <w:tabs>
          <w:tab w:pos="1577" w:val="left" w:leader="none"/>
        </w:tabs>
        <w:spacing w:line="240" w:lineRule="auto" w:before="0" w:after="0"/>
        <w:ind w:left="1577" w:right="0" w:hanging="598"/>
        <w:jc w:val="left"/>
      </w:pPr>
      <w:bookmarkStart w:name="_bookmark32" w:id="33"/>
      <w:bookmarkEnd w:id="33"/>
      <w:r>
        <w:rPr>
          <w:b w:val="0"/>
        </w:rPr>
      </w:r>
      <w:r>
        <w:rPr>
          <w:spacing w:val="-5"/>
        </w:rPr>
        <w:t>Concluding</w:t>
      </w:r>
      <w:r>
        <w:rPr>
          <w:spacing w:val="-10"/>
        </w:rPr>
        <w:t> </w:t>
      </w:r>
      <w:r>
        <w:rPr>
          <w:spacing w:val="-2"/>
        </w:rPr>
        <w:t>Points</w:t>
      </w:r>
    </w:p>
    <w:p>
      <w:pPr>
        <w:pStyle w:val="BodyText"/>
        <w:spacing w:before="194"/>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45696">
                <wp:simplePos x="0" y="0"/>
                <wp:positionH relativeFrom="page">
                  <wp:posOffset>1078864</wp:posOffset>
                </wp:positionH>
                <wp:positionV relativeFrom="paragraph">
                  <wp:posOffset>283327</wp:posOffset>
                </wp:positionV>
                <wp:extent cx="5252085" cy="51435"/>
                <wp:effectExtent l="0" t="0" r="0" b="0"/>
                <wp:wrapTopAndBottom/>
                <wp:docPr id="141" name="Graphic 141"/>
                <wp:cNvGraphicFramePr>
                  <a:graphicFrameLocks/>
                </wp:cNvGraphicFramePr>
                <a:graphic>
                  <a:graphicData uri="http://schemas.microsoft.com/office/word/2010/wordprocessingShape">
                    <wps:wsp>
                      <wps:cNvPr id="141" name="Graphic 141"/>
                      <wps:cNvSpPr/>
                      <wps:spPr>
                        <a:xfrm>
                          <a:off x="0" y="0"/>
                          <a:ext cx="5252085" cy="51435"/>
                        </a:xfrm>
                        <a:custGeom>
                          <a:avLst/>
                          <a:gdLst/>
                          <a:ahLst/>
                          <a:cxnLst/>
                          <a:rect l="l" t="t" r="r" b="b"/>
                          <a:pathLst>
                            <a:path w="5252085" h="51435">
                              <a:moveTo>
                                <a:pt x="5252085" y="0"/>
                              </a:moveTo>
                              <a:lnTo>
                                <a:pt x="0" y="0"/>
                              </a:lnTo>
                              <a:lnTo>
                                <a:pt x="0" y="51435"/>
                              </a:lnTo>
                              <a:lnTo>
                                <a:pt x="5252085" y="51435"/>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309271pt;width:413.55pt;height:4.05pt;mso-position-horizontal-relative:page;mso-position-vertical-relative:paragraph;z-index:-15670784;mso-wrap-distance-left:0;mso-wrap-distance-right:0" id="docshape134"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spacing w:before="7"/>
        <w:ind w:left="0"/>
        <w:jc w:val="left"/>
        <w:rPr>
          <w:rFonts w:ascii="Georgia"/>
          <w:b/>
        </w:rPr>
      </w:pPr>
    </w:p>
    <w:p>
      <w:pPr>
        <w:pStyle w:val="BodyText"/>
        <w:spacing w:line="276" w:lineRule="auto"/>
        <w:ind w:right="1908" w:firstLine="720"/>
      </w:pPr>
      <w:r>
        <w:rPr/>
        <w:t>The aim of the third chapter was to explain the basic patterns of systemic functionality. We tried to clarify, the concepts that are essential</w:t>
      </w:r>
      <w:r>
        <w:rPr>
          <w:spacing w:val="40"/>
        </w:rPr>
        <w:t> </w:t>
      </w:r>
      <w:r>
        <w:rPr/>
        <w:t>for understanding the descriptive framework we work on. The main focus was to show how political and non-political entities relate to each other.</w:t>
      </w:r>
      <w:r>
        <w:rPr>
          <w:spacing w:val="40"/>
        </w:rPr>
        <w:t> </w:t>
      </w:r>
      <w:r>
        <w:rPr/>
        <w:t>For describing a basic political unit we took an example of the democratic state.</w:t>
      </w:r>
      <w:r>
        <w:rPr>
          <w:spacing w:val="40"/>
        </w:rPr>
        <w:t> </w:t>
      </w:r>
      <w:r>
        <w:rPr/>
        <w:t>The</w:t>
      </w:r>
      <w:r>
        <w:rPr>
          <w:spacing w:val="40"/>
        </w:rPr>
        <w:t> </w:t>
      </w:r>
      <w:r>
        <w:rPr/>
        <w:t>business</w:t>
      </w:r>
      <w:r>
        <w:rPr>
          <w:spacing w:val="40"/>
        </w:rPr>
        <w:t> </w:t>
      </w:r>
      <w:r>
        <w:rPr/>
        <w:t>firms</w:t>
      </w:r>
      <w:r>
        <w:rPr>
          <w:spacing w:val="40"/>
        </w:rPr>
        <w:t> </w:t>
      </w:r>
      <w:r>
        <w:rPr/>
        <w:t>were</w:t>
      </w:r>
      <w:r>
        <w:rPr>
          <w:spacing w:val="40"/>
        </w:rPr>
        <w:t> </w:t>
      </w:r>
      <w:r>
        <w:rPr/>
        <w:t>selected</w:t>
      </w:r>
      <w:r>
        <w:rPr>
          <w:spacing w:val="40"/>
        </w:rPr>
        <w:t> </w:t>
      </w:r>
      <w:r>
        <w:rPr/>
        <w:t>to</w:t>
      </w:r>
      <w:r>
        <w:rPr>
          <w:spacing w:val="40"/>
        </w:rPr>
        <w:t> </w:t>
      </w:r>
      <w:r>
        <w:rPr/>
        <w:t>explain</w:t>
      </w:r>
      <w:r>
        <w:rPr>
          <w:spacing w:val="40"/>
        </w:rPr>
        <w:t> </w:t>
      </w:r>
      <w:r>
        <w:rPr/>
        <w:t>presumably</w:t>
      </w:r>
      <w:r>
        <w:rPr>
          <w:spacing w:val="40"/>
        </w:rPr>
        <w:t> </w:t>
      </w:r>
      <w:r>
        <w:rPr/>
        <w:t>apolitical</w:t>
      </w:r>
    </w:p>
    <w:p>
      <w:pPr>
        <w:pStyle w:val="BodyText"/>
        <w:spacing w:after="0" w:line="276" w:lineRule="auto"/>
        <w:sectPr>
          <w:pgSz w:w="12240" w:h="15840"/>
          <w:pgMar w:header="1046" w:footer="0" w:top="1360" w:bottom="280" w:left="720" w:right="360"/>
        </w:sectPr>
      </w:pPr>
    </w:p>
    <w:p>
      <w:pPr>
        <w:pStyle w:val="BodyText"/>
        <w:spacing w:line="276" w:lineRule="auto" w:before="276"/>
        <w:ind w:right="1901"/>
      </w:pPr>
      <w:r>
        <w:rPr/>
        <w:t>systems. The initial idea was to compare working arrangements of both to say whether it is possible to have a real synthesis between the apolitical structure and political organization. We have seen, that the constant involvement of the firms in the political process and frequent interventions of the public institutions in business matters have increased the possibilities to produce coupling institutions between political and economic systems.</w:t>
      </w:r>
    </w:p>
    <w:p>
      <w:pPr>
        <w:pStyle w:val="BodyText"/>
        <w:spacing w:line="276" w:lineRule="auto"/>
        <w:ind w:right="1918" w:firstLine="720"/>
      </w:pPr>
      <w:r>
        <w:rPr/>
        <w:t>The purpose of our work is not to create a new theory of political organization; neither have we attempted to develop new paths to study business firms with a scope of political science. The primary task is to see major systemic trends in the functioning of the European Union.</w:t>
      </w:r>
    </w:p>
    <w:p>
      <w:pPr>
        <w:pStyle w:val="BodyText"/>
        <w:spacing w:line="273" w:lineRule="auto"/>
        <w:ind w:right="1903" w:firstLine="720"/>
      </w:pPr>
      <w:r>
        <w:rPr/>
        <w:t>The goal of the third chapter was to examine the ways to approach a hybrid</w:t>
      </w:r>
      <w:r>
        <w:rPr>
          <w:spacing w:val="-2"/>
        </w:rPr>
        <w:t> </w:t>
      </w:r>
      <w:r>
        <w:rPr/>
        <w:t>model</w:t>
      </w:r>
      <w:r>
        <w:rPr>
          <w:spacing w:val="-2"/>
        </w:rPr>
        <w:t> </w:t>
      </w:r>
      <w:r>
        <w:rPr/>
        <w:t>of</w:t>
      </w:r>
      <w:r>
        <w:rPr>
          <w:spacing w:val="-3"/>
        </w:rPr>
        <w:t> </w:t>
      </w:r>
      <w:r>
        <w:rPr/>
        <w:t>a </w:t>
      </w:r>
      <w:r>
        <w:rPr>
          <w:sz w:val="27"/>
        </w:rPr>
        <w:t>sui</w:t>
      </w:r>
      <w:r>
        <w:rPr>
          <w:spacing w:val="-5"/>
          <w:sz w:val="27"/>
        </w:rPr>
        <w:t> </w:t>
      </w:r>
      <w:r>
        <w:rPr>
          <w:sz w:val="27"/>
        </w:rPr>
        <w:t>generis</w:t>
      </w:r>
      <w:r>
        <w:rPr>
          <w:spacing w:val="-6"/>
          <w:sz w:val="27"/>
        </w:rPr>
        <w:t> </w:t>
      </w:r>
      <w:r>
        <w:rPr/>
        <w:t>system</w:t>
      </w:r>
      <w:r>
        <w:rPr>
          <w:spacing w:val="-2"/>
        </w:rPr>
        <w:t> </w:t>
      </w:r>
      <w:r>
        <w:rPr/>
        <w:t>of</w:t>
      </w:r>
      <w:r>
        <w:rPr>
          <w:spacing w:val="-5"/>
        </w:rPr>
        <w:t> </w:t>
      </w:r>
      <w:r>
        <w:rPr/>
        <w:t>the</w:t>
      </w:r>
      <w:r>
        <w:rPr>
          <w:spacing w:val="-4"/>
        </w:rPr>
        <w:t> </w:t>
      </w:r>
      <w:r>
        <w:rPr/>
        <w:t>EU.</w:t>
      </w:r>
      <w:r>
        <w:rPr>
          <w:spacing w:val="-3"/>
        </w:rPr>
        <w:t> </w:t>
      </w:r>
      <w:r>
        <w:rPr/>
        <w:t>Our</w:t>
      </w:r>
      <w:r>
        <w:rPr>
          <w:spacing w:val="-3"/>
        </w:rPr>
        <w:t> </w:t>
      </w:r>
      <w:r>
        <w:rPr/>
        <w:t>arguments</w:t>
      </w:r>
      <w:r>
        <w:rPr>
          <w:spacing w:val="-6"/>
        </w:rPr>
        <w:t> </w:t>
      </w:r>
      <w:r>
        <w:rPr/>
        <w:t>are</w:t>
      </w:r>
      <w:r>
        <w:rPr>
          <w:spacing w:val="-4"/>
        </w:rPr>
        <w:t> </w:t>
      </w:r>
      <w:r>
        <w:rPr/>
        <w:t>based</w:t>
      </w:r>
      <w:r>
        <w:rPr>
          <w:spacing w:val="-2"/>
        </w:rPr>
        <w:t> </w:t>
      </w:r>
      <w:r>
        <w:rPr/>
        <w:t>on the assumption that the entity, which has been developed in the last few decades, combines the hard political ideals with non-political operational mechanisms.</w:t>
      </w:r>
      <w:r>
        <w:rPr>
          <w:spacing w:val="40"/>
        </w:rPr>
        <w:t> </w:t>
      </w:r>
      <w:r>
        <w:rPr/>
        <w:t>In order to understand how these two aspects relate to each other we have addressed few important issues.</w:t>
      </w:r>
    </w:p>
    <w:p>
      <w:pPr>
        <w:pStyle w:val="ListParagraph"/>
        <w:numPr>
          <w:ilvl w:val="2"/>
          <w:numId w:val="10"/>
        </w:numPr>
        <w:tabs>
          <w:tab w:pos="2420" w:val="left" w:leader="none"/>
        </w:tabs>
        <w:spacing w:line="276" w:lineRule="auto" w:before="5" w:after="0"/>
        <w:ind w:left="2420" w:right="1913" w:hanging="360"/>
        <w:jc w:val="both"/>
        <w:rPr>
          <w:sz w:val="26"/>
        </w:rPr>
      </w:pPr>
      <w:r>
        <w:rPr>
          <w:sz w:val="26"/>
        </w:rPr>
        <w:t>We have shown basic systemic trends of interactions between the political system and entities in the environment and between apolitical organization and its environment.</w:t>
      </w:r>
    </w:p>
    <w:p>
      <w:pPr>
        <w:pStyle w:val="ListParagraph"/>
        <w:numPr>
          <w:ilvl w:val="2"/>
          <w:numId w:val="10"/>
        </w:numPr>
        <w:tabs>
          <w:tab w:pos="2420" w:val="left" w:leader="none"/>
        </w:tabs>
        <w:spacing w:line="276" w:lineRule="auto" w:before="0" w:after="0"/>
        <w:ind w:left="2420" w:right="1908" w:hanging="360"/>
        <w:jc w:val="both"/>
        <w:rPr>
          <w:sz w:val="26"/>
        </w:rPr>
      </w:pPr>
      <w:r>
        <w:rPr>
          <w:sz w:val="26"/>
        </w:rPr>
        <w:t>We have described the ways in which non-political organizations decide issues politically.</w:t>
      </w:r>
    </w:p>
    <w:p>
      <w:pPr>
        <w:pStyle w:val="BodyText"/>
        <w:spacing w:before="51"/>
        <w:ind w:left="0"/>
        <w:jc w:val="left"/>
      </w:pPr>
    </w:p>
    <w:p>
      <w:pPr>
        <w:pStyle w:val="BodyText"/>
        <w:spacing w:line="276" w:lineRule="auto"/>
        <w:ind w:right="1912"/>
      </w:pPr>
      <w:r>
        <w:rPr/>
        <w:t>We believe that understanding modern governance without shifting our views from a hierarchic model of the power structure is very difficult. Especially as we intend to study the multilevel system of the EU. Considering traditional political actors to be in the center of the organization, would not give much new knowledge. In order to grasp how nonpolitical actors might be affecting the process of integration, we need to acknowledge apolitical aspects of the European Union in the first place.</w:t>
      </w:r>
    </w:p>
    <w:p>
      <w:pPr>
        <w:pStyle w:val="BodyText"/>
        <w:spacing w:after="0" w:line="276" w:lineRule="auto"/>
        <w:sectPr>
          <w:pgSz w:w="12240" w:h="15840"/>
          <w:pgMar w:header="1046" w:footer="0" w:top="1360" w:bottom="280" w:left="720" w:right="360"/>
        </w:sectPr>
      </w:pPr>
    </w:p>
    <w:p>
      <w:pPr>
        <w:pStyle w:val="BodyText"/>
        <w:spacing w:before="573"/>
        <w:ind w:left="0"/>
        <w:jc w:val="left"/>
        <w:rPr>
          <w:sz w:val="56"/>
        </w:rPr>
      </w:pPr>
    </w:p>
    <w:p>
      <w:pPr>
        <w:pStyle w:val="Heading1"/>
        <w:ind w:left="2091"/>
        <w:rPr>
          <w:position w:val="2"/>
        </w:rPr>
      </w:pPr>
      <w:r>
        <w:rPr>
          <w:position w:val="2"/>
        </w:rPr>
        <w:drawing>
          <wp:anchor distT="0" distB="0" distL="0" distR="0" allowOverlap="1" layoutInCell="1" locked="0" behindDoc="0" simplePos="0" relativeHeight="15788032">
            <wp:simplePos x="0" y="0"/>
            <wp:positionH relativeFrom="page">
              <wp:posOffset>1105217</wp:posOffset>
            </wp:positionH>
            <wp:positionV relativeFrom="paragraph">
              <wp:posOffset>-389692</wp:posOffset>
            </wp:positionV>
            <wp:extent cx="596172" cy="717979"/>
            <wp:effectExtent l="0" t="0" r="0" b="0"/>
            <wp:wrapNone/>
            <wp:docPr id="142" name="Image 142"/>
            <wp:cNvGraphicFramePr>
              <a:graphicFrameLocks/>
            </wp:cNvGraphicFramePr>
            <a:graphic>
              <a:graphicData uri="http://schemas.openxmlformats.org/drawingml/2006/picture">
                <pic:pic>
                  <pic:nvPicPr>
                    <pic:cNvPr id="142" name="Image 142"/>
                    <pic:cNvPicPr/>
                  </pic:nvPicPr>
                  <pic:blipFill>
                    <a:blip r:embed="rId30" cstate="print"/>
                    <a:stretch>
                      <a:fillRect/>
                    </a:stretch>
                  </pic:blipFill>
                  <pic:spPr>
                    <a:xfrm>
                      <a:off x="0" y="0"/>
                      <a:ext cx="596172" cy="717979"/>
                    </a:xfrm>
                    <a:prstGeom prst="rect">
                      <a:avLst/>
                    </a:prstGeom>
                  </pic:spPr>
                </pic:pic>
              </a:graphicData>
            </a:graphic>
          </wp:anchor>
        </w:drawing>
      </w:r>
      <w:r>
        <w:rPr>
          <w:b w:val="0"/>
        </w:rPr>
        <w:drawing>
          <wp:inline distT="0" distB="0" distL="0" distR="0">
            <wp:extent cx="205739" cy="198168"/>
            <wp:effectExtent l="0" t="0" r="0" b="0"/>
            <wp:docPr id="143" name="Image 143"/>
            <wp:cNvGraphicFramePr>
              <a:graphicFrameLocks/>
            </wp:cNvGraphicFramePr>
            <a:graphic>
              <a:graphicData uri="http://schemas.openxmlformats.org/drawingml/2006/picture">
                <pic:pic>
                  <pic:nvPicPr>
                    <pic:cNvPr id="143" name="Image 143"/>
                    <pic:cNvPicPr/>
                  </pic:nvPicPr>
                  <pic:blipFill>
                    <a:blip r:embed="rId31" cstate="print"/>
                    <a:stretch>
                      <a:fillRect/>
                    </a:stretch>
                  </pic:blipFill>
                  <pic:spPr>
                    <a:xfrm>
                      <a:off x="0" y="0"/>
                      <a:ext cx="205739" cy="198168"/>
                    </a:xfrm>
                    <a:prstGeom prst="rect">
                      <a:avLst/>
                    </a:prstGeom>
                  </pic:spPr>
                </pic:pic>
              </a:graphicData>
            </a:graphic>
          </wp:inline>
        </w:drawing>
      </w:r>
      <w:r>
        <w:rPr>
          <w:b w:val="0"/>
        </w:rPr>
      </w:r>
      <w:r>
        <w:rPr>
          <w:rFonts w:ascii="Times New Roman"/>
          <w:b w:val="0"/>
          <w:spacing w:val="26"/>
          <w:position w:val="2"/>
          <w:sz w:val="20"/>
        </w:rPr>
        <w:t> </w:t>
      </w:r>
      <w:bookmarkStart w:name="_bookmark33" w:id="34"/>
      <w:bookmarkEnd w:id="34"/>
      <w:r>
        <w:rPr>
          <w:rFonts w:ascii="Times New Roman"/>
          <w:b w:val="0"/>
          <w:spacing w:val="-24"/>
          <w:position w:val="2"/>
          <w:sz w:val="20"/>
        </w:rPr>
      </w:r>
      <w:r>
        <w:rPr>
          <w:position w:val="2"/>
        </w:rPr>
        <w:t>CHAPTER FOUR</w:t>
      </w:r>
    </w:p>
    <w:p>
      <w:pPr>
        <w:pStyle w:val="BodyText"/>
        <w:spacing w:before="168"/>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46208">
                <wp:simplePos x="0" y="0"/>
                <wp:positionH relativeFrom="page">
                  <wp:posOffset>1078864</wp:posOffset>
                </wp:positionH>
                <wp:positionV relativeFrom="paragraph">
                  <wp:posOffset>266445</wp:posOffset>
                </wp:positionV>
                <wp:extent cx="5252085" cy="100965"/>
                <wp:effectExtent l="0" t="0" r="0" b="0"/>
                <wp:wrapTopAndBottom/>
                <wp:docPr id="144" name="Graphic 144"/>
                <wp:cNvGraphicFramePr>
                  <a:graphicFrameLocks/>
                </wp:cNvGraphicFramePr>
                <a:graphic>
                  <a:graphicData uri="http://schemas.microsoft.com/office/word/2010/wordprocessingShape">
                    <wps:wsp>
                      <wps:cNvPr id="144" name="Graphic 144"/>
                      <wps:cNvSpPr/>
                      <wps:spPr>
                        <a:xfrm>
                          <a:off x="0" y="0"/>
                          <a:ext cx="5252085" cy="100965"/>
                        </a:xfrm>
                        <a:custGeom>
                          <a:avLst/>
                          <a:gdLst/>
                          <a:ahLst/>
                          <a:cxnLst/>
                          <a:rect l="l" t="t" r="r" b="b"/>
                          <a:pathLst>
                            <a:path w="5252085" h="100965">
                              <a:moveTo>
                                <a:pt x="5252085" y="0"/>
                              </a:moveTo>
                              <a:lnTo>
                                <a:pt x="0" y="0"/>
                              </a:lnTo>
                              <a:lnTo>
                                <a:pt x="0" y="100965"/>
                              </a:lnTo>
                              <a:lnTo>
                                <a:pt x="5252085" y="100965"/>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0.979921pt;width:413.55pt;height:7.95pt;mso-position-horizontal-relative:page;mso-position-vertical-relative:paragraph;z-index:-15670272;mso-wrap-distance-left:0;mso-wrap-distance-right:0" id="docshape135" filled="true" fillcolor="#000000" stroked="false">
                <v:fill type="solid"/>
                <w10:wrap type="topAndBottom"/>
              </v:rect>
            </w:pict>
          </mc:Fallback>
        </mc:AlternateContent>
      </w:r>
    </w:p>
    <w:p>
      <w:pPr>
        <w:pStyle w:val="BodyText"/>
        <w:spacing w:before="149"/>
        <w:ind w:left="0"/>
        <w:jc w:val="left"/>
        <w:rPr>
          <w:rFonts w:ascii="Georgia"/>
          <w:b/>
        </w:rPr>
      </w:pPr>
    </w:p>
    <w:p>
      <w:pPr>
        <w:pStyle w:val="BodyText"/>
        <w:jc w:val="left"/>
      </w:pPr>
      <w:r>
        <w:rPr/>
        <w:t>Purpose</w:t>
      </w:r>
      <w:r>
        <w:rPr>
          <w:spacing w:val="-10"/>
        </w:rPr>
        <w:t> </w:t>
      </w:r>
      <w:r>
        <w:rPr/>
        <w:t>of</w:t>
      </w:r>
      <w:r>
        <w:rPr>
          <w:spacing w:val="-11"/>
        </w:rPr>
        <w:t> </w:t>
      </w:r>
      <w:r>
        <w:rPr/>
        <w:t>the</w:t>
      </w:r>
      <w:r>
        <w:rPr>
          <w:spacing w:val="-9"/>
        </w:rPr>
        <w:t> </w:t>
      </w:r>
      <w:r>
        <w:rPr/>
        <w:t>Union,</w:t>
      </w:r>
      <w:r>
        <w:rPr>
          <w:spacing w:val="-9"/>
        </w:rPr>
        <w:t> </w:t>
      </w:r>
      <w:r>
        <w:rPr/>
        <w:t>Democratic</w:t>
      </w:r>
      <w:r>
        <w:rPr>
          <w:spacing w:val="-10"/>
        </w:rPr>
        <w:t> </w:t>
      </w:r>
      <w:r>
        <w:rPr/>
        <w:t>Deficit,</w:t>
      </w:r>
      <w:r>
        <w:rPr>
          <w:spacing w:val="-9"/>
        </w:rPr>
        <w:t> </w:t>
      </w:r>
      <w:r>
        <w:rPr>
          <w:spacing w:val="-2"/>
        </w:rPr>
        <w:t>Accountability</w:t>
      </w:r>
    </w:p>
    <w:p>
      <w:pPr>
        <w:pStyle w:val="BodyText"/>
        <w:ind w:left="0"/>
        <w:jc w:val="left"/>
      </w:pPr>
    </w:p>
    <w:p>
      <w:pPr>
        <w:pStyle w:val="BodyText"/>
        <w:ind w:left="0"/>
        <w:jc w:val="left"/>
      </w:pPr>
    </w:p>
    <w:p>
      <w:pPr>
        <w:pStyle w:val="BodyText"/>
        <w:ind w:left="0"/>
        <w:jc w:val="left"/>
      </w:pPr>
    </w:p>
    <w:p>
      <w:pPr>
        <w:pStyle w:val="BodyText"/>
        <w:spacing w:before="66"/>
        <w:ind w:left="0"/>
        <w:jc w:val="left"/>
      </w:pPr>
    </w:p>
    <w:p>
      <w:pPr>
        <w:pStyle w:val="Heading4"/>
        <w:numPr>
          <w:ilvl w:val="1"/>
          <w:numId w:val="13"/>
        </w:numPr>
        <w:tabs>
          <w:tab w:pos="1582" w:val="left" w:leader="none"/>
        </w:tabs>
        <w:spacing w:line="240" w:lineRule="auto" w:before="1" w:after="0"/>
        <w:ind w:left="1582" w:right="0" w:hanging="603"/>
        <w:jc w:val="left"/>
      </w:pPr>
      <w:bookmarkStart w:name="_bookmark34" w:id="35"/>
      <w:bookmarkEnd w:id="35"/>
      <w:r>
        <w:rPr>
          <w:b w:val="0"/>
        </w:rPr>
      </w:r>
      <w:r>
        <w:rPr>
          <w:spacing w:val="-10"/>
        </w:rPr>
        <w:t>General</w:t>
      </w:r>
      <w:r>
        <w:rPr>
          <w:spacing w:val="-4"/>
        </w:rPr>
        <w:t> </w:t>
      </w:r>
      <w:r>
        <w:rPr>
          <w:spacing w:val="-2"/>
        </w:rPr>
        <w:t>Overview</w:t>
      </w:r>
    </w:p>
    <w:p>
      <w:pPr>
        <w:pStyle w:val="BodyText"/>
        <w:spacing w:before="194"/>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46720">
                <wp:simplePos x="0" y="0"/>
                <wp:positionH relativeFrom="page">
                  <wp:posOffset>1078864</wp:posOffset>
                </wp:positionH>
                <wp:positionV relativeFrom="paragraph">
                  <wp:posOffset>283224</wp:posOffset>
                </wp:positionV>
                <wp:extent cx="5252085" cy="52069"/>
                <wp:effectExtent l="0" t="0" r="0" b="0"/>
                <wp:wrapTopAndBottom/>
                <wp:docPr id="145" name="Graphic 145"/>
                <wp:cNvGraphicFramePr>
                  <a:graphicFrameLocks/>
                </wp:cNvGraphicFramePr>
                <a:graphic>
                  <a:graphicData uri="http://schemas.microsoft.com/office/word/2010/wordprocessingShape">
                    <wps:wsp>
                      <wps:cNvPr id="145" name="Graphic 145"/>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301172pt;width:413.55pt;height:4.1pt;mso-position-horizontal-relative:page;mso-position-vertical-relative:paragraph;z-index:-15669760;mso-wrap-distance-left:0;mso-wrap-distance-right:0" id="docshape136"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ind w:left="0"/>
        <w:jc w:val="left"/>
        <w:rPr>
          <w:rFonts w:ascii="Georgia"/>
          <w:b/>
        </w:rPr>
      </w:pPr>
    </w:p>
    <w:p>
      <w:pPr>
        <w:pStyle w:val="BodyText"/>
        <w:spacing w:before="104"/>
        <w:ind w:left="0"/>
        <w:jc w:val="left"/>
        <w:rPr>
          <w:rFonts w:ascii="Georgia"/>
          <w:b/>
        </w:rPr>
      </w:pPr>
    </w:p>
    <w:p>
      <w:pPr>
        <w:pStyle w:val="BodyText"/>
        <w:spacing w:line="276" w:lineRule="auto"/>
        <w:ind w:right="1911" w:firstLine="720"/>
      </w:pPr>
      <w:r>
        <w:rPr/>
        <w:t>This chapter has two main aims. First is to explain how we plan to elaborate</w:t>
      </w:r>
      <w:r>
        <w:rPr>
          <w:spacing w:val="-3"/>
        </w:rPr>
        <w:t> </w:t>
      </w:r>
      <w:r>
        <w:rPr/>
        <w:t>above</w:t>
      </w:r>
      <w:r>
        <w:rPr>
          <w:spacing w:val="-3"/>
        </w:rPr>
        <w:t> </w:t>
      </w:r>
      <w:r>
        <w:rPr/>
        <w:t>described</w:t>
      </w:r>
      <w:r>
        <w:rPr>
          <w:spacing w:val="-1"/>
        </w:rPr>
        <w:t> </w:t>
      </w:r>
      <w:r>
        <w:rPr/>
        <w:t>theoretical</w:t>
      </w:r>
      <w:r>
        <w:rPr>
          <w:spacing w:val="-5"/>
        </w:rPr>
        <w:t> </w:t>
      </w:r>
      <w:r>
        <w:rPr/>
        <w:t>approaches</w:t>
      </w:r>
      <w:r>
        <w:rPr>
          <w:spacing w:val="-5"/>
        </w:rPr>
        <w:t> </w:t>
      </w:r>
      <w:r>
        <w:rPr/>
        <w:t>to</w:t>
      </w:r>
      <w:r>
        <w:rPr>
          <w:spacing w:val="-5"/>
        </w:rPr>
        <w:t> </w:t>
      </w:r>
      <w:r>
        <w:rPr/>
        <w:t>understand</w:t>
      </w:r>
      <w:r>
        <w:rPr>
          <w:spacing w:val="-1"/>
        </w:rPr>
        <w:t> </w:t>
      </w:r>
      <w:r>
        <w:rPr/>
        <w:t>the</w:t>
      </w:r>
      <w:r>
        <w:rPr>
          <w:spacing w:val="-3"/>
        </w:rPr>
        <w:t> </w:t>
      </w:r>
      <w:r>
        <w:rPr/>
        <w:t>EU.</w:t>
      </w:r>
      <w:r>
        <w:rPr>
          <w:spacing w:val="-2"/>
        </w:rPr>
        <w:t> </w:t>
      </w:r>
      <w:r>
        <w:rPr/>
        <w:t>The second,</w:t>
      </w:r>
      <w:r>
        <w:rPr>
          <w:spacing w:val="-3"/>
        </w:rPr>
        <w:t> </w:t>
      </w:r>
      <w:r>
        <w:rPr/>
        <w:t>is</w:t>
      </w:r>
      <w:r>
        <w:rPr>
          <w:spacing w:val="-5"/>
        </w:rPr>
        <w:t> </w:t>
      </w:r>
      <w:r>
        <w:rPr/>
        <w:t>to</w:t>
      </w:r>
      <w:r>
        <w:rPr>
          <w:spacing w:val="-6"/>
        </w:rPr>
        <w:t> </w:t>
      </w:r>
      <w:r>
        <w:rPr/>
        <w:t>select</w:t>
      </w:r>
      <w:r>
        <w:rPr>
          <w:spacing w:val="-3"/>
        </w:rPr>
        <w:t> </w:t>
      </w:r>
      <w:r>
        <w:rPr/>
        <w:t>a</w:t>
      </w:r>
      <w:r>
        <w:rPr>
          <w:spacing w:val="-3"/>
        </w:rPr>
        <w:t> </w:t>
      </w:r>
      <w:r>
        <w:rPr/>
        <w:t>proper</w:t>
      </w:r>
      <w:r>
        <w:rPr>
          <w:spacing w:val="-3"/>
        </w:rPr>
        <w:t> </w:t>
      </w:r>
      <w:r>
        <w:rPr/>
        <w:t>framework</w:t>
      </w:r>
      <w:r>
        <w:rPr>
          <w:spacing w:val="-3"/>
        </w:rPr>
        <w:t> </w:t>
      </w:r>
      <w:r>
        <w:rPr/>
        <w:t>for</w:t>
      </w:r>
      <w:r>
        <w:rPr>
          <w:spacing w:val="-3"/>
        </w:rPr>
        <w:t> </w:t>
      </w:r>
      <w:r>
        <w:rPr/>
        <w:t>analysis.</w:t>
      </w:r>
      <w:r>
        <w:rPr>
          <w:spacing w:val="-3"/>
        </w:rPr>
        <w:t> </w:t>
      </w:r>
      <w:r>
        <w:rPr/>
        <w:t>This</w:t>
      </w:r>
      <w:r>
        <w:rPr>
          <w:spacing w:val="-5"/>
        </w:rPr>
        <w:t> </w:t>
      </w:r>
      <w:r>
        <w:rPr/>
        <w:t>selection</w:t>
      </w:r>
      <w:r>
        <w:rPr>
          <w:spacing w:val="-3"/>
        </w:rPr>
        <w:t> </w:t>
      </w:r>
      <w:r>
        <w:rPr/>
        <w:t>obliges</w:t>
      </w:r>
      <w:r>
        <w:rPr>
          <w:spacing w:val="-5"/>
        </w:rPr>
        <w:t> </w:t>
      </w:r>
      <w:r>
        <w:rPr/>
        <w:t>us to explain why one model was more applicable than another.</w:t>
      </w:r>
      <w:r>
        <w:rPr>
          <w:spacing w:val="40"/>
        </w:rPr>
        <w:t> </w:t>
      </w:r>
      <w:r>
        <w:rPr/>
        <w:t>It goes without</w:t>
      </w:r>
      <w:r>
        <w:rPr>
          <w:spacing w:val="-2"/>
        </w:rPr>
        <w:t> </w:t>
      </w:r>
      <w:r>
        <w:rPr/>
        <w:t>saying</w:t>
      </w:r>
      <w:r>
        <w:rPr>
          <w:spacing w:val="-2"/>
        </w:rPr>
        <w:t> </w:t>
      </w:r>
      <w:r>
        <w:rPr/>
        <w:t>that</w:t>
      </w:r>
      <w:r>
        <w:rPr>
          <w:spacing w:val="-2"/>
        </w:rPr>
        <w:t> </w:t>
      </w:r>
      <w:r>
        <w:rPr/>
        <w:t>both,</w:t>
      </w:r>
      <w:r>
        <w:rPr>
          <w:spacing w:val="-1"/>
        </w:rPr>
        <w:t> </w:t>
      </w:r>
      <w:r>
        <w:rPr/>
        <w:t>political</w:t>
      </w:r>
      <w:r>
        <w:rPr>
          <w:spacing w:val="-5"/>
        </w:rPr>
        <w:t> </w:t>
      </w:r>
      <w:r>
        <w:rPr/>
        <w:t>systems</w:t>
      </w:r>
      <w:r>
        <w:rPr>
          <w:spacing w:val="-4"/>
        </w:rPr>
        <w:t> </w:t>
      </w:r>
      <w:r>
        <w:rPr/>
        <w:t>theory</w:t>
      </w:r>
      <w:r>
        <w:rPr>
          <w:spacing w:val="-2"/>
        </w:rPr>
        <w:t> </w:t>
      </w:r>
      <w:r>
        <w:rPr/>
        <w:t>and organizational</w:t>
      </w:r>
      <w:r>
        <w:rPr>
          <w:spacing w:val="-4"/>
        </w:rPr>
        <w:t> </w:t>
      </w:r>
      <w:r>
        <w:rPr/>
        <w:t>theory can be used to describe the EU. A rigid distinction would demand from us</w:t>
      </w:r>
      <w:r>
        <w:rPr>
          <w:spacing w:val="40"/>
        </w:rPr>
        <w:t> </w:t>
      </w:r>
      <w:r>
        <w:rPr/>
        <w:t>to</w:t>
      </w:r>
      <w:r>
        <w:rPr>
          <w:spacing w:val="40"/>
        </w:rPr>
        <w:t> </w:t>
      </w:r>
      <w:r>
        <w:rPr/>
        <w:t>build a new theory based on</w:t>
      </w:r>
      <w:r>
        <w:rPr>
          <w:spacing w:val="40"/>
        </w:rPr>
        <w:t> </w:t>
      </w:r>
      <w:r>
        <w:rPr/>
        <w:t>strong empirical arguments. Fulfilling this demand is far beyond the scope of this work. Our goal is to reconcile theoretical views in uniting systemic framework, which would allow the students</w:t>
      </w:r>
      <w:r>
        <w:rPr>
          <w:spacing w:val="-1"/>
        </w:rPr>
        <w:t> </w:t>
      </w:r>
      <w:r>
        <w:rPr/>
        <w:t>to</w:t>
      </w:r>
      <w:r>
        <w:rPr>
          <w:spacing w:val="-1"/>
        </w:rPr>
        <w:t> </w:t>
      </w:r>
      <w:r>
        <w:rPr/>
        <w:t>have a broader</w:t>
      </w:r>
      <w:r>
        <w:rPr>
          <w:spacing w:val="-2"/>
        </w:rPr>
        <w:t> </w:t>
      </w:r>
      <w:r>
        <w:rPr/>
        <w:t>picture of the European Union. Nevertheless, we need to</w:t>
      </w:r>
      <w:r>
        <w:rPr>
          <w:spacing w:val="-5"/>
        </w:rPr>
        <w:t> </w:t>
      </w:r>
      <w:r>
        <w:rPr/>
        <w:t>have</w:t>
      </w:r>
      <w:r>
        <w:rPr>
          <w:spacing w:val="-2"/>
        </w:rPr>
        <w:t> </w:t>
      </w:r>
      <w:r>
        <w:rPr/>
        <w:t>an</w:t>
      </w:r>
      <w:r>
        <w:rPr>
          <w:spacing w:val="-5"/>
        </w:rPr>
        <w:t> </w:t>
      </w:r>
      <w:r>
        <w:rPr/>
        <w:t>initial</w:t>
      </w:r>
      <w:r>
        <w:rPr>
          <w:spacing w:val="-4"/>
        </w:rPr>
        <w:t> </w:t>
      </w:r>
      <w:r>
        <w:rPr/>
        <w:t>working</w:t>
      </w:r>
      <w:r>
        <w:rPr>
          <w:spacing w:val="-2"/>
        </w:rPr>
        <w:t> </w:t>
      </w:r>
      <w:r>
        <w:rPr/>
        <w:t>position,</w:t>
      </w:r>
      <w:r>
        <w:rPr>
          <w:spacing w:val="-1"/>
        </w:rPr>
        <w:t> </w:t>
      </w:r>
      <w:r>
        <w:rPr/>
        <w:t>that</w:t>
      </w:r>
      <w:r>
        <w:rPr>
          <w:spacing w:val="-2"/>
        </w:rPr>
        <w:t> </w:t>
      </w:r>
      <w:r>
        <w:rPr/>
        <w:t>can</w:t>
      </w:r>
      <w:r>
        <w:rPr>
          <w:spacing w:val="-1"/>
        </w:rPr>
        <w:t> </w:t>
      </w:r>
      <w:r>
        <w:rPr/>
        <w:t>open</w:t>
      </w:r>
      <w:r>
        <w:rPr>
          <w:spacing w:val="-1"/>
        </w:rPr>
        <w:t> </w:t>
      </w:r>
      <w:r>
        <w:rPr/>
        <w:t>up</w:t>
      </w:r>
      <w:r>
        <w:rPr>
          <w:spacing w:val="-3"/>
        </w:rPr>
        <w:t> </w:t>
      </w:r>
      <w:r>
        <w:rPr/>
        <w:t>the</w:t>
      </w:r>
      <w:r>
        <w:rPr>
          <w:spacing w:val="-2"/>
        </w:rPr>
        <w:t> </w:t>
      </w:r>
      <w:r>
        <w:rPr/>
        <w:t>discussion</w:t>
      </w:r>
      <w:r>
        <w:rPr>
          <w:spacing w:val="-1"/>
        </w:rPr>
        <w:t> </w:t>
      </w:r>
      <w:r>
        <w:rPr/>
        <w:t>for the concluding part of this work. This working position implies to hold a basic notion about the nature of the system we try to study.</w:t>
      </w:r>
    </w:p>
    <w:p>
      <w:pPr>
        <w:pStyle w:val="BodyText"/>
        <w:spacing w:line="276" w:lineRule="auto" w:before="4"/>
        <w:ind w:right="1913" w:firstLine="720"/>
      </w:pPr>
      <w:r>
        <w:rPr/>
        <w:t>The nature of the system is often determined by the two things: 1) purpose</w:t>
      </w:r>
      <w:r>
        <w:rPr>
          <w:spacing w:val="19"/>
        </w:rPr>
        <w:t> </w:t>
      </w:r>
      <w:r>
        <w:rPr/>
        <w:t>of</w:t>
      </w:r>
      <w:r>
        <w:rPr>
          <w:spacing w:val="18"/>
        </w:rPr>
        <w:t> </w:t>
      </w:r>
      <w:r>
        <w:rPr/>
        <w:t>the</w:t>
      </w:r>
      <w:r>
        <w:rPr>
          <w:spacing w:val="19"/>
        </w:rPr>
        <w:t> </w:t>
      </w:r>
      <w:r>
        <w:rPr/>
        <w:t>system,</w:t>
      </w:r>
      <w:r>
        <w:rPr>
          <w:spacing w:val="21"/>
        </w:rPr>
        <w:t> </w:t>
      </w:r>
      <w:r>
        <w:rPr/>
        <w:t>2)</w:t>
      </w:r>
      <w:r>
        <w:rPr>
          <w:spacing w:val="20"/>
        </w:rPr>
        <w:t> </w:t>
      </w:r>
      <w:r>
        <w:rPr/>
        <w:t>operations</w:t>
      </w:r>
      <w:r>
        <w:rPr>
          <w:spacing w:val="17"/>
        </w:rPr>
        <w:t> </w:t>
      </w:r>
      <w:r>
        <w:rPr/>
        <w:t>of</w:t>
      </w:r>
      <w:r>
        <w:rPr>
          <w:spacing w:val="19"/>
        </w:rPr>
        <w:t> </w:t>
      </w:r>
      <w:r>
        <w:rPr/>
        <w:t>the</w:t>
      </w:r>
      <w:r>
        <w:rPr>
          <w:spacing w:val="23"/>
        </w:rPr>
        <w:t> </w:t>
      </w:r>
      <w:r>
        <w:rPr/>
        <w:t>system.</w:t>
      </w:r>
      <w:r>
        <w:rPr>
          <w:spacing w:val="21"/>
        </w:rPr>
        <w:t> </w:t>
      </w:r>
      <w:r>
        <w:rPr/>
        <w:t>The</w:t>
      </w:r>
      <w:r>
        <w:rPr>
          <w:spacing w:val="20"/>
        </w:rPr>
        <w:t> </w:t>
      </w:r>
      <w:r>
        <w:rPr/>
        <w:t>first</w:t>
      </w:r>
      <w:r>
        <w:rPr>
          <w:spacing w:val="19"/>
        </w:rPr>
        <w:t> </w:t>
      </w:r>
      <w:r>
        <w:rPr/>
        <w:t>often</w:t>
      </w:r>
      <w:r>
        <w:rPr>
          <w:spacing w:val="20"/>
        </w:rPr>
        <w:t> </w:t>
      </w:r>
      <w:r>
        <w:rPr>
          <w:spacing w:val="-2"/>
        </w:rPr>
        <w:t>decides</w:t>
      </w:r>
    </w:p>
    <w:p>
      <w:pPr>
        <w:pStyle w:val="BodyText"/>
        <w:spacing w:after="0" w:line="276" w:lineRule="auto"/>
        <w:sectPr>
          <w:pgSz w:w="12240" w:h="15840"/>
          <w:pgMar w:header="1046" w:footer="0" w:top="1360" w:bottom="280" w:left="720" w:right="360"/>
        </w:sectPr>
      </w:pPr>
    </w:p>
    <w:p>
      <w:pPr>
        <w:pStyle w:val="BodyText"/>
        <w:tabs>
          <w:tab w:pos="1871" w:val="left" w:leader="none"/>
          <w:tab w:pos="2244" w:val="left" w:leader="none"/>
          <w:tab w:pos="2566" w:val="left" w:leader="none"/>
          <w:tab w:pos="3683" w:val="left" w:leader="none"/>
          <w:tab w:pos="4325" w:val="left" w:leader="none"/>
          <w:tab w:pos="4853" w:val="left" w:leader="none"/>
          <w:tab w:pos="6228" w:val="left" w:leader="none"/>
          <w:tab w:pos="6655" w:val="left" w:leader="none"/>
          <w:tab w:pos="7259" w:val="left" w:leader="none"/>
          <w:tab w:pos="8285" w:val="left" w:leader="none"/>
          <w:tab w:pos="8698" w:val="left" w:leader="none"/>
        </w:tabs>
        <w:spacing w:line="276" w:lineRule="auto" w:before="276"/>
        <w:ind w:right="1908"/>
        <w:jc w:val="right"/>
      </w:pPr>
      <w:r>
        <w:rPr/>
        <w:t>on the second, however, it is</w:t>
      </w:r>
      <w:r>
        <w:rPr>
          <w:spacing w:val="-2"/>
        </w:rPr>
        <w:t> </w:t>
      </w:r>
      <w:r>
        <w:rPr/>
        <w:t>also</w:t>
      </w:r>
      <w:r>
        <w:rPr>
          <w:spacing w:val="-3"/>
        </w:rPr>
        <w:t> </w:t>
      </w:r>
      <w:r>
        <w:rPr/>
        <w:t>common to</w:t>
      </w:r>
      <w:r>
        <w:rPr>
          <w:spacing w:val="-3"/>
        </w:rPr>
        <w:t> </w:t>
      </w:r>
      <w:r>
        <w:rPr/>
        <w:t>say that the operations within the</w:t>
      </w:r>
      <w:r>
        <w:rPr>
          <w:spacing w:val="34"/>
        </w:rPr>
        <w:t> </w:t>
      </w:r>
      <w:r>
        <w:rPr/>
        <w:t>social</w:t>
      </w:r>
      <w:r>
        <w:rPr>
          <w:spacing w:val="35"/>
        </w:rPr>
        <w:t> </w:t>
      </w:r>
      <w:r>
        <w:rPr/>
        <w:t>system</w:t>
      </w:r>
      <w:r>
        <w:rPr>
          <w:spacing w:val="32"/>
        </w:rPr>
        <w:t> </w:t>
      </w:r>
      <w:r>
        <w:rPr/>
        <w:t>can</w:t>
      </w:r>
      <w:r>
        <w:rPr>
          <w:spacing w:val="34"/>
        </w:rPr>
        <w:t> </w:t>
      </w:r>
      <w:r>
        <w:rPr/>
        <w:t>generate</w:t>
      </w:r>
      <w:r>
        <w:rPr>
          <w:spacing w:val="34"/>
        </w:rPr>
        <w:t> </w:t>
      </w:r>
      <w:r>
        <w:rPr/>
        <w:t>a</w:t>
      </w:r>
      <w:r>
        <w:rPr>
          <w:spacing w:val="33"/>
        </w:rPr>
        <w:t> </w:t>
      </w:r>
      <w:r>
        <w:rPr/>
        <w:t>new</w:t>
      </w:r>
      <w:r>
        <w:rPr>
          <w:spacing w:val="34"/>
        </w:rPr>
        <w:t> </w:t>
      </w:r>
      <w:r>
        <w:rPr/>
        <w:t>organizational</w:t>
      </w:r>
      <w:r>
        <w:rPr>
          <w:spacing w:val="35"/>
        </w:rPr>
        <w:t> </w:t>
      </w:r>
      <w:r>
        <w:rPr/>
        <w:t>purpose.</w:t>
      </w:r>
      <w:r>
        <w:rPr>
          <w:spacing w:val="34"/>
        </w:rPr>
        <w:t> </w:t>
      </w:r>
      <w:r>
        <w:rPr/>
        <w:t>It</w:t>
      </w:r>
      <w:r>
        <w:rPr>
          <w:spacing w:val="37"/>
        </w:rPr>
        <w:t> </w:t>
      </w:r>
      <w:r>
        <w:rPr/>
        <w:t>is</w:t>
      </w:r>
      <w:r>
        <w:rPr>
          <w:spacing w:val="31"/>
        </w:rPr>
        <w:t> </w:t>
      </w:r>
      <w:r>
        <w:rPr/>
        <w:t>not</w:t>
      </w:r>
      <w:r>
        <w:rPr>
          <w:spacing w:val="38"/>
        </w:rPr>
        <w:t> </w:t>
      </w:r>
      <w:r>
        <w:rPr/>
        <w:t>an easy</w:t>
      </w:r>
      <w:r>
        <w:rPr>
          <w:spacing w:val="35"/>
        </w:rPr>
        <w:t> </w:t>
      </w:r>
      <w:r>
        <w:rPr/>
        <w:t>task</w:t>
      </w:r>
      <w:r>
        <w:rPr>
          <w:spacing w:val="36"/>
        </w:rPr>
        <w:t> </w:t>
      </w:r>
      <w:r>
        <w:rPr/>
        <w:t>to</w:t>
      </w:r>
      <w:r>
        <w:rPr>
          <w:spacing w:val="34"/>
        </w:rPr>
        <w:t> </w:t>
      </w:r>
      <w:r>
        <w:rPr/>
        <w:t>fix</w:t>
      </w:r>
      <w:r>
        <w:rPr>
          <w:spacing w:val="34"/>
        </w:rPr>
        <w:t> </w:t>
      </w:r>
      <w:r>
        <w:rPr/>
        <w:t>a</w:t>
      </w:r>
      <w:r>
        <w:rPr>
          <w:spacing w:val="35"/>
        </w:rPr>
        <w:t> </w:t>
      </w:r>
      <w:r>
        <w:rPr/>
        <w:t>purpose</w:t>
      </w:r>
      <w:r>
        <w:rPr>
          <w:spacing w:val="36"/>
        </w:rPr>
        <w:t> </w:t>
      </w:r>
      <w:r>
        <w:rPr/>
        <w:t>of</w:t>
      </w:r>
      <w:r>
        <w:rPr>
          <w:spacing w:val="34"/>
        </w:rPr>
        <w:t> </w:t>
      </w:r>
      <w:r>
        <w:rPr/>
        <w:t>the</w:t>
      </w:r>
      <w:r>
        <w:rPr>
          <w:spacing w:val="36"/>
        </w:rPr>
        <w:t> </w:t>
      </w:r>
      <w:r>
        <w:rPr/>
        <w:t>complex</w:t>
      </w:r>
      <w:r>
        <w:rPr>
          <w:spacing w:val="38"/>
        </w:rPr>
        <w:t> </w:t>
      </w:r>
      <w:r>
        <w:rPr/>
        <w:t>organization</w:t>
      </w:r>
      <w:r>
        <w:rPr>
          <w:spacing w:val="37"/>
        </w:rPr>
        <w:t> </w:t>
      </w:r>
      <w:r>
        <w:rPr/>
        <w:t>like</w:t>
      </w:r>
      <w:r>
        <w:rPr>
          <w:spacing w:val="36"/>
        </w:rPr>
        <w:t> </w:t>
      </w:r>
      <w:r>
        <w:rPr/>
        <w:t>the</w:t>
      </w:r>
      <w:r>
        <w:rPr>
          <w:spacing w:val="36"/>
        </w:rPr>
        <w:t> </w:t>
      </w:r>
      <w:r>
        <w:rPr/>
        <w:t>European Union. But we can certainly follow the dominant discourses that</w:t>
      </w:r>
      <w:r>
        <w:rPr>
          <w:spacing w:val="40"/>
        </w:rPr>
        <w:t> </w:t>
      </w:r>
      <w:r>
        <w:rPr/>
        <w:t>helped to initiate</w:t>
      </w:r>
      <w:r>
        <w:rPr>
          <w:spacing w:val="37"/>
        </w:rPr>
        <w:t> </w:t>
      </w:r>
      <w:r>
        <w:rPr/>
        <w:t>the</w:t>
      </w:r>
      <w:r>
        <w:rPr>
          <w:spacing w:val="37"/>
        </w:rPr>
        <w:t> </w:t>
      </w:r>
      <w:r>
        <w:rPr/>
        <w:t>project</w:t>
      </w:r>
      <w:r>
        <w:rPr>
          <w:spacing w:val="36"/>
        </w:rPr>
        <w:t> </w:t>
      </w:r>
      <w:r>
        <w:rPr/>
        <w:t>of</w:t>
      </w:r>
      <w:r>
        <w:rPr>
          <w:spacing w:val="35"/>
        </w:rPr>
        <w:t> </w:t>
      </w:r>
      <w:r>
        <w:rPr/>
        <w:t>the</w:t>
      </w:r>
      <w:r>
        <w:rPr>
          <w:spacing w:val="37"/>
        </w:rPr>
        <w:t> </w:t>
      </w:r>
      <w:r>
        <w:rPr/>
        <w:t>Communities.</w:t>
      </w:r>
      <w:r>
        <w:rPr>
          <w:spacing w:val="38"/>
        </w:rPr>
        <w:t> </w:t>
      </w:r>
      <w:r>
        <w:rPr/>
        <w:t>While</w:t>
      </w:r>
      <w:r>
        <w:rPr>
          <w:spacing w:val="37"/>
        </w:rPr>
        <w:t> </w:t>
      </w:r>
      <w:r>
        <w:rPr/>
        <w:t>undertaking</w:t>
      </w:r>
      <w:r>
        <w:rPr>
          <w:spacing w:val="37"/>
        </w:rPr>
        <w:t> </w:t>
      </w:r>
      <w:r>
        <w:rPr/>
        <w:t>this</w:t>
      </w:r>
      <w:r>
        <w:rPr>
          <w:spacing w:val="34"/>
        </w:rPr>
        <w:t> </w:t>
      </w:r>
      <w:r>
        <w:rPr/>
        <w:t>task,</w:t>
      </w:r>
      <w:r>
        <w:rPr>
          <w:spacing w:val="38"/>
        </w:rPr>
        <w:t> </w:t>
      </w:r>
      <w:r>
        <w:rPr/>
        <w:t>we will examine two distinct federalist narratives. We argue that even if none of</w:t>
      </w:r>
      <w:r>
        <w:rPr>
          <w:spacing w:val="40"/>
        </w:rPr>
        <w:t> </w:t>
      </w:r>
      <w:r>
        <w:rPr/>
        <w:t>those</w:t>
      </w:r>
      <w:r>
        <w:rPr>
          <w:spacing w:val="40"/>
        </w:rPr>
        <w:t> </w:t>
      </w:r>
      <w:r>
        <w:rPr/>
        <w:t>narratives</w:t>
      </w:r>
      <w:r>
        <w:rPr>
          <w:spacing w:val="40"/>
        </w:rPr>
        <w:t> </w:t>
      </w:r>
      <w:r>
        <w:rPr/>
        <w:t>were</w:t>
      </w:r>
      <w:r>
        <w:rPr>
          <w:spacing w:val="40"/>
        </w:rPr>
        <w:t> </w:t>
      </w:r>
      <w:r>
        <w:rPr/>
        <w:t>converted</w:t>
      </w:r>
      <w:r>
        <w:rPr>
          <w:spacing w:val="40"/>
        </w:rPr>
        <w:t> </w:t>
      </w:r>
      <w:r>
        <w:rPr/>
        <w:t>into</w:t>
      </w:r>
      <w:r>
        <w:rPr>
          <w:spacing w:val="40"/>
        </w:rPr>
        <w:t> </w:t>
      </w:r>
      <w:r>
        <w:rPr/>
        <w:t>a</w:t>
      </w:r>
      <w:r>
        <w:rPr>
          <w:spacing w:val="40"/>
        </w:rPr>
        <w:t> </w:t>
      </w:r>
      <w:r>
        <w:rPr/>
        <w:t>real</w:t>
      </w:r>
      <w:r>
        <w:rPr>
          <w:spacing w:val="40"/>
        </w:rPr>
        <w:t> </w:t>
      </w:r>
      <w:r>
        <w:rPr/>
        <w:t>governance</w:t>
      </w:r>
      <w:r>
        <w:rPr>
          <w:spacing w:val="40"/>
        </w:rPr>
        <w:t> </w:t>
      </w:r>
      <w:r>
        <w:rPr/>
        <w:t>practice,</w:t>
      </w:r>
      <w:r>
        <w:rPr>
          <w:spacing w:val="40"/>
        </w:rPr>
        <w:t> </w:t>
      </w:r>
      <w:r>
        <w:rPr/>
        <w:t>they gave</w:t>
      </w:r>
      <w:r>
        <w:rPr>
          <w:spacing w:val="40"/>
        </w:rPr>
        <w:t> </w:t>
      </w:r>
      <w:r>
        <w:rPr/>
        <w:t>symbolic</w:t>
      </w:r>
      <w:r>
        <w:rPr>
          <w:spacing w:val="40"/>
        </w:rPr>
        <w:t> </w:t>
      </w:r>
      <w:r>
        <w:rPr/>
        <w:t>guidelines</w:t>
      </w:r>
      <w:r>
        <w:rPr>
          <w:spacing w:val="40"/>
        </w:rPr>
        <w:t> </w:t>
      </w:r>
      <w:r>
        <w:rPr/>
        <w:t>to</w:t>
      </w:r>
      <w:r>
        <w:rPr>
          <w:spacing w:val="40"/>
        </w:rPr>
        <w:t> </w:t>
      </w:r>
      <w:r>
        <w:rPr/>
        <w:t>the</w:t>
      </w:r>
      <w:r>
        <w:rPr>
          <w:spacing w:val="40"/>
        </w:rPr>
        <w:t> </w:t>
      </w:r>
      <w:r>
        <w:rPr/>
        <w:t>decision</w:t>
      </w:r>
      <w:r>
        <w:rPr>
          <w:spacing w:val="40"/>
        </w:rPr>
        <w:t> </w:t>
      </w:r>
      <w:r>
        <w:rPr/>
        <w:t>makers.</w:t>
      </w:r>
      <w:r>
        <w:rPr>
          <w:spacing w:val="40"/>
        </w:rPr>
        <w:t> </w:t>
      </w:r>
      <w:r>
        <w:rPr/>
        <w:t>That</w:t>
      </w:r>
      <w:r>
        <w:rPr>
          <w:spacing w:val="40"/>
        </w:rPr>
        <w:t> </w:t>
      </w:r>
      <w:r>
        <w:rPr/>
        <w:t>is</w:t>
      </w:r>
      <w:r>
        <w:rPr>
          <w:spacing w:val="40"/>
        </w:rPr>
        <w:t> </w:t>
      </w:r>
      <w:r>
        <w:rPr/>
        <w:t>why</w:t>
      </w:r>
      <w:r>
        <w:rPr>
          <w:spacing w:val="40"/>
        </w:rPr>
        <w:t> </w:t>
      </w:r>
      <w:r>
        <w:rPr/>
        <w:t>reasoning about the practical goals of the Union are often accompanied by the calls to pursue</w:t>
      </w:r>
      <w:r>
        <w:rPr>
          <w:spacing w:val="40"/>
        </w:rPr>
        <w:t> </w:t>
      </w:r>
      <w:r>
        <w:rPr/>
        <w:t>the</w:t>
      </w:r>
      <w:r>
        <w:rPr>
          <w:spacing w:val="79"/>
        </w:rPr>
        <w:t> </w:t>
      </w:r>
      <w:r>
        <w:rPr/>
        <w:t>ideals.</w:t>
      </w:r>
      <w:r>
        <w:rPr>
          <w:spacing w:val="40"/>
        </w:rPr>
        <w:t> </w:t>
      </w:r>
      <w:r>
        <w:rPr/>
        <w:t>Building</w:t>
      </w:r>
      <w:r>
        <w:rPr>
          <w:spacing w:val="40"/>
        </w:rPr>
        <w:t> </w:t>
      </w:r>
      <w:r>
        <w:rPr/>
        <w:t>up</w:t>
      </w:r>
      <w:r>
        <w:rPr>
          <w:spacing w:val="40"/>
        </w:rPr>
        <w:t> </w:t>
      </w:r>
      <w:r>
        <w:rPr/>
        <w:t>a</w:t>
      </w:r>
      <w:r>
        <w:rPr>
          <w:spacing w:val="78"/>
        </w:rPr>
        <w:t> </w:t>
      </w:r>
      <w:r>
        <w:rPr/>
        <w:t>political-normative</w:t>
      </w:r>
      <w:r>
        <w:rPr>
          <w:spacing w:val="40"/>
        </w:rPr>
        <w:t> </w:t>
      </w:r>
      <w:r>
        <w:rPr/>
        <w:t>orientation</w:t>
      </w:r>
      <w:r>
        <w:rPr>
          <w:spacing w:val="40"/>
        </w:rPr>
        <w:t> </w:t>
      </w:r>
      <w:r>
        <w:rPr/>
        <w:t>of</w:t>
      </w:r>
      <w:r>
        <w:rPr>
          <w:spacing w:val="77"/>
        </w:rPr>
        <w:t> </w:t>
      </w:r>
      <w:r>
        <w:rPr/>
        <w:t>the Union</w:t>
      </w:r>
      <w:r>
        <w:rPr>
          <w:spacing w:val="40"/>
        </w:rPr>
        <w:t> </w:t>
      </w:r>
      <w:r>
        <w:rPr/>
        <w:t>and</w:t>
      </w:r>
      <w:r>
        <w:rPr>
          <w:spacing w:val="40"/>
        </w:rPr>
        <w:t> </w:t>
      </w:r>
      <w:r>
        <w:rPr/>
        <w:t>demands</w:t>
      </w:r>
      <w:r>
        <w:rPr>
          <w:spacing w:val="40"/>
        </w:rPr>
        <w:t> </w:t>
      </w:r>
      <w:r>
        <w:rPr/>
        <w:t>for</w:t>
      </w:r>
      <w:r>
        <w:rPr>
          <w:spacing w:val="40"/>
        </w:rPr>
        <w:t> </w:t>
      </w:r>
      <w:r>
        <w:rPr/>
        <w:t>democratization</w:t>
      </w:r>
      <w:r>
        <w:rPr>
          <w:spacing w:val="40"/>
        </w:rPr>
        <w:t> </w:t>
      </w:r>
      <w:r>
        <w:rPr/>
        <w:t>that</w:t>
      </w:r>
      <w:r>
        <w:rPr>
          <w:spacing w:val="40"/>
        </w:rPr>
        <w:t> </w:t>
      </w:r>
      <w:r>
        <w:rPr/>
        <w:t>were</w:t>
      </w:r>
      <w:r>
        <w:rPr>
          <w:spacing w:val="40"/>
        </w:rPr>
        <w:t> </w:t>
      </w:r>
      <w:r>
        <w:rPr/>
        <w:t>unthinkable</w:t>
      </w:r>
      <w:r>
        <w:rPr>
          <w:spacing w:val="40"/>
        </w:rPr>
        <w:t> </w:t>
      </w:r>
      <w:r>
        <w:rPr/>
        <w:t>before, became possible because of the seeds planted by the federalists. Democratic </w:t>
      </w:r>
      <w:r>
        <w:rPr>
          <w:spacing w:val="-2"/>
        </w:rPr>
        <w:t>deficit</w:t>
      </w:r>
      <w:r>
        <w:rPr/>
        <w:tab/>
      </w:r>
      <w:r>
        <w:rPr>
          <w:spacing w:val="-6"/>
        </w:rPr>
        <w:t>is</w:t>
      </w:r>
      <w:r>
        <w:rPr/>
        <w:tab/>
      </w:r>
      <w:r>
        <w:rPr>
          <w:spacing w:val="-10"/>
        </w:rPr>
        <w:t>a</w:t>
      </w:r>
      <w:r>
        <w:rPr/>
        <w:tab/>
      </w:r>
      <w:r>
        <w:rPr>
          <w:spacing w:val="-2"/>
        </w:rPr>
        <w:t>problem</w:t>
      </w:r>
      <w:r>
        <w:rPr/>
        <w:tab/>
      </w:r>
      <w:r>
        <w:rPr>
          <w:spacing w:val="-4"/>
        </w:rPr>
        <w:t>that</w:t>
      </w:r>
      <w:r>
        <w:rPr/>
        <w:tab/>
      </w:r>
      <w:r>
        <w:rPr>
          <w:spacing w:val="-6"/>
        </w:rPr>
        <w:t>we</w:t>
      </w:r>
      <w:r>
        <w:rPr/>
        <w:tab/>
      </w:r>
      <w:r>
        <w:rPr>
          <w:spacing w:val="-2"/>
        </w:rPr>
        <w:t>investigate</w:t>
      </w:r>
      <w:r>
        <w:rPr/>
        <w:tab/>
      </w:r>
      <w:r>
        <w:rPr>
          <w:spacing w:val="-6"/>
        </w:rPr>
        <w:t>in</w:t>
      </w:r>
      <w:r>
        <w:rPr/>
        <w:tab/>
      </w:r>
      <w:r>
        <w:rPr>
          <w:spacing w:val="-4"/>
        </w:rPr>
        <w:t>this</w:t>
      </w:r>
      <w:r>
        <w:rPr/>
        <w:tab/>
      </w:r>
      <w:r>
        <w:rPr>
          <w:spacing w:val="-2"/>
        </w:rPr>
        <w:t>chapter</w:t>
      </w:r>
      <w:r>
        <w:rPr/>
        <w:tab/>
      </w:r>
      <w:r>
        <w:rPr>
          <w:spacing w:val="-6"/>
        </w:rPr>
        <w:t>as</w:t>
      </w:r>
      <w:r>
        <w:rPr/>
        <w:tab/>
      </w:r>
      <w:r>
        <w:rPr>
          <w:spacing w:val="-2"/>
        </w:rPr>
        <w:t>well. </w:t>
      </w:r>
      <w:r>
        <w:rPr/>
        <w:t>Accountability,</w:t>
      </w:r>
      <w:r>
        <w:rPr>
          <w:spacing w:val="80"/>
        </w:rPr>
        <w:t> </w:t>
      </w:r>
      <w:r>
        <w:rPr/>
        <w:t>transparency</w:t>
      </w:r>
      <w:r>
        <w:rPr>
          <w:spacing w:val="80"/>
        </w:rPr>
        <w:t> </w:t>
      </w:r>
      <w:r>
        <w:rPr/>
        <w:t>and</w:t>
      </w:r>
      <w:r>
        <w:rPr>
          <w:spacing w:val="80"/>
        </w:rPr>
        <w:t> </w:t>
      </w:r>
      <w:r>
        <w:rPr/>
        <w:t>the</w:t>
      </w:r>
      <w:r>
        <w:rPr>
          <w:spacing w:val="80"/>
        </w:rPr>
        <w:t> </w:t>
      </w:r>
      <w:r>
        <w:rPr/>
        <w:t>relations</w:t>
      </w:r>
      <w:r>
        <w:rPr>
          <w:spacing w:val="80"/>
        </w:rPr>
        <w:t> </w:t>
      </w:r>
      <w:r>
        <w:rPr/>
        <w:t>between</w:t>
      </w:r>
      <w:r>
        <w:rPr>
          <w:spacing w:val="80"/>
        </w:rPr>
        <w:t> </w:t>
      </w:r>
      <w:r>
        <w:rPr/>
        <w:t>the</w:t>
      </w:r>
      <w:r>
        <w:rPr>
          <w:spacing w:val="80"/>
        </w:rPr>
        <w:t> </w:t>
      </w:r>
      <w:r>
        <w:rPr/>
        <w:t>European institutions and the</w:t>
      </w:r>
      <w:r>
        <w:rPr>
          <w:spacing w:val="-2"/>
        </w:rPr>
        <w:t> </w:t>
      </w:r>
      <w:r>
        <w:rPr/>
        <w:t>public can show the level of politicization of the entity. The conclusion of this chapter should have answers to the questions:</w:t>
      </w:r>
    </w:p>
    <w:p>
      <w:pPr>
        <w:pStyle w:val="BodyText"/>
        <w:spacing w:line="276" w:lineRule="auto"/>
        <w:ind w:right="1910"/>
      </w:pPr>
      <w:r>
        <w:rPr/>
        <w:t>what is a general nature of the EU? Can we qualify the entity as a political system? Can we argue that the entity has a stronger apolitical-technocratic elements? The answers will suggest how to utilize the theories analyzed in the previous chapter.</w:t>
      </w:r>
    </w:p>
    <w:p>
      <w:pPr>
        <w:pStyle w:val="BodyText"/>
        <w:spacing w:after="0" w:line="276" w:lineRule="auto"/>
        <w:sectPr>
          <w:pgSz w:w="12240" w:h="15840"/>
          <w:pgMar w:header="1046" w:footer="0" w:top="1360" w:bottom="280" w:left="720" w:right="360"/>
        </w:sectPr>
      </w:pPr>
    </w:p>
    <w:p>
      <w:pPr>
        <w:pStyle w:val="BodyText"/>
        <w:ind w:left="0"/>
        <w:jc w:val="left"/>
        <w:rPr>
          <w:sz w:val="32"/>
        </w:rPr>
      </w:pPr>
    </w:p>
    <w:p>
      <w:pPr>
        <w:pStyle w:val="BodyText"/>
        <w:spacing w:before="60"/>
        <w:ind w:left="0"/>
        <w:jc w:val="left"/>
        <w:rPr>
          <w:sz w:val="32"/>
        </w:rPr>
      </w:pPr>
    </w:p>
    <w:p>
      <w:pPr>
        <w:pStyle w:val="Heading4"/>
        <w:numPr>
          <w:ilvl w:val="1"/>
          <w:numId w:val="13"/>
        </w:numPr>
        <w:tabs>
          <w:tab w:pos="1582" w:val="left" w:leader="none"/>
        </w:tabs>
        <w:spacing w:line="240" w:lineRule="auto" w:before="0" w:after="0"/>
        <w:ind w:left="1582" w:right="0" w:hanging="603"/>
        <w:jc w:val="left"/>
      </w:pPr>
      <w:bookmarkStart w:name="_bookmark35" w:id="36"/>
      <w:bookmarkEnd w:id="36"/>
      <w:r>
        <w:rPr>
          <w:b w:val="0"/>
        </w:rPr>
      </w:r>
      <w:r>
        <w:rPr>
          <w:spacing w:val="-10"/>
        </w:rPr>
        <w:t>Integration</w:t>
      </w:r>
      <w:r>
        <w:rPr>
          <w:spacing w:val="-6"/>
        </w:rPr>
        <w:t> </w:t>
      </w:r>
      <w:r>
        <w:rPr>
          <w:spacing w:val="-10"/>
        </w:rPr>
        <w:t>Theories</w:t>
      </w:r>
      <w:r>
        <w:rPr>
          <w:spacing w:val="-7"/>
        </w:rPr>
        <w:t> </w:t>
      </w:r>
      <w:r>
        <w:rPr>
          <w:spacing w:val="-10"/>
        </w:rPr>
        <w:t>From</w:t>
      </w:r>
      <w:r>
        <w:rPr>
          <w:spacing w:val="-6"/>
        </w:rPr>
        <w:t> </w:t>
      </w:r>
      <w:r>
        <w:rPr>
          <w:spacing w:val="-10"/>
        </w:rPr>
        <w:t>Systemic</w:t>
      </w:r>
      <w:r>
        <w:rPr>
          <w:spacing w:val="-6"/>
        </w:rPr>
        <w:t> </w:t>
      </w:r>
      <w:r>
        <w:rPr>
          <w:spacing w:val="-10"/>
        </w:rPr>
        <w:t>Perspective</w:t>
      </w:r>
    </w:p>
    <w:p>
      <w:pPr>
        <w:pStyle w:val="BodyText"/>
        <w:spacing w:before="7"/>
        <w:ind w:left="0"/>
        <w:jc w:val="left"/>
        <w:rPr>
          <w:rFonts w:ascii="Georgia"/>
          <w:b/>
          <w:sz w:val="18"/>
        </w:rPr>
      </w:pPr>
      <w:r>
        <w:rPr>
          <w:rFonts w:ascii="Georgia"/>
          <w:b/>
          <w:sz w:val="18"/>
        </w:rPr>
        <mc:AlternateContent>
          <mc:Choice Requires="wps">
            <w:drawing>
              <wp:anchor distT="0" distB="0" distL="0" distR="0" allowOverlap="1" layoutInCell="1" locked="0" behindDoc="1" simplePos="0" relativeHeight="487647744">
                <wp:simplePos x="0" y="0"/>
                <wp:positionH relativeFrom="page">
                  <wp:posOffset>1078864</wp:posOffset>
                </wp:positionH>
                <wp:positionV relativeFrom="paragraph">
                  <wp:posOffset>149823</wp:posOffset>
                </wp:positionV>
                <wp:extent cx="5252085" cy="52069"/>
                <wp:effectExtent l="0" t="0" r="0" b="0"/>
                <wp:wrapTopAndBottom/>
                <wp:docPr id="146" name="Graphic 146"/>
                <wp:cNvGraphicFramePr>
                  <a:graphicFrameLocks/>
                </wp:cNvGraphicFramePr>
                <a:graphic>
                  <a:graphicData uri="http://schemas.microsoft.com/office/word/2010/wordprocessingShape">
                    <wps:wsp>
                      <wps:cNvPr id="146" name="Graphic 146"/>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1.79711pt;width:413.55pt;height:4.1pt;mso-position-horizontal-relative:page;mso-position-vertical-relative:paragraph;z-index:-15668736;mso-wrap-distance-left:0;mso-wrap-distance-right:0" id="docshape137" filled="true" fillcolor="#000000" stroked="false">
                <v:fill type="solid"/>
                <w10:wrap type="topAndBottom"/>
              </v:rect>
            </w:pict>
          </mc:Fallback>
        </mc:AlternateContent>
      </w:r>
    </w:p>
    <w:p>
      <w:pPr>
        <w:pStyle w:val="BodyText"/>
        <w:ind w:left="0"/>
        <w:jc w:val="left"/>
        <w:rPr>
          <w:rFonts w:ascii="Georgia"/>
          <w:b/>
        </w:rPr>
      </w:pPr>
    </w:p>
    <w:p>
      <w:pPr>
        <w:pStyle w:val="BodyText"/>
        <w:spacing w:before="252"/>
        <w:ind w:left="0"/>
        <w:jc w:val="left"/>
        <w:rPr>
          <w:rFonts w:ascii="Georgia"/>
          <w:b/>
        </w:rPr>
      </w:pPr>
    </w:p>
    <w:p>
      <w:pPr>
        <w:pStyle w:val="BodyText"/>
        <w:spacing w:line="276" w:lineRule="auto"/>
        <w:ind w:right="1907" w:firstLine="720"/>
      </w:pPr>
      <w:r>
        <w:rPr/>
        <w:t>In the second chapter, we have noted that: “Different conceptual lenses lead analysts to different judgments about what is relevant and important.” (</w:t>
      </w:r>
      <w:hyperlink w:history="true" w:anchor="_bookmark73">
        <w:r>
          <w:rPr/>
          <w:t>Allison, 1971, p. 253</w:t>
        </w:r>
      </w:hyperlink>
      <w:r>
        <w:rPr/>
        <w:t>) This condition applies to the</w:t>
      </w:r>
      <w:r>
        <w:rPr>
          <w:spacing w:val="40"/>
        </w:rPr>
        <w:t> </w:t>
      </w:r>
      <w:r>
        <w:rPr/>
        <w:t>EU studies as well, scholars from distinct research background define the organization differenty and their views about integration are unalike.</w:t>
      </w:r>
      <w:r>
        <w:rPr>
          <w:spacing w:val="40"/>
        </w:rPr>
        <w:t> </w:t>
      </w:r>
      <w:r>
        <w:rPr/>
        <w:t>Thus, we are required to point out that each theory selectively explains the specific systemic elements of the community. While doing so, they often argue that the aspects they study are central for understanding the nature of integration. (</w:t>
      </w:r>
      <w:hyperlink w:history="true" w:anchor="_bookmark346">
        <w:r>
          <w:rPr/>
          <w:t>Puchala, 1972</w:t>
        </w:r>
      </w:hyperlink>
      <w:r>
        <w:rPr/>
        <w:t>) It is not a mistake </w:t>
      </w:r>
      <w:r>
        <w:rPr>
          <w:sz w:val="27"/>
        </w:rPr>
        <w:t>per se</w:t>
      </w:r>
      <w:r>
        <w:rPr/>
        <w:t>, to distinguish one facet of the process as being more important than the others. However, it is commonly observed that approaches inequitably generalize handful structural operations to the whole system. (</w:t>
      </w:r>
      <w:hyperlink w:history="true" w:anchor="_bookmark260">
        <w:r>
          <w:rPr/>
          <w:t>Lindberg, 1970, p. 650</w:t>
        </w:r>
      </w:hyperlink>
      <w:r>
        <w:rPr/>
        <w:t>)</w:t>
      </w:r>
    </w:p>
    <w:p>
      <w:pPr>
        <w:pStyle w:val="BodyText"/>
        <w:spacing w:line="327" w:lineRule="exact"/>
        <w:ind w:left="1700"/>
      </w:pPr>
      <w:r>
        <w:rPr/>
        <w:t>The</w:t>
      </w:r>
      <w:r>
        <w:rPr>
          <w:spacing w:val="14"/>
        </w:rPr>
        <w:t> </w:t>
      </w:r>
      <w:r>
        <w:rPr/>
        <w:t>majority</w:t>
      </w:r>
      <w:r>
        <w:rPr>
          <w:spacing w:val="15"/>
        </w:rPr>
        <w:t> </w:t>
      </w:r>
      <w:r>
        <w:rPr/>
        <w:t>of</w:t>
      </w:r>
      <w:r>
        <w:rPr>
          <w:spacing w:val="14"/>
        </w:rPr>
        <w:t> </w:t>
      </w:r>
      <w:r>
        <w:rPr/>
        <w:t>scientists</w:t>
      </w:r>
      <w:r>
        <w:rPr>
          <w:spacing w:val="13"/>
        </w:rPr>
        <w:t> </w:t>
      </w:r>
      <w:r>
        <w:rPr/>
        <w:t>who</w:t>
      </w:r>
      <w:r>
        <w:rPr>
          <w:spacing w:val="13"/>
        </w:rPr>
        <w:t> </w:t>
      </w:r>
      <w:r>
        <w:rPr/>
        <w:t>study</w:t>
      </w:r>
      <w:r>
        <w:rPr>
          <w:spacing w:val="14"/>
        </w:rPr>
        <w:t> </w:t>
      </w:r>
      <w:r>
        <w:rPr/>
        <w:t>the</w:t>
      </w:r>
      <w:r>
        <w:rPr>
          <w:spacing w:val="15"/>
        </w:rPr>
        <w:t> </w:t>
      </w:r>
      <w:r>
        <w:rPr/>
        <w:t>EU</w:t>
      </w:r>
      <w:r>
        <w:rPr>
          <w:spacing w:val="15"/>
        </w:rPr>
        <w:t> </w:t>
      </w:r>
      <w:r>
        <w:rPr/>
        <w:t>assert</w:t>
      </w:r>
      <w:r>
        <w:rPr>
          <w:spacing w:val="15"/>
        </w:rPr>
        <w:t> </w:t>
      </w:r>
      <w:r>
        <w:rPr/>
        <w:t>that</w:t>
      </w:r>
      <w:r>
        <w:rPr>
          <w:spacing w:val="15"/>
        </w:rPr>
        <w:t> </w:t>
      </w:r>
      <w:r>
        <w:rPr/>
        <w:t>the</w:t>
      </w:r>
      <w:r>
        <w:rPr>
          <w:spacing w:val="15"/>
        </w:rPr>
        <w:t> </w:t>
      </w:r>
      <w:r>
        <w:rPr/>
        <w:t>entity</w:t>
      </w:r>
      <w:r>
        <w:rPr>
          <w:spacing w:val="15"/>
        </w:rPr>
        <w:t> </w:t>
      </w:r>
      <w:r>
        <w:rPr>
          <w:spacing w:val="-5"/>
        </w:rPr>
        <w:t>is</w:t>
      </w:r>
    </w:p>
    <w:p>
      <w:pPr>
        <w:pStyle w:val="BodyText"/>
        <w:spacing w:line="276" w:lineRule="auto" w:before="41"/>
        <w:ind w:right="1907"/>
      </w:pPr>
      <w:r>
        <w:rPr>
          <w:sz w:val="27"/>
        </w:rPr>
        <w:t>sui generis </w:t>
      </w:r>
      <w:r>
        <w:rPr/>
        <w:t>and the systemic relations are held in multidimensional space. (</w:t>
      </w:r>
      <w:hyperlink w:history="true" w:anchor="_bookmark109">
        <w:r>
          <w:rPr/>
          <w:t>Börzel &amp; Heard-Lauréote, 2009, p. 135</w:t>
        </w:r>
      </w:hyperlink>
      <w:r>
        <w:rPr/>
        <w:t>) This space is co-produced by the intergovernmental and supranational agents.</w:t>
      </w:r>
      <w:r>
        <w:rPr>
          <w:position w:val="7"/>
          <w:sz w:val="15"/>
        </w:rPr>
        <w:t>24</w:t>
      </w:r>
      <w:r>
        <w:rPr>
          <w:spacing w:val="40"/>
          <w:position w:val="7"/>
          <w:sz w:val="15"/>
        </w:rPr>
        <w:t> </w:t>
      </w:r>
      <w:r>
        <w:rPr/>
        <w:t>The two-dimensional distinction is relevant; however, the analysis which is designed on cause- effect basis can be misleading. It is convenient to maintain that intergovernmental bargains, decide the level of supranational governance. Likewise, it is hard to reason against the idea that supranational institutions are capable to affect the process of integration in various ways. (</w:t>
      </w:r>
      <w:hyperlink w:history="true" w:anchor="_bookmark367">
        <w:r>
          <w:rPr/>
          <w:t>Sandholtz,</w:t>
        </w:r>
      </w:hyperlink>
      <w:r>
        <w:rPr/>
        <w:t> </w:t>
      </w:r>
      <w:hyperlink w:history="true" w:anchor="_bookmark367">
        <w:r>
          <w:rPr/>
          <w:t>1993, p. 3</w:t>
        </w:r>
      </w:hyperlink>
      <w:r>
        <w:rPr/>
        <w:t>) The problem is that if we advocate one or another, we might miss the point, where the dimensions collaborate to achieve predefined systemic goals.</w:t>
      </w:r>
    </w:p>
    <w:p>
      <w:pPr>
        <w:pStyle w:val="BodyText"/>
        <w:ind w:left="0"/>
        <w:jc w:val="left"/>
        <w:rPr>
          <w:sz w:val="20"/>
        </w:rPr>
      </w:pPr>
    </w:p>
    <w:p>
      <w:pPr>
        <w:pStyle w:val="BodyText"/>
        <w:spacing w:before="234"/>
        <w:ind w:left="0"/>
        <w:jc w:val="left"/>
        <w:rPr>
          <w:sz w:val="20"/>
        </w:rPr>
      </w:pPr>
      <w:r>
        <w:rPr>
          <w:sz w:val="20"/>
        </w:rPr>
        <mc:AlternateContent>
          <mc:Choice Requires="wps">
            <w:drawing>
              <wp:anchor distT="0" distB="0" distL="0" distR="0" allowOverlap="1" layoutInCell="1" locked="0" behindDoc="1" simplePos="0" relativeHeight="487648256">
                <wp:simplePos x="0" y="0"/>
                <wp:positionH relativeFrom="page">
                  <wp:posOffset>1079296</wp:posOffset>
                </wp:positionH>
                <wp:positionV relativeFrom="paragraph">
                  <wp:posOffset>331100</wp:posOffset>
                </wp:positionV>
                <wp:extent cx="1830070" cy="9525"/>
                <wp:effectExtent l="0" t="0" r="0" b="0"/>
                <wp:wrapTopAndBottom/>
                <wp:docPr id="147" name="Graphic 147"/>
                <wp:cNvGraphicFramePr>
                  <a:graphicFrameLocks/>
                </wp:cNvGraphicFramePr>
                <a:graphic>
                  <a:graphicData uri="http://schemas.microsoft.com/office/word/2010/wordprocessingShape">
                    <wps:wsp>
                      <wps:cNvPr id="147" name="Graphic 147"/>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26.070904pt;width:144.07pt;height:.72003pt;mso-position-horizontal-relative:page;mso-position-vertical-relative:paragraph;z-index:-15668224;mso-wrap-distance-left:0;mso-wrap-distance-right:0" id="docshape138" filled="true" fillcolor="#000000" stroked="false">
                <v:fill type="solid"/>
                <w10:wrap type="topAndBottom"/>
              </v:rect>
            </w:pict>
          </mc:Fallback>
        </mc:AlternateContent>
      </w:r>
    </w:p>
    <w:p>
      <w:pPr>
        <w:spacing w:before="103"/>
        <w:ind w:left="979" w:right="0" w:firstLine="0"/>
        <w:jc w:val="left"/>
        <w:rPr>
          <w:rFonts w:ascii="Calibri"/>
          <w:sz w:val="20"/>
        </w:rPr>
      </w:pPr>
      <w:r>
        <w:rPr>
          <w:rFonts w:ascii="Calibri"/>
          <w:sz w:val="20"/>
          <w:vertAlign w:val="superscript"/>
        </w:rPr>
        <w:t>24</w:t>
      </w:r>
      <w:r>
        <w:rPr>
          <w:rFonts w:ascii="Calibri"/>
          <w:sz w:val="20"/>
          <w:vertAlign w:val="baseline"/>
        </w:rPr>
        <w:t> With</w:t>
      </w:r>
      <w:r>
        <w:rPr>
          <w:rFonts w:ascii="Calibri"/>
          <w:spacing w:val="-6"/>
          <w:sz w:val="20"/>
          <w:vertAlign w:val="baseline"/>
        </w:rPr>
        <w:t> </w:t>
      </w:r>
      <w:r>
        <w:rPr>
          <w:rFonts w:ascii="Calibri"/>
          <w:sz w:val="20"/>
          <w:vertAlign w:val="baseline"/>
        </w:rPr>
        <w:t>active</w:t>
      </w:r>
      <w:r>
        <w:rPr>
          <w:rFonts w:ascii="Calibri"/>
          <w:spacing w:val="-5"/>
          <w:sz w:val="20"/>
          <w:vertAlign w:val="baseline"/>
        </w:rPr>
        <w:t> </w:t>
      </w:r>
      <w:r>
        <w:rPr>
          <w:rFonts w:ascii="Calibri"/>
          <w:sz w:val="20"/>
          <w:vertAlign w:val="baseline"/>
        </w:rPr>
        <w:t>participation</w:t>
      </w:r>
      <w:r>
        <w:rPr>
          <w:rFonts w:ascii="Calibri"/>
          <w:spacing w:val="-6"/>
          <w:sz w:val="20"/>
          <w:vertAlign w:val="baseline"/>
        </w:rPr>
        <w:t> </w:t>
      </w:r>
      <w:r>
        <w:rPr>
          <w:rFonts w:ascii="Calibri"/>
          <w:sz w:val="20"/>
          <w:vertAlign w:val="baseline"/>
        </w:rPr>
        <w:t>of</w:t>
      </w:r>
      <w:r>
        <w:rPr>
          <w:rFonts w:ascii="Calibri"/>
          <w:spacing w:val="-6"/>
          <w:sz w:val="20"/>
          <w:vertAlign w:val="baseline"/>
        </w:rPr>
        <w:t> </w:t>
      </w:r>
      <w:r>
        <w:rPr>
          <w:rFonts w:ascii="Calibri"/>
          <w:sz w:val="20"/>
          <w:vertAlign w:val="baseline"/>
        </w:rPr>
        <w:t>non-state</w:t>
      </w:r>
      <w:r>
        <w:rPr>
          <w:rFonts w:ascii="Calibri"/>
          <w:spacing w:val="-5"/>
          <w:sz w:val="20"/>
          <w:vertAlign w:val="baseline"/>
        </w:rPr>
        <w:t> </w:t>
      </w:r>
      <w:r>
        <w:rPr>
          <w:rFonts w:ascii="Calibri"/>
          <w:spacing w:val="-2"/>
          <w:sz w:val="20"/>
          <w:vertAlign w:val="baseline"/>
        </w:rPr>
        <w:t>actors</w:t>
      </w:r>
    </w:p>
    <w:p>
      <w:pPr>
        <w:spacing w:after="0"/>
        <w:jc w:val="left"/>
        <w:rPr>
          <w:rFonts w:ascii="Calibri"/>
          <w:sz w:val="20"/>
        </w:rPr>
        <w:sectPr>
          <w:pgSz w:w="12240" w:h="15840"/>
          <w:pgMar w:header="1046" w:footer="0" w:top="1360" w:bottom="280" w:left="720" w:right="360"/>
        </w:sectPr>
      </w:pPr>
    </w:p>
    <w:p>
      <w:pPr>
        <w:pStyle w:val="BodyText"/>
        <w:spacing w:line="276" w:lineRule="auto" w:before="266"/>
        <w:ind w:right="1906" w:firstLine="720"/>
      </w:pPr>
      <w:r>
        <w:rPr>
          <w:sz w:val="27"/>
        </w:rPr>
        <w:t>Branch </w:t>
      </w:r>
      <w:r>
        <w:rPr/>
        <w:t>and </w:t>
      </w:r>
      <w:r>
        <w:rPr>
          <w:sz w:val="27"/>
        </w:rPr>
        <w:t>Ohrgaard </w:t>
      </w:r>
      <w:r>
        <w:rPr/>
        <w:t>argue</w:t>
      </w:r>
      <w:r>
        <w:rPr>
          <w:spacing w:val="40"/>
        </w:rPr>
        <w:t> </w:t>
      </w:r>
      <w:r>
        <w:rPr/>
        <w:t>‘supranational–intergovernmental dichotomy,’</w:t>
      </w:r>
      <w:r>
        <w:rPr>
          <w:spacing w:val="40"/>
        </w:rPr>
        <w:t> </w:t>
      </w:r>
      <w:r>
        <w:rPr/>
        <w:t>which claims that “the key actors involved and the</w:t>
      </w:r>
      <w:r>
        <w:rPr>
          <w:spacing w:val="40"/>
        </w:rPr>
        <w:t> </w:t>
      </w:r>
      <w:r>
        <w:rPr/>
        <w:t>institutional context of their interactions are either supranational or intergovernmental… leads to an unhelpful focus on the formal characteristics of the actors at the expense of the processes which characterize, and flow from, their interactions, making the latter entirely dependent on the former.” (</w:t>
      </w:r>
      <w:hyperlink w:history="true" w:anchor="_bookmark115">
        <w:r>
          <w:rPr/>
          <w:t>Branch &amp; Ohrgaard, 1999, p. 124</w:t>
        </w:r>
      </w:hyperlink>
      <w:r>
        <w:rPr/>
        <w:t>)</w:t>
      </w:r>
    </w:p>
    <w:p>
      <w:pPr>
        <w:pStyle w:val="BodyText"/>
        <w:spacing w:line="271" w:lineRule="auto"/>
        <w:ind w:right="1898" w:firstLine="720"/>
      </w:pPr>
      <w:r>
        <w:rPr/>
        <w:t>Instead of a rigid division into operational levels, we would like to propose a systemic distinction of </w:t>
      </w:r>
      <w:r>
        <w:rPr>
          <w:sz w:val="27"/>
        </w:rPr>
        <w:t>organization </w:t>
      </w:r>
      <w:r>
        <w:rPr/>
        <w:t>and </w:t>
      </w:r>
      <w:r>
        <w:rPr>
          <w:sz w:val="27"/>
        </w:rPr>
        <w:t>structure</w:t>
      </w:r>
      <w:r>
        <w:rPr/>
        <w:t>. This model follows the one explained in the third chapter.</w:t>
      </w:r>
    </w:p>
    <w:p>
      <w:pPr>
        <w:pStyle w:val="BodyText"/>
        <w:spacing w:line="276" w:lineRule="auto"/>
        <w:ind w:right="1901" w:firstLine="720"/>
      </w:pPr>
      <w:r>
        <w:rPr/>
        <w:t>Organization substantiates the identity of the system, makes game changing decisions and ensures invariance of procedures in time. The structure is in charge of resources, makes couplings with the environment and generates information about the systemic challenges and opportunities. The studies of new governance show that the operational level does not necessarily categorize actors according to their formal positions in the structure. Our primary interest is to distinguish organizational tasks from structural ones.</w:t>
      </w:r>
    </w:p>
    <w:p>
      <w:pPr>
        <w:pStyle w:val="BodyText"/>
        <w:spacing w:line="276" w:lineRule="auto"/>
        <w:ind w:right="1909" w:firstLine="720"/>
      </w:pPr>
      <w:r>
        <w:rPr/>
        <w:t>The experience has revealed that if this distinction is not in place, even the most relevant explanatory schemes might become obsolete. Probably the most frequently reviewed examples of a systemic failure occurred in early neo-functionalism, with its core mechanism of spillover. </w:t>
      </w:r>
      <w:r>
        <w:rPr>
          <w:sz w:val="27"/>
        </w:rPr>
        <w:t>Ernst Haas </w:t>
      </w:r>
      <w:r>
        <w:rPr/>
        <w:t>and others have proposed well defined theoretical works on integration. The concept ‘spillover,’ which was introduced as a central integrative mechanism, was meant to describe a systemic operation. However, as we have indicated in the first chapter, the attempt was not entirely successful. Integration scholars, including neo-functionalists themselves, have suggested some reasons of failure. If we look at the theoretical problems from the systemic scope, several important factors can be pointed out:</w:t>
      </w:r>
    </w:p>
    <w:p>
      <w:pPr>
        <w:pStyle w:val="ListParagraph"/>
        <w:numPr>
          <w:ilvl w:val="0"/>
          <w:numId w:val="14"/>
        </w:numPr>
        <w:tabs>
          <w:tab w:pos="2058" w:val="left" w:leader="none"/>
        </w:tabs>
        <w:spacing w:line="335" w:lineRule="exact" w:before="0" w:after="0"/>
        <w:ind w:left="2058" w:right="0" w:hanging="358"/>
        <w:jc w:val="both"/>
        <w:rPr>
          <w:sz w:val="26"/>
        </w:rPr>
      </w:pPr>
      <w:r>
        <w:rPr>
          <w:sz w:val="26"/>
        </w:rPr>
        <w:t>Spill-over</w:t>
      </w:r>
      <w:r>
        <w:rPr>
          <w:spacing w:val="-10"/>
          <w:sz w:val="26"/>
        </w:rPr>
        <w:t> </w:t>
      </w:r>
      <w:r>
        <w:rPr>
          <w:sz w:val="26"/>
        </w:rPr>
        <w:t>took</w:t>
      </w:r>
      <w:r>
        <w:rPr>
          <w:spacing w:val="-9"/>
          <w:sz w:val="26"/>
        </w:rPr>
        <w:t> </w:t>
      </w:r>
      <w:r>
        <w:rPr>
          <w:sz w:val="26"/>
        </w:rPr>
        <w:t>place</w:t>
      </w:r>
      <w:r>
        <w:rPr>
          <w:spacing w:val="-10"/>
          <w:sz w:val="26"/>
        </w:rPr>
        <w:t> </w:t>
      </w:r>
      <w:r>
        <w:rPr>
          <w:sz w:val="26"/>
        </w:rPr>
        <w:t>in</w:t>
      </w:r>
      <w:r>
        <w:rPr>
          <w:spacing w:val="-9"/>
          <w:sz w:val="26"/>
        </w:rPr>
        <w:t> </w:t>
      </w:r>
      <w:r>
        <w:rPr>
          <w:sz w:val="26"/>
        </w:rPr>
        <w:t>the</w:t>
      </w:r>
      <w:r>
        <w:rPr>
          <w:spacing w:val="-6"/>
          <w:sz w:val="26"/>
        </w:rPr>
        <w:t> </w:t>
      </w:r>
      <w:r>
        <w:rPr>
          <w:sz w:val="27"/>
        </w:rPr>
        <w:t>structure</w:t>
      </w:r>
      <w:r>
        <w:rPr>
          <w:spacing w:val="-12"/>
          <w:sz w:val="27"/>
        </w:rPr>
        <w:t> </w:t>
      </w:r>
      <w:r>
        <w:rPr>
          <w:sz w:val="26"/>
        </w:rPr>
        <w:t>of</w:t>
      </w:r>
      <w:r>
        <w:rPr>
          <w:spacing w:val="-11"/>
          <w:sz w:val="26"/>
        </w:rPr>
        <w:t> </w:t>
      </w:r>
      <w:r>
        <w:rPr>
          <w:sz w:val="26"/>
        </w:rPr>
        <w:t>the</w:t>
      </w:r>
      <w:r>
        <w:rPr>
          <w:spacing w:val="-10"/>
          <w:sz w:val="26"/>
        </w:rPr>
        <w:t> </w:t>
      </w:r>
      <w:r>
        <w:rPr>
          <w:spacing w:val="-2"/>
          <w:sz w:val="26"/>
        </w:rPr>
        <w:t>system</w:t>
      </w:r>
    </w:p>
    <w:p>
      <w:pPr>
        <w:pStyle w:val="ListParagraph"/>
        <w:spacing w:after="0" w:line="335" w:lineRule="exact"/>
        <w:jc w:val="both"/>
        <w:rPr>
          <w:sz w:val="26"/>
        </w:rPr>
        <w:sectPr>
          <w:pgSz w:w="12240" w:h="15840"/>
          <w:pgMar w:header="1046" w:footer="0" w:top="1360" w:bottom="280" w:left="720" w:right="360"/>
        </w:sectPr>
      </w:pPr>
    </w:p>
    <w:p>
      <w:pPr>
        <w:pStyle w:val="ListParagraph"/>
        <w:numPr>
          <w:ilvl w:val="0"/>
          <w:numId w:val="14"/>
        </w:numPr>
        <w:tabs>
          <w:tab w:pos="2058" w:val="left" w:leader="none"/>
          <w:tab w:pos="2060" w:val="left" w:leader="none"/>
        </w:tabs>
        <w:spacing w:line="273" w:lineRule="auto" w:before="266" w:after="0"/>
        <w:ind w:left="2060" w:right="1913" w:hanging="360"/>
        <w:jc w:val="both"/>
        <w:rPr>
          <w:sz w:val="26"/>
        </w:rPr>
      </w:pPr>
      <w:r>
        <w:rPr>
          <w:sz w:val="27"/>
        </w:rPr>
        <w:t>Structural </w:t>
      </w:r>
      <w:r>
        <w:rPr>
          <w:sz w:val="26"/>
        </w:rPr>
        <w:t>procedures are temporal, therefore cannot be considered as main systemic operations</w:t>
      </w:r>
    </w:p>
    <w:p>
      <w:pPr>
        <w:pStyle w:val="ListParagraph"/>
        <w:numPr>
          <w:ilvl w:val="0"/>
          <w:numId w:val="14"/>
        </w:numPr>
        <w:tabs>
          <w:tab w:pos="2059" w:val="left" w:leader="none"/>
        </w:tabs>
        <w:spacing w:line="348" w:lineRule="exact" w:before="0" w:after="0"/>
        <w:ind w:left="2059" w:right="0" w:hanging="359"/>
        <w:jc w:val="both"/>
        <w:rPr>
          <w:sz w:val="27"/>
        </w:rPr>
      </w:pPr>
      <w:r>
        <w:rPr>
          <w:sz w:val="27"/>
        </w:rPr>
        <w:t>Structural</w:t>
      </w:r>
      <w:r>
        <w:rPr>
          <w:spacing w:val="58"/>
          <w:w w:val="150"/>
          <w:sz w:val="27"/>
        </w:rPr>
        <w:t> </w:t>
      </w:r>
      <w:r>
        <w:rPr>
          <w:sz w:val="26"/>
        </w:rPr>
        <w:t>operations</w:t>
      </w:r>
      <w:r>
        <w:rPr>
          <w:spacing w:val="62"/>
          <w:w w:val="150"/>
          <w:sz w:val="26"/>
        </w:rPr>
        <w:t> </w:t>
      </w:r>
      <w:r>
        <w:rPr>
          <w:sz w:val="26"/>
        </w:rPr>
        <w:t>are</w:t>
      </w:r>
      <w:r>
        <w:rPr>
          <w:spacing w:val="64"/>
          <w:w w:val="150"/>
          <w:sz w:val="26"/>
        </w:rPr>
        <w:t> </w:t>
      </w:r>
      <w:r>
        <w:rPr>
          <w:sz w:val="26"/>
        </w:rPr>
        <w:t>active</w:t>
      </w:r>
      <w:r>
        <w:rPr>
          <w:spacing w:val="64"/>
          <w:w w:val="150"/>
          <w:sz w:val="26"/>
        </w:rPr>
        <w:t> </w:t>
      </w:r>
      <w:r>
        <w:rPr>
          <w:sz w:val="26"/>
        </w:rPr>
        <w:t>as</w:t>
      </w:r>
      <w:r>
        <w:rPr>
          <w:spacing w:val="66"/>
          <w:w w:val="150"/>
          <w:sz w:val="26"/>
        </w:rPr>
        <w:t> </w:t>
      </w:r>
      <w:r>
        <w:rPr>
          <w:sz w:val="26"/>
        </w:rPr>
        <w:t>long</w:t>
      </w:r>
      <w:r>
        <w:rPr>
          <w:spacing w:val="69"/>
          <w:w w:val="150"/>
          <w:sz w:val="26"/>
        </w:rPr>
        <w:t> </w:t>
      </w:r>
      <w:r>
        <w:rPr>
          <w:sz w:val="26"/>
        </w:rPr>
        <w:t>as</w:t>
      </w:r>
      <w:r>
        <w:rPr>
          <w:spacing w:val="62"/>
          <w:w w:val="150"/>
          <w:sz w:val="26"/>
        </w:rPr>
        <w:t> </w:t>
      </w:r>
      <w:r>
        <w:rPr>
          <w:sz w:val="26"/>
        </w:rPr>
        <w:t>the</w:t>
      </w:r>
      <w:r>
        <w:rPr>
          <w:spacing w:val="72"/>
          <w:w w:val="150"/>
          <w:sz w:val="26"/>
        </w:rPr>
        <w:t> </w:t>
      </w:r>
      <w:r>
        <w:rPr>
          <w:spacing w:val="-2"/>
          <w:sz w:val="27"/>
        </w:rPr>
        <w:t>organization</w:t>
      </w:r>
    </w:p>
    <w:p>
      <w:pPr>
        <w:pStyle w:val="BodyText"/>
        <w:spacing w:before="48"/>
        <w:ind w:left="2060"/>
      </w:pPr>
      <w:r>
        <w:rPr/>
        <w:t>requires</w:t>
      </w:r>
      <w:r>
        <w:rPr>
          <w:spacing w:val="-9"/>
        </w:rPr>
        <w:t> </w:t>
      </w:r>
      <w:r>
        <w:rPr/>
        <w:t>their</w:t>
      </w:r>
      <w:r>
        <w:rPr>
          <w:spacing w:val="-7"/>
        </w:rPr>
        <w:t> </w:t>
      </w:r>
      <w:r>
        <w:rPr>
          <w:spacing w:val="-4"/>
        </w:rPr>
        <w:t>work</w:t>
      </w:r>
    </w:p>
    <w:p>
      <w:pPr>
        <w:pStyle w:val="ListParagraph"/>
        <w:numPr>
          <w:ilvl w:val="0"/>
          <w:numId w:val="14"/>
        </w:numPr>
        <w:tabs>
          <w:tab w:pos="2060" w:val="left" w:leader="none"/>
        </w:tabs>
        <w:spacing w:line="273" w:lineRule="auto" w:before="41" w:after="0"/>
        <w:ind w:left="2060" w:right="1907" w:hanging="360"/>
        <w:jc w:val="both"/>
        <w:rPr>
          <w:sz w:val="26"/>
        </w:rPr>
      </w:pPr>
      <w:r>
        <w:rPr>
          <w:sz w:val="27"/>
        </w:rPr>
        <w:t>Structural </w:t>
      </w:r>
      <w:r>
        <w:rPr>
          <w:sz w:val="26"/>
        </w:rPr>
        <w:t>operations are tenuous towards the </w:t>
      </w:r>
      <w:r>
        <w:rPr>
          <w:sz w:val="27"/>
        </w:rPr>
        <w:t>environment </w:t>
      </w:r>
      <w:r>
        <w:rPr>
          <w:sz w:val="26"/>
        </w:rPr>
        <w:t>and towards the organization</w:t>
      </w:r>
    </w:p>
    <w:p>
      <w:pPr>
        <w:pStyle w:val="ListParagraph"/>
        <w:numPr>
          <w:ilvl w:val="0"/>
          <w:numId w:val="14"/>
        </w:numPr>
        <w:tabs>
          <w:tab w:pos="2060" w:val="left" w:leader="none"/>
        </w:tabs>
        <w:spacing w:line="276" w:lineRule="auto" w:before="2" w:after="0"/>
        <w:ind w:left="2060" w:right="1911" w:hanging="360"/>
        <w:jc w:val="both"/>
        <w:rPr>
          <w:sz w:val="26"/>
        </w:rPr>
      </w:pPr>
      <w:r>
        <w:rPr>
          <w:sz w:val="26"/>
        </w:rPr>
        <w:t>The structural operations, which are based on positive feedback will systemic collapse, if negative feedback is not involved to stabilize the organization.</w:t>
      </w:r>
    </w:p>
    <w:p>
      <w:pPr>
        <w:pStyle w:val="ListParagraph"/>
        <w:numPr>
          <w:ilvl w:val="0"/>
          <w:numId w:val="14"/>
        </w:numPr>
        <w:tabs>
          <w:tab w:pos="2060" w:val="left" w:leader="none"/>
        </w:tabs>
        <w:spacing w:line="276" w:lineRule="auto" w:before="0" w:after="0"/>
        <w:ind w:left="2060" w:right="1917" w:hanging="360"/>
        <w:jc w:val="both"/>
        <w:rPr>
          <w:sz w:val="26"/>
        </w:rPr>
      </w:pPr>
      <w:r>
        <w:rPr>
          <w:sz w:val="26"/>
        </w:rPr>
        <w:t>Interrupting the systemic operation causes disintegration of the system. This was not a case for the European communities.</w:t>
      </w:r>
    </w:p>
    <w:p>
      <w:pPr>
        <w:pStyle w:val="BodyText"/>
        <w:spacing w:line="276" w:lineRule="auto"/>
        <w:ind w:right="1903"/>
      </w:pPr>
      <w:r>
        <w:rPr/>
        <w:t>In the third chapter, we have argued, that the system can change state in different ways, for different reasons. These reasons might be explicit or implicit. The uncertainties in the process of integration concerns the organization of the system. To understand the systemic behavior, theorists of the integration have to find trends in past decisions and make empirical calculations about the future. However, due to the non-linear integrative progression, the trends cannot be observed in a continuous manner.</w:t>
      </w:r>
    </w:p>
    <w:p>
      <w:pPr>
        <w:pStyle w:val="BodyText"/>
        <w:spacing w:line="273" w:lineRule="auto"/>
        <w:ind w:right="1914" w:firstLine="720"/>
      </w:pPr>
      <w:r>
        <w:rPr/>
        <w:t>Atypical challenges, security threats, the unfavorable economic situation and other global developments can impose unstructured limits on organizational</w:t>
      </w:r>
      <w:r>
        <w:rPr>
          <w:spacing w:val="-6"/>
        </w:rPr>
        <w:t> </w:t>
      </w:r>
      <w:r>
        <w:rPr/>
        <w:t>decisions.</w:t>
      </w:r>
      <w:r>
        <w:rPr>
          <w:spacing w:val="-3"/>
        </w:rPr>
        <w:t> </w:t>
      </w:r>
      <w:r>
        <w:rPr/>
        <w:t>This</w:t>
      </w:r>
      <w:r>
        <w:rPr>
          <w:spacing w:val="-6"/>
        </w:rPr>
        <w:t> </w:t>
      </w:r>
      <w:r>
        <w:rPr/>
        <w:t>condition</w:t>
      </w:r>
      <w:r>
        <w:rPr>
          <w:spacing w:val="-3"/>
        </w:rPr>
        <w:t> </w:t>
      </w:r>
      <w:r>
        <w:rPr/>
        <w:t>makes</w:t>
      </w:r>
      <w:r>
        <w:rPr>
          <w:spacing w:val="-6"/>
        </w:rPr>
        <w:t> </w:t>
      </w:r>
      <w:r>
        <w:rPr/>
        <w:t>it</w:t>
      </w:r>
      <w:r>
        <w:rPr>
          <w:spacing w:val="-4"/>
        </w:rPr>
        <w:t> </w:t>
      </w:r>
      <w:r>
        <w:rPr/>
        <w:t>hard</w:t>
      </w:r>
      <w:r>
        <w:rPr>
          <w:spacing w:val="-2"/>
        </w:rPr>
        <w:t> </w:t>
      </w:r>
      <w:r>
        <w:rPr/>
        <w:t>for</w:t>
      </w:r>
      <w:r>
        <w:rPr>
          <w:spacing w:val="-3"/>
        </w:rPr>
        <w:t> </w:t>
      </w:r>
      <w:r>
        <w:rPr/>
        <w:t>any</w:t>
      </w:r>
      <w:r>
        <w:rPr>
          <w:spacing w:val="-4"/>
        </w:rPr>
        <w:t> </w:t>
      </w:r>
      <w:r>
        <w:rPr/>
        <w:t>theory</w:t>
      </w:r>
      <w:r>
        <w:rPr>
          <w:spacing w:val="-4"/>
        </w:rPr>
        <w:t> </w:t>
      </w:r>
      <w:r>
        <w:rPr/>
        <w:t>to</w:t>
      </w:r>
      <w:r>
        <w:rPr>
          <w:spacing w:val="-7"/>
        </w:rPr>
        <w:t> </w:t>
      </w:r>
      <w:r>
        <w:rPr/>
        <w:t>find a trend of systemic change. As </w:t>
      </w:r>
      <w:r>
        <w:rPr>
          <w:sz w:val="27"/>
        </w:rPr>
        <w:t>Ben Rosamond </w:t>
      </w:r>
      <w:r>
        <w:rPr/>
        <w:t>argues, the scholars of the European Integration are “playing a game of ‘catch-up’ with often a fast moving entity [EU].” (</w:t>
      </w:r>
      <w:hyperlink w:history="true" w:anchor="_bookmark357">
        <w:r>
          <w:rPr/>
          <w:t>Rosamond, 2007, p. 233</w:t>
        </w:r>
      </w:hyperlink>
      <w:r>
        <w:rPr/>
        <w:t>)</w:t>
      </w:r>
    </w:p>
    <w:p>
      <w:pPr>
        <w:pStyle w:val="BodyText"/>
        <w:spacing w:line="273" w:lineRule="auto" w:before="5"/>
        <w:ind w:right="1907" w:firstLine="787"/>
      </w:pPr>
      <w:r>
        <w:rPr/>
        <w:t>Early decisions for integrating several interconnected areas in the European communities, made researchers optimistic about the possibilities to envisage the shift of loyalties from national to supranational level.</w:t>
      </w:r>
      <w:r>
        <w:rPr>
          <w:spacing w:val="40"/>
        </w:rPr>
        <w:t> </w:t>
      </w:r>
      <w:r>
        <w:rPr>
          <w:sz w:val="27"/>
        </w:rPr>
        <w:t>Haas </w:t>
      </w:r>
      <w:r>
        <w:rPr/>
        <w:t>argued and </w:t>
      </w:r>
      <w:r>
        <w:rPr>
          <w:sz w:val="27"/>
        </w:rPr>
        <w:t>Lindberg </w:t>
      </w:r>
      <w:r>
        <w:rPr/>
        <w:t>mostly shared his views, that “acceleration of the integration process could be ‘safely predicted’ and that it might lead to a ‘political community of Europe’ within a decade.” (</w:t>
      </w:r>
      <w:hyperlink w:history="true" w:anchor="_bookmark412">
        <w:r>
          <w:rPr/>
          <w:t>Tranholm-Mikkelsen,</w:t>
        </w:r>
      </w:hyperlink>
      <w:r>
        <w:rPr/>
        <w:t> </w:t>
      </w:r>
      <w:hyperlink w:history="true" w:anchor="_bookmark412">
        <w:r>
          <w:rPr/>
          <w:t>1991, p. 6</w:t>
        </w:r>
      </w:hyperlink>
      <w:r>
        <w:rPr/>
        <w:t>) However, developments have shown that after a technical limit was</w:t>
      </w:r>
      <w:r>
        <w:rPr>
          <w:spacing w:val="40"/>
        </w:rPr>
        <w:t> </w:t>
      </w:r>
      <w:r>
        <w:rPr/>
        <w:t>reached,</w:t>
      </w:r>
      <w:r>
        <w:rPr>
          <w:spacing w:val="40"/>
        </w:rPr>
        <w:t> </w:t>
      </w:r>
      <w:r>
        <w:rPr/>
        <w:t>the</w:t>
      </w:r>
      <w:r>
        <w:rPr>
          <w:spacing w:val="40"/>
        </w:rPr>
        <w:t> </w:t>
      </w:r>
      <w:r>
        <w:rPr/>
        <w:t>complexity</w:t>
      </w:r>
      <w:r>
        <w:rPr>
          <w:spacing w:val="40"/>
        </w:rPr>
        <w:t> </w:t>
      </w:r>
      <w:r>
        <w:rPr/>
        <w:t>of</w:t>
      </w:r>
      <w:r>
        <w:rPr>
          <w:spacing w:val="40"/>
        </w:rPr>
        <w:t> </w:t>
      </w:r>
      <w:r>
        <w:rPr/>
        <w:t>the</w:t>
      </w:r>
      <w:r>
        <w:rPr>
          <w:spacing w:val="40"/>
        </w:rPr>
        <w:t> </w:t>
      </w:r>
      <w:r>
        <w:rPr/>
        <w:t>political</w:t>
      </w:r>
      <w:r>
        <w:rPr>
          <w:spacing w:val="40"/>
        </w:rPr>
        <w:t> </w:t>
      </w:r>
      <w:r>
        <w:rPr/>
        <w:t>process</w:t>
      </w:r>
      <w:r>
        <w:rPr>
          <w:spacing w:val="40"/>
        </w:rPr>
        <w:t> </w:t>
      </w:r>
      <w:r>
        <w:rPr/>
        <w:t>unveiled</w:t>
      </w:r>
      <w:r>
        <w:rPr>
          <w:spacing w:val="40"/>
        </w:rPr>
        <w:t> </w:t>
      </w:r>
      <w:r>
        <w:rPr/>
        <w:t>itself.</w:t>
      </w:r>
      <w:r>
        <w:rPr>
          <w:spacing w:val="40"/>
        </w:rPr>
        <w:t> </w:t>
      </w:r>
      <w:r>
        <w:rPr/>
        <w:t>For</w:t>
      </w:r>
    </w:p>
    <w:p>
      <w:pPr>
        <w:pStyle w:val="BodyText"/>
        <w:spacing w:after="0" w:line="273" w:lineRule="auto"/>
        <w:sectPr>
          <w:pgSz w:w="12240" w:h="15840"/>
          <w:pgMar w:header="1046" w:footer="0" w:top="1360" w:bottom="280" w:left="720" w:right="360"/>
        </w:sectPr>
      </w:pPr>
    </w:p>
    <w:p>
      <w:pPr>
        <w:pStyle w:val="BodyText"/>
        <w:spacing w:line="273" w:lineRule="auto" w:before="276"/>
        <w:ind w:right="1908"/>
      </w:pPr>
      <w:r>
        <w:rPr/>
        <w:t>instance, “EMU implies that single monetary policy established by the Maastricht Treaty and the introduction of the single currency in 1999 has gradually exposed the need to move ahead with other functionally linked policy</w:t>
      </w:r>
      <w:r>
        <w:rPr>
          <w:spacing w:val="-4"/>
        </w:rPr>
        <w:t> </w:t>
      </w:r>
      <w:r>
        <w:rPr/>
        <w:t>areas,</w:t>
      </w:r>
      <w:r>
        <w:rPr>
          <w:spacing w:val="-2"/>
        </w:rPr>
        <w:t> </w:t>
      </w:r>
      <w:r>
        <w:rPr/>
        <w:t>which</w:t>
      </w:r>
      <w:r>
        <w:rPr>
          <w:spacing w:val="-3"/>
        </w:rPr>
        <w:t> </w:t>
      </w:r>
      <w:r>
        <w:rPr/>
        <w:t>due</w:t>
      </w:r>
      <w:r>
        <w:rPr>
          <w:spacing w:val="-3"/>
        </w:rPr>
        <w:t> </w:t>
      </w:r>
      <w:r>
        <w:rPr/>
        <w:t>to</w:t>
      </w:r>
      <w:r>
        <w:rPr>
          <w:spacing w:val="-6"/>
        </w:rPr>
        <w:t> </w:t>
      </w:r>
      <w:r>
        <w:rPr/>
        <w:t>political</w:t>
      </w:r>
      <w:r>
        <w:rPr>
          <w:spacing w:val="-6"/>
        </w:rPr>
        <w:t> </w:t>
      </w:r>
      <w:r>
        <w:rPr/>
        <w:t>reasons were</w:t>
      </w:r>
      <w:r>
        <w:rPr>
          <w:spacing w:val="-3"/>
        </w:rPr>
        <w:t> </w:t>
      </w:r>
      <w:r>
        <w:rPr/>
        <w:t>left</w:t>
      </w:r>
      <w:r>
        <w:rPr>
          <w:spacing w:val="-3"/>
        </w:rPr>
        <w:t> </w:t>
      </w:r>
      <w:r>
        <w:rPr/>
        <w:t>under</w:t>
      </w:r>
      <w:r>
        <w:rPr>
          <w:spacing w:val="-7"/>
        </w:rPr>
        <w:t> </w:t>
      </w:r>
      <w:r>
        <w:rPr/>
        <w:t>the</w:t>
      </w:r>
      <w:r>
        <w:rPr>
          <w:spacing w:val="-3"/>
        </w:rPr>
        <w:t> </w:t>
      </w:r>
      <w:r>
        <w:rPr/>
        <w:t>competences of member states when the </w:t>
      </w:r>
      <w:r>
        <w:rPr>
          <w:sz w:val="27"/>
        </w:rPr>
        <w:t>eurozone </w:t>
      </w:r>
      <w:r>
        <w:rPr/>
        <w:t>was created.” (</w:t>
      </w:r>
      <w:hyperlink w:history="true" w:anchor="_bookmark419">
        <w:r>
          <w:rPr/>
          <w:t>Vilpišauskas, 2013, p.</w:t>
        </w:r>
      </w:hyperlink>
      <w:r>
        <w:rPr/>
        <w:t> </w:t>
      </w:r>
      <w:hyperlink w:history="true" w:anchor="_bookmark419">
        <w:r>
          <w:rPr>
            <w:spacing w:val="-4"/>
          </w:rPr>
          <w:t>364</w:t>
        </w:r>
      </w:hyperlink>
      <w:r>
        <w:rPr>
          <w:spacing w:val="-4"/>
        </w:rPr>
        <w:t>)</w:t>
      </w:r>
    </w:p>
    <w:p>
      <w:pPr>
        <w:pStyle w:val="BodyText"/>
        <w:spacing w:line="271" w:lineRule="auto" w:before="6"/>
        <w:ind w:right="1908" w:firstLine="720"/>
      </w:pPr>
      <w:r>
        <w:rPr/>
        <w:t>Development of the functionalism and neo-functionalism was an evolutionary process and largely followed corresponding changes in sociology and political science. Both approaches derive from a tradition which signifies the importance of individual needs. </w:t>
      </w:r>
      <w:r>
        <w:rPr>
          <w:sz w:val="27"/>
        </w:rPr>
        <w:t>James O’Leary </w:t>
      </w:r>
      <w:r>
        <w:rPr/>
        <w:t>rightly observed</w:t>
      </w:r>
      <w:r>
        <w:rPr>
          <w:spacing w:val="-17"/>
        </w:rPr>
        <w:t> </w:t>
      </w:r>
      <w:r>
        <w:rPr/>
        <w:t>connections</w:t>
      </w:r>
      <w:r>
        <w:rPr>
          <w:spacing w:val="-16"/>
        </w:rPr>
        <w:t> </w:t>
      </w:r>
      <w:r>
        <w:rPr/>
        <w:t>between</w:t>
      </w:r>
      <w:r>
        <w:rPr>
          <w:spacing w:val="-16"/>
        </w:rPr>
        <w:t> </w:t>
      </w:r>
      <w:r>
        <w:rPr/>
        <w:t>the</w:t>
      </w:r>
      <w:r>
        <w:rPr>
          <w:spacing w:val="-16"/>
        </w:rPr>
        <w:t> </w:t>
      </w:r>
      <w:r>
        <w:rPr/>
        <w:t>works</w:t>
      </w:r>
      <w:r>
        <w:rPr>
          <w:spacing w:val="-17"/>
        </w:rPr>
        <w:t> </w:t>
      </w:r>
      <w:r>
        <w:rPr/>
        <w:t>of</w:t>
      </w:r>
      <w:r>
        <w:rPr>
          <w:spacing w:val="-16"/>
        </w:rPr>
        <w:t> </w:t>
      </w:r>
      <w:r>
        <w:rPr>
          <w:sz w:val="27"/>
        </w:rPr>
        <w:t>Talcott</w:t>
      </w:r>
      <w:r>
        <w:rPr>
          <w:spacing w:val="-17"/>
          <w:sz w:val="27"/>
        </w:rPr>
        <w:t> </w:t>
      </w:r>
      <w:r>
        <w:rPr>
          <w:sz w:val="27"/>
        </w:rPr>
        <w:t>Parsons,</w:t>
      </w:r>
      <w:r>
        <w:rPr>
          <w:spacing w:val="-17"/>
          <w:sz w:val="27"/>
        </w:rPr>
        <w:t> </w:t>
      </w:r>
      <w:r>
        <w:rPr>
          <w:sz w:val="27"/>
        </w:rPr>
        <w:t>Robert</w:t>
      </w:r>
      <w:r>
        <w:rPr>
          <w:spacing w:val="-17"/>
          <w:sz w:val="27"/>
        </w:rPr>
        <w:t> </w:t>
      </w:r>
      <w:r>
        <w:rPr>
          <w:sz w:val="27"/>
        </w:rPr>
        <w:t>Merton and David Easton </w:t>
      </w:r>
      <w:r>
        <w:rPr/>
        <w:t>with neo-functionalist literature. He distinguishes two main</w:t>
      </w:r>
      <w:r>
        <w:rPr>
          <w:spacing w:val="-1"/>
        </w:rPr>
        <w:t> </w:t>
      </w:r>
      <w:r>
        <w:rPr/>
        <w:t>pathways</w:t>
      </w:r>
      <w:r>
        <w:rPr>
          <w:spacing w:val="-4"/>
        </w:rPr>
        <w:t> </w:t>
      </w:r>
      <w:r>
        <w:rPr/>
        <w:t>taken</w:t>
      </w:r>
      <w:r>
        <w:rPr>
          <w:spacing w:val="-1"/>
        </w:rPr>
        <w:t> </w:t>
      </w:r>
      <w:r>
        <w:rPr/>
        <w:t>by</w:t>
      </w:r>
      <w:r>
        <w:rPr>
          <w:spacing w:val="-2"/>
        </w:rPr>
        <w:t> </w:t>
      </w:r>
      <w:r>
        <w:rPr/>
        <w:t>the</w:t>
      </w:r>
      <w:r>
        <w:rPr>
          <w:spacing w:val="-2"/>
        </w:rPr>
        <w:t> </w:t>
      </w:r>
      <w:r>
        <w:rPr/>
        <w:t>theorists</w:t>
      </w:r>
      <w:r>
        <w:rPr>
          <w:spacing w:val="-4"/>
        </w:rPr>
        <w:t> </w:t>
      </w:r>
      <w:r>
        <w:rPr/>
        <w:t>to understand how</w:t>
      </w:r>
      <w:r>
        <w:rPr>
          <w:spacing w:val="-1"/>
        </w:rPr>
        <w:t> </w:t>
      </w:r>
      <w:r>
        <w:rPr/>
        <w:t>individual</w:t>
      </w:r>
      <w:r>
        <w:rPr>
          <w:spacing w:val="-4"/>
        </w:rPr>
        <w:t> </w:t>
      </w:r>
      <w:r>
        <w:rPr/>
        <w:t>satisfies the needs in relation with the system he is a part of.</w:t>
      </w:r>
    </w:p>
    <w:p>
      <w:pPr>
        <w:pStyle w:val="BodyText"/>
        <w:spacing w:line="273" w:lineRule="auto" w:before="9"/>
        <w:ind w:right="1911" w:firstLine="720"/>
      </w:pPr>
      <w:r>
        <w:rPr/>
        <w:t>The first model is based on the neoclassical ideal of economic behavior of humans. The idea of ‘economic man’ was an inspiration for </w:t>
      </w:r>
      <w:r>
        <w:rPr>
          <w:sz w:val="27"/>
        </w:rPr>
        <w:t>Talcott</w:t>
      </w:r>
      <w:r>
        <w:rPr>
          <w:spacing w:val="-1"/>
          <w:sz w:val="27"/>
        </w:rPr>
        <w:t> </w:t>
      </w:r>
      <w:r>
        <w:rPr>
          <w:sz w:val="27"/>
        </w:rPr>
        <w:t>Parsons</w:t>
      </w:r>
      <w:r>
        <w:rPr/>
        <w:t>. In his</w:t>
      </w:r>
      <w:r>
        <w:rPr>
          <w:spacing w:val="-1"/>
        </w:rPr>
        <w:t> </w:t>
      </w:r>
      <w:r>
        <w:rPr/>
        <w:t>early works</w:t>
      </w:r>
      <w:r>
        <w:rPr>
          <w:spacing w:val="-1"/>
        </w:rPr>
        <w:t> </w:t>
      </w:r>
      <w:r>
        <w:rPr/>
        <w:t>he analyzed individual unit interactions in a manner of market exchange. He argued that the agents of society are individuals who work in a free environment to satisfy the needs. Accordingly, “Social system is a construct of individual minds.”</w:t>
      </w:r>
    </w:p>
    <w:p>
      <w:pPr>
        <w:pStyle w:val="BodyText"/>
        <w:spacing w:line="273" w:lineRule="auto"/>
        <w:ind w:right="1911" w:firstLine="720"/>
      </w:pPr>
      <w:r>
        <w:rPr>
          <w:sz w:val="27"/>
        </w:rPr>
        <w:t>Robert Merton </w:t>
      </w:r>
      <w:r>
        <w:rPr/>
        <w:t>also saw the individual as the main societal actor; however, his approach is more oriented to ‘individual need gratification as the function performed by structures.’</w:t>
      </w:r>
      <w:r>
        <w:rPr>
          <w:spacing w:val="40"/>
        </w:rPr>
        <w:t> </w:t>
      </w:r>
      <w:r>
        <w:rPr/>
        <w:t>For </w:t>
      </w:r>
      <w:r>
        <w:rPr>
          <w:sz w:val="27"/>
        </w:rPr>
        <w:t>Merton </w:t>
      </w:r>
      <w:r>
        <w:rPr/>
        <w:t>functions “are those observed consequences which make for the adaptation or adjustment of a given system. (</w:t>
      </w:r>
      <w:hyperlink w:history="true" w:anchor="_bookmark257">
        <w:r>
          <w:rPr/>
          <w:t>Lehman, 1966, p. 274</w:t>
        </w:r>
      </w:hyperlink>
      <w:r>
        <w:rPr/>
        <w:t>) And these “functions are being performed when individual demands are met by some activity in the system.” (</w:t>
      </w:r>
      <w:hyperlink w:history="true" w:anchor="_bookmark320">
        <w:r>
          <w:rPr/>
          <w:t>O'Leary, 1978</w:t>
        </w:r>
      </w:hyperlink>
      <w:r>
        <w:rPr/>
        <w:t>)</w:t>
      </w:r>
    </w:p>
    <w:p>
      <w:pPr>
        <w:pStyle w:val="BodyText"/>
        <w:spacing w:line="276" w:lineRule="auto"/>
        <w:ind w:right="1910" w:firstLine="720"/>
      </w:pPr>
      <w:r>
        <w:rPr>
          <w:sz w:val="27"/>
        </w:rPr>
        <w:t>Leon</w:t>
      </w:r>
      <w:r>
        <w:rPr>
          <w:spacing w:val="-12"/>
          <w:sz w:val="27"/>
        </w:rPr>
        <w:t> </w:t>
      </w:r>
      <w:r>
        <w:rPr>
          <w:sz w:val="27"/>
        </w:rPr>
        <w:t>Lindberg</w:t>
      </w:r>
      <w:r>
        <w:rPr>
          <w:spacing w:val="-10"/>
          <w:sz w:val="27"/>
        </w:rPr>
        <w:t> </w:t>
      </w:r>
      <w:r>
        <w:rPr/>
        <w:t>argued</w:t>
      </w:r>
      <w:r>
        <w:rPr>
          <w:spacing w:val="-9"/>
        </w:rPr>
        <w:t> </w:t>
      </w:r>
      <w:r>
        <w:rPr/>
        <w:t>that</w:t>
      </w:r>
      <w:r>
        <w:rPr>
          <w:spacing w:val="-8"/>
        </w:rPr>
        <w:t> </w:t>
      </w:r>
      <w:r>
        <w:rPr>
          <w:sz w:val="27"/>
        </w:rPr>
        <w:t>demand</w:t>
      </w:r>
      <w:r>
        <w:rPr>
          <w:spacing w:val="40"/>
          <w:sz w:val="27"/>
        </w:rPr>
        <w:t> </w:t>
      </w:r>
      <w:r>
        <w:rPr/>
        <w:t>(input</w:t>
      </w:r>
      <w:r>
        <w:rPr>
          <w:spacing w:val="-11"/>
        </w:rPr>
        <w:t> </w:t>
      </w:r>
      <w:r>
        <w:rPr/>
        <w:t>in</w:t>
      </w:r>
      <w:r>
        <w:rPr>
          <w:spacing w:val="-10"/>
        </w:rPr>
        <w:t> </w:t>
      </w:r>
      <w:r>
        <w:rPr/>
        <w:t>Easton)</w:t>
      </w:r>
      <w:r>
        <w:rPr>
          <w:spacing w:val="-8"/>
        </w:rPr>
        <w:t> </w:t>
      </w:r>
      <w:r>
        <w:rPr/>
        <w:t>is</w:t>
      </w:r>
      <w:r>
        <w:rPr>
          <w:spacing w:val="-12"/>
        </w:rPr>
        <w:t> </w:t>
      </w:r>
      <w:r>
        <w:rPr/>
        <w:t>“lifeblood”</w:t>
      </w:r>
      <w:r>
        <w:rPr>
          <w:spacing w:val="-11"/>
        </w:rPr>
        <w:t> </w:t>
      </w:r>
      <w:r>
        <w:rPr/>
        <w:t>of systems.</w:t>
      </w:r>
      <w:r>
        <w:rPr>
          <w:spacing w:val="40"/>
        </w:rPr>
        <w:t> </w:t>
      </w:r>
      <w:r>
        <w:rPr/>
        <w:t>Changes in demands have to be reflected in the actions of the collective decision makers. Those actions determine directions of integration. “Volume and variety of demands made for collective action do</w:t>
      </w:r>
    </w:p>
    <w:p>
      <w:pPr>
        <w:pStyle w:val="BodyText"/>
        <w:spacing w:after="0" w:line="276" w:lineRule="auto"/>
        <w:sectPr>
          <w:pgSz w:w="12240" w:h="15840"/>
          <w:pgMar w:header="1046" w:footer="0" w:top="1360" w:bottom="280" w:left="720" w:right="360"/>
        </w:sectPr>
      </w:pPr>
    </w:p>
    <w:p>
      <w:pPr>
        <w:pStyle w:val="BodyText"/>
        <w:spacing w:line="276" w:lineRule="auto" w:before="276"/>
        <w:ind w:right="1925"/>
      </w:pPr>
      <w:r>
        <w:rPr/>
        <w:t>not just constitute a source of stress for us but represent the leading edge of the integration process.” (</w:t>
      </w:r>
      <w:hyperlink w:history="true" w:anchor="_bookmark260">
        <w:r>
          <w:rPr/>
          <w:t>Lindberg, 1970, p. 679</w:t>
        </w:r>
      </w:hyperlink>
      <w:r>
        <w:rPr/>
        <w:t>)</w:t>
      </w:r>
    </w:p>
    <w:p>
      <w:pPr>
        <w:pStyle w:val="BodyText"/>
        <w:spacing w:line="273" w:lineRule="auto"/>
        <w:ind w:right="1907" w:firstLine="720"/>
      </w:pPr>
      <w:r>
        <w:rPr/>
        <w:t>Neo-functionalists shared </w:t>
      </w:r>
      <w:r>
        <w:rPr>
          <w:sz w:val="27"/>
        </w:rPr>
        <w:t>David Easton</w:t>
      </w:r>
      <w:r>
        <w:rPr/>
        <w:t>’s aspirations to pay a greater attention to the method and the context of decision making instead of analysis of policy content. They argued that “politics is defined not by substance, but by process.” (</w:t>
      </w:r>
      <w:hyperlink w:history="true" w:anchor="_bookmark320">
        <w:r>
          <w:rPr/>
          <w:t>O'Leary, 1978</w:t>
        </w:r>
      </w:hyperlink>
      <w:r>
        <w:rPr/>
        <w:t>)</w:t>
      </w:r>
      <w:r>
        <w:rPr>
          <w:spacing w:val="40"/>
        </w:rPr>
        <w:t> </w:t>
      </w:r>
      <w:r>
        <w:rPr/>
        <w:t>But this preference in the context of integration is problematic. </w:t>
      </w:r>
      <w:r>
        <w:rPr>
          <w:sz w:val="27"/>
        </w:rPr>
        <w:t>Andrew Moravcsik </w:t>
      </w:r>
      <w:r>
        <w:rPr/>
        <w:t>maintains that neo-functionalists have a “tendency to think of the EU as </w:t>
      </w:r>
      <w:r>
        <w:rPr>
          <w:sz w:val="27"/>
        </w:rPr>
        <w:t>becoming </w:t>
      </w:r>
      <w:r>
        <w:rPr/>
        <w:t>rather than</w:t>
      </w:r>
      <w:r>
        <w:rPr>
          <w:spacing w:val="-1"/>
        </w:rPr>
        <w:t> </w:t>
      </w:r>
      <w:r>
        <w:rPr>
          <w:sz w:val="27"/>
        </w:rPr>
        <w:t>Being.”</w:t>
      </w:r>
      <w:r>
        <w:rPr>
          <w:spacing w:val="40"/>
          <w:sz w:val="27"/>
        </w:rPr>
        <w:t> </w:t>
      </w:r>
      <w:r>
        <w:rPr/>
        <w:t>(</w:t>
      </w:r>
      <w:hyperlink w:history="true" w:anchor="_bookmark304">
        <w:r>
          <w:rPr/>
          <w:t>2005,</w:t>
        </w:r>
        <w:r>
          <w:rPr>
            <w:spacing w:val="-2"/>
          </w:rPr>
          <w:t> </w:t>
        </w:r>
        <w:r>
          <w:rPr/>
          <w:t>p.</w:t>
        </w:r>
        <w:r>
          <w:rPr>
            <w:spacing w:val="-2"/>
          </w:rPr>
          <w:t> </w:t>
        </w:r>
        <w:r>
          <w:rPr/>
          <w:t>350</w:t>
        </w:r>
      </w:hyperlink>
      <w:r>
        <w:rPr/>
        <w:t>)</w:t>
      </w:r>
      <w:r>
        <w:rPr>
          <w:spacing w:val="40"/>
        </w:rPr>
        <w:t> </w:t>
      </w:r>
      <w:r>
        <w:rPr/>
        <w:t>This</w:t>
      </w:r>
      <w:r>
        <w:rPr>
          <w:spacing w:val="-5"/>
        </w:rPr>
        <w:t> </w:t>
      </w:r>
      <w:r>
        <w:rPr/>
        <w:t>implies</w:t>
      </w:r>
      <w:r>
        <w:rPr>
          <w:spacing w:val="-5"/>
        </w:rPr>
        <w:t> </w:t>
      </w:r>
      <w:r>
        <w:rPr/>
        <w:t>that</w:t>
      </w:r>
      <w:r>
        <w:rPr>
          <w:spacing w:val="-3"/>
        </w:rPr>
        <w:t> </w:t>
      </w:r>
      <w:r>
        <w:rPr/>
        <w:t>the</w:t>
      </w:r>
      <w:r>
        <w:rPr>
          <w:spacing w:val="-3"/>
        </w:rPr>
        <w:t> </w:t>
      </w:r>
      <w:r>
        <w:rPr/>
        <w:t>scholars</w:t>
      </w:r>
      <w:r>
        <w:rPr>
          <w:spacing w:val="-5"/>
        </w:rPr>
        <w:t> </w:t>
      </w:r>
      <w:r>
        <w:rPr/>
        <w:t>describe</w:t>
      </w:r>
      <w:r>
        <w:rPr>
          <w:spacing w:val="-3"/>
        </w:rPr>
        <w:t> </w:t>
      </w:r>
      <w:r>
        <w:rPr/>
        <w:t>a shift of a system from one systemic state to another; however, they miss to grasp systemic invariants in the process. There</w:t>
      </w:r>
      <w:r>
        <w:rPr>
          <w:spacing w:val="40"/>
        </w:rPr>
        <w:t> </w:t>
      </w:r>
      <w:r>
        <w:rPr/>
        <w:t>was a similar issue in </w:t>
      </w:r>
      <w:r>
        <w:rPr>
          <w:sz w:val="27"/>
        </w:rPr>
        <w:t>Merton</w:t>
      </w:r>
      <w:r>
        <w:rPr/>
        <w:t>’s way of understanding the adjustments that the system performs to fulfil its functions, “If one could not tell</w:t>
      </w:r>
      <w:r>
        <w:rPr>
          <w:spacing w:val="-1"/>
        </w:rPr>
        <w:t> </w:t>
      </w:r>
      <w:r>
        <w:rPr/>
        <w:t>clearly whether some state, say state A, was an adaptive state, then one could not evaluate whether some item which contributed to the production of state A had the function (or a function) of producing state A.” (</w:t>
      </w:r>
      <w:hyperlink w:history="true" w:anchor="_bookmark257">
        <w:r>
          <w:rPr/>
          <w:t>Lehman, 1966, p. 275</w:t>
        </w:r>
      </w:hyperlink>
      <w:r>
        <w:rPr/>
        <w:t>) The neo-functionalism was not able to draw the distinctions between the normal functional changes in the European communities and the events of the probable crisis, because the scholars did not have a uniform view about the system itself.</w:t>
      </w:r>
    </w:p>
    <w:p>
      <w:pPr>
        <w:pStyle w:val="BodyText"/>
        <w:spacing w:line="271" w:lineRule="auto"/>
        <w:ind w:right="1907" w:firstLine="720"/>
      </w:pPr>
      <w:r>
        <w:rPr/>
        <w:t>This problem is properly examined by modern neo-functionalists (Neo-neo). </w:t>
      </w:r>
      <w:r>
        <w:rPr>
          <w:sz w:val="27"/>
        </w:rPr>
        <w:t>Sandholtz </w:t>
      </w:r>
      <w:r>
        <w:rPr/>
        <w:t>and </w:t>
      </w:r>
      <w:r>
        <w:rPr>
          <w:sz w:val="27"/>
        </w:rPr>
        <w:t>Stone-sweet </w:t>
      </w:r>
      <w:r>
        <w:rPr/>
        <w:t>for instance, argue that integration has not stopped even in the period of “Euro-Sclerosis.” Accordingly, the function of the system remained in place.</w:t>
      </w:r>
      <w:r>
        <w:rPr>
          <w:position w:val="7"/>
          <w:sz w:val="15"/>
        </w:rPr>
        <w:t>25</w:t>
      </w:r>
      <w:r>
        <w:rPr>
          <w:spacing w:val="40"/>
          <w:position w:val="7"/>
          <w:sz w:val="15"/>
        </w:rPr>
        <w:t> </w:t>
      </w:r>
      <w:r>
        <w:rPr>
          <w:sz w:val="27"/>
        </w:rPr>
        <w:t>Rosamond </w:t>
      </w:r>
      <w:r>
        <w:rPr/>
        <w:t>has similar opinion and advices the students to be careful while bringing up the claims about the</w:t>
      </w:r>
      <w:r>
        <w:rPr>
          <w:spacing w:val="-6"/>
        </w:rPr>
        <w:t> </w:t>
      </w:r>
      <w:r>
        <w:rPr/>
        <w:t>calamities</w:t>
      </w:r>
      <w:r>
        <w:rPr>
          <w:spacing w:val="-3"/>
        </w:rPr>
        <w:t> </w:t>
      </w:r>
      <w:r>
        <w:rPr/>
        <w:t>in</w:t>
      </w:r>
      <w:r>
        <w:rPr>
          <w:spacing w:val="-5"/>
        </w:rPr>
        <w:t> </w:t>
      </w:r>
      <w:r>
        <w:rPr/>
        <w:t>the</w:t>
      </w:r>
      <w:r>
        <w:rPr>
          <w:spacing w:val="-6"/>
        </w:rPr>
        <w:t> </w:t>
      </w:r>
      <w:r>
        <w:rPr/>
        <w:t>process:</w:t>
      </w:r>
      <w:r>
        <w:rPr>
          <w:spacing w:val="-5"/>
        </w:rPr>
        <w:t> </w:t>
      </w:r>
      <w:r>
        <w:rPr/>
        <w:t>“The</w:t>
      </w:r>
      <w:r>
        <w:rPr>
          <w:spacing w:val="-6"/>
        </w:rPr>
        <w:t> </w:t>
      </w:r>
      <w:r>
        <w:rPr/>
        <w:t>idea</w:t>
      </w:r>
      <w:r>
        <w:rPr>
          <w:spacing w:val="-10"/>
        </w:rPr>
        <w:t> </w:t>
      </w:r>
      <w:r>
        <w:rPr/>
        <w:t>that</w:t>
      </w:r>
      <w:r>
        <w:rPr>
          <w:spacing w:val="-6"/>
        </w:rPr>
        <w:t> </w:t>
      </w:r>
      <w:r>
        <w:rPr/>
        <w:t>integrative</w:t>
      </w:r>
      <w:r>
        <w:rPr>
          <w:spacing w:val="-6"/>
        </w:rPr>
        <w:t> </w:t>
      </w:r>
      <w:r>
        <w:rPr/>
        <w:t>momentum</w:t>
      </w:r>
      <w:r>
        <w:rPr>
          <w:spacing w:val="-7"/>
        </w:rPr>
        <w:t> </w:t>
      </w:r>
      <w:r>
        <w:rPr/>
        <w:t>had </w:t>
      </w:r>
      <w:r>
        <w:rPr>
          <w:sz w:val="27"/>
        </w:rPr>
        <w:t>ipso facto </w:t>
      </w:r>
      <w:r>
        <w:rPr/>
        <w:t>broken down is to privilege intergovernmental consensus as the key signifier of integration and in turn to suggest that significant integration occurs </w:t>
      </w:r>
      <w:r>
        <w:rPr>
          <w:sz w:val="27"/>
        </w:rPr>
        <w:t>only </w:t>
      </w:r>
      <w:r>
        <w:rPr/>
        <w:t>at the moment when … the treaties are revised.” (</w:t>
      </w:r>
      <w:hyperlink w:history="true" w:anchor="_bookmark357">
        <w:r>
          <w:rPr/>
          <w:t>Rosamond,</w:t>
        </w:r>
      </w:hyperlink>
      <w:r>
        <w:rPr/>
        <w:t> </w:t>
      </w:r>
      <w:hyperlink w:history="true" w:anchor="_bookmark357">
        <w:r>
          <w:rPr/>
          <w:t>2007, p. 233</w:t>
        </w:r>
      </w:hyperlink>
      <w:r>
        <w:rPr/>
        <w:t>)</w:t>
      </w:r>
    </w:p>
    <w:p>
      <w:pPr>
        <w:pStyle w:val="BodyText"/>
        <w:spacing w:line="268" w:lineRule="auto"/>
        <w:ind w:right="1910" w:firstLine="787"/>
      </w:pPr>
      <w:r>
        <w:rPr/>
        <w:t>Even when the problems connected with the neo-functionalism had already</w:t>
      </w:r>
      <w:r>
        <w:rPr>
          <w:spacing w:val="-7"/>
        </w:rPr>
        <w:t> </w:t>
      </w:r>
      <w:r>
        <w:rPr/>
        <w:t>been</w:t>
      </w:r>
      <w:r>
        <w:rPr>
          <w:spacing w:val="-6"/>
        </w:rPr>
        <w:t> </w:t>
      </w:r>
      <w:r>
        <w:rPr/>
        <w:t>observed,</w:t>
      </w:r>
      <w:r>
        <w:rPr>
          <w:spacing w:val="-4"/>
        </w:rPr>
        <w:t> </w:t>
      </w:r>
      <w:r>
        <w:rPr>
          <w:sz w:val="27"/>
        </w:rPr>
        <w:t>Haas</w:t>
      </w:r>
      <w:r>
        <w:rPr>
          <w:spacing w:val="-6"/>
          <w:sz w:val="27"/>
        </w:rPr>
        <w:t> </w:t>
      </w:r>
      <w:r>
        <w:rPr/>
        <w:t>still</w:t>
      </w:r>
      <w:r>
        <w:rPr>
          <w:spacing w:val="-9"/>
        </w:rPr>
        <w:t> </w:t>
      </w:r>
      <w:r>
        <w:rPr/>
        <w:t>argued</w:t>
      </w:r>
      <w:r>
        <w:rPr>
          <w:spacing w:val="-5"/>
        </w:rPr>
        <w:t> </w:t>
      </w:r>
      <w:r>
        <w:rPr/>
        <w:t>that,</w:t>
      </w:r>
      <w:r>
        <w:rPr>
          <w:spacing w:val="-6"/>
        </w:rPr>
        <w:t> </w:t>
      </w:r>
      <w:r>
        <w:rPr/>
        <w:t>for</w:t>
      </w:r>
      <w:r>
        <w:rPr>
          <w:spacing w:val="-5"/>
        </w:rPr>
        <w:t> </w:t>
      </w:r>
      <w:r>
        <w:rPr/>
        <w:t>NF</w:t>
      </w:r>
      <w:r>
        <w:rPr>
          <w:spacing w:val="-1"/>
        </w:rPr>
        <w:t> </w:t>
      </w:r>
      <w:r>
        <w:rPr/>
        <w:t>to</w:t>
      </w:r>
      <w:r>
        <w:rPr>
          <w:spacing w:val="-5"/>
        </w:rPr>
        <w:t> </w:t>
      </w:r>
      <w:r>
        <w:rPr/>
        <w:t>remain</w:t>
      </w:r>
      <w:r>
        <w:rPr>
          <w:spacing w:val="-6"/>
        </w:rPr>
        <w:t> </w:t>
      </w:r>
      <w:r>
        <w:rPr/>
        <w:t>relevant</w:t>
      </w:r>
      <w:r>
        <w:rPr>
          <w:spacing w:val="-6"/>
        </w:rPr>
        <w:t> </w:t>
      </w:r>
      <w:r>
        <w:rPr>
          <w:spacing w:val="-5"/>
        </w:rPr>
        <w:t>two</w:t>
      </w:r>
    </w:p>
    <w:p>
      <w:pPr>
        <w:pStyle w:val="BodyText"/>
        <w:spacing w:before="11"/>
        <w:ind w:left="0"/>
        <w:jc w:val="left"/>
        <w:rPr>
          <w:sz w:val="10"/>
        </w:rPr>
      </w:pPr>
      <w:r>
        <w:rPr>
          <w:sz w:val="10"/>
        </w:rPr>
        <mc:AlternateContent>
          <mc:Choice Requires="wps">
            <w:drawing>
              <wp:anchor distT="0" distB="0" distL="0" distR="0" allowOverlap="1" layoutInCell="1" locked="0" behindDoc="1" simplePos="0" relativeHeight="487648768">
                <wp:simplePos x="0" y="0"/>
                <wp:positionH relativeFrom="page">
                  <wp:posOffset>1079296</wp:posOffset>
                </wp:positionH>
                <wp:positionV relativeFrom="paragraph">
                  <wp:posOffset>106111</wp:posOffset>
                </wp:positionV>
                <wp:extent cx="1830070" cy="9525"/>
                <wp:effectExtent l="0" t="0" r="0" b="0"/>
                <wp:wrapTopAndBottom/>
                <wp:docPr id="148" name="Graphic 148"/>
                <wp:cNvGraphicFramePr>
                  <a:graphicFrameLocks/>
                </wp:cNvGraphicFramePr>
                <a:graphic>
                  <a:graphicData uri="http://schemas.microsoft.com/office/word/2010/wordprocessingShape">
                    <wps:wsp>
                      <wps:cNvPr id="148" name="Graphic 148"/>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8.355225pt;width:144.07pt;height:.72003pt;mso-position-horizontal-relative:page;mso-position-vertical-relative:paragraph;z-index:-15667712;mso-wrap-distance-left:0;mso-wrap-distance-right:0" id="docshape139" filled="true" fillcolor="#000000" stroked="false">
                <v:fill type="solid"/>
                <w10:wrap type="topAndBottom"/>
              </v:rect>
            </w:pict>
          </mc:Fallback>
        </mc:AlternateContent>
      </w:r>
    </w:p>
    <w:p>
      <w:pPr>
        <w:spacing w:before="103"/>
        <w:ind w:left="979" w:right="0" w:firstLine="0"/>
        <w:jc w:val="left"/>
        <w:rPr>
          <w:rFonts w:ascii="Calibri"/>
          <w:sz w:val="20"/>
        </w:rPr>
      </w:pPr>
      <w:r>
        <w:rPr>
          <w:rFonts w:ascii="Calibri"/>
          <w:sz w:val="20"/>
          <w:vertAlign w:val="superscript"/>
        </w:rPr>
        <w:t>25</w:t>
      </w:r>
      <w:r>
        <w:rPr>
          <w:rFonts w:ascii="Calibri"/>
          <w:spacing w:val="-2"/>
          <w:sz w:val="20"/>
          <w:vertAlign w:val="baseline"/>
        </w:rPr>
        <w:t> </w:t>
      </w:r>
      <w:r>
        <w:rPr>
          <w:rFonts w:ascii="Calibri"/>
          <w:sz w:val="20"/>
          <w:vertAlign w:val="baseline"/>
        </w:rPr>
        <w:t>First</w:t>
      </w:r>
      <w:r>
        <w:rPr>
          <w:rFonts w:ascii="Calibri"/>
          <w:spacing w:val="-7"/>
          <w:sz w:val="20"/>
          <w:vertAlign w:val="baseline"/>
        </w:rPr>
        <w:t> </w:t>
      </w:r>
      <w:r>
        <w:rPr>
          <w:rFonts w:ascii="Calibri"/>
          <w:sz w:val="20"/>
          <w:vertAlign w:val="baseline"/>
        </w:rPr>
        <w:t>chapter,</w:t>
      </w:r>
      <w:r>
        <w:rPr>
          <w:rFonts w:ascii="Calibri"/>
          <w:spacing w:val="-5"/>
          <w:sz w:val="20"/>
          <w:vertAlign w:val="baseline"/>
        </w:rPr>
        <w:t> </w:t>
      </w:r>
      <w:r>
        <w:rPr>
          <w:rFonts w:ascii="Calibri"/>
          <w:sz w:val="20"/>
          <w:vertAlign w:val="baseline"/>
        </w:rPr>
        <w:t>neo-</w:t>
      </w:r>
      <w:r>
        <w:rPr>
          <w:rFonts w:ascii="Calibri"/>
          <w:spacing w:val="-2"/>
          <w:sz w:val="20"/>
          <w:vertAlign w:val="baseline"/>
        </w:rPr>
        <w:t>functionalism</w:t>
      </w:r>
    </w:p>
    <w:p>
      <w:pPr>
        <w:spacing w:after="0"/>
        <w:jc w:val="left"/>
        <w:rPr>
          <w:rFonts w:ascii="Calibri"/>
          <w:sz w:val="20"/>
        </w:rPr>
        <w:sectPr>
          <w:pgSz w:w="12240" w:h="15840"/>
          <w:pgMar w:header="1046" w:footer="0" w:top="1360" w:bottom="280" w:left="720" w:right="360"/>
        </w:sectPr>
      </w:pPr>
    </w:p>
    <w:p>
      <w:pPr>
        <w:pStyle w:val="BodyText"/>
        <w:spacing w:line="276" w:lineRule="auto" w:before="276"/>
        <w:ind w:right="1914"/>
      </w:pPr>
      <w:r>
        <w:rPr/>
        <w:t>conditions should be maintained: first, “institutional outcomes must be</w:t>
      </w:r>
      <w:r>
        <w:rPr>
          <w:spacing w:val="40"/>
        </w:rPr>
        <w:t> </w:t>
      </w:r>
      <w:r>
        <w:rPr/>
        <w:t>open in the sense that various end states are possible,” but decision making had to be more centralized than was in the beginning of the process. Second, the environmental challenges should be resolved without detracting from regional centralization.” (</w:t>
      </w:r>
      <w:hyperlink w:history="true" w:anchor="_bookmark203">
        <w:r>
          <w:rPr/>
          <w:t>Haas, 1976, pp. 177-178</w:t>
        </w:r>
      </w:hyperlink>
      <w:r>
        <w:rPr/>
        <w:t>)</w:t>
      </w:r>
    </w:p>
    <w:p>
      <w:pPr>
        <w:pStyle w:val="BodyText"/>
        <w:spacing w:line="276" w:lineRule="auto"/>
        <w:ind w:right="1913" w:firstLine="720"/>
      </w:pPr>
      <w:r>
        <w:rPr/>
        <w:t>The</w:t>
      </w:r>
      <w:r>
        <w:rPr>
          <w:spacing w:val="-6"/>
        </w:rPr>
        <w:t> </w:t>
      </w:r>
      <w:r>
        <w:rPr/>
        <w:t>institutional</w:t>
      </w:r>
      <w:r>
        <w:rPr>
          <w:spacing w:val="-1"/>
        </w:rPr>
        <w:t> </w:t>
      </w:r>
      <w:r>
        <w:rPr/>
        <w:t>multifinality is</w:t>
      </w:r>
      <w:r>
        <w:rPr>
          <w:spacing w:val="-3"/>
        </w:rPr>
        <w:t> </w:t>
      </w:r>
      <w:r>
        <w:rPr/>
        <w:t>understandable</w:t>
      </w:r>
      <w:r>
        <w:rPr>
          <w:spacing w:val="-6"/>
        </w:rPr>
        <w:t> </w:t>
      </w:r>
      <w:r>
        <w:rPr/>
        <w:t>from</w:t>
      </w:r>
      <w:r>
        <w:rPr>
          <w:spacing w:val="-7"/>
        </w:rPr>
        <w:t> </w:t>
      </w:r>
      <w:r>
        <w:rPr/>
        <w:t>the</w:t>
      </w:r>
      <w:r>
        <w:rPr>
          <w:spacing w:val="-6"/>
        </w:rPr>
        <w:t> </w:t>
      </w:r>
      <w:r>
        <w:rPr/>
        <w:t>perspective of process oriented theory. However, it is hard to follow a centralization without having defined structural [institutional] preferences. This problem was partially resolved by acknowledging possible disintegrative developments. (</w:t>
      </w:r>
      <w:hyperlink w:history="true" w:anchor="_bookmark379">
        <w:r>
          <w:rPr/>
          <w:t>Schmitter, 2002</w:t>
        </w:r>
      </w:hyperlink>
      <w:r>
        <w:rPr/>
        <w:t>) If integration can go to the opposite direction, the task of the system would be securing the achievements</w:t>
      </w:r>
      <w:r>
        <w:rPr>
          <w:spacing w:val="40"/>
        </w:rPr>
        <w:t> </w:t>
      </w:r>
      <w:r>
        <w:rPr/>
        <w:t>against the challenges.</w:t>
      </w:r>
    </w:p>
    <w:p>
      <w:pPr>
        <w:pStyle w:val="BodyText"/>
        <w:spacing w:line="276" w:lineRule="auto"/>
        <w:ind w:right="1904" w:firstLine="720"/>
      </w:pPr>
      <w:r>
        <w:rPr/>
        <w:t>Central thesis of the NF is based on ‘the expansive logic of integration.’(</w:t>
      </w:r>
      <w:hyperlink w:history="true" w:anchor="_bookmark412">
        <w:r>
          <w:rPr/>
          <w:t>Tranholm-Mikkelsen, 1991</w:t>
        </w:r>
      </w:hyperlink>
      <w:r>
        <w:rPr/>
        <w:t>) The theory needed invariant systemic elements. This need was gratified by the authors’ intentions not to limit their take on integration to one particular region. The condition implied that, the systemhood properties of the NF could be transferred to any place and by combining with thinghood properties [region specific],</w:t>
      </w:r>
      <w:r>
        <w:rPr>
          <w:spacing w:val="80"/>
        </w:rPr>
        <w:t> </w:t>
      </w:r>
      <w:r>
        <w:rPr/>
        <w:t>the theory would remain feasible.</w:t>
      </w:r>
    </w:p>
    <w:p>
      <w:pPr>
        <w:pStyle w:val="BodyText"/>
        <w:spacing w:line="276" w:lineRule="auto"/>
        <w:ind w:right="1904" w:firstLine="720"/>
      </w:pPr>
      <w:r>
        <w:rPr/>
        <w:t>The notion of automatism of the integration process, which is considered as a main flaw in early neo-functionalism, fitted well the systemic understanding of the organization. Self-organization intrinsically involves certain level of automatism, because the system has to adapt to changes spontaneously and purposively. This notion of fast response often removes</w:t>
      </w:r>
      <w:r>
        <w:rPr>
          <w:spacing w:val="-5"/>
        </w:rPr>
        <w:t> </w:t>
      </w:r>
      <w:r>
        <w:rPr/>
        <w:t>the</w:t>
      </w:r>
      <w:r>
        <w:rPr>
          <w:spacing w:val="-3"/>
        </w:rPr>
        <w:t> </w:t>
      </w:r>
      <w:r>
        <w:rPr/>
        <w:t>factor</w:t>
      </w:r>
      <w:r>
        <w:rPr>
          <w:spacing w:val="-2"/>
        </w:rPr>
        <w:t> </w:t>
      </w:r>
      <w:r>
        <w:rPr/>
        <w:t>of</w:t>
      </w:r>
      <w:r>
        <w:rPr>
          <w:spacing w:val="-4"/>
        </w:rPr>
        <w:t> </w:t>
      </w:r>
      <w:r>
        <w:rPr/>
        <w:t>the</w:t>
      </w:r>
      <w:r>
        <w:rPr>
          <w:spacing w:val="-3"/>
        </w:rPr>
        <w:t> </w:t>
      </w:r>
      <w:r>
        <w:rPr/>
        <w:t>individual</w:t>
      </w:r>
      <w:r>
        <w:rPr>
          <w:spacing w:val="-5"/>
        </w:rPr>
        <w:t> </w:t>
      </w:r>
      <w:r>
        <w:rPr/>
        <w:t>actor</w:t>
      </w:r>
      <w:r>
        <w:rPr>
          <w:spacing w:val="-2"/>
        </w:rPr>
        <w:t> </w:t>
      </w:r>
      <w:r>
        <w:rPr/>
        <w:t>in the</w:t>
      </w:r>
      <w:r>
        <w:rPr>
          <w:spacing w:val="-3"/>
        </w:rPr>
        <w:t> </w:t>
      </w:r>
      <w:r>
        <w:rPr/>
        <w:t>process.</w:t>
      </w:r>
      <w:r>
        <w:rPr>
          <w:spacing w:val="-2"/>
        </w:rPr>
        <w:t> </w:t>
      </w:r>
      <w:r>
        <w:rPr/>
        <w:t>Neo-functionalists, on the one hand, attempted to build a political </w:t>
      </w:r>
      <w:r>
        <w:rPr>
          <w:sz w:val="27"/>
        </w:rPr>
        <w:t>servomechanism </w:t>
      </w:r>
      <w:r>
        <w:rPr/>
        <w:t>of integration; but on the other hand, the mechanism</w:t>
      </w:r>
      <w:r>
        <w:rPr>
          <w:spacing w:val="-2"/>
        </w:rPr>
        <w:t> </w:t>
      </w:r>
      <w:r>
        <w:rPr/>
        <w:t>depended on the actions of handful individuals. Combining individualism with automatism in the same process is a problematic task. In the reconsidered versions of the theory, the majority of the fallacies was properly addressed. Based on the new approach we may argue that:</w:t>
      </w:r>
    </w:p>
    <w:p>
      <w:pPr>
        <w:pStyle w:val="BodyText"/>
        <w:spacing w:after="0" w:line="276" w:lineRule="auto"/>
        <w:sectPr>
          <w:pgSz w:w="12240" w:h="15840"/>
          <w:pgMar w:header="1046" w:footer="0" w:top="1360" w:bottom="280" w:left="720" w:right="360"/>
        </w:sectPr>
      </w:pPr>
    </w:p>
    <w:p>
      <w:pPr>
        <w:pStyle w:val="Heading6"/>
        <w:spacing w:line="266" w:lineRule="auto" w:before="266"/>
        <w:ind w:left="2420" w:right="1911"/>
      </w:pPr>
      <w:r>
        <w:rPr/>
        <w:t>Spillover</w:t>
      </w:r>
      <w:r>
        <w:rPr>
          <w:spacing w:val="-17"/>
        </w:rPr>
        <w:t> </w:t>
      </w:r>
      <w:r>
        <w:rPr/>
        <w:t>is</w:t>
      </w:r>
      <w:r>
        <w:rPr>
          <w:spacing w:val="-17"/>
        </w:rPr>
        <w:t> </w:t>
      </w:r>
      <w:r>
        <w:rPr/>
        <w:t>a</w:t>
      </w:r>
      <w:r>
        <w:rPr>
          <w:spacing w:val="-17"/>
        </w:rPr>
        <w:t> </w:t>
      </w:r>
      <w:r>
        <w:rPr/>
        <w:t>structured</w:t>
      </w:r>
      <w:r>
        <w:rPr>
          <w:spacing w:val="-17"/>
        </w:rPr>
        <w:t> </w:t>
      </w:r>
      <w:r>
        <w:rPr/>
        <w:t>process,</w:t>
      </w:r>
      <w:r>
        <w:rPr>
          <w:spacing w:val="-17"/>
        </w:rPr>
        <w:t> </w:t>
      </w:r>
      <w:r>
        <w:rPr/>
        <w:t>which</w:t>
      </w:r>
      <w:r>
        <w:rPr>
          <w:spacing w:val="-17"/>
        </w:rPr>
        <w:t> </w:t>
      </w:r>
      <w:r>
        <w:rPr/>
        <w:t>occurs</w:t>
      </w:r>
      <w:r>
        <w:rPr>
          <w:spacing w:val="-17"/>
        </w:rPr>
        <w:t> </w:t>
      </w:r>
      <w:r>
        <w:rPr/>
        <w:t>time</w:t>
      </w:r>
      <w:r>
        <w:rPr>
          <w:spacing w:val="-16"/>
        </w:rPr>
        <w:t> </w:t>
      </w:r>
      <w:r>
        <w:rPr/>
        <w:t>after</w:t>
      </w:r>
      <w:r>
        <w:rPr>
          <w:spacing w:val="-12"/>
        </w:rPr>
        <w:t> </w:t>
      </w:r>
      <w:r>
        <w:rPr/>
        <w:t>time </w:t>
      </w:r>
      <w:r>
        <w:rPr>
          <w:spacing w:val="-2"/>
        </w:rPr>
        <w:t>and</w:t>
      </w:r>
      <w:r>
        <w:rPr>
          <w:spacing w:val="-10"/>
        </w:rPr>
        <w:t> </w:t>
      </w:r>
      <w:r>
        <w:rPr>
          <w:spacing w:val="-2"/>
        </w:rPr>
        <w:t>gives</w:t>
      </w:r>
      <w:r>
        <w:rPr>
          <w:spacing w:val="-13"/>
        </w:rPr>
        <w:t> </w:t>
      </w:r>
      <w:r>
        <w:rPr>
          <w:spacing w:val="-2"/>
        </w:rPr>
        <w:t>resources</w:t>
      </w:r>
      <w:r>
        <w:rPr>
          <w:spacing w:val="-12"/>
        </w:rPr>
        <w:t> </w:t>
      </w:r>
      <w:r>
        <w:rPr>
          <w:spacing w:val="-2"/>
        </w:rPr>
        <w:t>to</w:t>
      </w:r>
      <w:r>
        <w:rPr>
          <w:spacing w:val="-13"/>
        </w:rPr>
        <w:t> </w:t>
      </w:r>
      <w:r>
        <w:rPr>
          <w:spacing w:val="-2"/>
        </w:rPr>
        <w:t>the</w:t>
      </w:r>
      <w:r>
        <w:rPr>
          <w:spacing w:val="-11"/>
        </w:rPr>
        <w:t> </w:t>
      </w:r>
      <w:r>
        <w:rPr>
          <w:spacing w:val="-2"/>
        </w:rPr>
        <w:t>organization</w:t>
      </w:r>
      <w:r>
        <w:rPr>
          <w:spacing w:val="-10"/>
        </w:rPr>
        <w:t> </w:t>
      </w:r>
      <w:r>
        <w:rPr>
          <w:spacing w:val="-2"/>
        </w:rPr>
        <w:t>to</w:t>
      </w:r>
      <w:r>
        <w:rPr>
          <w:spacing w:val="-13"/>
        </w:rPr>
        <w:t> </w:t>
      </w:r>
      <w:r>
        <w:rPr>
          <w:spacing w:val="-2"/>
        </w:rPr>
        <w:t>decide</w:t>
      </w:r>
      <w:r>
        <w:rPr>
          <w:spacing w:val="-11"/>
        </w:rPr>
        <w:t> </w:t>
      </w:r>
      <w:r>
        <w:rPr>
          <w:spacing w:val="-2"/>
        </w:rPr>
        <w:t>on</w:t>
      </w:r>
      <w:r>
        <w:rPr>
          <w:spacing w:val="-10"/>
        </w:rPr>
        <w:t> </w:t>
      </w:r>
      <w:r>
        <w:rPr>
          <w:spacing w:val="-2"/>
        </w:rPr>
        <w:t>issues</w:t>
      </w:r>
      <w:r>
        <w:rPr>
          <w:spacing w:val="-13"/>
        </w:rPr>
        <w:t> </w:t>
      </w:r>
      <w:r>
        <w:rPr>
          <w:spacing w:val="-2"/>
        </w:rPr>
        <w:t>in</w:t>
      </w:r>
      <w:r>
        <w:rPr>
          <w:spacing w:val="-10"/>
        </w:rPr>
        <w:t> </w:t>
      </w:r>
      <w:r>
        <w:rPr>
          <w:spacing w:val="-2"/>
        </w:rPr>
        <w:t>a </w:t>
      </w:r>
      <w:r>
        <w:rPr/>
        <w:t>more</w:t>
      </w:r>
      <w:r>
        <w:rPr>
          <w:spacing w:val="-4"/>
        </w:rPr>
        <w:t> </w:t>
      </w:r>
      <w:r>
        <w:rPr/>
        <w:t>centralized</w:t>
      </w:r>
      <w:r>
        <w:rPr>
          <w:spacing w:val="-3"/>
        </w:rPr>
        <w:t> </w:t>
      </w:r>
      <w:r>
        <w:rPr/>
        <w:t>manner</w:t>
      </w:r>
      <w:r>
        <w:rPr>
          <w:spacing w:val="-8"/>
        </w:rPr>
        <w:t> </w:t>
      </w:r>
      <w:r>
        <w:rPr/>
        <w:t>than</w:t>
      </w:r>
      <w:r>
        <w:rPr>
          <w:spacing w:val="-7"/>
        </w:rPr>
        <w:t> </w:t>
      </w:r>
      <w:r>
        <w:rPr/>
        <w:t>before.</w:t>
      </w:r>
    </w:p>
    <w:p>
      <w:pPr>
        <w:pStyle w:val="BodyText"/>
        <w:spacing w:line="276" w:lineRule="auto" w:before="7"/>
        <w:ind w:right="1915"/>
      </w:pPr>
      <w:r>
        <w:rPr/>
        <w:t>This definition gives theoretical possibilities to look for the spillover patterns. Further studies can systematize the events which lead to automatized integration and describe those organizational factors, which stop the process at some point.</w:t>
      </w:r>
    </w:p>
    <w:p>
      <w:pPr>
        <w:pStyle w:val="BodyText"/>
        <w:spacing w:line="276" w:lineRule="auto"/>
        <w:ind w:right="1907" w:firstLine="720"/>
      </w:pPr>
      <w:r>
        <w:rPr>
          <w:sz w:val="27"/>
        </w:rPr>
        <w:t>Liberal Intergovernmentalism </w:t>
      </w:r>
      <w:r>
        <w:rPr/>
        <w:t>is a major rival of neo-functionalism; the reasoning among those schools often leads to the simple interchange of critical remarks, which we already mentioned in the second chapter.</w:t>
      </w:r>
      <w:r>
        <w:rPr>
          <w:spacing w:val="40"/>
        </w:rPr>
        <w:t> </w:t>
      </w:r>
      <w:r>
        <w:rPr/>
        <w:t>Deeper analysis of the arguments on each side shows that at the systemic level, both could be right or wrong.</w:t>
      </w:r>
    </w:p>
    <w:p>
      <w:pPr>
        <w:pStyle w:val="BodyText"/>
        <w:spacing w:line="273" w:lineRule="auto"/>
        <w:ind w:right="1909" w:firstLine="720"/>
      </w:pPr>
      <w:r>
        <w:rPr/>
        <w:t>LI is a theory which studies processes of game changing decision making.</w:t>
      </w:r>
      <w:r>
        <w:rPr>
          <w:spacing w:val="40"/>
        </w:rPr>
        <w:t> </w:t>
      </w:r>
      <w:r>
        <w:rPr/>
        <w:t>Therefore, its ambition is to explain the organizational level of the integration. The theory sees the space of the communities as a </w:t>
      </w:r>
      <w:r>
        <w:rPr>
          <w:sz w:val="27"/>
        </w:rPr>
        <w:t>bubble of structural</w:t>
      </w:r>
      <w:r>
        <w:rPr>
          <w:spacing w:val="-9"/>
          <w:sz w:val="27"/>
        </w:rPr>
        <w:t> </w:t>
      </w:r>
      <w:r>
        <w:rPr>
          <w:sz w:val="27"/>
        </w:rPr>
        <w:t>couplings</w:t>
      </w:r>
      <w:r>
        <w:rPr>
          <w:spacing w:val="-9"/>
          <w:sz w:val="27"/>
        </w:rPr>
        <w:t> </w:t>
      </w:r>
      <w:r>
        <w:rPr>
          <w:sz w:val="27"/>
        </w:rPr>
        <w:t>among</w:t>
      </w:r>
      <w:r>
        <w:rPr>
          <w:spacing w:val="-8"/>
          <w:sz w:val="27"/>
        </w:rPr>
        <w:t> </w:t>
      </w:r>
      <w:r>
        <w:rPr>
          <w:sz w:val="27"/>
        </w:rPr>
        <w:t>the</w:t>
      </w:r>
      <w:r>
        <w:rPr>
          <w:spacing w:val="-4"/>
          <w:sz w:val="27"/>
        </w:rPr>
        <w:t> </w:t>
      </w:r>
      <w:r>
        <w:rPr>
          <w:sz w:val="27"/>
        </w:rPr>
        <w:t>states. </w:t>
      </w:r>
      <w:r>
        <w:rPr/>
        <w:t>The</w:t>
      </w:r>
      <w:r>
        <w:rPr>
          <w:spacing w:val="-5"/>
        </w:rPr>
        <w:t> </w:t>
      </w:r>
      <w:r>
        <w:rPr/>
        <w:t>coupling</w:t>
      </w:r>
      <w:r>
        <w:rPr>
          <w:spacing w:val="-5"/>
        </w:rPr>
        <w:t> </w:t>
      </w:r>
      <w:r>
        <w:rPr/>
        <w:t>happens</w:t>
      </w:r>
      <w:r>
        <w:rPr>
          <w:spacing w:val="-3"/>
        </w:rPr>
        <w:t> </w:t>
      </w:r>
      <w:r>
        <w:rPr/>
        <w:t>in</w:t>
      </w:r>
      <w:r>
        <w:rPr>
          <w:spacing w:val="-4"/>
        </w:rPr>
        <w:t> </w:t>
      </w:r>
      <w:r>
        <w:rPr/>
        <w:t>the</w:t>
      </w:r>
      <w:r>
        <w:rPr>
          <w:spacing w:val="-5"/>
        </w:rPr>
        <w:t> </w:t>
      </w:r>
      <w:r>
        <w:rPr/>
        <w:t>form</w:t>
      </w:r>
      <w:r>
        <w:rPr>
          <w:spacing w:val="-7"/>
        </w:rPr>
        <w:t> </w:t>
      </w:r>
      <w:r>
        <w:rPr/>
        <w:t>of the bargains. We call the LI system a bubble, because as the approach implies, it exists only as far as the states are interested in institutionalized bargains. If the rational actors decide to give up the existing model of coupling, the bubble will explode. LI takes organizational decisions as the alpha and omega of systemic operability. This condition undermines the inter-level communication scheme presented in the third chapter.</w:t>
      </w:r>
    </w:p>
    <w:p>
      <w:pPr>
        <w:pStyle w:val="BodyText"/>
        <w:spacing w:line="276" w:lineRule="auto"/>
        <w:ind w:right="1910" w:firstLine="720"/>
      </w:pPr>
      <w:r>
        <w:rPr/>
        <w:t>The institutionalist criticisms of the liberal intergovernmentalism, exemplify our understanding of the European system. LI implies that the structure matters and without taking into consideration the institutions, as the key producers of operational information, no</w:t>
      </w:r>
      <w:r>
        <w:rPr>
          <w:spacing w:val="40"/>
        </w:rPr>
        <w:t> </w:t>
      </w:r>
      <w:r>
        <w:rPr/>
        <w:t>theory can grasp the system of the Union as whole. We noted before that in the organization,</w:t>
      </w:r>
      <w:r>
        <w:rPr>
          <w:spacing w:val="40"/>
        </w:rPr>
        <w:t> </w:t>
      </w:r>
      <w:r>
        <w:rPr/>
        <w:t>the influence of the actors is not directly connected to their position in the hierarchy. It is a challenging task to claim that intergovernmental preferences follow influential agents to the corridors of the European institutions. It is well-observed that interactions on structural level can generate</w:t>
      </w:r>
      <w:r>
        <w:rPr>
          <w:spacing w:val="57"/>
        </w:rPr>
        <w:t> </w:t>
      </w:r>
      <w:r>
        <w:rPr/>
        <w:t>the</w:t>
      </w:r>
      <w:r>
        <w:rPr>
          <w:spacing w:val="58"/>
        </w:rPr>
        <w:t> </w:t>
      </w:r>
      <w:r>
        <w:rPr/>
        <w:t>agenda</w:t>
      </w:r>
      <w:r>
        <w:rPr>
          <w:spacing w:val="58"/>
        </w:rPr>
        <w:t> </w:t>
      </w:r>
      <w:r>
        <w:rPr/>
        <w:t>for</w:t>
      </w:r>
      <w:r>
        <w:rPr>
          <w:spacing w:val="58"/>
        </w:rPr>
        <w:t> </w:t>
      </w:r>
      <w:r>
        <w:rPr/>
        <w:t>the</w:t>
      </w:r>
      <w:r>
        <w:rPr>
          <w:spacing w:val="58"/>
        </w:rPr>
        <w:t> </w:t>
      </w:r>
      <w:r>
        <w:rPr/>
        <w:t>bargains</w:t>
      </w:r>
      <w:r>
        <w:rPr>
          <w:spacing w:val="55"/>
        </w:rPr>
        <w:t> </w:t>
      </w:r>
      <w:r>
        <w:rPr/>
        <w:t>not</w:t>
      </w:r>
      <w:r>
        <w:rPr>
          <w:spacing w:val="66"/>
        </w:rPr>
        <w:t> </w:t>
      </w:r>
      <w:r>
        <w:rPr/>
        <w:t>only</w:t>
      </w:r>
      <w:r>
        <w:rPr>
          <w:spacing w:val="62"/>
        </w:rPr>
        <w:t> </w:t>
      </w:r>
      <w:r>
        <w:rPr/>
        <w:t>vice</w:t>
      </w:r>
      <w:r>
        <w:rPr>
          <w:spacing w:val="62"/>
        </w:rPr>
        <w:t> </w:t>
      </w:r>
      <w:r>
        <w:rPr/>
        <w:t>versa.</w:t>
      </w:r>
      <w:r>
        <w:rPr>
          <w:spacing w:val="59"/>
        </w:rPr>
        <w:t> </w:t>
      </w:r>
      <w:r>
        <w:rPr/>
        <w:t>The</w:t>
      </w:r>
      <w:r>
        <w:rPr>
          <w:spacing w:val="70"/>
        </w:rPr>
        <w:t> </w:t>
      </w:r>
      <w:r>
        <w:rPr/>
        <w:t>logic</w:t>
      </w:r>
      <w:r>
        <w:rPr>
          <w:spacing w:val="61"/>
        </w:rPr>
        <w:t> </w:t>
      </w:r>
      <w:r>
        <w:rPr>
          <w:spacing w:val="-5"/>
        </w:rPr>
        <w:t>of</w:t>
      </w:r>
    </w:p>
    <w:p>
      <w:pPr>
        <w:pStyle w:val="BodyText"/>
        <w:spacing w:after="0" w:line="276" w:lineRule="auto"/>
        <w:sectPr>
          <w:pgSz w:w="12240" w:h="15840"/>
          <w:pgMar w:header="1046" w:footer="0" w:top="1360" w:bottom="280" w:left="720" w:right="360"/>
        </w:sectPr>
      </w:pPr>
    </w:p>
    <w:p>
      <w:pPr>
        <w:pStyle w:val="BodyText"/>
        <w:spacing w:line="276" w:lineRule="auto" w:before="276"/>
        <w:ind w:right="1907"/>
      </w:pPr>
      <w:r>
        <w:rPr/>
        <w:t>political agenda setting suggests that only those issues get into discussions, which are considered important: “An agenda is usually defined as the set of issues that receive serious consideration in a political system.” (</w:t>
      </w:r>
      <w:hyperlink w:history="true" w:anchor="_bookmark344">
        <w:r>
          <w:rPr/>
          <w:t>Princen,</w:t>
        </w:r>
      </w:hyperlink>
      <w:r>
        <w:rPr/>
        <w:t> </w:t>
      </w:r>
      <w:hyperlink w:history="true" w:anchor="_bookmark344">
        <w:r>
          <w:rPr/>
          <w:t>2009, p. 20</w:t>
        </w:r>
      </w:hyperlink>
      <w:r>
        <w:rPr/>
        <w:t>) For the LI the ‘serious issues’ are those which are to be addressed on the intergovernmental organizational level. We believe that the processes on the structural level of the EU often generates the demands which are unforeseen by the state actors [as suggested by the critics of the LI in the first chapter].</w:t>
      </w:r>
    </w:p>
    <w:p>
      <w:pPr>
        <w:pStyle w:val="BodyText"/>
        <w:spacing w:line="273" w:lineRule="auto"/>
        <w:ind w:right="1905" w:firstLine="720"/>
      </w:pPr>
      <w:r>
        <w:rPr/>
        <w:t>This voulnerability of the theory was partially addressed by </w:t>
      </w:r>
      <w:r>
        <w:rPr>
          <w:sz w:val="27"/>
        </w:rPr>
        <w:t>Bickerton </w:t>
      </w:r>
      <w:r>
        <w:rPr/>
        <w:t>and others. (</w:t>
      </w:r>
      <w:hyperlink w:history="true" w:anchor="_bookmark101">
        <w:r>
          <w:rPr/>
          <w:t>2015</w:t>
        </w:r>
      </w:hyperlink>
      <w:r>
        <w:rPr/>
        <w:t>) In their </w:t>
      </w:r>
      <w:r>
        <w:rPr>
          <w:sz w:val="27"/>
        </w:rPr>
        <w:t>new intergovernmentalism </w:t>
      </w:r>
      <w:r>
        <w:rPr/>
        <w:t>the authors argue that the state actors not only engage in bargains on organizational level, but they effectively guide daily processes via </w:t>
      </w:r>
      <w:r>
        <w:rPr>
          <w:sz w:val="27"/>
        </w:rPr>
        <w:t>de novo </w:t>
      </w:r>
      <w:r>
        <w:rPr/>
        <w:t>bodies like EEAS, ECB and other agencies. The move from the game changing decisions to general policy making, as they maintain, is a result of the </w:t>
      </w:r>
      <w:r>
        <w:rPr>
          <w:sz w:val="27"/>
        </w:rPr>
        <w:t>Maastricht Treaty</w:t>
      </w:r>
      <w:r>
        <w:rPr/>
        <w:t>. After the changes were introduced, as the authors hypothesize, deliberation and consensus-building</w:t>
      </w:r>
      <w:r>
        <w:rPr>
          <w:spacing w:val="-1"/>
        </w:rPr>
        <w:t> </w:t>
      </w:r>
      <w:r>
        <w:rPr/>
        <w:t>became</w:t>
      </w:r>
      <w:r>
        <w:rPr>
          <w:spacing w:val="-1"/>
        </w:rPr>
        <w:t> </w:t>
      </w:r>
      <w:r>
        <w:rPr/>
        <w:t>main practices</w:t>
      </w:r>
      <w:r>
        <w:rPr>
          <w:spacing w:val="-2"/>
        </w:rPr>
        <w:t> </w:t>
      </w:r>
      <w:r>
        <w:rPr/>
        <w:t>on every level of the EU. (</w:t>
      </w:r>
      <w:hyperlink w:history="true" w:anchor="_bookmark101">
        <w:r>
          <w:rPr/>
          <w:t>Bickerton et al., 2015, p. 9</w:t>
        </w:r>
      </w:hyperlink>
      <w:r>
        <w:rPr/>
        <w:t>) Difference between the high and low politics became blurred, due to the issue dependency. Main institutions, thus empowered by the intergovernmental bargains, do not necessarily crave for deeper supranationalism. Their behavior is strategic more than idealistic: “when faced with a favorable environment for entrepreneurialism they may well take and advantage of it, but, in a more hostile environment, they avoid proposals that stand little chance of success.” (</w:t>
      </w:r>
      <w:hyperlink w:history="true" w:anchor="_bookmark101">
        <w:r>
          <w:rPr/>
          <w:t>Bickerton et</w:t>
        </w:r>
        <w:r>
          <w:rPr>
            <w:spacing w:val="-1"/>
          </w:rPr>
          <w:t> </w:t>
        </w:r>
        <w:r>
          <w:rPr/>
          <w:t>al., 2015, p. 11</w:t>
        </w:r>
      </w:hyperlink>
      <w:r>
        <w:rPr/>
        <w:t>)</w:t>
      </w:r>
      <w:r>
        <w:rPr>
          <w:spacing w:val="40"/>
        </w:rPr>
        <w:t> </w:t>
      </w:r>
      <w:r>
        <w:rPr/>
        <w:t>This</w:t>
      </w:r>
      <w:r>
        <w:rPr>
          <w:spacing w:val="-3"/>
        </w:rPr>
        <w:t> </w:t>
      </w:r>
      <w:r>
        <w:rPr/>
        <w:t>new take</w:t>
      </w:r>
      <w:r>
        <w:rPr>
          <w:spacing w:val="-1"/>
        </w:rPr>
        <w:t> </w:t>
      </w:r>
      <w:r>
        <w:rPr/>
        <w:t>on intergovernmental practices in the EU certainly makes sense if we consider the Union as a decentralized issue network, however in this chapter we will try to show that the EU system is organized differently.</w:t>
      </w:r>
    </w:p>
    <w:p>
      <w:pPr>
        <w:pStyle w:val="BodyText"/>
        <w:spacing w:line="273" w:lineRule="auto" w:before="24"/>
        <w:ind w:right="1907" w:firstLine="720"/>
      </w:pPr>
      <w:r>
        <w:rPr/>
        <w:t>The epistemological issue with the LI exists predominantly due to</w:t>
      </w:r>
      <w:r>
        <w:rPr>
          <w:spacing w:val="80"/>
        </w:rPr>
        <w:t> </w:t>
      </w:r>
      <w:r>
        <w:rPr/>
        <w:t>the</w:t>
      </w:r>
      <w:r>
        <w:rPr>
          <w:spacing w:val="40"/>
        </w:rPr>
        <w:t> </w:t>
      </w:r>
      <w:r>
        <w:rPr/>
        <w:t>fact that LI scholars engage in </w:t>
      </w:r>
      <w:r>
        <w:rPr>
          <w:sz w:val="27"/>
        </w:rPr>
        <w:t>who-made-who </w:t>
      </w:r>
      <w:r>
        <w:rPr/>
        <w:t>reasoning with others. For the systems analysis, it is not important to point out the initiators of interactions, as long as the pattern of identifiable the recursive process is observed.</w:t>
      </w:r>
      <w:r>
        <w:rPr>
          <w:spacing w:val="16"/>
        </w:rPr>
        <w:t> </w:t>
      </w:r>
      <w:r>
        <w:rPr/>
        <w:t>By</w:t>
      </w:r>
      <w:r>
        <w:rPr>
          <w:spacing w:val="15"/>
        </w:rPr>
        <w:t> </w:t>
      </w:r>
      <w:r>
        <w:rPr/>
        <w:t>arguing</w:t>
      </w:r>
      <w:r>
        <w:rPr>
          <w:spacing w:val="16"/>
        </w:rPr>
        <w:t> </w:t>
      </w:r>
      <w:r>
        <w:rPr/>
        <w:t>that,</w:t>
      </w:r>
      <w:r>
        <w:rPr>
          <w:spacing w:val="17"/>
        </w:rPr>
        <w:t> </w:t>
      </w:r>
      <w:r>
        <w:rPr/>
        <w:t>two-level</w:t>
      </w:r>
      <w:r>
        <w:rPr>
          <w:spacing w:val="12"/>
        </w:rPr>
        <w:t> </w:t>
      </w:r>
      <w:r>
        <w:rPr/>
        <w:t>distinction</w:t>
      </w:r>
      <w:r>
        <w:rPr>
          <w:spacing w:val="16"/>
        </w:rPr>
        <w:t> </w:t>
      </w:r>
      <w:r>
        <w:rPr/>
        <w:t>in</w:t>
      </w:r>
      <w:r>
        <w:rPr>
          <w:spacing w:val="16"/>
        </w:rPr>
        <w:t> </w:t>
      </w:r>
      <w:r>
        <w:rPr/>
        <w:t>the</w:t>
      </w:r>
      <w:r>
        <w:rPr>
          <w:spacing w:val="15"/>
        </w:rPr>
        <w:t> </w:t>
      </w:r>
      <w:r>
        <w:rPr/>
        <w:t>system</w:t>
      </w:r>
      <w:r>
        <w:rPr>
          <w:spacing w:val="13"/>
        </w:rPr>
        <w:t> </w:t>
      </w:r>
      <w:r>
        <w:rPr/>
        <w:t>has</w:t>
      </w:r>
      <w:r>
        <w:rPr>
          <w:spacing w:val="13"/>
        </w:rPr>
        <w:t> </w:t>
      </w:r>
      <w:r>
        <w:rPr/>
        <w:t>to</w:t>
      </w:r>
      <w:r>
        <w:rPr>
          <w:spacing w:val="25"/>
        </w:rPr>
        <w:t> </w:t>
      </w:r>
      <w:r>
        <w:rPr/>
        <w:t>be</w:t>
      </w:r>
      <w:r>
        <w:rPr>
          <w:spacing w:val="20"/>
        </w:rPr>
        <w:t> </w:t>
      </w:r>
      <w:r>
        <w:rPr>
          <w:spacing w:val="-5"/>
        </w:rPr>
        <w:t>in</w:t>
      </w:r>
    </w:p>
    <w:p>
      <w:pPr>
        <w:pStyle w:val="BodyText"/>
        <w:spacing w:after="0" w:line="273" w:lineRule="auto"/>
        <w:sectPr>
          <w:pgSz w:w="12240" w:h="15840"/>
          <w:pgMar w:header="1046" w:footer="0" w:top="1360" w:bottom="280" w:left="720" w:right="360"/>
        </w:sectPr>
      </w:pPr>
    </w:p>
    <w:p>
      <w:pPr>
        <w:pStyle w:val="BodyText"/>
        <w:spacing w:line="273" w:lineRule="auto" w:before="276"/>
        <w:ind w:right="1908"/>
      </w:pPr>
      <w:r>
        <w:rPr/>
        <w:t>place. We don’t seek to present holistic views of the Union.</w:t>
      </w:r>
      <w:r>
        <w:rPr>
          <w:spacing w:val="40"/>
        </w:rPr>
        <w:t> </w:t>
      </w:r>
      <w:r>
        <w:rPr/>
        <w:t>A primary task is not to show that the “whole is greater than the sum of its parts,” what</w:t>
      </w:r>
      <w:r>
        <w:rPr>
          <w:spacing w:val="-2"/>
        </w:rPr>
        <w:t> </w:t>
      </w:r>
      <w:r>
        <w:rPr/>
        <w:t>we mean is that “the whole is </w:t>
      </w:r>
      <w:r>
        <w:rPr>
          <w:sz w:val="27"/>
        </w:rPr>
        <w:t>different </w:t>
      </w:r>
      <w:r>
        <w:rPr/>
        <w:t>from the sum of its parts (</w:t>
      </w:r>
      <w:hyperlink w:history="true" w:anchor="_bookmark210">
        <w:r>
          <w:rPr/>
          <w:t>Heider,</w:t>
        </w:r>
      </w:hyperlink>
      <w:r>
        <w:rPr/>
        <w:t> </w:t>
      </w:r>
      <w:hyperlink w:history="true" w:anchor="_bookmark210">
        <w:r>
          <w:rPr/>
          <w:t>1977</w:t>
        </w:r>
      </w:hyperlink>
      <w:r>
        <w:rPr/>
        <w:t>).” This difference might not be evident in cases where one particular systemic operation becomes more important than others. However, as the organization works, it has to regenerate, old operations on different levels, in various ways.</w:t>
      </w:r>
    </w:p>
    <w:p>
      <w:pPr>
        <w:pStyle w:val="BodyText"/>
        <w:spacing w:line="276" w:lineRule="auto" w:before="9"/>
        <w:ind w:right="1905" w:firstLine="720"/>
      </w:pPr>
      <w:r>
        <w:rPr/>
        <w:t>We maintain that understanding the EU system and theorizing the European integration</w:t>
      </w:r>
      <w:r>
        <w:rPr>
          <w:spacing w:val="-1"/>
        </w:rPr>
        <w:t> </w:t>
      </w:r>
      <w:r>
        <w:rPr/>
        <w:t>is</w:t>
      </w:r>
      <w:r>
        <w:rPr>
          <w:spacing w:val="-4"/>
        </w:rPr>
        <w:t> </w:t>
      </w:r>
      <w:r>
        <w:rPr/>
        <w:t>not</w:t>
      </w:r>
      <w:r>
        <w:rPr>
          <w:spacing w:val="-2"/>
        </w:rPr>
        <w:t> </w:t>
      </w:r>
      <w:r>
        <w:rPr/>
        <w:t>the</w:t>
      </w:r>
      <w:r>
        <w:rPr>
          <w:spacing w:val="-2"/>
        </w:rPr>
        <w:t> </w:t>
      </w:r>
      <w:r>
        <w:rPr/>
        <w:t>same</w:t>
      </w:r>
      <w:r>
        <w:rPr>
          <w:spacing w:val="-2"/>
        </w:rPr>
        <w:t> </w:t>
      </w:r>
      <w:r>
        <w:rPr/>
        <w:t>task.</w:t>
      </w:r>
      <w:r>
        <w:rPr>
          <w:spacing w:val="-1"/>
        </w:rPr>
        <w:t> </w:t>
      </w:r>
      <w:r>
        <w:rPr/>
        <w:t>If</w:t>
      </w:r>
      <w:r>
        <w:rPr>
          <w:spacing w:val="-4"/>
        </w:rPr>
        <w:t> </w:t>
      </w:r>
      <w:r>
        <w:rPr/>
        <w:t>the</w:t>
      </w:r>
      <w:r>
        <w:rPr>
          <w:spacing w:val="-2"/>
        </w:rPr>
        <w:t> </w:t>
      </w:r>
      <w:r>
        <w:rPr/>
        <w:t>latter</w:t>
      </w:r>
      <w:r>
        <w:rPr>
          <w:spacing w:val="-1"/>
        </w:rPr>
        <w:t> </w:t>
      </w:r>
      <w:r>
        <w:rPr/>
        <w:t>describes</w:t>
      </w:r>
      <w:r>
        <w:rPr>
          <w:spacing w:val="-4"/>
        </w:rPr>
        <w:t> </w:t>
      </w:r>
      <w:r>
        <w:rPr/>
        <w:t>the</w:t>
      </w:r>
      <w:r>
        <w:rPr>
          <w:spacing w:val="-2"/>
        </w:rPr>
        <w:t> </w:t>
      </w:r>
      <w:r>
        <w:rPr/>
        <w:t>process, the former tries</w:t>
      </w:r>
      <w:r>
        <w:rPr>
          <w:spacing w:val="-1"/>
        </w:rPr>
        <w:t> </w:t>
      </w:r>
      <w:r>
        <w:rPr/>
        <w:t>to</w:t>
      </w:r>
      <w:r>
        <w:rPr>
          <w:spacing w:val="-2"/>
        </w:rPr>
        <w:t> </w:t>
      </w:r>
      <w:r>
        <w:rPr/>
        <w:t>explain the systemic structure and</w:t>
      </w:r>
      <w:r>
        <w:rPr>
          <w:spacing w:val="-2"/>
        </w:rPr>
        <w:t> </w:t>
      </w:r>
      <w:r>
        <w:rPr/>
        <w:t>organization. In order to</w:t>
      </w:r>
      <w:r>
        <w:rPr>
          <w:spacing w:val="-4"/>
        </w:rPr>
        <w:t> </w:t>
      </w:r>
      <w:r>
        <w:rPr/>
        <w:t>see</w:t>
      </w:r>
      <w:r>
        <w:rPr>
          <w:spacing w:val="-1"/>
        </w:rPr>
        <w:t> </w:t>
      </w:r>
      <w:r>
        <w:rPr/>
        <w:t>how the</w:t>
      </w:r>
      <w:r>
        <w:rPr>
          <w:spacing w:val="-1"/>
        </w:rPr>
        <w:t> </w:t>
      </w:r>
      <w:r>
        <w:rPr/>
        <w:t>process</w:t>
      </w:r>
      <w:r>
        <w:rPr>
          <w:spacing w:val="-3"/>
        </w:rPr>
        <w:t> </w:t>
      </w:r>
      <w:r>
        <w:rPr/>
        <w:t>of integration works, first</w:t>
      </w:r>
      <w:r>
        <w:rPr>
          <w:spacing w:val="-1"/>
        </w:rPr>
        <w:t> </w:t>
      </w:r>
      <w:r>
        <w:rPr/>
        <w:t>we have to</w:t>
      </w:r>
      <w:r>
        <w:rPr>
          <w:spacing w:val="-4"/>
        </w:rPr>
        <w:t> </w:t>
      </w:r>
      <w:r>
        <w:rPr/>
        <w:t>understand the relations that shape the identity of the European Union.</w:t>
      </w:r>
    </w:p>
    <w:p>
      <w:pPr>
        <w:pStyle w:val="BodyText"/>
        <w:ind w:left="0"/>
        <w:jc w:val="left"/>
      </w:pPr>
    </w:p>
    <w:p>
      <w:pPr>
        <w:pStyle w:val="BodyText"/>
        <w:ind w:left="0"/>
        <w:jc w:val="left"/>
      </w:pPr>
    </w:p>
    <w:p>
      <w:pPr>
        <w:pStyle w:val="BodyText"/>
        <w:ind w:left="0"/>
        <w:jc w:val="left"/>
      </w:pPr>
    </w:p>
    <w:p>
      <w:pPr>
        <w:pStyle w:val="BodyText"/>
        <w:spacing w:before="178"/>
        <w:ind w:left="0"/>
        <w:jc w:val="left"/>
      </w:pPr>
    </w:p>
    <w:p>
      <w:pPr>
        <w:pStyle w:val="Heading4"/>
        <w:numPr>
          <w:ilvl w:val="1"/>
          <w:numId w:val="13"/>
        </w:numPr>
        <w:tabs>
          <w:tab w:pos="1581" w:val="left" w:leader="none"/>
        </w:tabs>
        <w:spacing w:line="240" w:lineRule="auto" w:before="0" w:after="0"/>
        <w:ind w:left="1581" w:right="0" w:hanging="602"/>
        <w:jc w:val="left"/>
      </w:pPr>
      <w:bookmarkStart w:name="_bookmark36" w:id="37"/>
      <w:bookmarkEnd w:id="37"/>
      <w:r>
        <w:rPr>
          <w:b w:val="0"/>
        </w:rPr>
      </w:r>
      <w:r>
        <w:rPr>
          <w:spacing w:val="-2"/>
        </w:rPr>
        <w:t>Purpose</w:t>
      </w:r>
      <w:r>
        <w:rPr>
          <w:spacing w:val="-14"/>
        </w:rPr>
        <w:t> </w:t>
      </w:r>
      <w:r>
        <w:rPr>
          <w:spacing w:val="-2"/>
        </w:rPr>
        <w:t>Of</w:t>
      </w:r>
      <w:r>
        <w:rPr>
          <w:spacing w:val="-14"/>
        </w:rPr>
        <w:t> </w:t>
      </w:r>
      <w:r>
        <w:rPr>
          <w:spacing w:val="-2"/>
        </w:rPr>
        <w:t>The</w:t>
      </w:r>
      <w:r>
        <w:rPr>
          <w:spacing w:val="-17"/>
        </w:rPr>
        <w:t> </w:t>
      </w:r>
      <w:r>
        <w:rPr>
          <w:spacing w:val="-2"/>
        </w:rPr>
        <w:t>Union</w:t>
      </w:r>
    </w:p>
    <w:p>
      <w:pPr>
        <w:pStyle w:val="BodyText"/>
        <w:spacing w:before="194"/>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49280">
                <wp:simplePos x="0" y="0"/>
                <wp:positionH relativeFrom="page">
                  <wp:posOffset>1078864</wp:posOffset>
                </wp:positionH>
                <wp:positionV relativeFrom="paragraph">
                  <wp:posOffset>283287</wp:posOffset>
                </wp:positionV>
                <wp:extent cx="5252085" cy="52069"/>
                <wp:effectExtent l="0" t="0" r="0" b="0"/>
                <wp:wrapTopAndBottom/>
                <wp:docPr id="149" name="Graphic 149"/>
                <wp:cNvGraphicFramePr>
                  <a:graphicFrameLocks/>
                </wp:cNvGraphicFramePr>
                <a:graphic>
                  <a:graphicData uri="http://schemas.microsoft.com/office/word/2010/wordprocessingShape">
                    <wps:wsp>
                      <wps:cNvPr id="149" name="Graphic 149"/>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306084pt;width:413.55pt;height:4.1pt;mso-position-horizontal-relative:page;mso-position-vertical-relative:paragraph;z-index:-15667200;mso-wrap-distance-left:0;mso-wrap-distance-right:0" id="docshape140"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ind w:left="0"/>
        <w:jc w:val="left"/>
        <w:rPr>
          <w:rFonts w:ascii="Georgia"/>
          <w:b/>
        </w:rPr>
      </w:pPr>
    </w:p>
    <w:p>
      <w:pPr>
        <w:pStyle w:val="BodyText"/>
        <w:spacing w:before="104"/>
        <w:ind w:left="0"/>
        <w:jc w:val="left"/>
        <w:rPr>
          <w:rFonts w:ascii="Georgia"/>
          <w:b/>
        </w:rPr>
      </w:pPr>
    </w:p>
    <w:p>
      <w:pPr>
        <w:pStyle w:val="BodyText"/>
        <w:spacing w:line="276" w:lineRule="auto"/>
        <w:ind w:right="1919" w:firstLine="720"/>
      </w:pPr>
      <w:r>
        <w:rPr/>
        <w:t>As</w:t>
      </w:r>
      <w:r>
        <w:rPr>
          <w:spacing w:val="-5"/>
        </w:rPr>
        <w:t> </w:t>
      </w:r>
      <w:r>
        <w:rPr/>
        <w:t>we</w:t>
      </w:r>
      <w:r>
        <w:rPr>
          <w:spacing w:val="-3"/>
        </w:rPr>
        <w:t> </w:t>
      </w:r>
      <w:r>
        <w:rPr/>
        <w:t>have</w:t>
      </w:r>
      <w:r>
        <w:rPr>
          <w:spacing w:val="-3"/>
        </w:rPr>
        <w:t> </w:t>
      </w:r>
      <w:r>
        <w:rPr/>
        <w:t>indicated</w:t>
      </w:r>
      <w:r>
        <w:rPr>
          <w:spacing w:val="-2"/>
        </w:rPr>
        <w:t> </w:t>
      </w:r>
      <w:r>
        <w:rPr/>
        <w:t>in</w:t>
      </w:r>
      <w:r>
        <w:rPr>
          <w:spacing w:val="-2"/>
        </w:rPr>
        <w:t> </w:t>
      </w:r>
      <w:r>
        <w:rPr/>
        <w:t>the</w:t>
      </w:r>
      <w:r>
        <w:rPr>
          <w:spacing w:val="-8"/>
        </w:rPr>
        <w:t> </w:t>
      </w:r>
      <w:r>
        <w:rPr/>
        <w:t>third</w:t>
      </w:r>
      <w:r>
        <w:rPr>
          <w:spacing w:val="-6"/>
        </w:rPr>
        <w:t> </w:t>
      </w:r>
      <w:r>
        <w:rPr/>
        <w:t>chapter,</w:t>
      </w:r>
      <w:r>
        <w:rPr>
          <w:spacing w:val="-6"/>
        </w:rPr>
        <w:t> </w:t>
      </w:r>
      <w:r>
        <w:rPr/>
        <w:t>those</w:t>
      </w:r>
      <w:r>
        <w:rPr>
          <w:spacing w:val="-3"/>
        </w:rPr>
        <w:t> </w:t>
      </w:r>
      <w:r>
        <w:rPr/>
        <w:t>social</w:t>
      </w:r>
      <w:r>
        <w:rPr>
          <w:spacing w:val="-2"/>
        </w:rPr>
        <w:t> </w:t>
      </w:r>
      <w:r>
        <w:rPr/>
        <w:t>systems</w:t>
      </w:r>
      <w:r>
        <w:rPr>
          <w:spacing w:val="-5"/>
        </w:rPr>
        <w:t> </w:t>
      </w:r>
      <w:r>
        <w:rPr/>
        <w:t>which are created via common agreement often have the founding ideals. These ideals always include goals and objectives.</w:t>
      </w:r>
    </w:p>
    <w:p>
      <w:pPr>
        <w:pStyle w:val="BodyText"/>
        <w:spacing w:line="268" w:lineRule="auto" w:before="1"/>
        <w:ind w:right="1907" w:firstLine="720"/>
      </w:pPr>
      <w:r>
        <w:rPr/>
        <w:t>While searching the purpose of the social organization one should in the first place look through the official documents. When the organization is built on common consent, the decision has to be fixed. The </w:t>
      </w:r>
      <w:r>
        <w:rPr>
          <w:sz w:val="27"/>
        </w:rPr>
        <w:t>Schuman Declaration </w:t>
      </w:r>
      <w:r>
        <w:rPr/>
        <w:t>described the spirit of the European ideal, which had to be pursued.</w:t>
      </w:r>
      <w:r>
        <w:rPr>
          <w:spacing w:val="-9"/>
        </w:rPr>
        <w:t> </w:t>
      </w:r>
      <w:r>
        <w:rPr/>
        <w:t>The</w:t>
      </w:r>
      <w:r>
        <w:rPr>
          <w:spacing w:val="-10"/>
        </w:rPr>
        <w:t> </w:t>
      </w:r>
      <w:r>
        <w:rPr/>
        <w:t>statement</w:t>
      </w:r>
      <w:r>
        <w:rPr>
          <w:spacing w:val="-10"/>
        </w:rPr>
        <w:t> </w:t>
      </w:r>
      <w:r>
        <w:rPr/>
        <w:t>said</w:t>
      </w:r>
      <w:r>
        <w:rPr>
          <w:spacing w:val="-8"/>
        </w:rPr>
        <w:t> </w:t>
      </w:r>
      <w:r>
        <w:rPr/>
        <w:t>that</w:t>
      </w:r>
      <w:r>
        <w:rPr>
          <w:spacing w:val="-10"/>
        </w:rPr>
        <w:t> </w:t>
      </w:r>
      <w:r>
        <w:rPr/>
        <w:t>to</w:t>
      </w:r>
      <w:r>
        <w:rPr>
          <w:spacing w:val="-12"/>
        </w:rPr>
        <w:t> </w:t>
      </w:r>
      <w:r>
        <w:rPr/>
        <w:t>achieve</w:t>
      </w:r>
      <w:r>
        <w:rPr>
          <w:spacing w:val="-2"/>
        </w:rPr>
        <w:t> </w:t>
      </w:r>
      <w:r>
        <w:rPr>
          <w:sz w:val="27"/>
        </w:rPr>
        <w:t>everlasting</w:t>
      </w:r>
      <w:r>
        <w:rPr>
          <w:spacing w:val="-12"/>
          <w:sz w:val="27"/>
        </w:rPr>
        <w:t> </w:t>
      </w:r>
      <w:r>
        <w:rPr>
          <w:sz w:val="27"/>
        </w:rPr>
        <w:t>peace</w:t>
      </w:r>
      <w:r>
        <w:rPr>
          <w:spacing w:val="-9"/>
          <w:sz w:val="27"/>
        </w:rPr>
        <w:t> </w:t>
      </w:r>
      <w:r>
        <w:rPr/>
        <w:t>the</w:t>
      </w:r>
      <w:r>
        <w:rPr>
          <w:spacing w:val="-10"/>
        </w:rPr>
        <w:t> </w:t>
      </w:r>
      <w:r>
        <w:rPr/>
        <w:t>Europeans had to move towards the </w:t>
      </w:r>
      <w:r>
        <w:rPr>
          <w:sz w:val="27"/>
        </w:rPr>
        <w:t>federation. </w:t>
      </w:r>
      <w:r>
        <w:rPr/>
        <w:t>However, the authors acknowledged that it was impossible to manage “all at once, or according to a single plan.” A</w:t>
      </w:r>
      <w:r>
        <w:rPr>
          <w:spacing w:val="30"/>
        </w:rPr>
        <w:t> </w:t>
      </w:r>
      <w:r>
        <w:rPr/>
        <w:t>gradual</w:t>
      </w:r>
      <w:r>
        <w:rPr>
          <w:spacing w:val="30"/>
        </w:rPr>
        <w:t> </w:t>
      </w:r>
      <w:r>
        <w:rPr/>
        <w:t>process</w:t>
      </w:r>
      <w:r>
        <w:rPr>
          <w:spacing w:val="30"/>
        </w:rPr>
        <w:t> </w:t>
      </w:r>
      <w:r>
        <w:rPr/>
        <w:t>was</w:t>
      </w:r>
      <w:r>
        <w:rPr>
          <w:spacing w:val="35"/>
        </w:rPr>
        <w:t> </w:t>
      </w:r>
      <w:r>
        <w:rPr/>
        <w:t>necessary</w:t>
      </w:r>
      <w:r>
        <w:rPr>
          <w:spacing w:val="32"/>
        </w:rPr>
        <w:t> </w:t>
      </w:r>
      <w:r>
        <w:rPr/>
        <w:t>to</w:t>
      </w:r>
      <w:r>
        <w:rPr>
          <w:spacing w:val="34"/>
        </w:rPr>
        <w:t> </w:t>
      </w:r>
      <w:r>
        <w:rPr/>
        <w:t>create</w:t>
      </w:r>
      <w:r>
        <w:rPr>
          <w:spacing w:val="36"/>
        </w:rPr>
        <w:t>  </w:t>
      </w:r>
      <w:r>
        <w:rPr>
          <w:sz w:val="27"/>
        </w:rPr>
        <w:t>de</w:t>
      </w:r>
      <w:r>
        <w:rPr>
          <w:spacing w:val="31"/>
          <w:sz w:val="27"/>
        </w:rPr>
        <w:t> </w:t>
      </w:r>
      <w:r>
        <w:rPr>
          <w:sz w:val="27"/>
        </w:rPr>
        <w:t>facto</w:t>
      </w:r>
      <w:r>
        <w:rPr>
          <w:spacing w:val="29"/>
          <w:sz w:val="27"/>
        </w:rPr>
        <w:t> </w:t>
      </w:r>
      <w:r>
        <w:rPr/>
        <w:t>solidarity</w:t>
      </w:r>
      <w:r>
        <w:rPr>
          <w:spacing w:val="32"/>
        </w:rPr>
        <w:t> </w:t>
      </w:r>
      <w:r>
        <w:rPr/>
        <w:t>among</w:t>
      </w:r>
      <w:r>
        <w:rPr>
          <w:spacing w:val="33"/>
        </w:rPr>
        <w:t> </w:t>
      </w:r>
      <w:r>
        <w:rPr>
          <w:spacing w:val="-5"/>
        </w:rPr>
        <w:t>the</w:t>
      </w:r>
    </w:p>
    <w:p>
      <w:pPr>
        <w:pStyle w:val="BodyText"/>
        <w:spacing w:after="0" w:line="268" w:lineRule="auto"/>
        <w:sectPr>
          <w:pgSz w:w="12240" w:h="15840"/>
          <w:pgMar w:header="1046" w:footer="0" w:top="1360" w:bottom="280" w:left="720" w:right="360"/>
        </w:sectPr>
      </w:pPr>
    </w:p>
    <w:p>
      <w:pPr>
        <w:pStyle w:val="BodyText"/>
        <w:spacing w:line="276" w:lineRule="auto" w:before="276"/>
        <w:ind w:right="1909"/>
        <w:jc w:val="left"/>
      </w:pPr>
      <w:r>
        <w:rPr/>
        <w:t>nations,</w:t>
      </w:r>
      <w:r>
        <w:rPr>
          <w:spacing w:val="40"/>
        </w:rPr>
        <w:t> </w:t>
      </w:r>
      <w:r>
        <w:rPr/>
        <w:t>which</w:t>
      </w:r>
      <w:r>
        <w:rPr>
          <w:spacing w:val="40"/>
        </w:rPr>
        <w:t> </w:t>
      </w:r>
      <w:r>
        <w:rPr/>
        <w:t>would</w:t>
      </w:r>
      <w:r>
        <w:rPr>
          <w:spacing w:val="40"/>
        </w:rPr>
        <w:t> </w:t>
      </w:r>
      <w:r>
        <w:rPr/>
        <w:t>lead</w:t>
      </w:r>
      <w:r>
        <w:rPr>
          <w:spacing w:val="40"/>
        </w:rPr>
        <w:t> </w:t>
      </w:r>
      <w:r>
        <w:rPr/>
        <w:t>to</w:t>
      </w:r>
      <w:r>
        <w:rPr>
          <w:spacing w:val="40"/>
        </w:rPr>
        <w:t> </w:t>
      </w:r>
      <w:r>
        <w:rPr/>
        <w:t>economic</w:t>
      </w:r>
      <w:r>
        <w:rPr>
          <w:spacing w:val="40"/>
        </w:rPr>
        <w:t> </w:t>
      </w:r>
      <w:r>
        <w:rPr/>
        <w:t>and</w:t>
      </w:r>
      <w:r>
        <w:rPr>
          <w:spacing w:val="40"/>
        </w:rPr>
        <w:t> </w:t>
      </w:r>
      <w:r>
        <w:rPr/>
        <w:t>political</w:t>
      </w:r>
      <w:r>
        <w:rPr>
          <w:spacing w:val="40"/>
        </w:rPr>
        <w:t> </w:t>
      </w:r>
      <w:r>
        <w:rPr/>
        <w:t>integration</w:t>
      </w:r>
      <w:r>
        <w:rPr>
          <w:spacing w:val="40"/>
        </w:rPr>
        <w:t> </w:t>
      </w:r>
      <w:r>
        <w:rPr/>
        <w:t>in</w:t>
      </w:r>
      <w:r>
        <w:rPr>
          <w:spacing w:val="40"/>
        </w:rPr>
        <w:t> </w:t>
      </w:r>
      <w:r>
        <w:rPr/>
        <w:t>the future. (</w:t>
      </w:r>
      <w:hyperlink w:history="true" w:anchor="_bookmark383">
        <w:r>
          <w:rPr/>
          <w:t>Schuman, 1950</w:t>
        </w:r>
      </w:hyperlink>
      <w:r>
        <w:rPr/>
        <w:t>)</w:t>
      </w:r>
    </w:p>
    <w:p>
      <w:pPr>
        <w:spacing w:line="214" w:lineRule="exact" w:before="0"/>
        <w:ind w:left="979" w:right="0" w:firstLine="0"/>
        <w:jc w:val="left"/>
        <w:rPr>
          <w:rFonts w:ascii="Calibri"/>
          <w:b/>
          <w:sz w:val="18"/>
        </w:rPr>
      </w:pPr>
      <w:bookmarkStart w:name="_bookmark37" w:id="38"/>
      <w:bookmarkEnd w:id="38"/>
      <w:r>
        <w:rPr/>
      </w:r>
      <w:r>
        <w:rPr>
          <w:rFonts w:ascii="Calibri"/>
          <w:b/>
          <w:color w:val="4F81BC"/>
          <w:sz w:val="18"/>
        </w:rPr>
        <w:t>Figure</w:t>
      </w:r>
      <w:r>
        <w:rPr>
          <w:rFonts w:ascii="Calibri"/>
          <w:b/>
          <w:color w:val="4F81BC"/>
          <w:spacing w:val="1"/>
          <w:sz w:val="18"/>
        </w:rPr>
        <w:t> </w:t>
      </w:r>
      <w:r>
        <w:rPr>
          <w:rFonts w:ascii="Calibri"/>
          <w:b/>
          <w:color w:val="4F81BC"/>
          <w:sz w:val="18"/>
        </w:rPr>
        <w:t>10.</w:t>
      </w:r>
      <w:r>
        <w:rPr>
          <w:rFonts w:ascii="Calibri"/>
          <w:b/>
          <w:color w:val="4F81BC"/>
          <w:spacing w:val="-5"/>
          <w:sz w:val="18"/>
        </w:rPr>
        <w:t> </w:t>
      </w:r>
      <w:r>
        <w:rPr>
          <w:rFonts w:ascii="Calibri"/>
          <w:b/>
          <w:color w:val="4F81BC"/>
          <w:sz w:val="18"/>
        </w:rPr>
        <w:t>Purpose</w:t>
      </w:r>
      <w:r>
        <w:rPr>
          <w:rFonts w:ascii="Calibri"/>
          <w:b/>
          <w:color w:val="4F81BC"/>
          <w:spacing w:val="-4"/>
          <w:sz w:val="18"/>
        </w:rPr>
        <w:t> </w:t>
      </w:r>
      <w:r>
        <w:rPr>
          <w:rFonts w:ascii="Calibri"/>
          <w:b/>
          <w:color w:val="4F81BC"/>
          <w:sz w:val="18"/>
        </w:rPr>
        <w:t>and</w:t>
      </w:r>
      <w:r>
        <w:rPr>
          <w:rFonts w:ascii="Calibri"/>
          <w:b/>
          <w:color w:val="4F81BC"/>
          <w:spacing w:val="-6"/>
          <w:sz w:val="18"/>
        </w:rPr>
        <w:t> </w:t>
      </w:r>
      <w:r>
        <w:rPr>
          <w:rFonts w:ascii="Calibri"/>
          <w:b/>
          <w:color w:val="4F81BC"/>
          <w:spacing w:val="-2"/>
          <w:sz w:val="18"/>
        </w:rPr>
        <w:t>method</w:t>
      </w:r>
    </w:p>
    <w:p>
      <w:pPr>
        <w:pStyle w:val="BodyText"/>
        <w:spacing w:before="9"/>
        <w:ind w:left="0"/>
        <w:jc w:val="left"/>
        <w:rPr>
          <w:rFonts w:ascii="Calibri"/>
          <w:b/>
          <w:sz w:val="15"/>
        </w:rPr>
      </w:pPr>
      <w:r>
        <w:rPr>
          <w:rFonts w:ascii="Calibri"/>
          <w:b/>
          <w:sz w:val="15"/>
        </w:rPr>
        <mc:AlternateContent>
          <mc:Choice Requires="wps">
            <w:drawing>
              <wp:anchor distT="0" distB="0" distL="0" distR="0" allowOverlap="1" layoutInCell="1" locked="0" behindDoc="1" simplePos="0" relativeHeight="487649792">
                <wp:simplePos x="0" y="0"/>
                <wp:positionH relativeFrom="page">
                  <wp:posOffset>1089660</wp:posOffset>
                </wp:positionH>
                <wp:positionV relativeFrom="paragraph">
                  <wp:posOffset>137624</wp:posOffset>
                </wp:positionV>
                <wp:extent cx="5010150" cy="1390650"/>
                <wp:effectExtent l="0" t="0" r="0" b="0"/>
                <wp:wrapTopAndBottom/>
                <wp:docPr id="150" name="Group 150"/>
                <wp:cNvGraphicFramePr>
                  <a:graphicFrameLocks/>
                </wp:cNvGraphicFramePr>
                <a:graphic>
                  <a:graphicData uri="http://schemas.microsoft.com/office/word/2010/wordprocessingGroup">
                    <wpg:wgp>
                      <wpg:cNvPr id="150" name="Group 150"/>
                      <wpg:cNvGrpSpPr/>
                      <wpg:grpSpPr>
                        <a:xfrm>
                          <a:off x="0" y="0"/>
                          <a:ext cx="5010150" cy="1390650"/>
                          <a:chExt cx="5010150" cy="1390650"/>
                        </a:xfrm>
                      </wpg:grpSpPr>
                      <pic:pic>
                        <pic:nvPicPr>
                          <pic:cNvPr id="151" name="Image 151"/>
                          <pic:cNvPicPr/>
                        </pic:nvPicPr>
                        <pic:blipFill>
                          <a:blip r:embed="rId32" cstate="print"/>
                          <a:stretch>
                            <a:fillRect/>
                          </a:stretch>
                        </pic:blipFill>
                        <pic:spPr>
                          <a:xfrm>
                            <a:off x="28575" y="28638"/>
                            <a:ext cx="4953000" cy="1333500"/>
                          </a:xfrm>
                          <a:prstGeom prst="rect">
                            <a:avLst/>
                          </a:prstGeom>
                        </pic:spPr>
                      </pic:pic>
                      <wps:wsp>
                        <wps:cNvPr id="152" name="Graphic 152"/>
                        <wps:cNvSpPr/>
                        <wps:spPr>
                          <a:xfrm>
                            <a:off x="14287" y="14287"/>
                            <a:ext cx="4981575" cy="1362075"/>
                          </a:xfrm>
                          <a:custGeom>
                            <a:avLst/>
                            <a:gdLst/>
                            <a:ahLst/>
                            <a:cxnLst/>
                            <a:rect l="l" t="t" r="r" b="b"/>
                            <a:pathLst>
                              <a:path w="4981575" h="1362075">
                                <a:moveTo>
                                  <a:pt x="0" y="1362075"/>
                                </a:moveTo>
                                <a:lnTo>
                                  <a:pt x="4981575" y="1362075"/>
                                </a:lnTo>
                                <a:lnTo>
                                  <a:pt x="4981575" y="0"/>
                                </a:lnTo>
                                <a:lnTo>
                                  <a:pt x="0" y="0"/>
                                </a:lnTo>
                                <a:lnTo>
                                  <a:pt x="0" y="1362075"/>
                                </a:lnTo>
                                <a:close/>
                              </a:path>
                            </a:pathLst>
                          </a:custGeom>
                          <a:ln w="2857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85.800003pt;margin-top:10.836535pt;width:394.5pt;height:109.5pt;mso-position-horizontal-relative:page;mso-position-vertical-relative:paragraph;z-index:-15666688;mso-wrap-distance-left:0;mso-wrap-distance-right:0" id="docshapegroup141" coordorigin="1716,217" coordsize="7890,2190">
                <v:shape style="position:absolute;left:1761;top:261;width:7800;height:2100" type="#_x0000_t75" id="docshape142" stroked="false">
                  <v:imagedata r:id="rId32" o:title=""/>
                </v:shape>
                <v:rect style="position:absolute;left:1738;top:239;width:7845;height:2145" id="docshape143" filled="false" stroked="true" strokeweight="2.25pt" strokecolor="#000000">
                  <v:stroke dashstyle="solid"/>
                </v:rect>
                <w10:wrap type="topAndBottom"/>
              </v:group>
            </w:pict>
          </mc:Fallback>
        </mc:AlternateContent>
      </w:r>
    </w:p>
    <w:p>
      <w:pPr>
        <w:pStyle w:val="BodyText"/>
        <w:spacing w:line="276" w:lineRule="auto" w:before="58"/>
        <w:ind w:right="1908" w:firstLine="720"/>
      </w:pPr>
      <w:r>
        <w:rPr/>
        <w:t>After the immediate goals were achieved, living with the ideal has acquired a whole new context. (</w:t>
      </w:r>
      <w:hyperlink w:history="true" w:anchor="_bookmark205">
        <w:r>
          <w:rPr/>
          <w:t>Habermas, 2001b, p. 5</w:t>
        </w:r>
      </w:hyperlink>
      <w:r>
        <w:rPr/>
        <w:t>) The values which were implicitly perceived, were put up front for the explicit academic discussions. This does not mean that the values and the purpose of the Union were generated separately from each other. On the contrary, they were closely connected.</w:t>
      </w:r>
    </w:p>
    <w:p>
      <w:pPr>
        <w:pStyle w:val="BodyText"/>
        <w:ind w:left="0"/>
        <w:jc w:val="left"/>
      </w:pPr>
    </w:p>
    <w:p>
      <w:pPr>
        <w:pStyle w:val="BodyText"/>
        <w:ind w:left="0"/>
        <w:jc w:val="left"/>
      </w:pPr>
    </w:p>
    <w:p>
      <w:pPr>
        <w:pStyle w:val="BodyText"/>
        <w:ind w:left="0"/>
        <w:jc w:val="left"/>
      </w:pPr>
    </w:p>
    <w:p>
      <w:pPr>
        <w:pStyle w:val="BodyText"/>
        <w:spacing w:before="255"/>
        <w:ind w:left="0"/>
        <w:jc w:val="left"/>
      </w:pPr>
    </w:p>
    <w:p>
      <w:pPr>
        <w:pStyle w:val="Heading4"/>
        <w:numPr>
          <w:ilvl w:val="2"/>
          <w:numId w:val="13"/>
        </w:numPr>
        <w:tabs>
          <w:tab w:pos="1878" w:val="left" w:leader="none"/>
        </w:tabs>
        <w:spacing w:line="240" w:lineRule="auto" w:before="0" w:after="0"/>
        <w:ind w:left="1878" w:right="0" w:hanging="899"/>
        <w:jc w:val="left"/>
      </w:pPr>
      <w:bookmarkStart w:name="_bookmark38" w:id="39"/>
      <w:bookmarkEnd w:id="39"/>
      <w:r>
        <w:rPr>
          <w:b w:val="0"/>
        </w:rPr>
      </w:r>
      <w:r>
        <w:rPr>
          <w:spacing w:val="-10"/>
        </w:rPr>
        <w:t>Two Federalisms</w:t>
      </w:r>
      <w:r>
        <w:rPr>
          <w:spacing w:val="-2"/>
        </w:rPr>
        <w:t> </w:t>
      </w:r>
      <w:r>
        <w:rPr>
          <w:spacing w:val="-10"/>
        </w:rPr>
        <w:t>–</w:t>
      </w:r>
      <w:r>
        <w:rPr>
          <w:spacing w:val="-6"/>
        </w:rPr>
        <w:t> </w:t>
      </w:r>
      <w:r>
        <w:rPr>
          <w:spacing w:val="-10"/>
        </w:rPr>
        <w:t>One</w:t>
      </w:r>
      <w:r>
        <w:rPr>
          <w:spacing w:val="-5"/>
        </w:rPr>
        <w:t> </w:t>
      </w:r>
      <w:r>
        <w:rPr>
          <w:spacing w:val="-10"/>
        </w:rPr>
        <w:t>Purpose?</w:t>
      </w:r>
    </w:p>
    <w:p>
      <w:pPr>
        <w:pStyle w:val="BodyText"/>
        <w:spacing w:before="194"/>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50304">
                <wp:simplePos x="0" y="0"/>
                <wp:positionH relativeFrom="page">
                  <wp:posOffset>1078864</wp:posOffset>
                </wp:positionH>
                <wp:positionV relativeFrom="paragraph">
                  <wp:posOffset>283227</wp:posOffset>
                </wp:positionV>
                <wp:extent cx="5252085" cy="52069"/>
                <wp:effectExtent l="0" t="0" r="0" b="0"/>
                <wp:wrapTopAndBottom/>
                <wp:docPr id="153" name="Graphic 153"/>
                <wp:cNvGraphicFramePr>
                  <a:graphicFrameLocks/>
                </wp:cNvGraphicFramePr>
                <a:graphic>
                  <a:graphicData uri="http://schemas.microsoft.com/office/word/2010/wordprocessingShape">
                    <wps:wsp>
                      <wps:cNvPr id="153" name="Graphic 153"/>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301357pt;width:413.55pt;height:4.1pt;mso-position-horizontal-relative:page;mso-position-vertical-relative:paragraph;z-index:-15666176;mso-wrap-distance-left:0;mso-wrap-distance-right:0" id="docshape144"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spacing w:before="6"/>
        <w:ind w:left="0"/>
        <w:jc w:val="left"/>
        <w:rPr>
          <w:rFonts w:ascii="Georgia"/>
          <w:b/>
        </w:rPr>
      </w:pPr>
    </w:p>
    <w:p>
      <w:pPr>
        <w:pStyle w:val="BodyText"/>
        <w:spacing w:line="276" w:lineRule="auto" w:before="1"/>
        <w:ind w:right="1901" w:firstLine="720"/>
      </w:pPr>
      <w:r>
        <w:rPr/>
        <w:t>The purpose of the EU was not identified in a day. It was a long evolutionary process, which got a boost in the first half of the 20</w:t>
      </w:r>
      <w:r>
        <w:rPr>
          <w:position w:val="7"/>
          <w:sz w:val="15"/>
        </w:rPr>
        <w:t>th</w:t>
      </w:r>
      <w:r>
        <w:rPr>
          <w:spacing w:val="37"/>
          <w:position w:val="7"/>
          <w:sz w:val="15"/>
        </w:rPr>
        <w:t> </w:t>
      </w:r>
      <w:r>
        <w:rPr/>
        <w:t>century. The turning point was an inter-war period, and later, the resistance movements during the second world war. The figures which opposed the Nazi/Fascist regimes came the idea that, they had to fight not to "return the prewar conditions,</w:t>
      </w:r>
      <w:r>
        <w:rPr>
          <w:spacing w:val="40"/>
        </w:rPr>
        <w:t> </w:t>
      </w:r>
      <w:r>
        <w:rPr/>
        <w:t>but for new European society.” (</w:t>
      </w:r>
      <w:hyperlink w:history="true" w:anchor="_bookmark262">
        <w:r>
          <w:rPr/>
          <w:t>Lipgens, 1968, p. 5</w:t>
        </w:r>
      </w:hyperlink>
      <w:r>
        <w:rPr/>
        <w:t>) After</w:t>
      </w:r>
      <w:r>
        <w:rPr>
          <w:spacing w:val="-15"/>
        </w:rPr>
        <w:t> </w:t>
      </w:r>
      <w:r>
        <w:rPr/>
        <w:t>the</w:t>
      </w:r>
      <w:r>
        <w:rPr>
          <w:spacing w:val="-14"/>
        </w:rPr>
        <w:t> </w:t>
      </w:r>
      <w:r>
        <w:rPr/>
        <w:t>war</w:t>
      </w:r>
      <w:r>
        <w:rPr>
          <w:spacing w:val="-13"/>
        </w:rPr>
        <w:t> </w:t>
      </w:r>
      <w:r>
        <w:rPr/>
        <w:t>ended,</w:t>
      </w:r>
      <w:r>
        <w:rPr>
          <w:spacing w:val="-13"/>
        </w:rPr>
        <w:t> </w:t>
      </w:r>
      <w:r>
        <w:rPr/>
        <w:t>people</w:t>
      </w:r>
      <w:r>
        <w:rPr>
          <w:spacing w:val="-14"/>
        </w:rPr>
        <w:t> </w:t>
      </w:r>
      <w:r>
        <w:rPr/>
        <w:t>like</w:t>
      </w:r>
      <w:r>
        <w:rPr>
          <w:spacing w:val="-11"/>
        </w:rPr>
        <w:t> </w:t>
      </w:r>
      <w:r>
        <w:rPr>
          <w:sz w:val="27"/>
        </w:rPr>
        <w:t>Altiero</w:t>
      </w:r>
      <w:r>
        <w:rPr>
          <w:spacing w:val="-17"/>
          <w:sz w:val="27"/>
        </w:rPr>
        <w:t> </w:t>
      </w:r>
      <w:r>
        <w:rPr>
          <w:sz w:val="27"/>
        </w:rPr>
        <w:t>Spinelli</w:t>
      </w:r>
      <w:r>
        <w:rPr>
          <w:spacing w:val="-17"/>
          <w:sz w:val="27"/>
        </w:rPr>
        <w:t> </w:t>
      </w:r>
      <w:r>
        <w:rPr/>
        <w:t>and</w:t>
      </w:r>
      <w:r>
        <w:rPr>
          <w:spacing w:val="-11"/>
        </w:rPr>
        <w:t> </w:t>
      </w:r>
      <w:r>
        <w:rPr>
          <w:sz w:val="27"/>
        </w:rPr>
        <w:t>Ernesto</w:t>
      </w:r>
      <w:r>
        <w:rPr>
          <w:spacing w:val="-17"/>
          <w:sz w:val="27"/>
        </w:rPr>
        <w:t> </w:t>
      </w:r>
      <w:r>
        <w:rPr>
          <w:sz w:val="27"/>
        </w:rPr>
        <w:t>Rossi</w:t>
      </w:r>
      <w:r>
        <w:rPr/>
        <w:t>,</w:t>
      </w:r>
      <w:r>
        <w:rPr>
          <w:spacing w:val="-13"/>
        </w:rPr>
        <w:t> </w:t>
      </w:r>
      <w:r>
        <w:rPr/>
        <w:t>together with others, kept being active in promoting the united European family. The</w:t>
      </w:r>
      <w:r>
        <w:rPr>
          <w:spacing w:val="24"/>
        </w:rPr>
        <w:t> </w:t>
      </w:r>
      <w:r>
        <w:rPr/>
        <w:t>impetus</w:t>
      </w:r>
      <w:r>
        <w:rPr>
          <w:spacing w:val="22"/>
        </w:rPr>
        <w:t> </w:t>
      </w:r>
      <w:r>
        <w:rPr/>
        <w:t>for</w:t>
      </w:r>
      <w:r>
        <w:rPr>
          <w:spacing w:val="25"/>
        </w:rPr>
        <w:t> </w:t>
      </w:r>
      <w:r>
        <w:rPr/>
        <w:t>idealizing</w:t>
      </w:r>
      <w:r>
        <w:rPr>
          <w:spacing w:val="25"/>
        </w:rPr>
        <w:t> </w:t>
      </w:r>
      <w:r>
        <w:rPr/>
        <w:t>a</w:t>
      </w:r>
      <w:r>
        <w:rPr>
          <w:spacing w:val="28"/>
        </w:rPr>
        <w:t> </w:t>
      </w:r>
      <w:r>
        <w:rPr/>
        <w:t>federal</w:t>
      </w:r>
      <w:r>
        <w:rPr>
          <w:spacing w:val="22"/>
        </w:rPr>
        <w:t> </w:t>
      </w:r>
      <w:r>
        <w:rPr/>
        <w:t>peace</w:t>
      </w:r>
      <w:r>
        <w:rPr>
          <w:spacing w:val="33"/>
        </w:rPr>
        <w:t> </w:t>
      </w:r>
      <w:r>
        <w:rPr/>
        <w:t>had</w:t>
      </w:r>
      <w:r>
        <w:rPr>
          <w:spacing w:val="26"/>
        </w:rPr>
        <w:t> </w:t>
      </w:r>
      <w:r>
        <w:rPr/>
        <w:t>a</w:t>
      </w:r>
      <w:r>
        <w:rPr>
          <w:spacing w:val="24"/>
        </w:rPr>
        <w:t> </w:t>
      </w:r>
      <w:r>
        <w:rPr/>
        <w:t>large</w:t>
      </w:r>
      <w:r>
        <w:rPr>
          <w:spacing w:val="24"/>
        </w:rPr>
        <w:t> </w:t>
      </w:r>
      <w:r>
        <w:rPr/>
        <w:t>variety</w:t>
      </w:r>
      <w:r>
        <w:rPr>
          <w:spacing w:val="28"/>
        </w:rPr>
        <w:t> </w:t>
      </w:r>
      <w:r>
        <w:rPr/>
        <w:t>of</w:t>
      </w:r>
      <w:r>
        <w:rPr>
          <w:spacing w:val="27"/>
        </w:rPr>
        <w:t> </w:t>
      </w:r>
      <w:r>
        <w:rPr/>
        <w:t>federalist</w:t>
      </w:r>
    </w:p>
    <w:p>
      <w:pPr>
        <w:pStyle w:val="BodyText"/>
        <w:spacing w:after="0" w:line="276" w:lineRule="auto"/>
        <w:sectPr>
          <w:pgSz w:w="12240" w:h="15840"/>
          <w:pgMar w:header="1046" w:footer="0" w:top="1360" w:bottom="280" w:left="720" w:right="360"/>
        </w:sectPr>
      </w:pPr>
    </w:p>
    <w:p>
      <w:pPr>
        <w:pStyle w:val="BodyText"/>
        <w:spacing w:line="276" w:lineRule="auto" w:before="276"/>
        <w:ind w:right="1908"/>
      </w:pPr>
      <w:r>
        <w:rPr/>
        <w:t>discourses. It was not easy to find a common sense, even among the elites which had in mind different federal arrangements. Nevertheless,</w:t>
      </w:r>
      <w:r>
        <w:rPr>
          <w:spacing w:val="80"/>
        </w:rPr>
        <w:t> </w:t>
      </w:r>
      <w:r>
        <w:rPr/>
        <w:t>it was easy to observe that the paramount goal, an ideal was to legitimize a co- effort to achieve a long lasting peace.</w:t>
      </w:r>
    </w:p>
    <w:p>
      <w:pPr>
        <w:pStyle w:val="BodyText"/>
        <w:spacing w:line="276" w:lineRule="auto"/>
        <w:ind w:right="1904" w:firstLine="720"/>
      </w:pPr>
      <w:r>
        <w:rPr/>
        <w:t>The differences in the ways of approaching the ideal had set diverse immediate objectives among the Federalists. Every group, including those, who were skeptical</w:t>
      </w:r>
      <w:r>
        <w:rPr>
          <w:spacing w:val="-1"/>
        </w:rPr>
        <w:t> </w:t>
      </w:r>
      <w:r>
        <w:rPr/>
        <w:t>about dissolving the old state arrangement in Europe (for creating a super-state), agreed that a systemic solution was needed. For instance, the Unionists, who</w:t>
      </w:r>
      <w:r>
        <w:rPr>
          <w:spacing w:val="-2"/>
        </w:rPr>
        <w:t> </w:t>
      </w:r>
      <w:r>
        <w:rPr/>
        <w:t>thought that federalists</w:t>
      </w:r>
      <w:r>
        <w:rPr>
          <w:spacing w:val="-1"/>
        </w:rPr>
        <w:t> </w:t>
      </w:r>
      <w:r>
        <w:rPr/>
        <w:t>were Utopian</w:t>
      </w:r>
      <w:r>
        <w:rPr>
          <w:spacing w:val="-1"/>
        </w:rPr>
        <w:t> </w:t>
      </w:r>
      <w:r>
        <w:rPr/>
        <w:t>idealists, instead</w:t>
      </w:r>
      <w:r>
        <w:rPr>
          <w:spacing w:val="80"/>
        </w:rPr>
        <w:t> </w:t>
      </w:r>
      <w:r>
        <w:rPr/>
        <w:t>of</w:t>
      </w:r>
      <w:r>
        <w:rPr>
          <w:spacing w:val="80"/>
        </w:rPr>
        <w:t> </w:t>
      </w:r>
      <w:r>
        <w:rPr/>
        <w:t>rebuilding</w:t>
      </w:r>
      <w:r>
        <w:rPr>
          <w:spacing w:val="80"/>
        </w:rPr>
        <w:t> </w:t>
      </w:r>
      <w:r>
        <w:rPr/>
        <w:t>old</w:t>
      </w:r>
      <w:r>
        <w:rPr>
          <w:spacing w:val="80"/>
        </w:rPr>
        <w:t> </w:t>
      </w:r>
      <w:r>
        <w:rPr/>
        <w:t>balance</w:t>
      </w:r>
      <w:r>
        <w:rPr>
          <w:spacing w:val="80"/>
        </w:rPr>
        <w:t> </w:t>
      </w:r>
      <w:r>
        <w:rPr/>
        <w:t>of</w:t>
      </w:r>
      <w:r>
        <w:rPr>
          <w:spacing w:val="80"/>
        </w:rPr>
        <w:t> </w:t>
      </w:r>
      <w:r>
        <w:rPr/>
        <w:t>power</w:t>
      </w:r>
      <w:r>
        <w:rPr>
          <w:spacing w:val="80"/>
        </w:rPr>
        <w:t> </w:t>
      </w:r>
      <w:r>
        <w:rPr/>
        <w:t>arrangement,</w:t>
      </w:r>
      <w:r>
        <w:rPr>
          <w:spacing w:val="80"/>
        </w:rPr>
        <w:t> </w:t>
      </w:r>
      <w:r>
        <w:rPr/>
        <w:t>had</w:t>
      </w:r>
      <w:r>
        <w:rPr>
          <w:spacing w:val="80"/>
        </w:rPr>
        <w:t> </w:t>
      </w:r>
      <w:r>
        <w:rPr/>
        <w:t>favored a</w:t>
      </w:r>
      <w:r>
        <w:rPr>
          <w:spacing w:val="40"/>
        </w:rPr>
        <w:t> </w:t>
      </w:r>
      <w:r>
        <w:rPr/>
        <w:t>confederate</w:t>
      </w:r>
      <w:r>
        <w:rPr>
          <w:spacing w:val="-1"/>
        </w:rPr>
        <w:t> </w:t>
      </w:r>
      <w:r>
        <w:rPr/>
        <w:t>model</w:t>
      </w:r>
      <w:r>
        <w:rPr>
          <w:spacing w:val="-4"/>
        </w:rPr>
        <w:t> </w:t>
      </w:r>
      <w:r>
        <w:rPr/>
        <w:t>for new Europe. (</w:t>
      </w:r>
      <w:hyperlink w:history="true" w:anchor="_bookmark103">
        <w:r>
          <w:rPr/>
          <w:t>Bóka,</w:t>
        </w:r>
        <w:r>
          <w:rPr>
            <w:spacing w:val="-4"/>
          </w:rPr>
          <w:t> </w:t>
        </w:r>
        <w:r>
          <w:rPr/>
          <w:t>2007, p. 313</w:t>
        </w:r>
      </w:hyperlink>
      <w:r>
        <w:rPr/>
        <w:t>)</w:t>
      </w:r>
      <w:r>
        <w:rPr>
          <w:spacing w:val="40"/>
        </w:rPr>
        <w:t> </w:t>
      </w:r>
      <w:r>
        <w:rPr/>
        <w:t>Disregarding</w:t>
      </w:r>
      <w:r>
        <w:rPr>
          <w:spacing w:val="-1"/>
        </w:rPr>
        <w:t> </w:t>
      </w:r>
      <w:r>
        <w:rPr/>
        <w:t>the unionist views, the federalists argued the approach they pursued, was the only</w:t>
      </w:r>
      <w:r>
        <w:rPr>
          <w:spacing w:val="80"/>
          <w:w w:val="150"/>
        </w:rPr>
        <w:t> </w:t>
      </w:r>
      <w:r>
        <w:rPr/>
        <w:t>rational</w:t>
      </w:r>
      <w:r>
        <w:rPr>
          <w:spacing w:val="80"/>
          <w:w w:val="150"/>
        </w:rPr>
        <w:t> </w:t>
      </w:r>
      <w:r>
        <w:rPr/>
        <w:t>one;</w:t>
      </w:r>
      <w:r>
        <w:rPr>
          <w:spacing w:val="80"/>
          <w:w w:val="150"/>
        </w:rPr>
        <w:t> </w:t>
      </w:r>
      <w:r>
        <w:rPr/>
        <w:t>in</w:t>
      </w:r>
      <w:r>
        <w:rPr>
          <w:spacing w:val="80"/>
          <w:w w:val="150"/>
        </w:rPr>
        <w:t> </w:t>
      </w:r>
      <w:r>
        <w:rPr/>
        <w:t>the</w:t>
      </w:r>
      <w:r>
        <w:rPr>
          <w:spacing w:val="80"/>
          <w:w w:val="150"/>
        </w:rPr>
        <w:t> </w:t>
      </w:r>
      <w:r>
        <w:rPr/>
        <w:t>condition</w:t>
      </w:r>
      <w:r>
        <w:rPr>
          <w:spacing w:val="80"/>
          <w:w w:val="150"/>
        </w:rPr>
        <w:t> </w:t>
      </w:r>
      <w:r>
        <w:rPr/>
        <w:t>where</w:t>
      </w:r>
      <w:r>
        <w:rPr>
          <w:spacing w:val="80"/>
          <w:w w:val="150"/>
        </w:rPr>
        <w:t> </w:t>
      </w:r>
      <w:r>
        <w:rPr/>
        <w:t>"The</w:t>
      </w:r>
      <w:r>
        <w:rPr>
          <w:spacing w:val="67"/>
        </w:rPr>
        <w:t>  </w:t>
      </w:r>
      <w:r>
        <w:rPr/>
        <w:t>successive collapse of the states made people realize that the old forms were no longer</w:t>
      </w:r>
      <w:r>
        <w:rPr>
          <w:spacing w:val="40"/>
        </w:rPr>
        <w:t> </w:t>
      </w:r>
      <w:r>
        <w:rPr/>
        <w:t>militarily and politically viable.”</w:t>
      </w:r>
      <w:r>
        <w:rPr>
          <w:spacing w:val="-1"/>
        </w:rPr>
        <w:t> </w:t>
      </w:r>
      <w:r>
        <w:rPr/>
        <w:t>(</w:t>
      </w:r>
      <w:hyperlink w:history="true" w:anchor="_bookmark262">
        <w:r>
          <w:rPr/>
          <w:t>Lipgens,</w:t>
        </w:r>
        <w:r>
          <w:rPr>
            <w:spacing w:val="-1"/>
          </w:rPr>
          <w:t> </w:t>
        </w:r>
        <w:r>
          <w:rPr/>
          <w:t>1968</w:t>
        </w:r>
      </w:hyperlink>
      <w:r>
        <w:rPr/>
        <w:t>)</w:t>
      </w:r>
      <w:r>
        <w:rPr>
          <w:spacing w:val="40"/>
        </w:rPr>
        <w:t> </w:t>
      </w:r>
      <w:r>
        <w:rPr/>
        <w:t>To</w:t>
      </w:r>
      <w:r>
        <w:rPr>
          <w:spacing w:val="-5"/>
        </w:rPr>
        <w:t> </w:t>
      </w:r>
      <w:r>
        <w:rPr/>
        <w:t>illustrate</w:t>
      </w:r>
      <w:r>
        <w:rPr>
          <w:spacing w:val="-2"/>
        </w:rPr>
        <w:t> </w:t>
      </w:r>
      <w:r>
        <w:rPr/>
        <w:t>the</w:t>
      </w:r>
      <w:r>
        <w:rPr>
          <w:spacing w:val="-2"/>
        </w:rPr>
        <w:t> </w:t>
      </w:r>
      <w:r>
        <w:rPr/>
        <w:t>feasibility of their ideas, the latter group often used the examples of the United States and the Switzerland. “The federalist</w:t>
      </w:r>
      <w:r>
        <w:rPr>
          <w:spacing w:val="40"/>
        </w:rPr>
        <w:t> </w:t>
      </w:r>
      <w:r>
        <w:rPr/>
        <w:t>movement had two directions: the constitutional federalist and the integral</w:t>
      </w:r>
      <w:r>
        <w:rPr>
          <w:spacing w:val="-2"/>
        </w:rPr>
        <w:t> </w:t>
      </w:r>
      <w:r>
        <w:rPr/>
        <w:t>(incremental) federalist or personalist</w:t>
      </w:r>
      <w:r>
        <w:rPr>
          <w:spacing w:val="40"/>
        </w:rPr>
        <w:t> </w:t>
      </w:r>
      <w:r>
        <w:rPr/>
        <w:t>federalist.” (</w:t>
      </w:r>
      <w:hyperlink w:history="true" w:anchor="_bookmark103">
        <w:r>
          <w:rPr/>
          <w:t>Bóka, 2007</w:t>
        </w:r>
      </w:hyperlink>
      <w:r>
        <w:rPr/>
        <w:t>) Generally, it was a means not the ends, which discerned those two from each other. Nevertheless, there were differences in defining the nature of the federate Europe as well.</w:t>
      </w:r>
    </w:p>
    <w:p>
      <w:pPr>
        <w:pStyle w:val="BodyText"/>
        <w:spacing w:line="273" w:lineRule="auto"/>
        <w:ind w:right="1906" w:firstLine="720"/>
      </w:pPr>
      <w:r>
        <w:rPr/>
        <w:t>The Personalist federalism derived from the works of French philosopher</w:t>
      </w:r>
      <w:r>
        <w:rPr>
          <w:spacing w:val="-17"/>
        </w:rPr>
        <w:t> </w:t>
      </w:r>
      <w:r>
        <w:rPr>
          <w:sz w:val="27"/>
        </w:rPr>
        <w:t>Pierre-Joseph</w:t>
      </w:r>
      <w:r>
        <w:rPr>
          <w:spacing w:val="-17"/>
          <w:sz w:val="27"/>
        </w:rPr>
        <w:t> </w:t>
      </w:r>
      <w:r>
        <w:rPr>
          <w:sz w:val="27"/>
        </w:rPr>
        <w:t>Proudhon.</w:t>
      </w:r>
      <w:r>
        <w:rPr>
          <w:spacing w:val="-16"/>
          <w:sz w:val="27"/>
        </w:rPr>
        <w:t> </w:t>
      </w:r>
      <w:r>
        <w:rPr>
          <w:sz w:val="27"/>
        </w:rPr>
        <w:t>Proudhon's</w:t>
      </w:r>
      <w:r>
        <w:rPr>
          <w:spacing w:val="-17"/>
          <w:sz w:val="27"/>
        </w:rPr>
        <w:t> </w:t>
      </w:r>
      <w:r>
        <w:rPr/>
        <w:t>approach</w:t>
      </w:r>
      <w:r>
        <w:rPr>
          <w:spacing w:val="-17"/>
        </w:rPr>
        <w:t> </w:t>
      </w:r>
      <w:r>
        <w:rPr/>
        <w:t>was</w:t>
      </w:r>
      <w:r>
        <w:rPr>
          <w:spacing w:val="-16"/>
        </w:rPr>
        <w:t> </w:t>
      </w:r>
      <w:r>
        <w:rPr/>
        <w:t>built</w:t>
      </w:r>
      <w:r>
        <w:rPr>
          <w:spacing w:val="-16"/>
        </w:rPr>
        <w:t> </w:t>
      </w:r>
      <w:r>
        <w:rPr/>
        <w:t>on</w:t>
      </w:r>
      <w:r>
        <w:rPr>
          <w:spacing w:val="-16"/>
        </w:rPr>
        <w:t> </w:t>
      </w:r>
      <w:r>
        <w:rPr/>
        <w:t>the idea of 'mutual respect.' A society according to his views consisted of contracts among the social groups. Being a self-described anarchist, </w:t>
      </w:r>
      <w:r>
        <w:rPr>
          <w:sz w:val="27"/>
        </w:rPr>
        <w:t>Proudhon </w:t>
      </w:r>
      <w:r>
        <w:rPr/>
        <w:t>detested any kind of hierarchy, even those based on a merit.</w:t>
      </w:r>
    </w:p>
    <w:p>
      <w:pPr>
        <w:pStyle w:val="BodyText"/>
        <w:spacing w:line="273" w:lineRule="auto"/>
        <w:ind w:right="1902" w:firstLine="782"/>
      </w:pPr>
      <w:r>
        <w:rPr/>
        <w:t>His advocacy of abolishing the nation state was accompanied by the acceptance</w:t>
      </w:r>
      <w:r>
        <w:rPr>
          <w:spacing w:val="-3"/>
        </w:rPr>
        <w:t> </w:t>
      </w:r>
      <w:r>
        <w:rPr/>
        <w:t>of</w:t>
      </w:r>
      <w:r>
        <w:rPr>
          <w:spacing w:val="-4"/>
        </w:rPr>
        <w:t> </w:t>
      </w:r>
      <w:r>
        <w:rPr/>
        <w:t>the</w:t>
      </w:r>
      <w:r>
        <w:rPr>
          <w:spacing w:val="-3"/>
        </w:rPr>
        <w:t> </w:t>
      </w:r>
      <w:r>
        <w:rPr/>
        <w:t>federalism.</w:t>
      </w:r>
      <w:r>
        <w:rPr>
          <w:spacing w:val="-2"/>
        </w:rPr>
        <w:t> </w:t>
      </w:r>
      <w:r>
        <w:rPr/>
        <w:t>This</w:t>
      </w:r>
      <w:r>
        <w:rPr>
          <w:spacing w:val="-5"/>
        </w:rPr>
        <w:t> </w:t>
      </w:r>
      <w:r>
        <w:rPr/>
        <w:t>approach derived,</w:t>
      </w:r>
      <w:r>
        <w:rPr>
          <w:spacing w:val="-2"/>
        </w:rPr>
        <w:t> </w:t>
      </w:r>
      <w:r>
        <w:rPr/>
        <w:t>from</w:t>
      </w:r>
      <w:r>
        <w:rPr>
          <w:spacing w:val="-5"/>
        </w:rPr>
        <w:t> </w:t>
      </w:r>
      <w:r>
        <w:rPr/>
        <w:t>the</w:t>
      </w:r>
      <w:r>
        <w:rPr>
          <w:spacing w:val="-3"/>
        </w:rPr>
        <w:t> </w:t>
      </w:r>
      <w:r>
        <w:rPr/>
        <w:t>deeply</w:t>
      </w:r>
      <w:r>
        <w:rPr>
          <w:spacing w:val="-3"/>
        </w:rPr>
        <w:t> </w:t>
      </w:r>
      <w:r>
        <w:rPr/>
        <w:t>rooted beliefs, that the politics is a "subordinate to economics, with the latter essential and former only instrumental.” (</w:t>
      </w:r>
      <w:hyperlink w:history="true" w:anchor="_bookmark176">
        <w:r>
          <w:rPr/>
          <w:t>Elazar, 1998, p. 88</w:t>
        </w:r>
      </w:hyperlink>
      <w:r>
        <w:rPr/>
        <w:t>) This approach is essential for grasping the federal vision of </w:t>
      </w:r>
      <w:r>
        <w:rPr>
          <w:sz w:val="27"/>
        </w:rPr>
        <w:t>Proudhon; </w:t>
      </w:r>
      <w:r>
        <w:rPr/>
        <w:t>he wanted a Mutialist arrangement with</w:t>
      </w:r>
      <w:r>
        <w:rPr>
          <w:spacing w:val="80"/>
        </w:rPr>
        <w:t> </w:t>
      </w:r>
      <w:r>
        <w:rPr/>
        <w:t>a minimum governmental authority on social</w:t>
      </w:r>
    </w:p>
    <w:p>
      <w:pPr>
        <w:pStyle w:val="BodyText"/>
        <w:spacing w:after="0" w:line="273" w:lineRule="auto"/>
        <w:sectPr>
          <w:pgSz w:w="12240" w:h="15840"/>
          <w:pgMar w:header="1046" w:footer="0" w:top="1360" w:bottom="280" w:left="720" w:right="360"/>
        </w:sectPr>
      </w:pPr>
    </w:p>
    <w:p>
      <w:pPr>
        <w:pStyle w:val="BodyText"/>
        <w:spacing w:line="273" w:lineRule="auto" w:before="276"/>
        <w:ind w:right="1901"/>
      </w:pPr>
      <w:r>
        <w:rPr/>
        <w:t>groups. According to him the purpose of the federation was to "to find a condition of social equality which is neither communism nor despotism, neither fragmentation nor anarchy, but</w:t>
      </w:r>
      <w:r>
        <w:rPr>
          <w:spacing w:val="-1"/>
        </w:rPr>
        <w:t> </w:t>
      </w:r>
      <w:r>
        <w:rPr/>
        <w:t>freedom</w:t>
      </w:r>
      <w:r>
        <w:rPr>
          <w:spacing w:val="-3"/>
        </w:rPr>
        <w:t> </w:t>
      </w:r>
      <w:r>
        <w:rPr/>
        <w:t>in order and independence in unity." (Graham, 2010)</w:t>
      </w:r>
      <w:r>
        <w:rPr>
          <w:spacing w:val="40"/>
        </w:rPr>
        <w:t> </w:t>
      </w:r>
      <w:r>
        <w:rPr/>
        <w:t>The agreement between the groups, differs from the classical social contract, because </w:t>
      </w:r>
      <w:r>
        <w:rPr>
          <w:sz w:val="27"/>
        </w:rPr>
        <w:t>Phroudhonian </w:t>
      </w:r>
      <w:r>
        <w:rPr/>
        <w:t>compact is “proposed, discussed,</w:t>
      </w:r>
      <w:r>
        <w:rPr>
          <w:spacing w:val="32"/>
        </w:rPr>
        <w:t> </w:t>
      </w:r>
      <w:r>
        <w:rPr/>
        <w:t>voted</w:t>
      </w:r>
      <w:r>
        <w:rPr>
          <w:spacing w:val="32"/>
        </w:rPr>
        <w:t> </w:t>
      </w:r>
      <w:r>
        <w:rPr/>
        <w:t>upon,</w:t>
      </w:r>
      <w:r>
        <w:rPr>
          <w:spacing w:val="32"/>
        </w:rPr>
        <w:t> </w:t>
      </w:r>
      <w:r>
        <w:rPr/>
        <w:t>and</w:t>
      </w:r>
      <w:r>
        <w:rPr>
          <w:spacing w:val="32"/>
        </w:rPr>
        <w:t> </w:t>
      </w:r>
      <w:r>
        <w:rPr/>
        <w:t>adopted,</w:t>
      </w:r>
      <w:r>
        <w:rPr>
          <w:spacing w:val="32"/>
        </w:rPr>
        <w:t> </w:t>
      </w:r>
      <w:r>
        <w:rPr/>
        <w:t>and</w:t>
      </w:r>
      <w:r>
        <w:rPr>
          <w:spacing w:val="40"/>
        </w:rPr>
        <w:t> </w:t>
      </w:r>
      <w:r>
        <w:rPr/>
        <w:t>which</w:t>
      </w:r>
      <w:r>
        <w:rPr>
          <w:spacing w:val="30"/>
        </w:rPr>
        <w:t> </w:t>
      </w:r>
      <w:r>
        <w:rPr/>
        <w:t>can</w:t>
      </w:r>
      <w:r>
        <w:rPr>
          <w:spacing w:val="32"/>
        </w:rPr>
        <w:t> </w:t>
      </w:r>
      <w:r>
        <w:rPr/>
        <w:t>properly</w:t>
      </w:r>
      <w:r>
        <w:rPr>
          <w:spacing w:val="30"/>
        </w:rPr>
        <w:t> </w:t>
      </w:r>
      <w:r>
        <w:rPr/>
        <w:t>be</w:t>
      </w:r>
      <w:r>
        <w:rPr>
          <w:spacing w:val="31"/>
        </w:rPr>
        <w:t> </w:t>
      </w:r>
      <w:r>
        <w:rPr/>
        <w:t>amended at the contracting parties' will. (</w:t>
      </w:r>
      <w:hyperlink w:history="true" w:anchor="_bookmark198">
        <w:r>
          <w:rPr/>
          <w:t>in Goodway, 1989, p. 155</w:t>
        </w:r>
      </w:hyperlink>
      <w:r>
        <w:rPr/>
        <w:t>)</w:t>
      </w:r>
    </w:p>
    <w:p>
      <w:pPr>
        <w:pStyle w:val="BodyText"/>
        <w:spacing w:line="273" w:lineRule="auto" w:before="9"/>
        <w:ind w:right="1903" w:firstLine="720"/>
      </w:pPr>
      <w:r>
        <w:rPr/>
        <w:t>The place of the individual in the society can be discovered by answering the question: how distant is an immediate environment of a person for the person? The individualist notion of federalism proposes a specific reasoning on this matter. </w:t>
      </w:r>
      <w:r>
        <w:rPr>
          <w:sz w:val="27"/>
        </w:rPr>
        <w:t>Jacques</w:t>
      </w:r>
      <w:r>
        <w:rPr>
          <w:spacing w:val="40"/>
          <w:sz w:val="27"/>
        </w:rPr>
        <w:t> </w:t>
      </w:r>
      <w:r>
        <w:rPr>
          <w:sz w:val="27"/>
        </w:rPr>
        <w:t>Ellul </w:t>
      </w:r>
      <w:r>
        <w:rPr/>
        <w:t>argues that: "an</w:t>
      </w:r>
      <w:r>
        <w:rPr>
          <w:spacing w:val="40"/>
        </w:rPr>
        <w:t> </w:t>
      </w:r>
      <w:r>
        <w:rPr/>
        <w:t>individualist</w:t>
      </w:r>
      <w:r>
        <w:rPr>
          <w:spacing w:val="80"/>
        </w:rPr>
        <w:t> </w:t>
      </w:r>
      <w:r>
        <w:rPr/>
        <w:t>society</w:t>
      </w:r>
      <w:r>
        <w:rPr>
          <w:spacing w:val="40"/>
        </w:rPr>
        <w:t> </w:t>
      </w:r>
      <w:r>
        <w:rPr/>
        <w:t>can</w:t>
      </w:r>
      <w:r>
        <w:rPr>
          <w:spacing w:val="80"/>
        </w:rPr>
        <w:t> </w:t>
      </w:r>
      <w:r>
        <w:rPr/>
        <w:t>only</w:t>
      </w:r>
      <w:r>
        <w:rPr>
          <w:spacing w:val="80"/>
        </w:rPr>
        <w:t> </w:t>
      </w:r>
      <w:r>
        <w:rPr/>
        <w:t>be</w:t>
      </w:r>
      <w:r>
        <w:rPr>
          <w:spacing w:val="80"/>
        </w:rPr>
        <w:t> </w:t>
      </w:r>
      <w:r>
        <w:rPr/>
        <w:t>structured</w:t>
      </w:r>
      <w:r>
        <w:rPr>
          <w:spacing w:val="40"/>
        </w:rPr>
        <w:t> </w:t>
      </w:r>
      <w:r>
        <w:rPr/>
        <w:t>as</w:t>
      </w:r>
      <w:r>
        <w:rPr>
          <w:spacing w:val="40"/>
        </w:rPr>
        <w:t> </w:t>
      </w:r>
      <w:r>
        <w:rPr/>
        <w:t>a mass</w:t>
      </w:r>
      <w:r>
        <w:rPr>
          <w:spacing w:val="40"/>
        </w:rPr>
        <w:t> </w:t>
      </w:r>
      <w:r>
        <w:rPr/>
        <w:t>society, because the first</w:t>
      </w:r>
      <w:r>
        <w:rPr>
          <w:spacing w:val="40"/>
        </w:rPr>
        <w:t> </w:t>
      </w:r>
      <w:r>
        <w:rPr/>
        <w:t>movement</w:t>
      </w:r>
      <w:r>
        <w:rPr>
          <w:spacing w:val="40"/>
        </w:rPr>
        <w:t> </w:t>
      </w:r>
      <w:r>
        <w:rPr/>
        <w:t>of</w:t>
      </w:r>
      <w:r>
        <w:rPr>
          <w:spacing w:val="40"/>
        </w:rPr>
        <w:t> </w:t>
      </w:r>
      <w:r>
        <w:rPr/>
        <w:t>liberation</w:t>
      </w:r>
      <w:r>
        <w:rPr>
          <w:spacing w:val="40"/>
        </w:rPr>
        <w:t> </w:t>
      </w:r>
      <w:r>
        <w:rPr/>
        <w:t>of</w:t>
      </w:r>
      <w:r>
        <w:rPr>
          <w:spacing w:val="40"/>
        </w:rPr>
        <w:t> </w:t>
      </w:r>
      <w:r>
        <w:rPr/>
        <w:t>the</w:t>
      </w:r>
      <w:r>
        <w:rPr>
          <w:spacing w:val="40"/>
        </w:rPr>
        <w:t> </w:t>
      </w:r>
      <w:r>
        <w:rPr/>
        <w:t>individual consist in</w:t>
      </w:r>
      <w:r>
        <w:rPr>
          <w:spacing w:val="40"/>
        </w:rPr>
        <w:t> </w:t>
      </w:r>
      <w:r>
        <w:rPr/>
        <w:t>breaking down</w:t>
      </w:r>
      <w:r>
        <w:rPr>
          <w:spacing w:val="80"/>
        </w:rPr>
        <w:t> </w:t>
      </w:r>
      <w:r>
        <w:rPr/>
        <w:t>the micro groups,</w:t>
      </w:r>
      <w:r>
        <w:rPr>
          <w:spacing w:val="80"/>
        </w:rPr>
        <w:t> </w:t>
      </w:r>
      <w:r>
        <w:rPr/>
        <w:t>the</w:t>
      </w:r>
      <w:r>
        <w:rPr>
          <w:spacing w:val="80"/>
        </w:rPr>
        <w:t> </w:t>
      </w:r>
      <w:r>
        <w:rPr/>
        <w:t>organic</w:t>
      </w:r>
      <w:r>
        <w:rPr>
          <w:spacing w:val="80"/>
        </w:rPr>
        <w:t> </w:t>
      </w:r>
      <w:r>
        <w:rPr/>
        <w:t>institutions</w:t>
      </w:r>
      <w:r>
        <w:rPr>
          <w:spacing w:val="80"/>
        </w:rPr>
        <w:t> </w:t>
      </w:r>
      <w:r>
        <w:rPr/>
        <w:t>of the</w:t>
      </w:r>
      <w:r>
        <w:rPr>
          <w:spacing w:val="80"/>
        </w:rPr>
        <w:t> </w:t>
      </w:r>
      <w:r>
        <w:rPr/>
        <w:t>global society.” (</w:t>
      </w:r>
      <w:hyperlink w:history="true" w:anchor="_bookmark238">
        <w:r>
          <w:rPr/>
          <w:t>in Kinsky, 1979, p. 139</w:t>
        </w:r>
      </w:hyperlink>
      <w:r>
        <w:rPr/>
        <w:t>)</w:t>
      </w:r>
    </w:p>
    <w:p>
      <w:pPr>
        <w:pStyle w:val="BodyText"/>
        <w:spacing w:line="276" w:lineRule="auto" w:before="12"/>
        <w:ind w:right="1914" w:firstLine="720"/>
      </w:pPr>
      <w:r>
        <w:rPr/>
        <w:t>In</w:t>
      </w:r>
      <w:r>
        <w:rPr>
          <w:spacing w:val="-1"/>
        </w:rPr>
        <w:t> </w:t>
      </w:r>
      <w:r>
        <w:rPr/>
        <w:t>the</w:t>
      </w:r>
      <w:r>
        <w:rPr>
          <w:spacing w:val="-2"/>
        </w:rPr>
        <w:t> </w:t>
      </w:r>
      <w:r>
        <w:rPr/>
        <w:t>context</w:t>
      </w:r>
      <w:r>
        <w:rPr>
          <w:spacing w:val="-2"/>
        </w:rPr>
        <w:t> </w:t>
      </w:r>
      <w:r>
        <w:rPr/>
        <w:t>of</w:t>
      </w:r>
      <w:r>
        <w:rPr>
          <w:spacing w:val="-3"/>
        </w:rPr>
        <w:t> </w:t>
      </w:r>
      <w:r>
        <w:rPr/>
        <w:t>the</w:t>
      </w:r>
      <w:r>
        <w:rPr>
          <w:spacing w:val="-6"/>
        </w:rPr>
        <w:t> </w:t>
      </w:r>
      <w:r>
        <w:rPr/>
        <w:t>Europe,</w:t>
      </w:r>
      <w:r>
        <w:rPr>
          <w:spacing w:val="-1"/>
        </w:rPr>
        <w:t> </w:t>
      </w:r>
      <w:r>
        <w:rPr/>
        <w:t>this</w:t>
      </w:r>
      <w:r>
        <w:rPr>
          <w:spacing w:val="-4"/>
        </w:rPr>
        <w:t> </w:t>
      </w:r>
      <w:r>
        <w:rPr/>
        <w:t>meant</w:t>
      </w:r>
      <w:r>
        <w:rPr>
          <w:spacing w:val="-2"/>
        </w:rPr>
        <w:t> </w:t>
      </w:r>
      <w:r>
        <w:rPr/>
        <w:t>that</w:t>
      </w:r>
      <w:r>
        <w:rPr>
          <w:spacing w:val="-6"/>
        </w:rPr>
        <w:t> </w:t>
      </w:r>
      <w:r>
        <w:rPr/>
        <w:t>those</w:t>
      </w:r>
      <w:r>
        <w:rPr>
          <w:spacing w:val="-2"/>
        </w:rPr>
        <w:t> </w:t>
      </w:r>
      <w:r>
        <w:rPr/>
        <w:t>citizens</w:t>
      </w:r>
      <w:r>
        <w:rPr>
          <w:spacing w:val="-4"/>
        </w:rPr>
        <w:t> </w:t>
      </w:r>
      <w:r>
        <w:rPr/>
        <w:t>who</w:t>
      </w:r>
      <w:r>
        <w:rPr>
          <w:spacing w:val="-5"/>
        </w:rPr>
        <w:t> </w:t>
      </w:r>
      <w:r>
        <w:rPr/>
        <w:t>were once constraining themselves with the state borders had a real chance to expand their space on a continental level. The federalization of Europe, according to the integral federalists, starts from decentralizing the member states. This essential condition would make possible for the regions to build and maintain the ties with other regions bypassing the state borders.</w:t>
      </w:r>
    </w:p>
    <w:p>
      <w:pPr>
        <w:pStyle w:val="BodyText"/>
        <w:spacing w:line="273" w:lineRule="auto"/>
        <w:ind w:right="1906" w:firstLine="720"/>
      </w:pPr>
      <w:r>
        <w:rPr>
          <w:sz w:val="27"/>
        </w:rPr>
        <w:t>Alexandre</w:t>
      </w:r>
      <w:r>
        <w:rPr>
          <w:spacing w:val="40"/>
          <w:sz w:val="27"/>
        </w:rPr>
        <w:t> </w:t>
      </w:r>
      <w:r>
        <w:rPr>
          <w:sz w:val="27"/>
        </w:rPr>
        <w:t>Marc,</w:t>
      </w:r>
      <w:r>
        <w:rPr>
          <w:spacing w:val="-12"/>
          <w:sz w:val="27"/>
        </w:rPr>
        <w:t> </w:t>
      </w:r>
      <w:r>
        <w:rPr/>
        <w:t>a</w:t>
      </w:r>
      <w:r>
        <w:rPr>
          <w:spacing w:val="40"/>
        </w:rPr>
        <w:t> </w:t>
      </w:r>
      <w:r>
        <w:rPr/>
        <w:t>founder</w:t>
      </w:r>
      <w:r>
        <w:rPr>
          <w:spacing w:val="40"/>
        </w:rPr>
        <w:t> </w:t>
      </w:r>
      <w:r>
        <w:rPr/>
        <w:t>of</w:t>
      </w:r>
      <w:r>
        <w:rPr>
          <w:spacing w:val="-5"/>
        </w:rPr>
        <w:t> </w:t>
      </w:r>
      <w:r>
        <w:rPr>
          <w:sz w:val="27"/>
        </w:rPr>
        <w:t>l'ordre nouveau</w:t>
      </w:r>
      <w:r>
        <w:rPr>
          <w:spacing w:val="40"/>
          <w:sz w:val="27"/>
        </w:rPr>
        <w:t> </w:t>
      </w:r>
      <w:r>
        <w:rPr/>
        <w:t>and</w:t>
      </w:r>
      <w:r>
        <w:rPr>
          <w:spacing w:val="-5"/>
        </w:rPr>
        <w:t> </w:t>
      </w:r>
      <w:r>
        <w:rPr/>
        <w:t>committed federalist, largely shared </w:t>
      </w:r>
      <w:r>
        <w:rPr>
          <w:sz w:val="27"/>
        </w:rPr>
        <w:t>Proudhon's </w:t>
      </w:r>
      <w:r>
        <w:rPr/>
        <w:t>views on social organization. However, when it comes to the structure of the federal polity, he envisaged a hierarchically governed system.</w:t>
      </w:r>
      <w:r>
        <w:rPr>
          <w:position w:val="7"/>
          <w:sz w:val="15"/>
        </w:rPr>
        <w:t>26</w:t>
      </w:r>
      <w:r>
        <w:rPr>
          <w:spacing w:val="33"/>
          <w:position w:val="7"/>
          <w:sz w:val="15"/>
        </w:rPr>
        <w:t> </w:t>
      </w:r>
      <w:r>
        <w:rPr/>
        <w:t>In the </w:t>
      </w:r>
      <w:r>
        <w:rPr>
          <w:sz w:val="27"/>
        </w:rPr>
        <w:t>Marc'</w:t>
      </w:r>
      <w:r>
        <w:rPr/>
        <w:t>s model, the federal Europe was a culturally diverse</w:t>
      </w:r>
      <w:r>
        <w:rPr>
          <w:spacing w:val="40"/>
        </w:rPr>
        <w:t> </w:t>
      </w:r>
      <w:r>
        <w:rPr/>
        <w:t>unity,</w:t>
      </w:r>
      <w:r>
        <w:rPr>
          <w:spacing w:val="40"/>
        </w:rPr>
        <w:t> </w:t>
      </w:r>
      <w:r>
        <w:rPr/>
        <w:t>where</w:t>
      </w:r>
      <w:r>
        <w:rPr>
          <w:spacing w:val="40"/>
        </w:rPr>
        <w:t> </w:t>
      </w:r>
      <w:r>
        <w:rPr/>
        <w:t>the socially oriented enlightened elites had the steering role. (</w:t>
      </w:r>
      <w:hyperlink w:history="true" w:anchor="_bookmark212">
        <w:r>
          <w:rPr/>
          <w:t>Hellman, 2002</w:t>
        </w:r>
      </w:hyperlink>
      <w:r>
        <w:rPr/>
        <w:t>) The elitist views, could be an outcome of an early-day individualist skepticism towards the liberal </w:t>
      </w:r>
      <w:r>
        <w:rPr>
          <w:spacing w:val="-2"/>
        </w:rPr>
        <w:t>democracy.</w:t>
      </w:r>
    </w:p>
    <w:p>
      <w:pPr>
        <w:pStyle w:val="BodyText"/>
        <w:spacing w:before="177"/>
        <w:ind w:left="0"/>
        <w:jc w:val="left"/>
        <w:rPr>
          <w:sz w:val="20"/>
        </w:rPr>
      </w:pPr>
      <w:r>
        <w:rPr>
          <w:sz w:val="20"/>
        </w:rPr>
        <mc:AlternateContent>
          <mc:Choice Requires="wps">
            <w:drawing>
              <wp:anchor distT="0" distB="0" distL="0" distR="0" allowOverlap="1" layoutInCell="1" locked="0" behindDoc="1" simplePos="0" relativeHeight="487650816">
                <wp:simplePos x="0" y="0"/>
                <wp:positionH relativeFrom="page">
                  <wp:posOffset>1079296</wp:posOffset>
                </wp:positionH>
                <wp:positionV relativeFrom="paragraph">
                  <wp:posOffset>295048</wp:posOffset>
                </wp:positionV>
                <wp:extent cx="1830070" cy="9525"/>
                <wp:effectExtent l="0" t="0" r="0" b="0"/>
                <wp:wrapTopAndBottom/>
                <wp:docPr id="154" name="Graphic 154"/>
                <wp:cNvGraphicFramePr>
                  <a:graphicFrameLocks/>
                </wp:cNvGraphicFramePr>
                <a:graphic>
                  <a:graphicData uri="http://schemas.microsoft.com/office/word/2010/wordprocessingShape">
                    <wps:wsp>
                      <wps:cNvPr id="154" name="Graphic 154"/>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23.232193pt;width:144.07pt;height:.71997pt;mso-position-horizontal-relative:page;mso-position-vertical-relative:paragraph;z-index:-15665664;mso-wrap-distance-left:0;mso-wrap-distance-right:0" id="docshape145" filled="true" fillcolor="#000000" stroked="false">
                <v:fill type="solid"/>
                <w10:wrap type="topAndBottom"/>
              </v:rect>
            </w:pict>
          </mc:Fallback>
        </mc:AlternateContent>
      </w:r>
    </w:p>
    <w:p>
      <w:pPr>
        <w:spacing w:before="102"/>
        <w:ind w:left="979" w:right="1907" w:firstLine="0"/>
        <w:jc w:val="both"/>
        <w:rPr>
          <w:rFonts w:ascii="Calibri" w:hAnsi="Calibri"/>
          <w:sz w:val="20"/>
        </w:rPr>
      </w:pPr>
      <w:r>
        <w:rPr>
          <w:rFonts w:ascii="Calibri" w:hAnsi="Calibri"/>
          <w:sz w:val="20"/>
          <w:vertAlign w:val="superscript"/>
        </w:rPr>
        <w:t>26</w:t>
      </w:r>
      <w:r>
        <w:rPr>
          <w:rFonts w:ascii="Calibri" w:hAnsi="Calibri"/>
          <w:sz w:val="20"/>
          <w:vertAlign w:val="baseline"/>
        </w:rPr>
        <w:t> Marc’s hierarchy was not a typical state-like organization, it was built on the notion of social role. The logic was that, those actors who had more societal functions would hold more power to decide for common good.</w:t>
      </w:r>
    </w:p>
    <w:p>
      <w:pPr>
        <w:spacing w:after="0"/>
        <w:jc w:val="both"/>
        <w:rPr>
          <w:rFonts w:ascii="Calibri" w:hAnsi="Calibri"/>
          <w:sz w:val="20"/>
        </w:rPr>
        <w:sectPr>
          <w:pgSz w:w="12240" w:h="15840"/>
          <w:pgMar w:header="1046" w:footer="0" w:top="1360" w:bottom="280" w:left="720" w:right="360"/>
        </w:sectPr>
      </w:pPr>
    </w:p>
    <w:p>
      <w:pPr>
        <w:pStyle w:val="BodyText"/>
        <w:spacing w:line="271" w:lineRule="auto" w:before="266"/>
        <w:ind w:right="1907" w:firstLine="720"/>
        <w:rPr>
          <w:sz w:val="27"/>
        </w:rPr>
      </w:pPr>
      <w:r>
        <w:rPr>
          <w:sz w:val="27"/>
        </w:rPr>
        <w:t>Marc’s </w:t>
      </w:r>
      <w:r>
        <w:rPr/>
        <w:t>admiration of German philosopher </w:t>
      </w:r>
      <w:r>
        <w:rPr>
          <w:sz w:val="27"/>
        </w:rPr>
        <w:t>Max Scheler </w:t>
      </w:r>
      <w:r>
        <w:rPr/>
        <w:t>has formed his views about living as individual in a community</w:t>
      </w:r>
      <w:r>
        <w:rPr>
          <w:sz w:val="27"/>
        </w:rPr>
        <w:t>. Scheler </w:t>
      </w:r>
      <w:r>
        <w:rPr/>
        <w:t>famously pointed out that, “What determines at least</w:t>
      </w:r>
      <w:r>
        <w:rPr>
          <w:spacing w:val="40"/>
        </w:rPr>
        <w:t> </w:t>
      </w:r>
      <w:r>
        <w:rPr/>
        <w:t>the basis, and the main direction, of the being, of</w:t>
      </w:r>
      <w:r>
        <w:rPr>
          <w:spacing w:val="40"/>
        </w:rPr>
        <w:t> </w:t>
      </w:r>
      <w:r>
        <w:rPr/>
        <w:t>the kinds, forms and development of</w:t>
      </w:r>
      <w:r>
        <w:rPr>
          <w:spacing w:val="40"/>
        </w:rPr>
        <w:t> </w:t>
      </w:r>
      <w:r>
        <w:rPr/>
        <w:t>groups are </w:t>
      </w:r>
      <w:r>
        <w:rPr>
          <w:sz w:val="27"/>
        </w:rPr>
        <w:t>solely</w:t>
      </w:r>
      <w:r>
        <w:rPr>
          <w:spacing w:val="-17"/>
          <w:sz w:val="27"/>
        </w:rPr>
        <w:t> </w:t>
      </w:r>
      <w:r>
        <w:rPr>
          <w:sz w:val="27"/>
        </w:rPr>
        <w:t>the</w:t>
      </w:r>
      <w:r>
        <w:rPr>
          <w:spacing w:val="-17"/>
          <w:sz w:val="27"/>
        </w:rPr>
        <w:t> </w:t>
      </w:r>
      <w:r>
        <w:rPr>
          <w:sz w:val="27"/>
        </w:rPr>
        <w:t>ruling</w:t>
      </w:r>
      <w:r>
        <w:rPr>
          <w:spacing w:val="-17"/>
          <w:sz w:val="27"/>
        </w:rPr>
        <w:t> </w:t>
      </w:r>
      <w:r>
        <w:rPr>
          <w:sz w:val="27"/>
        </w:rPr>
        <w:t>minorities</w:t>
      </w:r>
      <w:r>
        <w:rPr>
          <w:spacing w:val="-17"/>
          <w:sz w:val="27"/>
        </w:rPr>
        <w:t> </w:t>
      </w:r>
      <w:r>
        <w:rPr>
          <w:sz w:val="27"/>
        </w:rPr>
        <w:t>of</w:t>
      </w:r>
      <w:r>
        <w:rPr>
          <w:spacing w:val="-17"/>
          <w:sz w:val="27"/>
        </w:rPr>
        <w:t> </w:t>
      </w:r>
      <w:r>
        <w:rPr>
          <w:sz w:val="27"/>
        </w:rPr>
        <w:t>personal</w:t>
      </w:r>
      <w:r>
        <w:rPr>
          <w:spacing w:val="-17"/>
          <w:sz w:val="27"/>
        </w:rPr>
        <w:t> </w:t>
      </w:r>
      <w:r>
        <w:rPr>
          <w:sz w:val="27"/>
        </w:rPr>
        <w:t>exemplars</w:t>
      </w:r>
      <w:r>
        <w:rPr>
          <w:spacing w:val="-17"/>
          <w:sz w:val="27"/>
        </w:rPr>
        <w:t> </w:t>
      </w:r>
      <w:r>
        <w:rPr>
          <w:sz w:val="27"/>
        </w:rPr>
        <w:t>and</w:t>
      </w:r>
      <w:r>
        <w:rPr>
          <w:spacing w:val="-16"/>
          <w:sz w:val="27"/>
        </w:rPr>
        <w:t> </w:t>
      </w:r>
      <w:r>
        <w:rPr>
          <w:sz w:val="27"/>
        </w:rPr>
        <w:t>of</w:t>
      </w:r>
      <w:r>
        <w:rPr>
          <w:spacing w:val="13"/>
          <w:sz w:val="27"/>
        </w:rPr>
        <w:t> </w:t>
      </w:r>
      <w:r>
        <w:rPr>
          <w:sz w:val="27"/>
        </w:rPr>
        <w:t>leaders.”</w:t>
      </w:r>
      <w:r>
        <w:rPr>
          <w:spacing w:val="22"/>
          <w:sz w:val="27"/>
        </w:rPr>
        <w:t> </w:t>
      </w:r>
      <w:r>
        <w:rPr/>
        <w:t>(</w:t>
      </w:r>
      <w:hyperlink w:history="true" w:anchor="_bookmark374">
        <w:r>
          <w:rPr/>
          <w:t>Scheler</w:t>
        </w:r>
      </w:hyperlink>
      <w:r>
        <w:rPr/>
        <w:t> </w:t>
      </w:r>
      <w:hyperlink w:history="true" w:anchor="_bookmark374">
        <w:r>
          <w:rPr/>
          <w:t>&amp; Frings, 1987, p. 136</w:t>
        </w:r>
      </w:hyperlink>
      <w:r>
        <w:rPr/>
        <w:t>) Individualist views on federation follow this very line</w:t>
      </w:r>
      <w:r>
        <w:rPr>
          <w:spacing w:val="-1"/>
        </w:rPr>
        <w:t> </w:t>
      </w:r>
      <w:r>
        <w:rPr/>
        <w:t>or reasoning, arguing</w:t>
      </w:r>
      <w:r>
        <w:rPr>
          <w:spacing w:val="-1"/>
        </w:rPr>
        <w:t> </w:t>
      </w:r>
      <w:r>
        <w:rPr/>
        <w:t>that: "</w:t>
      </w:r>
      <w:r>
        <w:rPr>
          <w:color w:val="1A1A1A"/>
        </w:rPr>
        <w:t>The</w:t>
      </w:r>
      <w:r>
        <w:rPr>
          <w:color w:val="1A1A1A"/>
          <w:spacing w:val="-1"/>
        </w:rPr>
        <w:t> </w:t>
      </w:r>
      <w:r>
        <w:rPr>
          <w:color w:val="1A1A1A"/>
        </w:rPr>
        <w:t>consciousness of oneself</w:t>
      </w:r>
      <w:r>
        <w:rPr>
          <w:color w:val="1A1A1A"/>
          <w:spacing w:val="-2"/>
        </w:rPr>
        <w:t> </w:t>
      </w:r>
      <w:r>
        <w:rPr>
          <w:color w:val="1A1A1A"/>
        </w:rPr>
        <w:t>as</w:t>
      </w:r>
      <w:r>
        <w:rPr>
          <w:color w:val="1A1A1A"/>
          <w:spacing w:val="-3"/>
        </w:rPr>
        <w:t> </w:t>
      </w:r>
      <w:r>
        <w:rPr>
          <w:color w:val="1A1A1A"/>
        </w:rPr>
        <w:t>a self and as a</w:t>
      </w:r>
      <w:r>
        <w:rPr>
          <w:color w:val="1A1A1A"/>
          <w:spacing w:val="-1"/>
        </w:rPr>
        <w:t> </w:t>
      </w:r>
      <w:r>
        <w:rPr>
          <w:color w:val="1A1A1A"/>
        </w:rPr>
        <w:t>person is always experienced within the</w:t>
      </w:r>
      <w:r>
        <w:rPr>
          <w:color w:val="1A1A1A"/>
          <w:spacing w:val="-1"/>
        </w:rPr>
        <w:t> </w:t>
      </w:r>
      <w:r>
        <w:rPr>
          <w:color w:val="1A1A1A"/>
        </w:rPr>
        <w:t>context</w:t>
      </w:r>
      <w:r>
        <w:rPr>
          <w:color w:val="1A1A1A"/>
          <w:spacing w:val="-1"/>
        </w:rPr>
        <w:t> </w:t>
      </w:r>
      <w:r>
        <w:rPr>
          <w:color w:val="1A1A1A"/>
        </w:rPr>
        <w:t>of</w:t>
      </w:r>
      <w:r>
        <w:rPr>
          <w:color w:val="1A1A1A"/>
          <w:spacing w:val="-2"/>
        </w:rPr>
        <w:t> </w:t>
      </w:r>
      <w:r>
        <w:rPr>
          <w:color w:val="1A1A1A"/>
        </w:rPr>
        <w:t>a member of</w:t>
      </w:r>
      <w:r>
        <w:rPr>
          <w:color w:val="1A1A1A"/>
          <w:spacing w:val="-2"/>
        </w:rPr>
        <w:t> </w:t>
      </w:r>
      <w:r>
        <w:rPr>
          <w:color w:val="1A1A1A"/>
        </w:rPr>
        <w:t>a totality. Every experience, in other</w:t>
      </w:r>
      <w:r>
        <w:rPr>
          <w:color w:val="1A1A1A"/>
          <w:spacing w:val="-2"/>
        </w:rPr>
        <w:t> </w:t>
      </w:r>
      <w:r>
        <w:rPr>
          <w:color w:val="1A1A1A"/>
        </w:rPr>
        <w:t>words, assumes as background the “experiencing with one another.” (</w:t>
      </w:r>
      <w:hyperlink w:history="true" w:anchor="_bookmark375">
        <w:r>
          <w:rPr>
            <w:color w:val="1A1A1A"/>
          </w:rPr>
          <w:t>Scheler, 2014</w:t>
        </w:r>
      </w:hyperlink>
      <w:r>
        <w:rPr>
          <w:color w:val="1A1A1A"/>
        </w:rPr>
        <w:t>)</w:t>
      </w:r>
      <w:r>
        <w:rPr>
          <w:color w:val="1A1A1A"/>
          <w:spacing w:val="-4"/>
        </w:rPr>
        <w:t> </w:t>
      </w:r>
      <w:r>
        <w:rPr>
          <w:color w:val="1A1A1A"/>
        </w:rPr>
        <w:t>Discovering the </w:t>
      </w:r>
      <w:r>
        <w:rPr>
          <w:color w:val="1A1A1A"/>
          <w:sz w:val="27"/>
        </w:rPr>
        <w:t>European Man </w:t>
      </w:r>
      <w:r>
        <w:rPr>
          <w:color w:val="1A1A1A"/>
        </w:rPr>
        <w:t>in the communitarian spirit was a key intellectual task for </w:t>
      </w:r>
      <w:r>
        <w:rPr>
          <w:sz w:val="27"/>
        </w:rPr>
        <w:t>l'ordre nouveau.</w:t>
      </w:r>
    </w:p>
    <w:p>
      <w:pPr>
        <w:pStyle w:val="BodyText"/>
        <w:spacing w:line="273" w:lineRule="auto" w:before="11"/>
        <w:ind w:right="1903" w:firstLine="720"/>
      </w:pPr>
      <w:r>
        <w:rPr>
          <w:color w:val="1A1A1A"/>
        </w:rPr>
        <w:t>Although, the integral federalism had a strong philosophical background, </w:t>
      </w:r>
      <w:r>
        <w:rPr>
          <w:color w:val="1A1A1A"/>
          <w:sz w:val="27"/>
        </w:rPr>
        <w:t>Alexandre Marc </w:t>
      </w:r>
      <w:r>
        <w:rPr>
          <w:color w:val="1A1A1A"/>
        </w:rPr>
        <w:t>and others often stated that, “Praxis,</w:t>
      </w:r>
      <w:r>
        <w:rPr>
          <w:color w:val="1A1A1A"/>
          <w:spacing w:val="40"/>
        </w:rPr>
        <w:t> </w:t>
      </w:r>
      <w:r>
        <w:rPr>
          <w:color w:val="1A1A1A"/>
        </w:rPr>
        <w:t>not theory, is of the essence of integral federalism.” (</w:t>
      </w:r>
      <w:hyperlink w:history="true" w:anchor="_bookmark276">
        <w:r>
          <w:rPr>
            <w:color w:val="1A1A1A"/>
          </w:rPr>
          <w:t>Marc, 1979, p. 117</w:t>
        </w:r>
      </w:hyperlink>
      <w:r>
        <w:rPr>
          <w:color w:val="1A1A1A"/>
        </w:rPr>
        <w:t>) This statement implied not only, theoretical difficulties of defining the method</w:t>
      </w:r>
      <w:r>
        <w:rPr>
          <w:color w:val="1A1A1A"/>
          <w:spacing w:val="40"/>
        </w:rPr>
        <w:t> </w:t>
      </w:r>
      <w:r>
        <w:rPr>
          <w:color w:val="1A1A1A"/>
        </w:rPr>
        <w:t>of political action, but it also made hard to predict the finality where the process of federalization might lead. The core of the approach is that the problems cannot be resolved at once. Only by gradual fixing of the federation and constant commitment to the further integration to improve the human condition can succeed. </w:t>
      </w:r>
      <w:r>
        <w:rPr>
          <w:color w:val="1A1A1A"/>
          <w:sz w:val="27"/>
        </w:rPr>
        <w:t>Marc </w:t>
      </w:r>
      <w:r>
        <w:rPr>
          <w:color w:val="1A1A1A"/>
        </w:rPr>
        <w:t>argued that there is no state of accomplishment, because the system always unveils the new challenges. (</w:t>
      </w:r>
      <w:hyperlink w:history="true" w:anchor="_bookmark276">
        <w:r>
          <w:rPr>
            <w:color w:val="1A1A1A"/>
          </w:rPr>
          <w:t>Marc, 1979, p. 122</w:t>
        </w:r>
      </w:hyperlink>
      <w:r>
        <w:rPr>
          <w:color w:val="1A1A1A"/>
        </w:rPr>
        <w:t>)</w:t>
      </w:r>
    </w:p>
    <w:p>
      <w:pPr>
        <w:pStyle w:val="BodyText"/>
        <w:spacing w:line="273" w:lineRule="auto"/>
        <w:ind w:right="1912" w:firstLine="720"/>
        <w:rPr>
          <w:sz w:val="27"/>
        </w:rPr>
      </w:pPr>
      <w:r>
        <w:rPr>
          <w:color w:val="1A1A1A"/>
          <w:sz w:val="27"/>
        </w:rPr>
        <w:t>Denis de Rougemont</w:t>
      </w:r>
      <w:r>
        <w:rPr>
          <w:color w:val="1A1A1A"/>
        </w:rPr>
        <w:t>, a pioneer of integral federalism, recognized that the problems the Europe had faced were essentially political. Those political issues were infecting other aspects of life. The economy was in trouble, culture was in decline, disastrous events including two world wars gave a clear signal for a systemic change</w:t>
      </w:r>
      <w:r>
        <w:rPr>
          <w:color w:val="1A1A1A"/>
          <w:sz w:val="27"/>
        </w:rPr>
        <w:t>.</w:t>
      </w:r>
    </w:p>
    <w:p>
      <w:pPr>
        <w:spacing w:line="268" w:lineRule="auto" w:before="0"/>
        <w:ind w:left="979" w:right="1907" w:firstLine="787"/>
        <w:jc w:val="both"/>
        <w:rPr>
          <w:sz w:val="26"/>
        </w:rPr>
      </w:pPr>
      <w:r>
        <w:rPr>
          <w:color w:val="1A1A1A"/>
          <w:sz w:val="27"/>
        </w:rPr>
        <w:t>De Rougemont </w:t>
      </w:r>
      <w:r>
        <w:rPr>
          <w:color w:val="1A1A1A"/>
          <w:sz w:val="26"/>
        </w:rPr>
        <w:t>distinguished three different fractions of ideas, dominating</w:t>
      </w:r>
      <w:r>
        <w:rPr>
          <w:color w:val="1A1A1A"/>
          <w:spacing w:val="-2"/>
          <w:sz w:val="26"/>
        </w:rPr>
        <w:t> </w:t>
      </w:r>
      <w:r>
        <w:rPr>
          <w:color w:val="1A1A1A"/>
          <w:sz w:val="26"/>
        </w:rPr>
        <w:t>in</w:t>
      </w:r>
      <w:r>
        <w:rPr>
          <w:color w:val="1A1A1A"/>
          <w:spacing w:val="-1"/>
          <w:sz w:val="26"/>
        </w:rPr>
        <w:t> </w:t>
      </w:r>
      <w:r>
        <w:rPr>
          <w:color w:val="1A1A1A"/>
          <w:sz w:val="26"/>
        </w:rPr>
        <w:t>the</w:t>
      </w:r>
      <w:r>
        <w:rPr>
          <w:color w:val="1A1A1A"/>
          <w:spacing w:val="-2"/>
          <w:sz w:val="26"/>
        </w:rPr>
        <w:t> </w:t>
      </w:r>
      <w:r>
        <w:rPr>
          <w:color w:val="1A1A1A"/>
          <w:sz w:val="26"/>
        </w:rPr>
        <w:t>first</w:t>
      </w:r>
      <w:r>
        <w:rPr>
          <w:color w:val="1A1A1A"/>
          <w:spacing w:val="-2"/>
          <w:sz w:val="26"/>
        </w:rPr>
        <w:t> </w:t>
      </w:r>
      <w:r>
        <w:rPr>
          <w:color w:val="1A1A1A"/>
          <w:sz w:val="26"/>
        </w:rPr>
        <w:t>half</w:t>
      </w:r>
      <w:r>
        <w:rPr>
          <w:color w:val="1A1A1A"/>
          <w:spacing w:val="-3"/>
          <w:sz w:val="26"/>
        </w:rPr>
        <w:t> </w:t>
      </w:r>
      <w:r>
        <w:rPr>
          <w:color w:val="1A1A1A"/>
          <w:sz w:val="26"/>
        </w:rPr>
        <w:t>of</w:t>
      </w:r>
      <w:r>
        <w:rPr>
          <w:color w:val="1A1A1A"/>
          <w:spacing w:val="-3"/>
          <w:sz w:val="26"/>
        </w:rPr>
        <w:t> </w:t>
      </w:r>
      <w:r>
        <w:rPr>
          <w:color w:val="1A1A1A"/>
          <w:sz w:val="26"/>
        </w:rPr>
        <w:t>the</w:t>
      </w:r>
      <w:r>
        <w:rPr>
          <w:color w:val="1A1A1A"/>
          <w:spacing w:val="-2"/>
          <w:sz w:val="26"/>
        </w:rPr>
        <w:t> </w:t>
      </w:r>
      <w:r>
        <w:rPr>
          <w:color w:val="1A1A1A"/>
          <w:sz w:val="26"/>
        </w:rPr>
        <w:t>20</w:t>
      </w:r>
      <w:r>
        <w:rPr>
          <w:color w:val="1A1A1A"/>
          <w:position w:val="7"/>
          <w:sz w:val="15"/>
        </w:rPr>
        <w:t>th</w:t>
      </w:r>
      <w:r>
        <w:rPr>
          <w:color w:val="1A1A1A"/>
          <w:spacing w:val="26"/>
          <w:position w:val="7"/>
          <w:sz w:val="15"/>
        </w:rPr>
        <w:t> </w:t>
      </w:r>
      <w:r>
        <w:rPr>
          <w:color w:val="1A1A1A"/>
          <w:sz w:val="26"/>
        </w:rPr>
        <w:t>century. First, </w:t>
      </w:r>
      <w:r>
        <w:rPr>
          <w:color w:val="1A1A1A"/>
          <w:sz w:val="27"/>
        </w:rPr>
        <w:t>L'</w:t>
      </w:r>
      <w:r>
        <w:rPr>
          <w:color w:val="1A1A1A"/>
          <w:spacing w:val="-5"/>
          <w:sz w:val="27"/>
        </w:rPr>
        <w:t> </w:t>
      </w:r>
      <w:r>
        <w:rPr>
          <w:color w:val="1A1A1A"/>
          <w:sz w:val="27"/>
        </w:rPr>
        <w:t>Europe</w:t>
      </w:r>
      <w:r>
        <w:rPr>
          <w:color w:val="1A1A1A"/>
          <w:spacing w:val="-4"/>
          <w:sz w:val="27"/>
        </w:rPr>
        <w:t> </w:t>
      </w:r>
      <w:r>
        <w:rPr>
          <w:color w:val="1A1A1A"/>
          <w:sz w:val="27"/>
        </w:rPr>
        <w:t>des</w:t>
      </w:r>
      <w:r>
        <w:rPr>
          <w:color w:val="1A1A1A"/>
          <w:spacing w:val="-7"/>
          <w:sz w:val="27"/>
        </w:rPr>
        <w:t> </w:t>
      </w:r>
      <w:r>
        <w:rPr>
          <w:color w:val="1A1A1A"/>
          <w:sz w:val="27"/>
        </w:rPr>
        <w:t>patries</w:t>
      </w:r>
      <w:r>
        <w:rPr>
          <w:color w:val="1A1A1A"/>
          <w:spacing w:val="-3"/>
          <w:sz w:val="27"/>
        </w:rPr>
        <w:t> </w:t>
      </w:r>
      <w:r>
        <w:rPr>
          <w:color w:val="1A1A1A"/>
          <w:sz w:val="27"/>
        </w:rPr>
        <w:t>- </w:t>
      </w:r>
      <w:r>
        <w:rPr>
          <w:color w:val="1A1A1A"/>
          <w:sz w:val="26"/>
        </w:rPr>
        <w:t>Europe of sovereign states. Second, </w:t>
      </w:r>
      <w:r>
        <w:rPr>
          <w:color w:val="1A1A1A"/>
          <w:sz w:val="27"/>
        </w:rPr>
        <w:t>Common Market view </w:t>
      </w:r>
      <w:r>
        <w:rPr>
          <w:color w:val="1A1A1A"/>
          <w:sz w:val="26"/>
        </w:rPr>
        <w:t>implied full economic integration. Third, federalist model, the community based on </w:t>
      </w:r>
      <w:r>
        <w:rPr>
          <w:color w:val="1A1A1A"/>
          <w:sz w:val="27"/>
        </w:rPr>
        <w:t>unity</w:t>
      </w:r>
      <w:r>
        <w:rPr>
          <w:color w:val="1A1A1A"/>
          <w:spacing w:val="28"/>
          <w:sz w:val="27"/>
        </w:rPr>
        <w:t> </w:t>
      </w:r>
      <w:r>
        <w:rPr>
          <w:color w:val="1A1A1A"/>
          <w:sz w:val="27"/>
        </w:rPr>
        <w:t>in</w:t>
      </w:r>
      <w:r>
        <w:rPr>
          <w:color w:val="1A1A1A"/>
          <w:spacing w:val="30"/>
          <w:sz w:val="27"/>
        </w:rPr>
        <w:t> </w:t>
      </w:r>
      <w:r>
        <w:rPr>
          <w:color w:val="1A1A1A"/>
          <w:sz w:val="27"/>
        </w:rPr>
        <w:t>diversity</w:t>
      </w:r>
      <w:r>
        <w:rPr>
          <w:color w:val="1A1A1A"/>
          <w:spacing w:val="31"/>
          <w:sz w:val="27"/>
        </w:rPr>
        <w:t> </w:t>
      </w:r>
      <w:r>
        <w:rPr>
          <w:color w:val="1A1A1A"/>
          <w:sz w:val="26"/>
        </w:rPr>
        <w:t>principle,</w:t>
      </w:r>
      <w:r>
        <w:rPr>
          <w:color w:val="1A1A1A"/>
          <w:spacing w:val="35"/>
          <w:sz w:val="26"/>
        </w:rPr>
        <w:t> </w:t>
      </w:r>
      <w:r>
        <w:rPr>
          <w:color w:val="1A1A1A"/>
          <w:sz w:val="26"/>
        </w:rPr>
        <w:t>–</w:t>
      </w:r>
      <w:r>
        <w:rPr>
          <w:color w:val="1A1A1A"/>
          <w:spacing w:val="31"/>
          <w:sz w:val="26"/>
        </w:rPr>
        <w:t> </w:t>
      </w:r>
      <w:r>
        <w:rPr>
          <w:color w:val="1A1A1A"/>
          <w:sz w:val="26"/>
        </w:rPr>
        <w:t>considering</w:t>
      </w:r>
      <w:r>
        <w:rPr>
          <w:color w:val="1A1A1A"/>
          <w:spacing w:val="28"/>
          <w:sz w:val="26"/>
        </w:rPr>
        <w:t> </w:t>
      </w:r>
      <w:r>
        <w:rPr>
          <w:color w:val="1A1A1A"/>
          <w:sz w:val="26"/>
        </w:rPr>
        <w:t>the</w:t>
      </w:r>
      <w:r>
        <w:rPr>
          <w:color w:val="1A1A1A"/>
          <w:spacing w:val="31"/>
          <w:sz w:val="26"/>
        </w:rPr>
        <w:t> </w:t>
      </w:r>
      <w:r>
        <w:rPr>
          <w:color w:val="1A1A1A"/>
          <w:sz w:val="26"/>
        </w:rPr>
        <w:t>cultural</w:t>
      </w:r>
      <w:r>
        <w:rPr>
          <w:color w:val="1A1A1A"/>
          <w:spacing w:val="29"/>
          <w:sz w:val="26"/>
        </w:rPr>
        <w:t> </w:t>
      </w:r>
      <w:r>
        <w:rPr>
          <w:color w:val="1A1A1A"/>
          <w:sz w:val="26"/>
        </w:rPr>
        <w:t>heritage,</w:t>
      </w:r>
      <w:r>
        <w:rPr>
          <w:color w:val="1A1A1A"/>
          <w:spacing w:val="33"/>
          <w:sz w:val="26"/>
        </w:rPr>
        <w:t> </w:t>
      </w:r>
      <w:r>
        <w:rPr>
          <w:color w:val="1A1A1A"/>
          <w:sz w:val="26"/>
        </w:rPr>
        <w:t>common</w:t>
      </w:r>
    </w:p>
    <w:p>
      <w:pPr>
        <w:spacing w:after="0" w:line="268" w:lineRule="auto"/>
        <w:jc w:val="both"/>
        <w:rPr>
          <w:sz w:val="26"/>
        </w:rPr>
        <w:sectPr>
          <w:pgSz w:w="12240" w:h="15840"/>
          <w:pgMar w:header="1046" w:footer="0" w:top="1360" w:bottom="280" w:left="720" w:right="360"/>
        </w:sectPr>
      </w:pPr>
    </w:p>
    <w:p>
      <w:pPr>
        <w:pStyle w:val="BodyText"/>
        <w:spacing w:line="276" w:lineRule="auto" w:before="276"/>
        <w:ind w:right="1906"/>
      </w:pPr>
      <w:r>
        <w:rPr>
          <w:color w:val="1A1A1A"/>
        </w:rPr>
        <w:t>challenges and communal future. (</w:t>
      </w:r>
      <w:hyperlink w:history="true" w:anchor="_bookmark152">
        <w:r>
          <w:rPr>
            <w:color w:val="1A1A1A"/>
          </w:rPr>
          <w:t>Denis</w:t>
        </w:r>
        <w:r>
          <w:rPr>
            <w:color w:val="1A1A1A"/>
            <w:spacing w:val="80"/>
          </w:rPr>
          <w:t> </w:t>
        </w:r>
        <w:r>
          <w:rPr>
            <w:color w:val="1A1A1A"/>
          </w:rPr>
          <w:t>de Rougemont, 1965</w:t>
        </w:r>
      </w:hyperlink>
      <w:r>
        <w:rPr>
          <w:color w:val="1A1A1A"/>
        </w:rPr>
        <w:t>) He gave</w:t>
      </w:r>
      <w:r>
        <w:rPr>
          <w:color w:val="1A1A1A"/>
          <w:spacing w:val="40"/>
        </w:rPr>
        <w:t> </w:t>
      </w:r>
      <w:r>
        <w:rPr>
          <w:color w:val="1A1A1A"/>
        </w:rPr>
        <w:t>four main themes, which as he argued, were always present, “although one or another of them may be more dominant according to the age and the school</w:t>
      </w:r>
      <w:r>
        <w:rPr>
          <w:color w:val="1A1A1A"/>
          <w:spacing w:val="-1"/>
        </w:rPr>
        <w:t> </w:t>
      </w:r>
      <w:r>
        <w:rPr>
          <w:color w:val="1A1A1A"/>
        </w:rPr>
        <w:t>of</w:t>
      </w:r>
      <w:r>
        <w:rPr>
          <w:color w:val="1A1A1A"/>
          <w:spacing w:val="-4"/>
        </w:rPr>
        <w:t> </w:t>
      </w:r>
      <w:r>
        <w:rPr>
          <w:color w:val="1A1A1A"/>
        </w:rPr>
        <w:t>thought.” (</w:t>
      </w:r>
      <w:hyperlink w:history="true" w:anchor="_bookmark152">
        <w:r>
          <w:rPr>
            <w:color w:val="1A1A1A"/>
          </w:rPr>
          <w:t>1965</w:t>
        </w:r>
      </w:hyperlink>
      <w:r>
        <w:rPr>
          <w:color w:val="1A1A1A"/>
        </w:rPr>
        <w:t>)</w:t>
      </w:r>
      <w:r>
        <w:rPr>
          <w:color w:val="1A1A1A"/>
          <w:spacing w:val="-1"/>
        </w:rPr>
        <w:t> </w:t>
      </w:r>
      <w:r>
        <w:rPr>
          <w:color w:val="1A1A1A"/>
        </w:rPr>
        <w:t>Preserving</w:t>
      </w:r>
      <w:r>
        <w:rPr>
          <w:color w:val="1A1A1A"/>
          <w:spacing w:val="-3"/>
        </w:rPr>
        <w:t> </w:t>
      </w:r>
      <w:r>
        <w:rPr>
          <w:color w:val="1A1A1A"/>
        </w:rPr>
        <w:t>European</w:t>
      </w:r>
      <w:r>
        <w:rPr>
          <w:color w:val="1A1A1A"/>
          <w:spacing w:val="-1"/>
        </w:rPr>
        <w:t> </w:t>
      </w:r>
      <w:r>
        <w:rPr>
          <w:color w:val="1A1A1A"/>
        </w:rPr>
        <w:t>peace,</w:t>
      </w:r>
      <w:r>
        <w:rPr>
          <w:color w:val="1A1A1A"/>
          <w:spacing w:val="-2"/>
        </w:rPr>
        <w:t> </w:t>
      </w:r>
      <w:r>
        <w:rPr>
          <w:color w:val="1A1A1A"/>
        </w:rPr>
        <w:t>re-establishment</w:t>
      </w:r>
      <w:r>
        <w:rPr>
          <w:color w:val="1A1A1A"/>
          <w:spacing w:val="-3"/>
        </w:rPr>
        <w:t> </w:t>
      </w:r>
      <w:r>
        <w:rPr>
          <w:color w:val="1A1A1A"/>
        </w:rPr>
        <w:t>of a spiritual community supported by a common legal framework, achieving prosperity and creating a common defense to deal with external threats. (</w:t>
      </w:r>
      <w:hyperlink w:history="true" w:anchor="_bookmark152">
        <w:r>
          <w:rPr>
            <w:color w:val="1A1A1A"/>
          </w:rPr>
          <w:t>1965</w:t>
        </w:r>
      </w:hyperlink>
      <w:r>
        <w:rPr>
          <w:color w:val="1A1A1A"/>
        </w:rPr>
        <w:t>) It is important to mention that the new Europe, as integral</w:t>
      </w:r>
      <w:r>
        <w:rPr>
          <w:color w:val="1A1A1A"/>
          <w:spacing w:val="40"/>
        </w:rPr>
        <w:t> </w:t>
      </w:r>
      <w:r>
        <w:rPr>
          <w:color w:val="1A1A1A"/>
        </w:rPr>
        <w:t>federalists imagined it, was not an imperial force, it would not impress </w:t>
      </w:r>
      <w:r>
        <w:rPr>
          <w:color w:val="1A1A1A"/>
          <w:sz w:val="27"/>
        </w:rPr>
        <w:t>Hitler </w:t>
      </w:r>
      <w:r>
        <w:rPr>
          <w:color w:val="1A1A1A"/>
        </w:rPr>
        <w:t>or </w:t>
      </w:r>
      <w:r>
        <w:rPr>
          <w:color w:val="1A1A1A"/>
          <w:sz w:val="27"/>
        </w:rPr>
        <w:t>Napoleon</w:t>
      </w:r>
      <w:r>
        <w:rPr>
          <w:color w:val="1A1A1A"/>
        </w:rPr>
        <w:t>. Nevertheless, integralists were keen to see the Europeans talking straight to the world powers. (</w:t>
      </w:r>
      <w:hyperlink w:history="true" w:anchor="_bookmark151">
        <w:r>
          <w:rPr>
            <w:color w:val="1A1A1A"/>
          </w:rPr>
          <w:t>Denis de Rougemont,</w:t>
        </w:r>
      </w:hyperlink>
      <w:r>
        <w:rPr>
          <w:color w:val="1A1A1A"/>
          <w:spacing w:val="40"/>
        </w:rPr>
        <w:t> </w:t>
      </w:r>
      <w:hyperlink w:history="true" w:anchor="_bookmark151">
        <w:r>
          <w:rPr>
            <w:color w:val="1A1A1A"/>
          </w:rPr>
          <w:t>1948, p. 3</w:t>
        </w:r>
      </w:hyperlink>
      <w:r>
        <w:rPr>
          <w:color w:val="1A1A1A"/>
        </w:rPr>
        <w:t>)</w:t>
      </w:r>
    </w:p>
    <w:p>
      <w:pPr>
        <w:pStyle w:val="BodyText"/>
        <w:spacing w:line="330" w:lineRule="exact"/>
        <w:ind w:left="1700"/>
      </w:pPr>
      <w:r>
        <w:rPr>
          <w:color w:val="1A1A1A"/>
          <w:sz w:val="27"/>
        </w:rPr>
        <w:t>Alan</w:t>
      </w:r>
      <w:r>
        <w:rPr>
          <w:color w:val="1A1A1A"/>
          <w:spacing w:val="59"/>
          <w:sz w:val="27"/>
        </w:rPr>
        <w:t> </w:t>
      </w:r>
      <w:r>
        <w:rPr>
          <w:color w:val="1A1A1A"/>
          <w:sz w:val="27"/>
        </w:rPr>
        <w:t>Hick</w:t>
      </w:r>
      <w:r>
        <w:rPr>
          <w:color w:val="1A1A1A"/>
          <w:spacing w:val="61"/>
          <w:sz w:val="27"/>
        </w:rPr>
        <w:t> </w:t>
      </w:r>
      <w:r>
        <w:rPr>
          <w:color w:val="1A1A1A"/>
        </w:rPr>
        <w:t>calls</w:t>
      </w:r>
      <w:r>
        <w:rPr>
          <w:color w:val="1A1A1A"/>
          <w:spacing w:val="60"/>
        </w:rPr>
        <w:t> </w:t>
      </w:r>
      <w:r>
        <w:rPr>
          <w:color w:val="1A1A1A"/>
        </w:rPr>
        <w:t>integralists</w:t>
      </w:r>
      <w:r>
        <w:rPr>
          <w:color w:val="1A1A1A"/>
          <w:spacing w:val="61"/>
        </w:rPr>
        <w:t> </w:t>
      </w:r>
      <w:r>
        <w:rPr>
          <w:color w:val="1A1A1A"/>
        </w:rPr>
        <w:t>corporatis-inclined</w:t>
      </w:r>
      <w:r>
        <w:rPr>
          <w:color w:val="1A1A1A"/>
          <w:spacing w:val="63"/>
        </w:rPr>
        <w:t> </w:t>
      </w:r>
      <w:r>
        <w:rPr>
          <w:color w:val="1A1A1A"/>
        </w:rPr>
        <w:t>federals,</w:t>
      </w:r>
      <w:r>
        <w:rPr>
          <w:color w:val="1A1A1A"/>
          <w:spacing w:val="63"/>
        </w:rPr>
        <w:t> </w:t>
      </w:r>
      <w:r>
        <w:rPr>
          <w:color w:val="1A1A1A"/>
        </w:rPr>
        <w:t>for</w:t>
      </w:r>
      <w:r>
        <w:rPr>
          <w:color w:val="1A1A1A"/>
          <w:spacing w:val="64"/>
        </w:rPr>
        <w:t> </w:t>
      </w:r>
      <w:r>
        <w:rPr>
          <w:color w:val="1A1A1A"/>
          <w:spacing w:val="-4"/>
        </w:rPr>
        <w:t>some</w:t>
      </w:r>
    </w:p>
    <w:p>
      <w:pPr>
        <w:pStyle w:val="BodyText"/>
        <w:spacing w:line="276" w:lineRule="auto" w:before="48"/>
        <w:ind w:right="1902"/>
      </w:pPr>
      <w:r>
        <w:rPr>
          <w:color w:val="1A1A1A"/>
        </w:rPr>
        <w:t>reason. (</w:t>
      </w:r>
      <w:hyperlink w:history="true" w:anchor="_bookmark217">
        <w:r>
          <w:rPr>
            <w:color w:val="1A1A1A"/>
          </w:rPr>
          <w:t>1991, p. 9</w:t>
        </w:r>
      </w:hyperlink>
      <w:r>
        <w:rPr>
          <w:color w:val="1A1A1A"/>
        </w:rPr>
        <w:t>) The Integral Federalists considered parliamentary tradition as outdated. Their skepticism towards representative democracy and constitutional model of the social organization made it clear that their approach, would not tolerate yet another level of state-like sovereignty on the supranational level. The idea common to their circles was to “devolve and distribute powers to what they called the ‘living forces,’ that is extra parliamentary economic and social groups, local and corporate</w:t>
      </w:r>
      <w:r>
        <w:rPr>
          <w:color w:val="1A1A1A"/>
          <w:spacing w:val="40"/>
        </w:rPr>
        <w:t> </w:t>
      </w:r>
      <w:r>
        <w:rPr>
          <w:color w:val="1A1A1A"/>
        </w:rPr>
        <w:t>communities, religious groups, ethnic forces, etc.” (</w:t>
      </w:r>
      <w:hyperlink w:history="true" w:anchor="_bookmark217">
        <w:r>
          <w:rPr>
            <w:color w:val="1A1A1A"/>
          </w:rPr>
          <w:t>Hick, 1991, p. 10</w:t>
        </w:r>
      </w:hyperlink>
      <w:r>
        <w:rPr>
          <w:color w:val="1A1A1A"/>
        </w:rPr>
        <w:t>) An interesting fact about the power distribution among those groups, as </w:t>
      </w:r>
      <w:r>
        <w:rPr>
          <w:color w:val="1A1A1A"/>
          <w:sz w:val="27"/>
        </w:rPr>
        <w:t>Hick </w:t>
      </w:r>
      <w:r>
        <w:rPr>
          <w:color w:val="1A1A1A"/>
        </w:rPr>
        <w:t>argues, was an ambiguous way of calculating who should get what, when and how; the model implied that the responsibilities had to be distributed proportionally to the social roles each group undertook. It was not surprising that under this estimation, business elites could dominate the </w:t>
      </w:r>
      <w:r>
        <w:rPr>
          <w:color w:val="1A1A1A"/>
          <w:spacing w:val="-2"/>
        </w:rPr>
        <w:t>discourse.</w:t>
      </w:r>
    </w:p>
    <w:p>
      <w:pPr>
        <w:pStyle w:val="BodyText"/>
        <w:spacing w:line="334" w:lineRule="exact"/>
        <w:ind w:left="1700"/>
      </w:pPr>
      <w:r>
        <w:rPr>
          <w:color w:val="1A1A1A"/>
        </w:rPr>
        <w:t>The</w:t>
      </w:r>
      <w:r>
        <w:rPr>
          <w:color w:val="1A1A1A"/>
          <w:spacing w:val="49"/>
        </w:rPr>
        <w:t> </w:t>
      </w:r>
      <w:r>
        <w:rPr>
          <w:color w:val="1A1A1A"/>
        </w:rPr>
        <w:t>idea</w:t>
      </w:r>
      <w:r>
        <w:rPr>
          <w:color w:val="1A1A1A"/>
          <w:spacing w:val="47"/>
        </w:rPr>
        <w:t> </w:t>
      </w:r>
      <w:r>
        <w:rPr>
          <w:color w:val="1A1A1A"/>
        </w:rPr>
        <w:t>of</w:t>
      </w:r>
      <w:r>
        <w:rPr>
          <w:color w:val="1A1A1A"/>
          <w:spacing w:val="48"/>
        </w:rPr>
        <w:t> </w:t>
      </w:r>
      <w:r>
        <w:rPr>
          <w:color w:val="1A1A1A"/>
        </w:rPr>
        <w:t>integral</w:t>
      </w:r>
      <w:r>
        <w:rPr>
          <w:color w:val="1A1A1A"/>
          <w:spacing w:val="47"/>
        </w:rPr>
        <w:t> </w:t>
      </w:r>
      <w:r>
        <w:rPr>
          <w:color w:val="1A1A1A"/>
        </w:rPr>
        <w:t>federalism,</w:t>
      </w:r>
      <w:r>
        <w:rPr>
          <w:color w:val="1A1A1A"/>
          <w:spacing w:val="50"/>
        </w:rPr>
        <w:t> </w:t>
      </w:r>
      <w:r>
        <w:rPr>
          <w:color w:val="1A1A1A"/>
        </w:rPr>
        <w:t>as</w:t>
      </w:r>
      <w:r>
        <w:rPr>
          <w:color w:val="1A1A1A"/>
          <w:spacing w:val="52"/>
        </w:rPr>
        <w:t> </w:t>
      </w:r>
      <w:r>
        <w:rPr>
          <w:color w:val="1A1A1A"/>
          <w:sz w:val="27"/>
        </w:rPr>
        <w:t>Kinsky</w:t>
      </w:r>
      <w:r>
        <w:rPr>
          <w:color w:val="1A1A1A"/>
          <w:spacing w:val="46"/>
          <w:sz w:val="27"/>
        </w:rPr>
        <w:t> </w:t>
      </w:r>
      <w:r>
        <w:rPr>
          <w:color w:val="1A1A1A"/>
        </w:rPr>
        <w:t>prescribed,</w:t>
      </w:r>
      <w:r>
        <w:rPr>
          <w:color w:val="1A1A1A"/>
          <w:spacing w:val="51"/>
        </w:rPr>
        <w:t> </w:t>
      </w:r>
      <w:r>
        <w:rPr>
          <w:color w:val="1A1A1A"/>
        </w:rPr>
        <w:t>was</w:t>
      </w:r>
      <w:r>
        <w:rPr>
          <w:color w:val="1A1A1A"/>
          <w:spacing w:val="46"/>
        </w:rPr>
        <w:t> </w:t>
      </w:r>
      <w:r>
        <w:rPr>
          <w:color w:val="1A1A1A"/>
        </w:rPr>
        <w:t>to</w:t>
      </w:r>
      <w:r>
        <w:rPr>
          <w:color w:val="1A1A1A"/>
          <w:spacing w:val="42"/>
        </w:rPr>
        <w:t> </w:t>
      </w:r>
      <w:r>
        <w:rPr>
          <w:color w:val="1A1A1A"/>
          <w:spacing w:val="-4"/>
        </w:rPr>
        <w:t>“re-</w:t>
      </w:r>
    </w:p>
    <w:p>
      <w:pPr>
        <w:pStyle w:val="BodyText"/>
        <w:spacing w:line="273" w:lineRule="auto" w:before="48"/>
        <w:ind w:right="1903"/>
      </w:pPr>
      <w:r>
        <w:rPr>
          <w:color w:val="1A1A1A"/>
        </w:rPr>
        <w:t>establish the equilibrium between the four dialectical tensions of man confronted with the world, his neighbor, society and destiny.” (</w:t>
      </w:r>
      <w:hyperlink w:history="true" w:anchor="_bookmark238">
        <w:r>
          <w:rPr>
            <w:color w:val="1A1A1A"/>
          </w:rPr>
          <w:t>Kinsky,</w:t>
        </w:r>
      </w:hyperlink>
      <w:r>
        <w:rPr>
          <w:color w:val="1A1A1A"/>
        </w:rPr>
        <w:t> </w:t>
      </w:r>
      <w:hyperlink w:history="true" w:anchor="_bookmark238">
        <w:r>
          <w:rPr>
            <w:color w:val="1A1A1A"/>
          </w:rPr>
          <w:t>1979</w:t>
        </w:r>
      </w:hyperlink>
      <w:r>
        <w:rPr>
          <w:color w:val="1A1A1A"/>
        </w:rPr>
        <w:t>) To achieve this, </w:t>
      </w:r>
      <w:r>
        <w:rPr>
          <w:color w:val="1A1A1A"/>
          <w:sz w:val="27"/>
        </w:rPr>
        <w:t>Marc </w:t>
      </w:r>
      <w:r>
        <w:rPr>
          <w:color w:val="1A1A1A"/>
        </w:rPr>
        <w:t>and others have put forward the gradual method of federalization. This model would generate the European system,</w:t>
      </w:r>
    </w:p>
    <w:p>
      <w:pPr>
        <w:pStyle w:val="BodyText"/>
        <w:spacing w:after="0" w:line="273" w:lineRule="auto"/>
        <w:sectPr>
          <w:pgSz w:w="12240" w:h="15840"/>
          <w:pgMar w:header="1046" w:footer="0" w:top="1360" w:bottom="280" w:left="720" w:right="360"/>
        </w:sectPr>
      </w:pPr>
    </w:p>
    <w:p>
      <w:pPr>
        <w:pStyle w:val="BodyText"/>
        <w:spacing w:line="276" w:lineRule="auto" w:before="276"/>
        <w:ind w:right="1919"/>
      </w:pPr>
      <w:r>
        <w:rPr>
          <w:color w:val="1A1A1A"/>
        </w:rPr>
        <w:t>based</w:t>
      </w:r>
      <w:r>
        <w:rPr>
          <w:color w:val="1A1A1A"/>
          <w:spacing w:val="-5"/>
        </w:rPr>
        <w:t> </w:t>
      </w:r>
      <w:r>
        <w:rPr>
          <w:color w:val="1A1A1A"/>
        </w:rPr>
        <w:t>on</w:t>
      </w:r>
      <w:r>
        <w:rPr>
          <w:color w:val="1A1A1A"/>
          <w:spacing w:val="-6"/>
        </w:rPr>
        <w:t> </w:t>
      </w:r>
      <w:r>
        <w:rPr>
          <w:color w:val="1A1A1A"/>
        </w:rPr>
        <w:t>autonomy,</w:t>
      </w:r>
      <w:r>
        <w:rPr>
          <w:color w:val="1A1A1A"/>
          <w:spacing w:val="-5"/>
        </w:rPr>
        <w:t> </w:t>
      </w:r>
      <w:r>
        <w:rPr>
          <w:color w:val="1A1A1A"/>
        </w:rPr>
        <w:t>competitive</w:t>
      </w:r>
      <w:r>
        <w:rPr>
          <w:color w:val="1A1A1A"/>
          <w:spacing w:val="-6"/>
        </w:rPr>
        <w:t> </w:t>
      </w:r>
      <w:r>
        <w:rPr>
          <w:color w:val="1A1A1A"/>
        </w:rPr>
        <w:t>cooperation,</w:t>
      </w:r>
      <w:r>
        <w:rPr>
          <w:color w:val="1A1A1A"/>
          <w:spacing w:val="-6"/>
        </w:rPr>
        <w:t> </w:t>
      </w:r>
      <w:r>
        <w:rPr>
          <w:color w:val="1A1A1A"/>
        </w:rPr>
        <w:t>subsidiarity</w:t>
      </w:r>
      <w:r>
        <w:rPr>
          <w:color w:val="1A1A1A"/>
          <w:spacing w:val="-6"/>
        </w:rPr>
        <w:t> </w:t>
      </w:r>
      <w:r>
        <w:rPr>
          <w:color w:val="1A1A1A"/>
        </w:rPr>
        <w:t>and</w:t>
      </w:r>
      <w:r>
        <w:rPr>
          <w:color w:val="1A1A1A"/>
          <w:spacing w:val="-5"/>
        </w:rPr>
        <w:t> </w:t>
      </w:r>
      <w:r>
        <w:rPr>
          <w:color w:val="1A1A1A"/>
        </w:rPr>
        <w:t>participation. The latter, to fulfill and transcend previous levels. (</w:t>
      </w:r>
      <w:hyperlink w:history="true" w:anchor="_bookmark276">
        <w:r>
          <w:rPr>
            <w:color w:val="1A1A1A"/>
          </w:rPr>
          <w:t>Marc, 1979, p. 118</w:t>
        </w:r>
      </w:hyperlink>
      <w:r>
        <w:rPr>
          <w:color w:val="1A1A1A"/>
        </w:rPr>
        <w:t>)</w:t>
      </w:r>
    </w:p>
    <w:p>
      <w:pPr>
        <w:pStyle w:val="BodyText"/>
        <w:spacing w:line="276" w:lineRule="auto"/>
        <w:ind w:right="1908" w:firstLine="720"/>
      </w:pPr>
      <w:r>
        <w:rPr>
          <w:color w:val="1A1A1A"/>
        </w:rPr>
        <w:t>For integralists, integration in the first place, was a process of social inclusion and economic cohesion. Where the ‘living forces’ shared and practiced the power together with common institutions.</w:t>
      </w:r>
    </w:p>
    <w:p>
      <w:pPr>
        <w:pStyle w:val="BodyText"/>
        <w:spacing w:line="271" w:lineRule="auto"/>
        <w:ind w:right="1903" w:firstLine="720"/>
      </w:pPr>
      <w:r>
        <w:rPr>
          <w:color w:val="1A1A1A"/>
        </w:rPr>
        <w:t>As we have already indicated above, integral federalists were</w:t>
      </w:r>
      <w:r>
        <w:rPr>
          <w:color w:val="1A1A1A"/>
          <w:spacing w:val="80"/>
        </w:rPr>
        <w:t> </w:t>
      </w:r>
      <w:r>
        <w:rPr>
          <w:color w:val="1A1A1A"/>
        </w:rPr>
        <w:t>opposed by their fellow constitutionalists. Those leaders, who were part of the resistance movement, were more radical than the most from </w:t>
      </w:r>
      <w:r>
        <w:rPr>
          <w:sz w:val="27"/>
        </w:rPr>
        <w:t>l'ordre nouveau</w:t>
      </w:r>
      <w:r>
        <w:rPr>
          <w:spacing w:val="-1"/>
          <w:sz w:val="27"/>
        </w:rPr>
        <w:t> </w:t>
      </w:r>
      <w:r>
        <w:rPr/>
        <w:t>and its co-organization </w:t>
      </w:r>
      <w:r>
        <w:rPr>
          <w:sz w:val="27"/>
        </w:rPr>
        <w:t>l’esprit. </w:t>
      </w:r>
      <w:r>
        <w:rPr/>
        <w:t>For instance, </w:t>
      </w:r>
      <w:r>
        <w:rPr>
          <w:sz w:val="27"/>
        </w:rPr>
        <w:t>Altiero</w:t>
      </w:r>
      <w:r>
        <w:rPr>
          <w:spacing w:val="-3"/>
          <w:sz w:val="27"/>
        </w:rPr>
        <w:t> </w:t>
      </w:r>
      <w:r>
        <w:rPr>
          <w:sz w:val="27"/>
        </w:rPr>
        <w:t>Spinelli, </w:t>
      </w:r>
      <w:r>
        <w:rPr/>
        <w:t>had pointed out, that integralists were not in the same fold with constitutionalists, because they </w:t>
      </w:r>
      <w:r>
        <w:rPr>
          <w:color w:val="1A1A1A"/>
        </w:rPr>
        <w:t>“regarded European Institutions as being simple element of coordination, incapable itself of providing change.” (</w:t>
      </w:r>
      <w:hyperlink w:history="true" w:anchor="_bookmark263">
        <w:r>
          <w:rPr>
            <w:color w:val="1A1A1A"/>
          </w:rPr>
          <w:t>Lipgens &amp; Loth, 1991, p. 11</w:t>
        </w:r>
      </w:hyperlink>
      <w:r>
        <w:rPr>
          <w:color w:val="1A1A1A"/>
        </w:rPr>
        <w:t>) </w:t>
      </w:r>
      <w:r>
        <w:rPr>
          <w:color w:val="1A1A1A"/>
          <w:sz w:val="27"/>
        </w:rPr>
        <w:t>Hendrik Brugmans </w:t>
      </w:r>
      <w:r>
        <w:rPr>
          <w:color w:val="1A1A1A"/>
        </w:rPr>
        <w:t>addressed </w:t>
      </w:r>
      <w:r>
        <w:rPr>
          <w:color w:val="1A1A1A"/>
          <w:sz w:val="27"/>
        </w:rPr>
        <w:t>Spinelli</w:t>
      </w:r>
      <w:r>
        <w:rPr>
          <w:color w:val="1A1A1A"/>
        </w:rPr>
        <w:t>’s criticisms and argued that the </w:t>
      </w:r>
      <w:r>
        <w:rPr>
          <w:color w:val="1A1A1A"/>
          <w:sz w:val="27"/>
        </w:rPr>
        <w:t>slavishly copying </w:t>
      </w:r>
      <w:r>
        <w:rPr>
          <w:color w:val="1A1A1A"/>
        </w:rPr>
        <w:t>of the state institutions on the European level would not give a result, instead the Europe needed institutions, which reflect common social realities. (</w:t>
      </w:r>
      <w:hyperlink w:history="true" w:anchor="_bookmark263">
        <w:r>
          <w:rPr>
            <w:color w:val="1A1A1A"/>
          </w:rPr>
          <w:t>Ibid: 1991, p. 12</w:t>
        </w:r>
      </w:hyperlink>
      <w:r>
        <w:rPr>
          <w:color w:val="1A1A1A"/>
        </w:rPr>
        <w:t>)</w:t>
      </w:r>
    </w:p>
    <w:p>
      <w:pPr>
        <w:pStyle w:val="BodyText"/>
        <w:spacing w:line="273" w:lineRule="auto" w:before="5"/>
        <w:ind w:right="1902" w:firstLine="720"/>
      </w:pPr>
      <w:r>
        <w:rPr>
          <w:color w:val="1A1A1A"/>
        </w:rPr>
        <w:t>According to </w:t>
      </w:r>
      <w:r>
        <w:rPr>
          <w:color w:val="1A1A1A"/>
          <w:sz w:val="27"/>
        </w:rPr>
        <w:t>Richard Coudenhove-Kalergi </w:t>
      </w:r>
      <w:r>
        <w:rPr>
          <w:color w:val="1A1A1A"/>
        </w:rPr>
        <w:t>the founder of the </w:t>
      </w:r>
      <w:r>
        <w:rPr>
          <w:color w:val="1A1A1A"/>
          <w:sz w:val="27"/>
        </w:rPr>
        <w:t>Pan European Movement</w:t>
      </w:r>
      <w:r>
        <w:rPr>
          <w:color w:val="1A1A1A"/>
        </w:rPr>
        <w:t>, the time was of the essence, for building up the European State. He was one who urged to change balance of power system, into federal one during the interwar period, however only a few politicians listened to his calls. When the Europe survived the Nazi Germany, </w:t>
      </w:r>
      <w:r>
        <w:rPr>
          <w:color w:val="1A1A1A"/>
          <w:sz w:val="27"/>
        </w:rPr>
        <w:t>Coudenhove-Kalergi</w:t>
      </w:r>
      <w:r>
        <w:rPr>
          <w:color w:val="1A1A1A"/>
          <w:spacing w:val="40"/>
          <w:sz w:val="27"/>
        </w:rPr>
        <w:t> </w:t>
      </w:r>
      <w:r>
        <w:rPr>
          <w:color w:val="1A1A1A"/>
        </w:rPr>
        <w:t>felt</w:t>
      </w:r>
      <w:r>
        <w:rPr>
          <w:color w:val="1A1A1A"/>
          <w:spacing w:val="-3"/>
        </w:rPr>
        <w:t> </w:t>
      </w:r>
      <w:r>
        <w:rPr>
          <w:color w:val="1A1A1A"/>
        </w:rPr>
        <w:t>he</w:t>
      </w:r>
      <w:r>
        <w:rPr>
          <w:color w:val="1A1A1A"/>
          <w:spacing w:val="-3"/>
        </w:rPr>
        <w:t> </w:t>
      </w:r>
      <w:r>
        <w:rPr>
          <w:color w:val="1A1A1A"/>
        </w:rPr>
        <w:t>had</w:t>
      </w:r>
      <w:r>
        <w:rPr>
          <w:color w:val="1A1A1A"/>
          <w:spacing w:val="-6"/>
        </w:rPr>
        <w:t> </w:t>
      </w:r>
      <w:r>
        <w:rPr>
          <w:color w:val="1A1A1A"/>
        </w:rPr>
        <w:t>a</w:t>
      </w:r>
      <w:r>
        <w:rPr>
          <w:color w:val="1A1A1A"/>
          <w:spacing w:val="-3"/>
        </w:rPr>
        <w:t> </w:t>
      </w:r>
      <w:r>
        <w:rPr>
          <w:color w:val="1A1A1A"/>
        </w:rPr>
        <w:t>momentum</w:t>
      </w:r>
      <w:r>
        <w:rPr>
          <w:color w:val="1A1A1A"/>
          <w:spacing w:val="-5"/>
        </w:rPr>
        <w:t> </w:t>
      </w:r>
      <w:r>
        <w:rPr>
          <w:color w:val="1A1A1A"/>
        </w:rPr>
        <w:t>to</w:t>
      </w:r>
      <w:r>
        <w:rPr>
          <w:color w:val="1A1A1A"/>
          <w:spacing w:val="-6"/>
        </w:rPr>
        <w:t> </w:t>
      </w:r>
      <w:r>
        <w:rPr>
          <w:color w:val="1A1A1A"/>
        </w:rPr>
        <w:t>say</w:t>
      </w:r>
      <w:r>
        <w:rPr>
          <w:color w:val="1A1A1A"/>
          <w:spacing w:val="-3"/>
        </w:rPr>
        <w:t> </w:t>
      </w:r>
      <w:r>
        <w:rPr>
          <w:color w:val="1A1A1A"/>
        </w:rPr>
        <w:t>that</w:t>
      </w:r>
      <w:r>
        <w:rPr>
          <w:color w:val="1A1A1A"/>
          <w:spacing w:val="-3"/>
        </w:rPr>
        <w:t> </w:t>
      </w:r>
      <w:r>
        <w:rPr>
          <w:color w:val="1A1A1A"/>
        </w:rPr>
        <w:t>he</w:t>
      </w:r>
      <w:r>
        <w:rPr>
          <w:color w:val="1A1A1A"/>
          <w:spacing w:val="-8"/>
        </w:rPr>
        <w:t> </w:t>
      </w:r>
      <w:r>
        <w:rPr>
          <w:color w:val="1A1A1A"/>
        </w:rPr>
        <w:t>was</w:t>
      </w:r>
      <w:r>
        <w:rPr>
          <w:color w:val="1A1A1A"/>
          <w:spacing w:val="-5"/>
        </w:rPr>
        <w:t> </w:t>
      </w:r>
      <w:r>
        <w:rPr>
          <w:color w:val="1A1A1A"/>
        </w:rPr>
        <w:t>right.</w:t>
      </w:r>
      <w:r>
        <w:rPr>
          <w:color w:val="1A1A1A"/>
          <w:spacing w:val="-6"/>
        </w:rPr>
        <w:t> </w:t>
      </w:r>
      <w:r>
        <w:rPr>
          <w:color w:val="1A1A1A"/>
        </w:rPr>
        <w:t>The motives to move the political center from national capitals to the central institutions were threefold: preventing the war, building up the economy and creating a stronghold against the Bolshevik danger. (</w:t>
      </w:r>
      <w:hyperlink w:history="true" w:anchor="_bookmark140">
        <w:r>
          <w:rPr>
            <w:color w:val="1A1A1A"/>
          </w:rPr>
          <w:t>Coudenhove-</w:t>
        </w:r>
      </w:hyperlink>
      <w:r>
        <w:rPr>
          <w:color w:val="1A1A1A"/>
        </w:rPr>
        <w:t> </w:t>
      </w:r>
      <w:hyperlink w:history="true" w:anchor="_bookmark140">
        <w:r>
          <w:rPr>
            <w:color w:val="1A1A1A"/>
          </w:rPr>
          <w:t>Kalergi, 1931, p. 638</w:t>
        </w:r>
      </w:hyperlink>
      <w:r>
        <w:rPr>
          <w:color w:val="1A1A1A"/>
        </w:rPr>
        <w:t>) The ideals cherished by the Pan European Movement had cultural and political dimensions. The culture of the Europe was considered as a blend of Hellenic Individualism and Christian socialism. </w:t>
      </w:r>
      <w:r>
        <w:rPr>
          <w:color w:val="1A1A1A"/>
          <w:sz w:val="27"/>
        </w:rPr>
        <w:t>Coudenhove-Calergi </w:t>
      </w:r>
      <w:r>
        <w:rPr>
          <w:color w:val="1A1A1A"/>
        </w:rPr>
        <w:t>himself was not the greatest apologist of democracy, (</w:t>
      </w:r>
      <w:hyperlink w:history="true" w:anchor="_bookmark211">
        <w:r>
          <w:rPr>
            <w:color w:val="1A1A1A"/>
          </w:rPr>
          <w:t>Heikkila, 2008, p. 74</w:t>
        </w:r>
      </w:hyperlink>
      <w:r>
        <w:rPr>
          <w:color w:val="1A1A1A"/>
        </w:rPr>
        <w:t>) however, the system of</w:t>
      </w:r>
      <w:r>
        <w:rPr>
          <w:color w:val="1A1A1A"/>
          <w:spacing w:val="40"/>
        </w:rPr>
        <w:t> </w:t>
      </w:r>
      <w:r>
        <w:rPr>
          <w:color w:val="1A1A1A"/>
        </w:rPr>
        <w:t>the federate Europe was planned to be a democratic one, with democratic and semi-democratic</w:t>
      </w:r>
      <w:r>
        <w:rPr>
          <w:color w:val="1A1A1A"/>
          <w:spacing w:val="40"/>
        </w:rPr>
        <w:t> </w:t>
      </w:r>
      <w:r>
        <w:rPr>
          <w:color w:val="1A1A1A"/>
        </w:rPr>
        <w:t>units.</w:t>
      </w:r>
      <w:r>
        <w:rPr>
          <w:color w:val="1A1A1A"/>
          <w:spacing w:val="19"/>
        </w:rPr>
        <w:t> </w:t>
      </w:r>
      <w:r>
        <w:rPr>
          <w:color w:val="1A1A1A"/>
        </w:rPr>
        <w:t>(</w:t>
      </w:r>
      <w:hyperlink w:history="true" w:anchor="_bookmark421">
        <w:r>
          <w:rPr>
            <w:color w:val="1A1A1A"/>
          </w:rPr>
          <w:t>von</w:t>
        </w:r>
        <w:r>
          <w:rPr>
            <w:color w:val="1A1A1A"/>
            <w:spacing w:val="18"/>
          </w:rPr>
          <w:t> </w:t>
        </w:r>
        <w:r>
          <w:rPr>
            <w:color w:val="1A1A1A"/>
          </w:rPr>
          <w:t>Strandmann,</w:t>
        </w:r>
        <w:r>
          <w:rPr>
            <w:color w:val="1A1A1A"/>
            <w:spacing w:val="20"/>
          </w:rPr>
          <w:t> </w:t>
        </w:r>
        <w:r>
          <w:rPr>
            <w:color w:val="1A1A1A"/>
          </w:rPr>
          <w:t>Eley,</w:t>
        </w:r>
        <w:r>
          <w:rPr>
            <w:color w:val="1A1A1A"/>
            <w:spacing w:val="19"/>
          </w:rPr>
          <w:t> </w:t>
        </w:r>
        <w:r>
          <w:rPr>
            <w:color w:val="1A1A1A"/>
          </w:rPr>
          <w:t>&amp;</w:t>
        </w:r>
        <w:r>
          <w:rPr>
            <w:color w:val="1A1A1A"/>
            <w:spacing w:val="15"/>
          </w:rPr>
          <w:t> </w:t>
        </w:r>
        <w:r>
          <w:rPr>
            <w:color w:val="1A1A1A"/>
          </w:rPr>
          <w:t>Retallack,</w:t>
        </w:r>
        <w:r>
          <w:rPr>
            <w:color w:val="1A1A1A"/>
            <w:spacing w:val="15"/>
          </w:rPr>
          <w:t> </w:t>
        </w:r>
        <w:r>
          <w:rPr>
            <w:color w:val="1A1A1A"/>
          </w:rPr>
          <w:t>2003,</w:t>
        </w:r>
        <w:r>
          <w:rPr>
            <w:color w:val="1A1A1A"/>
            <w:spacing w:val="20"/>
          </w:rPr>
          <w:t> </w:t>
        </w:r>
        <w:r>
          <w:rPr>
            <w:color w:val="1A1A1A"/>
          </w:rPr>
          <w:t>p.</w:t>
        </w:r>
        <w:r>
          <w:rPr>
            <w:color w:val="1A1A1A"/>
            <w:spacing w:val="19"/>
          </w:rPr>
          <w:t> </w:t>
        </w:r>
        <w:r>
          <w:rPr>
            <w:color w:val="1A1A1A"/>
          </w:rPr>
          <w:t>221</w:t>
        </w:r>
      </w:hyperlink>
      <w:r>
        <w:rPr>
          <w:color w:val="1A1A1A"/>
        </w:rPr>
        <w:t>)</w:t>
      </w:r>
      <w:r>
        <w:rPr>
          <w:color w:val="1A1A1A"/>
          <w:spacing w:val="18"/>
        </w:rPr>
        <w:t> </w:t>
      </w:r>
      <w:r>
        <w:rPr>
          <w:color w:val="1A1A1A"/>
        </w:rPr>
        <w:t>The</w:t>
      </w:r>
      <w:r>
        <w:rPr>
          <w:color w:val="1A1A1A"/>
          <w:spacing w:val="18"/>
        </w:rPr>
        <w:t> </w:t>
      </w:r>
      <w:r>
        <w:rPr>
          <w:color w:val="1A1A1A"/>
        </w:rPr>
        <w:t>principles</w:t>
      </w:r>
      <w:r>
        <w:rPr>
          <w:color w:val="1A1A1A"/>
          <w:spacing w:val="16"/>
        </w:rPr>
        <w:t> </w:t>
      </w:r>
      <w:r>
        <w:rPr>
          <w:color w:val="1A1A1A"/>
          <w:spacing w:val="-5"/>
        </w:rPr>
        <w:t>of</w:t>
      </w:r>
    </w:p>
    <w:p>
      <w:pPr>
        <w:pStyle w:val="BodyText"/>
        <w:spacing w:after="0" w:line="273" w:lineRule="auto"/>
        <w:sectPr>
          <w:pgSz w:w="12240" w:h="15840"/>
          <w:pgMar w:header="1046" w:footer="0" w:top="1360" w:bottom="280" w:left="720" w:right="360"/>
        </w:sectPr>
      </w:pPr>
    </w:p>
    <w:p>
      <w:pPr>
        <w:pStyle w:val="BodyText"/>
        <w:spacing w:line="276" w:lineRule="auto" w:before="276"/>
        <w:ind w:right="1903"/>
      </w:pPr>
      <w:r>
        <w:rPr>
          <w:color w:val="1A1A1A"/>
        </w:rPr>
        <w:t>structural organization were three: 1) Economy - free trade and customs union, 2) People – protection of minorities and equality between the nations, 3) Security – a common military. (</w:t>
      </w:r>
      <w:hyperlink w:history="true" w:anchor="_bookmark140">
        <w:r>
          <w:rPr>
            <w:color w:val="1A1A1A"/>
          </w:rPr>
          <w:t>Coudenhove-Kalergi, 1931, p.</w:t>
        </w:r>
      </w:hyperlink>
      <w:r>
        <w:rPr>
          <w:color w:val="1A1A1A"/>
        </w:rPr>
        <w:t> </w:t>
      </w:r>
      <w:hyperlink w:history="true" w:anchor="_bookmark140">
        <w:r>
          <w:rPr>
            <w:color w:val="1A1A1A"/>
            <w:spacing w:val="-4"/>
          </w:rPr>
          <w:t>639</w:t>
        </w:r>
      </w:hyperlink>
      <w:r>
        <w:rPr>
          <w:color w:val="1A1A1A"/>
          <w:spacing w:val="-4"/>
        </w:rPr>
        <w:t>)</w:t>
      </w:r>
    </w:p>
    <w:p>
      <w:pPr>
        <w:pStyle w:val="BodyText"/>
        <w:spacing w:line="273" w:lineRule="auto"/>
        <w:ind w:right="1907" w:firstLine="720"/>
      </w:pPr>
      <w:r>
        <w:rPr>
          <w:color w:val="1A1A1A"/>
          <w:sz w:val="27"/>
        </w:rPr>
        <w:t>Spinelli </w:t>
      </w:r>
      <w:r>
        <w:rPr>
          <w:color w:val="1A1A1A"/>
        </w:rPr>
        <w:t>and </w:t>
      </w:r>
      <w:r>
        <w:rPr>
          <w:color w:val="1A1A1A"/>
          <w:sz w:val="27"/>
        </w:rPr>
        <w:t>Rossi </w:t>
      </w:r>
      <w:r>
        <w:rPr>
          <w:color w:val="1A1A1A"/>
        </w:rPr>
        <w:t>had similar views about the needs of the federation. In </w:t>
      </w:r>
      <w:r>
        <w:rPr>
          <w:color w:val="1A1A1A"/>
          <w:sz w:val="27"/>
        </w:rPr>
        <w:t>Ventotene Manifesto </w:t>
      </w:r>
      <w:r>
        <w:rPr>
          <w:color w:val="1A1A1A"/>
        </w:rPr>
        <w:t>they argued that the conservative forces, which had once benefited by the old equilibrium, would attempt to regain their position. People blinded by the power of those forces, could have been easily convinced to rebuild the </w:t>
      </w:r>
      <w:r>
        <w:rPr>
          <w:color w:val="1A1A1A"/>
          <w:sz w:val="27"/>
        </w:rPr>
        <w:t>ancien </w:t>
      </w:r>
      <w:r>
        <w:rPr>
          <w:color w:val="1A1A1A"/>
        </w:rPr>
        <w:t>state structures. The solution was to respond to the awakening of democracy immediately after the falling of the totalitarian regimes. The role of federalists was crucial in that situation, they had to persuade the publics to direct their democratic aspirations towards the supranational institutions. The authors acknowledged that the new system could have several constitutional flaws, however, once in place constitution “can be corrected.” The federalist movement as described in the </w:t>
      </w:r>
      <w:r>
        <w:rPr>
          <w:color w:val="1A1A1A"/>
          <w:sz w:val="27"/>
        </w:rPr>
        <w:t>Ventotene Manifesto </w:t>
      </w:r>
      <w:r>
        <w:rPr>
          <w:color w:val="1A1A1A"/>
        </w:rPr>
        <w:t>was based on grass roots mobilization. This was a distinguishing feature among the all elite- focused [mostly quasi-democratic] approaches. (</w:t>
      </w:r>
      <w:hyperlink w:history="true" w:anchor="_bookmark398">
        <w:r>
          <w:rPr>
            <w:color w:val="1A1A1A"/>
          </w:rPr>
          <w:t>Spinelli &amp; Rossi, 1941</w:t>
        </w:r>
      </w:hyperlink>
      <w:r>
        <w:rPr>
          <w:color w:val="1A1A1A"/>
        </w:rPr>
        <w:t>)</w:t>
      </w:r>
    </w:p>
    <w:p>
      <w:pPr>
        <w:pStyle w:val="BodyText"/>
        <w:spacing w:line="271" w:lineRule="auto"/>
        <w:ind w:right="1907" w:firstLine="720"/>
      </w:pPr>
      <w:r>
        <w:rPr>
          <w:color w:val="1A1A1A"/>
        </w:rPr>
        <w:t>In the history of federalism those two opposing groups were</w:t>
      </w:r>
      <w:r>
        <w:rPr>
          <w:color w:val="1A1A1A"/>
          <w:spacing w:val="40"/>
        </w:rPr>
        <w:t> </w:t>
      </w:r>
      <w:r>
        <w:rPr>
          <w:color w:val="1A1A1A"/>
        </w:rPr>
        <w:t>changing the</w:t>
      </w:r>
      <w:r>
        <w:rPr>
          <w:color w:val="1A1A1A"/>
          <w:spacing w:val="-3"/>
        </w:rPr>
        <w:t> </w:t>
      </w:r>
      <w:r>
        <w:rPr>
          <w:color w:val="1A1A1A"/>
        </w:rPr>
        <w:t>public position according to</w:t>
      </w:r>
      <w:r>
        <w:rPr>
          <w:color w:val="1A1A1A"/>
          <w:spacing w:val="-1"/>
        </w:rPr>
        <w:t> </w:t>
      </w:r>
      <w:r>
        <w:rPr>
          <w:color w:val="1A1A1A"/>
        </w:rPr>
        <w:t>their influence. For instance,</w:t>
      </w:r>
      <w:r>
        <w:rPr>
          <w:color w:val="1A1A1A"/>
          <w:spacing w:val="-1"/>
        </w:rPr>
        <w:t> </w:t>
      </w:r>
      <w:r>
        <w:rPr>
          <w:color w:val="1A1A1A"/>
        </w:rPr>
        <w:t>if in the early stages the constitutionalists, like </w:t>
      </w:r>
      <w:r>
        <w:rPr>
          <w:color w:val="1A1A1A"/>
          <w:sz w:val="27"/>
        </w:rPr>
        <w:t>Coudenhove-Calergi, Spinelli, Rossi </w:t>
      </w:r>
      <w:r>
        <w:rPr>
          <w:color w:val="1A1A1A"/>
        </w:rPr>
        <w:t>and others, were at the vanguard of the federalist movement. By the 1947 </w:t>
      </w:r>
      <w:r>
        <w:rPr>
          <w:color w:val="1A1A1A"/>
          <w:sz w:val="27"/>
        </w:rPr>
        <w:t>Montreaux Congress</w:t>
      </w:r>
      <w:r>
        <w:rPr>
          <w:color w:val="1A1A1A"/>
        </w:rPr>
        <w:t>, integralism was a dominant direction. The constitutionalists re-claimed their place only after the </w:t>
      </w:r>
      <w:r>
        <w:rPr>
          <w:color w:val="1A1A1A"/>
          <w:sz w:val="27"/>
        </w:rPr>
        <w:t>Congress of Haague. </w:t>
      </w:r>
      <w:r>
        <w:rPr>
          <w:color w:val="1A1A1A"/>
        </w:rPr>
        <w:t>This condition made it clear that there was no feasible chance that any of the groups would take a final lead in the process. The main figures had acknowledged the importance of cooperation among the federalist movements;</w:t>
      </w:r>
      <w:r>
        <w:rPr>
          <w:color w:val="1A1A1A"/>
          <w:spacing w:val="-3"/>
        </w:rPr>
        <w:t> </w:t>
      </w:r>
      <w:r>
        <w:rPr>
          <w:color w:val="1A1A1A"/>
        </w:rPr>
        <w:t>for</w:t>
      </w:r>
      <w:r>
        <w:rPr>
          <w:color w:val="1A1A1A"/>
          <w:spacing w:val="-4"/>
        </w:rPr>
        <w:t> </w:t>
      </w:r>
      <w:r>
        <w:rPr>
          <w:color w:val="1A1A1A"/>
        </w:rPr>
        <w:t>instance, </w:t>
      </w:r>
      <w:r>
        <w:rPr>
          <w:color w:val="1A1A1A"/>
          <w:sz w:val="27"/>
        </w:rPr>
        <w:t>Brugmans</w:t>
      </w:r>
      <w:r>
        <w:rPr>
          <w:color w:val="1A1A1A"/>
        </w:rPr>
        <w:t>,</w:t>
      </w:r>
      <w:r>
        <w:rPr>
          <w:color w:val="1A1A1A"/>
          <w:spacing w:val="-3"/>
        </w:rPr>
        <w:t> </w:t>
      </w:r>
      <w:r>
        <w:rPr>
          <w:color w:val="1A1A1A"/>
          <w:sz w:val="27"/>
        </w:rPr>
        <w:t>Marc</w:t>
      </w:r>
      <w:r>
        <w:rPr>
          <w:color w:val="1A1A1A"/>
        </w:rPr>
        <w:t>,</w:t>
      </w:r>
      <w:r>
        <w:rPr>
          <w:color w:val="1A1A1A"/>
          <w:spacing w:val="-7"/>
        </w:rPr>
        <w:t> </w:t>
      </w:r>
      <w:r>
        <w:rPr>
          <w:color w:val="1A1A1A"/>
          <w:sz w:val="27"/>
        </w:rPr>
        <w:t>Nord</w:t>
      </w:r>
      <w:r>
        <w:rPr>
          <w:color w:val="1A1A1A"/>
          <w:spacing w:val="-5"/>
          <w:sz w:val="27"/>
        </w:rPr>
        <w:t> </w:t>
      </w:r>
      <w:r>
        <w:rPr>
          <w:color w:val="1A1A1A"/>
        </w:rPr>
        <w:t>and</w:t>
      </w:r>
      <w:r>
        <w:rPr>
          <w:color w:val="1A1A1A"/>
          <w:spacing w:val="-3"/>
        </w:rPr>
        <w:t> </w:t>
      </w:r>
      <w:r>
        <w:rPr>
          <w:color w:val="1A1A1A"/>
        </w:rPr>
        <w:t>their</w:t>
      </w:r>
      <w:r>
        <w:rPr>
          <w:color w:val="1A1A1A"/>
          <w:spacing w:val="-4"/>
        </w:rPr>
        <w:t> </w:t>
      </w:r>
      <w:r>
        <w:rPr>
          <w:color w:val="1A1A1A"/>
        </w:rPr>
        <w:t>fellow</w:t>
      </w:r>
      <w:r>
        <w:rPr>
          <w:color w:val="1A1A1A"/>
          <w:spacing w:val="-3"/>
        </w:rPr>
        <w:t> </w:t>
      </w:r>
      <w:r>
        <w:rPr>
          <w:color w:val="1A1A1A"/>
        </w:rPr>
        <w:t>associates from the 'United Europe Committee’ have addressed others to start federalizing the Europe from federalizing themselves first. (</w:t>
      </w:r>
      <w:hyperlink w:history="true" w:anchor="_bookmark263">
        <w:r>
          <w:rPr>
            <w:color w:val="1A1A1A"/>
          </w:rPr>
          <w:t>Lipgens &amp; Loth,</w:t>
        </w:r>
      </w:hyperlink>
      <w:r>
        <w:rPr>
          <w:color w:val="1A1A1A"/>
        </w:rPr>
        <w:t> </w:t>
      </w:r>
      <w:hyperlink w:history="true" w:anchor="_bookmark263">
        <w:r>
          <w:rPr>
            <w:color w:val="1A1A1A"/>
          </w:rPr>
          <w:t>1991, p. 17</w:t>
        </w:r>
      </w:hyperlink>
      <w:r>
        <w:rPr>
          <w:color w:val="1A1A1A"/>
        </w:rPr>
        <w:t>) This meant coming together for the common ideals.</w:t>
      </w:r>
    </w:p>
    <w:p>
      <w:pPr>
        <w:pStyle w:val="BodyText"/>
        <w:spacing w:after="0" w:line="271" w:lineRule="auto"/>
        <w:sectPr>
          <w:pgSz w:w="12240" w:h="15840"/>
          <w:pgMar w:header="1046" w:footer="0" w:top="1360" w:bottom="280" w:left="720" w:right="360"/>
        </w:sectPr>
      </w:pPr>
    </w:p>
    <w:p>
      <w:pPr>
        <w:pStyle w:val="BodyText"/>
        <w:spacing w:line="271" w:lineRule="auto" w:before="276"/>
        <w:ind w:right="1905" w:firstLine="720"/>
      </w:pPr>
      <w:r>
        <w:rPr>
          <w:color w:val="1A1A1A"/>
        </w:rPr>
        <w:t>All in all, the process of integration did not go on either way. There were</w:t>
      </w:r>
      <w:r>
        <w:rPr>
          <w:color w:val="1A1A1A"/>
          <w:spacing w:val="-2"/>
        </w:rPr>
        <w:t> </w:t>
      </w:r>
      <w:r>
        <w:rPr>
          <w:color w:val="1A1A1A"/>
        </w:rPr>
        <w:t>aspects</w:t>
      </w:r>
      <w:r>
        <w:rPr>
          <w:color w:val="1A1A1A"/>
          <w:spacing w:val="-4"/>
        </w:rPr>
        <w:t> </w:t>
      </w:r>
      <w:r>
        <w:rPr>
          <w:color w:val="1A1A1A"/>
        </w:rPr>
        <w:t>of the</w:t>
      </w:r>
      <w:r>
        <w:rPr>
          <w:color w:val="1A1A1A"/>
          <w:spacing w:val="-2"/>
        </w:rPr>
        <w:t> </w:t>
      </w:r>
      <w:r>
        <w:rPr>
          <w:color w:val="1A1A1A"/>
        </w:rPr>
        <w:t>functionalist</w:t>
      </w:r>
      <w:r>
        <w:rPr>
          <w:color w:val="1A1A1A"/>
          <w:spacing w:val="-2"/>
        </w:rPr>
        <w:t> </w:t>
      </w:r>
      <w:r>
        <w:rPr>
          <w:color w:val="1A1A1A"/>
        </w:rPr>
        <w:t>project, which satisfied or</w:t>
      </w:r>
      <w:r>
        <w:rPr>
          <w:color w:val="1A1A1A"/>
          <w:spacing w:val="-1"/>
        </w:rPr>
        <w:t> </w:t>
      </w:r>
      <w:r>
        <w:rPr>
          <w:color w:val="1A1A1A"/>
        </w:rPr>
        <w:t>disappointed the each party. Quite surprisingly, the integralists were against “functional, economic and military technocracy” which they foresaw coming. The Constitutionalists were more optimistic, even </w:t>
      </w:r>
      <w:r>
        <w:rPr>
          <w:color w:val="1A1A1A"/>
          <w:sz w:val="27"/>
        </w:rPr>
        <w:t>Altiero Spinelli</w:t>
      </w:r>
      <w:r>
        <w:rPr>
          <w:color w:val="1A1A1A"/>
        </w:rPr>
        <w:t>, who was a strong opponent of </w:t>
      </w:r>
      <w:r>
        <w:rPr>
          <w:color w:val="1A1A1A"/>
          <w:sz w:val="27"/>
        </w:rPr>
        <w:t>Jean Monnet </w:t>
      </w:r>
      <w:r>
        <w:rPr>
          <w:color w:val="1A1A1A"/>
        </w:rPr>
        <w:t>had to accept, official goals of the integration as described in </w:t>
      </w:r>
      <w:r>
        <w:rPr>
          <w:color w:val="1A1A1A"/>
          <w:sz w:val="27"/>
        </w:rPr>
        <w:t>Schumann declaration</w:t>
      </w:r>
      <w:r>
        <w:rPr>
          <w:color w:val="1A1A1A"/>
        </w:rPr>
        <w:t>. He was still hoping that gradual integration would at the end lead to supranational governance.</w:t>
      </w:r>
    </w:p>
    <w:p>
      <w:pPr>
        <w:pStyle w:val="BodyText"/>
        <w:spacing w:line="276" w:lineRule="auto" w:before="10"/>
        <w:ind w:right="1901" w:firstLine="720"/>
      </w:pPr>
      <w:r>
        <w:rPr>
          <w:color w:val="1A1A1A"/>
        </w:rPr>
        <w:t>There</w:t>
      </w:r>
      <w:r>
        <w:rPr>
          <w:color w:val="1A1A1A"/>
          <w:spacing w:val="-3"/>
        </w:rPr>
        <w:t> </w:t>
      </w:r>
      <w:r>
        <w:rPr>
          <w:color w:val="1A1A1A"/>
        </w:rPr>
        <w:t>is</w:t>
      </w:r>
      <w:r>
        <w:rPr>
          <w:color w:val="1A1A1A"/>
          <w:spacing w:val="-5"/>
        </w:rPr>
        <w:t> </w:t>
      </w:r>
      <w:r>
        <w:rPr>
          <w:color w:val="1A1A1A"/>
        </w:rPr>
        <w:t>no</w:t>
      </w:r>
      <w:r>
        <w:rPr>
          <w:color w:val="1A1A1A"/>
          <w:spacing w:val="-10"/>
        </w:rPr>
        <w:t> </w:t>
      </w:r>
      <w:r>
        <w:rPr>
          <w:color w:val="1A1A1A"/>
        </w:rPr>
        <w:t>documented</w:t>
      </w:r>
      <w:r>
        <w:rPr>
          <w:color w:val="1A1A1A"/>
          <w:spacing w:val="-1"/>
        </w:rPr>
        <w:t> </w:t>
      </w:r>
      <w:r>
        <w:rPr>
          <w:color w:val="1A1A1A"/>
        </w:rPr>
        <w:t>evidence</w:t>
      </w:r>
      <w:r>
        <w:rPr>
          <w:color w:val="1A1A1A"/>
          <w:spacing w:val="-3"/>
        </w:rPr>
        <w:t> </w:t>
      </w:r>
      <w:r>
        <w:rPr>
          <w:color w:val="1A1A1A"/>
        </w:rPr>
        <w:t>that</w:t>
      </w:r>
      <w:r>
        <w:rPr>
          <w:color w:val="1A1A1A"/>
          <w:spacing w:val="-3"/>
        </w:rPr>
        <w:t> </w:t>
      </w:r>
      <w:r>
        <w:rPr>
          <w:color w:val="1A1A1A"/>
        </w:rPr>
        <w:t>the</w:t>
      </w:r>
      <w:r>
        <w:rPr>
          <w:color w:val="1A1A1A"/>
          <w:spacing w:val="-8"/>
        </w:rPr>
        <w:t> </w:t>
      </w:r>
      <w:r>
        <w:rPr>
          <w:color w:val="1A1A1A"/>
        </w:rPr>
        <w:t>federalist movements</w:t>
      </w:r>
      <w:r>
        <w:rPr>
          <w:color w:val="1A1A1A"/>
          <w:spacing w:val="-5"/>
        </w:rPr>
        <w:t> </w:t>
      </w:r>
      <w:r>
        <w:rPr>
          <w:color w:val="1A1A1A"/>
        </w:rPr>
        <w:t>have ensured the success of the first phase of integration. (</w:t>
      </w:r>
      <w:hyperlink w:history="true" w:anchor="_bookmark154">
        <w:r>
          <w:rPr>
            <w:color w:val="1A1A1A"/>
          </w:rPr>
          <w:t>Dedman, 2010, p. 80</w:t>
        </w:r>
      </w:hyperlink>
      <w:r>
        <w:rPr>
          <w:color w:val="1A1A1A"/>
        </w:rPr>
        <w:t>) Nevertheless,</w:t>
      </w:r>
      <w:r>
        <w:rPr>
          <w:color w:val="1A1A1A"/>
          <w:spacing w:val="80"/>
        </w:rPr>
        <w:t> </w:t>
      </w:r>
      <w:r>
        <w:rPr>
          <w:color w:val="1A1A1A"/>
        </w:rPr>
        <w:t>it would be fair to argue that the discourse they produced</w:t>
      </w:r>
      <w:r>
        <w:rPr>
          <w:color w:val="1A1A1A"/>
          <w:spacing w:val="40"/>
        </w:rPr>
        <w:t> </w:t>
      </w:r>
      <w:r>
        <w:rPr>
          <w:color w:val="1A1A1A"/>
        </w:rPr>
        <w:t>had paved the way for the subsequent processes.</w:t>
      </w:r>
    </w:p>
    <w:p>
      <w:pPr>
        <w:pStyle w:val="BodyText"/>
        <w:spacing w:line="271" w:lineRule="auto"/>
        <w:ind w:right="1903" w:firstLine="720"/>
      </w:pPr>
      <w:r>
        <w:rPr>
          <w:color w:val="1A1A1A"/>
        </w:rPr>
        <w:t>One can note down the list of purposes ascribed to the Union. For instance,</w:t>
      </w:r>
      <w:r>
        <w:rPr>
          <w:color w:val="1A1A1A"/>
          <w:spacing w:val="40"/>
        </w:rPr>
        <w:t> </w:t>
      </w:r>
      <w:r>
        <w:rPr>
          <w:color w:val="1A1A1A"/>
          <w:sz w:val="27"/>
        </w:rPr>
        <w:t>Alan Milward </w:t>
      </w:r>
      <w:r>
        <w:rPr>
          <w:color w:val="1A1A1A"/>
        </w:rPr>
        <w:t>has famously argued that the integration has started to rescue the nation state, by deepening the economic cooperation. (</w:t>
      </w:r>
      <w:hyperlink w:history="true" w:anchor="_bookmark295">
        <w:r>
          <w:rPr>
            <w:color w:val="1A1A1A"/>
          </w:rPr>
          <w:t>Milward,</w:t>
        </w:r>
        <w:r>
          <w:rPr>
            <w:color w:val="1A1A1A"/>
            <w:spacing w:val="-2"/>
          </w:rPr>
          <w:t> </w:t>
        </w:r>
        <w:r>
          <w:rPr>
            <w:color w:val="1A1A1A"/>
          </w:rPr>
          <w:t>2000</w:t>
        </w:r>
      </w:hyperlink>
      <w:r>
        <w:rPr>
          <w:color w:val="1A1A1A"/>
        </w:rPr>
        <w:t>)</w:t>
      </w:r>
      <w:r>
        <w:rPr>
          <w:color w:val="1A1A1A"/>
          <w:spacing w:val="-2"/>
        </w:rPr>
        <w:t> </w:t>
      </w:r>
      <w:r>
        <w:rPr>
          <w:color w:val="1A1A1A"/>
          <w:sz w:val="27"/>
        </w:rPr>
        <w:t>Sebastian</w:t>
      </w:r>
      <w:r>
        <w:rPr>
          <w:color w:val="1A1A1A"/>
          <w:spacing w:val="-4"/>
          <w:sz w:val="27"/>
        </w:rPr>
        <w:t> </w:t>
      </w:r>
      <w:r>
        <w:rPr>
          <w:color w:val="1A1A1A"/>
          <w:sz w:val="27"/>
        </w:rPr>
        <w:t>Rosato</w:t>
      </w:r>
      <w:r>
        <w:rPr>
          <w:color w:val="1A1A1A"/>
        </w:rPr>
        <w:t>,</w:t>
      </w:r>
      <w:r>
        <w:rPr>
          <w:color w:val="1A1A1A"/>
          <w:spacing w:val="-2"/>
        </w:rPr>
        <w:t> </w:t>
      </w:r>
      <w:r>
        <w:rPr>
          <w:color w:val="1A1A1A"/>
        </w:rPr>
        <w:t>maintained</w:t>
      </w:r>
      <w:r>
        <w:rPr>
          <w:color w:val="1A1A1A"/>
          <w:spacing w:val="-2"/>
        </w:rPr>
        <w:t> </w:t>
      </w:r>
      <w:r>
        <w:rPr>
          <w:color w:val="1A1A1A"/>
        </w:rPr>
        <w:t>that</w:t>
      </w:r>
      <w:r>
        <w:rPr>
          <w:color w:val="1A1A1A"/>
          <w:spacing w:val="-3"/>
        </w:rPr>
        <w:t> </w:t>
      </w:r>
      <w:r>
        <w:rPr>
          <w:color w:val="1A1A1A"/>
        </w:rPr>
        <w:t>“the</w:t>
      </w:r>
      <w:r>
        <w:rPr>
          <w:color w:val="1A1A1A"/>
          <w:spacing w:val="-3"/>
        </w:rPr>
        <w:t> </w:t>
      </w:r>
      <w:r>
        <w:rPr>
          <w:color w:val="1A1A1A"/>
        </w:rPr>
        <w:t>making</w:t>
      </w:r>
      <w:r>
        <w:rPr>
          <w:color w:val="1A1A1A"/>
          <w:spacing w:val="-3"/>
        </w:rPr>
        <w:t> </w:t>
      </w:r>
      <w:r>
        <w:rPr>
          <w:color w:val="1A1A1A"/>
        </w:rPr>
        <w:t>of</w:t>
      </w:r>
      <w:r>
        <w:rPr>
          <w:color w:val="1A1A1A"/>
          <w:spacing w:val="-4"/>
        </w:rPr>
        <w:t> </w:t>
      </w:r>
      <w:r>
        <w:rPr>
          <w:color w:val="1A1A1A"/>
        </w:rPr>
        <w:t>the</w:t>
      </w:r>
      <w:r>
        <w:rPr>
          <w:color w:val="1A1A1A"/>
          <w:spacing w:val="-3"/>
        </w:rPr>
        <w:t> </w:t>
      </w:r>
      <w:r>
        <w:rPr>
          <w:color w:val="1A1A1A"/>
        </w:rPr>
        <w:t>EC</w:t>
      </w:r>
      <w:r>
        <w:rPr>
          <w:color w:val="1A1A1A"/>
          <w:spacing w:val="-3"/>
        </w:rPr>
        <w:t> </w:t>
      </w:r>
      <w:r>
        <w:rPr>
          <w:color w:val="1A1A1A"/>
        </w:rPr>
        <w:t>is best understood as a response to the postwar distribution of power.”</w:t>
      </w:r>
      <w:r>
        <w:rPr>
          <w:color w:val="1A1A1A"/>
          <w:spacing w:val="40"/>
        </w:rPr>
        <w:t> </w:t>
      </w:r>
      <w:r>
        <w:rPr>
          <w:color w:val="1A1A1A"/>
        </w:rPr>
        <w:t>(</w:t>
      </w:r>
      <w:hyperlink w:history="true" w:anchor="_bookmark359">
        <w:r>
          <w:rPr>
            <w:color w:val="1A1A1A"/>
          </w:rPr>
          <w:t>Rosato, 2011, p. 47</w:t>
        </w:r>
      </w:hyperlink>
      <w:r>
        <w:rPr>
          <w:color w:val="1A1A1A"/>
        </w:rPr>
        <w:t>) These views are not new and had already existed outside the academia. For instance, both </w:t>
      </w:r>
      <w:r>
        <w:rPr>
          <w:color w:val="1A1A1A"/>
          <w:sz w:val="27"/>
        </w:rPr>
        <w:t>Charles de Gaulle </w:t>
      </w:r>
      <w:r>
        <w:rPr>
          <w:color w:val="1A1A1A"/>
        </w:rPr>
        <w:t>and </w:t>
      </w:r>
      <w:r>
        <w:rPr>
          <w:color w:val="1A1A1A"/>
          <w:sz w:val="27"/>
        </w:rPr>
        <w:t>Jean Monnet, </w:t>
      </w:r>
      <w:r>
        <w:rPr>
          <w:color w:val="1A1A1A"/>
        </w:rPr>
        <w:t>were seeng the Europe as a global actor, with strong economic presence and relevant political power. For them this was a precondition to nullify the threats</w:t>
      </w:r>
      <w:r>
        <w:rPr>
          <w:color w:val="1A1A1A"/>
          <w:spacing w:val="40"/>
        </w:rPr>
        <w:t> </w:t>
      </w:r>
      <w:r>
        <w:rPr>
          <w:color w:val="1A1A1A"/>
        </w:rPr>
        <w:t>coming from the Soviet Union and to safeguard against the US economic domination. (</w:t>
      </w:r>
      <w:hyperlink w:history="true" w:anchor="_bookmark186">
        <w:r>
          <w:rPr>
            <w:color w:val="1A1A1A"/>
          </w:rPr>
          <w:t>Forsyth, 1967, p. 484</w:t>
        </w:r>
      </w:hyperlink>
      <w:r>
        <w:rPr>
          <w:color w:val="1A1A1A"/>
        </w:rPr>
        <w:t>)</w:t>
      </w:r>
    </w:p>
    <w:p>
      <w:pPr>
        <w:pStyle w:val="BodyText"/>
        <w:spacing w:line="276" w:lineRule="auto" w:before="16"/>
        <w:ind w:right="1911" w:firstLine="720"/>
      </w:pPr>
      <w:r>
        <w:rPr>
          <w:color w:val="1A1A1A"/>
        </w:rPr>
        <w:t>In the third chapter, we have indicated that every politically</w:t>
      </w:r>
      <w:r>
        <w:rPr>
          <w:color w:val="1A1A1A"/>
          <w:spacing w:val="40"/>
        </w:rPr>
        <w:t> </w:t>
      </w:r>
      <w:r>
        <w:rPr>
          <w:color w:val="1A1A1A"/>
        </w:rPr>
        <w:t>oriented social organization needs an ideology to remain legitimate in the face of the referent objects (public clusters, institutions etc.). Historical development of the European Union has shown the growing need for symbolization the community. We argue that, the federalist movements were successful, not only in creating the scheme of everlasting reconciliation; they also managed to give an ideological framework, necessary to have a recognizable political orientation.</w:t>
      </w:r>
    </w:p>
    <w:p>
      <w:pPr>
        <w:pStyle w:val="BodyText"/>
        <w:spacing w:after="0" w:line="276" w:lineRule="auto"/>
        <w:sectPr>
          <w:pgSz w:w="12240" w:h="15840"/>
          <w:pgMar w:header="1046" w:footer="0" w:top="1360" w:bottom="280" w:left="720" w:right="360"/>
        </w:sectPr>
      </w:pPr>
    </w:p>
    <w:p>
      <w:pPr>
        <w:pStyle w:val="Heading4"/>
        <w:numPr>
          <w:ilvl w:val="1"/>
          <w:numId w:val="13"/>
        </w:numPr>
        <w:tabs>
          <w:tab w:pos="1681" w:val="left" w:leader="none"/>
        </w:tabs>
        <w:spacing w:line="240" w:lineRule="auto" w:before="288" w:after="0"/>
        <w:ind w:left="1681" w:right="0" w:hanging="702"/>
        <w:jc w:val="left"/>
      </w:pPr>
      <w:bookmarkStart w:name="_bookmark39" w:id="40"/>
      <w:bookmarkEnd w:id="40"/>
      <w:r>
        <w:rPr>
          <w:b w:val="0"/>
        </w:rPr>
      </w:r>
      <w:r>
        <w:rPr>
          <w:spacing w:val="-4"/>
        </w:rPr>
        <w:t>Democratic</w:t>
      </w:r>
      <w:r>
        <w:rPr>
          <w:spacing w:val="-17"/>
        </w:rPr>
        <w:t> </w:t>
      </w:r>
      <w:r>
        <w:rPr>
          <w:spacing w:val="-4"/>
        </w:rPr>
        <w:t>Deficit</w:t>
      </w:r>
      <w:r>
        <w:rPr>
          <w:spacing w:val="-12"/>
        </w:rPr>
        <w:t> </w:t>
      </w:r>
      <w:r>
        <w:rPr>
          <w:spacing w:val="-4"/>
        </w:rPr>
        <w:t>–</w:t>
      </w:r>
      <w:r>
        <w:rPr>
          <w:spacing w:val="-13"/>
        </w:rPr>
        <w:t> </w:t>
      </w:r>
      <w:r>
        <w:rPr>
          <w:spacing w:val="-4"/>
        </w:rPr>
        <w:t>How</w:t>
      </w:r>
      <w:r>
        <w:rPr>
          <w:spacing w:val="-16"/>
        </w:rPr>
        <w:t> </w:t>
      </w:r>
      <w:r>
        <w:rPr>
          <w:spacing w:val="-4"/>
        </w:rPr>
        <w:t>Political</w:t>
      </w:r>
      <w:r>
        <w:rPr>
          <w:spacing w:val="-14"/>
        </w:rPr>
        <w:t> </w:t>
      </w:r>
      <w:r>
        <w:rPr>
          <w:spacing w:val="-4"/>
        </w:rPr>
        <w:t>Is</w:t>
      </w:r>
      <w:r>
        <w:rPr>
          <w:spacing w:val="-16"/>
        </w:rPr>
        <w:t> </w:t>
      </w:r>
      <w:r>
        <w:rPr>
          <w:spacing w:val="-4"/>
        </w:rPr>
        <w:t>The</w:t>
      </w:r>
      <w:r>
        <w:rPr>
          <w:spacing w:val="-12"/>
        </w:rPr>
        <w:t> </w:t>
      </w:r>
      <w:r>
        <w:rPr>
          <w:spacing w:val="-5"/>
        </w:rPr>
        <w:t>EU?</w:t>
      </w:r>
    </w:p>
    <w:p>
      <w:pPr>
        <w:pStyle w:val="BodyText"/>
        <w:spacing w:before="196"/>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51328">
                <wp:simplePos x="0" y="0"/>
                <wp:positionH relativeFrom="page">
                  <wp:posOffset>1078864</wp:posOffset>
                </wp:positionH>
                <wp:positionV relativeFrom="paragraph">
                  <wp:posOffset>284324</wp:posOffset>
                </wp:positionV>
                <wp:extent cx="5252085" cy="52069"/>
                <wp:effectExtent l="0" t="0" r="0" b="0"/>
                <wp:wrapTopAndBottom/>
                <wp:docPr id="155" name="Graphic 155"/>
                <wp:cNvGraphicFramePr>
                  <a:graphicFrameLocks/>
                </wp:cNvGraphicFramePr>
                <a:graphic>
                  <a:graphicData uri="http://schemas.microsoft.com/office/word/2010/wordprocessingShape">
                    <wps:wsp>
                      <wps:cNvPr id="155" name="Graphic 155"/>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387733pt;width:413.55pt;height:4.1pt;mso-position-horizontal-relative:page;mso-position-vertical-relative:paragraph;z-index:-15665152;mso-wrap-distance-left:0;mso-wrap-distance-right:0" id="docshape146"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ind w:left="0"/>
        <w:jc w:val="left"/>
        <w:rPr>
          <w:rFonts w:ascii="Georgia"/>
          <w:b/>
        </w:rPr>
      </w:pPr>
    </w:p>
    <w:p>
      <w:pPr>
        <w:pStyle w:val="BodyText"/>
        <w:spacing w:before="102"/>
        <w:ind w:left="0"/>
        <w:jc w:val="left"/>
        <w:rPr>
          <w:rFonts w:ascii="Georgia"/>
          <w:b/>
        </w:rPr>
      </w:pPr>
    </w:p>
    <w:p>
      <w:pPr>
        <w:pStyle w:val="BodyText"/>
        <w:spacing w:line="276" w:lineRule="auto"/>
        <w:ind w:right="1917" w:firstLine="720"/>
      </w:pPr>
      <w:r>
        <w:rPr>
          <w:color w:val="1A1A1A"/>
        </w:rPr>
        <w:t>In the third chapter, we have presented a scheme of the political process. We showed that the administrative institutions together with the political parties constantly address the public. The pubic ensures the legitimacy of the system and produces feedbacks in the form of support or opposition. The public feedback is essential for the political actors, because it directly affects the elections.</w:t>
      </w:r>
    </w:p>
    <w:p>
      <w:pPr>
        <w:pStyle w:val="BodyText"/>
        <w:spacing w:line="276" w:lineRule="auto" w:before="1"/>
        <w:ind w:right="1908" w:firstLine="720"/>
      </w:pPr>
      <w:r>
        <w:rPr>
          <w:color w:val="1A1A1A"/>
        </w:rPr>
        <w:t>We have also described the communications in the non-political organizations. As observed, the principals at the top communicate with subordinates in order to get information and give orders; however, the agency</w:t>
      </w:r>
      <w:r>
        <w:rPr>
          <w:color w:val="1A1A1A"/>
          <w:spacing w:val="-2"/>
        </w:rPr>
        <w:t> </w:t>
      </w:r>
      <w:r>
        <w:rPr>
          <w:color w:val="1A1A1A"/>
        </w:rPr>
        <w:t>of</w:t>
      </w:r>
      <w:r>
        <w:rPr>
          <w:color w:val="1A1A1A"/>
          <w:spacing w:val="-2"/>
        </w:rPr>
        <w:t> </w:t>
      </w:r>
      <w:r>
        <w:rPr>
          <w:color w:val="1A1A1A"/>
        </w:rPr>
        <w:t>agent</w:t>
      </w:r>
      <w:r>
        <w:rPr>
          <w:color w:val="1A1A1A"/>
          <w:spacing w:val="-1"/>
        </w:rPr>
        <w:t> </w:t>
      </w:r>
      <w:r>
        <w:rPr>
          <w:color w:val="1A1A1A"/>
        </w:rPr>
        <w:t>subordinates</w:t>
      </w:r>
      <w:r>
        <w:rPr>
          <w:color w:val="1A1A1A"/>
          <w:spacing w:val="-3"/>
        </w:rPr>
        <w:t> </w:t>
      </w:r>
      <w:r>
        <w:rPr>
          <w:color w:val="1A1A1A"/>
        </w:rPr>
        <w:t>is almost entirely</w:t>
      </w:r>
      <w:r>
        <w:rPr>
          <w:color w:val="1A1A1A"/>
          <w:spacing w:val="-1"/>
        </w:rPr>
        <w:t> </w:t>
      </w:r>
      <w:r>
        <w:rPr>
          <w:color w:val="1A1A1A"/>
        </w:rPr>
        <w:t>determined by</w:t>
      </w:r>
      <w:r>
        <w:rPr>
          <w:color w:val="1A1A1A"/>
          <w:spacing w:val="-1"/>
        </w:rPr>
        <w:t> </w:t>
      </w:r>
      <w:r>
        <w:rPr>
          <w:color w:val="1A1A1A"/>
        </w:rPr>
        <w:t>the</w:t>
      </w:r>
      <w:r>
        <w:rPr>
          <w:color w:val="1A1A1A"/>
          <w:spacing w:val="-1"/>
        </w:rPr>
        <w:t> </w:t>
      </w:r>
      <w:r>
        <w:rPr>
          <w:color w:val="1A1A1A"/>
        </w:rPr>
        <w:t>agency</w:t>
      </w:r>
      <w:r>
        <w:rPr>
          <w:color w:val="1A1A1A"/>
          <w:spacing w:val="-2"/>
        </w:rPr>
        <w:t> </w:t>
      </w:r>
      <w:r>
        <w:rPr>
          <w:color w:val="1A1A1A"/>
        </w:rPr>
        <w:t>of </w:t>
      </w:r>
      <w:r>
        <w:rPr>
          <w:color w:val="1A1A1A"/>
          <w:spacing w:val="-2"/>
        </w:rPr>
        <w:t>principals.</w:t>
      </w:r>
    </w:p>
    <w:p>
      <w:pPr>
        <w:pStyle w:val="BodyText"/>
        <w:spacing w:line="276" w:lineRule="auto"/>
        <w:ind w:right="1907" w:firstLine="720"/>
      </w:pPr>
      <w:r>
        <w:rPr>
          <w:color w:val="1A1A1A"/>
        </w:rPr>
        <w:t>By comparing this to schemes we have maintained that the system is as political as much its legitimacy is directly determined by the public</w:t>
      </w:r>
      <w:r>
        <w:rPr>
          <w:color w:val="1A1A1A"/>
          <w:spacing w:val="40"/>
        </w:rPr>
        <w:t> </w:t>
      </w:r>
      <w:r>
        <w:rPr>
          <w:color w:val="1A1A1A"/>
        </w:rPr>
        <w:t>input. This</w:t>
      </w:r>
      <w:r>
        <w:rPr>
          <w:color w:val="1A1A1A"/>
          <w:spacing w:val="-3"/>
        </w:rPr>
        <w:t> </w:t>
      </w:r>
      <w:r>
        <w:rPr>
          <w:color w:val="1A1A1A"/>
        </w:rPr>
        <w:t>observation applies</w:t>
      </w:r>
      <w:r>
        <w:rPr>
          <w:color w:val="1A1A1A"/>
          <w:spacing w:val="-3"/>
        </w:rPr>
        <w:t> </w:t>
      </w:r>
      <w:r>
        <w:rPr>
          <w:color w:val="1A1A1A"/>
        </w:rPr>
        <w:t>when we</w:t>
      </w:r>
      <w:r>
        <w:rPr>
          <w:color w:val="1A1A1A"/>
          <w:spacing w:val="-1"/>
        </w:rPr>
        <w:t> </w:t>
      </w:r>
      <w:r>
        <w:rPr>
          <w:color w:val="1A1A1A"/>
        </w:rPr>
        <w:t>try</w:t>
      </w:r>
      <w:r>
        <w:rPr>
          <w:color w:val="1A1A1A"/>
          <w:spacing w:val="-1"/>
        </w:rPr>
        <w:t> </w:t>
      </w:r>
      <w:r>
        <w:rPr>
          <w:color w:val="1A1A1A"/>
        </w:rPr>
        <w:t>to</w:t>
      </w:r>
      <w:r>
        <w:rPr>
          <w:color w:val="1A1A1A"/>
          <w:spacing w:val="-4"/>
        </w:rPr>
        <w:t> </w:t>
      </w:r>
      <w:r>
        <w:rPr>
          <w:color w:val="1A1A1A"/>
        </w:rPr>
        <w:t>understand the</w:t>
      </w:r>
      <w:r>
        <w:rPr>
          <w:color w:val="1A1A1A"/>
          <w:spacing w:val="-1"/>
        </w:rPr>
        <w:t> </w:t>
      </w:r>
      <w:r>
        <w:rPr>
          <w:color w:val="1A1A1A"/>
        </w:rPr>
        <w:t>nature</w:t>
      </w:r>
      <w:r>
        <w:rPr>
          <w:color w:val="1A1A1A"/>
          <w:spacing w:val="-1"/>
        </w:rPr>
        <w:t> </w:t>
      </w:r>
      <w:r>
        <w:rPr>
          <w:color w:val="1A1A1A"/>
        </w:rPr>
        <w:t>of</w:t>
      </w:r>
      <w:r>
        <w:rPr>
          <w:color w:val="1A1A1A"/>
          <w:spacing w:val="-2"/>
        </w:rPr>
        <w:t> </w:t>
      </w:r>
      <w:r>
        <w:rPr>
          <w:color w:val="1A1A1A"/>
        </w:rPr>
        <w:t>the European Union as well.</w:t>
      </w:r>
    </w:p>
    <w:p>
      <w:pPr>
        <w:pStyle w:val="BodyText"/>
        <w:spacing w:line="273" w:lineRule="auto" w:before="4"/>
        <w:ind w:right="1907" w:firstLine="720"/>
      </w:pPr>
      <w:r>
        <w:rPr>
          <w:color w:val="1A1A1A"/>
        </w:rPr>
        <w:t>In this section we will present the main approaches which address the democratic deficit in the European Union. This will help us to illustrate which systemic model is more relevant to use to describe the community. As </w:t>
      </w:r>
      <w:r>
        <w:rPr>
          <w:color w:val="1A1A1A"/>
          <w:sz w:val="27"/>
        </w:rPr>
        <w:t>Majone </w:t>
      </w:r>
      <w:r>
        <w:rPr>
          <w:color w:val="1A1A1A"/>
        </w:rPr>
        <w:t>maintains, it should be obvious “that the arguments about the democratic deficit, are really arguments about the nature, functions and goals of the EC [Union].” (</w:t>
      </w:r>
      <w:hyperlink w:history="true" w:anchor="_bookmark271">
        <w:r>
          <w:rPr>
            <w:color w:val="1A1A1A"/>
          </w:rPr>
          <w:t>Majone, 1998, p. 6</w:t>
        </w:r>
      </w:hyperlink>
      <w:r>
        <w:rPr>
          <w:color w:val="1A1A1A"/>
        </w:rPr>
        <w:t>)</w:t>
      </w:r>
    </w:p>
    <w:p>
      <w:pPr>
        <w:pStyle w:val="BodyText"/>
        <w:spacing w:line="273" w:lineRule="auto" w:before="5"/>
        <w:ind w:right="1912" w:firstLine="720"/>
      </w:pPr>
      <w:r>
        <w:rPr>
          <w:color w:val="1A1A1A"/>
        </w:rPr>
        <w:t>Scholars see the problem of democratic accountability of the EU</w:t>
      </w:r>
      <w:r>
        <w:rPr>
          <w:color w:val="1A1A1A"/>
          <w:spacing w:val="40"/>
        </w:rPr>
        <w:t> </w:t>
      </w:r>
      <w:r>
        <w:rPr>
          <w:color w:val="1A1A1A"/>
        </w:rPr>
        <w:t>from various perspectives. The first perspective stresses on absence the European </w:t>
      </w:r>
      <w:r>
        <w:rPr>
          <w:color w:val="1A1A1A"/>
          <w:sz w:val="27"/>
        </w:rPr>
        <w:t>demos</w:t>
      </w:r>
      <w:r>
        <w:rPr>
          <w:color w:val="1A1A1A"/>
        </w:rPr>
        <w:t>. The researchers who follow </w:t>
      </w:r>
      <w:r>
        <w:rPr>
          <w:color w:val="1A1A1A"/>
          <w:sz w:val="27"/>
        </w:rPr>
        <w:t>no demos thesis </w:t>
      </w:r>
      <w:r>
        <w:rPr>
          <w:color w:val="1A1A1A"/>
        </w:rPr>
        <w:t>argue that without European people there cannot be the European democracy. Second perspective maintains that the EU is not designed for democracy, therefore,</w:t>
      </w:r>
    </w:p>
    <w:p>
      <w:pPr>
        <w:pStyle w:val="BodyText"/>
        <w:spacing w:after="0" w:line="273" w:lineRule="auto"/>
        <w:sectPr>
          <w:pgSz w:w="12240" w:h="15840"/>
          <w:pgMar w:header="1046" w:footer="0" w:top="1360" w:bottom="280" w:left="720" w:right="360"/>
        </w:sectPr>
      </w:pPr>
    </w:p>
    <w:p>
      <w:pPr>
        <w:pStyle w:val="BodyText"/>
        <w:spacing w:line="273" w:lineRule="auto" w:before="276"/>
        <w:ind w:right="1908"/>
      </w:pPr>
      <w:r>
        <w:rPr>
          <w:color w:val="1A1A1A"/>
        </w:rPr>
        <w:t>without a constitutional reform it will suffer from democratic deficit. Third perspective argues that the European system, instead aiming to move towards democracy, should consolidate </w:t>
      </w:r>
      <w:r>
        <w:rPr>
          <w:color w:val="1A1A1A"/>
          <w:sz w:val="27"/>
        </w:rPr>
        <w:t>demoi-crazy</w:t>
      </w:r>
      <w:r>
        <w:rPr>
          <w:color w:val="1A1A1A"/>
        </w:rPr>
        <w:t>. The </w:t>
      </w:r>
      <w:r>
        <w:rPr>
          <w:color w:val="1A1A1A"/>
          <w:sz w:val="27"/>
        </w:rPr>
        <w:t>demoi-cracy </w:t>
      </w:r>
      <w:r>
        <w:rPr>
          <w:color w:val="1A1A1A"/>
        </w:rPr>
        <w:t>is a system which includes the plurality of the peoples and tries to combine the rights of the EU citizens and rights of the </w:t>
      </w:r>
      <w:r>
        <w:rPr>
          <w:color w:val="1A1A1A"/>
          <w:sz w:val="27"/>
        </w:rPr>
        <w:t>statespeoples</w:t>
      </w:r>
      <w:r>
        <w:rPr>
          <w:color w:val="1A1A1A"/>
        </w:rPr>
        <w:t>. The fourth perspective simply rejects all talks about the democratic deficit as being empirically irrelevant. Scholars who follow this reasoning, maintain that</w:t>
      </w:r>
      <w:r>
        <w:rPr>
          <w:color w:val="1A1A1A"/>
          <w:spacing w:val="40"/>
        </w:rPr>
        <w:t> </w:t>
      </w:r>
      <w:r>
        <w:rPr>
          <w:color w:val="1A1A1A"/>
        </w:rPr>
        <w:t>the</w:t>
      </w:r>
      <w:r>
        <w:rPr>
          <w:color w:val="1A1A1A"/>
          <w:spacing w:val="-2"/>
        </w:rPr>
        <w:t> </w:t>
      </w:r>
      <w:r>
        <w:rPr>
          <w:color w:val="1A1A1A"/>
        </w:rPr>
        <w:t>EU</w:t>
      </w:r>
      <w:r>
        <w:rPr>
          <w:color w:val="1A1A1A"/>
          <w:spacing w:val="-6"/>
        </w:rPr>
        <w:t> </w:t>
      </w:r>
      <w:r>
        <w:rPr>
          <w:color w:val="1A1A1A"/>
        </w:rPr>
        <w:t>does</w:t>
      </w:r>
      <w:r>
        <w:rPr>
          <w:color w:val="1A1A1A"/>
          <w:spacing w:val="-4"/>
        </w:rPr>
        <w:t> </w:t>
      </w:r>
      <w:r>
        <w:rPr>
          <w:color w:val="1A1A1A"/>
        </w:rPr>
        <w:t>not</w:t>
      </w:r>
      <w:r>
        <w:rPr>
          <w:color w:val="1A1A1A"/>
          <w:spacing w:val="-2"/>
        </w:rPr>
        <w:t> </w:t>
      </w:r>
      <w:r>
        <w:rPr>
          <w:color w:val="1A1A1A"/>
        </w:rPr>
        <w:t>have</w:t>
      </w:r>
      <w:r>
        <w:rPr>
          <w:color w:val="1A1A1A"/>
          <w:spacing w:val="-2"/>
        </w:rPr>
        <w:t> </w:t>
      </w:r>
      <w:r>
        <w:rPr>
          <w:color w:val="1A1A1A"/>
        </w:rPr>
        <w:t>to</w:t>
      </w:r>
      <w:r>
        <w:rPr>
          <w:color w:val="1A1A1A"/>
          <w:spacing w:val="-5"/>
        </w:rPr>
        <w:t> </w:t>
      </w:r>
      <w:r>
        <w:rPr>
          <w:color w:val="1A1A1A"/>
        </w:rPr>
        <w:t>rely</w:t>
      </w:r>
      <w:r>
        <w:rPr>
          <w:color w:val="1A1A1A"/>
          <w:spacing w:val="-2"/>
        </w:rPr>
        <w:t> </w:t>
      </w:r>
      <w:r>
        <w:rPr>
          <w:color w:val="1A1A1A"/>
        </w:rPr>
        <w:t>on</w:t>
      </w:r>
      <w:r>
        <w:rPr>
          <w:color w:val="1A1A1A"/>
          <w:spacing w:val="-1"/>
        </w:rPr>
        <w:t> </w:t>
      </w:r>
      <w:r>
        <w:rPr>
          <w:color w:val="1A1A1A"/>
        </w:rPr>
        <w:t>majoritarian</w:t>
      </w:r>
      <w:r>
        <w:rPr>
          <w:color w:val="1A1A1A"/>
          <w:spacing w:val="-5"/>
        </w:rPr>
        <w:t> </w:t>
      </w:r>
      <w:r>
        <w:rPr>
          <w:color w:val="1A1A1A"/>
        </w:rPr>
        <w:t>sources of</w:t>
      </w:r>
      <w:r>
        <w:rPr>
          <w:color w:val="1A1A1A"/>
          <w:spacing w:val="-3"/>
        </w:rPr>
        <w:t> </w:t>
      </w:r>
      <w:r>
        <w:rPr>
          <w:color w:val="1A1A1A"/>
        </w:rPr>
        <w:t>legitimacy</w:t>
      </w:r>
      <w:r>
        <w:rPr>
          <w:color w:val="1A1A1A"/>
          <w:spacing w:val="-3"/>
        </w:rPr>
        <w:t> </w:t>
      </w:r>
      <w:r>
        <w:rPr>
          <w:color w:val="1A1A1A"/>
        </w:rPr>
        <w:t>(input)</w:t>
      </w:r>
      <w:r>
        <w:rPr>
          <w:color w:val="1A1A1A"/>
          <w:spacing w:val="-1"/>
        </w:rPr>
        <w:t> </w:t>
      </w:r>
      <w:r>
        <w:rPr>
          <w:color w:val="1A1A1A"/>
        </w:rPr>
        <w:t>as long as the outcome of its functioning satisfies the people.</w:t>
      </w:r>
    </w:p>
    <w:p>
      <w:pPr>
        <w:pStyle w:val="BodyText"/>
        <w:ind w:left="0"/>
        <w:jc w:val="left"/>
      </w:pPr>
    </w:p>
    <w:p>
      <w:pPr>
        <w:pStyle w:val="BodyText"/>
        <w:ind w:left="0"/>
        <w:jc w:val="left"/>
      </w:pPr>
    </w:p>
    <w:p>
      <w:pPr>
        <w:pStyle w:val="BodyText"/>
        <w:ind w:left="0"/>
        <w:jc w:val="left"/>
      </w:pPr>
    </w:p>
    <w:p>
      <w:pPr>
        <w:pStyle w:val="BodyText"/>
        <w:spacing w:before="25"/>
        <w:ind w:left="0"/>
        <w:jc w:val="left"/>
      </w:pPr>
    </w:p>
    <w:p>
      <w:pPr>
        <w:pStyle w:val="Heading4"/>
        <w:numPr>
          <w:ilvl w:val="2"/>
          <w:numId w:val="13"/>
        </w:numPr>
        <w:tabs>
          <w:tab w:pos="1879" w:val="left" w:leader="none"/>
        </w:tabs>
        <w:spacing w:line="240" w:lineRule="auto" w:before="0" w:after="0"/>
        <w:ind w:left="1879" w:right="0" w:hanging="900"/>
        <w:jc w:val="left"/>
      </w:pPr>
      <w:bookmarkStart w:name="_bookmark40" w:id="41"/>
      <w:bookmarkEnd w:id="41"/>
      <w:r>
        <w:rPr>
          <w:b w:val="0"/>
        </w:rPr>
      </w:r>
      <w:r>
        <w:rPr/>
        <w:t>No</w:t>
      </w:r>
      <w:r>
        <w:rPr>
          <w:spacing w:val="-12"/>
        </w:rPr>
        <w:t> </w:t>
      </w:r>
      <w:r>
        <w:rPr/>
        <w:t>Demos</w:t>
      </w:r>
      <w:r>
        <w:rPr>
          <w:spacing w:val="-13"/>
        </w:rPr>
        <w:t> </w:t>
      </w:r>
      <w:r>
        <w:rPr>
          <w:spacing w:val="-2"/>
        </w:rPr>
        <w:t>Thesis</w:t>
      </w:r>
    </w:p>
    <w:p>
      <w:pPr>
        <w:pStyle w:val="BodyText"/>
        <w:spacing w:before="195"/>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51840">
                <wp:simplePos x="0" y="0"/>
                <wp:positionH relativeFrom="page">
                  <wp:posOffset>1078864</wp:posOffset>
                </wp:positionH>
                <wp:positionV relativeFrom="paragraph">
                  <wp:posOffset>283979</wp:posOffset>
                </wp:positionV>
                <wp:extent cx="5252085" cy="51435"/>
                <wp:effectExtent l="0" t="0" r="0" b="0"/>
                <wp:wrapTopAndBottom/>
                <wp:docPr id="156" name="Graphic 156"/>
                <wp:cNvGraphicFramePr>
                  <a:graphicFrameLocks/>
                </wp:cNvGraphicFramePr>
                <a:graphic>
                  <a:graphicData uri="http://schemas.microsoft.com/office/word/2010/wordprocessingShape">
                    <wps:wsp>
                      <wps:cNvPr id="156" name="Graphic 156"/>
                      <wps:cNvSpPr/>
                      <wps:spPr>
                        <a:xfrm>
                          <a:off x="0" y="0"/>
                          <a:ext cx="5252085" cy="51435"/>
                        </a:xfrm>
                        <a:custGeom>
                          <a:avLst/>
                          <a:gdLst/>
                          <a:ahLst/>
                          <a:cxnLst/>
                          <a:rect l="l" t="t" r="r" b="b"/>
                          <a:pathLst>
                            <a:path w="5252085" h="51435">
                              <a:moveTo>
                                <a:pt x="5252085" y="0"/>
                              </a:moveTo>
                              <a:lnTo>
                                <a:pt x="0" y="0"/>
                              </a:lnTo>
                              <a:lnTo>
                                <a:pt x="0" y="51435"/>
                              </a:lnTo>
                              <a:lnTo>
                                <a:pt x="5252085" y="51435"/>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360567pt;width:413.55pt;height:4.05pt;mso-position-horizontal-relative:page;mso-position-vertical-relative:paragraph;z-index:-15664640;mso-wrap-distance-left:0;mso-wrap-distance-right:0" id="docshape147" filled="true" fillcolor="#000000" stroked="false">
                <v:fill type="solid"/>
                <w10:wrap type="topAndBottom"/>
              </v:rect>
            </w:pict>
          </mc:Fallback>
        </mc:AlternateContent>
      </w:r>
    </w:p>
    <w:p>
      <w:pPr>
        <w:pStyle w:val="BodyText"/>
        <w:ind w:left="0"/>
        <w:jc w:val="left"/>
        <w:rPr>
          <w:rFonts w:ascii="Georgia"/>
          <w:b/>
        </w:rPr>
      </w:pPr>
    </w:p>
    <w:p>
      <w:pPr>
        <w:pStyle w:val="BodyText"/>
        <w:spacing w:before="292"/>
        <w:ind w:left="0"/>
        <w:jc w:val="left"/>
        <w:rPr>
          <w:rFonts w:ascii="Georgia"/>
          <w:b/>
        </w:rPr>
      </w:pPr>
    </w:p>
    <w:p>
      <w:pPr>
        <w:pStyle w:val="BodyText"/>
        <w:spacing w:line="268" w:lineRule="auto"/>
        <w:ind w:right="1904" w:firstLine="720"/>
      </w:pPr>
      <w:r>
        <w:rPr/>
        <w:t>The </w:t>
      </w:r>
      <w:r>
        <w:rPr>
          <w:sz w:val="27"/>
        </w:rPr>
        <w:t>no demos thesis </w:t>
      </w:r>
      <w:r>
        <w:rPr/>
        <w:t>derives from the presiding of the German constitutional</w:t>
      </w:r>
      <w:r>
        <w:rPr>
          <w:spacing w:val="-1"/>
        </w:rPr>
        <w:t> </w:t>
      </w:r>
      <w:r>
        <w:rPr/>
        <w:t>court</w:t>
      </w:r>
      <w:r>
        <w:rPr>
          <w:spacing w:val="-3"/>
        </w:rPr>
        <w:t> </w:t>
      </w:r>
      <w:r>
        <w:rPr/>
        <w:t>about</w:t>
      </w:r>
      <w:r>
        <w:rPr>
          <w:spacing w:val="-3"/>
        </w:rPr>
        <w:t> </w:t>
      </w:r>
      <w:r>
        <w:rPr/>
        <w:t>the </w:t>
      </w:r>
      <w:r>
        <w:rPr>
          <w:sz w:val="27"/>
        </w:rPr>
        <w:t>Maastrich</w:t>
      </w:r>
      <w:r>
        <w:rPr>
          <w:spacing w:val="-6"/>
          <w:sz w:val="27"/>
        </w:rPr>
        <w:t> </w:t>
      </w:r>
      <w:r>
        <w:rPr>
          <w:sz w:val="27"/>
        </w:rPr>
        <w:t>Treaty.</w:t>
      </w:r>
      <w:r>
        <w:rPr>
          <w:spacing w:val="-2"/>
          <w:sz w:val="27"/>
        </w:rPr>
        <w:t> </w:t>
      </w:r>
      <w:r>
        <w:rPr/>
        <w:t>The</w:t>
      </w:r>
      <w:r>
        <w:rPr>
          <w:spacing w:val="-3"/>
        </w:rPr>
        <w:t> </w:t>
      </w:r>
      <w:r>
        <w:rPr/>
        <w:t>court</w:t>
      </w:r>
      <w:r>
        <w:rPr>
          <w:spacing w:val="-3"/>
        </w:rPr>
        <w:t> </w:t>
      </w:r>
      <w:r>
        <w:rPr/>
        <w:t>has</w:t>
      </w:r>
      <w:r>
        <w:rPr>
          <w:spacing w:val="-5"/>
        </w:rPr>
        <w:t> </w:t>
      </w:r>
      <w:r>
        <w:rPr/>
        <w:t>decided</w:t>
      </w:r>
      <w:r>
        <w:rPr>
          <w:spacing w:val="-2"/>
        </w:rPr>
        <w:t> </w:t>
      </w:r>
      <w:r>
        <w:rPr/>
        <w:t>that due to the absence European people, the Union can be democratically accountable only via the political process held in the member states. The ruling</w:t>
      </w:r>
      <w:r>
        <w:rPr>
          <w:spacing w:val="-3"/>
        </w:rPr>
        <w:t> </w:t>
      </w:r>
      <w:r>
        <w:rPr/>
        <w:t>was based on</w:t>
      </w:r>
      <w:r>
        <w:rPr>
          <w:spacing w:val="-2"/>
        </w:rPr>
        <w:t> </w:t>
      </w:r>
      <w:r>
        <w:rPr/>
        <w:t>a</w:t>
      </w:r>
      <w:r>
        <w:rPr>
          <w:spacing w:val="-3"/>
        </w:rPr>
        <w:t> </w:t>
      </w:r>
      <w:r>
        <w:rPr/>
        <w:t>certain understanding</w:t>
      </w:r>
      <w:r>
        <w:rPr>
          <w:spacing w:val="-7"/>
        </w:rPr>
        <w:t> </w:t>
      </w:r>
      <w:r>
        <w:rPr/>
        <w:t>of</w:t>
      </w:r>
      <w:r>
        <w:rPr>
          <w:spacing w:val="-4"/>
        </w:rPr>
        <w:t> </w:t>
      </w:r>
      <w:r>
        <w:rPr/>
        <w:t>demos</w:t>
      </w:r>
      <w:r>
        <w:rPr>
          <w:spacing w:val="-5"/>
        </w:rPr>
        <w:t> </w:t>
      </w:r>
      <w:r>
        <w:rPr/>
        <w:t>and</w:t>
      </w:r>
      <w:r>
        <w:rPr>
          <w:spacing w:val="-1"/>
        </w:rPr>
        <w:t> </w:t>
      </w:r>
      <w:r>
        <w:rPr/>
        <w:t>the</w:t>
      </w:r>
      <w:r>
        <w:rPr>
          <w:spacing w:val="-3"/>
        </w:rPr>
        <w:t> </w:t>
      </w:r>
      <w:r>
        <w:rPr/>
        <w:t>role of </w:t>
      </w:r>
      <w:r>
        <w:rPr>
          <w:sz w:val="27"/>
        </w:rPr>
        <w:t>demoi </w:t>
      </w:r>
      <w:r>
        <w:rPr/>
        <w:t>in the European context. In a well-known article </w:t>
      </w:r>
      <w:r>
        <w:rPr>
          <w:sz w:val="27"/>
        </w:rPr>
        <w:t>Weiler </w:t>
      </w:r>
      <w:r>
        <w:rPr/>
        <w:t>observes that, a </w:t>
      </w:r>
      <w:r>
        <w:rPr>
          <w:sz w:val="27"/>
        </w:rPr>
        <w:t>demos </w:t>
      </w:r>
      <w:r>
        <w:rPr/>
        <w:t>has two components. First, </w:t>
      </w:r>
      <w:r>
        <w:rPr>
          <w:sz w:val="27"/>
        </w:rPr>
        <w:t>objective </w:t>
      </w:r>
      <w:r>
        <w:rPr/>
        <w:t>components include inherited ethnicity and cultural elements like language. Second, </w:t>
      </w:r>
      <w:r>
        <w:rPr>
          <w:sz w:val="27"/>
        </w:rPr>
        <w:t>subjective </w:t>
      </w:r>
      <w:r>
        <w:rPr/>
        <w:t>component is socially constructed and involves, social cohesion, shared destiny, collective self-identity and loyalty. (</w:t>
      </w:r>
      <w:hyperlink w:history="true" w:anchor="_bookmark424">
        <w:r>
          <w:rPr/>
          <w:t>Weiler, 1995</w:t>
        </w:r>
      </w:hyperlink>
      <w:r>
        <w:rPr/>
        <w:t>) If this condition holds, on the European context </w:t>
      </w:r>
      <w:r>
        <w:rPr>
          <w:sz w:val="27"/>
        </w:rPr>
        <w:t>no-demos thesis </w:t>
      </w:r>
      <w:r>
        <w:rPr/>
        <w:t>has two discursive directions. </w:t>
      </w:r>
      <w:r>
        <w:rPr>
          <w:sz w:val="27"/>
        </w:rPr>
        <w:t>The soft </w:t>
      </w:r>
      <w:r>
        <w:rPr/>
        <w:t>direction maintains that there is no European but if it takes a certain effort and amount of time, it might emerge. </w:t>
      </w:r>
      <w:r>
        <w:rPr>
          <w:sz w:val="27"/>
        </w:rPr>
        <w:t>The hard direction </w:t>
      </w:r>
      <w:r>
        <w:rPr/>
        <w:t>argues that not only the creation of European electorate is possible, but it is also undesirable. (</w:t>
      </w:r>
      <w:hyperlink w:history="true" w:anchor="_bookmark424">
        <w:r>
          <w:rPr/>
          <w:t>Weiler, 1995</w:t>
        </w:r>
      </w:hyperlink>
      <w:r>
        <w:rPr/>
        <w:t>) The question whether or</w:t>
      </w:r>
    </w:p>
    <w:p>
      <w:pPr>
        <w:pStyle w:val="BodyText"/>
        <w:spacing w:after="0" w:line="268" w:lineRule="auto"/>
        <w:sectPr>
          <w:pgSz w:w="12240" w:h="15840"/>
          <w:pgMar w:header="1046" w:footer="0" w:top="1360" w:bottom="280" w:left="720" w:right="360"/>
        </w:sectPr>
      </w:pPr>
    </w:p>
    <w:p>
      <w:pPr>
        <w:pStyle w:val="BodyText"/>
        <w:spacing w:line="273" w:lineRule="auto" w:before="266"/>
        <w:ind w:right="1913"/>
      </w:pPr>
      <w:r>
        <w:rPr/>
        <w:t>not, can the ethno-cultural form of the </w:t>
      </w:r>
      <w:r>
        <w:rPr>
          <w:sz w:val="27"/>
        </w:rPr>
        <w:t>folk </w:t>
      </w:r>
      <w:r>
        <w:rPr/>
        <w:t>co-exist with a pure legal form of contractual co-habitation, largely depends on the political courage of </w:t>
      </w:r>
      <w:r>
        <w:rPr>
          <w:spacing w:val="-2"/>
        </w:rPr>
        <w:t>elites.</w:t>
      </w:r>
    </w:p>
    <w:p>
      <w:pPr>
        <w:pStyle w:val="BodyText"/>
        <w:spacing w:line="271" w:lineRule="auto"/>
        <w:ind w:right="1898" w:firstLine="720"/>
      </w:pPr>
      <w:r>
        <w:rPr>
          <w:sz w:val="27"/>
        </w:rPr>
        <w:t>Ralf Dahrendorf</w:t>
      </w:r>
      <w:r>
        <w:rPr>
          <w:spacing w:val="40"/>
          <w:sz w:val="27"/>
        </w:rPr>
        <w:t> </w:t>
      </w:r>
      <w:r>
        <w:rPr/>
        <w:t>explained that a vivid example, for ‘no demos’ thesis is a fact that the Europeans have troubles to elect foreigners for the European Parliament. The exception was Italy “where the political parties have sporadically attempted to get non-Italian candidates elected to the European Parliament. French political scientist </w:t>
      </w:r>
      <w:r>
        <w:rPr>
          <w:sz w:val="27"/>
        </w:rPr>
        <w:t>Maurice Duverger</w:t>
      </w:r>
      <w:r>
        <w:rPr>
          <w:spacing w:val="40"/>
          <w:sz w:val="27"/>
        </w:rPr>
        <w:t> </w:t>
      </w:r>
      <w:r>
        <w:rPr/>
        <w:t>was elected, British politician </w:t>
      </w:r>
      <w:r>
        <w:rPr>
          <w:sz w:val="27"/>
        </w:rPr>
        <w:t>David Steel </w:t>
      </w:r>
      <w:r>
        <w:rPr/>
        <w:t>was not.” (</w:t>
      </w:r>
      <w:hyperlink w:history="true" w:anchor="_bookmark150">
        <w:r>
          <w:rPr/>
          <w:t>Dahrendorf, 2003, p. 104</w:t>
        </w:r>
      </w:hyperlink>
      <w:r>
        <w:rPr/>
        <w:t>)</w:t>
      </w:r>
    </w:p>
    <w:p>
      <w:pPr>
        <w:pStyle w:val="BodyText"/>
        <w:spacing w:line="271" w:lineRule="auto"/>
        <w:ind w:right="1908" w:firstLine="720"/>
      </w:pPr>
      <w:r>
        <w:rPr/>
        <w:t>The solution for the future of Europe, proposed by </w:t>
      </w:r>
      <w:r>
        <w:rPr>
          <w:sz w:val="27"/>
        </w:rPr>
        <w:t>Habermas </w:t>
      </w:r>
      <w:r>
        <w:rPr/>
        <w:t>separates the ethnos from demos and decouples the nationality and citizenship. According to him, the constitution would convert </w:t>
      </w:r>
      <w:r>
        <w:rPr>
          <w:sz w:val="27"/>
        </w:rPr>
        <w:t>demoi </w:t>
      </w:r>
      <w:r>
        <w:rPr/>
        <w:t>into the citizenry</w:t>
      </w:r>
      <w:r>
        <w:rPr>
          <w:sz w:val="27"/>
        </w:rPr>
        <w:t>. </w:t>
      </w:r>
      <w:r>
        <w:rPr/>
        <w:t>The citizens would adapt to new civic order. As a result of common experience, subjective notions of demos would emerge. The constitutional patriotism, as suggested by </w:t>
      </w:r>
      <w:r>
        <w:rPr>
          <w:sz w:val="27"/>
        </w:rPr>
        <w:t>Habermas </w:t>
      </w:r>
      <w:r>
        <w:rPr/>
        <w:t>is a form of managing the cultural and economic complexities.</w:t>
      </w:r>
    </w:p>
    <w:p>
      <w:pPr>
        <w:pStyle w:val="BodyText"/>
        <w:spacing w:line="276" w:lineRule="auto"/>
        <w:ind w:right="1915" w:firstLine="720"/>
      </w:pPr>
      <w:r>
        <w:rPr/>
        <w:t>The </w:t>
      </w:r>
      <w:r>
        <w:rPr>
          <w:sz w:val="27"/>
        </w:rPr>
        <w:t>Habermasian </w:t>
      </w:r>
      <w:r>
        <w:rPr/>
        <w:t>taxonomy of three rights include Moral, political and social. (</w:t>
      </w:r>
      <w:hyperlink w:history="true" w:anchor="_bookmark114">
        <w:r>
          <w:rPr/>
          <w:t>Bowman, 2007</w:t>
        </w:r>
      </w:hyperlink>
      <w:r>
        <w:rPr/>
        <w:t>)</w:t>
      </w:r>
      <w:r>
        <w:rPr>
          <w:spacing w:val="72"/>
        </w:rPr>
        <w:t> </w:t>
      </w:r>
      <w:r>
        <w:rPr/>
        <w:t>They work as</w:t>
      </w:r>
      <w:r>
        <w:rPr>
          <w:spacing w:val="69"/>
        </w:rPr>
        <w:t> </w:t>
      </w:r>
      <w:r>
        <w:rPr/>
        <w:t>rules of inclusion and single out a way in which the individuals should be included in political system. The rights, however, do not exist separately from the system, neither they are static. They can be perceived only in practice. The citizens start to feel attached to the political entity, when they hold a full spectrum of inclusion norms. Properly functioning system</w:t>
      </w:r>
      <w:r>
        <w:rPr>
          <w:spacing w:val="40"/>
        </w:rPr>
        <w:t> </w:t>
      </w:r>
      <w:r>
        <w:rPr/>
        <w:t>has to have socially and politically well-equipped public.</w:t>
      </w:r>
    </w:p>
    <w:p>
      <w:pPr>
        <w:pStyle w:val="BodyText"/>
        <w:spacing w:line="276" w:lineRule="auto"/>
        <w:ind w:right="1908" w:firstLine="720"/>
      </w:pPr>
      <w:r>
        <w:rPr/>
        <w:t>The rights based system is built on a citizens’ self-legislation: “adressees of the law” regard themselves, “as the authors of the law.” (</w:t>
      </w:r>
      <w:hyperlink w:history="true" w:anchor="_bookmark204">
        <w:r>
          <w:rPr/>
          <w:t>Habermas, 2001a, p. 65</w:t>
        </w:r>
      </w:hyperlink>
      <w:r>
        <w:rPr/>
        <w:t>) The inclusiveness and the whole notion of brotherhood by justice is based on a principle of solidarity.</w:t>
      </w:r>
      <w:r>
        <w:rPr>
          <w:spacing w:val="40"/>
        </w:rPr>
        <w:t> </w:t>
      </w:r>
      <w:r>
        <w:rPr/>
        <w:t>The latter is possible</w:t>
      </w:r>
      <w:r>
        <w:rPr>
          <w:spacing w:val="-2"/>
        </w:rPr>
        <w:t> </w:t>
      </w:r>
      <w:r>
        <w:rPr/>
        <w:t>only</w:t>
      </w:r>
      <w:r>
        <w:rPr>
          <w:spacing w:val="-2"/>
        </w:rPr>
        <w:t> </w:t>
      </w:r>
      <w:r>
        <w:rPr/>
        <w:t>if</w:t>
      </w:r>
      <w:r>
        <w:rPr>
          <w:spacing w:val="-3"/>
        </w:rPr>
        <w:t> </w:t>
      </w:r>
      <w:r>
        <w:rPr/>
        <w:t>the</w:t>
      </w:r>
      <w:r>
        <w:rPr>
          <w:spacing w:val="-2"/>
        </w:rPr>
        <w:t> </w:t>
      </w:r>
      <w:r>
        <w:rPr/>
        <w:t>social</w:t>
      </w:r>
      <w:r>
        <w:rPr>
          <w:spacing w:val="-4"/>
        </w:rPr>
        <w:t> </w:t>
      </w:r>
      <w:r>
        <w:rPr/>
        <w:t>rights</w:t>
      </w:r>
      <w:r>
        <w:rPr>
          <w:spacing w:val="-4"/>
        </w:rPr>
        <w:t> </w:t>
      </w:r>
      <w:r>
        <w:rPr/>
        <w:t>of</w:t>
      </w:r>
      <w:r>
        <w:rPr>
          <w:spacing w:val="-3"/>
        </w:rPr>
        <w:t> </w:t>
      </w:r>
      <w:r>
        <w:rPr/>
        <w:t>individuals</w:t>
      </w:r>
      <w:r>
        <w:rPr>
          <w:spacing w:val="-4"/>
        </w:rPr>
        <w:t> </w:t>
      </w:r>
      <w:r>
        <w:rPr/>
        <w:t>are</w:t>
      </w:r>
      <w:r>
        <w:rPr>
          <w:spacing w:val="-2"/>
        </w:rPr>
        <w:t> </w:t>
      </w:r>
      <w:r>
        <w:rPr/>
        <w:t>in</w:t>
      </w:r>
      <w:r>
        <w:rPr>
          <w:spacing w:val="-1"/>
        </w:rPr>
        <w:t> </w:t>
      </w:r>
      <w:r>
        <w:rPr/>
        <w:t>place,</w:t>
      </w:r>
      <w:r>
        <w:rPr>
          <w:spacing w:val="-1"/>
        </w:rPr>
        <w:t> </w:t>
      </w:r>
      <w:r>
        <w:rPr/>
        <w:t>“as</w:t>
      </w:r>
      <w:r>
        <w:rPr>
          <w:spacing w:val="-9"/>
        </w:rPr>
        <w:t> </w:t>
      </w:r>
      <w:r>
        <w:rPr/>
        <w:t>the</w:t>
      </w:r>
      <w:r>
        <w:rPr>
          <w:spacing w:val="-2"/>
        </w:rPr>
        <w:t> </w:t>
      </w:r>
      <w:r>
        <w:rPr/>
        <w:t>pragmatic pay-off for political membership.” (</w:t>
      </w:r>
      <w:hyperlink w:history="true" w:anchor="_bookmark114">
        <w:r>
          <w:rPr/>
          <w:t>Bowman, 2007</w:t>
        </w:r>
      </w:hyperlink>
      <w:r>
        <w:rPr/>
        <w:t>) If the political system works properly it will not allow do deprieve political rights to underprivileged.</w:t>
      </w:r>
      <w:r>
        <w:rPr>
          <w:spacing w:val="33"/>
        </w:rPr>
        <w:t> </w:t>
      </w:r>
      <w:r>
        <w:rPr/>
        <w:t>(</w:t>
      </w:r>
      <w:hyperlink w:history="true" w:anchor="_bookmark204">
        <w:r>
          <w:rPr/>
          <w:t>Habermas,</w:t>
        </w:r>
        <w:r>
          <w:rPr>
            <w:spacing w:val="32"/>
          </w:rPr>
          <w:t> </w:t>
        </w:r>
        <w:r>
          <w:rPr/>
          <w:t>2001a</w:t>
        </w:r>
      </w:hyperlink>
      <w:r>
        <w:rPr/>
        <w:t>)</w:t>
      </w:r>
      <w:r>
        <w:rPr>
          <w:spacing w:val="32"/>
        </w:rPr>
        <w:t> </w:t>
      </w:r>
      <w:r>
        <w:rPr/>
        <w:t>Constitutional</w:t>
      </w:r>
      <w:r>
        <w:rPr>
          <w:spacing w:val="33"/>
        </w:rPr>
        <w:t> </w:t>
      </w:r>
      <w:r>
        <w:rPr/>
        <w:t>patriotism</w:t>
      </w:r>
      <w:r>
        <w:rPr>
          <w:spacing w:val="33"/>
        </w:rPr>
        <w:t> </w:t>
      </w:r>
      <w:r>
        <w:rPr/>
        <w:t>is</w:t>
      </w:r>
      <w:r>
        <w:rPr>
          <w:spacing w:val="28"/>
        </w:rPr>
        <w:t> </w:t>
      </w:r>
      <w:r>
        <w:rPr/>
        <w:t>a</w:t>
      </w:r>
      <w:r>
        <w:rPr>
          <w:spacing w:val="35"/>
        </w:rPr>
        <w:t> </w:t>
      </w:r>
      <w:r>
        <w:rPr/>
        <w:t>form</w:t>
      </w:r>
      <w:r>
        <w:rPr>
          <w:spacing w:val="33"/>
        </w:rPr>
        <w:t> </w:t>
      </w:r>
      <w:r>
        <w:rPr/>
        <w:t>of</w:t>
      </w:r>
    </w:p>
    <w:p>
      <w:pPr>
        <w:pStyle w:val="BodyText"/>
        <w:spacing w:after="0" w:line="276" w:lineRule="auto"/>
        <w:sectPr>
          <w:pgSz w:w="12240" w:h="15840"/>
          <w:pgMar w:header="1046" w:footer="0" w:top="1360" w:bottom="280" w:left="720" w:right="360"/>
        </w:sectPr>
      </w:pPr>
    </w:p>
    <w:p>
      <w:pPr>
        <w:pStyle w:val="BodyText"/>
        <w:spacing w:line="276" w:lineRule="auto" w:before="276"/>
        <w:ind w:right="1921"/>
      </w:pPr>
      <w:r>
        <w:rPr/>
        <w:t>solidarity in a condition where political culture is decoupled from majority culture. (Ibid, p. 74)</w:t>
      </w:r>
    </w:p>
    <w:p>
      <w:pPr>
        <w:pStyle w:val="BodyText"/>
        <w:spacing w:line="276" w:lineRule="auto"/>
        <w:ind w:right="1908" w:firstLine="720"/>
      </w:pPr>
      <w:r>
        <w:rPr/>
        <w:t>In a post national constellation, the nation states can no longer stand firm against the stream of globalization. Traditional ethnic bonds are loosened, individuals become part of multi-ethnic settings, where they are confronted to own personal freedom. This freedom, together with a strong feeling of uncertainty, brings an opportunity for a person to get involved in new forms of social communities. (</w:t>
      </w:r>
      <w:hyperlink w:history="true" w:anchor="_bookmark204">
        <w:r>
          <w:rPr/>
          <w:t>Habermas, 2001a, p. 83</w:t>
        </w:r>
      </w:hyperlink>
      <w:r>
        <w:rPr/>
        <w:t>)</w:t>
      </w:r>
    </w:p>
    <w:p>
      <w:pPr>
        <w:pStyle w:val="BodyText"/>
        <w:spacing w:line="273" w:lineRule="auto"/>
        <w:ind w:right="1903" w:firstLine="720"/>
      </w:pPr>
      <w:r>
        <w:rPr/>
        <w:t>At the supranational level the vision of individual inclusion can be vividly described via approach proposed by </w:t>
      </w:r>
      <w:r>
        <w:rPr>
          <w:sz w:val="27"/>
        </w:rPr>
        <w:t>Ferdinand Tönnies. Tönnies </w:t>
      </w:r>
      <w:r>
        <w:rPr/>
        <w:t>distinguishes </w:t>
      </w:r>
      <w:r>
        <w:rPr>
          <w:sz w:val="27"/>
        </w:rPr>
        <w:t>Gemeinschaft </w:t>
      </w:r>
      <w:r>
        <w:rPr/>
        <w:t>[community] from </w:t>
      </w:r>
      <w:r>
        <w:rPr>
          <w:sz w:val="27"/>
        </w:rPr>
        <w:t>Gesellschaft </w:t>
      </w:r>
      <w:r>
        <w:rPr/>
        <w:t>[society], arguing that: “Community means genuine, enduring life together, whereas Society is a transient and superﬁcial thing. Thus</w:t>
      </w:r>
      <w:r>
        <w:rPr>
          <w:spacing w:val="40"/>
        </w:rPr>
        <w:t> </w:t>
      </w:r>
      <w:r>
        <w:rPr/>
        <w:t>Gemeinschaft must be understood as a living organism in its own right, while Gesellschaft is a mechanical aggregate and artefact.” (</w:t>
      </w:r>
      <w:hyperlink w:history="true" w:anchor="_bookmark411">
        <w:r>
          <w:rPr/>
          <w:t>2001, p. 2</w:t>
        </w:r>
      </w:hyperlink>
      <w:r>
        <w:rPr/>
        <w:t>)</w:t>
      </w:r>
    </w:p>
    <w:p>
      <w:pPr>
        <w:pStyle w:val="BodyText"/>
        <w:spacing w:line="339" w:lineRule="exact"/>
        <w:ind w:left="1767"/>
      </w:pPr>
      <w:r>
        <w:rPr/>
        <w:t>The</w:t>
      </w:r>
      <w:r>
        <w:rPr>
          <w:spacing w:val="-9"/>
        </w:rPr>
        <w:t> </w:t>
      </w:r>
      <w:r>
        <w:rPr>
          <w:sz w:val="27"/>
        </w:rPr>
        <w:t>Gemeinschaft</w:t>
      </w:r>
      <w:r>
        <w:rPr>
          <w:spacing w:val="47"/>
          <w:sz w:val="27"/>
        </w:rPr>
        <w:t> </w:t>
      </w:r>
      <w:r>
        <w:rPr/>
        <w:t>is</w:t>
      </w:r>
      <w:r>
        <w:rPr>
          <w:spacing w:val="-10"/>
        </w:rPr>
        <w:t> </w:t>
      </w:r>
      <w:r>
        <w:rPr/>
        <w:t>rooted</w:t>
      </w:r>
      <w:r>
        <w:rPr>
          <w:spacing w:val="-7"/>
        </w:rPr>
        <w:t> </w:t>
      </w:r>
      <w:r>
        <w:rPr/>
        <w:t>in</w:t>
      </w:r>
      <w:r>
        <w:rPr>
          <w:spacing w:val="-9"/>
        </w:rPr>
        <w:t> </w:t>
      </w:r>
      <w:r>
        <w:rPr/>
        <w:t>the</w:t>
      </w:r>
      <w:r>
        <w:rPr>
          <w:spacing w:val="-8"/>
        </w:rPr>
        <w:t> </w:t>
      </w:r>
      <w:r>
        <w:rPr/>
        <w:t>tradition</w:t>
      </w:r>
      <w:r>
        <w:rPr>
          <w:spacing w:val="-4"/>
        </w:rPr>
        <w:t> </w:t>
      </w:r>
      <w:r>
        <w:rPr/>
        <w:t>of</w:t>
      </w:r>
      <w:r>
        <w:rPr>
          <w:spacing w:val="-10"/>
        </w:rPr>
        <w:t> </w:t>
      </w:r>
      <w:r>
        <w:rPr/>
        <w:t>the</w:t>
      </w:r>
      <w:r>
        <w:rPr>
          <w:spacing w:val="-9"/>
        </w:rPr>
        <w:t> </w:t>
      </w:r>
      <w:r>
        <w:rPr/>
        <w:t>European</w:t>
      </w:r>
      <w:r>
        <w:rPr>
          <w:spacing w:val="-7"/>
        </w:rPr>
        <w:t> </w:t>
      </w:r>
      <w:r>
        <w:rPr>
          <w:spacing w:val="-2"/>
        </w:rPr>
        <w:t>nation-</w:t>
      </w:r>
    </w:p>
    <w:p>
      <w:pPr>
        <w:pStyle w:val="BodyText"/>
        <w:spacing w:line="273" w:lineRule="auto" w:before="48"/>
        <w:ind w:right="1903"/>
      </w:pPr>
      <w:r>
        <w:rPr/>
        <w:t>state. When the German Constitutional Court was presenting ‘no-demos thesis’ the judges had in</w:t>
      </w:r>
      <w:r>
        <w:rPr>
          <w:spacing w:val="-1"/>
        </w:rPr>
        <w:t> </w:t>
      </w:r>
      <w:r>
        <w:rPr/>
        <w:t>mind people living in</w:t>
      </w:r>
      <w:r>
        <w:rPr>
          <w:spacing w:val="40"/>
        </w:rPr>
        <w:t> </w:t>
      </w:r>
      <w:r>
        <w:rPr>
          <w:sz w:val="27"/>
        </w:rPr>
        <w:t>Gemeinschaft</w:t>
      </w:r>
      <w:r>
        <w:rPr>
          <w:spacing w:val="40"/>
          <w:sz w:val="27"/>
        </w:rPr>
        <w:t> </w:t>
      </w:r>
      <w:r>
        <w:rPr/>
        <w:t>“united from the moment of [our] birth with our own folk for better or for worse.” (</w:t>
      </w:r>
      <w:hyperlink w:history="true" w:anchor="_bookmark411">
        <w:r>
          <w:rPr/>
          <w:t>To</w:t>
        </w:r>
        <w:r>
          <w:rPr>
            <w:rFonts w:ascii="Times New Roman" w:hAnsi="Times New Roman"/>
          </w:rPr>
          <w:t>̈</w:t>
        </w:r>
        <w:r>
          <w:rPr/>
          <w:t>nnies &amp; Harris, 2001, p. 18</w:t>
        </w:r>
      </w:hyperlink>
      <w:r>
        <w:rPr/>
        <w:t>)</w:t>
      </w:r>
      <w:r>
        <w:rPr>
          <w:spacing w:val="40"/>
        </w:rPr>
        <w:t> </w:t>
      </w:r>
      <w:r>
        <w:rPr/>
        <w:t>By detaching from the emotional bond for effective contractual practices, the Europeans are required, therefore, to open up the a legal dimension of</w:t>
      </w:r>
      <w:r>
        <w:rPr>
          <w:spacing w:val="40"/>
        </w:rPr>
        <w:t> </w:t>
      </w:r>
      <w:r>
        <w:rPr>
          <w:sz w:val="27"/>
        </w:rPr>
        <w:t>Gesellschaft </w:t>
      </w:r>
      <w:r>
        <w:rPr/>
        <w:t>[society]; this obliges acknowledging a common interest and while doing so, citizens have to</w:t>
      </w:r>
      <w:r>
        <w:rPr>
          <w:spacing w:val="40"/>
        </w:rPr>
        <w:t> </w:t>
      </w:r>
      <w:r>
        <w:rPr/>
        <w:t>agree on a pathway that can take them to the predetermined goals.</w:t>
      </w:r>
    </w:p>
    <w:p>
      <w:pPr>
        <w:pStyle w:val="BodyText"/>
        <w:spacing w:line="273" w:lineRule="auto"/>
        <w:ind w:right="1909" w:firstLine="720"/>
        <w:rPr>
          <w:sz w:val="27"/>
        </w:rPr>
      </w:pPr>
      <w:r>
        <w:rPr/>
        <w:t>The argument put up front by Habermas, upholds that a self-serving path, paved</w:t>
      </w:r>
      <w:r>
        <w:rPr>
          <w:spacing w:val="40"/>
        </w:rPr>
        <w:t> </w:t>
      </w:r>
      <w:r>
        <w:rPr/>
        <w:t>by a legal disposition of the people,</w:t>
      </w:r>
      <w:r>
        <w:rPr>
          <w:spacing w:val="40"/>
        </w:rPr>
        <w:t> </w:t>
      </w:r>
      <w:r>
        <w:rPr/>
        <w:t>might indeed bring to European </w:t>
      </w:r>
      <w:r>
        <w:rPr>
          <w:sz w:val="27"/>
        </w:rPr>
        <w:t>Gemeinschaft.</w:t>
      </w:r>
    </w:p>
    <w:p>
      <w:pPr>
        <w:pStyle w:val="BodyText"/>
        <w:spacing w:line="276" w:lineRule="auto"/>
        <w:ind w:right="1902" w:firstLine="720"/>
      </w:pPr>
      <w:r>
        <w:rPr/>
        <w:t>Structurally Habermasian </w:t>
      </w:r>
      <w:r>
        <w:rPr>
          <w:sz w:val="27"/>
        </w:rPr>
        <w:t>Gemeinschaft </w:t>
      </w:r>
      <w:r>
        <w:rPr/>
        <w:t>comes together with constitutional patriotism and can be enacted in a federate setting. Only a politically strong entity can ensure the social rights of the Europeans. The entity has to apply “corrective measures to markets and set up</w:t>
      </w:r>
      <w:r>
        <w:rPr>
          <w:spacing w:val="80"/>
        </w:rPr>
        <w:t> </w:t>
      </w:r>
      <w:r>
        <w:rPr/>
        <w:t>redistributive</w:t>
      </w:r>
      <w:r>
        <w:rPr>
          <w:spacing w:val="71"/>
          <w:w w:val="150"/>
        </w:rPr>
        <w:t>  </w:t>
      </w:r>
      <w:r>
        <w:rPr/>
        <w:t>regulatory</w:t>
      </w:r>
      <w:r>
        <w:rPr>
          <w:spacing w:val="76"/>
          <w:w w:val="150"/>
        </w:rPr>
        <w:t> </w:t>
      </w:r>
      <w:r>
        <w:rPr/>
        <w:t>mechanisms”</w:t>
      </w:r>
      <w:r>
        <w:rPr>
          <w:spacing w:val="72"/>
          <w:w w:val="150"/>
        </w:rPr>
        <w:t> </w:t>
      </w:r>
      <w:r>
        <w:rPr/>
        <w:t>(</w:t>
      </w:r>
      <w:hyperlink w:history="true" w:anchor="_bookmark204">
        <w:r>
          <w:rPr/>
          <w:t>Habermas,</w:t>
        </w:r>
        <w:r>
          <w:rPr>
            <w:spacing w:val="73"/>
            <w:w w:val="150"/>
          </w:rPr>
          <w:t> </w:t>
        </w:r>
        <w:r>
          <w:rPr/>
          <w:t>2001a</w:t>
        </w:r>
      </w:hyperlink>
      <w:r>
        <w:rPr/>
        <w:t>)</w:t>
      </w:r>
      <w:r>
        <w:rPr>
          <w:spacing w:val="72"/>
          <w:w w:val="150"/>
        </w:rPr>
        <w:t>  </w:t>
      </w:r>
      <w:r>
        <w:rPr/>
        <w:t>and</w:t>
      </w:r>
      <w:r>
        <w:rPr>
          <w:spacing w:val="73"/>
          <w:w w:val="150"/>
        </w:rPr>
        <w:t> </w:t>
      </w:r>
      <w:r>
        <w:rPr>
          <w:spacing w:val="-4"/>
        </w:rPr>
        <w:t>“the</w:t>
      </w:r>
    </w:p>
    <w:p>
      <w:pPr>
        <w:pStyle w:val="BodyText"/>
        <w:spacing w:after="0" w:line="276" w:lineRule="auto"/>
        <w:sectPr>
          <w:pgSz w:w="12240" w:h="15840"/>
          <w:pgMar w:header="1046" w:footer="0" w:top="1360" w:bottom="280" w:left="720" w:right="360"/>
        </w:sectPr>
      </w:pPr>
    </w:p>
    <w:p>
      <w:pPr>
        <w:pStyle w:val="BodyText"/>
        <w:spacing w:line="276" w:lineRule="auto" w:before="276"/>
        <w:ind w:right="1904"/>
      </w:pPr>
      <w:r>
        <w:rPr/>
        <w:t>constitution will help secure the material conditions of life lost to the increasing predominance of global movements of capital.”</w:t>
      </w:r>
      <w:r>
        <w:rPr>
          <w:spacing w:val="40"/>
        </w:rPr>
        <w:t> </w:t>
      </w:r>
      <w:r>
        <w:rPr/>
        <w:t>(</w:t>
      </w:r>
      <w:hyperlink w:history="true" w:anchor="_bookmark114">
        <w:r>
          <w:rPr/>
          <w:t>Bowman, 2007,</w:t>
        </w:r>
      </w:hyperlink>
      <w:r>
        <w:rPr/>
        <w:t> </w:t>
      </w:r>
      <w:hyperlink w:history="true" w:anchor="_bookmark114">
        <w:r>
          <w:rPr/>
          <w:t>p. 739</w:t>
        </w:r>
      </w:hyperlink>
      <w:r>
        <w:rPr/>
        <w:t>)</w:t>
      </w:r>
    </w:p>
    <w:p>
      <w:pPr>
        <w:pStyle w:val="BodyText"/>
        <w:spacing w:line="273" w:lineRule="auto"/>
        <w:ind w:right="1901" w:firstLine="720"/>
      </w:pPr>
      <w:r>
        <w:rPr>
          <w:sz w:val="27"/>
        </w:rPr>
        <w:t>Tsvetan Todorov </w:t>
      </w:r>
      <w:r>
        <w:rPr/>
        <w:t>gave a broad retrospective analysis, what the ‘Europeanness’ is all about. He argues that putting up front the cultural patterns to portray the Europe, as being some kind of cultural synthesis, is not entirely accurate. Neither it is feasible to argue that the Europeans are those who were affected by the Judeo-Christian-Roman traditions. The</w:t>
      </w:r>
      <w:r>
        <w:rPr>
          <w:spacing w:val="40"/>
        </w:rPr>
        <w:t> </w:t>
      </w:r>
      <w:r>
        <w:rPr/>
        <w:t>idea, earlier pointed out by </w:t>
      </w:r>
      <w:r>
        <w:rPr>
          <w:sz w:val="27"/>
        </w:rPr>
        <w:t>David Hume</w:t>
      </w:r>
      <w:r>
        <w:rPr/>
        <w:t>, implies that the Europeanness first of all means, being able to cope with multiple identities in distinct cultural, political and economic conditions. (</w:t>
      </w:r>
      <w:hyperlink w:history="true" w:anchor="_bookmark409">
        <w:r>
          <w:rPr/>
          <w:t>Todorov &amp; Bracher, 2008</w:t>
        </w:r>
      </w:hyperlink>
      <w:r>
        <w:rPr/>
        <w:t>) </w:t>
      </w:r>
      <w:r>
        <w:rPr>
          <w:sz w:val="27"/>
        </w:rPr>
        <w:t>Jurgen Habermas, </w:t>
      </w:r>
      <w:r>
        <w:rPr/>
        <w:t>reffering to the comparative cultural studies argued that, the Europe “has a value order that has a unique mode of combining private individualism with public collectivism.” (</w:t>
      </w:r>
      <w:hyperlink w:history="true" w:anchor="_bookmark205">
        <w:r>
          <w:rPr/>
          <w:t>Habermas, 2001b, p. 9</w:t>
        </w:r>
      </w:hyperlink>
      <w:r>
        <w:rPr/>
        <w:t>)</w:t>
      </w:r>
      <w:r>
        <w:rPr>
          <w:spacing w:val="40"/>
        </w:rPr>
        <w:t> </w:t>
      </w:r>
      <w:r>
        <w:rPr/>
        <w:t>These views are similar to the integralist ideas presented above. Which not only describe the Europe as unity in diversity, but consider the European mechanisms to deal with plurality of individuals as a determinant of common identity.</w:t>
      </w:r>
    </w:p>
    <w:p>
      <w:pPr>
        <w:pStyle w:val="BodyText"/>
        <w:spacing w:line="276" w:lineRule="auto" w:before="6"/>
        <w:ind w:right="1907" w:firstLine="720"/>
      </w:pPr>
      <w:r>
        <w:rPr/>
        <w:t>In a simpler terms, one does not have to look like a neighbor next- door to live in the neighborhood.</w:t>
      </w:r>
      <w:r>
        <w:rPr>
          <w:spacing w:val="80"/>
        </w:rPr>
        <w:t> </w:t>
      </w:r>
      <w:r>
        <w:rPr/>
        <w:t>Living together as a practice, is often more important than the characteristics of individuals which share a common space.</w:t>
      </w:r>
    </w:p>
    <w:p>
      <w:pPr>
        <w:pStyle w:val="BodyText"/>
        <w:spacing w:after="0" w:line="276" w:lineRule="auto"/>
        <w:sectPr>
          <w:pgSz w:w="12240" w:h="15840"/>
          <w:pgMar w:header="1046" w:footer="0" w:top="1360" w:bottom="280" w:left="720" w:right="360"/>
        </w:sectPr>
      </w:pPr>
    </w:p>
    <w:p>
      <w:pPr>
        <w:pStyle w:val="Heading4"/>
        <w:numPr>
          <w:ilvl w:val="2"/>
          <w:numId w:val="13"/>
        </w:numPr>
        <w:tabs>
          <w:tab w:pos="1878" w:val="left" w:leader="none"/>
        </w:tabs>
        <w:spacing w:line="240" w:lineRule="auto" w:before="288" w:after="0"/>
        <w:ind w:left="1878" w:right="0" w:hanging="899"/>
        <w:jc w:val="left"/>
      </w:pPr>
      <w:bookmarkStart w:name="_bookmark41" w:id="42"/>
      <w:bookmarkEnd w:id="42"/>
      <w:r>
        <w:rPr>
          <w:b w:val="0"/>
        </w:rPr>
      </w:r>
      <w:r>
        <w:rPr>
          <w:spacing w:val="-11"/>
        </w:rPr>
        <w:t>Demoi-</w:t>
      </w:r>
      <w:r>
        <w:rPr>
          <w:spacing w:val="-4"/>
        </w:rPr>
        <w:t>Cracy</w:t>
      </w:r>
    </w:p>
    <w:p>
      <w:pPr>
        <w:pStyle w:val="BodyText"/>
        <w:spacing w:before="196"/>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52352">
                <wp:simplePos x="0" y="0"/>
                <wp:positionH relativeFrom="page">
                  <wp:posOffset>1078864</wp:posOffset>
                </wp:positionH>
                <wp:positionV relativeFrom="paragraph">
                  <wp:posOffset>284324</wp:posOffset>
                </wp:positionV>
                <wp:extent cx="5252085" cy="52069"/>
                <wp:effectExtent l="0" t="0" r="0" b="0"/>
                <wp:wrapTopAndBottom/>
                <wp:docPr id="157" name="Graphic 157"/>
                <wp:cNvGraphicFramePr>
                  <a:graphicFrameLocks/>
                </wp:cNvGraphicFramePr>
                <a:graphic>
                  <a:graphicData uri="http://schemas.microsoft.com/office/word/2010/wordprocessingShape">
                    <wps:wsp>
                      <wps:cNvPr id="157" name="Graphic 157"/>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387733pt;width:413.55pt;height:4.1pt;mso-position-horizontal-relative:page;mso-position-vertical-relative:paragraph;z-index:-15664128;mso-wrap-distance-left:0;mso-wrap-distance-right:0" id="docshape148" filled="true" fillcolor="#000000" stroked="false">
                <v:fill type="solid"/>
                <w10:wrap type="topAndBottom"/>
              </v:rect>
            </w:pict>
          </mc:Fallback>
        </mc:AlternateContent>
      </w:r>
    </w:p>
    <w:p>
      <w:pPr>
        <w:pStyle w:val="BodyText"/>
        <w:spacing w:before="201"/>
        <w:ind w:left="0"/>
        <w:jc w:val="left"/>
        <w:rPr>
          <w:rFonts w:ascii="Georgia"/>
          <w:b/>
        </w:rPr>
      </w:pPr>
    </w:p>
    <w:p>
      <w:pPr>
        <w:pStyle w:val="BodyText"/>
        <w:spacing w:line="271" w:lineRule="auto" w:before="1"/>
        <w:ind w:right="1915" w:firstLine="720"/>
      </w:pPr>
      <w:r>
        <w:rPr/>
        <w:t>There is a third path to grasp the democratic governance in the EU. The approach of </w:t>
      </w:r>
      <w:r>
        <w:rPr>
          <w:sz w:val="27"/>
        </w:rPr>
        <w:t>Demoi-cracy </w:t>
      </w:r>
      <w:r>
        <w:rPr/>
        <w:t>shares some similarities with ‘no demos’ thesis, however it is essentially different.</w:t>
      </w:r>
    </w:p>
    <w:p>
      <w:pPr>
        <w:pStyle w:val="BodyText"/>
        <w:spacing w:line="273" w:lineRule="auto" w:before="5"/>
        <w:ind w:right="1907" w:firstLine="720"/>
      </w:pPr>
      <w:r>
        <w:rPr/>
        <w:t>The</w:t>
      </w:r>
      <w:r>
        <w:rPr>
          <w:spacing w:val="-3"/>
        </w:rPr>
        <w:t> </w:t>
      </w:r>
      <w:r>
        <w:rPr/>
        <w:t>approach</w:t>
      </w:r>
      <w:r>
        <w:rPr>
          <w:spacing w:val="-3"/>
        </w:rPr>
        <w:t> </w:t>
      </w:r>
      <w:r>
        <w:rPr/>
        <w:t>argues</w:t>
      </w:r>
      <w:r>
        <w:rPr>
          <w:spacing w:val="-5"/>
        </w:rPr>
        <w:t> </w:t>
      </w:r>
      <w:r>
        <w:rPr/>
        <w:t>that</w:t>
      </w:r>
      <w:r>
        <w:rPr>
          <w:spacing w:val="-3"/>
        </w:rPr>
        <w:t> </w:t>
      </w:r>
      <w:r>
        <w:rPr/>
        <w:t>the</w:t>
      </w:r>
      <w:r>
        <w:rPr>
          <w:spacing w:val="-7"/>
        </w:rPr>
        <w:t> </w:t>
      </w:r>
      <w:r>
        <w:rPr/>
        <w:t>European</w:t>
      </w:r>
      <w:r>
        <w:rPr>
          <w:spacing w:val="-1"/>
        </w:rPr>
        <w:t> </w:t>
      </w:r>
      <w:r>
        <w:rPr/>
        <w:t>polity</w:t>
      </w:r>
      <w:r>
        <w:rPr>
          <w:spacing w:val="-3"/>
        </w:rPr>
        <w:t> </w:t>
      </w:r>
      <w:r>
        <w:rPr/>
        <w:t>is</w:t>
      </w:r>
      <w:r>
        <w:rPr>
          <w:spacing w:val="-5"/>
        </w:rPr>
        <w:t> </w:t>
      </w:r>
      <w:r>
        <w:rPr/>
        <w:t>a</w:t>
      </w:r>
      <w:r>
        <w:rPr>
          <w:spacing w:val="-3"/>
        </w:rPr>
        <w:t> </w:t>
      </w:r>
      <w:r>
        <w:rPr/>
        <w:t>“union</w:t>
      </w:r>
      <w:r>
        <w:rPr>
          <w:spacing w:val="-2"/>
        </w:rPr>
        <w:t> </w:t>
      </w:r>
      <w:r>
        <w:rPr/>
        <w:t>of</w:t>
      </w:r>
      <w:r>
        <w:rPr>
          <w:spacing w:val="-4"/>
        </w:rPr>
        <w:t> </w:t>
      </w:r>
      <w:r>
        <w:rPr/>
        <w:t>peoples – understood as both states and citizens – who govern together, but not as one.” (</w:t>
      </w:r>
      <w:hyperlink w:history="true" w:anchor="_bookmark317">
        <w:r>
          <w:rPr/>
          <w:t>Nicolaïdis, 2013, p. 351</w:t>
        </w:r>
      </w:hyperlink>
      <w:r>
        <w:rPr/>
        <w:t>) This line of logic is similar to </w:t>
      </w:r>
      <w:r>
        <w:rPr>
          <w:sz w:val="27"/>
        </w:rPr>
        <w:t>Todorov</w:t>
      </w:r>
      <w:r>
        <w:rPr/>
        <w:t>’s reasoning. The </w:t>
      </w:r>
      <w:r>
        <w:rPr>
          <w:sz w:val="27"/>
        </w:rPr>
        <w:t>demoi </w:t>
      </w:r>
      <w:r>
        <w:rPr/>
        <w:t>or the plurality of peoples makes the European public, therefore, “any assessment of the EU’s democratic order must be based on balance between, and interaction of, the political rights of individuals and those of the democratically constituted statespeoples.” (</w:t>
      </w:r>
      <w:hyperlink w:history="true" w:anchor="_bookmark130">
        <w:r>
          <w:rPr/>
          <w:t>Cheneval &amp; Schimmelfennig, 2013</w:t>
        </w:r>
      </w:hyperlink>
      <w:r>
        <w:rPr/>
        <w:t>) This definition clarifies that</w:t>
      </w:r>
      <w:r>
        <w:rPr>
          <w:spacing w:val="40"/>
        </w:rPr>
        <w:t> </w:t>
      </w:r>
      <w:r>
        <w:rPr/>
        <w:t>an each national of the EU member state is entitled to be included in a double line</w:t>
      </w:r>
      <w:r>
        <w:rPr>
          <w:spacing w:val="40"/>
        </w:rPr>
        <w:t> </w:t>
      </w:r>
      <w:r>
        <w:rPr/>
        <w:t>of political process; firstly as a citizen of own country, secondly as a part of European citizenry.</w:t>
      </w:r>
    </w:p>
    <w:p>
      <w:pPr>
        <w:pStyle w:val="BodyText"/>
        <w:spacing w:line="276" w:lineRule="auto" w:before="7"/>
        <w:ind w:right="1898" w:firstLine="720"/>
      </w:pPr>
      <w:r>
        <w:rPr/>
        <w:t>Demoi-cracy has two dimensions, vertical and horizontal. In the vertical dimension, statespeoples “affirm common political institutions” make common legislation and divide the competences among the layers of multi-level governance. Horizontal dimension makes it possible to use the national rules for co-ordination and approximation. “Demoi-cracy is about multi-centered not only multi-level governance, with decisions made not</w:t>
      </w:r>
      <w:r>
        <w:rPr>
          <w:spacing w:val="40"/>
        </w:rPr>
        <w:t> </w:t>
      </w:r>
      <w:r>
        <w:rPr/>
        <w:t>by Brussels, but in Brussels as well as elsewhere around the Europe.” (</w:t>
      </w:r>
      <w:hyperlink w:history="true" w:anchor="_bookmark316">
        <w:r>
          <w:rPr/>
          <w:t>Nicolaïdis, 2004</w:t>
        </w:r>
      </w:hyperlink>
      <w:r>
        <w:rPr/>
        <w:t>)</w:t>
      </w:r>
    </w:p>
    <w:p>
      <w:pPr>
        <w:pStyle w:val="BodyText"/>
        <w:spacing w:line="276" w:lineRule="auto" w:before="5"/>
        <w:ind w:right="1907" w:firstLine="720"/>
      </w:pPr>
      <w:r>
        <w:rPr/>
        <w:t>There are three main instruments which ensure horizontal demoi- cratic practices in the EU: non-discrimination, the open method of coordination (OMC) and mutual recognition. (</w:t>
      </w:r>
      <w:hyperlink w:history="true" w:anchor="_bookmark129">
        <w:r>
          <w:rPr/>
          <w:t>Cheneval, Lavenex, &amp;</w:t>
        </w:r>
      </w:hyperlink>
      <w:r>
        <w:rPr/>
        <w:t> </w:t>
      </w:r>
      <w:hyperlink w:history="true" w:anchor="_bookmark129">
        <w:r>
          <w:rPr/>
          <w:t>Schimmelfennig, 2015</w:t>
        </w:r>
      </w:hyperlink>
      <w:r>
        <w:rPr/>
        <w:t>)</w:t>
      </w:r>
    </w:p>
    <w:p>
      <w:pPr>
        <w:pStyle w:val="BodyText"/>
        <w:spacing w:line="273" w:lineRule="auto"/>
        <w:ind w:right="1916" w:firstLine="720"/>
      </w:pPr>
      <w:r>
        <w:rPr>
          <w:sz w:val="27"/>
        </w:rPr>
        <w:t>Non-discrimination</w:t>
      </w:r>
      <w:r>
        <w:rPr>
          <w:spacing w:val="-1"/>
          <w:sz w:val="27"/>
        </w:rPr>
        <w:t> </w:t>
      </w:r>
      <w:r>
        <w:rPr/>
        <w:t>works</w:t>
      </w:r>
      <w:r>
        <w:rPr>
          <w:spacing w:val="-1"/>
        </w:rPr>
        <w:t> </w:t>
      </w:r>
      <w:r>
        <w:rPr/>
        <w:t>for</w:t>
      </w:r>
      <w:r>
        <w:rPr>
          <w:spacing w:val="-2"/>
        </w:rPr>
        <w:t> </w:t>
      </w:r>
      <w:r>
        <w:rPr/>
        <w:t>every</w:t>
      </w:r>
      <w:r>
        <w:rPr>
          <w:spacing w:val="-3"/>
        </w:rPr>
        <w:t> </w:t>
      </w:r>
      <w:r>
        <w:rPr/>
        <w:t>cluster</w:t>
      </w:r>
      <w:r>
        <w:rPr>
          <w:spacing w:val="-2"/>
        </w:rPr>
        <w:t> </w:t>
      </w:r>
      <w:r>
        <w:rPr/>
        <w:t>of</w:t>
      </w:r>
      <w:r>
        <w:rPr>
          <w:spacing w:val="-4"/>
        </w:rPr>
        <w:t> </w:t>
      </w:r>
      <w:r>
        <w:rPr/>
        <w:t>the</w:t>
      </w:r>
      <w:r>
        <w:rPr>
          <w:spacing w:val="-2"/>
        </w:rPr>
        <w:t> </w:t>
      </w:r>
      <w:r>
        <w:rPr/>
        <w:t>public.</w:t>
      </w:r>
      <w:r>
        <w:rPr>
          <w:spacing w:val="-2"/>
        </w:rPr>
        <w:t> </w:t>
      </w:r>
      <w:r>
        <w:rPr/>
        <w:t>It</w:t>
      </w:r>
      <w:r>
        <w:rPr>
          <w:spacing w:val="-3"/>
        </w:rPr>
        <w:t> </w:t>
      </w:r>
      <w:r>
        <w:rPr/>
        <w:t>includes the individuals, organizations, states. The EU does not pressure each demos</w:t>
      </w:r>
    </w:p>
    <w:p>
      <w:pPr>
        <w:pStyle w:val="BodyText"/>
        <w:spacing w:after="0" w:line="273" w:lineRule="auto"/>
        <w:sectPr>
          <w:pgSz w:w="12240" w:h="15840"/>
          <w:pgMar w:header="1046" w:footer="0" w:top="1360" w:bottom="280" w:left="720" w:right="360"/>
        </w:sectPr>
      </w:pPr>
    </w:p>
    <w:p>
      <w:pPr>
        <w:pStyle w:val="BodyText"/>
        <w:spacing w:line="276" w:lineRule="auto" w:before="276"/>
        <w:ind w:right="1909"/>
      </w:pPr>
      <w:r>
        <w:rPr/>
        <w:t>on making community specific rules concerning the transnational transactions, they are “only constrained by the norm to apply them equally to all other demoi and their members.” (</w:t>
      </w:r>
      <w:hyperlink w:history="true" w:anchor="_bookmark129">
        <w:r>
          <w:rPr/>
          <w:t>Cheneval et al., 2015</w:t>
        </w:r>
      </w:hyperlink>
      <w:r>
        <w:rPr/>
        <w:t>)</w:t>
      </w:r>
    </w:p>
    <w:p>
      <w:pPr>
        <w:pStyle w:val="BodyText"/>
        <w:spacing w:line="273" w:lineRule="auto"/>
        <w:ind w:right="1901" w:firstLine="720"/>
      </w:pPr>
      <w:r>
        <w:rPr/>
        <w:t>OMC</w:t>
      </w:r>
      <w:r>
        <w:rPr>
          <w:spacing w:val="-1"/>
        </w:rPr>
        <w:t> </w:t>
      </w:r>
      <w:r>
        <w:rPr/>
        <w:t>is a</w:t>
      </w:r>
      <w:r>
        <w:rPr>
          <w:spacing w:val="-1"/>
        </w:rPr>
        <w:t> </w:t>
      </w:r>
      <w:r>
        <w:rPr/>
        <w:t>decentralized approach</w:t>
      </w:r>
      <w:r>
        <w:rPr>
          <w:spacing w:val="-1"/>
        </w:rPr>
        <w:t> </w:t>
      </w:r>
      <w:r>
        <w:rPr/>
        <w:t>based on harmonization of</w:t>
      </w:r>
      <w:r>
        <w:rPr>
          <w:spacing w:val="-1"/>
        </w:rPr>
        <w:t> </w:t>
      </w:r>
      <w:r>
        <w:rPr/>
        <w:t>national policies. The best practices are benchmarked, reviewed, and considered for community wide usage. The idea itself is demoi-cracy friendly, however its effectiveness depends on success in implementing the ideal-typical</w:t>
      </w:r>
      <w:r>
        <w:rPr>
          <w:spacing w:val="40"/>
        </w:rPr>
        <w:t> </w:t>
      </w:r>
      <w:r>
        <w:rPr/>
        <w:t>purposes, which are: A) </w:t>
      </w:r>
      <w:r>
        <w:rPr>
          <w:sz w:val="27"/>
        </w:rPr>
        <w:t>exploration </w:t>
      </w:r>
      <w:r>
        <w:rPr/>
        <w:t>– identifying new possibilities in unknown situations, where no pre-defined solutions for the occurring problems are available; B) </w:t>
      </w:r>
      <w:r>
        <w:rPr>
          <w:sz w:val="27"/>
        </w:rPr>
        <w:t>learning </w:t>
      </w:r>
      <w:r>
        <w:rPr/>
        <w:t>– common advancing of solutions, by considering the experience of others, C) “</w:t>
      </w:r>
      <w:r>
        <w:rPr>
          <w:sz w:val="27"/>
        </w:rPr>
        <w:t>convergence </w:t>
      </w:r>
      <w:r>
        <w:rPr/>
        <w:t>of national policies toward a specific EU solutions.” (</w:t>
      </w:r>
      <w:hyperlink w:history="true" w:anchor="_bookmark108">
        <w:r>
          <w:rPr/>
          <w:t>Borrás &amp; Radaelli, 2015, pp. 130-131</w:t>
        </w:r>
      </w:hyperlink>
      <w:r>
        <w:rPr/>
        <w:t>) The OMC is often criticized for bypassing the traditional legislative procedures of the community method, while focusing on the executive domain. Accordingly, the level of demoi-cracy in the method largely depends on how third-way channels manage to being part of it. (Ibid, p. 136)</w:t>
      </w:r>
    </w:p>
    <w:p>
      <w:pPr>
        <w:pStyle w:val="BodyText"/>
        <w:spacing w:line="276" w:lineRule="auto"/>
        <w:ind w:right="1901" w:firstLine="720"/>
      </w:pPr>
      <w:r>
        <w:rPr/>
        <w:t>Mutual recognition “obliges member states to recognize each others legal acts in the implementation of common policies ad transnational interactions.” (</w:t>
      </w:r>
      <w:hyperlink w:history="true" w:anchor="_bookmark129">
        <w:r>
          <w:rPr/>
          <w:t>Cheneval et al., 2015, p. 9</w:t>
        </w:r>
      </w:hyperlink>
      <w:r>
        <w:rPr/>
        <w:t>) Even when the recognition rules are agreed high transaction costs and regulatory diversity imposed on the administrators, pose some challenges. For instance, as the Commission reported, the member states authorities found it hard to judge “whether incoming products conforming to the rules of other member states were in fact regulated in equivalent way.” (</w:t>
      </w:r>
      <w:hyperlink w:history="true" w:anchor="_bookmark390">
        <w:r>
          <w:rPr/>
          <w:t>Sievers &amp; Schmidt, 2015, p. 115</w:t>
        </w:r>
      </w:hyperlink>
      <w:r>
        <w:rPr/>
        <w:t>) The mutual recognition can become</w:t>
      </w:r>
      <w:r>
        <w:rPr>
          <w:spacing w:val="40"/>
        </w:rPr>
        <w:t> </w:t>
      </w:r>
      <w:r>
        <w:rPr/>
        <w:t>‘demoi-sensitive’ when human rights are prioritized over delegation objectives, or vice versa. If the EU is going to be demoi-cracy, the system has to manage to find a proper balance between functional pressures coming from the states and individual rights of the </w:t>
      </w:r>
      <w:r>
        <w:rPr>
          <w:spacing w:val="-2"/>
        </w:rPr>
        <w:t>citizens.</w:t>
      </w:r>
    </w:p>
    <w:p>
      <w:pPr>
        <w:pStyle w:val="BodyText"/>
        <w:spacing w:line="266" w:lineRule="auto" w:before="3"/>
        <w:ind w:right="1909" w:firstLine="720"/>
      </w:pPr>
      <w:r>
        <w:rPr/>
        <w:t>In order to accommodate the political needs of the citizens, </w:t>
      </w:r>
      <w:r>
        <w:rPr>
          <w:sz w:val="27"/>
        </w:rPr>
        <w:t>statespeoples </w:t>
      </w:r>
      <w:r>
        <w:rPr/>
        <w:t>and the stakeholders, the EU has to provide “meaningful channels</w:t>
      </w:r>
      <w:r>
        <w:rPr>
          <w:spacing w:val="-6"/>
        </w:rPr>
        <w:t> </w:t>
      </w:r>
      <w:r>
        <w:rPr/>
        <w:t>for</w:t>
      </w:r>
      <w:r>
        <w:rPr>
          <w:spacing w:val="-3"/>
        </w:rPr>
        <w:t> </w:t>
      </w:r>
      <w:r>
        <w:rPr/>
        <w:t>participation.”</w:t>
      </w:r>
      <w:r>
        <w:rPr>
          <w:spacing w:val="-3"/>
        </w:rPr>
        <w:t> </w:t>
      </w:r>
      <w:r>
        <w:rPr/>
        <w:t>(</w:t>
      </w:r>
      <w:hyperlink w:history="true" w:anchor="_bookmark229">
        <w:r>
          <w:rPr/>
          <w:t>Hurrelmann,</w:t>
        </w:r>
        <w:r>
          <w:rPr>
            <w:spacing w:val="-2"/>
          </w:rPr>
          <w:t> </w:t>
        </w:r>
        <w:r>
          <w:rPr/>
          <w:t>2015</w:t>
        </w:r>
      </w:hyperlink>
      <w:r>
        <w:rPr/>
        <w:t>)</w:t>
      </w:r>
      <w:r>
        <w:rPr>
          <w:spacing w:val="-3"/>
        </w:rPr>
        <w:t> </w:t>
      </w:r>
      <w:r>
        <w:rPr/>
        <w:t>For</w:t>
      </w:r>
      <w:r>
        <w:rPr>
          <w:spacing w:val="-3"/>
        </w:rPr>
        <w:t> </w:t>
      </w:r>
      <w:r>
        <w:rPr/>
        <w:t>the</w:t>
      </w:r>
      <w:r>
        <w:rPr>
          <w:spacing w:val="-2"/>
        </w:rPr>
        <w:t> </w:t>
      </w:r>
      <w:r>
        <w:rPr>
          <w:sz w:val="27"/>
        </w:rPr>
        <w:t>citizens</w:t>
      </w:r>
      <w:r>
        <w:rPr>
          <w:spacing w:val="-7"/>
          <w:sz w:val="27"/>
        </w:rPr>
        <w:t> </w:t>
      </w:r>
      <w:r>
        <w:rPr/>
        <w:t>the</w:t>
      </w:r>
      <w:r>
        <w:rPr>
          <w:spacing w:val="-3"/>
        </w:rPr>
        <w:t> </w:t>
      </w:r>
      <w:r>
        <w:rPr/>
        <w:t>EP</w:t>
      </w:r>
      <w:r>
        <w:rPr>
          <w:spacing w:val="-4"/>
        </w:rPr>
        <w:t> </w:t>
      </w:r>
      <w:r>
        <w:rPr>
          <w:spacing w:val="-5"/>
        </w:rPr>
        <w:t>and</w:t>
      </w:r>
    </w:p>
    <w:p>
      <w:pPr>
        <w:pStyle w:val="BodyText"/>
        <w:spacing w:after="0" w:line="266" w:lineRule="auto"/>
        <w:sectPr>
          <w:pgSz w:w="12240" w:h="15840"/>
          <w:pgMar w:header="1046" w:footer="0" w:top="1360" w:bottom="280" w:left="720" w:right="360"/>
        </w:sectPr>
      </w:pPr>
    </w:p>
    <w:p>
      <w:pPr>
        <w:pStyle w:val="BodyText"/>
        <w:spacing w:line="273" w:lineRule="auto" w:before="266"/>
        <w:ind w:right="1905"/>
      </w:pPr>
      <w:r>
        <w:rPr/>
        <w:t>the </w:t>
      </w:r>
      <w:r>
        <w:rPr>
          <w:sz w:val="27"/>
        </w:rPr>
        <w:t>European Citizens Initiative </w:t>
      </w:r>
      <w:r>
        <w:rPr/>
        <w:t>are weak but relevant channels to be included in EU public life. The </w:t>
      </w:r>
      <w:r>
        <w:rPr>
          <w:sz w:val="27"/>
        </w:rPr>
        <w:t>statespeoples </w:t>
      </w:r>
      <w:r>
        <w:rPr/>
        <w:t>participate in national elections, that produce the Council representatives. They vote in referendums when crucial issues are decided on the Union level. National parliaments, which represent the statespeoples domestically, work on the community issues via the European Affairs Comitees and Subsidiarity Mechanisms. The </w:t>
      </w:r>
      <w:r>
        <w:rPr>
          <w:sz w:val="27"/>
        </w:rPr>
        <w:t>stakeholders </w:t>
      </w:r>
      <w:r>
        <w:rPr/>
        <w:t>voice their issues via consultation procedures organized by the European Commission. (</w:t>
      </w:r>
      <w:hyperlink w:history="true" w:anchor="_bookmark229">
        <w:r>
          <w:rPr/>
          <w:t>Hurrelmann, 2015, p.</w:t>
        </w:r>
      </w:hyperlink>
      <w:r>
        <w:rPr/>
        <w:t> </w:t>
      </w:r>
      <w:hyperlink w:history="true" w:anchor="_bookmark229">
        <w:r>
          <w:rPr/>
          <w:t>24</w:t>
        </w:r>
      </w:hyperlink>
      <w:r>
        <w:rPr/>
        <w:t>) Even though, these mechanisms are in place, in the most cases, they are not very effective, as it is also observed by those, concerned about the</w:t>
      </w:r>
      <w:r>
        <w:rPr>
          <w:spacing w:val="-2"/>
        </w:rPr>
        <w:t> </w:t>
      </w:r>
      <w:r>
        <w:rPr/>
        <w:t>input legitimacy of the EU.</w:t>
      </w:r>
    </w:p>
    <w:p>
      <w:pPr>
        <w:pStyle w:val="BodyText"/>
        <w:spacing w:line="276" w:lineRule="auto" w:before="3"/>
        <w:ind w:right="1901" w:firstLine="720"/>
      </w:pPr>
      <w:r>
        <w:rPr/>
        <w:t>The demoi-cratic view of the multilevel polity sharpens the roles</w:t>
      </w:r>
      <w:r>
        <w:rPr>
          <w:spacing w:val="80"/>
        </w:rPr>
        <w:t> </w:t>
      </w:r>
      <w:r>
        <w:rPr/>
        <w:t>that</w:t>
      </w:r>
      <w:r>
        <w:rPr>
          <w:spacing w:val="-1"/>
        </w:rPr>
        <w:t> </w:t>
      </w:r>
      <w:r>
        <w:rPr/>
        <w:t>the</w:t>
      </w:r>
      <w:r>
        <w:rPr>
          <w:spacing w:val="-1"/>
        </w:rPr>
        <w:t> </w:t>
      </w:r>
      <w:r>
        <w:rPr/>
        <w:t>national</w:t>
      </w:r>
      <w:r>
        <w:rPr>
          <w:spacing w:val="-3"/>
        </w:rPr>
        <w:t> </w:t>
      </w:r>
      <w:r>
        <w:rPr/>
        <w:t>parliaments (NP) play in political</w:t>
      </w:r>
      <w:r>
        <w:rPr>
          <w:spacing w:val="-4"/>
        </w:rPr>
        <w:t> </w:t>
      </w:r>
      <w:r>
        <w:rPr/>
        <w:t>process. (</w:t>
      </w:r>
      <w:hyperlink w:history="true" w:anchor="_bookmark129">
        <w:r>
          <w:rPr/>
          <w:t>Cheneval</w:t>
        </w:r>
        <w:r>
          <w:rPr>
            <w:spacing w:val="-3"/>
          </w:rPr>
          <w:t> </w:t>
        </w:r>
        <w:r>
          <w:rPr/>
          <w:t>et</w:t>
        </w:r>
        <w:r>
          <w:rPr>
            <w:spacing w:val="-1"/>
          </w:rPr>
          <w:t> </w:t>
        </w:r>
        <w:r>
          <w:rPr/>
          <w:t>al.,</w:t>
        </w:r>
      </w:hyperlink>
      <w:r>
        <w:rPr/>
        <w:t> </w:t>
      </w:r>
      <w:hyperlink w:history="true" w:anchor="_bookmark129">
        <w:r>
          <w:rPr/>
          <w:t>2015, p. 8</w:t>
        </w:r>
      </w:hyperlink>
      <w:r>
        <w:rPr/>
        <w:t>) The researches have shown, that empowering the EP was not greeted wirh enthusiasm by some</w:t>
      </w:r>
      <w:r>
        <w:rPr>
          <w:spacing w:val="40"/>
        </w:rPr>
        <w:t> </w:t>
      </w:r>
      <w:r>
        <w:rPr/>
        <w:t>NPs.</w:t>
      </w:r>
      <w:r>
        <w:rPr>
          <w:spacing w:val="40"/>
        </w:rPr>
        <w:t> </w:t>
      </w:r>
      <w:r>
        <w:rPr>
          <w:sz w:val="27"/>
        </w:rPr>
        <w:t>Thomas Winzen </w:t>
      </w:r>
      <w:r>
        <w:rPr/>
        <w:t>and colleagues argue that, for the EP is often considered as a “supranational competitor” by the NPs. (</w:t>
      </w:r>
      <w:hyperlink w:history="true" w:anchor="_bookmark442">
        <w:r>
          <w:rPr/>
          <w:t>Winzen, Roederer-Rynning, &amp; Schimmelfennig, 2015</w:t>
        </w:r>
      </w:hyperlink>
      <w:r>
        <w:rPr/>
        <w:t>) The study has</w:t>
      </w:r>
      <w:r>
        <w:rPr>
          <w:spacing w:val="-2"/>
        </w:rPr>
        <w:t> </w:t>
      </w:r>
      <w:r>
        <w:rPr/>
        <w:t>found that the NPs</w:t>
      </w:r>
      <w:r>
        <w:rPr>
          <w:spacing w:val="-2"/>
        </w:rPr>
        <w:t> </w:t>
      </w:r>
      <w:r>
        <w:rPr/>
        <w:t>with conservative majority are more likely to have a negative attitude towards the EP, than those constituted with liberal</w:t>
      </w:r>
      <w:r>
        <w:rPr>
          <w:spacing w:val="40"/>
        </w:rPr>
        <w:t> </w:t>
      </w:r>
      <w:r>
        <w:rPr/>
        <w:t>parties. The authors maintained that those NPs, which consider the EP as a supranational ally are less likely to get involved in compensatory supranational activities than those who have hard feelings. The co- evolution hypothesis builds on the assumption that “the national parliaments take conscious positions on the powers of the EP.” (</w:t>
      </w:r>
      <w:hyperlink w:history="true" w:anchor="_bookmark442">
        <w:r>
          <w:rPr/>
          <w:t>Winzen et</w:t>
        </w:r>
      </w:hyperlink>
      <w:r>
        <w:rPr/>
        <w:t> </w:t>
      </w:r>
      <w:hyperlink w:history="true" w:anchor="_bookmark442">
        <w:r>
          <w:rPr/>
          <w:t>al., 2015, p. 77</w:t>
        </w:r>
      </w:hyperlink>
      <w:r>
        <w:rPr/>
        <w:t>) NPs respond to European integration, according to own institutional interests.</w:t>
      </w:r>
    </w:p>
    <w:p>
      <w:pPr>
        <w:pStyle w:val="BodyText"/>
        <w:spacing w:line="276" w:lineRule="auto"/>
        <w:ind w:right="1908" w:firstLine="720"/>
      </w:pPr>
      <w:r>
        <w:rPr/>
        <w:t>The European Union Agencies (EUA), are often questioned for their lack of democratic accountability. In a common discourse EUAs are placed vis-à-vis European bodies and legislature. For instance, “The absence of an explicit treaty provision authorizing the Union Legislator to create EU agencies,”</w:t>
      </w:r>
      <w:r>
        <w:rPr>
          <w:spacing w:val="24"/>
        </w:rPr>
        <w:t>  </w:t>
      </w:r>
      <w:r>
        <w:rPr/>
        <w:t>combined</w:t>
      </w:r>
      <w:r>
        <w:rPr>
          <w:spacing w:val="24"/>
        </w:rPr>
        <w:t>  </w:t>
      </w:r>
      <w:r>
        <w:rPr/>
        <w:t>with,</w:t>
      </w:r>
      <w:r>
        <w:rPr>
          <w:spacing w:val="25"/>
        </w:rPr>
        <w:t>  </w:t>
      </w:r>
      <w:r>
        <w:rPr/>
        <w:t>“lack</w:t>
      </w:r>
      <w:r>
        <w:rPr>
          <w:spacing w:val="24"/>
        </w:rPr>
        <w:t>  </w:t>
      </w:r>
      <w:r>
        <w:rPr/>
        <w:t>of</w:t>
      </w:r>
      <w:r>
        <w:rPr>
          <w:spacing w:val="24"/>
        </w:rPr>
        <w:t>  </w:t>
      </w:r>
      <w:r>
        <w:rPr/>
        <w:t>justifications”</w:t>
      </w:r>
      <w:r>
        <w:rPr>
          <w:spacing w:val="24"/>
        </w:rPr>
        <w:t>  </w:t>
      </w:r>
      <w:r>
        <w:rPr/>
        <w:t>for</w:t>
      </w:r>
      <w:r>
        <w:rPr>
          <w:spacing w:val="25"/>
        </w:rPr>
        <w:t>  </w:t>
      </w:r>
      <w:r>
        <w:rPr/>
        <w:t>their</w:t>
      </w:r>
      <w:r>
        <w:rPr>
          <w:spacing w:val="24"/>
        </w:rPr>
        <w:t>  </w:t>
      </w:r>
      <w:r>
        <w:rPr>
          <w:spacing w:val="-2"/>
        </w:rPr>
        <w:t>creation,</w:t>
      </w:r>
    </w:p>
    <w:p>
      <w:pPr>
        <w:pStyle w:val="BodyText"/>
        <w:spacing w:after="0" w:line="276" w:lineRule="auto"/>
        <w:sectPr>
          <w:pgSz w:w="12240" w:h="15840"/>
          <w:pgMar w:header="1046" w:footer="0" w:top="1360" w:bottom="280" w:left="720" w:right="360"/>
        </w:sectPr>
      </w:pPr>
    </w:p>
    <w:p>
      <w:pPr>
        <w:pStyle w:val="BodyText"/>
        <w:spacing w:line="276" w:lineRule="auto" w:before="276"/>
        <w:ind w:right="1916"/>
      </w:pPr>
      <w:r>
        <w:rPr/>
        <w:t>(</w:t>
      </w:r>
      <w:hyperlink w:history="true" w:anchor="_bookmark381">
        <w:r>
          <w:rPr/>
          <w:t>Scholten, 2014, p. 62</w:t>
        </w:r>
      </w:hyperlink>
      <w:r>
        <w:rPr/>
        <w:t>) troubles those who seek a legislative clarity and operational transparency in executive bodies.</w:t>
      </w:r>
    </w:p>
    <w:p>
      <w:pPr>
        <w:pStyle w:val="BodyText"/>
        <w:spacing w:line="276" w:lineRule="auto"/>
        <w:ind w:right="1907" w:firstLine="720"/>
      </w:pPr>
      <w:r>
        <w:rPr/>
        <w:t>However, from the demoi-cracy perspective the role of the EUA-s should be analyzed considering “the interplay between EU and domestic institutions.” (</w:t>
      </w:r>
      <w:hyperlink w:history="true" w:anchor="_bookmark118">
        <w:r>
          <w:rPr/>
          <w:t>Buess, 2015, p. 95</w:t>
        </w:r>
      </w:hyperlink>
      <w:r>
        <w:rPr/>
        <w:t>) </w:t>
      </w:r>
      <w:r>
        <w:rPr>
          <w:sz w:val="27"/>
        </w:rPr>
        <w:t>Michael Buess </w:t>
      </w:r>
      <w:r>
        <w:rPr/>
        <w:t>has found</w:t>
      </w:r>
      <w:r>
        <w:rPr>
          <w:spacing w:val="40"/>
        </w:rPr>
        <w:t> </w:t>
      </w:r>
      <w:r>
        <w:rPr/>
        <w:t>that the EUA-s have a strong vertical accountability relations with the member state governments; This, as the author maintains, can be “seen as a substitute for missing input legitimacy.” (</w:t>
      </w:r>
      <w:hyperlink w:history="true" w:anchor="_bookmark117">
        <w:r>
          <w:rPr/>
          <w:t>Buess, 2014, p. 521</w:t>
        </w:r>
      </w:hyperlink>
      <w:r>
        <w:rPr/>
        <w:t>) To preserve these relations member states send representatives in the EUA management boards. Nevertheless, the representatives themselves often come from the least accountable public institutions. The horizontal accountability of the EUAs depends on peer to peer relations. The agencies have ties with national counterparts and some input from the expert sircles. (</w:t>
      </w:r>
      <w:hyperlink w:history="true" w:anchor="_bookmark118">
        <w:r>
          <w:rPr/>
          <w:t>Buess, 2015</w:t>
        </w:r>
      </w:hyperlink>
      <w:r>
        <w:rPr/>
        <w:t>)</w:t>
      </w:r>
    </w:p>
    <w:p>
      <w:pPr>
        <w:pStyle w:val="BodyText"/>
        <w:spacing w:line="330" w:lineRule="exact"/>
        <w:ind w:left="1700"/>
      </w:pPr>
      <w:r>
        <w:rPr/>
        <w:t>Like</w:t>
      </w:r>
      <w:r>
        <w:rPr>
          <w:spacing w:val="27"/>
        </w:rPr>
        <w:t> </w:t>
      </w:r>
      <w:r>
        <w:rPr/>
        <w:t>in</w:t>
      </w:r>
      <w:r>
        <w:rPr>
          <w:spacing w:val="28"/>
        </w:rPr>
        <w:t> </w:t>
      </w:r>
      <w:r>
        <w:rPr/>
        <w:t>democracy,</w:t>
      </w:r>
      <w:r>
        <w:rPr>
          <w:spacing w:val="29"/>
        </w:rPr>
        <w:t> </w:t>
      </w:r>
      <w:r>
        <w:rPr/>
        <w:t>in</w:t>
      </w:r>
      <w:r>
        <w:rPr>
          <w:spacing w:val="31"/>
        </w:rPr>
        <w:t> </w:t>
      </w:r>
      <w:r>
        <w:rPr>
          <w:sz w:val="27"/>
        </w:rPr>
        <w:t>demoi-cracy</w:t>
      </w:r>
      <w:r>
        <w:rPr>
          <w:spacing w:val="25"/>
          <w:sz w:val="27"/>
        </w:rPr>
        <w:t> </w:t>
      </w:r>
      <w:r>
        <w:rPr/>
        <w:t>as</w:t>
      </w:r>
      <w:r>
        <w:rPr>
          <w:spacing w:val="25"/>
        </w:rPr>
        <w:t> </w:t>
      </w:r>
      <w:r>
        <w:rPr/>
        <w:t>well</w:t>
      </w:r>
      <w:r>
        <w:rPr>
          <w:spacing w:val="28"/>
        </w:rPr>
        <w:t> </w:t>
      </w:r>
      <w:r>
        <w:rPr/>
        <w:t>the</w:t>
      </w:r>
      <w:r>
        <w:rPr>
          <w:spacing w:val="28"/>
        </w:rPr>
        <w:t> </w:t>
      </w:r>
      <w:r>
        <w:rPr/>
        <w:t>citizens</w:t>
      </w:r>
      <w:r>
        <w:rPr>
          <w:spacing w:val="24"/>
        </w:rPr>
        <w:t> </w:t>
      </w:r>
      <w:r>
        <w:rPr/>
        <w:t>have</w:t>
      </w:r>
      <w:r>
        <w:rPr>
          <w:spacing w:val="28"/>
        </w:rPr>
        <w:t> </w:t>
      </w:r>
      <w:r>
        <w:rPr>
          <w:spacing w:val="-2"/>
        </w:rPr>
        <w:t>rights</w:t>
      </w:r>
    </w:p>
    <w:p>
      <w:pPr>
        <w:pStyle w:val="BodyText"/>
        <w:spacing w:line="273" w:lineRule="auto" w:before="38"/>
        <w:ind w:right="1903"/>
      </w:pPr>
      <w:r>
        <w:rPr/>
        <w:t>and responsibilities. If it is essential to democracy to have a </w:t>
      </w:r>
      <w:r>
        <w:rPr>
          <w:sz w:val="27"/>
        </w:rPr>
        <w:t>demos </w:t>
      </w:r>
      <w:r>
        <w:rPr/>
        <w:t>which participates in the political process, or at least has all rights to do so. In </w:t>
      </w:r>
      <w:r>
        <w:rPr>
          <w:sz w:val="27"/>
        </w:rPr>
        <w:t>demoi-cracy </w:t>
      </w:r>
      <w:r>
        <w:rPr/>
        <w:t>this sort of participation is more complicated and connected not only to the institutional infrastructure, but on citizen’s abilities as well. The complex institutional order of the EU “imposes significant cognitive demands on citizens.” (</w:t>
      </w:r>
      <w:hyperlink w:history="true" w:anchor="_bookmark229">
        <w:r>
          <w:rPr/>
          <w:t>Hurrelmann, 2015, p. 27</w:t>
        </w:r>
      </w:hyperlink>
      <w:r>
        <w:rPr/>
        <w:t>) The twofold nature of the multilevel governance requires from the </w:t>
      </w:r>
      <w:r>
        <w:rPr>
          <w:sz w:val="27"/>
        </w:rPr>
        <w:t>demoi </w:t>
      </w:r>
      <w:r>
        <w:rPr/>
        <w:t>to “possess, and be able to navigate, multiple and flexible identities.” (Ibid, p.27) From this perspective the EU citizens and statespeoples are not yet ready for demoi-cracy. The knowledge about the European institutions and practices are quite limited. From the multi identity point of view, situation is quite similar, a large number of Europeans still “define themselves by their nationality only.” (</w:t>
      </w:r>
      <w:hyperlink w:history="true" w:anchor="_bookmark229">
        <w:r>
          <w:rPr/>
          <w:t>Hurrelmann, 2015, p. 31</w:t>
        </w:r>
      </w:hyperlink>
      <w:r>
        <w:rPr/>
        <w:t>) The latter problem can be considered as an outcome of misconstructed public debates. For instance, in the media the matter is largely addressed from the classic national vs. European identity scope and rarely from the point of view of demoi-cracy. Therefore, the debates</w:t>
      </w:r>
      <w:r>
        <w:rPr>
          <w:spacing w:val="-2"/>
        </w:rPr>
        <w:t> </w:t>
      </w:r>
      <w:r>
        <w:rPr/>
        <w:t>about the EU legitimacy follow the lines</w:t>
      </w:r>
      <w:r>
        <w:rPr>
          <w:spacing w:val="-2"/>
        </w:rPr>
        <w:t> </w:t>
      </w:r>
      <w:r>
        <w:rPr/>
        <w:t>of no-demos thesis. (</w:t>
      </w:r>
      <w:hyperlink w:history="true" w:anchor="_bookmark90">
        <w:r>
          <w:rPr/>
          <w:t>Beetz,</w:t>
        </w:r>
      </w:hyperlink>
      <w:r>
        <w:rPr/>
        <w:t> </w:t>
      </w:r>
      <w:hyperlink w:history="true" w:anchor="_bookmark90">
        <w:r>
          <w:rPr/>
          <w:t>2015, p. 45</w:t>
        </w:r>
      </w:hyperlink>
      <w:r>
        <w:rPr/>
        <w:t>) We might</w:t>
      </w:r>
      <w:r>
        <w:rPr>
          <w:spacing w:val="18"/>
        </w:rPr>
        <w:t> </w:t>
      </w:r>
      <w:r>
        <w:rPr/>
        <w:t>see some</w:t>
      </w:r>
      <w:r>
        <w:rPr>
          <w:spacing w:val="18"/>
        </w:rPr>
        <w:t> </w:t>
      </w:r>
      <w:r>
        <w:rPr/>
        <w:t>positive points, if we evaluate the citizens</w:t>
      </w:r>
    </w:p>
    <w:p>
      <w:pPr>
        <w:pStyle w:val="BodyText"/>
        <w:spacing w:after="0" w:line="273" w:lineRule="auto"/>
        <w:sectPr>
          <w:pgSz w:w="12240" w:h="15840"/>
          <w:pgMar w:header="1046" w:footer="0" w:top="1360" w:bottom="280" w:left="720" w:right="360"/>
        </w:sectPr>
      </w:pPr>
    </w:p>
    <w:p>
      <w:pPr>
        <w:pStyle w:val="BodyText"/>
        <w:spacing w:line="276" w:lineRule="auto" w:before="276"/>
        <w:ind w:right="1901"/>
      </w:pPr>
      <w:r>
        <w:rPr/>
        <w:t>vis-à-vis each other and the EU, instead of generating the sum of their common attitudes. </w:t>
      </w:r>
      <w:r>
        <w:rPr>
          <w:sz w:val="27"/>
        </w:rPr>
        <w:t>Rebecca Welge </w:t>
      </w:r>
      <w:r>
        <w:rPr/>
        <w:t>has found that satisfaction with the European Democracy among the nationals and EU movers is largely similar,</w:t>
      </w:r>
      <w:r>
        <w:rPr>
          <w:position w:val="7"/>
          <w:sz w:val="15"/>
        </w:rPr>
        <w:t>27</w:t>
      </w:r>
      <w:r>
        <w:rPr>
          <w:spacing w:val="40"/>
          <w:position w:val="7"/>
          <w:sz w:val="15"/>
        </w:rPr>
        <w:t> </w:t>
      </w:r>
      <w:r>
        <w:rPr/>
        <w:t>however “nationals are one average less satisfied with democracy than are the EU movers.” Interestingly, the study has unveiled that “politicaly interested EU movers are less satisfied with the system,” this implies that informed public is more demanding. (</w:t>
      </w:r>
      <w:hyperlink w:history="true" w:anchor="_bookmark427">
        <w:r>
          <w:rPr/>
          <w:t>Welge, 2015, p. 71</w:t>
        </w:r>
      </w:hyperlink>
      <w:r>
        <w:rPr/>
        <w:t>) Among these two, only nationals hold full rights (statespeoples plus EU citizen), this condition suggests that access to institutions at every level, does not necessarily bring to full political efficacy.</w:t>
      </w:r>
    </w:p>
    <w:p>
      <w:pPr>
        <w:pStyle w:val="BodyText"/>
        <w:spacing w:line="330" w:lineRule="exact"/>
        <w:ind w:left="1700"/>
      </w:pPr>
      <w:r>
        <w:rPr>
          <w:sz w:val="27"/>
        </w:rPr>
        <w:t>Demoi-cracy</w:t>
      </w:r>
      <w:r>
        <w:rPr>
          <w:spacing w:val="31"/>
          <w:sz w:val="27"/>
        </w:rPr>
        <w:t> </w:t>
      </w:r>
      <w:r>
        <w:rPr/>
        <w:t>is</w:t>
      </w:r>
      <w:r>
        <w:rPr>
          <w:spacing w:val="28"/>
        </w:rPr>
        <w:t> </w:t>
      </w:r>
      <w:r>
        <w:rPr/>
        <w:t>structurally</w:t>
      </w:r>
      <w:r>
        <w:rPr>
          <w:spacing w:val="33"/>
        </w:rPr>
        <w:t> </w:t>
      </w:r>
      <w:r>
        <w:rPr/>
        <w:t>different</w:t>
      </w:r>
      <w:r>
        <w:rPr>
          <w:spacing w:val="30"/>
        </w:rPr>
        <w:t> </w:t>
      </w:r>
      <w:r>
        <w:rPr/>
        <w:t>from</w:t>
      </w:r>
      <w:r>
        <w:rPr>
          <w:spacing w:val="33"/>
        </w:rPr>
        <w:t> </w:t>
      </w:r>
      <w:r>
        <w:rPr/>
        <w:t>democracy.</w:t>
      </w:r>
      <w:r>
        <w:rPr>
          <w:spacing w:val="37"/>
        </w:rPr>
        <w:t> </w:t>
      </w:r>
      <w:r>
        <w:rPr/>
        <w:t>If</w:t>
      </w:r>
      <w:r>
        <w:rPr>
          <w:spacing w:val="29"/>
        </w:rPr>
        <w:t> </w:t>
      </w:r>
      <w:r>
        <w:rPr/>
        <w:t>the</w:t>
      </w:r>
      <w:r>
        <w:rPr>
          <w:spacing w:val="30"/>
        </w:rPr>
        <w:t> </w:t>
      </w:r>
      <w:r>
        <w:rPr>
          <w:spacing w:val="-2"/>
        </w:rPr>
        <w:t>latter</w:t>
      </w:r>
    </w:p>
    <w:p>
      <w:pPr>
        <w:pStyle w:val="BodyText"/>
        <w:spacing w:line="271" w:lineRule="auto" w:before="49"/>
        <w:ind w:right="1907"/>
      </w:pPr>
      <w:r>
        <w:rPr/>
        <w:t>consists of individual clusters of the society, the former is built on the units of public clusters. Therefore, when the politicians address the public, they have to reach the collectivities, instead of individuals. In </w:t>
      </w:r>
      <w:r>
        <w:rPr>
          <w:sz w:val="27"/>
        </w:rPr>
        <w:t>demoi-cratic </w:t>
      </w:r>
      <w:r>
        <w:rPr/>
        <w:t>setting the inclusiveness works differently as well. The </w:t>
      </w:r>
      <w:r>
        <w:rPr>
          <w:sz w:val="27"/>
        </w:rPr>
        <w:t>statespeoples </w:t>
      </w:r>
      <w:r>
        <w:rPr/>
        <w:t>can vote</w:t>
      </w:r>
      <w:r>
        <w:rPr>
          <w:spacing w:val="-1"/>
        </w:rPr>
        <w:t> </w:t>
      </w:r>
      <w:r>
        <w:rPr/>
        <w:t>to</w:t>
      </w:r>
      <w:r>
        <w:rPr>
          <w:spacing w:val="-4"/>
        </w:rPr>
        <w:t> </w:t>
      </w:r>
      <w:r>
        <w:rPr/>
        <w:t>exit</w:t>
      </w:r>
      <w:r>
        <w:rPr>
          <w:spacing w:val="-1"/>
        </w:rPr>
        <w:t> </w:t>
      </w:r>
      <w:r>
        <w:rPr/>
        <w:t>from</w:t>
      </w:r>
      <w:r>
        <w:rPr>
          <w:spacing w:val="-3"/>
        </w:rPr>
        <w:t> </w:t>
      </w:r>
      <w:r>
        <w:rPr/>
        <w:t>the</w:t>
      </w:r>
      <w:r>
        <w:rPr>
          <w:spacing w:val="-1"/>
        </w:rPr>
        <w:t> </w:t>
      </w:r>
      <w:r>
        <w:rPr/>
        <w:t>community. This quality</w:t>
      </w:r>
      <w:r>
        <w:rPr>
          <w:spacing w:val="-1"/>
        </w:rPr>
        <w:t> </w:t>
      </w:r>
      <w:r>
        <w:rPr/>
        <w:t>makes</w:t>
      </w:r>
      <w:r>
        <w:rPr>
          <w:spacing w:val="-3"/>
        </w:rPr>
        <w:t> </w:t>
      </w:r>
      <w:r>
        <w:rPr/>
        <w:t>the</w:t>
      </w:r>
      <w:r>
        <w:rPr>
          <w:spacing w:val="-1"/>
        </w:rPr>
        <w:t> </w:t>
      </w:r>
      <w:r>
        <w:rPr/>
        <w:t>EU</w:t>
      </w:r>
      <w:r>
        <w:rPr>
          <w:spacing w:val="-1"/>
        </w:rPr>
        <w:t> </w:t>
      </w:r>
      <w:r>
        <w:rPr/>
        <w:t>more</w:t>
      </w:r>
      <w:r>
        <w:rPr>
          <w:spacing w:val="-1"/>
        </w:rPr>
        <w:t> </w:t>
      </w:r>
      <w:r>
        <w:rPr/>
        <w:t>like</w:t>
      </w:r>
      <w:r>
        <w:rPr>
          <w:spacing w:val="-1"/>
        </w:rPr>
        <w:t> </w:t>
      </w:r>
      <w:r>
        <w:rPr/>
        <w:t>non- political organization described in the second chapter.</w:t>
      </w:r>
    </w:p>
    <w:p>
      <w:pPr>
        <w:pStyle w:val="BodyText"/>
        <w:ind w:left="0"/>
        <w:jc w:val="left"/>
      </w:pPr>
    </w:p>
    <w:p>
      <w:pPr>
        <w:pStyle w:val="BodyText"/>
        <w:spacing w:before="326"/>
        <w:ind w:left="0"/>
        <w:jc w:val="left"/>
      </w:pPr>
    </w:p>
    <w:p>
      <w:pPr>
        <w:pStyle w:val="Heading4"/>
        <w:numPr>
          <w:ilvl w:val="1"/>
          <w:numId w:val="13"/>
        </w:numPr>
        <w:tabs>
          <w:tab w:pos="1582" w:val="left" w:leader="none"/>
        </w:tabs>
        <w:spacing w:line="240" w:lineRule="auto" w:before="1" w:after="0"/>
        <w:ind w:left="1582" w:right="0" w:hanging="603"/>
        <w:jc w:val="left"/>
      </w:pPr>
      <w:bookmarkStart w:name="_bookmark42" w:id="43"/>
      <w:bookmarkEnd w:id="43"/>
      <w:r>
        <w:rPr>
          <w:b w:val="0"/>
        </w:rPr>
      </w:r>
      <w:r>
        <w:rPr/>
        <w:t>-</w:t>
      </w:r>
      <w:r>
        <w:rPr>
          <w:spacing w:val="-14"/>
        </w:rPr>
        <w:t> </w:t>
      </w:r>
      <w:r>
        <w:rPr/>
        <w:t>Accountability</w:t>
      </w:r>
      <w:r>
        <w:rPr>
          <w:spacing w:val="-13"/>
        </w:rPr>
        <w:t> </w:t>
      </w:r>
      <w:r>
        <w:rPr/>
        <w:t>Of</w:t>
      </w:r>
      <w:r>
        <w:rPr>
          <w:spacing w:val="-10"/>
        </w:rPr>
        <w:t> </w:t>
      </w:r>
      <w:r>
        <w:rPr/>
        <w:t>The</w:t>
      </w:r>
      <w:r>
        <w:rPr>
          <w:spacing w:val="-13"/>
        </w:rPr>
        <w:t> </w:t>
      </w:r>
      <w:r>
        <w:rPr/>
        <w:t>EU</w:t>
      </w:r>
      <w:r>
        <w:rPr>
          <w:spacing w:val="-11"/>
        </w:rPr>
        <w:t> </w:t>
      </w:r>
      <w:r>
        <w:rPr>
          <w:spacing w:val="-2"/>
        </w:rPr>
        <w:t>Institutions</w:t>
      </w:r>
    </w:p>
    <w:p>
      <w:pPr>
        <w:pStyle w:val="BodyText"/>
        <w:spacing w:before="194"/>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52864">
                <wp:simplePos x="0" y="0"/>
                <wp:positionH relativeFrom="page">
                  <wp:posOffset>1078864</wp:posOffset>
                </wp:positionH>
                <wp:positionV relativeFrom="paragraph">
                  <wp:posOffset>282760</wp:posOffset>
                </wp:positionV>
                <wp:extent cx="5252085" cy="52069"/>
                <wp:effectExtent l="0" t="0" r="0" b="0"/>
                <wp:wrapTopAndBottom/>
                <wp:docPr id="158" name="Graphic 158"/>
                <wp:cNvGraphicFramePr>
                  <a:graphicFrameLocks/>
                </wp:cNvGraphicFramePr>
                <a:graphic>
                  <a:graphicData uri="http://schemas.microsoft.com/office/word/2010/wordprocessingShape">
                    <wps:wsp>
                      <wps:cNvPr id="158" name="Graphic 158"/>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264606pt;width:413.55pt;height:4.1pt;mso-position-horizontal-relative:page;mso-position-vertical-relative:paragraph;z-index:-15663616;mso-wrap-distance-left:0;mso-wrap-distance-right:0" id="docshape149"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spacing w:before="6"/>
        <w:ind w:left="0"/>
        <w:jc w:val="left"/>
        <w:rPr>
          <w:rFonts w:ascii="Georgia"/>
          <w:b/>
        </w:rPr>
      </w:pPr>
    </w:p>
    <w:p>
      <w:pPr>
        <w:pStyle w:val="BodyText"/>
        <w:spacing w:line="276" w:lineRule="auto" w:before="1"/>
        <w:ind w:right="1914" w:firstLine="720"/>
      </w:pPr>
      <w:r>
        <w:rPr/>
        <w:t>It is often maintained that the legitimate government, has to be an accountable one as well. However, the domain of accountability largely rests on the notion of the output legitimacy. This condition implies that the administration might be legitimately elected, but de-legitimize itself with non-accountable practices.</w:t>
      </w:r>
    </w:p>
    <w:p>
      <w:pPr>
        <w:pStyle w:val="BodyText"/>
        <w:ind w:left="0"/>
        <w:jc w:val="left"/>
        <w:rPr>
          <w:sz w:val="20"/>
        </w:rPr>
      </w:pPr>
    </w:p>
    <w:p>
      <w:pPr>
        <w:pStyle w:val="BodyText"/>
        <w:spacing w:before="147"/>
        <w:ind w:left="0"/>
        <w:jc w:val="left"/>
        <w:rPr>
          <w:sz w:val="20"/>
        </w:rPr>
      </w:pPr>
      <w:r>
        <w:rPr>
          <w:sz w:val="20"/>
        </w:rPr>
        <mc:AlternateContent>
          <mc:Choice Requires="wps">
            <w:drawing>
              <wp:anchor distT="0" distB="0" distL="0" distR="0" allowOverlap="1" layoutInCell="1" locked="0" behindDoc="1" simplePos="0" relativeHeight="487653376">
                <wp:simplePos x="0" y="0"/>
                <wp:positionH relativeFrom="page">
                  <wp:posOffset>1079296</wp:posOffset>
                </wp:positionH>
                <wp:positionV relativeFrom="paragraph">
                  <wp:posOffset>276100</wp:posOffset>
                </wp:positionV>
                <wp:extent cx="1830070" cy="9525"/>
                <wp:effectExtent l="0" t="0" r="0" b="0"/>
                <wp:wrapTopAndBottom/>
                <wp:docPr id="159" name="Graphic 159"/>
                <wp:cNvGraphicFramePr>
                  <a:graphicFrameLocks/>
                </wp:cNvGraphicFramePr>
                <a:graphic>
                  <a:graphicData uri="http://schemas.microsoft.com/office/word/2010/wordprocessingShape">
                    <wps:wsp>
                      <wps:cNvPr id="159" name="Graphic 159"/>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21.740231pt;width:144.07pt;height:.71997pt;mso-position-horizontal-relative:page;mso-position-vertical-relative:paragraph;z-index:-15663104;mso-wrap-distance-left:0;mso-wrap-distance-right:0" id="docshape150" filled="true" fillcolor="#000000" stroked="false">
                <v:fill type="solid"/>
                <w10:wrap type="topAndBottom"/>
              </v:rect>
            </w:pict>
          </mc:Fallback>
        </mc:AlternateContent>
      </w:r>
    </w:p>
    <w:p>
      <w:pPr>
        <w:spacing w:before="102"/>
        <w:ind w:left="979" w:right="1909" w:firstLine="0"/>
        <w:jc w:val="left"/>
        <w:rPr>
          <w:rFonts w:ascii="Calibri" w:hAnsi="Calibri"/>
          <w:sz w:val="20"/>
        </w:rPr>
      </w:pPr>
      <w:r>
        <w:rPr>
          <w:rFonts w:ascii="Calibri" w:hAnsi="Calibri"/>
          <w:sz w:val="20"/>
          <w:vertAlign w:val="superscript"/>
        </w:rPr>
        <w:t>27</w:t>
      </w:r>
      <w:r>
        <w:rPr>
          <w:rFonts w:ascii="Calibri" w:hAnsi="Calibri"/>
          <w:sz w:val="20"/>
          <w:vertAlign w:val="baseline"/>
        </w:rPr>
        <w:t> Nationals –</w:t>
      </w:r>
      <w:r>
        <w:rPr>
          <w:rFonts w:ascii="Calibri" w:hAnsi="Calibri"/>
          <w:spacing w:val="-3"/>
          <w:sz w:val="20"/>
          <w:vertAlign w:val="baseline"/>
        </w:rPr>
        <w:t> </w:t>
      </w:r>
      <w:r>
        <w:rPr>
          <w:rFonts w:ascii="Calibri" w:hAnsi="Calibri"/>
          <w:sz w:val="20"/>
          <w:vertAlign w:val="baseline"/>
        </w:rPr>
        <w:t>citizens</w:t>
      </w:r>
      <w:r>
        <w:rPr>
          <w:rFonts w:ascii="Calibri" w:hAnsi="Calibri"/>
          <w:spacing w:val="-1"/>
          <w:sz w:val="20"/>
          <w:vertAlign w:val="baseline"/>
        </w:rPr>
        <w:t> </w:t>
      </w:r>
      <w:r>
        <w:rPr>
          <w:rFonts w:ascii="Calibri" w:hAnsi="Calibri"/>
          <w:sz w:val="20"/>
          <w:vertAlign w:val="baseline"/>
        </w:rPr>
        <w:t>of the</w:t>
      </w:r>
      <w:r>
        <w:rPr>
          <w:rFonts w:ascii="Calibri" w:hAnsi="Calibri"/>
          <w:spacing w:val="-4"/>
          <w:sz w:val="20"/>
          <w:vertAlign w:val="baseline"/>
        </w:rPr>
        <w:t> </w:t>
      </w:r>
      <w:r>
        <w:rPr>
          <w:rFonts w:ascii="Calibri" w:hAnsi="Calibri"/>
          <w:sz w:val="20"/>
          <w:vertAlign w:val="baseline"/>
        </w:rPr>
        <w:t>EU</w:t>
      </w:r>
      <w:r>
        <w:rPr>
          <w:rFonts w:ascii="Calibri" w:hAnsi="Calibri"/>
          <w:spacing w:val="-3"/>
          <w:sz w:val="20"/>
          <w:vertAlign w:val="baseline"/>
        </w:rPr>
        <w:t> </w:t>
      </w:r>
      <w:r>
        <w:rPr>
          <w:rFonts w:ascii="Calibri" w:hAnsi="Calibri"/>
          <w:sz w:val="20"/>
          <w:vertAlign w:val="baseline"/>
        </w:rPr>
        <w:t>member state</w:t>
      </w:r>
      <w:r>
        <w:rPr>
          <w:rFonts w:ascii="Calibri" w:hAnsi="Calibri"/>
          <w:spacing w:val="-3"/>
          <w:sz w:val="20"/>
          <w:vertAlign w:val="baseline"/>
        </w:rPr>
        <w:t> </w:t>
      </w:r>
      <w:r>
        <w:rPr>
          <w:rFonts w:ascii="Calibri" w:hAnsi="Calibri"/>
          <w:sz w:val="20"/>
          <w:vertAlign w:val="baseline"/>
        </w:rPr>
        <w:t>in which they are residing; EU movers: citizens</w:t>
      </w:r>
      <w:r>
        <w:rPr>
          <w:rFonts w:ascii="Calibri" w:hAnsi="Calibri"/>
          <w:spacing w:val="-1"/>
          <w:sz w:val="20"/>
          <w:vertAlign w:val="baseline"/>
        </w:rPr>
        <w:t> </w:t>
      </w:r>
      <w:r>
        <w:rPr>
          <w:rFonts w:ascii="Calibri" w:hAnsi="Calibri"/>
          <w:sz w:val="20"/>
          <w:vertAlign w:val="baseline"/>
        </w:rPr>
        <w:t>residing in an EU member state in which they do not hold nationality</w:t>
      </w:r>
    </w:p>
    <w:p>
      <w:pPr>
        <w:spacing w:after="0"/>
        <w:jc w:val="left"/>
        <w:rPr>
          <w:rFonts w:ascii="Calibri" w:hAnsi="Calibri"/>
          <w:sz w:val="20"/>
        </w:rPr>
        <w:sectPr>
          <w:pgSz w:w="12240" w:h="15840"/>
          <w:pgMar w:header="1046" w:footer="0" w:top="1360" w:bottom="280" w:left="720" w:right="360"/>
        </w:sectPr>
      </w:pPr>
    </w:p>
    <w:p>
      <w:pPr>
        <w:pStyle w:val="BodyText"/>
        <w:spacing w:line="276" w:lineRule="auto" w:before="276"/>
        <w:ind w:right="1902" w:firstLine="720"/>
      </w:pPr>
      <w:r>
        <w:rPr/>
        <w:t>According to the concise definition, accountability is “the obligation to explain and justify the conduct.” (</w:t>
      </w:r>
      <w:hyperlink w:history="true" w:anchor="_bookmark113">
        <w:r>
          <w:rPr/>
          <w:t>Bovens, 2007, p. 450</w:t>
        </w:r>
      </w:hyperlink>
      <w:r>
        <w:rPr/>
        <w:t>) However, the process of justification covers a large cluster of areas, like transparency, equity, democracy, efficiency, responsiveness, responsibility and integrity. (</w:t>
      </w:r>
      <w:hyperlink w:history="true" w:anchor="_bookmark113">
        <w:r>
          <w:rPr/>
          <w:t>2007, p. 449</w:t>
        </w:r>
      </w:hyperlink>
      <w:r>
        <w:rPr/>
        <w:t>)</w:t>
      </w:r>
    </w:p>
    <w:p>
      <w:pPr>
        <w:pStyle w:val="BodyText"/>
        <w:spacing w:line="273" w:lineRule="auto"/>
        <w:ind w:right="1913" w:firstLine="720"/>
      </w:pPr>
      <w:r>
        <w:rPr/>
        <w:t>Accountability, therefore, is not a static quality. It would be feasible to think of it in a continuous tense. Being accountable, means nothing but practicing accountability. This argument is based on the same logic of </w:t>
      </w:r>
      <w:r>
        <w:rPr>
          <w:sz w:val="27"/>
        </w:rPr>
        <w:t>Luhmann’s</w:t>
      </w:r>
      <w:r>
        <w:rPr>
          <w:spacing w:val="-7"/>
          <w:sz w:val="27"/>
        </w:rPr>
        <w:t> </w:t>
      </w:r>
      <w:r>
        <w:rPr/>
        <w:t>social</w:t>
      </w:r>
      <w:r>
        <w:rPr>
          <w:spacing w:val="-6"/>
        </w:rPr>
        <w:t> </w:t>
      </w:r>
      <w:r>
        <w:rPr/>
        <w:t>communication.</w:t>
      </w:r>
      <w:r>
        <w:rPr>
          <w:spacing w:val="-3"/>
        </w:rPr>
        <w:t> </w:t>
      </w:r>
      <w:r>
        <w:rPr/>
        <w:t>To</w:t>
      </w:r>
      <w:r>
        <w:rPr>
          <w:spacing w:val="-6"/>
        </w:rPr>
        <w:t> </w:t>
      </w:r>
      <w:r>
        <w:rPr/>
        <w:t>observe</w:t>
      </w:r>
      <w:r>
        <w:rPr>
          <w:spacing w:val="-4"/>
        </w:rPr>
        <w:t> </w:t>
      </w:r>
      <w:r>
        <w:rPr/>
        <w:t>the</w:t>
      </w:r>
      <w:r>
        <w:rPr>
          <w:spacing w:val="-4"/>
        </w:rPr>
        <w:t> </w:t>
      </w:r>
      <w:r>
        <w:rPr/>
        <w:t>accountability, one</w:t>
      </w:r>
      <w:r>
        <w:rPr>
          <w:spacing w:val="-4"/>
        </w:rPr>
        <w:t> </w:t>
      </w:r>
      <w:r>
        <w:rPr/>
        <w:t>needs a full cycle of social communication, one is said to be accountable when others admit it as well.</w:t>
      </w:r>
    </w:p>
    <w:p>
      <w:pPr>
        <w:pStyle w:val="BodyText"/>
        <w:spacing w:line="276" w:lineRule="auto" w:before="6"/>
        <w:ind w:right="1906" w:firstLine="720"/>
      </w:pPr>
      <w:r>
        <w:rPr/>
        <w:t>Constructing the accountable practices depends on three main aspects: 1) the structural predisposition in the organization, 2) the</w:t>
      </w:r>
      <w:r>
        <w:rPr>
          <w:spacing w:val="40"/>
        </w:rPr>
        <w:t> </w:t>
      </w:r>
      <w:r>
        <w:rPr/>
        <w:t>functional status of the actors, 3) relevance of referent audience.</w:t>
      </w:r>
    </w:p>
    <w:p>
      <w:pPr>
        <w:pStyle w:val="BodyText"/>
        <w:spacing w:line="276" w:lineRule="auto"/>
        <w:ind w:right="1915" w:firstLine="720"/>
      </w:pPr>
      <w:r>
        <w:rPr>
          <w:sz w:val="27"/>
        </w:rPr>
        <w:t>Structural</w:t>
      </w:r>
      <w:r>
        <w:rPr>
          <w:spacing w:val="-9"/>
          <w:sz w:val="27"/>
        </w:rPr>
        <w:t> </w:t>
      </w:r>
      <w:r>
        <w:rPr>
          <w:sz w:val="27"/>
        </w:rPr>
        <w:t>predisposition</w:t>
      </w:r>
      <w:r>
        <w:rPr>
          <w:spacing w:val="-3"/>
          <w:sz w:val="27"/>
        </w:rPr>
        <w:t> </w:t>
      </w:r>
      <w:r>
        <w:rPr/>
        <w:t>for</w:t>
      </w:r>
      <w:r>
        <w:rPr>
          <w:spacing w:val="-4"/>
        </w:rPr>
        <w:t> </w:t>
      </w:r>
      <w:r>
        <w:rPr/>
        <w:t>accountability</w:t>
      </w:r>
      <w:r>
        <w:rPr>
          <w:spacing w:val="-5"/>
        </w:rPr>
        <w:t> </w:t>
      </w:r>
      <w:r>
        <w:rPr/>
        <w:t>is</w:t>
      </w:r>
      <w:r>
        <w:rPr>
          <w:spacing w:val="-7"/>
        </w:rPr>
        <w:t> </w:t>
      </w:r>
      <w:r>
        <w:rPr/>
        <w:t>a</w:t>
      </w:r>
      <w:r>
        <w:rPr>
          <w:spacing w:val="-4"/>
        </w:rPr>
        <w:t> </w:t>
      </w:r>
      <w:r>
        <w:rPr/>
        <w:t>set</w:t>
      </w:r>
      <w:r>
        <w:rPr>
          <w:spacing w:val="-5"/>
        </w:rPr>
        <w:t> </w:t>
      </w:r>
      <w:r>
        <w:rPr/>
        <w:t>of</w:t>
      </w:r>
      <w:r>
        <w:rPr>
          <w:spacing w:val="-6"/>
        </w:rPr>
        <w:t> </w:t>
      </w:r>
      <w:r>
        <w:rPr/>
        <w:t>constraints</w:t>
      </w:r>
      <w:r>
        <w:rPr>
          <w:spacing w:val="-7"/>
        </w:rPr>
        <w:t> </w:t>
      </w:r>
      <w:r>
        <w:rPr/>
        <w:t>and rules, which are imposed on the functioning agents, to keep them in the margins of acceptable misconduct. The misconduct, which cannot be allowed, includes the activities, disturbing the entities in the environment.</w:t>
      </w:r>
    </w:p>
    <w:p>
      <w:pPr>
        <w:pStyle w:val="ListParagraph"/>
        <w:numPr>
          <w:ilvl w:val="0"/>
          <w:numId w:val="15"/>
        </w:numPr>
        <w:tabs>
          <w:tab w:pos="1698" w:val="left" w:leader="none"/>
          <w:tab w:pos="1700" w:val="left" w:leader="none"/>
        </w:tabs>
        <w:spacing w:line="276" w:lineRule="auto" w:before="0" w:after="0"/>
        <w:ind w:left="1700" w:right="1917" w:hanging="360"/>
        <w:jc w:val="both"/>
        <w:rPr>
          <w:sz w:val="26"/>
        </w:rPr>
      </w:pPr>
      <w:r>
        <w:rPr>
          <w:sz w:val="26"/>
        </w:rPr>
        <w:t>Those entities can send the</w:t>
      </w:r>
      <w:r>
        <w:rPr>
          <w:spacing w:val="40"/>
          <w:sz w:val="26"/>
        </w:rPr>
        <w:t> </w:t>
      </w:r>
      <w:r>
        <w:rPr>
          <w:sz w:val="26"/>
        </w:rPr>
        <w:t>negative feedbacks and affect the functioning of the system,</w:t>
      </w:r>
    </w:p>
    <w:p>
      <w:pPr>
        <w:pStyle w:val="ListParagraph"/>
        <w:numPr>
          <w:ilvl w:val="0"/>
          <w:numId w:val="15"/>
        </w:numPr>
        <w:tabs>
          <w:tab w:pos="1698" w:val="left" w:leader="none"/>
          <w:tab w:pos="1700" w:val="left" w:leader="none"/>
        </w:tabs>
        <w:spacing w:line="276" w:lineRule="auto" w:before="0" w:after="0"/>
        <w:ind w:left="1700" w:right="1915" w:hanging="360"/>
        <w:jc w:val="both"/>
        <w:rPr>
          <w:sz w:val="26"/>
        </w:rPr>
      </w:pPr>
      <w:r>
        <w:rPr>
          <w:sz w:val="26"/>
        </w:rPr>
        <w:t>The capable third party can condemn and send negative feedbacks and affect the functioning of the system,</w:t>
      </w:r>
    </w:p>
    <w:p>
      <w:pPr>
        <w:pStyle w:val="ListParagraph"/>
        <w:numPr>
          <w:ilvl w:val="0"/>
          <w:numId w:val="15"/>
        </w:numPr>
        <w:tabs>
          <w:tab w:pos="1700" w:val="left" w:leader="none"/>
        </w:tabs>
        <w:spacing w:line="276" w:lineRule="auto" w:before="0" w:after="0"/>
        <w:ind w:left="1700" w:right="1918" w:hanging="360"/>
        <w:jc w:val="both"/>
        <w:rPr>
          <w:sz w:val="26"/>
        </w:rPr>
      </w:pPr>
      <w:r>
        <w:rPr>
          <w:sz w:val="26"/>
        </w:rPr>
        <w:t>The misconduct which violates general normative context, moral code or legal organization of communication, might marginalize the </w:t>
      </w:r>
      <w:r>
        <w:rPr>
          <w:spacing w:val="-2"/>
          <w:sz w:val="26"/>
        </w:rPr>
        <w:t>system.</w:t>
      </w:r>
    </w:p>
    <w:p>
      <w:pPr>
        <w:pStyle w:val="BodyText"/>
        <w:spacing w:line="273" w:lineRule="auto"/>
        <w:ind w:right="1908"/>
      </w:pPr>
      <w:r>
        <w:rPr/>
        <w:t>According to structural predisposition, practice of accountability might vary. In a </w:t>
      </w:r>
      <w:r>
        <w:rPr>
          <w:sz w:val="27"/>
        </w:rPr>
        <w:t>hierarchic </w:t>
      </w:r>
      <w:r>
        <w:rPr/>
        <w:t>accountability, the weight of the conduct rests on the shoulders of the principals. They are the ones being questioned and scrutinized. The principals have to respond critics and justify the mistakes</w:t>
      </w:r>
      <w:r>
        <w:rPr>
          <w:spacing w:val="40"/>
        </w:rPr>
        <w:t> </w:t>
      </w:r>
      <w:r>
        <w:rPr/>
        <w:t>of others and if fail take the responsibility. This arrangement, involves a strict top-down control, to avoid problems. </w:t>
      </w:r>
      <w:r>
        <w:rPr>
          <w:sz w:val="27"/>
        </w:rPr>
        <w:t>One for all, practice </w:t>
      </w:r>
      <w:r>
        <w:rPr/>
        <w:t>makes every</w:t>
      </w:r>
      <w:r>
        <w:rPr>
          <w:spacing w:val="72"/>
          <w:w w:val="150"/>
        </w:rPr>
        <w:t> </w:t>
      </w:r>
      <w:r>
        <w:rPr/>
        <w:t>individual</w:t>
      </w:r>
      <w:r>
        <w:rPr>
          <w:spacing w:val="72"/>
          <w:w w:val="150"/>
        </w:rPr>
        <w:t> </w:t>
      </w:r>
      <w:r>
        <w:rPr/>
        <w:t>agent,</w:t>
      </w:r>
      <w:r>
        <w:rPr>
          <w:spacing w:val="74"/>
          <w:w w:val="150"/>
        </w:rPr>
        <w:t> </w:t>
      </w:r>
      <w:r>
        <w:rPr/>
        <w:t>accountable</w:t>
      </w:r>
      <w:r>
        <w:rPr>
          <w:spacing w:val="74"/>
          <w:w w:val="150"/>
        </w:rPr>
        <w:t> </w:t>
      </w:r>
      <w:r>
        <w:rPr/>
        <w:t>for</w:t>
      </w:r>
      <w:r>
        <w:rPr>
          <w:spacing w:val="74"/>
          <w:w w:val="150"/>
        </w:rPr>
        <w:t> </w:t>
      </w:r>
      <w:r>
        <w:rPr/>
        <w:t>the</w:t>
      </w:r>
      <w:r>
        <w:rPr>
          <w:spacing w:val="74"/>
          <w:w w:val="150"/>
        </w:rPr>
        <w:t> </w:t>
      </w:r>
      <w:r>
        <w:rPr/>
        <w:t>entire</w:t>
      </w:r>
      <w:r>
        <w:rPr>
          <w:spacing w:val="69"/>
          <w:w w:val="150"/>
        </w:rPr>
        <w:t> </w:t>
      </w:r>
      <w:r>
        <w:rPr/>
        <w:t>organization</w:t>
      </w:r>
      <w:r>
        <w:rPr>
          <w:spacing w:val="75"/>
          <w:w w:val="150"/>
        </w:rPr>
        <w:t> </w:t>
      </w:r>
      <w:r>
        <w:rPr>
          <w:spacing w:val="-4"/>
        </w:rPr>
        <w:t>they</w:t>
      </w:r>
    </w:p>
    <w:p>
      <w:pPr>
        <w:pStyle w:val="BodyText"/>
        <w:spacing w:after="0" w:line="273" w:lineRule="auto"/>
        <w:sectPr>
          <w:pgSz w:w="12240" w:h="15840"/>
          <w:pgMar w:header="1046" w:footer="0" w:top="1360" w:bottom="280" w:left="720" w:right="360"/>
        </w:sectPr>
      </w:pPr>
    </w:p>
    <w:p>
      <w:pPr>
        <w:pStyle w:val="BodyText"/>
        <w:spacing w:line="273" w:lineRule="auto" w:before="276"/>
        <w:ind w:right="1904"/>
      </w:pPr>
      <w:r>
        <w:rPr/>
        <w:t>represent. Here, the structure involves enhanced peer-review capabilities. </w:t>
      </w:r>
      <w:r>
        <w:rPr>
          <w:sz w:val="27"/>
        </w:rPr>
        <w:t>Individual</w:t>
      </w:r>
      <w:r>
        <w:rPr>
          <w:spacing w:val="-1"/>
          <w:sz w:val="27"/>
        </w:rPr>
        <w:t> </w:t>
      </w:r>
      <w:r>
        <w:rPr>
          <w:sz w:val="27"/>
        </w:rPr>
        <w:t>accountability </w:t>
      </w:r>
      <w:r>
        <w:rPr/>
        <w:t>makes</w:t>
      </w:r>
      <w:r>
        <w:rPr>
          <w:spacing w:val="-2"/>
        </w:rPr>
        <w:t> </w:t>
      </w:r>
      <w:r>
        <w:rPr/>
        <w:t>every agent responsible for own activities. (</w:t>
      </w:r>
      <w:hyperlink w:history="true" w:anchor="_bookmark113">
        <w:r>
          <w:rPr/>
          <w:t>Bovens, 2007</w:t>
        </w:r>
      </w:hyperlink>
      <w:r>
        <w:rPr/>
        <w:t>) This seems to be the simplest disposition, however, in political organizations, where the actors are subjected to scrutiny, imposed by a large variety of referent audiences, the arrangement is hard to maintain. This condition can affect the performance of the agents, which are more likely to be more cautious and less innovative. (</w:t>
      </w:r>
      <w:hyperlink w:history="true" w:anchor="_bookmark413">
        <w:r>
          <w:rPr/>
          <w:t>Tsebelis, 2000</w:t>
        </w:r>
      </w:hyperlink>
      <w:r>
        <w:rPr/>
        <w:t>)</w:t>
      </w:r>
    </w:p>
    <w:p>
      <w:pPr>
        <w:pStyle w:val="BodyText"/>
        <w:spacing w:line="276" w:lineRule="auto"/>
        <w:ind w:right="1911" w:firstLine="720"/>
      </w:pPr>
      <w:r>
        <w:rPr>
          <w:sz w:val="27"/>
        </w:rPr>
        <w:t>The functional status of the actors </w:t>
      </w:r>
      <w:r>
        <w:rPr/>
        <w:t>involves the idea that the role of one actor in the organization, might cover less domains of accountability than the same of the others. For instance, the technical departments of the organization are accountable for a very limited range of well-defined activities. Checking the performance of specific tasks is relatively easy as well. To the contrary, in the case of politically oriented entities, with multiple agency areas the notion of accountability becomes rather fluid and depends on referent audience’s attitudes.</w:t>
      </w:r>
    </w:p>
    <w:p>
      <w:pPr>
        <w:pStyle w:val="BodyText"/>
        <w:spacing w:line="276" w:lineRule="auto"/>
        <w:ind w:right="1911" w:firstLine="720"/>
      </w:pPr>
      <w:r>
        <w:rPr/>
        <w:t>In order to see the nature of accountability practices, it is crucial to understand the </w:t>
      </w:r>
      <w:r>
        <w:rPr>
          <w:sz w:val="27"/>
        </w:rPr>
        <w:t>role of the referent audience</w:t>
      </w:r>
      <w:r>
        <w:rPr/>
        <w:t>. It is broadly observed that similar political actors, in the different political setting have different demands on accountability areas. For instance, in socially oriented</w:t>
      </w:r>
      <w:r>
        <w:rPr>
          <w:spacing w:val="40"/>
        </w:rPr>
        <w:t> </w:t>
      </w:r>
      <w:r>
        <w:rPr/>
        <w:t>European countries, the administrations can be subjected to scrutiny in the areas like universal health care, free education, market regulation, etc. This is unlikely to happen in the United States, where tradition of public attitudes is somehow different. The nature of new governance induces the notion that only accountable citizens can have the accountable institutions. (</w:t>
      </w:r>
      <w:hyperlink w:history="true" w:anchor="_bookmark207">
        <w:r>
          <w:rPr/>
          <w:t>Hanberger, 2006, p. 2</w:t>
        </w:r>
      </w:hyperlink>
      <w:r>
        <w:rPr/>
        <w:t>) This condition presupposes that the referent audience has every necessary tool to question and if required sanction the </w:t>
      </w:r>
      <w:r>
        <w:rPr>
          <w:spacing w:val="-2"/>
        </w:rPr>
        <w:t>government.</w:t>
      </w:r>
    </w:p>
    <w:p>
      <w:pPr>
        <w:pStyle w:val="BodyText"/>
        <w:spacing w:line="276" w:lineRule="auto"/>
        <w:ind w:right="1909" w:firstLine="720"/>
      </w:pPr>
      <w:r>
        <w:rPr/>
        <w:t>In the complex social organizations it is hard to single out any one accountability practice to be a universal for the entire system. The practice is spread into two main interaction patterns: 1) Interaction between the accountable agents and the referent audience, 2) Interaction between the accountable agents, referent audience and the meaning [purpose].</w:t>
      </w:r>
    </w:p>
    <w:p>
      <w:pPr>
        <w:pStyle w:val="BodyText"/>
        <w:spacing w:after="0" w:line="276" w:lineRule="auto"/>
        <w:sectPr>
          <w:pgSz w:w="12240" w:h="15840"/>
          <w:pgMar w:header="1046" w:footer="0" w:top="1360" w:bottom="280" w:left="720" w:right="360"/>
        </w:sectPr>
      </w:pPr>
    </w:p>
    <w:p>
      <w:pPr>
        <w:pStyle w:val="BodyText"/>
        <w:spacing w:line="276" w:lineRule="auto" w:before="276"/>
        <w:ind w:right="1918" w:firstLine="720"/>
      </w:pPr>
      <w:r>
        <w:rPr/>
        <w:t>For example, if the organization uses the hierarchic accountability principle that would involve a direct involvement of principals with the environment [referent audience]. But this condition does not exclude the possibility that the agent subordinates, who do not answer directly to external scrutiny, are under different accountability regulation within the </w:t>
      </w:r>
      <w:r>
        <w:rPr>
          <w:spacing w:val="-2"/>
        </w:rPr>
        <w:t>system.</w:t>
      </w:r>
    </w:p>
    <w:p>
      <w:pPr>
        <w:pStyle w:val="BodyText"/>
        <w:spacing w:line="276" w:lineRule="auto"/>
        <w:ind w:right="1909" w:firstLine="720"/>
      </w:pPr>
      <w:r>
        <w:rPr/>
        <w:t>This basic overview is common for the societal relations; however, we acknowledge that each case of interaction between the accountable actors and the referent audiences is rather unique. In pre-defined political setting we have to combine several types of accountability: political, legal, administrative and social. The study of the EU calls for examining each.</w:t>
      </w:r>
    </w:p>
    <w:p>
      <w:pPr>
        <w:pStyle w:val="BodyText"/>
        <w:ind w:left="0"/>
        <w:jc w:val="left"/>
      </w:pPr>
    </w:p>
    <w:p>
      <w:pPr>
        <w:pStyle w:val="BodyText"/>
        <w:ind w:left="0"/>
        <w:jc w:val="left"/>
      </w:pPr>
    </w:p>
    <w:p>
      <w:pPr>
        <w:pStyle w:val="BodyText"/>
        <w:spacing w:before="179"/>
        <w:ind w:left="0"/>
        <w:jc w:val="left"/>
      </w:pPr>
    </w:p>
    <w:p>
      <w:pPr>
        <w:pStyle w:val="Heading4"/>
        <w:numPr>
          <w:ilvl w:val="2"/>
          <w:numId w:val="13"/>
        </w:numPr>
        <w:tabs>
          <w:tab w:pos="2072" w:val="left" w:leader="none"/>
          <w:tab w:pos="3881" w:val="left" w:leader="none"/>
          <w:tab w:pos="4499" w:val="left" w:leader="none"/>
          <w:tab w:pos="6725" w:val="left" w:leader="none"/>
          <w:tab w:pos="8508" w:val="left" w:leader="none"/>
        </w:tabs>
        <w:spacing w:line="273" w:lineRule="auto" w:before="1" w:after="0"/>
        <w:ind w:left="979" w:right="1901" w:firstLine="0"/>
        <w:jc w:val="left"/>
      </w:pPr>
      <w:r>
        <w:rPr>
          <w:spacing w:val="-2"/>
        </w:rPr>
        <w:t>Adjusting</w:t>
      </w:r>
      <w:r>
        <w:rPr/>
        <w:tab/>
      </w:r>
      <w:r>
        <w:rPr>
          <w:spacing w:val="-6"/>
        </w:rPr>
        <w:t>to</w:t>
      </w:r>
      <w:r>
        <w:rPr/>
        <w:tab/>
      </w:r>
      <w:r>
        <w:rPr>
          <w:spacing w:val="-2"/>
        </w:rPr>
        <w:t>Accountable</w:t>
      </w:r>
      <w:r>
        <w:rPr/>
        <w:tab/>
      </w:r>
      <w:r>
        <w:rPr>
          <w:spacing w:val="-2"/>
        </w:rPr>
        <w:t>Practices,</w:t>
      </w:r>
      <w:r>
        <w:rPr/>
        <w:tab/>
      </w:r>
      <w:r>
        <w:rPr>
          <w:spacing w:val="-8"/>
        </w:rPr>
        <w:t>Case </w:t>
      </w:r>
      <w:r>
        <w:rPr>
          <w:spacing w:val="-2"/>
        </w:rPr>
        <w:t>Commission</w:t>
      </w:r>
    </w:p>
    <w:p>
      <w:pPr>
        <w:pStyle w:val="BodyText"/>
        <w:spacing w:before="2"/>
        <w:ind w:left="0"/>
        <w:jc w:val="left"/>
        <w:rPr>
          <w:rFonts w:ascii="Georgia"/>
          <w:b/>
          <w:sz w:val="7"/>
        </w:rPr>
      </w:pPr>
      <w:r>
        <w:rPr>
          <w:rFonts w:ascii="Georgia"/>
          <w:b/>
          <w:sz w:val="7"/>
        </w:rPr>
        <mc:AlternateContent>
          <mc:Choice Requires="wps">
            <w:drawing>
              <wp:anchor distT="0" distB="0" distL="0" distR="0" allowOverlap="1" layoutInCell="1" locked="0" behindDoc="1" simplePos="0" relativeHeight="487653888">
                <wp:simplePos x="0" y="0"/>
                <wp:positionH relativeFrom="page">
                  <wp:posOffset>1078864</wp:posOffset>
                </wp:positionH>
                <wp:positionV relativeFrom="paragraph">
                  <wp:posOffset>67253</wp:posOffset>
                </wp:positionV>
                <wp:extent cx="5252085" cy="51435"/>
                <wp:effectExtent l="0" t="0" r="0" b="0"/>
                <wp:wrapTopAndBottom/>
                <wp:docPr id="160" name="Graphic 160"/>
                <wp:cNvGraphicFramePr>
                  <a:graphicFrameLocks/>
                </wp:cNvGraphicFramePr>
                <a:graphic>
                  <a:graphicData uri="http://schemas.microsoft.com/office/word/2010/wordprocessingShape">
                    <wps:wsp>
                      <wps:cNvPr id="160" name="Graphic 160"/>
                      <wps:cNvSpPr/>
                      <wps:spPr>
                        <a:xfrm>
                          <a:off x="0" y="0"/>
                          <a:ext cx="5252085" cy="51435"/>
                        </a:xfrm>
                        <a:custGeom>
                          <a:avLst/>
                          <a:gdLst/>
                          <a:ahLst/>
                          <a:cxnLst/>
                          <a:rect l="l" t="t" r="r" b="b"/>
                          <a:pathLst>
                            <a:path w="5252085" h="51435">
                              <a:moveTo>
                                <a:pt x="5252085" y="0"/>
                              </a:moveTo>
                              <a:lnTo>
                                <a:pt x="0" y="0"/>
                              </a:lnTo>
                              <a:lnTo>
                                <a:pt x="0" y="51435"/>
                              </a:lnTo>
                              <a:lnTo>
                                <a:pt x="5252085" y="51435"/>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5.295542pt;width:413.55pt;height:4.05pt;mso-position-horizontal-relative:page;mso-position-vertical-relative:paragraph;z-index:-15662592;mso-wrap-distance-left:0;mso-wrap-distance-right:0" id="docshape151" filled="true" fillcolor="#000000" stroked="false">
                <v:fill type="solid"/>
                <w10:wrap type="topAndBottom"/>
              </v:rect>
            </w:pict>
          </mc:Fallback>
        </mc:AlternateContent>
      </w:r>
    </w:p>
    <w:p>
      <w:pPr>
        <w:pStyle w:val="BodyText"/>
        <w:ind w:left="0"/>
        <w:jc w:val="left"/>
        <w:rPr>
          <w:rFonts w:ascii="Georgia"/>
          <w:b/>
        </w:rPr>
      </w:pPr>
    </w:p>
    <w:p>
      <w:pPr>
        <w:pStyle w:val="BodyText"/>
        <w:spacing w:before="244"/>
        <w:ind w:left="0"/>
        <w:jc w:val="left"/>
        <w:rPr>
          <w:rFonts w:ascii="Georgia"/>
          <w:b/>
        </w:rPr>
      </w:pPr>
    </w:p>
    <w:p>
      <w:pPr>
        <w:pStyle w:val="BodyText"/>
        <w:spacing w:line="276" w:lineRule="auto"/>
        <w:ind w:right="1903" w:firstLine="720"/>
      </w:pPr>
      <w:r>
        <w:rPr/>
        <w:t>The European Commission under president </w:t>
      </w:r>
      <w:r>
        <w:rPr>
          <w:sz w:val="27"/>
        </w:rPr>
        <w:t>Jaques Santer </w:t>
      </w:r>
      <w:r>
        <w:rPr/>
        <w:t>has resigned, as a result of the organizational misconduct reported</w:t>
      </w:r>
      <w:r>
        <w:rPr>
          <w:spacing w:val="40"/>
        </w:rPr>
        <w:t> </w:t>
      </w:r>
      <w:r>
        <w:rPr/>
        <w:t>by the committee of independent experts and subsequent pressure from the European Parliament. (</w:t>
      </w:r>
      <w:hyperlink w:history="true" w:anchor="_bookmark438">
        <w:r>
          <w:rPr/>
          <w:t>Wille, 2010, p. 1093</w:t>
        </w:r>
      </w:hyperlink>
      <w:r>
        <w:rPr/>
        <w:t>)</w:t>
      </w:r>
      <w:r>
        <w:rPr>
          <w:spacing w:val="40"/>
        </w:rPr>
        <w:t> </w:t>
      </w:r>
      <w:r>
        <w:rPr/>
        <w:t>In the report was maintained that the increase of direct management responsibilities given to the commission, has combined the policy proposing with policy implementing functions. At the same time, the latter was</w:t>
      </w:r>
      <w:r>
        <w:rPr>
          <w:spacing w:val="-2"/>
        </w:rPr>
        <w:t> </w:t>
      </w:r>
      <w:r>
        <w:rPr/>
        <w:t>lagging behind due to</w:t>
      </w:r>
      <w:r>
        <w:rPr>
          <w:spacing w:val="-3"/>
        </w:rPr>
        <w:t> </w:t>
      </w:r>
      <w:r>
        <w:rPr/>
        <w:t>the lack of experience and absence of administrative and financial</w:t>
      </w:r>
      <w:r>
        <w:rPr>
          <w:spacing w:val="-2"/>
        </w:rPr>
        <w:t> </w:t>
      </w:r>
      <w:r>
        <w:rPr/>
        <w:t>culture. Considering this condition, it was not surprising that “Commissioners sometimes argued that they were not aware of what was happening in their services.” (</w:t>
      </w:r>
      <w:hyperlink w:history="true" w:anchor="_bookmark178">
        <w:r>
          <w:rPr/>
          <w:t>EP,</w:t>
        </w:r>
      </w:hyperlink>
      <w:r>
        <w:rPr/>
        <w:t> </w:t>
      </w:r>
      <w:hyperlink w:history="true" w:anchor="_bookmark178">
        <w:r>
          <w:rPr/>
          <w:t>1999b</w:t>
        </w:r>
      </w:hyperlink>
      <w:r>
        <w:rPr/>
        <w:t>) The report has rightly noted that “While such affirmations, if sincere, would clearly absolve Commissioners of personal, direct responsibility</w:t>
      </w:r>
      <w:r>
        <w:rPr>
          <w:spacing w:val="40"/>
        </w:rPr>
        <w:t> </w:t>
      </w:r>
      <w:r>
        <w:rPr/>
        <w:t>for</w:t>
      </w:r>
      <w:r>
        <w:rPr>
          <w:spacing w:val="40"/>
        </w:rPr>
        <w:t> </w:t>
      </w:r>
      <w:r>
        <w:rPr/>
        <w:t>the</w:t>
      </w:r>
      <w:r>
        <w:rPr>
          <w:spacing w:val="40"/>
        </w:rPr>
        <w:t> </w:t>
      </w:r>
      <w:r>
        <w:rPr/>
        <w:t>individual</w:t>
      </w:r>
      <w:r>
        <w:rPr>
          <w:spacing w:val="40"/>
        </w:rPr>
        <w:t> </w:t>
      </w:r>
      <w:r>
        <w:rPr/>
        <w:t>instances</w:t>
      </w:r>
      <w:r>
        <w:rPr>
          <w:spacing w:val="40"/>
        </w:rPr>
        <w:t> </w:t>
      </w:r>
      <w:r>
        <w:rPr/>
        <w:t>of</w:t>
      </w:r>
      <w:r>
        <w:rPr>
          <w:spacing w:val="40"/>
        </w:rPr>
        <w:t> </w:t>
      </w:r>
      <w:r>
        <w:rPr/>
        <w:t>fraud</w:t>
      </w:r>
      <w:r>
        <w:rPr>
          <w:spacing w:val="40"/>
        </w:rPr>
        <w:t> </w:t>
      </w:r>
      <w:r>
        <w:rPr/>
        <w:t>and</w:t>
      </w:r>
      <w:r>
        <w:rPr>
          <w:spacing w:val="40"/>
        </w:rPr>
        <w:t> </w:t>
      </w:r>
      <w:r>
        <w:rPr/>
        <w:t>corruption,</w:t>
      </w:r>
      <w:r>
        <w:rPr>
          <w:spacing w:val="40"/>
        </w:rPr>
        <w:t> </w:t>
      </w:r>
      <w:r>
        <w:rPr/>
        <w:t>they</w:t>
      </w:r>
    </w:p>
    <w:p>
      <w:pPr>
        <w:pStyle w:val="BodyText"/>
        <w:spacing w:after="0" w:line="276" w:lineRule="auto"/>
        <w:sectPr>
          <w:pgSz w:w="12240" w:h="15840"/>
          <w:pgMar w:header="1046" w:footer="0" w:top="1360" w:bottom="280" w:left="720" w:right="360"/>
        </w:sectPr>
      </w:pPr>
    </w:p>
    <w:p>
      <w:pPr>
        <w:pStyle w:val="BodyText"/>
        <w:spacing w:line="273" w:lineRule="auto" w:before="276"/>
        <w:ind w:right="1906"/>
      </w:pPr>
      <w:r>
        <w:rPr/>
        <w:t>represent</w:t>
      </w:r>
      <w:r>
        <w:rPr>
          <w:spacing w:val="-2"/>
        </w:rPr>
        <w:t> </w:t>
      </w:r>
      <w:r>
        <w:rPr/>
        <w:t>a</w:t>
      </w:r>
      <w:r>
        <w:rPr>
          <w:spacing w:val="-2"/>
        </w:rPr>
        <w:t> </w:t>
      </w:r>
      <w:r>
        <w:rPr/>
        <w:t>serious</w:t>
      </w:r>
      <w:r>
        <w:rPr>
          <w:spacing w:val="-4"/>
        </w:rPr>
        <w:t> </w:t>
      </w:r>
      <w:r>
        <w:rPr/>
        <w:t>admission of failure</w:t>
      </w:r>
      <w:r>
        <w:rPr>
          <w:spacing w:val="-2"/>
        </w:rPr>
        <w:t> </w:t>
      </w:r>
      <w:r>
        <w:rPr/>
        <w:t>in another</w:t>
      </w:r>
      <w:r>
        <w:rPr>
          <w:spacing w:val="-1"/>
        </w:rPr>
        <w:t> </w:t>
      </w:r>
      <w:r>
        <w:rPr/>
        <w:t>respect.” (</w:t>
      </w:r>
      <w:hyperlink w:history="true" w:anchor="_bookmark178">
        <w:r>
          <w:rPr/>
          <w:t>EP, 1999b</w:t>
        </w:r>
      </w:hyperlink>
      <w:r>
        <w:rPr/>
        <w:t>)</w:t>
      </w:r>
      <w:r>
        <w:rPr>
          <w:spacing w:val="-1"/>
        </w:rPr>
        <w:t> </w:t>
      </w:r>
      <w:r>
        <w:rPr/>
        <w:t>The expert group did not find any hard prove, which would indicate that any one member benefited financially from the malpractices, however indirect or passive involvement, few cases of favoritism and professional</w:t>
      </w:r>
      <w:r>
        <w:rPr>
          <w:spacing w:val="40"/>
        </w:rPr>
        <w:t> </w:t>
      </w:r>
      <w:r>
        <w:rPr/>
        <w:t>indifference were enough to decide on negative conclusion. The actions of the </w:t>
      </w:r>
      <w:r>
        <w:rPr>
          <w:sz w:val="27"/>
        </w:rPr>
        <w:t>Santer’s </w:t>
      </w:r>
      <w:r>
        <w:rPr/>
        <w:t>commission were recognized as “not illegal per se, was not acceptable.” (</w:t>
      </w:r>
      <w:hyperlink w:history="true" w:anchor="_bookmark177">
        <w:r>
          <w:rPr/>
          <w:t>EP, 1999a</w:t>
        </w:r>
      </w:hyperlink>
      <w:r>
        <w:rPr/>
        <w:t>)</w:t>
      </w:r>
    </w:p>
    <w:p>
      <w:pPr>
        <w:pStyle w:val="BodyText"/>
        <w:spacing w:line="273" w:lineRule="auto" w:before="9"/>
        <w:ind w:right="1913" w:firstLine="720"/>
      </w:pPr>
      <w:r>
        <w:rPr/>
        <w:t>In the statement published a day after the resignation of the Commission,</w:t>
      </w:r>
      <w:r>
        <w:rPr>
          <w:spacing w:val="-1"/>
        </w:rPr>
        <w:t> </w:t>
      </w:r>
      <w:r>
        <w:rPr>
          <w:sz w:val="27"/>
        </w:rPr>
        <w:t>Jaques</w:t>
      </w:r>
      <w:r>
        <w:rPr>
          <w:spacing w:val="-9"/>
          <w:sz w:val="27"/>
        </w:rPr>
        <w:t> </w:t>
      </w:r>
      <w:r>
        <w:rPr>
          <w:sz w:val="27"/>
        </w:rPr>
        <w:t>Santer</w:t>
      </w:r>
      <w:r>
        <w:rPr>
          <w:spacing w:val="-4"/>
          <w:sz w:val="27"/>
        </w:rPr>
        <w:t> </w:t>
      </w:r>
      <w:r>
        <w:rPr/>
        <w:t>talked</w:t>
      </w:r>
      <w:r>
        <w:rPr>
          <w:spacing w:val="-7"/>
        </w:rPr>
        <w:t> </w:t>
      </w:r>
      <w:r>
        <w:rPr/>
        <w:t>about</w:t>
      </w:r>
      <w:r>
        <w:rPr>
          <w:spacing w:val="-4"/>
        </w:rPr>
        <w:t> </w:t>
      </w:r>
      <w:r>
        <w:rPr/>
        <w:t>the</w:t>
      </w:r>
      <w:r>
        <w:rPr>
          <w:spacing w:val="-8"/>
        </w:rPr>
        <w:t> </w:t>
      </w:r>
      <w:r>
        <w:rPr/>
        <w:t>imbalances</w:t>
      </w:r>
      <w:r>
        <w:rPr>
          <w:spacing w:val="-6"/>
        </w:rPr>
        <w:t> </w:t>
      </w:r>
      <w:r>
        <w:rPr/>
        <w:t>of</w:t>
      </w:r>
      <w:r>
        <w:rPr>
          <w:spacing w:val="-5"/>
        </w:rPr>
        <w:t> </w:t>
      </w:r>
      <w:r>
        <w:rPr/>
        <w:t>judgement</w:t>
      </w:r>
      <w:r>
        <w:rPr>
          <w:spacing w:val="-4"/>
        </w:rPr>
        <w:t> </w:t>
      </w:r>
      <w:r>
        <w:rPr/>
        <w:t>in</w:t>
      </w:r>
      <w:r>
        <w:rPr>
          <w:spacing w:val="-3"/>
        </w:rPr>
        <w:t> </w:t>
      </w:r>
      <w:r>
        <w:rPr/>
        <w:t>the expert report. He acknowledged the problems, which were pointed out, however, the major disappointment, according to him was reducing the practices [including positive developments] of the Commission to the six cases of misconduct. It was maintained that the decision to resign was entirely political, to use the crisis “as a catalyst for deep and lasting reform in all European institutions.” (</w:t>
      </w:r>
      <w:hyperlink w:history="true" w:anchor="_bookmark369">
        <w:r>
          <w:rPr/>
          <w:t>Santer, 1999</w:t>
        </w:r>
      </w:hyperlink>
      <w:r>
        <w:rPr/>
        <w:t>)</w:t>
      </w:r>
    </w:p>
    <w:p>
      <w:pPr>
        <w:pStyle w:val="BodyText"/>
        <w:spacing w:line="276" w:lineRule="auto" w:before="12"/>
        <w:ind w:right="1903" w:firstLine="720"/>
      </w:pPr>
      <w:r>
        <w:rPr/>
        <w:t>The European Parliament eagerly accepted the resignation and labeled this action as an appropriate to the deeds. The members of the EP stressed on the need to change the accountability arrangement in the Commission and move towards the individual accountability model. (</w:t>
      </w:r>
      <w:hyperlink w:history="true" w:anchor="_bookmark178">
        <w:r>
          <w:rPr/>
          <w:t>EP,</w:t>
        </w:r>
      </w:hyperlink>
      <w:r>
        <w:rPr/>
        <w:t> </w:t>
      </w:r>
      <w:hyperlink w:history="true" w:anchor="_bookmark178">
        <w:r>
          <w:rPr/>
          <w:t>1999b</w:t>
        </w:r>
      </w:hyperlink>
      <w:r>
        <w:rPr/>
        <w:t>) It is worth noting that the European Parliament ever since the Maastricht, have been willing to “assert its political power of scrutiny over commission.” (</w:t>
      </w:r>
      <w:hyperlink w:history="true" w:anchor="_bookmark147">
        <w:r>
          <w:rPr/>
          <w:t>CVCE, 2012</w:t>
        </w:r>
      </w:hyperlink>
      <w:r>
        <w:rPr/>
        <w:t>)</w:t>
      </w:r>
      <w:r>
        <w:rPr>
          <w:spacing w:val="40"/>
        </w:rPr>
        <w:t> </w:t>
      </w:r>
      <w:r>
        <w:rPr/>
        <w:t>There have been several attempts up the crisis in 1999; the EP constantly criticized the Commission for the management methods. The main problems were produced due to the weak communication mechanism, connecting the commissioners with the directorate general. Policies even the most useful ones, were not implemented transparently. It does not imply that the institution tried to hide the process from the outsiders, more likely the issue of openness appeared because of the lack of reporting instruments. These issues were</w:t>
      </w:r>
      <w:r>
        <w:rPr>
          <w:spacing w:val="40"/>
        </w:rPr>
        <w:t> </w:t>
      </w:r>
      <w:r>
        <w:rPr/>
        <w:t>the outcomes of broadening the role of the EU. The system was expanding to new areas, therefore, in order to adapt to new structure, member states had</w:t>
      </w:r>
      <w:r>
        <w:rPr>
          <w:spacing w:val="55"/>
        </w:rPr>
        <w:t> </w:t>
      </w:r>
      <w:r>
        <w:rPr/>
        <w:t>to</w:t>
      </w:r>
      <w:r>
        <w:rPr>
          <w:spacing w:val="53"/>
        </w:rPr>
        <w:t> </w:t>
      </w:r>
      <w:r>
        <w:rPr/>
        <w:t>improve</w:t>
      </w:r>
      <w:r>
        <w:rPr>
          <w:spacing w:val="58"/>
        </w:rPr>
        <w:t> </w:t>
      </w:r>
      <w:r>
        <w:rPr/>
        <w:t>the</w:t>
      </w:r>
      <w:r>
        <w:rPr>
          <w:spacing w:val="55"/>
        </w:rPr>
        <w:t> </w:t>
      </w:r>
      <w:r>
        <w:rPr/>
        <w:t>treaties</w:t>
      </w:r>
      <w:r>
        <w:rPr>
          <w:spacing w:val="53"/>
        </w:rPr>
        <w:t> </w:t>
      </w:r>
      <w:r>
        <w:rPr/>
        <w:t>year</w:t>
      </w:r>
      <w:r>
        <w:rPr>
          <w:spacing w:val="55"/>
        </w:rPr>
        <w:t> </w:t>
      </w:r>
      <w:r>
        <w:rPr/>
        <w:t>after</w:t>
      </w:r>
      <w:r>
        <w:rPr>
          <w:spacing w:val="55"/>
        </w:rPr>
        <w:t> </w:t>
      </w:r>
      <w:r>
        <w:rPr/>
        <w:t>year.</w:t>
      </w:r>
      <w:r>
        <w:rPr>
          <w:spacing w:val="57"/>
        </w:rPr>
        <w:t> </w:t>
      </w:r>
      <w:r>
        <w:rPr/>
        <w:t>(</w:t>
      </w:r>
      <w:hyperlink w:history="true" w:anchor="_bookmark438">
        <w:r>
          <w:rPr/>
          <w:t>Wille,</w:t>
        </w:r>
        <w:r>
          <w:rPr>
            <w:spacing w:val="56"/>
          </w:rPr>
          <w:t> </w:t>
        </w:r>
        <w:r>
          <w:rPr/>
          <w:t>2010,</w:t>
        </w:r>
        <w:r>
          <w:rPr>
            <w:spacing w:val="56"/>
          </w:rPr>
          <w:t> </w:t>
        </w:r>
        <w:r>
          <w:rPr/>
          <w:t>p.</w:t>
        </w:r>
        <w:r>
          <w:rPr>
            <w:spacing w:val="56"/>
          </w:rPr>
          <w:t> </w:t>
        </w:r>
        <w:r>
          <w:rPr/>
          <w:t>1098</w:t>
        </w:r>
      </w:hyperlink>
      <w:r>
        <w:rPr/>
        <w:t>)</w:t>
      </w:r>
      <w:r>
        <w:rPr>
          <w:spacing w:val="56"/>
        </w:rPr>
        <w:t> </w:t>
      </w:r>
      <w:r>
        <w:rPr>
          <w:spacing w:val="-5"/>
        </w:rPr>
        <w:t>The</w:t>
      </w:r>
    </w:p>
    <w:p>
      <w:pPr>
        <w:pStyle w:val="BodyText"/>
        <w:spacing w:after="0" w:line="276" w:lineRule="auto"/>
        <w:sectPr>
          <w:pgSz w:w="12240" w:h="15840"/>
          <w:pgMar w:header="1046" w:footer="0" w:top="1360" w:bottom="280" w:left="720" w:right="360"/>
        </w:sectPr>
      </w:pPr>
    </w:p>
    <w:p>
      <w:pPr>
        <w:pStyle w:val="BodyText"/>
        <w:spacing w:line="276" w:lineRule="auto" w:before="276"/>
        <w:ind w:right="1914"/>
      </w:pPr>
      <w:r>
        <w:rPr/>
        <w:t>commission as a technocratic body, with strong professional and legal accountability was lagging behind the process. This problem became more evident when the EP started to acquire more powers and in a sense became more democratic.</w:t>
      </w:r>
    </w:p>
    <w:p>
      <w:pPr>
        <w:pStyle w:val="BodyText"/>
        <w:spacing w:line="276" w:lineRule="auto"/>
        <w:ind w:right="1903" w:firstLine="720"/>
      </w:pPr>
      <w:r>
        <w:rPr/>
        <w:t>A new president of the Commission, </w:t>
      </w:r>
      <w:r>
        <w:rPr>
          <w:sz w:val="27"/>
        </w:rPr>
        <w:t>Romano Prodi </w:t>
      </w:r>
      <w:r>
        <w:rPr/>
        <w:t>has tried to convince the EP that he was willing to “mark a new beginning in relations between [our] two institutions.” He hoped to work together with the Parliament, to build a modern, efficient and accountable administration. The key message said that the new commission would “bring Europe out from behind closed doors and into the light of public scrutiny.” (</w:t>
      </w:r>
      <w:hyperlink w:history="true" w:anchor="_bookmark345">
        <w:r>
          <w:rPr/>
          <w:t>Prodi,</w:t>
        </w:r>
      </w:hyperlink>
      <w:r>
        <w:rPr/>
        <w:t> </w:t>
      </w:r>
      <w:hyperlink w:history="true" w:anchor="_bookmark345">
        <w:r>
          <w:rPr>
            <w:spacing w:val="-2"/>
          </w:rPr>
          <w:t>1999</w:t>
        </w:r>
      </w:hyperlink>
      <w:r>
        <w:rPr>
          <w:spacing w:val="-2"/>
        </w:rPr>
        <w:t>)</w:t>
      </w:r>
    </w:p>
    <w:p>
      <w:pPr>
        <w:pStyle w:val="BodyText"/>
        <w:spacing w:line="331" w:lineRule="exact"/>
        <w:ind w:left="1700"/>
      </w:pPr>
      <w:r>
        <w:rPr>
          <w:sz w:val="27"/>
        </w:rPr>
        <w:t>Romano</w:t>
      </w:r>
      <w:r>
        <w:rPr>
          <w:spacing w:val="15"/>
          <w:sz w:val="27"/>
        </w:rPr>
        <w:t> </w:t>
      </w:r>
      <w:r>
        <w:rPr>
          <w:sz w:val="27"/>
        </w:rPr>
        <w:t>Prodi</w:t>
      </w:r>
      <w:r>
        <w:rPr>
          <w:spacing w:val="12"/>
          <w:sz w:val="27"/>
        </w:rPr>
        <w:t> </w:t>
      </w:r>
      <w:r>
        <w:rPr/>
        <w:t>was</w:t>
      </w:r>
      <w:r>
        <w:rPr>
          <w:spacing w:val="14"/>
        </w:rPr>
        <w:t> </w:t>
      </w:r>
      <w:r>
        <w:rPr/>
        <w:t>not</w:t>
      </w:r>
      <w:r>
        <w:rPr>
          <w:spacing w:val="15"/>
        </w:rPr>
        <w:t> </w:t>
      </w:r>
      <w:r>
        <w:rPr/>
        <w:t>‘just</w:t>
      </w:r>
      <w:r>
        <w:rPr>
          <w:spacing w:val="16"/>
        </w:rPr>
        <w:t> </w:t>
      </w:r>
      <w:r>
        <w:rPr/>
        <w:t>another</w:t>
      </w:r>
      <w:r>
        <w:rPr>
          <w:spacing w:val="16"/>
        </w:rPr>
        <w:t> </w:t>
      </w:r>
      <w:r>
        <w:rPr/>
        <w:t>president,’</w:t>
      </w:r>
      <w:r>
        <w:rPr>
          <w:spacing w:val="21"/>
        </w:rPr>
        <w:t> </w:t>
      </w:r>
      <w:r>
        <w:rPr/>
        <w:t>he</w:t>
      </w:r>
      <w:r>
        <w:rPr>
          <w:spacing w:val="16"/>
        </w:rPr>
        <w:t> </w:t>
      </w:r>
      <w:r>
        <w:rPr/>
        <w:t>had</w:t>
      </w:r>
      <w:r>
        <w:rPr>
          <w:spacing w:val="17"/>
        </w:rPr>
        <w:t> </w:t>
      </w:r>
      <w:r>
        <w:rPr/>
        <w:t>a</w:t>
      </w:r>
      <w:r>
        <w:rPr>
          <w:spacing w:val="15"/>
        </w:rPr>
        <w:t> </w:t>
      </w:r>
      <w:r>
        <w:rPr/>
        <w:t>mission</w:t>
      </w:r>
      <w:r>
        <w:rPr>
          <w:spacing w:val="17"/>
        </w:rPr>
        <w:t> </w:t>
      </w:r>
      <w:r>
        <w:rPr>
          <w:spacing w:val="-5"/>
        </w:rPr>
        <w:t>to</w:t>
      </w:r>
    </w:p>
    <w:p>
      <w:pPr>
        <w:pStyle w:val="BodyText"/>
        <w:spacing w:line="273" w:lineRule="auto" w:before="48"/>
        <w:ind w:right="1907"/>
      </w:pPr>
      <w:r>
        <w:rPr/>
        <w:t>bring the commission up to the new level of administrative effectiveness. He was the first president who enjoyed the enhanced political power introduced under the Amsterdam Treaty. The new commission needed a real leader and by giving a full support to </w:t>
      </w:r>
      <w:r>
        <w:rPr>
          <w:sz w:val="27"/>
        </w:rPr>
        <w:t>Prodi </w:t>
      </w:r>
      <w:r>
        <w:rPr/>
        <w:t>the institution get on the path of presidentalisation. (</w:t>
      </w:r>
      <w:hyperlink w:history="true" w:anchor="_bookmark438">
        <w:r>
          <w:rPr/>
          <w:t>Wille, 2010, p. 1104</w:t>
        </w:r>
      </w:hyperlink>
      <w:r>
        <w:rPr/>
        <w:t>)</w:t>
      </w:r>
    </w:p>
    <w:p>
      <w:pPr>
        <w:pStyle w:val="BodyText"/>
        <w:spacing w:line="273" w:lineRule="auto" w:before="2"/>
        <w:ind w:right="1902" w:firstLine="720"/>
      </w:pPr>
      <w:r>
        <w:rPr/>
        <w:t>The main document which presented the views on the future of Commission was a </w:t>
      </w:r>
      <w:r>
        <w:rPr>
          <w:sz w:val="27"/>
        </w:rPr>
        <w:t>White Paper on Governance </w:t>
      </w:r>
      <w:r>
        <w:rPr/>
        <w:t>published in 2001. The transparency in decision making as a key task was to be achieved by bringing the European citizens close to the EU administration. The document described the willingness of the Commission to be a part of the day to day public scrutiny. The public clusters included independent expert groups, civil society networks, scientific communities and others. (</w:t>
      </w:r>
      <w:hyperlink w:history="true" w:anchor="_bookmark137">
        <w:r>
          <w:rPr/>
          <w:t>Commission, 2001</w:t>
        </w:r>
      </w:hyperlink>
      <w:r>
        <w:rPr/>
        <w:t>) Worth mentioning the fact that, even if the document was dedicated to a need to reform the European administration, it paid a great attention to a role of responsible citizenry. The text is quite critical towards the national governments as well, who often get credit for the services the EU provides, but rarely share the blame for misfortunes. (</w:t>
      </w:r>
      <w:hyperlink w:history="true" w:anchor="_bookmark137">
        <w:r>
          <w:rPr/>
          <w:t>Commission, 2001, p. c287/005</w:t>
        </w:r>
      </w:hyperlink>
      <w:r>
        <w:rPr/>
        <w:t>) </w:t>
      </w:r>
      <w:r>
        <w:rPr>
          <w:sz w:val="27"/>
        </w:rPr>
        <w:t>Prodi’s </w:t>
      </w:r>
      <w:r>
        <w:rPr/>
        <w:t>commission has shifted from the technocratic college to political organization, therefore became more relevant</w:t>
      </w:r>
      <w:r>
        <w:rPr>
          <w:spacing w:val="24"/>
        </w:rPr>
        <w:t>  </w:t>
      </w:r>
      <w:r>
        <w:rPr/>
        <w:t>for</w:t>
      </w:r>
      <w:r>
        <w:rPr>
          <w:spacing w:val="25"/>
        </w:rPr>
        <w:t>  </w:t>
      </w:r>
      <w:r>
        <w:rPr/>
        <w:t>the</w:t>
      </w:r>
      <w:r>
        <w:rPr>
          <w:spacing w:val="24"/>
        </w:rPr>
        <w:t>  </w:t>
      </w:r>
      <w:r>
        <w:rPr/>
        <w:t>European</w:t>
      </w:r>
      <w:r>
        <w:rPr>
          <w:spacing w:val="25"/>
        </w:rPr>
        <w:t>  </w:t>
      </w:r>
      <w:r>
        <w:rPr/>
        <w:t>publics.</w:t>
      </w:r>
      <w:r>
        <w:rPr>
          <w:spacing w:val="25"/>
        </w:rPr>
        <w:t>  </w:t>
      </w:r>
      <w:r>
        <w:rPr/>
        <w:t>This</w:t>
      </w:r>
      <w:r>
        <w:rPr>
          <w:spacing w:val="25"/>
        </w:rPr>
        <w:t>  </w:t>
      </w:r>
      <w:r>
        <w:rPr/>
        <w:t>condition</w:t>
      </w:r>
      <w:r>
        <w:rPr>
          <w:spacing w:val="27"/>
        </w:rPr>
        <w:t>  </w:t>
      </w:r>
      <w:r>
        <w:rPr/>
        <w:t>implied</w:t>
      </w:r>
      <w:r>
        <w:rPr>
          <w:spacing w:val="26"/>
        </w:rPr>
        <w:t>  </w:t>
      </w:r>
      <w:r>
        <w:rPr/>
        <w:t>that</w:t>
      </w:r>
      <w:r>
        <w:rPr>
          <w:spacing w:val="28"/>
        </w:rPr>
        <w:t>  </w:t>
      </w:r>
      <w:r>
        <w:rPr>
          <w:spacing w:val="-5"/>
        </w:rPr>
        <w:t>the</w:t>
      </w:r>
    </w:p>
    <w:p>
      <w:pPr>
        <w:pStyle w:val="BodyText"/>
        <w:spacing w:after="0" w:line="273" w:lineRule="auto"/>
        <w:sectPr>
          <w:pgSz w:w="12240" w:h="15840"/>
          <w:pgMar w:header="1046" w:footer="0" w:top="1360" w:bottom="280" w:left="720" w:right="360"/>
        </w:sectPr>
      </w:pPr>
    </w:p>
    <w:p>
      <w:pPr>
        <w:pStyle w:val="BodyText"/>
        <w:spacing w:line="276" w:lineRule="auto" w:before="276"/>
        <w:ind w:right="1900"/>
      </w:pPr>
      <w:r>
        <w:rPr/>
        <w:t>organization began to care not only about the effective communication</w:t>
      </w:r>
      <w:r>
        <w:rPr>
          <w:spacing w:val="40"/>
        </w:rPr>
        <w:t> </w:t>
      </w:r>
      <w:r>
        <w:rPr/>
        <w:t>with the EP and Council, but also started to search the ways to gain a</w:t>
      </w:r>
      <w:r>
        <w:rPr>
          <w:spacing w:val="40"/>
        </w:rPr>
        <w:t> </w:t>
      </w:r>
      <w:r>
        <w:rPr/>
        <w:t>“wider public</w:t>
      </w:r>
      <w:r>
        <w:rPr>
          <w:spacing w:val="-1"/>
        </w:rPr>
        <w:t> </w:t>
      </w:r>
      <w:r>
        <w:rPr/>
        <w:t>acceptance.” (</w:t>
      </w:r>
      <w:hyperlink w:history="true" w:anchor="_bookmark131">
        <w:r>
          <w:rPr/>
          <w:t>Christiansen &amp; Gray, 2004</w:t>
        </w:r>
      </w:hyperlink>
      <w:r>
        <w:rPr/>
        <w:t>) In a given setting, it became obvious, that the effectiveness of the institution could become a victim of popularized decision making. </w:t>
      </w:r>
      <w:r>
        <w:rPr>
          <w:sz w:val="27"/>
        </w:rPr>
        <w:t>Jean Monnet </w:t>
      </w:r>
      <w:r>
        <w:rPr/>
        <w:t>would not approve giving up the technocratic merit-based governance, for a more accountable but</w:t>
      </w:r>
      <w:r>
        <w:rPr>
          <w:spacing w:val="-3"/>
        </w:rPr>
        <w:t> </w:t>
      </w:r>
      <w:r>
        <w:rPr/>
        <w:t>arguably</w:t>
      </w:r>
      <w:r>
        <w:rPr>
          <w:spacing w:val="-3"/>
        </w:rPr>
        <w:t> </w:t>
      </w:r>
      <w:r>
        <w:rPr/>
        <w:t>less</w:t>
      </w:r>
      <w:r>
        <w:rPr>
          <w:spacing w:val="-5"/>
        </w:rPr>
        <w:t> </w:t>
      </w:r>
      <w:r>
        <w:rPr/>
        <w:t>effective</w:t>
      </w:r>
      <w:r>
        <w:rPr>
          <w:spacing w:val="-3"/>
        </w:rPr>
        <w:t> </w:t>
      </w:r>
      <w:r>
        <w:rPr/>
        <w:t>system.</w:t>
      </w:r>
      <w:r>
        <w:rPr>
          <w:spacing w:val="-1"/>
        </w:rPr>
        <w:t> </w:t>
      </w:r>
      <w:r>
        <w:rPr/>
        <w:t>(</w:t>
      </w:r>
      <w:hyperlink w:history="true" w:anchor="_bookmark181">
        <w:r>
          <w:rPr/>
          <w:t>Featherstone,</w:t>
        </w:r>
        <w:r>
          <w:rPr>
            <w:spacing w:val="-2"/>
          </w:rPr>
          <w:t> </w:t>
        </w:r>
        <w:r>
          <w:rPr/>
          <w:t>1994,</w:t>
        </w:r>
        <w:r>
          <w:rPr>
            <w:spacing w:val="-2"/>
          </w:rPr>
          <w:t> </w:t>
        </w:r>
        <w:r>
          <w:rPr/>
          <w:t>p.</w:t>
        </w:r>
        <w:r>
          <w:rPr>
            <w:spacing w:val="-2"/>
          </w:rPr>
          <w:t> </w:t>
        </w:r>
        <w:r>
          <w:rPr/>
          <w:t>165</w:t>
        </w:r>
      </w:hyperlink>
      <w:r>
        <w:rPr/>
        <w:t>)</w:t>
      </w:r>
      <w:r>
        <w:rPr>
          <w:spacing w:val="-6"/>
        </w:rPr>
        <w:t> </w:t>
      </w:r>
      <w:r>
        <w:rPr/>
        <w:t>The</w:t>
      </w:r>
      <w:r>
        <w:rPr>
          <w:spacing w:val="-3"/>
        </w:rPr>
        <w:t> </w:t>
      </w:r>
      <w:r>
        <w:rPr/>
        <w:t>shift</w:t>
      </w:r>
      <w:r>
        <w:rPr>
          <w:spacing w:val="-3"/>
        </w:rPr>
        <w:t> </w:t>
      </w:r>
      <w:r>
        <w:rPr/>
        <w:t>was described in detail by the document published in 2000 – ‘Reform Strategy White Paper.’ The manual introduced three main spheres of change : 1) Modernization of financial management, 2) Introduction of Strategic Planning and Programming, 3) Modernization of personnel policy. (</w:t>
      </w:r>
      <w:hyperlink w:history="true" w:anchor="_bookmark131">
        <w:r>
          <w:rPr/>
          <w:t>Christiansen &amp; Gray, 2004, p. 21</w:t>
        </w:r>
      </w:hyperlink>
      <w:r>
        <w:rPr/>
        <w:t>) Overly reform was a success; the Commission has managed to establish an effective system of the financial management, there were some shortcomings in strategic planning and personnel policies, but for the institution that has faced a real structural change for the first time in decades, the achievement was good enough.</w:t>
      </w:r>
    </w:p>
    <w:p>
      <w:pPr>
        <w:pStyle w:val="BodyText"/>
        <w:spacing w:line="330" w:lineRule="exact"/>
        <w:ind w:left="1700"/>
      </w:pPr>
      <w:r>
        <w:rPr/>
        <w:t>The</w:t>
      </w:r>
      <w:r>
        <w:rPr>
          <w:spacing w:val="26"/>
        </w:rPr>
        <w:t> </w:t>
      </w:r>
      <w:r>
        <w:rPr/>
        <w:t>problem</w:t>
      </w:r>
      <w:r>
        <w:rPr>
          <w:spacing w:val="27"/>
        </w:rPr>
        <w:t> </w:t>
      </w:r>
      <w:r>
        <w:rPr/>
        <w:t>of</w:t>
      </w:r>
      <w:r>
        <w:rPr>
          <w:spacing w:val="26"/>
        </w:rPr>
        <w:t> </w:t>
      </w:r>
      <w:r>
        <w:rPr>
          <w:sz w:val="27"/>
        </w:rPr>
        <w:t>Santer’s</w:t>
      </w:r>
      <w:r>
        <w:rPr>
          <w:spacing w:val="23"/>
          <w:sz w:val="27"/>
        </w:rPr>
        <w:t> </w:t>
      </w:r>
      <w:r>
        <w:rPr/>
        <w:t>Commission,</w:t>
      </w:r>
      <w:r>
        <w:rPr>
          <w:spacing w:val="28"/>
        </w:rPr>
        <w:t> </w:t>
      </w:r>
      <w:r>
        <w:rPr/>
        <w:t>as</w:t>
      </w:r>
      <w:r>
        <w:rPr>
          <w:spacing w:val="24"/>
        </w:rPr>
        <w:t> </w:t>
      </w:r>
      <w:r>
        <w:rPr/>
        <w:t>we</w:t>
      </w:r>
      <w:r>
        <w:rPr>
          <w:spacing w:val="26"/>
        </w:rPr>
        <w:t> </w:t>
      </w:r>
      <w:r>
        <w:rPr/>
        <w:t>have</w:t>
      </w:r>
      <w:r>
        <w:rPr>
          <w:spacing w:val="26"/>
        </w:rPr>
        <w:t> </w:t>
      </w:r>
      <w:r>
        <w:rPr/>
        <w:t>already</w:t>
      </w:r>
      <w:r>
        <w:rPr>
          <w:spacing w:val="25"/>
        </w:rPr>
        <w:t> </w:t>
      </w:r>
      <w:r>
        <w:rPr>
          <w:spacing w:val="-2"/>
        </w:rPr>
        <w:t>indicated</w:t>
      </w:r>
    </w:p>
    <w:p>
      <w:pPr>
        <w:pStyle w:val="BodyText"/>
        <w:spacing w:line="276" w:lineRule="auto" w:before="48"/>
        <w:ind w:right="1905"/>
      </w:pPr>
      <w:r>
        <w:rPr/>
        <w:t>above, had a lack of capacity to convert demands into effective policies.</w:t>
      </w:r>
      <w:r>
        <w:rPr>
          <w:spacing w:val="40"/>
        </w:rPr>
        <w:t> </w:t>
      </w:r>
      <w:r>
        <w:rPr/>
        <w:t>This was a case, due to the structural unpreparedness, but also because of the overwhelmingly large amount of issues the college was asked to be ready for. Even though, the problem was addressed in the white paper as identifying the ‘negative priorities,’ it has never been done for two main reasons: 1) “no-one wants</w:t>
      </w:r>
      <w:r>
        <w:rPr>
          <w:spacing w:val="-1"/>
        </w:rPr>
        <w:t> </w:t>
      </w:r>
      <w:r>
        <w:rPr/>
        <w:t>to</w:t>
      </w:r>
      <w:r>
        <w:rPr>
          <w:spacing w:val="-2"/>
        </w:rPr>
        <w:t> </w:t>
      </w:r>
      <w:r>
        <w:rPr/>
        <w:t>admit that their jobs</w:t>
      </w:r>
      <w:r>
        <w:rPr>
          <w:spacing w:val="-1"/>
        </w:rPr>
        <w:t> </w:t>
      </w:r>
      <w:r>
        <w:rPr/>
        <w:t>are not necessary,” 2) The EP and Council constantly ask commission to take extra responsibilities. (</w:t>
      </w:r>
      <w:hyperlink w:history="true" w:anchor="_bookmark311">
        <w:r>
          <w:rPr/>
          <w:t>Murray, 2004</w:t>
        </w:r>
      </w:hyperlink>
      <w:r>
        <w:rPr/>
        <w:t>) If the first problem can be managed in a gradual manner,</w:t>
      </w:r>
      <w:r>
        <w:rPr>
          <w:spacing w:val="40"/>
        </w:rPr>
        <w:t> </w:t>
      </w:r>
      <w:r>
        <w:rPr/>
        <w:t>the second one largely depends on general political will. This is true, especially due to the fact that expanding the areas of the institutional activities is often considered as strengthening its structural position. The reforms undertaken by the Commission under </w:t>
      </w:r>
      <w:r>
        <w:rPr>
          <w:sz w:val="27"/>
        </w:rPr>
        <w:t>Romano Prodi, </w:t>
      </w:r>
      <w:r>
        <w:rPr/>
        <w:t>have deprived the body of ability to ‘say no’ to the EP and the Council. (</w:t>
      </w:r>
      <w:hyperlink w:history="true" w:anchor="_bookmark311">
        <w:r>
          <w:rPr/>
          <w:t>Murray,</w:t>
        </w:r>
      </w:hyperlink>
      <w:r>
        <w:rPr/>
        <w:t> </w:t>
      </w:r>
      <w:hyperlink w:history="true" w:anchor="_bookmark311">
        <w:r>
          <w:rPr/>
          <w:t>2004, p. 41</w:t>
        </w:r>
      </w:hyperlink>
      <w:r>
        <w:rPr/>
        <w:t>) In the interviews the officials from the directors-general have complained</w:t>
      </w:r>
      <w:r>
        <w:rPr>
          <w:spacing w:val="24"/>
        </w:rPr>
        <w:t> </w:t>
      </w:r>
      <w:r>
        <w:rPr/>
        <w:t>about</w:t>
      </w:r>
      <w:r>
        <w:rPr>
          <w:spacing w:val="22"/>
        </w:rPr>
        <w:t> </w:t>
      </w:r>
      <w:r>
        <w:rPr/>
        <w:t>too heavy</w:t>
      </w:r>
      <w:r>
        <w:rPr>
          <w:spacing w:val="21"/>
        </w:rPr>
        <w:t> </w:t>
      </w:r>
      <w:r>
        <w:rPr/>
        <w:t>supervision</w:t>
      </w:r>
      <w:r>
        <w:rPr>
          <w:spacing w:val="23"/>
        </w:rPr>
        <w:t> </w:t>
      </w:r>
      <w:r>
        <w:rPr/>
        <w:t>and</w:t>
      </w:r>
      <w:r>
        <w:rPr>
          <w:spacing w:val="24"/>
        </w:rPr>
        <w:t> </w:t>
      </w:r>
      <w:r>
        <w:rPr/>
        <w:t>control imposed</w:t>
      </w:r>
      <w:r>
        <w:rPr>
          <w:spacing w:val="24"/>
        </w:rPr>
        <w:t> </w:t>
      </w:r>
      <w:r>
        <w:rPr/>
        <w:t>even</w:t>
      </w:r>
      <w:r>
        <w:rPr>
          <w:spacing w:val="23"/>
        </w:rPr>
        <w:t> </w:t>
      </w:r>
      <w:r>
        <w:rPr/>
        <w:t>on</w:t>
      </w:r>
      <w:r>
        <w:rPr>
          <w:spacing w:val="23"/>
        </w:rPr>
        <w:t> </w:t>
      </w:r>
      <w:r>
        <w:rPr/>
        <w:t>the</w:t>
      </w:r>
    </w:p>
    <w:p>
      <w:pPr>
        <w:pStyle w:val="BodyText"/>
        <w:spacing w:after="0" w:line="276" w:lineRule="auto"/>
        <w:sectPr>
          <w:pgSz w:w="12240" w:h="15840"/>
          <w:pgMar w:header="1046" w:footer="0" w:top="1360" w:bottom="280" w:left="720" w:right="360"/>
        </w:sectPr>
      </w:pPr>
    </w:p>
    <w:p>
      <w:pPr>
        <w:pStyle w:val="BodyText"/>
        <w:spacing w:line="276" w:lineRule="auto" w:before="276"/>
        <w:ind w:right="1911"/>
      </w:pPr>
      <w:r>
        <w:rPr/>
        <w:t>simple tasks. One official even said that: “the introduction of personal responsibility has made that a lot of people here do not have the guts any more to take a decision, let alone, take any risk.” (</w:t>
      </w:r>
      <w:hyperlink w:history="true" w:anchor="_bookmark438">
        <w:r>
          <w:rPr/>
          <w:t>Wille, 2010, p. 1110</w:t>
        </w:r>
      </w:hyperlink>
      <w:r>
        <w:rPr/>
        <w:t>) Besides the evaluation mechanisms have brought additional workload for the staff. It can be feasible to argue that the increased accountability has deepened the bureaucracy. (</w:t>
      </w:r>
      <w:hyperlink w:history="true" w:anchor="_bookmark131">
        <w:r>
          <w:rPr/>
          <w:t>Christiansen &amp; Gray, 2004, p. 21</w:t>
        </w:r>
      </w:hyperlink>
      <w:r>
        <w:rPr/>
        <w:t>) As a result flexible technocracy</w:t>
      </w:r>
      <w:r>
        <w:rPr>
          <w:spacing w:val="40"/>
        </w:rPr>
        <w:t> </w:t>
      </w:r>
      <w:r>
        <w:rPr/>
        <w:t>has transformed into semi-democratic administration.</w:t>
      </w:r>
    </w:p>
    <w:p>
      <w:pPr>
        <w:pStyle w:val="BodyText"/>
        <w:spacing w:line="276" w:lineRule="auto"/>
        <w:ind w:right="1901" w:firstLine="720"/>
      </w:pPr>
      <w:r>
        <w:rPr/>
        <w:t>It</w:t>
      </w:r>
      <w:r>
        <w:rPr>
          <w:spacing w:val="-1"/>
        </w:rPr>
        <w:t> </w:t>
      </w:r>
      <w:r>
        <w:rPr/>
        <w:t>has</w:t>
      </w:r>
      <w:r>
        <w:rPr>
          <w:spacing w:val="-3"/>
        </w:rPr>
        <w:t> </w:t>
      </w:r>
      <w:r>
        <w:rPr/>
        <w:t>been a</w:t>
      </w:r>
      <w:r>
        <w:rPr>
          <w:spacing w:val="-1"/>
        </w:rPr>
        <w:t> </w:t>
      </w:r>
      <w:r>
        <w:rPr/>
        <w:t>mainstream</w:t>
      </w:r>
      <w:r>
        <w:rPr>
          <w:spacing w:val="-3"/>
        </w:rPr>
        <w:t> </w:t>
      </w:r>
      <w:r>
        <w:rPr/>
        <w:t>view that, the</w:t>
      </w:r>
      <w:r>
        <w:rPr>
          <w:spacing w:val="-1"/>
        </w:rPr>
        <w:t> </w:t>
      </w:r>
      <w:r>
        <w:rPr/>
        <w:t>Commission is</w:t>
      </w:r>
      <w:r>
        <w:rPr>
          <w:spacing w:val="-3"/>
        </w:rPr>
        <w:t> </w:t>
      </w:r>
      <w:r>
        <w:rPr/>
        <w:t>a body, which has to keep the common European goals above the nation state interests. (</w:t>
      </w:r>
      <w:hyperlink w:history="true" w:anchor="_bookmark414">
        <w:r>
          <w:rPr/>
          <w:t>Tsebelis &amp; Garrett, 2000</w:t>
        </w:r>
      </w:hyperlink>
      <w:r>
        <w:rPr/>
        <w:t>) However, the experience has shown that the commissioners are not entirely free from the national bias, neither the state governments treat them to be exclusively Europeans. One of the key aspects, which is often taken into consideration when the scholars talk about politicization of the EU administration, is that a large number of the bureaucrats working for the Commission, are former high rank state officials. This condition matters, if we keep in mind that the EU does not have</w:t>
      </w:r>
      <w:r>
        <w:rPr>
          <w:spacing w:val="-1"/>
        </w:rPr>
        <w:t> </w:t>
      </w:r>
      <w:r>
        <w:rPr/>
        <w:t>a</w:t>
      </w:r>
      <w:r>
        <w:rPr>
          <w:spacing w:val="-1"/>
        </w:rPr>
        <w:t> </w:t>
      </w:r>
      <w:r>
        <w:rPr/>
        <w:t>real</w:t>
      </w:r>
      <w:r>
        <w:rPr>
          <w:spacing w:val="-3"/>
        </w:rPr>
        <w:t> </w:t>
      </w:r>
      <w:r>
        <w:rPr/>
        <w:t>political</w:t>
      </w:r>
      <w:r>
        <w:rPr>
          <w:spacing w:val="-4"/>
        </w:rPr>
        <w:t> </w:t>
      </w:r>
      <w:r>
        <w:rPr/>
        <w:t>elite, neither does</w:t>
      </w:r>
      <w:r>
        <w:rPr>
          <w:spacing w:val="-3"/>
        </w:rPr>
        <w:t> </w:t>
      </w:r>
      <w:r>
        <w:rPr/>
        <w:t>it</w:t>
      </w:r>
      <w:r>
        <w:rPr>
          <w:spacing w:val="-1"/>
        </w:rPr>
        <w:t> </w:t>
      </w:r>
      <w:r>
        <w:rPr/>
        <w:t>has</w:t>
      </w:r>
      <w:r>
        <w:rPr>
          <w:spacing w:val="-8"/>
        </w:rPr>
        <w:t> </w:t>
      </w:r>
      <w:r>
        <w:rPr/>
        <w:t>a</w:t>
      </w:r>
      <w:r>
        <w:rPr>
          <w:spacing w:val="-1"/>
        </w:rPr>
        <w:t> </w:t>
      </w:r>
      <w:r>
        <w:rPr/>
        <w:t>capacity</w:t>
      </w:r>
      <w:r>
        <w:rPr>
          <w:spacing w:val="-1"/>
        </w:rPr>
        <w:t> </w:t>
      </w:r>
      <w:r>
        <w:rPr/>
        <w:t>to</w:t>
      </w:r>
      <w:r>
        <w:rPr>
          <w:spacing w:val="-4"/>
        </w:rPr>
        <w:t> </w:t>
      </w:r>
      <w:r>
        <w:rPr/>
        <w:t>produce</w:t>
      </w:r>
      <w:r>
        <w:rPr>
          <w:spacing w:val="-1"/>
        </w:rPr>
        <w:t> </w:t>
      </w:r>
      <w:r>
        <w:rPr/>
        <w:t>a</w:t>
      </w:r>
      <w:r>
        <w:rPr>
          <w:spacing w:val="-1"/>
        </w:rPr>
        <w:t> </w:t>
      </w:r>
      <w:r>
        <w:rPr/>
        <w:t>political culture at supranational level. The commissioners come with strong</w:t>
      </w:r>
      <w:r>
        <w:rPr>
          <w:spacing w:val="40"/>
        </w:rPr>
        <w:t> </w:t>
      </w:r>
      <w:r>
        <w:rPr/>
        <w:t>national backgrounds. This condition not only involves their close connections with the individuals in their home states, but also implies on their innate attachment to domestic political culture. These links become particularly sound when a new Commission is being appointed.</w:t>
      </w:r>
      <w:r>
        <w:rPr>
          <w:spacing w:val="80"/>
        </w:rPr>
        <w:t> </w:t>
      </w:r>
      <w:r>
        <w:rPr>
          <w:sz w:val="27"/>
        </w:rPr>
        <w:t>Napel</w:t>
      </w:r>
      <w:r>
        <w:rPr>
          <w:spacing w:val="-2"/>
          <w:sz w:val="27"/>
        </w:rPr>
        <w:t> </w:t>
      </w:r>
      <w:r>
        <w:rPr/>
        <w:t>and </w:t>
      </w:r>
      <w:r>
        <w:rPr>
          <w:sz w:val="27"/>
        </w:rPr>
        <w:t>Widgrén </w:t>
      </w:r>
      <w:r>
        <w:rPr/>
        <w:t>argue that “national heads of state or government are in equilibrium unrestricted and can pick national Commissioners who share their respective political preferences.” (</w:t>
      </w:r>
      <w:hyperlink w:history="true" w:anchor="_bookmark313">
        <w:r>
          <w:rPr/>
          <w:t>Napel &amp; Widgrén, 2008, p. 39</w:t>
        </w:r>
      </w:hyperlink>
      <w:r>
        <w:rPr/>
        <w:t>) The research presented by </w:t>
      </w:r>
      <w:r>
        <w:rPr>
          <w:sz w:val="27"/>
        </w:rPr>
        <w:t>Arndt Wonka </w:t>
      </w:r>
      <w:r>
        <w:rPr/>
        <w:t>has shown that the state governments are capable to make an effective political selections, to make sure that their candidate gets into the commission; out of 215 commissioners in years</w:t>
      </w:r>
      <w:r>
        <w:rPr>
          <w:spacing w:val="40"/>
        </w:rPr>
        <w:t> </w:t>
      </w:r>
      <w:r>
        <w:rPr/>
        <w:t>1958-2006 – 67 percent were individual members of the state governing parties at a time of their appointment, while only 18.1 percent belonged to the opposition and 13 percent had no party affiliation. The study has also found that “More than half of the Commissioners (55.3 percent) had held a</w:t>
      </w:r>
    </w:p>
    <w:p>
      <w:pPr>
        <w:pStyle w:val="BodyText"/>
        <w:spacing w:after="0" w:line="276" w:lineRule="auto"/>
        <w:sectPr>
          <w:pgSz w:w="12240" w:h="15840"/>
          <w:pgMar w:header="1046" w:footer="0" w:top="1360" w:bottom="280" w:left="720" w:right="360"/>
        </w:sectPr>
      </w:pPr>
    </w:p>
    <w:p>
      <w:pPr>
        <w:pStyle w:val="BodyText"/>
        <w:spacing w:line="276" w:lineRule="auto" w:before="276"/>
        <w:ind w:right="1909"/>
        <w:jc w:val="left"/>
      </w:pPr>
      <w:r>
        <w:rPr/>
        <w:t>post</w:t>
      </w:r>
      <w:r>
        <w:rPr>
          <w:spacing w:val="-4"/>
        </w:rPr>
        <w:t> </w:t>
      </w:r>
      <w:r>
        <w:rPr/>
        <w:t>as</w:t>
      </w:r>
      <w:r>
        <w:rPr>
          <w:spacing w:val="-6"/>
        </w:rPr>
        <w:t> </w:t>
      </w:r>
      <w:r>
        <w:rPr/>
        <w:t>a</w:t>
      </w:r>
      <w:r>
        <w:rPr>
          <w:spacing w:val="-4"/>
        </w:rPr>
        <w:t> </w:t>
      </w:r>
      <w:r>
        <w:rPr/>
        <w:t>minister</w:t>
      </w:r>
      <w:r>
        <w:rPr>
          <w:spacing w:val="-3"/>
        </w:rPr>
        <w:t> </w:t>
      </w:r>
      <w:r>
        <w:rPr/>
        <w:t>in</w:t>
      </w:r>
      <w:r>
        <w:rPr>
          <w:spacing w:val="-3"/>
        </w:rPr>
        <w:t> </w:t>
      </w:r>
      <w:r>
        <w:rPr/>
        <w:t>their</w:t>
      </w:r>
      <w:r>
        <w:rPr>
          <w:spacing w:val="-3"/>
        </w:rPr>
        <w:t> </w:t>
      </w:r>
      <w:r>
        <w:rPr/>
        <w:t>country’s</w:t>
      </w:r>
      <w:r>
        <w:rPr>
          <w:spacing w:val="-6"/>
        </w:rPr>
        <w:t> </w:t>
      </w:r>
      <w:r>
        <w:rPr/>
        <w:t>government</w:t>
      </w:r>
      <w:r>
        <w:rPr>
          <w:spacing w:val="-4"/>
        </w:rPr>
        <w:t> </w:t>
      </w:r>
      <w:r>
        <w:rPr/>
        <w:t>before</w:t>
      </w:r>
      <w:r>
        <w:rPr>
          <w:spacing w:val="-4"/>
        </w:rPr>
        <w:t> </w:t>
      </w:r>
      <w:r>
        <w:rPr/>
        <w:t>they</w:t>
      </w:r>
      <w:r>
        <w:rPr>
          <w:spacing w:val="-9"/>
        </w:rPr>
        <w:t> </w:t>
      </w:r>
      <w:r>
        <w:rPr/>
        <w:t>were</w:t>
      </w:r>
      <w:r>
        <w:rPr>
          <w:spacing w:val="-9"/>
        </w:rPr>
        <w:t> </w:t>
      </w:r>
      <w:r>
        <w:rPr/>
        <w:t>appointed to the Commission.” (</w:t>
      </w:r>
      <w:hyperlink w:history="true" w:anchor="_bookmark443">
        <w:r>
          <w:rPr/>
          <w:t>Wonka, 2007</w:t>
        </w:r>
      </w:hyperlink>
      <w:r>
        <w:rPr/>
        <w:t>)</w:t>
      </w:r>
    </w:p>
    <w:p>
      <w:pPr>
        <w:pStyle w:val="BodyText"/>
        <w:ind w:left="0"/>
        <w:jc w:val="left"/>
      </w:pPr>
    </w:p>
    <w:p>
      <w:pPr>
        <w:pStyle w:val="BodyText"/>
        <w:spacing w:before="321"/>
        <w:ind w:left="0"/>
        <w:jc w:val="left"/>
      </w:pPr>
    </w:p>
    <w:p>
      <w:pPr>
        <w:pStyle w:val="Heading4"/>
        <w:numPr>
          <w:ilvl w:val="2"/>
          <w:numId w:val="13"/>
        </w:numPr>
        <w:tabs>
          <w:tab w:pos="1950" w:val="left" w:leader="none"/>
        </w:tabs>
        <w:spacing w:line="240" w:lineRule="auto" w:before="0" w:after="0"/>
        <w:ind w:left="1950" w:right="0" w:hanging="971"/>
        <w:jc w:val="left"/>
      </w:pPr>
      <w:bookmarkStart w:name="_bookmark43" w:id="44"/>
      <w:bookmarkEnd w:id="44"/>
      <w:r>
        <w:rPr>
          <w:b w:val="0"/>
        </w:rPr>
      </w:r>
      <w:r>
        <w:rPr>
          <w:spacing w:val="-6"/>
        </w:rPr>
        <w:t>Direct</w:t>
      </w:r>
      <w:r>
        <w:rPr>
          <w:spacing w:val="36"/>
        </w:rPr>
        <w:t> </w:t>
      </w:r>
      <w:r>
        <w:rPr>
          <w:spacing w:val="-6"/>
        </w:rPr>
        <w:t>Accountability</w:t>
      </w:r>
      <w:r>
        <w:rPr>
          <w:spacing w:val="36"/>
        </w:rPr>
        <w:t> </w:t>
      </w:r>
      <w:r>
        <w:rPr>
          <w:spacing w:val="-6"/>
        </w:rPr>
        <w:t>Versus</w:t>
      </w:r>
      <w:r>
        <w:rPr>
          <w:spacing w:val="35"/>
        </w:rPr>
        <w:t> </w:t>
      </w:r>
      <w:r>
        <w:rPr>
          <w:spacing w:val="-6"/>
        </w:rPr>
        <w:t>Transparency</w:t>
      </w:r>
      <w:r>
        <w:rPr>
          <w:spacing w:val="43"/>
        </w:rPr>
        <w:t> </w:t>
      </w:r>
      <w:r>
        <w:rPr>
          <w:spacing w:val="-10"/>
        </w:rPr>
        <w:t>–</w:t>
      </w:r>
    </w:p>
    <w:p>
      <w:pPr>
        <w:spacing w:before="44"/>
        <w:ind w:left="979" w:right="0" w:firstLine="0"/>
        <w:jc w:val="left"/>
        <w:rPr>
          <w:rFonts w:ascii="Georgia"/>
          <w:b/>
          <w:sz w:val="32"/>
        </w:rPr>
      </w:pPr>
      <w:r>
        <w:rPr>
          <w:rFonts w:ascii="Georgia"/>
          <w:b/>
          <w:sz w:val="32"/>
        </w:rPr>
        <w:t>Case</w:t>
      </w:r>
      <w:r>
        <w:rPr>
          <w:rFonts w:ascii="Georgia"/>
          <w:b/>
          <w:spacing w:val="-8"/>
          <w:sz w:val="32"/>
        </w:rPr>
        <w:t> </w:t>
      </w:r>
      <w:r>
        <w:rPr>
          <w:rFonts w:ascii="Georgia"/>
          <w:b/>
          <w:spacing w:val="-2"/>
          <w:sz w:val="32"/>
        </w:rPr>
        <w:t>Council</w:t>
      </w:r>
    </w:p>
    <w:p>
      <w:pPr>
        <w:pStyle w:val="BodyText"/>
        <w:spacing w:before="8"/>
        <w:ind w:left="0"/>
        <w:jc w:val="left"/>
        <w:rPr>
          <w:rFonts w:ascii="Georgia"/>
          <w:b/>
          <w:sz w:val="18"/>
        </w:rPr>
      </w:pPr>
      <w:r>
        <w:rPr>
          <w:rFonts w:ascii="Georgia"/>
          <w:b/>
          <w:sz w:val="18"/>
        </w:rPr>
        <mc:AlternateContent>
          <mc:Choice Requires="wps">
            <w:drawing>
              <wp:anchor distT="0" distB="0" distL="0" distR="0" allowOverlap="1" layoutInCell="1" locked="0" behindDoc="1" simplePos="0" relativeHeight="487654400">
                <wp:simplePos x="0" y="0"/>
                <wp:positionH relativeFrom="page">
                  <wp:posOffset>1078864</wp:posOffset>
                </wp:positionH>
                <wp:positionV relativeFrom="paragraph">
                  <wp:posOffset>150414</wp:posOffset>
                </wp:positionV>
                <wp:extent cx="5252085" cy="51435"/>
                <wp:effectExtent l="0" t="0" r="0" b="0"/>
                <wp:wrapTopAndBottom/>
                <wp:docPr id="161" name="Graphic 161"/>
                <wp:cNvGraphicFramePr>
                  <a:graphicFrameLocks/>
                </wp:cNvGraphicFramePr>
                <a:graphic>
                  <a:graphicData uri="http://schemas.microsoft.com/office/word/2010/wordprocessingShape">
                    <wps:wsp>
                      <wps:cNvPr id="161" name="Graphic 161"/>
                      <wps:cNvSpPr/>
                      <wps:spPr>
                        <a:xfrm>
                          <a:off x="0" y="0"/>
                          <a:ext cx="5252085" cy="51435"/>
                        </a:xfrm>
                        <a:custGeom>
                          <a:avLst/>
                          <a:gdLst/>
                          <a:ahLst/>
                          <a:cxnLst/>
                          <a:rect l="l" t="t" r="r" b="b"/>
                          <a:pathLst>
                            <a:path w="5252085" h="51435">
                              <a:moveTo>
                                <a:pt x="5252085" y="0"/>
                              </a:moveTo>
                              <a:lnTo>
                                <a:pt x="0" y="0"/>
                              </a:lnTo>
                              <a:lnTo>
                                <a:pt x="0" y="51434"/>
                              </a:lnTo>
                              <a:lnTo>
                                <a:pt x="5252085" y="51434"/>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1.843642pt;width:413.55pt;height:4.05pt;mso-position-horizontal-relative:page;mso-position-vertical-relative:paragraph;z-index:-15662080;mso-wrap-distance-left:0;mso-wrap-distance-right:0" id="docshape152" filled="true" fillcolor="#000000" stroked="false">
                <v:fill type="solid"/>
                <w10:wrap type="topAndBottom"/>
              </v:rect>
            </w:pict>
          </mc:Fallback>
        </mc:AlternateContent>
      </w:r>
    </w:p>
    <w:p>
      <w:pPr>
        <w:pStyle w:val="BodyText"/>
        <w:ind w:left="0"/>
        <w:jc w:val="left"/>
        <w:rPr>
          <w:rFonts w:ascii="Georgia"/>
          <w:b/>
        </w:rPr>
      </w:pPr>
    </w:p>
    <w:p>
      <w:pPr>
        <w:pStyle w:val="BodyText"/>
        <w:spacing w:before="252"/>
        <w:ind w:left="0"/>
        <w:jc w:val="left"/>
        <w:rPr>
          <w:rFonts w:ascii="Georgia"/>
          <w:b/>
        </w:rPr>
      </w:pPr>
    </w:p>
    <w:p>
      <w:pPr>
        <w:pStyle w:val="BodyText"/>
        <w:spacing w:line="276" w:lineRule="auto" w:before="1"/>
        <w:ind w:right="1912" w:firstLine="720"/>
      </w:pPr>
      <w:r>
        <w:rPr/>
        <w:t>It can be argued that more national government in the supranational European institution could mean more democratic accountability of the Union. This statement is based on the notion similar to the idea that the Council is a source of legitimacy, as being a product of the domestic democratic process. We would argue that this line of reasoning is not entirely feasible.</w:t>
      </w:r>
    </w:p>
    <w:p>
      <w:pPr>
        <w:pStyle w:val="BodyText"/>
        <w:spacing w:line="273" w:lineRule="auto"/>
        <w:ind w:right="1903" w:firstLine="720"/>
      </w:pPr>
      <w:r>
        <w:rPr/>
        <w:t>“Theoretically, no doubt, the Council of Ministers is accountable to national</w:t>
      </w:r>
      <w:r>
        <w:rPr>
          <w:spacing w:val="-4"/>
        </w:rPr>
        <w:t> </w:t>
      </w:r>
      <w:r>
        <w:rPr/>
        <w:t>parliaments.” (</w:t>
      </w:r>
      <w:hyperlink w:history="true" w:anchor="_bookmark102">
        <w:r>
          <w:rPr/>
          <w:t>Bogdanor, 2007, p. 6</w:t>
        </w:r>
      </w:hyperlink>
      <w:r>
        <w:rPr/>
        <w:t>)</w:t>
      </w:r>
      <w:r>
        <w:rPr>
          <w:spacing w:val="-5"/>
        </w:rPr>
        <w:t> </w:t>
      </w:r>
      <w:r>
        <w:rPr>
          <w:sz w:val="27"/>
        </w:rPr>
        <w:t>Majone</w:t>
      </w:r>
      <w:r>
        <w:rPr>
          <w:spacing w:val="-3"/>
          <w:sz w:val="27"/>
        </w:rPr>
        <w:t> </w:t>
      </w:r>
      <w:r>
        <w:rPr/>
        <w:t>opposes</w:t>
      </w:r>
      <w:r>
        <w:rPr>
          <w:spacing w:val="-3"/>
        </w:rPr>
        <w:t> </w:t>
      </w:r>
      <w:r>
        <w:rPr/>
        <w:t>this</w:t>
      </w:r>
      <w:r>
        <w:rPr>
          <w:spacing w:val="-3"/>
        </w:rPr>
        <w:t> </w:t>
      </w:r>
      <w:r>
        <w:rPr/>
        <w:t>axiomatic statement and argues that, due to the supremacy of the EU law over the national</w:t>
      </w:r>
      <w:r>
        <w:rPr>
          <w:spacing w:val="-4"/>
        </w:rPr>
        <w:t> </w:t>
      </w:r>
      <w:r>
        <w:rPr/>
        <w:t>law,</w:t>
      </w:r>
      <w:r>
        <w:rPr>
          <w:spacing w:val="-1"/>
        </w:rPr>
        <w:t> </w:t>
      </w:r>
      <w:r>
        <w:rPr/>
        <w:t>the</w:t>
      </w:r>
      <w:r>
        <w:rPr>
          <w:spacing w:val="-2"/>
        </w:rPr>
        <w:t> </w:t>
      </w:r>
      <w:r>
        <w:rPr/>
        <w:t>ministers</w:t>
      </w:r>
      <w:r>
        <w:rPr>
          <w:spacing w:val="-4"/>
        </w:rPr>
        <w:t> </w:t>
      </w:r>
      <w:r>
        <w:rPr/>
        <w:t>in</w:t>
      </w:r>
      <w:r>
        <w:rPr>
          <w:spacing w:val="-1"/>
        </w:rPr>
        <w:t> </w:t>
      </w:r>
      <w:r>
        <w:rPr/>
        <w:t>council</w:t>
      </w:r>
      <w:r>
        <w:rPr>
          <w:spacing w:val="-5"/>
        </w:rPr>
        <w:t> </w:t>
      </w:r>
      <w:r>
        <w:rPr/>
        <w:t>are</w:t>
      </w:r>
      <w:r>
        <w:rPr>
          <w:spacing w:val="-2"/>
        </w:rPr>
        <w:t> </w:t>
      </w:r>
      <w:r>
        <w:rPr/>
        <w:t>more</w:t>
      </w:r>
      <w:r>
        <w:rPr>
          <w:spacing w:val="-2"/>
        </w:rPr>
        <w:t> </w:t>
      </w:r>
      <w:r>
        <w:rPr/>
        <w:t>likely</w:t>
      </w:r>
      <w:r>
        <w:rPr>
          <w:spacing w:val="-2"/>
        </w:rPr>
        <w:t> </w:t>
      </w:r>
      <w:r>
        <w:rPr/>
        <w:t>to</w:t>
      </w:r>
      <w:r>
        <w:rPr>
          <w:spacing w:val="-5"/>
        </w:rPr>
        <w:t> </w:t>
      </w:r>
      <w:r>
        <w:rPr/>
        <w:t>control</w:t>
      </w:r>
      <w:r>
        <w:rPr>
          <w:spacing w:val="-5"/>
        </w:rPr>
        <w:t> </w:t>
      </w:r>
      <w:r>
        <w:rPr/>
        <w:t>the</w:t>
      </w:r>
      <w:r>
        <w:rPr>
          <w:spacing w:val="-2"/>
        </w:rPr>
        <w:t> </w:t>
      </w:r>
      <w:r>
        <w:rPr/>
        <w:t>national legislators, than been conrolled by them. (</w:t>
      </w:r>
      <w:hyperlink w:history="true" w:anchor="_bookmark271">
        <w:r>
          <w:rPr/>
          <w:t>Majone, 1998, p. 7</w:t>
        </w:r>
      </w:hyperlink>
      <w:r>
        <w:rPr/>
        <w:t>) Being the most secretive body among the three involved in ordinary legislative procedure, the Council quite often undermines the principle of democratic transparency. </w:t>
      </w:r>
      <w:r>
        <w:rPr>
          <w:sz w:val="27"/>
        </w:rPr>
        <w:t>Ralf Dahrendorf</w:t>
      </w:r>
      <w:r>
        <w:rPr>
          <w:spacing w:val="40"/>
          <w:sz w:val="27"/>
        </w:rPr>
        <w:t> </w:t>
      </w:r>
      <w:r>
        <w:rPr/>
        <w:t>stated that “a political body in which laws are</w:t>
      </w:r>
      <w:r>
        <w:rPr>
          <w:spacing w:val="-2"/>
        </w:rPr>
        <w:t> </w:t>
      </w:r>
      <w:r>
        <w:rPr/>
        <w:t>made</w:t>
      </w:r>
      <w:r>
        <w:rPr>
          <w:spacing w:val="-2"/>
        </w:rPr>
        <w:t> </w:t>
      </w:r>
      <w:r>
        <w:rPr/>
        <w:t>in</w:t>
      </w:r>
      <w:r>
        <w:rPr>
          <w:spacing w:val="-1"/>
        </w:rPr>
        <w:t> </w:t>
      </w:r>
      <w:r>
        <w:rPr/>
        <w:t>secret,</w:t>
      </w:r>
      <w:r>
        <w:rPr>
          <w:spacing w:val="-1"/>
        </w:rPr>
        <w:t> </w:t>
      </w:r>
      <w:r>
        <w:rPr/>
        <w:t>in</w:t>
      </w:r>
      <w:r>
        <w:rPr>
          <w:spacing w:val="-1"/>
        </w:rPr>
        <w:t> </w:t>
      </w:r>
      <w:r>
        <w:rPr/>
        <w:t>closed sessions</w:t>
      </w:r>
      <w:r>
        <w:rPr>
          <w:spacing w:val="-4"/>
        </w:rPr>
        <w:t> </w:t>
      </w:r>
      <w:r>
        <w:rPr/>
        <w:t>of</w:t>
      </w:r>
      <w:r>
        <w:rPr>
          <w:spacing w:val="-3"/>
        </w:rPr>
        <w:t> </w:t>
      </w:r>
      <w:r>
        <w:rPr/>
        <w:t>the</w:t>
      </w:r>
      <w:r>
        <w:rPr>
          <w:spacing w:val="-2"/>
        </w:rPr>
        <w:t> </w:t>
      </w:r>
      <w:r>
        <w:rPr/>
        <w:t>Council</w:t>
      </w:r>
      <w:r>
        <w:rPr>
          <w:spacing w:val="-5"/>
        </w:rPr>
        <w:t> </w:t>
      </w:r>
      <w:r>
        <w:rPr/>
        <w:t>of</w:t>
      </w:r>
      <w:r>
        <w:rPr>
          <w:spacing w:val="-3"/>
        </w:rPr>
        <w:t> </w:t>
      </w:r>
      <w:r>
        <w:rPr/>
        <w:t>Ministers,</w:t>
      </w:r>
      <w:r>
        <w:rPr>
          <w:spacing w:val="-1"/>
        </w:rPr>
        <w:t> </w:t>
      </w:r>
      <w:r>
        <w:rPr/>
        <w:t>is</w:t>
      </w:r>
      <w:r>
        <w:rPr>
          <w:spacing w:val="-4"/>
        </w:rPr>
        <w:t> </w:t>
      </w:r>
      <w:r>
        <w:rPr/>
        <w:t>an insult to democracy.” (</w:t>
      </w:r>
      <w:hyperlink w:history="true" w:anchor="_bookmark150">
        <w:r>
          <w:rPr/>
          <w:t>Dahrendorf, 2003, p. 103</w:t>
        </w:r>
      </w:hyperlink>
      <w:r>
        <w:rPr/>
        <w:t>)</w:t>
      </w:r>
    </w:p>
    <w:p>
      <w:pPr>
        <w:pStyle w:val="BodyText"/>
        <w:spacing w:line="276" w:lineRule="auto" w:before="3"/>
        <w:ind w:right="1913" w:firstLine="720"/>
      </w:pPr>
      <w:r>
        <w:rPr/>
        <w:t>In</w:t>
      </w:r>
      <w:r>
        <w:rPr>
          <w:spacing w:val="-2"/>
        </w:rPr>
        <w:t> </w:t>
      </w:r>
      <w:r>
        <w:rPr/>
        <w:t>the</w:t>
      </w:r>
      <w:r>
        <w:rPr>
          <w:spacing w:val="-2"/>
        </w:rPr>
        <w:t> </w:t>
      </w:r>
      <w:r>
        <w:rPr/>
        <w:t>second</w:t>
      </w:r>
      <w:r>
        <w:rPr>
          <w:spacing w:val="-1"/>
        </w:rPr>
        <w:t> </w:t>
      </w:r>
      <w:r>
        <w:rPr/>
        <w:t>chapter</w:t>
      </w:r>
      <w:r>
        <w:rPr>
          <w:spacing w:val="-2"/>
        </w:rPr>
        <w:t> </w:t>
      </w:r>
      <w:r>
        <w:rPr/>
        <w:t>we</w:t>
      </w:r>
      <w:r>
        <w:rPr>
          <w:spacing w:val="-2"/>
        </w:rPr>
        <w:t> </w:t>
      </w:r>
      <w:r>
        <w:rPr/>
        <w:t>have maintained</w:t>
      </w:r>
      <w:r>
        <w:rPr>
          <w:spacing w:val="-1"/>
        </w:rPr>
        <w:t> </w:t>
      </w:r>
      <w:r>
        <w:rPr/>
        <w:t>that</w:t>
      </w:r>
      <w:r>
        <w:rPr>
          <w:spacing w:val="-2"/>
        </w:rPr>
        <w:t> </w:t>
      </w:r>
      <w:r>
        <w:rPr/>
        <w:t>the complexity of</w:t>
      </w:r>
      <w:r>
        <w:rPr>
          <w:spacing w:val="-3"/>
        </w:rPr>
        <w:t> </w:t>
      </w:r>
      <w:r>
        <w:rPr/>
        <w:t>the entity depends on the uncertainty it creates for the other entities. We have also noted that in the political system the subsystems are black boxes for each other. In the context of accountable practices among the EU institutions, the secrecy and direct connection with the member state executives</w:t>
      </w:r>
      <w:r>
        <w:rPr>
          <w:spacing w:val="-3"/>
        </w:rPr>
        <w:t> </w:t>
      </w:r>
      <w:r>
        <w:rPr/>
        <w:t>gives the</w:t>
      </w:r>
      <w:r>
        <w:rPr>
          <w:spacing w:val="-1"/>
        </w:rPr>
        <w:t> </w:t>
      </w:r>
      <w:r>
        <w:rPr/>
        <w:t>Council a significant</w:t>
      </w:r>
      <w:r>
        <w:rPr>
          <w:spacing w:val="-1"/>
        </w:rPr>
        <w:t> </w:t>
      </w:r>
      <w:r>
        <w:rPr/>
        <w:t>bargaining</w:t>
      </w:r>
      <w:r>
        <w:rPr>
          <w:spacing w:val="-1"/>
        </w:rPr>
        <w:t> </w:t>
      </w:r>
      <w:r>
        <w:rPr/>
        <w:t>advantage</w:t>
      </w:r>
      <w:r>
        <w:rPr>
          <w:spacing w:val="-1"/>
        </w:rPr>
        <w:t> </w:t>
      </w:r>
      <w:r>
        <w:rPr/>
        <w:t>over the</w:t>
      </w:r>
      <w:r>
        <w:rPr>
          <w:spacing w:val="-1"/>
        </w:rPr>
        <w:t> </w:t>
      </w:r>
      <w:r>
        <w:rPr/>
        <w:t>EP. If we consider above referred studies, we can assume that when it comes to</w:t>
      </w:r>
    </w:p>
    <w:p>
      <w:pPr>
        <w:pStyle w:val="BodyText"/>
        <w:spacing w:after="0" w:line="276" w:lineRule="auto"/>
        <w:sectPr>
          <w:pgSz w:w="12240" w:h="15840"/>
          <w:pgMar w:header="1046" w:footer="0" w:top="1360" w:bottom="280" w:left="720" w:right="360"/>
        </w:sectPr>
      </w:pPr>
    </w:p>
    <w:p>
      <w:pPr>
        <w:pStyle w:val="BodyText"/>
        <w:spacing w:line="276" w:lineRule="auto" w:before="276"/>
        <w:ind w:right="1912"/>
      </w:pPr>
      <w:r>
        <w:rPr/>
        <w:t>choosing</w:t>
      </w:r>
      <w:r>
        <w:rPr>
          <w:spacing w:val="-2"/>
        </w:rPr>
        <w:t> </w:t>
      </w:r>
      <w:r>
        <w:rPr/>
        <w:t>the</w:t>
      </w:r>
      <w:r>
        <w:rPr>
          <w:spacing w:val="-2"/>
        </w:rPr>
        <w:t> </w:t>
      </w:r>
      <w:r>
        <w:rPr/>
        <w:t>sides, the</w:t>
      </w:r>
      <w:r>
        <w:rPr>
          <w:spacing w:val="-2"/>
        </w:rPr>
        <w:t> </w:t>
      </w:r>
      <w:r>
        <w:rPr/>
        <w:t>Commission is more</w:t>
      </w:r>
      <w:r>
        <w:rPr>
          <w:spacing w:val="-2"/>
        </w:rPr>
        <w:t> </w:t>
      </w:r>
      <w:r>
        <w:rPr/>
        <w:t>likely</w:t>
      </w:r>
      <w:r>
        <w:rPr>
          <w:spacing w:val="-2"/>
        </w:rPr>
        <w:t> </w:t>
      </w:r>
      <w:r>
        <w:rPr/>
        <w:t>to stand with</w:t>
      </w:r>
      <w:r>
        <w:rPr>
          <w:spacing w:val="-2"/>
        </w:rPr>
        <w:t> </w:t>
      </w:r>
      <w:r>
        <w:rPr/>
        <w:t>the</w:t>
      </w:r>
      <w:r>
        <w:rPr>
          <w:spacing w:val="-2"/>
        </w:rPr>
        <w:t> </w:t>
      </w:r>
      <w:r>
        <w:rPr/>
        <w:t>Council than with the EP.</w:t>
      </w:r>
    </w:p>
    <w:p>
      <w:pPr>
        <w:pStyle w:val="BodyText"/>
        <w:spacing w:line="276" w:lineRule="auto"/>
        <w:ind w:right="1917" w:firstLine="720"/>
      </w:pPr>
      <w:r>
        <w:rPr/>
        <w:t>It is often argued that the EU council of ministers is a body directly accountable to the European Statespeopless. However, the problems of procedural transparency sometimes undermine the democratic qualities the institution has.</w:t>
      </w:r>
    </w:p>
    <w:p>
      <w:pPr>
        <w:pStyle w:val="BodyText"/>
        <w:spacing w:line="276" w:lineRule="auto"/>
        <w:ind w:right="1911" w:firstLine="787"/>
      </w:pPr>
      <w:r>
        <w:rPr/>
        <w:t>It would</w:t>
      </w:r>
      <w:r>
        <w:rPr>
          <w:spacing w:val="40"/>
        </w:rPr>
        <w:t> </w:t>
      </w:r>
      <w:r>
        <w:rPr/>
        <w:t>be unfair to put the entire blame for the close-door practices, on the EU. The lack of transparency largely derives from the culture of governance the states bring to the European level. Transparency, “is simply the flash point at the intersection of the public’s right to know and the individual’s or organization’s right to privacy.” (</w:t>
      </w:r>
      <w:hyperlink w:history="true" w:anchor="_bookmark321">
        <w:r>
          <w:rPr/>
          <w:t>Oliver, 2004, p. X</w:t>
        </w:r>
      </w:hyperlink>
      <w:r>
        <w:rPr/>
        <w:t>) It is hard to find a fine balance between those cultures who are more inclined in favor of</w:t>
      </w:r>
      <w:r>
        <w:rPr>
          <w:spacing w:val="40"/>
        </w:rPr>
        <w:t> </w:t>
      </w:r>
      <w:r>
        <w:rPr/>
        <w:t>privacy and those, which derive from</w:t>
      </w:r>
      <w:r>
        <w:rPr>
          <w:spacing w:val="40"/>
        </w:rPr>
        <w:t> </w:t>
      </w:r>
      <w:r>
        <w:rPr/>
        <w:t>an open governance tradition. Especially for those who still believe that the Council is a “permanent diplomatic conference in which the member states negotiate the deals.” (</w:t>
      </w:r>
      <w:hyperlink w:history="true" w:anchor="_bookmark213">
        <w:r>
          <w:rPr/>
          <w:t>Heremans, 2011a, p. 3</w:t>
        </w:r>
      </w:hyperlink>
      <w:r>
        <w:rPr/>
        <w:t>)</w:t>
      </w:r>
    </w:p>
    <w:p>
      <w:pPr>
        <w:pStyle w:val="BodyText"/>
        <w:spacing w:line="276" w:lineRule="auto"/>
        <w:ind w:right="1912" w:firstLine="720"/>
      </w:pPr>
      <w:r>
        <w:rPr/>
        <w:t>“Council transparency policies vis-à-vis the public can be divided into three periods: no transparency rights before 1992, increasing transparency rights between 1992 and 2006, and a deadlock in the period thereafter.” (</w:t>
      </w:r>
      <w:hyperlink w:history="true" w:anchor="_bookmark219">
        <w:r>
          <w:rPr/>
          <w:t>Hillebrandt, Curtin, &amp; Meijer, 2014</w:t>
        </w:r>
      </w:hyperlink>
      <w:r>
        <w:rPr/>
        <w:t>)</w:t>
      </w:r>
    </w:p>
    <w:p>
      <w:pPr>
        <w:pStyle w:val="BodyText"/>
        <w:spacing w:line="276" w:lineRule="auto"/>
        <w:ind w:right="1919" w:firstLine="720"/>
      </w:pPr>
      <w:r>
        <w:rPr/>
        <w:t>The initial document on the rules and procedures of the Council did not focus on public openness at all, the article three indicates that</w:t>
      </w:r>
      <w:r>
        <w:rPr>
          <w:spacing w:val="40"/>
        </w:rPr>
        <w:t> </w:t>
      </w:r>
      <w:r>
        <w:rPr/>
        <w:t>“Meetings of the Council shall not be public, unless the Council unanimously decides otherwise.” (1979)</w:t>
      </w:r>
    </w:p>
    <w:p>
      <w:pPr>
        <w:pStyle w:val="BodyText"/>
        <w:spacing w:line="276" w:lineRule="auto"/>
        <w:ind w:right="1907" w:firstLine="720"/>
      </w:pPr>
      <w:r>
        <w:rPr/>
        <w:t>The struggle among the actors with different governance</w:t>
      </w:r>
      <w:r>
        <w:rPr>
          <w:spacing w:val="40"/>
        </w:rPr>
        <w:t> </w:t>
      </w:r>
      <w:r>
        <w:rPr/>
        <w:t>background, has largely produced a face of current-day Council. Pro- transparency states has been a minority, however, their ability to follow a general</w:t>
      </w:r>
      <w:r>
        <w:rPr>
          <w:spacing w:val="-4"/>
        </w:rPr>
        <w:t> </w:t>
      </w:r>
      <w:r>
        <w:rPr/>
        <w:t>direction</w:t>
      </w:r>
      <w:r>
        <w:rPr>
          <w:spacing w:val="-1"/>
        </w:rPr>
        <w:t> </w:t>
      </w:r>
      <w:r>
        <w:rPr/>
        <w:t>of</w:t>
      </w:r>
      <w:r>
        <w:rPr>
          <w:spacing w:val="-3"/>
        </w:rPr>
        <w:t> </w:t>
      </w:r>
      <w:r>
        <w:rPr/>
        <w:t>the</w:t>
      </w:r>
      <w:r>
        <w:rPr>
          <w:spacing w:val="-2"/>
        </w:rPr>
        <w:t> </w:t>
      </w:r>
      <w:r>
        <w:rPr/>
        <w:t>European</w:t>
      </w:r>
      <w:r>
        <w:rPr>
          <w:spacing w:val="-1"/>
        </w:rPr>
        <w:t> </w:t>
      </w:r>
      <w:r>
        <w:rPr/>
        <w:t>integration,</w:t>
      </w:r>
      <w:r>
        <w:rPr>
          <w:spacing w:val="-1"/>
        </w:rPr>
        <w:t> </w:t>
      </w:r>
      <w:r>
        <w:rPr/>
        <w:t>often</w:t>
      </w:r>
      <w:r>
        <w:rPr>
          <w:spacing w:val="-1"/>
        </w:rPr>
        <w:t> </w:t>
      </w:r>
      <w:r>
        <w:rPr/>
        <w:t>gives</w:t>
      </w:r>
      <w:r>
        <w:rPr>
          <w:spacing w:val="-4"/>
        </w:rPr>
        <w:t> </w:t>
      </w:r>
      <w:r>
        <w:rPr/>
        <w:t>them</w:t>
      </w:r>
      <w:r>
        <w:rPr>
          <w:spacing w:val="-4"/>
        </w:rPr>
        <w:t> </w:t>
      </w:r>
      <w:r>
        <w:rPr/>
        <w:t>a</w:t>
      </w:r>
      <w:r>
        <w:rPr>
          <w:spacing w:val="-2"/>
        </w:rPr>
        <w:t> </w:t>
      </w:r>
      <w:r>
        <w:rPr/>
        <w:t>qualitative advantage. For instance, Danish ‘no vote’ to the Maastricht Treaty, has opened up discussions and as a result, “the council first decided to hold public six monthly policy debates, public debates on the Commission’s</w:t>
      </w:r>
      <w:r>
        <w:rPr>
          <w:spacing w:val="40"/>
        </w:rPr>
        <w:t> </w:t>
      </w:r>
      <w:r>
        <w:rPr/>
        <w:t>work</w:t>
      </w:r>
      <w:r>
        <w:rPr>
          <w:spacing w:val="65"/>
        </w:rPr>
        <w:t> </w:t>
      </w:r>
      <w:r>
        <w:rPr/>
        <w:t>programme</w:t>
      </w:r>
      <w:r>
        <w:rPr>
          <w:spacing w:val="65"/>
        </w:rPr>
        <w:t> </w:t>
      </w:r>
      <w:r>
        <w:rPr/>
        <w:t>and</w:t>
      </w:r>
      <w:r>
        <w:rPr>
          <w:spacing w:val="66"/>
        </w:rPr>
        <w:t> </w:t>
      </w:r>
      <w:r>
        <w:rPr/>
        <w:t>…</w:t>
      </w:r>
      <w:r>
        <w:rPr>
          <w:spacing w:val="68"/>
        </w:rPr>
        <w:t> </w:t>
      </w:r>
      <w:r>
        <w:rPr/>
        <w:t>other</w:t>
      </w:r>
      <w:r>
        <w:rPr>
          <w:spacing w:val="65"/>
        </w:rPr>
        <w:t> </w:t>
      </w:r>
      <w:r>
        <w:rPr/>
        <w:t>public</w:t>
      </w:r>
      <w:r>
        <w:rPr>
          <w:spacing w:val="68"/>
        </w:rPr>
        <w:t> </w:t>
      </w:r>
      <w:r>
        <w:rPr/>
        <w:t>debates,”</w:t>
      </w:r>
      <w:r>
        <w:rPr>
          <w:spacing w:val="65"/>
        </w:rPr>
        <w:t> </w:t>
      </w:r>
      <w:r>
        <w:rPr/>
        <w:t>especially</w:t>
      </w:r>
      <w:r>
        <w:rPr>
          <w:spacing w:val="68"/>
        </w:rPr>
        <w:t> </w:t>
      </w:r>
      <w:r>
        <w:rPr/>
        <w:t>“where</w:t>
      </w:r>
      <w:r>
        <w:rPr>
          <w:spacing w:val="65"/>
        </w:rPr>
        <w:t> </w:t>
      </w:r>
      <w:r>
        <w:rPr/>
        <w:t>they</w:t>
      </w:r>
    </w:p>
    <w:p>
      <w:pPr>
        <w:pStyle w:val="BodyText"/>
        <w:spacing w:after="0" w:line="276" w:lineRule="auto"/>
        <w:sectPr>
          <w:pgSz w:w="12240" w:h="15840"/>
          <w:pgMar w:header="1046" w:footer="0" w:top="1360" w:bottom="280" w:left="720" w:right="360"/>
        </w:sectPr>
      </w:pPr>
    </w:p>
    <w:p>
      <w:pPr>
        <w:pStyle w:val="BodyText"/>
        <w:spacing w:line="276" w:lineRule="auto" w:before="276"/>
        <w:ind w:right="1908"/>
      </w:pPr>
      <w:r>
        <w:rPr/>
        <w:t>concern an important issue affecting the interests of the Union.” (</w:t>
      </w:r>
      <w:hyperlink w:history="true" w:anchor="_bookmark163">
        <w:r>
          <w:rPr/>
          <w:t>Driessen,</w:t>
        </w:r>
      </w:hyperlink>
      <w:r>
        <w:rPr/>
        <w:t> </w:t>
      </w:r>
      <w:hyperlink w:history="true" w:anchor="_bookmark163">
        <w:r>
          <w:rPr/>
          <w:t>2008, p. 209</w:t>
        </w:r>
      </w:hyperlink>
      <w:r>
        <w:rPr/>
        <w:t>)</w:t>
      </w:r>
    </w:p>
    <w:p>
      <w:pPr>
        <w:pStyle w:val="BodyText"/>
        <w:spacing w:line="276" w:lineRule="auto"/>
        <w:ind w:right="1911" w:firstLine="720"/>
      </w:pPr>
      <w:r>
        <w:rPr/>
        <w:t>We should keep in mind that Danmark has been among the most vocal defenders of a greater openness in the EU institutions. A significant re-evaluation of</w:t>
      </w:r>
      <w:r>
        <w:rPr>
          <w:spacing w:val="80"/>
        </w:rPr>
        <w:t> </w:t>
      </w:r>
      <w:r>
        <w:rPr/>
        <w:t>possible correlation between opening up the Council to the public and improving public support towards further integration, made the pro-privacy member states to make some concessions.</w:t>
      </w:r>
    </w:p>
    <w:p>
      <w:pPr>
        <w:pStyle w:val="BodyText"/>
        <w:spacing w:line="276" w:lineRule="auto"/>
        <w:ind w:right="1905" w:firstLine="720"/>
      </w:pPr>
      <w:r>
        <w:rPr/>
        <w:t>The events in 90s were determined by three key meetings of the European Council. In Birmingham, Edinburg and Copenhagen among the other issues discussions were held to determine a path towards a greater transparency. The aim</w:t>
      </w:r>
      <w:r>
        <w:rPr>
          <w:spacing w:val="-1"/>
        </w:rPr>
        <w:t> </w:t>
      </w:r>
      <w:r>
        <w:rPr/>
        <w:t>was</w:t>
      </w:r>
      <w:r>
        <w:rPr>
          <w:spacing w:val="-1"/>
        </w:rPr>
        <w:t> </w:t>
      </w:r>
      <w:r>
        <w:rPr/>
        <w:t>to make the community “more open, to</w:t>
      </w:r>
      <w:r>
        <w:rPr>
          <w:spacing w:val="-2"/>
        </w:rPr>
        <w:t> </w:t>
      </w:r>
      <w:r>
        <w:rPr/>
        <w:t>ensure a better informed public debate on its activities.” (Council, Birmingham,</w:t>
      </w:r>
      <w:r>
        <w:rPr>
          <w:spacing w:val="40"/>
        </w:rPr>
        <w:t> </w:t>
      </w:r>
      <w:r>
        <w:rPr/>
        <w:t>1992, p. 4) The meetings were organized to “invite the Council and the Comission to continue their work based on the principle of the citizens having the fullest possible access to information.” (Council, Copenhagen, 1993, p. 16)</w:t>
      </w:r>
    </w:p>
    <w:p>
      <w:pPr>
        <w:pStyle w:val="BodyText"/>
        <w:spacing w:line="273" w:lineRule="auto"/>
        <w:ind w:right="1911" w:firstLine="720"/>
      </w:pPr>
      <w:r>
        <w:rPr/>
        <w:t>Position of transparency advocates in the Council became stronger when Sweden and Finland have joined the EU. Nordic states together with the Netherlands have formed a strong alliance. Their asspirations to reach more openness seemed to be more determined, than of those who were trying to</w:t>
      </w:r>
      <w:r>
        <w:rPr>
          <w:spacing w:val="-2"/>
        </w:rPr>
        <w:t> </w:t>
      </w:r>
      <w:r>
        <w:rPr/>
        <w:t>keep</w:t>
      </w:r>
      <w:r>
        <w:rPr>
          <w:spacing w:val="-1"/>
        </w:rPr>
        <w:t> </w:t>
      </w:r>
      <w:r>
        <w:rPr/>
        <w:t>a</w:t>
      </w:r>
      <w:r>
        <w:rPr>
          <w:spacing w:val="-3"/>
        </w:rPr>
        <w:t> </w:t>
      </w:r>
      <w:r>
        <w:rPr/>
        <w:t>political</w:t>
      </w:r>
      <w:r>
        <w:rPr>
          <w:spacing w:val="-2"/>
        </w:rPr>
        <w:t> </w:t>
      </w:r>
      <w:r>
        <w:rPr/>
        <w:t>privacy. </w:t>
      </w:r>
      <w:r>
        <w:rPr>
          <w:sz w:val="27"/>
        </w:rPr>
        <w:t>Hilldebrandt </w:t>
      </w:r>
      <w:r>
        <w:rPr/>
        <w:t>and colleagues</w:t>
      </w:r>
      <w:r>
        <w:rPr>
          <w:spacing w:val="-2"/>
        </w:rPr>
        <w:t> </w:t>
      </w:r>
      <w:r>
        <w:rPr/>
        <w:t>have pointed out that, “the pro-transparency coalition rarerly met with coordinated counter-preferences.” (</w:t>
      </w:r>
      <w:hyperlink w:history="true" w:anchor="_bookmark219">
        <w:r>
          <w:rPr/>
          <w:t>Hillebrandt et al., 2014, p. 11</w:t>
        </w:r>
      </w:hyperlink>
      <w:r>
        <w:rPr/>
        <w:t>)</w:t>
      </w:r>
    </w:p>
    <w:p>
      <w:pPr>
        <w:pStyle w:val="BodyText"/>
        <w:spacing w:after="0" w:line="273" w:lineRule="auto"/>
        <w:sectPr>
          <w:pgSz w:w="12240" w:h="15840"/>
          <w:pgMar w:header="1046" w:footer="0" w:top="1360" w:bottom="280" w:left="720" w:right="360"/>
        </w:sectPr>
      </w:pPr>
    </w:p>
    <w:p>
      <w:pPr>
        <w:pStyle w:val="BodyText"/>
        <w:spacing w:before="33"/>
        <w:ind w:left="0"/>
        <w:jc w:val="left"/>
        <w:rPr>
          <w:sz w:val="18"/>
        </w:rPr>
      </w:pPr>
    </w:p>
    <w:p>
      <w:pPr>
        <w:spacing w:before="0"/>
        <w:ind w:left="979" w:right="0" w:firstLine="0"/>
        <w:jc w:val="left"/>
        <w:rPr>
          <w:rFonts w:ascii="Calibri"/>
          <w:b/>
          <w:sz w:val="18"/>
        </w:rPr>
      </w:pPr>
      <w:bookmarkStart w:name="_bookmark44" w:id="45"/>
      <w:bookmarkEnd w:id="45"/>
      <w:r>
        <w:rPr/>
      </w:r>
      <w:r>
        <w:rPr>
          <w:rFonts w:ascii="Calibri"/>
          <w:b/>
          <w:color w:val="4F81BC"/>
          <w:sz w:val="18"/>
        </w:rPr>
        <w:t>Figure</w:t>
      </w:r>
      <w:r>
        <w:rPr>
          <w:rFonts w:ascii="Calibri"/>
          <w:b/>
          <w:color w:val="4F81BC"/>
          <w:spacing w:val="-2"/>
          <w:sz w:val="18"/>
        </w:rPr>
        <w:t> </w:t>
      </w:r>
      <w:r>
        <w:rPr>
          <w:rFonts w:ascii="Calibri"/>
          <w:b/>
          <w:color w:val="4F81BC"/>
          <w:sz w:val="18"/>
        </w:rPr>
        <w:t>11.</w:t>
      </w:r>
      <w:r>
        <w:rPr>
          <w:rFonts w:ascii="Calibri"/>
          <w:b/>
          <w:color w:val="4F81BC"/>
          <w:spacing w:val="-6"/>
          <w:sz w:val="18"/>
        </w:rPr>
        <w:t> </w:t>
      </w:r>
      <w:r>
        <w:rPr>
          <w:rFonts w:ascii="Calibri"/>
          <w:b/>
          <w:color w:val="4F81BC"/>
          <w:sz w:val="18"/>
        </w:rPr>
        <w:t>Increasing</w:t>
      </w:r>
      <w:r>
        <w:rPr>
          <w:rFonts w:ascii="Calibri"/>
          <w:b/>
          <w:color w:val="4F81BC"/>
          <w:spacing w:val="-6"/>
          <w:sz w:val="18"/>
        </w:rPr>
        <w:t> </w:t>
      </w:r>
      <w:r>
        <w:rPr>
          <w:rFonts w:ascii="Calibri"/>
          <w:b/>
          <w:color w:val="4F81BC"/>
          <w:sz w:val="18"/>
        </w:rPr>
        <w:t>accountability</w:t>
      </w:r>
      <w:r>
        <w:rPr>
          <w:rFonts w:ascii="Calibri"/>
          <w:b/>
          <w:color w:val="4F81BC"/>
          <w:spacing w:val="1"/>
          <w:sz w:val="18"/>
        </w:rPr>
        <w:t> </w:t>
      </w:r>
      <w:r>
        <w:rPr>
          <w:rFonts w:ascii="Calibri"/>
          <w:b/>
          <w:color w:val="4F81BC"/>
          <w:sz w:val="18"/>
        </w:rPr>
        <w:t>The</w:t>
      </w:r>
      <w:r>
        <w:rPr>
          <w:rFonts w:ascii="Calibri"/>
          <w:b/>
          <w:color w:val="4F81BC"/>
          <w:spacing w:val="-6"/>
          <w:sz w:val="18"/>
        </w:rPr>
        <w:t> </w:t>
      </w:r>
      <w:r>
        <w:rPr>
          <w:rFonts w:ascii="Calibri"/>
          <w:b/>
          <w:color w:val="4F81BC"/>
          <w:sz w:val="18"/>
        </w:rPr>
        <w:t>table</w:t>
      </w:r>
      <w:r>
        <w:rPr>
          <w:rFonts w:ascii="Calibri"/>
          <w:b/>
          <w:color w:val="4F81BC"/>
          <w:spacing w:val="-6"/>
          <w:sz w:val="18"/>
        </w:rPr>
        <w:t> </w:t>
      </w:r>
      <w:r>
        <w:rPr>
          <w:rFonts w:ascii="Calibri"/>
          <w:b/>
          <w:i/>
          <w:color w:val="4F81BC"/>
          <w:sz w:val="18"/>
        </w:rPr>
        <w:t>was</w:t>
      </w:r>
      <w:r>
        <w:rPr>
          <w:rFonts w:ascii="Calibri"/>
          <w:b/>
          <w:i/>
          <w:color w:val="4F81BC"/>
          <w:spacing w:val="-6"/>
          <w:sz w:val="18"/>
        </w:rPr>
        <w:t> </w:t>
      </w:r>
      <w:r>
        <w:rPr>
          <w:rFonts w:ascii="Calibri"/>
          <w:b/>
          <w:i/>
          <w:color w:val="4F81BC"/>
          <w:sz w:val="18"/>
        </w:rPr>
        <w:t>generated</w:t>
      </w:r>
      <w:r>
        <w:rPr>
          <w:rFonts w:ascii="Calibri"/>
          <w:b/>
          <w:i/>
          <w:color w:val="4F81BC"/>
          <w:spacing w:val="-6"/>
          <w:sz w:val="18"/>
        </w:rPr>
        <w:t> </w:t>
      </w:r>
      <w:r>
        <w:rPr>
          <w:rFonts w:ascii="Calibri"/>
          <w:b/>
          <w:i/>
          <w:color w:val="4F81BC"/>
          <w:sz w:val="18"/>
        </w:rPr>
        <w:t>using</w:t>
      </w:r>
      <w:r>
        <w:rPr>
          <w:rFonts w:ascii="Calibri"/>
          <w:b/>
          <w:i/>
          <w:color w:val="4F81BC"/>
          <w:spacing w:val="-1"/>
          <w:sz w:val="18"/>
        </w:rPr>
        <w:t> </w:t>
      </w:r>
      <w:r>
        <w:rPr>
          <w:rFonts w:ascii="Calibri"/>
          <w:b/>
          <w:i/>
          <w:color w:val="4F81BC"/>
          <w:sz w:val="18"/>
        </w:rPr>
        <w:t>the</w:t>
      </w:r>
      <w:r>
        <w:rPr>
          <w:rFonts w:ascii="Calibri"/>
          <w:b/>
          <w:i/>
          <w:color w:val="4F81BC"/>
          <w:spacing w:val="2"/>
          <w:sz w:val="18"/>
        </w:rPr>
        <w:t> </w:t>
      </w:r>
      <w:r>
        <w:rPr>
          <w:rFonts w:ascii="Calibri"/>
          <w:b/>
          <w:i/>
          <w:color w:val="4F81BC"/>
          <w:sz w:val="18"/>
        </w:rPr>
        <w:t>text</w:t>
      </w:r>
      <w:r>
        <w:rPr>
          <w:rFonts w:ascii="Calibri"/>
          <w:b/>
          <w:i/>
          <w:color w:val="4F81BC"/>
          <w:spacing w:val="-2"/>
          <w:sz w:val="18"/>
        </w:rPr>
        <w:t> </w:t>
      </w:r>
      <w:r>
        <w:rPr>
          <w:rFonts w:ascii="Calibri"/>
          <w:b/>
          <w:i/>
          <w:color w:val="4F81BC"/>
          <w:sz w:val="18"/>
        </w:rPr>
        <w:t>by</w:t>
      </w:r>
      <w:r>
        <w:rPr>
          <w:rFonts w:ascii="Calibri"/>
          <w:b/>
          <w:i/>
          <w:color w:val="4F81BC"/>
          <w:spacing w:val="-1"/>
          <w:sz w:val="18"/>
        </w:rPr>
        <w:t> </w:t>
      </w:r>
      <w:r>
        <w:rPr>
          <w:rFonts w:ascii="Calibri"/>
          <w:b/>
          <w:i/>
          <w:color w:val="4F81BC"/>
          <w:sz w:val="18"/>
        </w:rPr>
        <w:t>Augustyn</w:t>
      </w:r>
      <w:r>
        <w:rPr>
          <w:rFonts w:ascii="Calibri"/>
          <w:b/>
          <w:i/>
          <w:color w:val="4F81BC"/>
          <w:spacing w:val="-6"/>
          <w:sz w:val="18"/>
        </w:rPr>
        <w:t> </w:t>
      </w:r>
      <w:r>
        <w:rPr>
          <w:rFonts w:ascii="Calibri"/>
          <w:b/>
          <w:i/>
          <w:color w:val="4F81BC"/>
          <w:sz w:val="18"/>
        </w:rPr>
        <w:t>&amp;</w:t>
      </w:r>
      <w:r>
        <w:rPr>
          <w:rFonts w:ascii="Calibri"/>
          <w:b/>
          <w:i/>
          <w:color w:val="4F81BC"/>
          <w:spacing w:val="-5"/>
          <w:sz w:val="18"/>
        </w:rPr>
        <w:t> </w:t>
      </w:r>
      <w:r>
        <w:rPr>
          <w:rFonts w:ascii="Calibri"/>
          <w:b/>
          <w:i/>
          <w:color w:val="4F81BC"/>
          <w:sz w:val="18"/>
        </w:rPr>
        <w:t>Monda </w:t>
      </w:r>
      <w:hyperlink w:history="true" w:anchor="_bookmark83">
        <w:r>
          <w:rPr>
            <w:rFonts w:ascii="Calibri"/>
            <w:b/>
            <w:color w:val="4F81BC"/>
            <w:spacing w:val="-2"/>
            <w:sz w:val="18"/>
          </w:rPr>
          <w:t>(2011)</w:t>
        </w:r>
      </w:hyperlink>
    </w:p>
    <w:p>
      <w:pPr>
        <w:pStyle w:val="BodyText"/>
        <w:spacing w:before="3"/>
        <w:ind w:left="0"/>
        <w:jc w:val="left"/>
        <w:rPr>
          <w:rFonts w:ascii="Calibri"/>
          <w:b/>
          <w:sz w:val="16"/>
        </w:rPr>
      </w:pPr>
      <w:r>
        <w:rPr>
          <w:rFonts w:ascii="Calibri"/>
          <w:b/>
          <w:sz w:val="16"/>
        </w:rPr>
        <mc:AlternateContent>
          <mc:Choice Requires="wps">
            <w:drawing>
              <wp:anchor distT="0" distB="0" distL="0" distR="0" allowOverlap="1" layoutInCell="1" locked="0" behindDoc="1" simplePos="0" relativeHeight="487654912">
                <wp:simplePos x="0" y="0"/>
                <wp:positionH relativeFrom="page">
                  <wp:posOffset>1092835</wp:posOffset>
                </wp:positionH>
                <wp:positionV relativeFrom="paragraph">
                  <wp:posOffset>141211</wp:posOffset>
                </wp:positionV>
                <wp:extent cx="5382260" cy="2776855"/>
                <wp:effectExtent l="0" t="0" r="0" b="0"/>
                <wp:wrapTopAndBottom/>
                <wp:docPr id="162" name="Group 162" descr="transparency"/>
                <wp:cNvGraphicFramePr>
                  <a:graphicFrameLocks/>
                </wp:cNvGraphicFramePr>
                <a:graphic>
                  <a:graphicData uri="http://schemas.microsoft.com/office/word/2010/wordprocessingGroup">
                    <wpg:wgp>
                      <wpg:cNvPr id="162" name="Group 162" descr="transparency"/>
                      <wpg:cNvGrpSpPr/>
                      <wpg:grpSpPr>
                        <a:xfrm>
                          <a:off x="0" y="0"/>
                          <a:ext cx="5382260" cy="2776855"/>
                          <a:chExt cx="5382260" cy="2776855"/>
                        </a:xfrm>
                      </wpg:grpSpPr>
                      <pic:pic>
                        <pic:nvPicPr>
                          <pic:cNvPr id="163" name="Image 163" descr="transparency"/>
                          <pic:cNvPicPr/>
                        </pic:nvPicPr>
                        <pic:blipFill>
                          <a:blip r:embed="rId33" cstate="print"/>
                          <a:stretch>
                            <a:fillRect/>
                          </a:stretch>
                        </pic:blipFill>
                        <pic:spPr>
                          <a:xfrm>
                            <a:off x="6350" y="6350"/>
                            <a:ext cx="5369560" cy="2764154"/>
                          </a:xfrm>
                          <a:prstGeom prst="rect">
                            <a:avLst/>
                          </a:prstGeom>
                        </pic:spPr>
                      </pic:pic>
                      <wps:wsp>
                        <wps:cNvPr id="164" name="Graphic 164"/>
                        <wps:cNvSpPr/>
                        <wps:spPr>
                          <a:xfrm>
                            <a:off x="3175" y="3175"/>
                            <a:ext cx="5375910" cy="2770505"/>
                          </a:xfrm>
                          <a:custGeom>
                            <a:avLst/>
                            <a:gdLst/>
                            <a:ahLst/>
                            <a:cxnLst/>
                            <a:rect l="l" t="t" r="r" b="b"/>
                            <a:pathLst>
                              <a:path w="5375910" h="2770505">
                                <a:moveTo>
                                  <a:pt x="0" y="2770504"/>
                                </a:moveTo>
                                <a:lnTo>
                                  <a:pt x="5375910" y="2770504"/>
                                </a:lnTo>
                                <a:lnTo>
                                  <a:pt x="5375910" y="0"/>
                                </a:lnTo>
                                <a:lnTo>
                                  <a:pt x="0" y="0"/>
                                </a:lnTo>
                                <a:lnTo>
                                  <a:pt x="0" y="2770504"/>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86.050003pt;margin-top:11.119043pt;width:423.8pt;height:218.65pt;mso-position-horizontal-relative:page;mso-position-vertical-relative:paragraph;z-index:-15661568;mso-wrap-distance-left:0;mso-wrap-distance-right:0" id="docshapegroup153" coordorigin="1721,222" coordsize="8476,4373" alt="transparency">
                <v:shape style="position:absolute;left:1731;top:232;width:8456;height:4353" type="#_x0000_t75" id="docshape154" alt="transparency" stroked="false">
                  <v:imagedata r:id="rId33" o:title=""/>
                </v:shape>
                <v:rect style="position:absolute;left:1726;top:227;width:8466;height:4363" id="docshape155" filled="false" stroked="true" strokeweight=".5pt" strokecolor="#000000">
                  <v:stroke dashstyle="solid"/>
                </v:rect>
                <w10:wrap type="topAndBottom"/>
              </v:group>
            </w:pict>
          </mc:Fallback>
        </mc:AlternateContent>
      </w:r>
    </w:p>
    <w:p>
      <w:pPr>
        <w:pStyle w:val="BodyText"/>
        <w:ind w:left="0"/>
        <w:jc w:val="left"/>
        <w:rPr>
          <w:rFonts w:ascii="Calibri"/>
          <w:b/>
          <w:sz w:val="18"/>
        </w:rPr>
      </w:pPr>
    </w:p>
    <w:p>
      <w:pPr>
        <w:pStyle w:val="BodyText"/>
        <w:spacing w:before="14"/>
        <w:ind w:left="0"/>
        <w:jc w:val="left"/>
        <w:rPr>
          <w:rFonts w:ascii="Calibri"/>
          <w:b/>
          <w:sz w:val="18"/>
        </w:rPr>
      </w:pPr>
    </w:p>
    <w:p>
      <w:pPr>
        <w:pStyle w:val="BodyText"/>
        <w:spacing w:line="276" w:lineRule="auto"/>
        <w:ind w:right="1909" w:firstLine="720"/>
      </w:pPr>
      <w:r>
        <w:rPr/>
        <w:t>A general discourse about a need to democratize the EU institutions brought to two major pro-transparency changes. First was an official legal chapter in the Amsterdam Treaty dedicated to transparency, second was a regulation 1049/2001 adopted by the European Parliament.</w:t>
      </w:r>
    </w:p>
    <w:p>
      <w:pPr>
        <w:pStyle w:val="BodyText"/>
        <w:spacing w:line="276" w:lineRule="auto"/>
        <w:ind w:right="1909" w:firstLine="720"/>
      </w:pPr>
      <w:r>
        <w:rPr/>
        <w:t>Even though, the 1049/2001 in overall is quite comprehensive legal guide of an open conduct, it still leaves a lot of room for political interpretations. The most problematic aspect relates to exceptional cases in which the institutions can restrict the access to the documents. A ‘special treatment’ for the ‘highly sensitive content,’ protection of ‘certain public and private interests,’ safeguarding the institutions decision-making process by keeping documents of internal use until the process is finished (1049/2001), -</w:t>
      </w:r>
      <w:r>
        <w:rPr>
          <w:spacing w:val="40"/>
        </w:rPr>
        <w:t> </w:t>
      </w:r>
      <w:r>
        <w:rPr/>
        <w:t>all these aspects cause certain tensions between legal and institutional views.</w:t>
      </w:r>
    </w:p>
    <w:p>
      <w:pPr>
        <w:pStyle w:val="BodyText"/>
        <w:spacing w:line="276" w:lineRule="auto" w:before="4"/>
        <w:ind w:right="1911" w:firstLine="720"/>
      </w:pPr>
      <w:r>
        <w:rPr/>
        <w:t>The Lisbon Treaty, which is arguably the most public oriented agreement up</w:t>
      </w:r>
      <w:r>
        <w:rPr>
          <w:spacing w:val="-1"/>
        </w:rPr>
        <w:t> </w:t>
      </w:r>
      <w:r>
        <w:rPr/>
        <w:t>to</w:t>
      </w:r>
      <w:r>
        <w:rPr>
          <w:spacing w:val="-3"/>
        </w:rPr>
        <w:t> </w:t>
      </w:r>
      <w:r>
        <w:rPr/>
        <w:t>date, urges</w:t>
      </w:r>
      <w:r>
        <w:rPr>
          <w:spacing w:val="-2"/>
        </w:rPr>
        <w:t> </w:t>
      </w:r>
      <w:r>
        <w:rPr/>
        <w:t>for ever more transparency</w:t>
      </w:r>
      <w:r>
        <w:rPr>
          <w:spacing w:val="-1"/>
        </w:rPr>
        <w:t> </w:t>
      </w:r>
      <w:r>
        <w:rPr/>
        <w:t>and openness</w:t>
      </w:r>
      <w:r>
        <w:rPr>
          <w:spacing w:val="-2"/>
        </w:rPr>
        <w:t> </w:t>
      </w:r>
      <w:r>
        <w:rPr/>
        <w:t>of</w:t>
      </w:r>
      <w:r>
        <w:rPr>
          <w:spacing w:val="-1"/>
        </w:rPr>
        <w:t> </w:t>
      </w:r>
      <w:r>
        <w:rPr/>
        <w:t>the European institutions. In practice Regulation 1049/2001 together with above illustrated declarations should ensure a basic level of transparency. However, the experience has shown that legislative basis is not always followed by the consequent practices.</w:t>
      </w:r>
      <w:r>
        <w:rPr>
          <w:spacing w:val="25"/>
        </w:rPr>
        <w:t> </w:t>
      </w:r>
      <w:r>
        <w:rPr/>
        <w:t>Particularly, the recent studies have</w:t>
      </w:r>
    </w:p>
    <w:p>
      <w:pPr>
        <w:pStyle w:val="BodyText"/>
        <w:spacing w:after="0" w:line="276" w:lineRule="auto"/>
        <w:sectPr>
          <w:pgSz w:w="12240" w:h="15840"/>
          <w:pgMar w:header="1046" w:footer="0" w:top="1360" w:bottom="280" w:left="720" w:right="360"/>
        </w:sectPr>
      </w:pPr>
    </w:p>
    <w:p>
      <w:pPr>
        <w:pStyle w:val="BodyText"/>
        <w:spacing w:line="276" w:lineRule="auto" w:before="276"/>
        <w:ind w:right="1905"/>
      </w:pPr>
      <w:r>
        <w:rPr/>
        <w:t>revealed that</w:t>
      </w:r>
      <w:r>
        <w:rPr>
          <w:spacing w:val="40"/>
        </w:rPr>
        <w:t> </w:t>
      </w:r>
      <w:r>
        <w:rPr/>
        <w:t>“the Council fails to disclose approximately 90% of its restricted documents, not only to outside stakeholders but also to the EU institutional system.” (</w:t>
      </w:r>
      <w:hyperlink w:history="true" w:anchor="_bookmark107">
        <w:r>
          <w:rPr/>
          <w:t>Borońska-Hryniewiecka, 2015</w:t>
        </w:r>
      </w:hyperlink>
      <w:r>
        <w:rPr/>
        <w:t>)</w:t>
      </w:r>
    </w:p>
    <w:p>
      <w:pPr>
        <w:pStyle w:val="BodyText"/>
        <w:spacing w:line="276" w:lineRule="auto"/>
        <w:ind w:right="1906" w:firstLine="720"/>
      </w:pPr>
      <w:r>
        <w:rPr/>
        <w:t>The very nature of defining the ‘restricted documents’ is rather problematic.</w:t>
      </w:r>
      <w:r>
        <w:rPr>
          <w:spacing w:val="-1"/>
        </w:rPr>
        <w:t> </w:t>
      </w:r>
      <w:r>
        <w:rPr/>
        <w:t>That</w:t>
      </w:r>
      <w:r>
        <w:rPr>
          <w:spacing w:val="-2"/>
        </w:rPr>
        <w:t> </w:t>
      </w:r>
      <w:r>
        <w:rPr/>
        <w:t>is</w:t>
      </w:r>
      <w:r>
        <w:rPr>
          <w:spacing w:val="-4"/>
        </w:rPr>
        <w:t> </w:t>
      </w:r>
      <w:r>
        <w:rPr/>
        <w:t>why</w:t>
      </w:r>
      <w:r>
        <w:rPr>
          <w:spacing w:val="-2"/>
        </w:rPr>
        <w:t> </w:t>
      </w:r>
      <w:r>
        <w:rPr/>
        <w:t>the</w:t>
      </w:r>
      <w:r>
        <w:rPr>
          <w:spacing w:val="-2"/>
        </w:rPr>
        <w:t> </w:t>
      </w:r>
      <w:r>
        <w:rPr/>
        <w:t>Council</w:t>
      </w:r>
      <w:r>
        <w:rPr>
          <w:spacing w:val="-5"/>
        </w:rPr>
        <w:t> </w:t>
      </w:r>
      <w:r>
        <w:rPr/>
        <w:t>often</w:t>
      </w:r>
      <w:r>
        <w:rPr>
          <w:spacing w:val="-1"/>
        </w:rPr>
        <w:t> </w:t>
      </w:r>
      <w:r>
        <w:rPr/>
        <w:t>clashes</w:t>
      </w:r>
      <w:r>
        <w:rPr>
          <w:spacing w:val="-4"/>
        </w:rPr>
        <w:t> </w:t>
      </w:r>
      <w:r>
        <w:rPr/>
        <w:t>with the</w:t>
      </w:r>
      <w:r>
        <w:rPr>
          <w:spacing w:val="-2"/>
        </w:rPr>
        <w:t> </w:t>
      </w:r>
      <w:r>
        <w:rPr/>
        <w:t>decisions</w:t>
      </w:r>
      <w:r>
        <w:rPr>
          <w:spacing w:val="-4"/>
        </w:rPr>
        <w:t> </w:t>
      </w:r>
      <w:r>
        <w:rPr/>
        <w:t>of</w:t>
      </w:r>
      <w:r>
        <w:rPr>
          <w:spacing w:val="-3"/>
        </w:rPr>
        <w:t> </w:t>
      </w:r>
      <w:r>
        <w:rPr/>
        <w:t>the ECJ. The latter had on several occasions demanded of the former, to grant an access to the third party on the documents initially labeled as restricted. Constant pressure from the other bodies might be a reason behind the fact that out of 117,000 restricted documents, have been produced by the Council, only 13184 are officially registered. This means that some documents not only are in the non-disclosure list, but legally they do not exist for the public.” (</w:t>
      </w:r>
      <w:hyperlink w:history="true" w:anchor="_bookmark331">
        <w:r>
          <w:rPr/>
          <w:t>Perera, Hancisse, McMenamin, &amp; Patz, 2014</w:t>
        </w:r>
      </w:hyperlink>
      <w:r>
        <w:rPr/>
        <w:t>) The decisions of the court over last decade has produced a significant amount of cases that suggest to systematize the effort for filling the loopholes in the legislation. (</w:t>
      </w:r>
      <w:hyperlink w:history="true" w:anchor="_bookmark213">
        <w:r>
          <w:rPr/>
          <w:t>Heremans, 2011a, p. 2</w:t>
        </w:r>
      </w:hyperlink>
      <w:r>
        <w:rPr/>
        <w:t>)</w:t>
      </w:r>
    </w:p>
    <w:p>
      <w:pPr>
        <w:pStyle w:val="BodyText"/>
        <w:spacing w:line="276" w:lineRule="auto"/>
        <w:ind w:right="1908" w:firstLine="720"/>
      </w:pPr>
      <w:r>
        <w:rPr/>
        <w:t>As we have indicated in the beginning of this section, the Council is often portrayed as a body which represents a direct will of the European statespeoples. Considering this view, a common practice in the Council not to reveal the voting record of the member states or their positions in negotiations becomes extremely important.</w:t>
      </w:r>
      <w:r>
        <w:rPr>
          <w:position w:val="7"/>
          <w:sz w:val="15"/>
        </w:rPr>
        <w:t>28</w:t>
      </w:r>
      <w:r>
        <w:rPr>
          <w:spacing w:val="40"/>
          <w:position w:val="7"/>
          <w:sz w:val="15"/>
        </w:rPr>
        <w:t> </w:t>
      </w:r>
      <w:r>
        <w:rPr/>
        <w:t>“The studies indicate that the probability of both types of censorship increases with the level of controversy in a particular negotiation.” (</w:t>
      </w:r>
      <w:hyperlink w:history="true" w:anchor="_bookmark107">
        <w:r>
          <w:rPr/>
          <w:t>Borońska-Hryniewiecka, 2015</w:t>
        </w:r>
      </w:hyperlink>
      <w:r>
        <w:rPr/>
        <w:t>)</w:t>
      </w:r>
    </w:p>
    <w:p>
      <w:pPr>
        <w:pStyle w:val="BodyText"/>
        <w:spacing w:line="276" w:lineRule="auto"/>
        <w:ind w:right="1915" w:firstLine="720"/>
      </w:pPr>
      <w:r>
        <w:rPr/>
        <w:t>In 2004 the Commission maintained that the regulation 1049/2001 was working well and there was no substantial need to change it, as far as the Constitutional Treaty was planned to enter into force in due time. The latter did not happen, therefore, new measures were needed to be taken.</w:t>
      </w: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spacing w:before="255"/>
        <w:ind w:left="0"/>
        <w:jc w:val="left"/>
        <w:rPr>
          <w:sz w:val="20"/>
        </w:rPr>
      </w:pPr>
      <w:r>
        <w:rPr>
          <w:sz w:val="20"/>
        </w:rPr>
        <mc:AlternateContent>
          <mc:Choice Requires="wps">
            <w:drawing>
              <wp:anchor distT="0" distB="0" distL="0" distR="0" allowOverlap="1" layoutInCell="1" locked="0" behindDoc="1" simplePos="0" relativeHeight="487655424">
                <wp:simplePos x="0" y="0"/>
                <wp:positionH relativeFrom="page">
                  <wp:posOffset>1079296</wp:posOffset>
                </wp:positionH>
                <wp:positionV relativeFrom="paragraph">
                  <wp:posOffset>344878</wp:posOffset>
                </wp:positionV>
                <wp:extent cx="1830070" cy="9525"/>
                <wp:effectExtent l="0" t="0" r="0" b="0"/>
                <wp:wrapTopAndBottom/>
                <wp:docPr id="165" name="Graphic 165"/>
                <wp:cNvGraphicFramePr>
                  <a:graphicFrameLocks/>
                </wp:cNvGraphicFramePr>
                <a:graphic>
                  <a:graphicData uri="http://schemas.microsoft.com/office/word/2010/wordprocessingShape">
                    <wps:wsp>
                      <wps:cNvPr id="165" name="Graphic 165"/>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27.155762pt;width:144.07pt;height:.72003pt;mso-position-horizontal-relative:page;mso-position-vertical-relative:paragraph;z-index:-15661056;mso-wrap-distance-left:0;mso-wrap-distance-right:0" id="docshape156" filled="true" fillcolor="#000000" stroked="false">
                <v:fill type="solid"/>
                <w10:wrap type="topAndBottom"/>
              </v:rect>
            </w:pict>
          </mc:Fallback>
        </mc:AlternateContent>
      </w:r>
    </w:p>
    <w:p>
      <w:pPr>
        <w:spacing w:before="102"/>
        <w:ind w:left="979" w:right="1909" w:firstLine="0"/>
        <w:jc w:val="left"/>
        <w:rPr>
          <w:rFonts w:ascii="Calibri" w:hAnsi="Calibri"/>
          <w:sz w:val="22"/>
        </w:rPr>
      </w:pPr>
      <w:r>
        <w:rPr>
          <w:rFonts w:ascii="Calibri" w:hAnsi="Calibri"/>
          <w:sz w:val="22"/>
          <w:vertAlign w:val="superscript"/>
        </w:rPr>
        <w:t>28</w:t>
      </w:r>
      <w:r>
        <w:rPr>
          <w:rFonts w:ascii="Calibri" w:hAnsi="Calibri"/>
          <w:sz w:val="22"/>
          <w:vertAlign w:val="baseline"/>
        </w:rPr>
        <w:t> According to the Council’s internal rules, the vote does not need to be disclosed but only the result of the vote</w:t>
      </w:r>
    </w:p>
    <w:p>
      <w:pPr>
        <w:spacing w:after="0"/>
        <w:jc w:val="left"/>
        <w:rPr>
          <w:rFonts w:ascii="Calibri" w:hAnsi="Calibri"/>
          <w:sz w:val="22"/>
        </w:rPr>
        <w:sectPr>
          <w:pgSz w:w="12240" w:h="15840"/>
          <w:pgMar w:header="1046" w:footer="0" w:top="1360" w:bottom="280" w:left="720" w:right="360"/>
        </w:sectPr>
      </w:pPr>
    </w:p>
    <w:p>
      <w:pPr>
        <w:pStyle w:val="BodyText"/>
        <w:spacing w:line="276" w:lineRule="auto" w:before="276"/>
        <w:ind w:right="1911" w:firstLine="720"/>
        <w:rPr>
          <w:position w:val="7"/>
          <w:sz w:val="15"/>
        </w:rPr>
      </w:pPr>
      <w:r>
        <w:rPr/>
        <w:t>In 2005 the Commission has launched “the European Transparency Initiative.” Subsequent actions were followed by the Parliament and Council in 2006.</w:t>
      </w:r>
      <w:r>
        <w:rPr>
          <w:position w:val="7"/>
          <w:sz w:val="15"/>
        </w:rPr>
        <w:t>29</w:t>
      </w:r>
    </w:p>
    <w:p>
      <w:pPr>
        <w:pStyle w:val="BodyText"/>
        <w:spacing w:line="276" w:lineRule="auto"/>
        <w:ind w:right="1914" w:firstLine="720"/>
      </w:pPr>
      <w:r>
        <w:rPr/>
        <w:t>In 2007 the Commission opened a procedure to revise a regulation 1049/2001. The institution has published a Green Paper to initiate public discussion.</w:t>
      </w:r>
      <w:r>
        <w:rPr>
          <w:spacing w:val="-2"/>
        </w:rPr>
        <w:t> </w:t>
      </w:r>
      <w:r>
        <w:rPr/>
        <w:t>The</w:t>
      </w:r>
      <w:r>
        <w:rPr>
          <w:spacing w:val="-3"/>
        </w:rPr>
        <w:t> </w:t>
      </w:r>
      <w:r>
        <w:rPr/>
        <w:t>outcomes</w:t>
      </w:r>
      <w:r>
        <w:rPr>
          <w:spacing w:val="-5"/>
        </w:rPr>
        <w:t> </w:t>
      </w:r>
      <w:r>
        <w:rPr/>
        <w:t>of</w:t>
      </w:r>
      <w:r>
        <w:rPr>
          <w:spacing w:val="-4"/>
        </w:rPr>
        <w:t> </w:t>
      </w:r>
      <w:r>
        <w:rPr/>
        <w:t>the</w:t>
      </w:r>
      <w:r>
        <w:rPr>
          <w:spacing w:val="-3"/>
        </w:rPr>
        <w:t> </w:t>
      </w:r>
      <w:r>
        <w:rPr/>
        <w:t>discussion,</w:t>
      </w:r>
      <w:r>
        <w:rPr>
          <w:spacing w:val="-2"/>
        </w:rPr>
        <w:t> </w:t>
      </w:r>
      <w:r>
        <w:rPr/>
        <w:t>together</w:t>
      </w:r>
      <w:r>
        <w:rPr>
          <w:spacing w:val="-2"/>
        </w:rPr>
        <w:t> </w:t>
      </w:r>
      <w:r>
        <w:rPr/>
        <w:t>with</w:t>
      </w:r>
      <w:r>
        <w:rPr>
          <w:spacing w:val="-3"/>
        </w:rPr>
        <w:t> </w:t>
      </w:r>
      <w:r>
        <w:rPr/>
        <w:t>the</w:t>
      </w:r>
      <w:r>
        <w:rPr>
          <w:spacing w:val="-3"/>
        </w:rPr>
        <w:t> </w:t>
      </w:r>
      <w:r>
        <w:rPr/>
        <w:t>parliamentary recommendations and the case law were taken into account to prepare the ammendments for the 1049/2001. (Commission, 2008)</w:t>
      </w:r>
    </w:p>
    <w:p>
      <w:pPr>
        <w:pStyle w:val="BodyText"/>
        <w:spacing w:line="276" w:lineRule="auto"/>
        <w:ind w:right="1897" w:firstLine="720"/>
      </w:pPr>
      <w:r>
        <w:rPr/>
        <w:t>Instead of replacing those parts of the legal act which needed the change, the Commission demanded a legislative re-cast procedure. This procedure is used when a document has been amended for numerous times and needs to be repealed and replaced. However, changes of 1049/2001 had never been under discussion before and the EP did not want to take a re- cast path.</w:t>
      </w:r>
    </w:p>
    <w:p>
      <w:pPr>
        <w:pStyle w:val="BodyText"/>
        <w:spacing w:line="276" w:lineRule="auto"/>
        <w:ind w:right="1907" w:firstLine="720"/>
      </w:pPr>
      <w:r>
        <w:rPr/>
        <w:t>Some authors believe that introducing the re-cast procedure was a Manoeuvre of the Commission to avoid much more “ambitious revision- plans” voiced by the Parliament.” (</w:t>
      </w:r>
      <w:hyperlink w:history="true" w:anchor="_bookmark214">
        <w:r>
          <w:rPr/>
          <w:t>Heremans, 2011b, p. 11</w:t>
        </w:r>
      </w:hyperlink>
      <w:r>
        <w:rPr/>
        <w:t>) The Council with above mentioned internal developments, often plays along with the </w:t>
      </w:r>
      <w:r>
        <w:rPr>
          <w:spacing w:val="-2"/>
        </w:rPr>
        <w:t>Commission.</w:t>
      </w:r>
    </w:p>
    <w:p>
      <w:pPr>
        <w:pStyle w:val="BodyText"/>
        <w:spacing w:line="276" w:lineRule="auto"/>
        <w:ind w:right="1900" w:firstLine="720"/>
      </w:pPr>
      <w:r>
        <w:rPr/>
        <w:t>The re-cast procedure was not withdrawn even after the Lisbon Treaty entered into force. The trilogues started with the Danish Presidency in the first half of 2012; however, the Comission did not agree with proposed compromises.</w:t>
      </w:r>
    </w:p>
    <w:p>
      <w:pPr>
        <w:pStyle w:val="BodyText"/>
        <w:spacing w:line="276" w:lineRule="auto"/>
        <w:ind w:right="1911" w:firstLine="720"/>
      </w:pPr>
      <w:r>
        <w:rPr/>
        <w:t>In 2013 the EP</w:t>
      </w:r>
      <w:r>
        <w:rPr>
          <w:spacing w:val="40"/>
        </w:rPr>
        <w:t> </w:t>
      </w:r>
      <w:r>
        <w:rPr/>
        <w:t>adopted a resolution on the deadlock on the revision of 1049/2001.</w:t>
      </w:r>
      <w:r>
        <w:rPr>
          <w:spacing w:val="40"/>
        </w:rPr>
        <w:t> </w:t>
      </w:r>
      <w:r>
        <w:rPr/>
        <w:t>The resolution stressed on a need to follow the fundamental rights of the citizens. The document has expressed the concerns about the fact</w:t>
      </w:r>
      <w:r>
        <w:rPr>
          <w:spacing w:val="15"/>
        </w:rPr>
        <w:t> </w:t>
      </w:r>
      <w:r>
        <w:rPr/>
        <w:t>that</w:t>
      </w:r>
      <w:r>
        <w:rPr>
          <w:spacing w:val="16"/>
        </w:rPr>
        <w:t> </w:t>
      </w:r>
      <w:r>
        <w:rPr/>
        <w:t>in</w:t>
      </w:r>
      <w:r>
        <w:rPr>
          <w:spacing w:val="16"/>
        </w:rPr>
        <w:t> </w:t>
      </w:r>
      <w:r>
        <w:rPr/>
        <w:t>the</w:t>
      </w:r>
      <w:r>
        <w:rPr>
          <w:spacing w:val="15"/>
        </w:rPr>
        <w:t> </w:t>
      </w:r>
      <w:r>
        <w:rPr/>
        <w:t>wake</w:t>
      </w:r>
      <w:r>
        <w:rPr>
          <w:spacing w:val="15"/>
        </w:rPr>
        <w:t> </w:t>
      </w:r>
      <w:r>
        <w:rPr/>
        <w:t>of</w:t>
      </w:r>
      <w:r>
        <w:rPr>
          <w:spacing w:val="14"/>
        </w:rPr>
        <w:t> </w:t>
      </w:r>
      <w:r>
        <w:rPr/>
        <w:t>the</w:t>
      </w:r>
      <w:r>
        <w:rPr>
          <w:spacing w:val="15"/>
        </w:rPr>
        <w:t> </w:t>
      </w:r>
      <w:r>
        <w:rPr/>
        <w:t>Lisbon</w:t>
      </w:r>
      <w:r>
        <w:rPr>
          <w:spacing w:val="16"/>
        </w:rPr>
        <w:t> </w:t>
      </w:r>
      <w:r>
        <w:rPr/>
        <w:t>Treaty,</w:t>
      </w:r>
      <w:r>
        <w:rPr>
          <w:spacing w:val="12"/>
        </w:rPr>
        <w:t> </w:t>
      </w:r>
      <w:r>
        <w:rPr/>
        <w:t>the</w:t>
      </w:r>
      <w:r>
        <w:rPr>
          <w:spacing w:val="16"/>
        </w:rPr>
        <w:t> </w:t>
      </w:r>
      <w:r>
        <w:rPr/>
        <w:t>deadlock</w:t>
      </w:r>
      <w:r>
        <w:rPr>
          <w:spacing w:val="16"/>
        </w:rPr>
        <w:t> </w:t>
      </w:r>
      <w:r>
        <w:rPr/>
        <w:t>in</w:t>
      </w:r>
      <w:r>
        <w:rPr>
          <w:spacing w:val="16"/>
        </w:rPr>
        <w:t> </w:t>
      </w:r>
      <w:r>
        <w:rPr/>
        <w:t>trilogues</w:t>
      </w:r>
      <w:r>
        <w:rPr>
          <w:spacing w:val="23"/>
        </w:rPr>
        <w:t> </w:t>
      </w:r>
      <w:r>
        <w:rPr>
          <w:spacing w:val="-2"/>
        </w:rPr>
        <w:t>could</w:t>
      </w:r>
    </w:p>
    <w:p>
      <w:pPr>
        <w:pStyle w:val="BodyText"/>
        <w:spacing w:before="103"/>
        <w:ind w:left="0"/>
        <w:jc w:val="left"/>
        <w:rPr>
          <w:sz w:val="20"/>
        </w:rPr>
      </w:pPr>
      <w:r>
        <w:rPr>
          <w:sz w:val="20"/>
        </w:rPr>
        <mc:AlternateContent>
          <mc:Choice Requires="wps">
            <w:drawing>
              <wp:anchor distT="0" distB="0" distL="0" distR="0" allowOverlap="1" layoutInCell="1" locked="0" behindDoc="1" simplePos="0" relativeHeight="487655936">
                <wp:simplePos x="0" y="0"/>
                <wp:positionH relativeFrom="page">
                  <wp:posOffset>1079296</wp:posOffset>
                </wp:positionH>
                <wp:positionV relativeFrom="paragraph">
                  <wp:posOffset>248322</wp:posOffset>
                </wp:positionV>
                <wp:extent cx="1830070" cy="9525"/>
                <wp:effectExtent l="0" t="0" r="0" b="0"/>
                <wp:wrapTopAndBottom/>
                <wp:docPr id="166" name="Graphic 166"/>
                <wp:cNvGraphicFramePr>
                  <a:graphicFrameLocks/>
                </wp:cNvGraphicFramePr>
                <a:graphic>
                  <a:graphicData uri="http://schemas.microsoft.com/office/word/2010/wordprocessingShape">
                    <wps:wsp>
                      <wps:cNvPr id="166" name="Graphic 166"/>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19.552975pt;width:144.07pt;height:.71997pt;mso-position-horizontal-relative:page;mso-position-vertical-relative:paragraph;z-index:-15660544;mso-wrap-distance-left:0;mso-wrap-distance-right:0" id="docshape157" filled="true" fillcolor="#000000" stroked="false">
                <v:fill type="solid"/>
                <w10:wrap type="topAndBottom"/>
              </v:rect>
            </w:pict>
          </mc:Fallback>
        </mc:AlternateContent>
      </w:r>
    </w:p>
    <w:p>
      <w:pPr>
        <w:spacing w:before="102"/>
        <w:ind w:left="979" w:right="1900" w:firstLine="0"/>
        <w:jc w:val="both"/>
        <w:rPr>
          <w:rFonts w:ascii="Calibri"/>
          <w:b/>
          <w:sz w:val="22"/>
        </w:rPr>
      </w:pPr>
      <w:r>
        <w:rPr>
          <w:rFonts w:ascii="Calibri"/>
          <w:sz w:val="22"/>
          <w:vertAlign w:val="superscript"/>
        </w:rPr>
        <w:t>29</w:t>
      </w:r>
      <w:r>
        <w:rPr>
          <w:rFonts w:ascii="Calibri"/>
          <w:sz w:val="22"/>
          <w:vertAlign w:val="baseline"/>
        </w:rPr>
        <w:t> P6_TA(2006)0122 European Parliament resolution with recommendations to the Commission on access to the institutions' texts (2004/2125(INI)</w:t>
      </w:r>
      <w:r>
        <w:rPr>
          <w:rFonts w:ascii="Calibri"/>
          <w:b/>
          <w:sz w:val="22"/>
          <w:vertAlign w:val="baseline"/>
        </w:rPr>
        <w:t>. &amp; Regulation (EC) No 1367/2006 of the European Parliament and of the Council of 6</w:t>
      </w:r>
      <w:r>
        <w:rPr>
          <w:rFonts w:ascii="Calibri"/>
          <w:b/>
          <w:spacing w:val="-3"/>
          <w:sz w:val="22"/>
          <w:vertAlign w:val="baseline"/>
        </w:rPr>
        <w:t> </w:t>
      </w:r>
      <w:r>
        <w:rPr>
          <w:rFonts w:ascii="Calibri"/>
          <w:b/>
          <w:sz w:val="22"/>
          <w:vertAlign w:val="baseline"/>
        </w:rPr>
        <w:t>September</w:t>
      </w:r>
      <w:r>
        <w:rPr>
          <w:rFonts w:ascii="Calibri"/>
          <w:b/>
          <w:spacing w:val="-3"/>
          <w:sz w:val="22"/>
          <w:vertAlign w:val="baseline"/>
        </w:rPr>
        <w:t> </w:t>
      </w:r>
      <w:r>
        <w:rPr>
          <w:rFonts w:ascii="Calibri"/>
          <w:b/>
          <w:sz w:val="22"/>
          <w:vertAlign w:val="baseline"/>
        </w:rPr>
        <w:t>2006, on the application of the provisions of the Aarhus Convention on Access to</w:t>
      </w:r>
      <w:r>
        <w:rPr>
          <w:rFonts w:ascii="Calibri"/>
          <w:b/>
          <w:spacing w:val="-2"/>
          <w:sz w:val="22"/>
          <w:vertAlign w:val="baseline"/>
        </w:rPr>
        <w:t> </w:t>
      </w:r>
      <w:r>
        <w:rPr>
          <w:rFonts w:ascii="Calibri"/>
          <w:b/>
          <w:sz w:val="22"/>
          <w:vertAlign w:val="baseline"/>
        </w:rPr>
        <w:t>Information, Public Participation</w:t>
      </w:r>
      <w:r>
        <w:rPr>
          <w:rFonts w:ascii="Calibri"/>
          <w:b/>
          <w:spacing w:val="80"/>
          <w:sz w:val="22"/>
          <w:vertAlign w:val="baseline"/>
        </w:rPr>
        <w:t> </w:t>
      </w:r>
      <w:r>
        <w:rPr>
          <w:rFonts w:ascii="Calibri"/>
          <w:b/>
          <w:sz w:val="22"/>
          <w:vertAlign w:val="baseline"/>
        </w:rPr>
        <w:t>in</w:t>
      </w:r>
      <w:r>
        <w:rPr>
          <w:rFonts w:ascii="Calibri"/>
          <w:b/>
          <w:spacing w:val="80"/>
          <w:sz w:val="22"/>
          <w:vertAlign w:val="baseline"/>
        </w:rPr>
        <w:t> </w:t>
      </w:r>
      <w:r>
        <w:rPr>
          <w:rFonts w:ascii="Calibri"/>
          <w:b/>
          <w:sz w:val="22"/>
          <w:vertAlign w:val="baseline"/>
        </w:rPr>
        <w:t>Decision-making</w:t>
      </w:r>
      <w:r>
        <w:rPr>
          <w:rFonts w:ascii="Calibri"/>
          <w:b/>
          <w:spacing w:val="80"/>
          <w:sz w:val="22"/>
          <w:vertAlign w:val="baseline"/>
        </w:rPr>
        <w:t> </w:t>
      </w:r>
      <w:r>
        <w:rPr>
          <w:rFonts w:ascii="Calibri"/>
          <w:b/>
          <w:sz w:val="22"/>
          <w:vertAlign w:val="baseline"/>
        </w:rPr>
        <w:t>and</w:t>
      </w:r>
      <w:r>
        <w:rPr>
          <w:rFonts w:ascii="Calibri"/>
          <w:b/>
          <w:spacing w:val="80"/>
          <w:sz w:val="22"/>
          <w:vertAlign w:val="baseline"/>
        </w:rPr>
        <w:t> </w:t>
      </w:r>
      <w:r>
        <w:rPr>
          <w:rFonts w:ascii="Calibri"/>
          <w:b/>
          <w:sz w:val="22"/>
          <w:vertAlign w:val="baseline"/>
        </w:rPr>
        <w:t>Access</w:t>
      </w:r>
      <w:r>
        <w:rPr>
          <w:rFonts w:ascii="Calibri"/>
          <w:b/>
          <w:spacing w:val="80"/>
          <w:sz w:val="22"/>
          <w:vertAlign w:val="baseline"/>
        </w:rPr>
        <w:t> </w:t>
      </w:r>
      <w:r>
        <w:rPr>
          <w:rFonts w:ascii="Calibri"/>
          <w:b/>
          <w:sz w:val="22"/>
          <w:vertAlign w:val="baseline"/>
        </w:rPr>
        <w:t>to</w:t>
      </w:r>
      <w:r>
        <w:rPr>
          <w:rFonts w:ascii="Calibri"/>
          <w:b/>
          <w:spacing w:val="80"/>
          <w:sz w:val="22"/>
          <w:vertAlign w:val="baseline"/>
        </w:rPr>
        <w:t> </w:t>
      </w:r>
      <w:r>
        <w:rPr>
          <w:rFonts w:ascii="Calibri"/>
          <w:b/>
          <w:sz w:val="22"/>
          <w:vertAlign w:val="baseline"/>
        </w:rPr>
        <w:t>Justice</w:t>
      </w:r>
      <w:r>
        <w:rPr>
          <w:rFonts w:ascii="Calibri"/>
          <w:b/>
          <w:spacing w:val="80"/>
          <w:sz w:val="22"/>
          <w:vertAlign w:val="baseline"/>
        </w:rPr>
        <w:t> </w:t>
      </w:r>
      <w:r>
        <w:rPr>
          <w:rFonts w:ascii="Calibri"/>
          <w:b/>
          <w:sz w:val="22"/>
          <w:vertAlign w:val="baseline"/>
        </w:rPr>
        <w:t>in</w:t>
      </w:r>
      <w:r>
        <w:rPr>
          <w:rFonts w:ascii="Calibri"/>
          <w:b/>
          <w:spacing w:val="80"/>
          <w:sz w:val="22"/>
          <w:vertAlign w:val="baseline"/>
        </w:rPr>
        <w:t> </w:t>
      </w:r>
      <w:r>
        <w:rPr>
          <w:rFonts w:ascii="Calibri"/>
          <w:b/>
          <w:sz w:val="22"/>
          <w:vertAlign w:val="baseline"/>
        </w:rPr>
        <w:t>Environmental</w:t>
      </w:r>
      <w:r>
        <w:rPr>
          <w:rFonts w:ascii="Calibri"/>
          <w:b/>
          <w:spacing w:val="80"/>
          <w:sz w:val="22"/>
          <w:vertAlign w:val="baseline"/>
        </w:rPr>
        <w:t> </w:t>
      </w:r>
      <w:r>
        <w:rPr>
          <w:rFonts w:ascii="Calibri"/>
          <w:b/>
          <w:sz w:val="22"/>
          <w:vertAlign w:val="baseline"/>
        </w:rPr>
        <w:t>Matters</w:t>
      </w:r>
      <w:r>
        <w:rPr>
          <w:rFonts w:ascii="Calibri"/>
          <w:b/>
          <w:spacing w:val="80"/>
          <w:sz w:val="22"/>
          <w:vertAlign w:val="baseline"/>
        </w:rPr>
        <w:t> </w:t>
      </w:r>
      <w:r>
        <w:rPr>
          <w:rFonts w:ascii="Calibri"/>
          <w:b/>
          <w:sz w:val="22"/>
          <w:vertAlign w:val="baseline"/>
        </w:rPr>
        <w:t>to Community institutions and bodies</w:t>
      </w:r>
    </w:p>
    <w:p>
      <w:pPr>
        <w:spacing w:after="0"/>
        <w:jc w:val="both"/>
        <w:rPr>
          <w:rFonts w:ascii="Calibri"/>
          <w:b/>
          <w:sz w:val="22"/>
        </w:rPr>
        <w:sectPr>
          <w:pgSz w:w="12240" w:h="15840"/>
          <w:pgMar w:header="1046" w:footer="0" w:top="1360" w:bottom="280" w:left="720" w:right="360"/>
        </w:sectPr>
      </w:pPr>
    </w:p>
    <w:p>
      <w:pPr>
        <w:pStyle w:val="BodyText"/>
        <w:spacing w:line="276" w:lineRule="auto" w:before="276"/>
        <w:ind w:right="1907"/>
      </w:pPr>
      <w:r>
        <w:rPr/>
        <w:t>send a wrong signal about the nature of the EU. The EP has called for re- launching the active discussions to finalize the revision of the regulation, but meanwhile suggested to all the agencies to fulfill the existing transparency policies determined by 1049/2001. (European parliament, </w:t>
      </w:r>
      <w:r>
        <w:rPr>
          <w:spacing w:val="-2"/>
        </w:rPr>
        <w:t>2013)</w:t>
      </w:r>
    </w:p>
    <w:p>
      <w:pPr>
        <w:pStyle w:val="BodyText"/>
        <w:spacing w:line="273" w:lineRule="auto"/>
        <w:ind w:right="1903" w:firstLine="720"/>
      </w:pPr>
      <w:r>
        <w:rPr/>
        <w:t>The actors at the European level do not have a homogenous view how transparency can be achieved. For instance, at the very beginning of the talks, Belgian foreign minister </w:t>
      </w:r>
      <w:r>
        <w:rPr>
          <w:sz w:val="27"/>
        </w:rPr>
        <w:t>Willy Claes </w:t>
      </w:r>
      <w:r>
        <w:rPr/>
        <w:t>has called televised Council meeting a poor viewing. His point was that “the corridor deals would be done by big state cabals likely to</w:t>
      </w:r>
      <w:r>
        <w:rPr>
          <w:spacing w:val="-3"/>
        </w:rPr>
        <w:t> </w:t>
      </w:r>
      <w:r>
        <w:rPr/>
        <w:t>disregard small states’</w:t>
      </w:r>
      <w:r>
        <w:rPr>
          <w:spacing w:val="-2"/>
        </w:rPr>
        <w:t> </w:t>
      </w:r>
      <w:r>
        <w:rPr/>
        <w:t>interests: democracy would</w:t>
      </w:r>
      <w:r>
        <w:rPr>
          <w:spacing w:val="-1"/>
        </w:rPr>
        <w:t> </w:t>
      </w:r>
      <w:r>
        <w:rPr/>
        <w:t>be</w:t>
      </w:r>
      <w:r>
        <w:rPr>
          <w:spacing w:val="-3"/>
        </w:rPr>
        <w:t> </w:t>
      </w:r>
      <w:r>
        <w:rPr/>
        <w:t>undermined</w:t>
      </w:r>
      <w:r>
        <w:rPr>
          <w:spacing w:val="-1"/>
        </w:rPr>
        <w:t> </w:t>
      </w:r>
      <w:r>
        <w:rPr/>
        <w:t>and</w:t>
      </w:r>
      <w:r>
        <w:rPr>
          <w:spacing w:val="-6"/>
        </w:rPr>
        <w:t> </w:t>
      </w:r>
      <w:r>
        <w:rPr/>
        <w:t>secrecy</w:t>
      </w:r>
      <w:r>
        <w:rPr>
          <w:spacing w:val="-4"/>
        </w:rPr>
        <w:t> </w:t>
      </w:r>
      <w:r>
        <w:rPr/>
        <w:t>enhanced.”</w:t>
      </w:r>
      <w:r>
        <w:rPr>
          <w:spacing w:val="-2"/>
        </w:rPr>
        <w:t> </w:t>
      </w:r>
      <w:r>
        <w:rPr/>
        <w:t>(</w:t>
      </w:r>
      <w:hyperlink w:history="true" w:anchor="_bookmark264">
        <w:r>
          <w:rPr/>
          <w:t>Lodge,</w:t>
        </w:r>
        <w:r>
          <w:rPr>
            <w:spacing w:val="-2"/>
          </w:rPr>
          <w:t> </w:t>
        </w:r>
        <w:r>
          <w:rPr/>
          <w:t>1994,</w:t>
        </w:r>
        <w:r>
          <w:rPr>
            <w:spacing w:val="-6"/>
          </w:rPr>
          <w:t> </w:t>
        </w:r>
        <w:r>
          <w:rPr/>
          <w:t>p.</w:t>
        </w:r>
        <w:r>
          <w:rPr>
            <w:spacing w:val="-2"/>
          </w:rPr>
          <w:t> </w:t>
        </w:r>
        <w:r>
          <w:rPr/>
          <w:t>347</w:t>
        </w:r>
      </w:hyperlink>
      <w:r>
        <w:rPr/>
        <w:t>)</w:t>
      </w:r>
      <w:r>
        <w:rPr>
          <w:spacing w:val="-2"/>
        </w:rPr>
        <w:t> </w:t>
      </w:r>
      <w:r>
        <w:rPr/>
        <w:t>Instead, Belgium was proposing greater involvement of European and national parliaments, for comprehending and bringing the subsidiarity mechanisms closer to the people.</w:t>
      </w:r>
    </w:p>
    <w:p>
      <w:pPr>
        <w:pStyle w:val="BodyText"/>
        <w:spacing w:line="273" w:lineRule="auto" w:before="15"/>
        <w:ind w:right="1906" w:firstLine="720"/>
      </w:pPr>
      <w:r>
        <w:rPr/>
        <w:t>The process shows that political will of the member states can be decisive for the matter of transparency, not only in the Council but generally for the EU. It is also true that granting a full right to openness to the European institutions, can significantly lower</w:t>
      </w:r>
      <w:r>
        <w:rPr>
          <w:spacing w:val="40"/>
        </w:rPr>
        <w:t> </w:t>
      </w:r>
      <w:r>
        <w:rPr/>
        <w:t>the governments’ ability of </w:t>
      </w:r>
      <w:r>
        <w:rPr>
          <w:sz w:val="27"/>
        </w:rPr>
        <w:t>blame shifting </w:t>
      </w:r>
      <w:r>
        <w:rPr/>
        <w:t>towards the Brussels. Political determination should be based on an honest</w:t>
      </w:r>
      <w:r>
        <w:rPr>
          <w:spacing w:val="-2"/>
        </w:rPr>
        <w:t> </w:t>
      </w:r>
      <w:r>
        <w:rPr/>
        <w:t>aspiration to be more open to the</w:t>
      </w:r>
      <w:r>
        <w:rPr>
          <w:spacing w:val="-2"/>
        </w:rPr>
        <w:t> </w:t>
      </w:r>
      <w:r>
        <w:rPr/>
        <w:t>public scrutiny. If this condition is not in place, even the open door deliberations can not guarantee a real transparency.</w:t>
      </w:r>
    </w:p>
    <w:p>
      <w:pPr>
        <w:pStyle w:val="BodyText"/>
        <w:spacing w:after="0" w:line="273" w:lineRule="auto"/>
        <w:sectPr>
          <w:pgSz w:w="12240" w:h="15840"/>
          <w:pgMar w:header="1046" w:footer="0" w:top="1360" w:bottom="280" w:left="720" w:right="360"/>
        </w:sectPr>
      </w:pPr>
    </w:p>
    <w:p>
      <w:pPr>
        <w:pStyle w:val="BodyText"/>
        <w:ind w:left="0"/>
        <w:jc w:val="left"/>
        <w:rPr>
          <w:sz w:val="32"/>
        </w:rPr>
      </w:pPr>
    </w:p>
    <w:p>
      <w:pPr>
        <w:pStyle w:val="BodyText"/>
        <w:spacing w:before="60"/>
        <w:ind w:left="0"/>
        <w:jc w:val="left"/>
        <w:rPr>
          <w:sz w:val="32"/>
        </w:rPr>
      </w:pPr>
    </w:p>
    <w:p>
      <w:pPr>
        <w:pStyle w:val="Heading4"/>
        <w:numPr>
          <w:ilvl w:val="1"/>
          <w:numId w:val="13"/>
        </w:numPr>
        <w:tabs>
          <w:tab w:pos="1577" w:val="left" w:leader="none"/>
        </w:tabs>
        <w:spacing w:line="240" w:lineRule="auto" w:before="0" w:after="0"/>
        <w:ind w:left="1577" w:right="0" w:hanging="598"/>
        <w:jc w:val="left"/>
      </w:pPr>
      <w:bookmarkStart w:name="_bookmark45" w:id="46"/>
      <w:bookmarkEnd w:id="46"/>
      <w:r>
        <w:rPr>
          <w:b w:val="0"/>
        </w:rPr>
      </w:r>
      <w:r>
        <w:rPr>
          <w:spacing w:val="-5"/>
        </w:rPr>
        <w:t>No-</w:t>
      </w:r>
      <w:r>
        <w:rPr>
          <w:spacing w:val="-2"/>
        </w:rPr>
        <w:t>Deficit</w:t>
      </w:r>
    </w:p>
    <w:p>
      <w:pPr>
        <w:pStyle w:val="BodyText"/>
        <w:spacing w:before="7"/>
        <w:ind w:left="0"/>
        <w:jc w:val="left"/>
        <w:rPr>
          <w:rFonts w:ascii="Georgia"/>
          <w:b/>
          <w:sz w:val="18"/>
        </w:rPr>
      </w:pPr>
      <w:r>
        <w:rPr>
          <w:rFonts w:ascii="Georgia"/>
          <w:b/>
          <w:sz w:val="18"/>
        </w:rPr>
        <mc:AlternateContent>
          <mc:Choice Requires="wps">
            <w:drawing>
              <wp:anchor distT="0" distB="0" distL="0" distR="0" allowOverlap="1" layoutInCell="1" locked="0" behindDoc="1" simplePos="0" relativeHeight="487656448">
                <wp:simplePos x="0" y="0"/>
                <wp:positionH relativeFrom="page">
                  <wp:posOffset>1078864</wp:posOffset>
                </wp:positionH>
                <wp:positionV relativeFrom="paragraph">
                  <wp:posOffset>149823</wp:posOffset>
                </wp:positionV>
                <wp:extent cx="5252085" cy="52069"/>
                <wp:effectExtent l="0" t="0" r="0" b="0"/>
                <wp:wrapTopAndBottom/>
                <wp:docPr id="167" name="Graphic 167"/>
                <wp:cNvGraphicFramePr>
                  <a:graphicFrameLocks/>
                </wp:cNvGraphicFramePr>
                <a:graphic>
                  <a:graphicData uri="http://schemas.microsoft.com/office/word/2010/wordprocessingShape">
                    <wps:wsp>
                      <wps:cNvPr id="167" name="Graphic 167"/>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1.79711pt;width:413.55pt;height:4.1pt;mso-position-horizontal-relative:page;mso-position-vertical-relative:paragraph;z-index:-15660032;mso-wrap-distance-left:0;mso-wrap-distance-right:0" id="docshape158"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ind w:left="0"/>
        <w:jc w:val="left"/>
        <w:rPr>
          <w:rFonts w:ascii="Georgia"/>
          <w:b/>
        </w:rPr>
      </w:pPr>
    </w:p>
    <w:p>
      <w:pPr>
        <w:pStyle w:val="BodyText"/>
        <w:spacing w:before="55"/>
        <w:ind w:left="0"/>
        <w:jc w:val="left"/>
        <w:rPr>
          <w:rFonts w:ascii="Georgia"/>
          <w:b/>
        </w:rPr>
      </w:pPr>
    </w:p>
    <w:p>
      <w:pPr>
        <w:pStyle w:val="BodyText"/>
        <w:spacing w:line="273" w:lineRule="auto"/>
        <w:ind w:right="1901" w:firstLine="720"/>
      </w:pPr>
      <w:r>
        <w:rPr/>
        <w:t>In the opening part of this section we have argued that the accountability is a matter of an output legitimacy. However, it would be hard to say, if the inter-institutional check-and-balances affect the</w:t>
      </w:r>
      <w:r>
        <w:rPr>
          <w:spacing w:val="40"/>
        </w:rPr>
        <w:t> </w:t>
      </w:r>
      <w:r>
        <w:rPr/>
        <w:t>problem-solving effectiveness of the EU, what would be the position of the publics. This problem is well-observed by the scholars of integration. </w:t>
      </w:r>
      <w:r>
        <w:rPr>
          <w:sz w:val="27"/>
        </w:rPr>
        <w:t>Fritz Scharpf</w:t>
      </w:r>
      <w:r>
        <w:rPr>
          <w:spacing w:val="40"/>
          <w:sz w:val="27"/>
        </w:rPr>
        <w:t> </w:t>
      </w:r>
      <w:r>
        <w:rPr/>
        <w:t>has</w:t>
      </w:r>
      <w:r>
        <w:rPr>
          <w:spacing w:val="-3"/>
        </w:rPr>
        <w:t> </w:t>
      </w:r>
      <w:r>
        <w:rPr/>
        <w:t>maintained that</w:t>
      </w:r>
      <w:r>
        <w:rPr>
          <w:spacing w:val="-1"/>
        </w:rPr>
        <w:t> </w:t>
      </w:r>
      <w:r>
        <w:rPr/>
        <w:t>“within the</w:t>
      </w:r>
      <w:r>
        <w:rPr>
          <w:spacing w:val="-1"/>
        </w:rPr>
        <w:t> </w:t>
      </w:r>
      <w:r>
        <w:rPr/>
        <w:t>output-oriented perspective, there is [thus] an obvious and problematic tension between institutional arrangements designed to prevent the wrongdoing by governors and exploitation by special interests on the one hand, and institutional arrangements facilitating the vigorous pursuit of the common interest and effective problem-solving on the other hand.” (</w:t>
      </w:r>
      <w:hyperlink w:history="true" w:anchor="_bookmark371">
        <w:r>
          <w:rPr/>
          <w:t>Scharpf, 2003</w:t>
        </w:r>
      </w:hyperlink>
      <w:r>
        <w:rPr/>
        <w:t>)</w:t>
      </w:r>
      <w:r>
        <w:rPr>
          <w:spacing w:val="40"/>
        </w:rPr>
        <w:t> </w:t>
      </w:r>
      <w:r>
        <w:rPr/>
        <w:t>The multilevel governance as </w:t>
      </w:r>
      <w:r>
        <w:rPr>
          <w:sz w:val="27"/>
        </w:rPr>
        <w:t>Peters </w:t>
      </w:r>
      <w:r>
        <w:rPr/>
        <w:t>and </w:t>
      </w:r>
      <w:r>
        <w:rPr>
          <w:sz w:val="27"/>
        </w:rPr>
        <w:t>Pierre</w:t>
      </w:r>
      <w:r>
        <w:rPr>
          <w:spacing w:val="-2"/>
          <w:sz w:val="27"/>
        </w:rPr>
        <w:t> </w:t>
      </w:r>
      <w:r>
        <w:rPr/>
        <w:t>maintain is a “Faustian Bargain” where “democratic values are traded for the accommodation of a broad range of interests.” (</w:t>
      </w:r>
      <w:hyperlink w:history="true" w:anchor="_bookmark243">
        <w:r>
          <w:rPr/>
          <w:t>In Kohler-Koch &amp; Rittberger, 2007, p. 9</w:t>
        </w:r>
      </w:hyperlink>
      <w:r>
        <w:rPr/>
        <w:t>)</w:t>
      </w:r>
    </w:p>
    <w:p>
      <w:pPr>
        <w:pStyle w:val="BodyText"/>
        <w:spacing w:line="273" w:lineRule="auto" w:before="2"/>
        <w:ind w:right="1906" w:firstLine="720"/>
      </w:pPr>
      <w:r>
        <w:rPr/>
        <w:t>This problem is addressed by those scholars who believe that the structure of the EU is not designed to be legitimate in classical state-like terms. The attempts to democratize the European institutions, according to </w:t>
      </w:r>
      <w:r>
        <w:rPr>
          <w:sz w:val="27"/>
        </w:rPr>
        <w:t>Majone</w:t>
      </w:r>
      <w:r>
        <w:rPr/>
        <w:t>, might have an opposite de-legitimizing effect. This line of reasoning</w:t>
      </w:r>
      <w:r>
        <w:rPr>
          <w:spacing w:val="-2"/>
        </w:rPr>
        <w:t> </w:t>
      </w:r>
      <w:r>
        <w:rPr/>
        <w:t>seems relevant,</w:t>
      </w:r>
      <w:r>
        <w:rPr>
          <w:spacing w:val="-1"/>
        </w:rPr>
        <w:t> </w:t>
      </w:r>
      <w:r>
        <w:rPr/>
        <w:t>if</w:t>
      </w:r>
      <w:r>
        <w:rPr>
          <w:spacing w:val="-3"/>
        </w:rPr>
        <w:t> </w:t>
      </w:r>
      <w:r>
        <w:rPr/>
        <w:t>we</w:t>
      </w:r>
      <w:r>
        <w:rPr>
          <w:spacing w:val="-2"/>
        </w:rPr>
        <w:t> </w:t>
      </w:r>
      <w:r>
        <w:rPr/>
        <w:t>follow</w:t>
      </w:r>
      <w:r>
        <w:rPr>
          <w:spacing w:val="-1"/>
        </w:rPr>
        <w:t> </w:t>
      </w:r>
      <w:r>
        <w:rPr/>
        <w:t>the</w:t>
      </w:r>
      <w:r>
        <w:rPr>
          <w:spacing w:val="-2"/>
        </w:rPr>
        <w:t> </w:t>
      </w:r>
      <w:r>
        <w:rPr/>
        <w:t>arguments.</w:t>
      </w:r>
      <w:r>
        <w:rPr>
          <w:spacing w:val="-1"/>
        </w:rPr>
        <w:t> </w:t>
      </w:r>
      <w:r>
        <w:rPr/>
        <w:t>The</w:t>
      </w:r>
      <w:r>
        <w:rPr>
          <w:spacing w:val="-2"/>
        </w:rPr>
        <w:t> </w:t>
      </w:r>
      <w:r>
        <w:rPr/>
        <w:t>author maintains that in the intrinsically ‘non-majoritarian’ system as it is EU integration becomes “feasible only if politics and economics are kept as separate as possible.” (</w:t>
      </w:r>
      <w:hyperlink w:history="true" w:anchor="_bookmark271">
        <w:r>
          <w:rPr/>
          <w:t>Majone, 1998, p. 7</w:t>
        </w:r>
      </w:hyperlink>
      <w:r>
        <w:rPr/>
        <w:t>)</w:t>
      </w:r>
    </w:p>
    <w:p>
      <w:pPr>
        <w:pStyle w:val="BodyText"/>
        <w:spacing w:line="276" w:lineRule="auto" w:before="2"/>
        <w:ind w:right="1914" w:firstLine="720"/>
      </w:pPr>
      <w:r>
        <w:rPr>
          <w:sz w:val="27"/>
        </w:rPr>
        <w:t>Andrew</w:t>
      </w:r>
      <w:r>
        <w:rPr>
          <w:spacing w:val="-17"/>
          <w:sz w:val="27"/>
        </w:rPr>
        <w:t> </w:t>
      </w:r>
      <w:r>
        <w:rPr>
          <w:sz w:val="27"/>
        </w:rPr>
        <w:t>Moravscik</w:t>
      </w:r>
      <w:r>
        <w:rPr/>
        <w:t>,</w:t>
      </w:r>
      <w:r>
        <w:rPr>
          <w:spacing w:val="-17"/>
        </w:rPr>
        <w:t> </w:t>
      </w:r>
      <w:r>
        <w:rPr/>
        <w:t>similarly</w:t>
      </w:r>
      <w:r>
        <w:rPr>
          <w:spacing w:val="-16"/>
        </w:rPr>
        <w:t> </w:t>
      </w:r>
      <w:r>
        <w:rPr/>
        <w:t>to</w:t>
      </w:r>
      <w:r>
        <w:rPr>
          <w:spacing w:val="-16"/>
        </w:rPr>
        <w:t> </w:t>
      </w:r>
      <w:r>
        <w:rPr>
          <w:sz w:val="27"/>
        </w:rPr>
        <w:t>Majone,</w:t>
      </w:r>
      <w:r>
        <w:rPr>
          <w:spacing w:val="-17"/>
          <w:sz w:val="27"/>
        </w:rPr>
        <w:t> </w:t>
      </w:r>
      <w:r>
        <w:rPr/>
        <w:t>argues</w:t>
      </w:r>
      <w:r>
        <w:rPr>
          <w:spacing w:val="-16"/>
        </w:rPr>
        <w:t> </w:t>
      </w:r>
      <w:r>
        <w:rPr/>
        <w:t>that</w:t>
      </w:r>
      <w:r>
        <w:rPr>
          <w:spacing w:val="-16"/>
        </w:rPr>
        <w:t> </w:t>
      </w:r>
      <w:r>
        <w:rPr/>
        <w:t>any</w:t>
      </w:r>
      <w:r>
        <w:rPr>
          <w:spacing w:val="-17"/>
        </w:rPr>
        <w:t> </w:t>
      </w:r>
      <w:r>
        <w:rPr/>
        <w:t>claims</w:t>
      </w:r>
      <w:r>
        <w:rPr>
          <w:spacing w:val="-16"/>
        </w:rPr>
        <w:t> </w:t>
      </w:r>
      <w:r>
        <w:rPr/>
        <w:t>about the democratic deficit in the</w:t>
      </w:r>
      <w:r>
        <w:rPr>
          <w:spacing w:val="-3"/>
        </w:rPr>
        <w:t> </w:t>
      </w:r>
      <w:r>
        <w:rPr/>
        <w:t>EU are</w:t>
      </w:r>
      <w:r>
        <w:rPr>
          <w:spacing w:val="-3"/>
        </w:rPr>
        <w:t> </w:t>
      </w:r>
      <w:r>
        <w:rPr/>
        <w:t>not empirically valid. Coming from the intergovernmental tradition, he maintains that the EU is at least as democratic</w:t>
      </w:r>
      <w:r>
        <w:rPr>
          <w:spacing w:val="14"/>
        </w:rPr>
        <w:t> </w:t>
      </w:r>
      <w:r>
        <w:rPr/>
        <w:t>as</w:t>
      </w:r>
      <w:r>
        <w:rPr>
          <w:spacing w:val="13"/>
        </w:rPr>
        <w:t> </w:t>
      </w:r>
      <w:r>
        <w:rPr/>
        <w:t>its</w:t>
      </w:r>
      <w:r>
        <w:rPr>
          <w:spacing w:val="18"/>
        </w:rPr>
        <w:t> </w:t>
      </w:r>
      <w:r>
        <w:rPr/>
        <w:t>member</w:t>
      </w:r>
      <w:r>
        <w:rPr>
          <w:spacing w:val="21"/>
        </w:rPr>
        <w:t> </w:t>
      </w:r>
      <w:r>
        <w:rPr/>
        <w:t>states.</w:t>
      </w:r>
      <w:r>
        <w:rPr>
          <w:spacing w:val="17"/>
        </w:rPr>
        <w:t> </w:t>
      </w:r>
      <w:r>
        <w:rPr/>
        <w:t>In</w:t>
      </w:r>
      <w:r>
        <w:rPr>
          <w:spacing w:val="16"/>
        </w:rPr>
        <w:t> </w:t>
      </w:r>
      <w:r>
        <w:rPr/>
        <w:t>fact</w:t>
      </w:r>
      <w:r>
        <w:rPr>
          <w:spacing w:val="16"/>
        </w:rPr>
        <w:t> </w:t>
      </w:r>
      <w:r>
        <w:rPr/>
        <w:t>as</w:t>
      </w:r>
      <w:r>
        <w:rPr>
          <w:spacing w:val="25"/>
        </w:rPr>
        <w:t> </w:t>
      </w:r>
      <w:r>
        <w:rPr/>
        <w:t>the</w:t>
      </w:r>
      <w:r>
        <w:rPr>
          <w:spacing w:val="15"/>
        </w:rPr>
        <w:t> </w:t>
      </w:r>
      <w:r>
        <w:rPr/>
        <w:t>studies</w:t>
      </w:r>
      <w:r>
        <w:rPr>
          <w:spacing w:val="17"/>
        </w:rPr>
        <w:t> </w:t>
      </w:r>
      <w:r>
        <w:rPr/>
        <w:t>show,</w:t>
      </w:r>
      <w:r>
        <w:rPr>
          <w:spacing w:val="18"/>
        </w:rPr>
        <w:t> </w:t>
      </w:r>
      <w:r>
        <w:rPr/>
        <w:t>the</w:t>
      </w:r>
      <w:r>
        <w:rPr>
          <w:spacing w:val="15"/>
        </w:rPr>
        <w:t> </w:t>
      </w:r>
      <w:r>
        <w:rPr>
          <w:spacing w:val="-2"/>
        </w:rPr>
        <w:t>European</w:t>
      </w:r>
    </w:p>
    <w:p>
      <w:pPr>
        <w:pStyle w:val="BodyText"/>
        <w:spacing w:after="0" w:line="276" w:lineRule="auto"/>
        <w:sectPr>
          <w:pgSz w:w="12240" w:h="15840"/>
          <w:pgMar w:header="1046" w:footer="0" w:top="1360" w:bottom="280" w:left="720" w:right="360"/>
        </w:sectPr>
      </w:pPr>
    </w:p>
    <w:p>
      <w:pPr>
        <w:pStyle w:val="BodyText"/>
        <w:spacing w:line="276" w:lineRule="auto" w:before="276"/>
        <w:ind w:right="1908"/>
      </w:pPr>
      <w:r>
        <w:rPr/>
        <w:t>Union has more public support than the most national governments. (</w:t>
      </w:r>
      <w:hyperlink w:history="true" w:anchor="_bookmark306">
        <w:r>
          <w:rPr/>
          <w:t>Moravcsik, 2011</w:t>
        </w:r>
      </w:hyperlink>
      <w:r>
        <w:rPr/>
        <w:t>) The approach argues that the European Union is a relatively weak polity and</w:t>
      </w:r>
      <w:r>
        <w:rPr>
          <w:spacing w:val="40"/>
        </w:rPr>
        <w:t> </w:t>
      </w:r>
      <w:r>
        <w:rPr/>
        <w:t>is almost entirely controlled by the legitimate input of the member states. The myth that the EU is some sort of a superstate, imposing</w:t>
      </w:r>
      <w:r>
        <w:rPr>
          <w:spacing w:val="40"/>
        </w:rPr>
        <w:t> </w:t>
      </w:r>
      <w:r>
        <w:rPr/>
        <w:t>the top-down technocratic practices to its citizens is not relevant, because the often demonized bureaucracy is indeed quite small: “EU employes few people than modest European city.” In addition Brussels does not have neither financial resources, nor political capacity to act as a super-government. (</w:t>
      </w:r>
      <w:hyperlink w:history="true" w:anchor="_bookmark303">
        <w:r>
          <w:rPr/>
          <w:t>Moravcsik, 2002</w:t>
        </w:r>
      </w:hyperlink>
      <w:r>
        <w:rPr/>
        <w:t>) Even when the decisions are made in supranational manner, the system of separation of powers is good enough to keep the European institutions accountable. (</w:t>
      </w:r>
      <w:hyperlink w:history="true" w:anchor="_bookmark305">
        <w:r>
          <w:rPr/>
          <w:t>Moravcsik, 2008</w:t>
        </w:r>
      </w:hyperlink>
      <w:r>
        <w:rPr/>
        <w:t>)</w:t>
      </w:r>
    </w:p>
    <w:p>
      <w:pPr>
        <w:pStyle w:val="BodyText"/>
        <w:spacing w:line="273" w:lineRule="auto"/>
        <w:ind w:right="1904" w:firstLine="720"/>
      </w:pPr>
      <w:r>
        <w:rPr/>
        <w:t>Lack</w:t>
      </w:r>
      <w:r>
        <w:rPr>
          <w:spacing w:val="-8"/>
        </w:rPr>
        <w:t> </w:t>
      </w:r>
      <w:r>
        <w:rPr/>
        <w:t>of</w:t>
      </w:r>
      <w:r>
        <w:rPr>
          <w:spacing w:val="-10"/>
        </w:rPr>
        <w:t> </w:t>
      </w:r>
      <w:r>
        <w:rPr/>
        <w:t>participatory</w:t>
      </w:r>
      <w:r>
        <w:rPr>
          <w:spacing w:val="-9"/>
        </w:rPr>
        <w:t> </w:t>
      </w:r>
      <w:r>
        <w:rPr/>
        <w:t>mechanisms,</w:t>
      </w:r>
      <w:r>
        <w:rPr>
          <w:spacing w:val="-8"/>
        </w:rPr>
        <w:t> </w:t>
      </w:r>
      <w:r>
        <w:rPr/>
        <w:t>as</w:t>
      </w:r>
      <w:r>
        <w:rPr>
          <w:spacing w:val="-7"/>
        </w:rPr>
        <w:t> </w:t>
      </w:r>
      <w:r>
        <w:rPr>
          <w:sz w:val="27"/>
        </w:rPr>
        <w:t>Moravcsik</w:t>
      </w:r>
      <w:r>
        <w:rPr>
          <w:spacing w:val="-10"/>
          <w:sz w:val="27"/>
        </w:rPr>
        <w:t> </w:t>
      </w:r>
      <w:r>
        <w:rPr/>
        <w:t>states,</w:t>
      </w:r>
      <w:r>
        <w:rPr>
          <w:spacing w:val="-8"/>
        </w:rPr>
        <w:t> </w:t>
      </w:r>
      <w:r>
        <w:rPr/>
        <w:t>does</w:t>
      </w:r>
      <w:r>
        <w:rPr>
          <w:spacing w:val="-11"/>
        </w:rPr>
        <w:t> </w:t>
      </w:r>
      <w:r>
        <w:rPr/>
        <w:t>not</w:t>
      </w:r>
      <w:r>
        <w:rPr>
          <w:spacing w:val="-9"/>
        </w:rPr>
        <w:t> </w:t>
      </w:r>
      <w:r>
        <w:rPr/>
        <w:t>make the EU less legitimate, because as commonly observed, the public trust in non-majoritatian institutions is higher than in majoritarian ones. This position undermines the thoughts of the federalists, who believe that solving the problems of input mechanism can effectively decide the</w:t>
      </w:r>
      <w:r>
        <w:rPr>
          <w:spacing w:val="40"/>
        </w:rPr>
        <w:t> </w:t>
      </w:r>
      <w:r>
        <w:rPr/>
        <w:t>problem of democratic accountability of the Union. </w:t>
      </w:r>
      <w:r>
        <w:rPr>
          <w:sz w:val="27"/>
        </w:rPr>
        <w:t>Majone </w:t>
      </w:r>
      <w:r>
        <w:rPr/>
        <w:t>has observed that in reality federalism is intrinsically ‘anti majoritarian’ -</w:t>
      </w:r>
      <w:r>
        <w:rPr>
          <w:spacing w:val="40"/>
        </w:rPr>
        <w:t> </w:t>
      </w:r>
      <w:r>
        <w:rPr/>
        <w:t>“since the components often owe their autonomous existence to institutional arrangements</w:t>
      </w:r>
      <w:r>
        <w:rPr>
          <w:spacing w:val="-10"/>
        </w:rPr>
        <w:t> </w:t>
      </w:r>
      <w:r>
        <w:rPr/>
        <w:t>that</w:t>
      </w:r>
      <w:r>
        <w:rPr>
          <w:spacing w:val="-3"/>
        </w:rPr>
        <w:t> </w:t>
      </w:r>
      <w:r>
        <w:rPr/>
        <w:t>prevent</w:t>
      </w:r>
      <w:r>
        <w:rPr>
          <w:spacing w:val="-8"/>
        </w:rPr>
        <w:t> </w:t>
      </w:r>
      <w:r>
        <w:rPr/>
        <w:t>domination</w:t>
      </w:r>
      <w:r>
        <w:rPr>
          <w:spacing w:val="-2"/>
        </w:rPr>
        <w:t> </w:t>
      </w:r>
      <w:r>
        <w:rPr/>
        <w:t>of</w:t>
      </w:r>
      <w:r>
        <w:rPr>
          <w:spacing w:val="-4"/>
        </w:rPr>
        <w:t> </w:t>
      </w:r>
      <w:r>
        <w:rPr/>
        <w:t>minorities</w:t>
      </w:r>
      <w:r>
        <w:rPr>
          <w:spacing w:val="-5"/>
        </w:rPr>
        <w:t> </w:t>
      </w:r>
      <w:r>
        <w:rPr/>
        <w:t>over</w:t>
      </w:r>
      <w:r>
        <w:rPr>
          <w:spacing w:val="-2"/>
        </w:rPr>
        <w:t> </w:t>
      </w:r>
      <w:r>
        <w:rPr/>
        <w:t>majorities.”</w:t>
      </w:r>
      <w:r>
        <w:rPr>
          <w:spacing w:val="-2"/>
        </w:rPr>
        <w:t> </w:t>
      </w:r>
      <w:r>
        <w:rPr/>
        <w:t>(</w:t>
      </w:r>
      <w:hyperlink w:history="true" w:anchor="_bookmark271">
        <w:r>
          <w:rPr/>
          <w:t>1998</w:t>
        </w:r>
      </w:hyperlink>
      <w:r>
        <w:rPr/>
        <w:t>) </w:t>
      </w:r>
      <w:r>
        <w:rPr>
          <w:sz w:val="27"/>
        </w:rPr>
        <w:t>Moravcsik </w:t>
      </w:r>
      <w:r>
        <w:rPr/>
        <w:t>and </w:t>
      </w:r>
      <w:r>
        <w:rPr>
          <w:sz w:val="27"/>
        </w:rPr>
        <w:t>Majone, </w:t>
      </w:r>
      <w:r>
        <w:rPr/>
        <w:t>share the basic idea of ‘no demos’ thesis [no European People]; simultaneously their conclusions have many similarities with </w:t>
      </w:r>
      <w:r>
        <w:rPr>
          <w:sz w:val="27"/>
        </w:rPr>
        <w:t>demoi</w:t>
      </w:r>
      <w:r>
        <w:rPr/>
        <w:t>-cratic views. The latter, as we have observed, puts forward the representation of the </w:t>
      </w:r>
      <w:r>
        <w:rPr>
          <w:sz w:val="27"/>
        </w:rPr>
        <w:t>statespeoples </w:t>
      </w:r>
      <w:r>
        <w:rPr/>
        <w:t>together with the EU citizens. It is obvious that the classical input oriented democracy in a multicultural setting</w:t>
      </w:r>
      <w:r>
        <w:rPr>
          <w:spacing w:val="-1"/>
        </w:rPr>
        <w:t> </w:t>
      </w:r>
      <w:r>
        <w:rPr/>
        <w:t>can jeopardize</w:t>
      </w:r>
      <w:r>
        <w:rPr>
          <w:spacing w:val="-1"/>
        </w:rPr>
        <w:t> </w:t>
      </w:r>
      <w:r>
        <w:rPr/>
        <w:t>the</w:t>
      </w:r>
      <w:r>
        <w:rPr>
          <w:spacing w:val="-1"/>
        </w:rPr>
        <w:t> </w:t>
      </w:r>
      <w:r>
        <w:rPr/>
        <w:t>rights of the</w:t>
      </w:r>
      <w:r>
        <w:rPr>
          <w:spacing w:val="-1"/>
        </w:rPr>
        <w:t> </w:t>
      </w:r>
      <w:r>
        <w:rPr/>
        <w:t>smaller groups. Therefore, building</w:t>
      </w:r>
      <w:r>
        <w:rPr>
          <w:spacing w:val="-1"/>
        </w:rPr>
        <w:t> </w:t>
      </w:r>
      <w:r>
        <w:rPr/>
        <w:t>a majoritarian system with EU wide decision making “risks producing the majority tyranny of one or more demoi over others.” (</w:t>
      </w:r>
      <w:hyperlink w:history="true" w:anchor="_bookmark92">
        <w:r>
          <w:rPr/>
          <w:t>Bellamy, 2006, p.</w:t>
        </w:r>
      </w:hyperlink>
      <w:r>
        <w:rPr>
          <w:spacing w:val="80"/>
        </w:rPr>
        <w:t> </w:t>
      </w:r>
      <w:hyperlink w:history="true" w:anchor="_bookmark92">
        <w:r>
          <w:rPr/>
          <w:t>726</w:t>
        </w:r>
      </w:hyperlink>
      <w:r>
        <w:rPr/>
        <w:t>) There is another extreme, where the majority is misrepresented. It is hard to imagine that big European states could tolerate situation similar to the</w:t>
      </w:r>
      <w:r>
        <w:rPr>
          <w:spacing w:val="27"/>
        </w:rPr>
        <w:t> </w:t>
      </w:r>
      <w:r>
        <w:rPr/>
        <w:t>United</w:t>
      </w:r>
      <w:r>
        <w:rPr>
          <w:spacing w:val="28"/>
        </w:rPr>
        <w:t> </w:t>
      </w:r>
      <w:r>
        <w:rPr/>
        <w:t>States</w:t>
      </w:r>
      <w:r>
        <w:rPr>
          <w:spacing w:val="29"/>
        </w:rPr>
        <w:t> </w:t>
      </w:r>
      <w:r>
        <w:rPr/>
        <w:t>where</w:t>
      </w:r>
      <w:r>
        <w:rPr>
          <w:spacing w:val="27"/>
        </w:rPr>
        <w:t> </w:t>
      </w:r>
      <w:r>
        <w:rPr/>
        <w:t>for</w:t>
      </w:r>
      <w:r>
        <w:rPr>
          <w:spacing w:val="27"/>
        </w:rPr>
        <w:t> </w:t>
      </w:r>
      <w:r>
        <w:rPr/>
        <w:t>instance,</w:t>
      </w:r>
      <w:r>
        <w:rPr>
          <w:spacing w:val="29"/>
        </w:rPr>
        <w:t> </w:t>
      </w:r>
      <w:r>
        <w:rPr/>
        <w:t>California</w:t>
      </w:r>
      <w:r>
        <w:rPr>
          <w:spacing w:val="27"/>
        </w:rPr>
        <w:t> </w:t>
      </w:r>
      <w:r>
        <w:rPr/>
        <w:t>with</w:t>
      </w:r>
      <w:r>
        <w:rPr>
          <w:spacing w:val="27"/>
        </w:rPr>
        <w:t> </w:t>
      </w:r>
      <w:r>
        <w:rPr/>
        <w:t>33</w:t>
      </w:r>
      <w:r>
        <w:rPr>
          <w:spacing w:val="26"/>
        </w:rPr>
        <w:t> </w:t>
      </w:r>
      <w:r>
        <w:rPr/>
        <w:t>million</w:t>
      </w:r>
      <w:r>
        <w:rPr>
          <w:spacing w:val="28"/>
        </w:rPr>
        <w:t> </w:t>
      </w:r>
      <w:r>
        <w:rPr/>
        <w:t>people</w:t>
      </w:r>
      <w:r>
        <w:rPr>
          <w:spacing w:val="27"/>
        </w:rPr>
        <w:t> </w:t>
      </w:r>
      <w:r>
        <w:rPr/>
        <w:t>is</w:t>
      </w:r>
    </w:p>
    <w:p>
      <w:pPr>
        <w:pStyle w:val="BodyText"/>
        <w:spacing w:after="0" w:line="273" w:lineRule="auto"/>
        <w:sectPr>
          <w:pgSz w:w="12240" w:h="15840"/>
          <w:pgMar w:header="1046" w:footer="0" w:top="1360" w:bottom="280" w:left="720" w:right="360"/>
        </w:sectPr>
      </w:pPr>
    </w:p>
    <w:p>
      <w:pPr>
        <w:pStyle w:val="BodyText"/>
        <w:spacing w:line="276" w:lineRule="auto" w:before="276"/>
        <w:ind w:right="1924"/>
      </w:pPr>
      <w:r>
        <w:rPr/>
        <w:t>represented by only two senators, same as Wyoming with half million inhabitants. (</w:t>
      </w:r>
      <w:hyperlink w:history="true" w:anchor="_bookmark370">
        <w:r>
          <w:rPr/>
          <w:t>Sbragia, 2005, p. 170</w:t>
        </w:r>
      </w:hyperlink>
      <w:r>
        <w:rPr/>
        <w:t>)</w:t>
      </w:r>
    </w:p>
    <w:p>
      <w:pPr>
        <w:pStyle w:val="BodyText"/>
        <w:spacing w:line="276" w:lineRule="auto"/>
        <w:ind w:right="1906" w:firstLine="720"/>
      </w:pPr>
      <w:r>
        <w:rPr/>
        <w:t>Delegation</w:t>
      </w:r>
      <w:r>
        <w:rPr>
          <w:spacing w:val="-2"/>
        </w:rPr>
        <w:t> </w:t>
      </w:r>
      <w:r>
        <w:rPr/>
        <w:t>of</w:t>
      </w:r>
      <w:r>
        <w:rPr>
          <w:spacing w:val="-4"/>
        </w:rPr>
        <w:t> </w:t>
      </w:r>
      <w:r>
        <w:rPr/>
        <w:t>the</w:t>
      </w:r>
      <w:r>
        <w:rPr>
          <w:spacing w:val="-3"/>
        </w:rPr>
        <w:t> </w:t>
      </w:r>
      <w:r>
        <w:rPr/>
        <w:t>power</w:t>
      </w:r>
      <w:r>
        <w:rPr>
          <w:spacing w:val="-2"/>
        </w:rPr>
        <w:t> </w:t>
      </w:r>
      <w:r>
        <w:rPr/>
        <w:t>to</w:t>
      </w:r>
      <w:r>
        <w:rPr>
          <w:spacing w:val="-6"/>
        </w:rPr>
        <w:t> </w:t>
      </w:r>
      <w:r>
        <w:rPr/>
        <w:t>institutions</w:t>
      </w:r>
      <w:r>
        <w:rPr>
          <w:spacing w:val="-5"/>
        </w:rPr>
        <w:t> </w:t>
      </w:r>
      <w:r>
        <w:rPr/>
        <w:t>beyond</w:t>
      </w:r>
      <w:r>
        <w:rPr>
          <w:spacing w:val="-6"/>
        </w:rPr>
        <w:t> </w:t>
      </w:r>
      <w:r>
        <w:rPr/>
        <w:t>democratic</w:t>
      </w:r>
      <w:r>
        <w:rPr>
          <w:spacing w:val="-4"/>
        </w:rPr>
        <w:t> </w:t>
      </w:r>
      <w:r>
        <w:rPr/>
        <w:t>scrutiny</w:t>
      </w:r>
      <w:r>
        <w:rPr>
          <w:spacing w:val="-3"/>
        </w:rPr>
        <w:t> </w:t>
      </w:r>
      <w:r>
        <w:rPr/>
        <w:t>is common among the states, therefore, it is not surprising the governments leave non-salient issues to be addressed on the common European level.</w:t>
      </w:r>
      <w:r>
        <w:rPr>
          <w:spacing w:val="40"/>
        </w:rPr>
        <w:t> </w:t>
      </w:r>
      <w:r>
        <w:rPr/>
        <w:t>The high-salient issues like taxes, labor policy, welfare, health care, pensions, education, remain national. (</w:t>
      </w:r>
      <w:hyperlink w:history="true" w:anchor="_bookmark305">
        <w:r>
          <w:rPr/>
          <w:t>Moravcsik, 2008</w:t>
        </w:r>
      </w:hyperlink>
      <w:r>
        <w:rPr/>
        <w:t>) Hence, the “voters fail to deliberate meaningfully about EU affairs not because they are prevented</w:t>
      </w:r>
      <w:r>
        <w:rPr>
          <w:spacing w:val="-1"/>
        </w:rPr>
        <w:t> </w:t>
      </w:r>
      <w:r>
        <w:rPr/>
        <w:t>from</w:t>
      </w:r>
      <w:r>
        <w:rPr>
          <w:spacing w:val="-4"/>
        </w:rPr>
        <w:t> </w:t>
      </w:r>
      <w:r>
        <w:rPr/>
        <w:t>doing</w:t>
      </w:r>
      <w:r>
        <w:rPr>
          <w:spacing w:val="-2"/>
        </w:rPr>
        <w:t> </w:t>
      </w:r>
      <w:r>
        <w:rPr/>
        <w:t>so,</w:t>
      </w:r>
      <w:r>
        <w:rPr>
          <w:spacing w:val="-1"/>
        </w:rPr>
        <w:t> </w:t>
      </w:r>
      <w:r>
        <w:rPr/>
        <w:t>but</w:t>
      </w:r>
      <w:r>
        <w:rPr>
          <w:spacing w:val="-2"/>
        </w:rPr>
        <w:t> </w:t>
      </w:r>
      <w:r>
        <w:rPr/>
        <w:t>because</w:t>
      </w:r>
      <w:r>
        <w:rPr>
          <w:spacing w:val="-2"/>
        </w:rPr>
        <w:t> </w:t>
      </w:r>
      <w:r>
        <w:rPr/>
        <w:t>they</w:t>
      </w:r>
      <w:r>
        <w:rPr>
          <w:spacing w:val="-2"/>
        </w:rPr>
        <w:t> </w:t>
      </w:r>
      <w:r>
        <w:rPr/>
        <w:t>do</w:t>
      </w:r>
      <w:r>
        <w:rPr>
          <w:spacing w:val="-5"/>
        </w:rPr>
        <w:t> </w:t>
      </w:r>
      <w:r>
        <w:rPr/>
        <w:t>not</w:t>
      </w:r>
      <w:r>
        <w:rPr>
          <w:spacing w:val="-2"/>
        </w:rPr>
        <w:t> </w:t>
      </w:r>
      <w:r>
        <w:rPr/>
        <w:t>care</w:t>
      </w:r>
      <w:r>
        <w:rPr>
          <w:spacing w:val="-2"/>
        </w:rPr>
        <w:t> </w:t>
      </w:r>
      <w:r>
        <w:rPr/>
        <w:t>enough</w:t>
      </w:r>
      <w:r>
        <w:rPr>
          <w:spacing w:val="-2"/>
        </w:rPr>
        <w:t> </w:t>
      </w:r>
      <w:r>
        <w:rPr/>
        <w:t>about</w:t>
      </w:r>
      <w:r>
        <w:rPr>
          <w:spacing w:val="-2"/>
        </w:rPr>
        <w:t> </w:t>
      </w:r>
      <w:r>
        <w:rPr/>
        <w:t>the</w:t>
      </w:r>
      <w:r>
        <w:rPr>
          <w:spacing w:val="-2"/>
        </w:rPr>
        <w:t> </w:t>
      </w:r>
      <w:r>
        <w:rPr/>
        <w:t>EU issues to invest sufficient time and energy.” (</w:t>
      </w:r>
      <w:hyperlink w:history="true" w:anchor="_bookmark305">
        <w:r>
          <w:rPr/>
          <w:t>Moravcsik, 2008</w:t>
        </w:r>
      </w:hyperlink>
      <w:r>
        <w:rPr/>
        <w:t>)</w:t>
      </w:r>
    </w:p>
    <w:p>
      <w:pPr>
        <w:pStyle w:val="BodyText"/>
        <w:spacing w:line="273" w:lineRule="auto"/>
        <w:ind w:right="1906" w:firstLine="720"/>
      </w:pPr>
      <w:r>
        <w:rPr/>
        <w:t>Not caring about the EU issues, the approach follows, does not mean that the Europeans have negative attitudes towards the European policies. </w:t>
      </w:r>
      <w:r>
        <w:rPr>
          <w:sz w:val="27"/>
        </w:rPr>
        <w:t>Moravcsik </w:t>
      </w:r>
      <w:r>
        <w:rPr/>
        <w:t>illustrates that even when the Irish rejected the further integration, their support for the EU remained steady. The ‘no’ vote was largely an outcome of general unawareness of the matters decided on the European level. Another reason can be the fact that the majority of those citizens who have positive feelings about the European Union are in favor</w:t>
      </w:r>
      <w:r>
        <w:rPr>
          <w:spacing w:val="40"/>
        </w:rPr>
        <w:t> </w:t>
      </w:r>
      <w:r>
        <w:rPr/>
        <w:t>of</w:t>
      </w:r>
      <w:r>
        <w:rPr>
          <w:spacing w:val="-3"/>
        </w:rPr>
        <w:t> </w:t>
      </w:r>
      <w:r>
        <w:rPr/>
        <w:t>status</w:t>
      </w:r>
      <w:r>
        <w:rPr>
          <w:spacing w:val="-4"/>
        </w:rPr>
        <w:t> </w:t>
      </w:r>
      <w:r>
        <w:rPr/>
        <w:t>quo</w:t>
      </w:r>
      <w:r>
        <w:rPr>
          <w:spacing w:val="-5"/>
        </w:rPr>
        <w:t> </w:t>
      </w:r>
      <w:r>
        <w:rPr/>
        <w:t>and are cautious</w:t>
      </w:r>
      <w:r>
        <w:rPr>
          <w:spacing w:val="-4"/>
        </w:rPr>
        <w:t> </w:t>
      </w:r>
      <w:r>
        <w:rPr/>
        <w:t>when</w:t>
      </w:r>
      <w:r>
        <w:rPr>
          <w:spacing w:val="-1"/>
        </w:rPr>
        <w:t> </w:t>
      </w:r>
      <w:r>
        <w:rPr/>
        <w:t>it</w:t>
      </w:r>
      <w:r>
        <w:rPr>
          <w:spacing w:val="-2"/>
        </w:rPr>
        <w:t> </w:t>
      </w:r>
      <w:r>
        <w:rPr/>
        <w:t>comes to</w:t>
      </w:r>
      <w:r>
        <w:rPr>
          <w:spacing w:val="-5"/>
        </w:rPr>
        <w:t> </w:t>
      </w:r>
      <w:r>
        <w:rPr/>
        <w:t>an integrative</w:t>
      </w:r>
      <w:r>
        <w:rPr>
          <w:spacing w:val="-2"/>
        </w:rPr>
        <w:t> </w:t>
      </w:r>
      <w:r>
        <w:rPr/>
        <w:t>change. (</w:t>
      </w:r>
      <w:hyperlink w:history="true" w:anchor="_bookmark360">
        <w:r>
          <w:rPr/>
          <w:t>Rose</w:t>
        </w:r>
      </w:hyperlink>
      <w:r>
        <w:rPr/>
        <w:t> </w:t>
      </w:r>
      <w:hyperlink w:history="true" w:anchor="_bookmark360">
        <w:r>
          <w:rPr/>
          <w:t>&amp; Borz, 2016, p. 374</w:t>
        </w:r>
      </w:hyperlink>
      <w:r>
        <w:rPr/>
        <w:t>)</w:t>
      </w:r>
    </w:p>
    <w:p>
      <w:pPr>
        <w:pStyle w:val="BodyText"/>
        <w:spacing w:line="273" w:lineRule="auto" w:before="5"/>
        <w:ind w:right="1907" w:firstLine="720"/>
      </w:pPr>
      <w:r>
        <w:rPr>
          <w:sz w:val="27"/>
        </w:rPr>
        <w:t>Franklin </w:t>
      </w:r>
      <w:r>
        <w:rPr/>
        <w:t>and </w:t>
      </w:r>
      <w:r>
        <w:rPr>
          <w:sz w:val="27"/>
        </w:rPr>
        <w:t>Wlezien </w:t>
      </w:r>
      <w:r>
        <w:rPr/>
        <w:t>maintained that even in the times of crisis - the Europeans preserve the “equilibrium level of support for Europe that stands at around 60 percent.” (</w:t>
      </w:r>
      <w:hyperlink w:history="true" w:anchor="_bookmark189">
        <w:r>
          <w:rPr/>
          <w:t>Franklin &amp; Wlezien, 2013, p. 6</w:t>
        </w:r>
      </w:hyperlink>
      <w:r>
        <w:rPr/>
        <w:t>)</w:t>
      </w:r>
    </w:p>
    <w:p>
      <w:pPr>
        <w:pStyle w:val="BodyText"/>
        <w:spacing w:line="276" w:lineRule="auto"/>
        <w:ind w:right="1909" w:firstLine="720"/>
      </w:pPr>
      <w:r>
        <w:rPr/>
        <w:t>Both </w:t>
      </w:r>
      <w:r>
        <w:rPr>
          <w:sz w:val="27"/>
        </w:rPr>
        <w:t>Moravcsik </w:t>
      </w:r>
      <w:r>
        <w:rPr/>
        <w:t>and </w:t>
      </w:r>
      <w:r>
        <w:rPr>
          <w:sz w:val="27"/>
        </w:rPr>
        <w:t>Majone </w:t>
      </w:r>
      <w:r>
        <w:rPr/>
        <w:t>have very good judgement if one has to look at the processes in the Union from the cause-effect scope. However, a simple logic of political process would show that their judgement is too simple even for the traditional governance systems.</w:t>
      </w:r>
    </w:p>
    <w:p>
      <w:pPr>
        <w:pStyle w:val="BodyText"/>
        <w:spacing w:line="276" w:lineRule="auto"/>
        <w:ind w:right="1910" w:firstLine="720"/>
      </w:pPr>
      <w:r>
        <w:rPr>
          <w:sz w:val="27"/>
        </w:rPr>
        <w:t>First </w:t>
      </w:r>
      <w:r>
        <w:rPr/>
        <w:t>of all, the “salience of a policy issue is endogenous to the political process.” (</w:t>
      </w:r>
      <w:hyperlink w:history="true" w:anchor="_bookmark184">
        <w:r>
          <w:rPr/>
          <w:t>Follesdal &amp; Hix, 2006, p. 546</w:t>
        </w:r>
      </w:hyperlink>
      <w:r>
        <w:rPr/>
        <w:t>) Normal political interchange often serves to "sharpen up the pointless and blunt the too sharply</w:t>
      </w:r>
      <w:r>
        <w:rPr>
          <w:spacing w:val="40"/>
        </w:rPr>
        <w:t> </w:t>
      </w:r>
      <w:r>
        <w:rPr/>
        <w:t>pointed.” (</w:t>
      </w:r>
      <w:hyperlink w:history="true" w:anchor="_bookmark173">
        <w:r>
          <w:rPr/>
          <w:t>Edelman, 1985, p. 17</w:t>
        </w:r>
      </w:hyperlink>
      <w:r>
        <w:rPr/>
        <w:t>) As constructivist literature suggests, democratic process allows to politicize issues using language, culture,</w:t>
      </w:r>
      <w:r>
        <w:rPr>
          <w:spacing w:val="-1"/>
        </w:rPr>
        <w:t> </w:t>
      </w:r>
      <w:r>
        <w:rPr/>
        <w:t>political</w:t>
      </w:r>
      <w:r>
        <w:rPr>
          <w:spacing w:val="-5"/>
        </w:rPr>
        <w:t> </w:t>
      </w:r>
      <w:r>
        <w:rPr/>
        <w:t>tools,</w:t>
      </w:r>
      <w:r>
        <w:rPr>
          <w:spacing w:val="-1"/>
        </w:rPr>
        <w:t> </w:t>
      </w:r>
      <w:r>
        <w:rPr/>
        <w:t>etc.</w:t>
      </w:r>
      <w:r>
        <w:rPr>
          <w:spacing w:val="-1"/>
        </w:rPr>
        <w:t> </w:t>
      </w:r>
      <w:r>
        <w:rPr/>
        <w:t>If</w:t>
      </w:r>
      <w:r>
        <w:rPr>
          <w:spacing w:val="-4"/>
        </w:rPr>
        <w:t> </w:t>
      </w:r>
      <w:r>
        <w:rPr/>
        <w:t>the</w:t>
      </w:r>
      <w:r>
        <w:rPr>
          <w:spacing w:val="-2"/>
        </w:rPr>
        <w:t> </w:t>
      </w:r>
      <w:r>
        <w:rPr/>
        <w:t>system</w:t>
      </w:r>
      <w:r>
        <w:rPr>
          <w:spacing w:val="-4"/>
        </w:rPr>
        <w:t> </w:t>
      </w:r>
      <w:r>
        <w:rPr/>
        <w:t>[EU]</w:t>
      </w:r>
      <w:r>
        <w:rPr>
          <w:spacing w:val="-2"/>
        </w:rPr>
        <w:t> </w:t>
      </w:r>
      <w:r>
        <w:rPr/>
        <w:t>does</w:t>
      </w:r>
      <w:r>
        <w:rPr>
          <w:spacing w:val="-4"/>
        </w:rPr>
        <w:t> </w:t>
      </w:r>
      <w:r>
        <w:rPr/>
        <w:t>not</w:t>
      </w:r>
      <w:r>
        <w:rPr>
          <w:spacing w:val="-2"/>
        </w:rPr>
        <w:t> </w:t>
      </w:r>
      <w:r>
        <w:rPr/>
        <w:t>tolerate</w:t>
      </w:r>
      <w:r>
        <w:rPr>
          <w:spacing w:val="-2"/>
        </w:rPr>
        <w:t> </w:t>
      </w:r>
      <w:r>
        <w:rPr/>
        <w:t>a</w:t>
      </w:r>
      <w:r>
        <w:rPr>
          <w:spacing w:val="-2"/>
        </w:rPr>
        <w:t> </w:t>
      </w:r>
      <w:r>
        <w:rPr/>
        <w:t>discoursive</w:t>
      </w:r>
    </w:p>
    <w:p>
      <w:pPr>
        <w:pStyle w:val="BodyText"/>
        <w:spacing w:after="0" w:line="276" w:lineRule="auto"/>
        <w:sectPr>
          <w:pgSz w:w="12240" w:h="15840"/>
          <w:pgMar w:header="1046" w:footer="0" w:top="1360" w:bottom="280" w:left="720" w:right="360"/>
        </w:sectPr>
      </w:pPr>
    </w:p>
    <w:p>
      <w:pPr>
        <w:pStyle w:val="BodyText"/>
        <w:spacing w:line="276" w:lineRule="auto" w:before="276"/>
        <w:ind w:right="1911"/>
      </w:pPr>
      <w:r>
        <w:rPr/>
        <w:t>conflict between the majority and opposition, we can only use a rigid nation-state analogies to distinguish</w:t>
      </w:r>
      <w:r>
        <w:rPr>
          <w:spacing w:val="40"/>
        </w:rPr>
        <w:t> </w:t>
      </w:r>
      <w:r>
        <w:rPr/>
        <w:t>salient and non-salient issues from each other.</w:t>
      </w:r>
    </w:p>
    <w:p>
      <w:pPr>
        <w:pStyle w:val="BodyText"/>
        <w:spacing w:line="271" w:lineRule="auto"/>
        <w:ind w:right="1901" w:firstLine="720"/>
      </w:pPr>
      <w:r>
        <w:rPr>
          <w:sz w:val="27"/>
        </w:rPr>
        <w:t>Second</w:t>
      </w:r>
      <w:r>
        <w:rPr/>
        <w:t>, political opposition is essential to present the policy alternatives to the publics. This condition does not represent an idealized vision</w:t>
      </w:r>
      <w:r>
        <w:rPr>
          <w:spacing w:val="-1"/>
        </w:rPr>
        <w:t> </w:t>
      </w:r>
      <w:r>
        <w:rPr/>
        <w:t>of</w:t>
      </w:r>
      <w:r>
        <w:rPr>
          <w:spacing w:val="-2"/>
        </w:rPr>
        <w:t> </w:t>
      </w:r>
      <w:r>
        <w:rPr/>
        <w:t>democracy. In</w:t>
      </w:r>
      <w:r>
        <w:rPr>
          <w:spacing w:val="-1"/>
        </w:rPr>
        <w:t> </w:t>
      </w:r>
      <w:r>
        <w:rPr/>
        <w:t>fact,</w:t>
      </w:r>
      <w:r>
        <w:rPr>
          <w:spacing w:val="-4"/>
        </w:rPr>
        <w:t> </w:t>
      </w:r>
      <w:r>
        <w:rPr/>
        <w:t>the</w:t>
      </w:r>
      <w:r>
        <w:rPr>
          <w:spacing w:val="-1"/>
        </w:rPr>
        <w:t> </w:t>
      </w:r>
      <w:r>
        <w:rPr/>
        <w:t>statement</w:t>
      </w:r>
      <w:r>
        <w:rPr>
          <w:spacing w:val="-6"/>
        </w:rPr>
        <w:t> </w:t>
      </w:r>
      <w:r>
        <w:rPr/>
        <w:t>challenges</w:t>
      </w:r>
      <w:r>
        <w:rPr>
          <w:spacing w:val="-3"/>
        </w:rPr>
        <w:t> </w:t>
      </w:r>
      <w:r>
        <w:rPr/>
        <w:t>the</w:t>
      </w:r>
      <w:r>
        <w:rPr>
          <w:spacing w:val="-1"/>
        </w:rPr>
        <w:t> </w:t>
      </w:r>
      <w:r>
        <w:rPr/>
        <w:t>very</w:t>
      </w:r>
      <w:r>
        <w:rPr>
          <w:spacing w:val="-1"/>
        </w:rPr>
        <w:t> </w:t>
      </w:r>
      <w:r>
        <w:rPr/>
        <w:t>nature</w:t>
      </w:r>
      <w:r>
        <w:rPr>
          <w:spacing w:val="-6"/>
        </w:rPr>
        <w:t> </w:t>
      </w:r>
      <w:r>
        <w:rPr/>
        <w:t>of</w:t>
      </w:r>
      <w:r>
        <w:rPr>
          <w:spacing w:val="-2"/>
        </w:rPr>
        <w:t> </w:t>
      </w:r>
      <w:r>
        <w:rPr/>
        <w:t>the </w:t>
      </w:r>
      <w:r>
        <w:rPr>
          <w:sz w:val="27"/>
        </w:rPr>
        <w:t>Majone’s </w:t>
      </w:r>
      <w:r>
        <w:rPr/>
        <w:t>vision of Pareto effectiveness and political legitimacy. Even if everybody is satisfied with the </w:t>
      </w:r>
      <w:r>
        <w:rPr>
          <w:sz w:val="27"/>
        </w:rPr>
        <w:t>status quo, </w:t>
      </w:r>
      <w:r>
        <w:rPr/>
        <w:t>or the dynamics of the outcomes that the system produces over time, it is not a fact that choosing the road not taken yet, would not be more effective than the current one.</w:t>
      </w:r>
    </w:p>
    <w:p>
      <w:pPr>
        <w:pStyle w:val="BodyText"/>
        <w:spacing w:line="273" w:lineRule="auto"/>
        <w:ind w:right="1907" w:firstLine="720"/>
      </w:pPr>
      <w:r>
        <w:rPr>
          <w:sz w:val="27"/>
        </w:rPr>
        <w:t>Third, </w:t>
      </w:r>
      <w:r>
        <w:rPr/>
        <w:t>in the modern world a complete separation of political and economic systems is a hard task. Regulatory policies of the EU, has some negative political side effects on European citizens. For example, </w:t>
      </w:r>
      <w:r>
        <w:rPr>
          <w:sz w:val="27"/>
        </w:rPr>
        <w:t>Richard Bellamy </w:t>
      </w:r>
      <w:r>
        <w:rPr/>
        <w:t>and </w:t>
      </w:r>
      <w:r>
        <w:rPr>
          <w:sz w:val="27"/>
        </w:rPr>
        <w:t>Sandra Kroeger </w:t>
      </w:r>
      <w:r>
        <w:rPr/>
        <w:t>conclude that the EU empowers executives at both, national and supranational level. That “diminishes opportunities for either EPs or parties to express reasonable disagreement and exercise</w:t>
      </w:r>
      <w:r>
        <w:rPr>
          <w:spacing w:val="40"/>
        </w:rPr>
        <w:t> </w:t>
      </w:r>
      <w:r>
        <w:rPr/>
        <w:t>control over EU level policies.” This conditon becomes particularly problematic, due to the fact that the NPs and courts are obliged to simply implement the EU legislation as suggested by the CJEU. (</w:t>
      </w:r>
      <w:hyperlink w:history="true" w:anchor="_bookmark93">
        <w:r>
          <w:rPr/>
          <w:t>Bellamy &amp; Kröger,</w:t>
        </w:r>
      </w:hyperlink>
      <w:r>
        <w:rPr/>
        <w:t> </w:t>
      </w:r>
      <w:hyperlink w:history="true" w:anchor="_bookmark93">
        <w:r>
          <w:rPr/>
          <w:t>2012, pp. 452-453</w:t>
        </w:r>
      </w:hyperlink>
      <w:r>
        <w:rPr/>
        <w:t>)</w:t>
      </w:r>
    </w:p>
    <w:p>
      <w:pPr>
        <w:pStyle w:val="BodyText"/>
        <w:ind w:left="0"/>
        <w:jc w:val="left"/>
      </w:pPr>
    </w:p>
    <w:p>
      <w:pPr>
        <w:pStyle w:val="BodyText"/>
        <w:spacing w:before="312"/>
        <w:ind w:left="0"/>
        <w:jc w:val="left"/>
      </w:pPr>
    </w:p>
    <w:p>
      <w:pPr>
        <w:pStyle w:val="Heading4"/>
        <w:numPr>
          <w:ilvl w:val="1"/>
          <w:numId w:val="13"/>
        </w:numPr>
        <w:tabs>
          <w:tab w:pos="1677" w:val="left" w:leader="none"/>
        </w:tabs>
        <w:spacing w:line="240" w:lineRule="auto" w:before="0" w:after="0"/>
        <w:ind w:left="1677" w:right="0" w:hanging="698"/>
        <w:jc w:val="left"/>
      </w:pPr>
      <w:bookmarkStart w:name="_bookmark46" w:id="47"/>
      <w:bookmarkEnd w:id="47"/>
      <w:r>
        <w:rPr>
          <w:b w:val="0"/>
        </w:rPr>
      </w:r>
      <w:r>
        <w:rPr>
          <w:spacing w:val="-5"/>
        </w:rPr>
        <w:t>Concluding</w:t>
      </w:r>
      <w:r>
        <w:rPr>
          <w:spacing w:val="-6"/>
        </w:rPr>
        <w:t> </w:t>
      </w:r>
      <w:r>
        <w:rPr>
          <w:spacing w:val="-2"/>
        </w:rPr>
        <w:t>points</w:t>
      </w:r>
    </w:p>
    <w:p>
      <w:pPr>
        <w:pStyle w:val="BodyText"/>
        <w:spacing w:before="10"/>
        <w:ind w:left="0"/>
        <w:jc w:val="left"/>
        <w:rPr>
          <w:rFonts w:ascii="Georgia"/>
          <w:b/>
          <w:sz w:val="18"/>
        </w:rPr>
      </w:pPr>
      <w:r>
        <w:rPr>
          <w:rFonts w:ascii="Georgia"/>
          <w:b/>
          <w:sz w:val="18"/>
        </w:rPr>
        <mc:AlternateContent>
          <mc:Choice Requires="wps">
            <w:drawing>
              <wp:anchor distT="0" distB="0" distL="0" distR="0" allowOverlap="1" layoutInCell="1" locked="0" behindDoc="1" simplePos="0" relativeHeight="487656960">
                <wp:simplePos x="0" y="0"/>
                <wp:positionH relativeFrom="page">
                  <wp:posOffset>1078864</wp:posOffset>
                </wp:positionH>
                <wp:positionV relativeFrom="paragraph">
                  <wp:posOffset>152040</wp:posOffset>
                </wp:positionV>
                <wp:extent cx="5252085" cy="52069"/>
                <wp:effectExtent l="0" t="0" r="0" b="0"/>
                <wp:wrapTopAndBottom/>
                <wp:docPr id="168" name="Graphic 168"/>
                <wp:cNvGraphicFramePr>
                  <a:graphicFrameLocks/>
                </wp:cNvGraphicFramePr>
                <a:graphic>
                  <a:graphicData uri="http://schemas.microsoft.com/office/word/2010/wordprocessingShape">
                    <wps:wsp>
                      <wps:cNvPr id="168" name="Graphic 168"/>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1.971697pt;width:413.55pt;height:4.1pt;mso-position-horizontal-relative:page;mso-position-vertical-relative:paragraph;z-index:-15659520;mso-wrap-distance-left:0;mso-wrap-distance-right:0" id="docshape159" filled="true" fillcolor="#000000" stroked="false">
                <v:fill type="solid"/>
                <w10:wrap type="topAndBottom"/>
              </v:rect>
            </w:pict>
          </mc:Fallback>
        </mc:AlternateContent>
      </w:r>
    </w:p>
    <w:p>
      <w:pPr>
        <w:pStyle w:val="BodyText"/>
        <w:ind w:left="0"/>
        <w:jc w:val="left"/>
        <w:rPr>
          <w:rFonts w:ascii="Georgia"/>
          <w:b/>
        </w:rPr>
      </w:pPr>
    </w:p>
    <w:p>
      <w:pPr>
        <w:pStyle w:val="BodyText"/>
        <w:spacing w:before="249"/>
        <w:ind w:left="0"/>
        <w:jc w:val="left"/>
        <w:rPr>
          <w:rFonts w:ascii="Georgia"/>
          <w:b/>
        </w:rPr>
      </w:pPr>
    </w:p>
    <w:p>
      <w:pPr>
        <w:pStyle w:val="BodyText"/>
        <w:spacing w:line="273" w:lineRule="auto"/>
        <w:ind w:right="1907" w:firstLine="720"/>
      </w:pPr>
      <w:r>
        <w:rPr/>
        <w:t>In the previous chapter we have shown a model of the political system. Democracy, according to the very logic, is “a capacity of political system</w:t>
      </w:r>
      <w:r>
        <w:rPr>
          <w:spacing w:val="-4"/>
        </w:rPr>
        <w:t> </w:t>
      </w:r>
      <w:r>
        <w:rPr/>
        <w:t>to</w:t>
      </w:r>
      <w:r>
        <w:rPr>
          <w:spacing w:val="-4"/>
        </w:rPr>
        <w:t> </w:t>
      </w:r>
      <w:r>
        <w:rPr/>
        <w:t>observe</w:t>
      </w:r>
      <w:r>
        <w:rPr>
          <w:spacing w:val="-6"/>
        </w:rPr>
        <w:t> </w:t>
      </w:r>
      <w:r>
        <w:rPr/>
        <w:t>itself.”</w:t>
      </w:r>
      <w:r>
        <w:rPr>
          <w:spacing w:val="-6"/>
        </w:rPr>
        <w:t> </w:t>
      </w:r>
      <w:r>
        <w:rPr/>
        <w:t>This</w:t>
      </w:r>
      <w:r>
        <w:rPr>
          <w:spacing w:val="-8"/>
        </w:rPr>
        <w:t> </w:t>
      </w:r>
      <w:r>
        <w:rPr/>
        <w:t>observation</w:t>
      </w:r>
      <w:r>
        <w:rPr>
          <w:spacing w:val="-5"/>
        </w:rPr>
        <w:t> </w:t>
      </w:r>
      <w:r>
        <w:rPr/>
        <w:t>as </w:t>
      </w:r>
      <w:r>
        <w:rPr>
          <w:sz w:val="27"/>
        </w:rPr>
        <w:t>Luhmann</w:t>
      </w:r>
      <w:r>
        <w:rPr>
          <w:spacing w:val="-6"/>
          <w:sz w:val="27"/>
        </w:rPr>
        <w:t> </w:t>
      </w:r>
      <w:r>
        <w:rPr/>
        <w:t>maintains</w:t>
      </w:r>
      <w:r>
        <w:rPr>
          <w:spacing w:val="-8"/>
        </w:rPr>
        <w:t> </w:t>
      </w:r>
      <w:r>
        <w:rPr/>
        <w:t>is</w:t>
      </w:r>
      <w:r>
        <w:rPr>
          <w:spacing w:val="-3"/>
        </w:rPr>
        <w:t> </w:t>
      </w:r>
      <w:r>
        <w:rPr/>
        <w:t>possible only if the differences are asserted. If the system does not produce different views, values and norms there will be nothing to re-produce. “self- observation operates through making the claims valid”</w:t>
      </w:r>
      <w:r>
        <w:rPr>
          <w:spacing w:val="80"/>
        </w:rPr>
        <w:t> </w:t>
      </w:r>
      <w:r>
        <w:rPr/>
        <w:t>this implies that “if</w:t>
      </w:r>
    </w:p>
    <w:p>
      <w:pPr>
        <w:pStyle w:val="BodyText"/>
        <w:spacing w:after="0" w:line="273" w:lineRule="auto"/>
        <w:sectPr>
          <w:pgSz w:w="12240" w:h="15840"/>
          <w:pgMar w:header="1046" w:footer="0" w:top="1360" w:bottom="280" w:left="720" w:right="360"/>
        </w:sectPr>
      </w:pPr>
    </w:p>
    <w:p>
      <w:pPr>
        <w:pStyle w:val="BodyText"/>
        <w:spacing w:line="276" w:lineRule="auto" w:before="276"/>
        <w:ind w:right="1908"/>
      </w:pPr>
      <w:r>
        <w:rPr/>
        <w:t>one wants to stimulate more democracy… it has to induce claims.” (</w:t>
      </w:r>
      <w:hyperlink w:history="true" w:anchor="_bookmark265">
        <w:r>
          <w:rPr/>
          <w:t>Luhmann, 1990b</w:t>
        </w:r>
      </w:hyperlink>
      <w:r>
        <w:rPr/>
        <w:t>)</w:t>
      </w:r>
    </w:p>
    <w:p>
      <w:pPr>
        <w:pStyle w:val="BodyText"/>
        <w:spacing w:line="273" w:lineRule="auto"/>
        <w:ind w:right="1908" w:firstLine="720"/>
      </w:pPr>
      <w:r>
        <w:rPr/>
        <w:t>In</w:t>
      </w:r>
      <w:r>
        <w:rPr>
          <w:spacing w:val="-1"/>
        </w:rPr>
        <w:t> </w:t>
      </w:r>
      <w:r>
        <w:rPr/>
        <w:t>case</w:t>
      </w:r>
      <w:r>
        <w:rPr>
          <w:spacing w:val="-1"/>
        </w:rPr>
        <w:t> </w:t>
      </w:r>
      <w:r>
        <w:rPr/>
        <w:t>of</w:t>
      </w:r>
      <w:r>
        <w:rPr>
          <w:spacing w:val="-2"/>
        </w:rPr>
        <w:t> </w:t>
      </w:r>
      <w:r>
        <w:rPr/>
        <w:t>the</w:t>
      </w:r>
      <w:r>
        <w:rPr>
          <w:spacing w:val="-1"/>
        </w:rPr>
        <w:t> </w:t>
      </w:r>
      <w:r>
        <w:rPr/>
        <w:t>European Union</w:t>
      </w:r>
      <w:r>
        <w:rPr>
          <w:spacing w:val="-1"/>
        </w:rPr>
        <w:t> </w:t>
      </w:r>
      <w:r>
        <w:rPr/>
        <w:t>the</w:t>
      </w:r>
      <w:r>
        <w:rPr>
          <w:spacing w:val="-1"/>
        </w:rPr>
        <w:t> </w:t>
      </w:r>
      <w:r>
        <w:rPr/>
        <w:t>“claim”</w:t>
      </w:r>
      <w:r>
        <w:rPr>
          <w:spacing w:val="-1"/>
        </w:rPr>
        <w:t> </w:t>
      </w:r>
      <w:r>
        <w:rPr/>
        <w:t>of the</w:t>
      </w:r>
      <w:r>
        <w:rPr>
          <w:spacing w:val="-1"/>
        </w:rPr>
        <w:t> </w:t>
      </w:r>
      <w:r>
        <w:rPr/>
        <w:t>system</w:t>
      </w:r>
      <w:r>
        <w:rPr>
          <w:spacing w:val="-3"/>
        </w:rPr>
        <w:t> </w:t>
      </w:r>
      <w:r>
        <w:rPr/>
        <w:t>equals</w:t>
      </w:r>
      <w:r>
        <w:rPr>
          <w:spacing w:val="-3"/>
        </w:rPr>
        <w:t> </w:t>
      </w:r>
      <w:r>
        <w:rPr/>
        <w:t>to</w:t>
      </w:r>
      <w:r>
        <w:rPr>
          <w:spacing w:val="-4"/>
        </w:rPr>
        <w:t> </w:t>
      </w:r>
      <w:r>
        <w:rPr/>
        <w:t>the Ideal of the system. This chapter has shown that self-observation mechanism of the EU is quite limited. The reasons for</w:t>
      </w:r>
      <w:r>
        <w:rPr>
          <w:spacing w:val="40"/>
        </w:rPr>
        <w:t> </w:t>
      </w:r>
      <w:r>
        <w:rPr/>
        <w:t>are few. </w:t>
      </w:r>
      <w:r>
        <w:rPr>
          <w:sz w:val="27"/>
        </w:rPr>
        <w:t>First </w:t>
      </w:r>
      <w:r>
        <w:rPr/>
        <w:t>of all lack of formal hierarchy in the governance structure makes it hard to say who is accountable, for what and to whom. We have noted that the Commission and the Council have a different structural disposition towards the public, however, they often come on the same side when it comes to relations with the directly elected EP. </w:t>
      </w:r>
      <w:r>
        <w:rPr>
          <w:sz w:val="27"/>
        </w:rPr>
        <w:t>Second</w:t>
      </w:r>
      <w:r>
        <w:rPr/>
        <w:t>, even though there is some rivalry among the institutions, the system does not generate a difference based opposition. The experience of deliberations during 1040/2001 deadlock has shown that even if the parliament pushes towards more democratic practices, the Commission and the Council are able to make their word count more than that of the EP. </w:t>
      </w:r>
      <w:r>
        <w:rPr>
          <w:sz w:val="27"/>
        </w:rPr>
        <w:t>Third</w:t>
      </w:r>
      <w:r>
        <w:rPr/>
        <w:t>, the EU has successfully achieved the immediate goals. The European states are no longer divided into hostile blocks, despite some set-backs the economy has long been recovered and there are no real claims to be induced. Even the formal executive the Commission, is argued to be more effective when there are detailed plans to pursue. (</w:t>
      </w:r>
      <w:hyperlink w:history="true" w:anchor="_bookmark150">
        <w:r>
          <w:rPr/>
          <w:t>Dahrendorf, 2003</w:t>
        </w:r>
      </w:hyperlink>
      <w:r>
        <w:rPr/>
        <w:t>) Nowadays, we do not see a need for the EU to prove itself in the face of the public. Quite to the contrary, as the matters decided on the supranational level appear concern the low salient issues, the public is often excluded from the process. It becomes ‘just enough’ for institutions to validate their claims among each </w:t>
      </w:r>
      <w:r>
        <w:rPr>
          <w:spacing w:val="-2"/>
        </w:rPr>
        <w:t>other.</w:t>
      </w:r>
    </w:p>
    <w:p>
      <w:pPr>
        <w:pStyle w:val="BodyText"/>
        <w:spacing w:line="276" w:lineRule="auto" w:before="38"/>
        <w:ind w:right="1907" w:firstLine="720"/>
      </w:pPr>
      <w:r>
        <w:rPr/>
        <w:t>If</w:t>
      </w:r>
      <w:r>
        <w:rPr>
          <w:spacing w:val="-4"/>
        </w:rPr>
        <w:t> </w:t>
      </w:r>
      <w:r>
        <w:rPr/>
        <w:t>we</w:t>
      </w:r>
      <w:r>
        <w:rPr>
          <w:spacing w:val="-2"/>
        </w:rPr>
        <w:t> </w:t>
      </w:r>
      <w:r>
        <w:rPr/>
        <w:t>consider</w:t>
      </w:r>
      <w:r>
        <w:rPr>
          <w:spacing w:val="-1"/>
        </w:rPr>
        <w:t> </w:t>
      </w:r>
      <w:r>
        <w:rPr/>
        <w:t>the</w:t>
      </w:r>
      <w:r>
        <w:rPr>
          <w:spacing w:val="-2"/>
        </w:rPr>
        <w:t> </w:t>
      </w:r>
      <w:r>
        <w:rPr/>
        <w:t>history</w:t>
      </w:r>
      <w:r>
        <w:rPr>
          <w:spacing w:val="-2"/>
        </w:rPr>
        <w:t> </w:t>
      </w:r>
      <w:r>
        <w:rPr/>
        <w:t>of structural</w:t>
      </w:r>
      <w:r>
        <w:rPr>
          <w:spacing w:val="-4"/>
        </w:rPr>
        <w:t> </w:t>
      </w:r>
      <w:r>
        <w:rPr/>
        <w:t>transformations</w:t>
      </w:r>
      <w:r>
        <w:rPr>
          <w:spacing w:val="-4"/>
        </w:rPr>
        <w:t> </w:t>
      </w:r>
      <w:r>
        <w:rPr/>
        <w:t>in</w:t>
      </w:r>
      <w:r>
        <w:rPr>
          <w:spacing w:val="-1"/>
        </w:rPr>
        <w:t> </w:t>
      </w:r>
      <w:r>
        <w:rPr/>
        <w:t>the</w:t>
      </w:r>
      <w:r>
        <w:rPr>
          <w:spacing w:val="-2"/>
        </w:rPr>
        <w:t> </w:t>
      </w:r>
      <w:r>
        <w:rPr/>
        <w:t>EU,</w:t>
      </w:r>
      <w:r>
        <w:rPr>
          <w:spacing w:val="-1"/>
        </w:rPr>
        <w:t> </w:t>
      </w:r>
      <w:r>
        <w:rPr/>
        <w:t>we can argue that, the ‘democracy talks’ that started in the 90s were a part of self-referential process. This process, as we have seen in the previous chapter, often creates problems and then is utilizes own mechanisms to solve</w:t>
      </w:r>
      <w:r>
        <w:rPr>
          <w:spacing w:val="-2"/>
        </w:rPr>
        <w:t> </w:t>
      </w:r>
      <w:r>
        <w:rPr/>
        <w:t>those problems.</w:t>
      </w:r>
      <w:r>
        <w:rPr>
          <w:spacing w:val="40"/>
        </w:rPr>
        <w:t> </w:t>
      </w:r>
      <w:r>
        <w:rPr/>
        <w:t>Lack of</w:t>
      </w:r>
      <w:r>
        <w:rPr>
          <w:spacing w:val="-3"/>
        </w:rPr>
        <w:t> </w:t>
      </w:r>
      <w:r>
        <w:rPr/>
        <w:t>democracy in the</w:t>
      </w:r>
      <w:r>
        <w:rPr>
          <w:spacing w:val="-2"/>
        </w:rPr>
        <w:t> </w:t>
      </w:r>
      <w:r>
        <w:rPr/>
        <w:t>EU is</w:t>
      </w:r>
      <w:r>
        <w:rPr>
          <w:spacing w:val="-4"/>
        </w:rPr>
        <w:t> </w:t>
      </w:r>
      <w:r>
        <w:rPr/>
        <w:t>not</w:t>
      </w:r>
      <w:r>
        <w:rPr>
          <w:spacing w:val="-2"/>
        </w:rPr>
        <w:t> </w:t>
      </w:r>
      <w:r>
        <w:rPr/>
        <w:t>an organizational problem. It is more a matter of socially constructed attempt to shift the technocratic disposition of the EU, toward liberal normative ideology.</w:t>
      </w:r>
    </w:p>
    <w:p>
      <w:pPr>
        <w:pStyle w:val="BodyText"/>
        <w:spacing w:after="0" w:line="276" w:lineRule="auto"/>
        <w:sectPr>
          <w:pgSz w:w="12240" w:h="15840"/>
          <w:pgMar w:header="1046" w:footer="0" w:top="1360" w:bottom="280" w:left="720" w:right="360"/>
        </w:sectPr>
      </w:pPr>
    </w:p>
    <w:p>
      <w:pPr>
        <w:pStyle w:val="BodyText"/>
        <w:spacing w:line="273" w:lineRule="auto" w:before="276"/>
        <w:ind w:right="1909" w:firstLine="720"/>
      </w:pPr>
      <w:r>
        <w:rPr/>
        <w:t>When we think about the relevance of discursive struggles concerning the democratic deficit, institutional accountability and transparency, it is essential to clarify whether the attempt is to solve the problems of the EU in its current state, or our aim is to propose an alternative model of the entity which could be more appropriate considering the modern day needs of the Europeans. </w:t>
      </w:r>
      <w:r>
        <w:rPr>
          <w:sz w:val="27"/>
        </w:rPr>
        <w:t>First position</w:t>
      </w:r>
      <w:r>
        <w:rPr/>
        <w:t>, should follow the initial purpose of the Union and ask if the system satisfies the initial requirements. If we find that there are problems, those problems have to be resolved by</w:t>
      </w:r>
      <w:r>
        <w:rPr>
          <w:spacing w:val="40"/>
        </w:rPr>
        <w:t> </w:t>
      </w:r>
      <w:r>
        <w:rPr/>
        <w:t>enforcing the mechanisms familiar to exiting organization. </w:t>
      </w:r>
      <w:r>
        <w:rPr>
          <w:sz w:val="27"/>
        </w:rPr>
        <w:t>Second position</w:t>
      </w:r>
      <w:r>
        <w:rPr/>
        <w:t>, implies that the current systemic organization has to be replaced, because it does not manage to deal with ongoing challenges. And that grasping those challenges is a) more</w:t>
      </w:r>
      <w:r>
        <w:rPr>
          <w:spacing w:val="40"/>
        </w:rPr>
        <w:t> </w:t>
      </w:r>
      <w:r>
        <w:rPr/>
        <w:t>important than initial purpose, B) they affect the functioning of the system and jeopardize achieving the ideal.</w:t>
      </w:r>
    </w:p>
    <w:p>
      <w:pPr>
        <w:pStyle w:val="BodyText"/>
        <w:spacing w:line="276" w:lineRule="auto" w:before="17"/>
        <w:ind w:right="1908" w:firstLine="720"/>
      </w:pPr>
      <w:r>
        <w:rPr/>
        <w:t>Those scholars who work within the boundaries of first position, acknowledge that the founding proposition of the EU did not attempt to determine technical goals by political means. To the contrary, political impulses around the process of integration were discursive byproducts of the functional spillovers, caused by the clash of interests within domestic political processes. This was a case during the empty chair crisis, when the direct political input has caused a serious disturbances for the system. The Maastricht Treaty certainly politicized the Union, however, the organization has learned how to have a distance between the</w:t>
      </w:r>
      <w:r>
        <w:rPr>
          <w:spacing w:val="-2"/>
        </w:rPr>
        <w:t> </w:t>
      </w:r>
      <w:r>
        <w:rPr/>
        <w:t>economic and political spheres. That is why</w:t>
      </w:r>
      <w:r>
        <w:rPr>
          <w:spacing w:val="40"/>
        </w:rPr>
        <w:t> </w:t>
      </w:r>
      <w:r>
        <w:rPr/>
        <w:t>“European people have swallowed the single currency as one of the many technical decisions made by Europe.” (</w:t>
      </w:r>
      <w:hyperlink w:history="true" w:anchor="_bookmark150">
        <w:r>
          <w:rPr/>
          <w:t>Dahrendorf, 2003, p. 102</w:t>
        </w:r>
      </w:hyperlink>
      <w:r>
        <w:rPr/>
        <w:t>)</w:t>
      </w:r>
    </w:p>
    <w:p>
      <w:pPr>
        <w:pStyle w:val="BodyText"/>
        <w:spacing w:line="276" w:lineRule="auto" w:before="5"/>
        <w:ind w:right="1911" w:firstLine="720"/>
      </w:pPr>
      <w:r>
        <w:rPr/>
        <w:t>Others, who develop their arguments within the second position argue, that the EU has reached the point after which leaving out the public out of the process is not acceptable. This condition enforces creating the common</w:t>
      </w:r>
      <w:r>
        <w:rPr>
          <w:spacing w:val="-1"/>
        </w:rPr>
        <w:t> </w:t>
      </w:r>
      <w:r>
        <w:rPr/>
        <w:t>political identity</w:t>
      </w:r>
      <w:r>
        <w:rPr>
          <w:spacing w:val="-2"/>
        </w:rPr>
        <w:t> </w:t>
      </w:r>
      <w:r>
        <w:rPr/>
        <w:t>on</w:t>
      </w:r>
      <w:r>
        <w:rPr>
          <w:spacing w:val="-1"/>
        </w:rPr>
        <w:t> </w:t>
      </w:r>
      <w:r>
        <w:rPr/>
        <w:t>a</w:t>
      </w:r>
      <w:r>
        <w:rPr>
          <w:spacing w:val="-2"/>
        </w:rPr>
        <w:t> </w:t>
      </w:r>
      <w:r>
        <w:rPr/>
        <w:t>legal</w:t>
      </w:r>
      <w:r>
        <w:rPr>
          <w:spacing w:val="-4"/>
        </w:rPr>
        <w:t> </w:t>
      </w:r>
      <w:r>
        <w:rPr/>
        <w:t>basis.</w:t>
      </w:r>
      <w:r>
        <w:rPr>
          <w:spacing w:val="-1"/>
        </w:rPr>
        <w:t> </w:t>
      </w:r>
      <w:r>
        <w:rPr/>
        <w:t>From</w:t>
      </w:r>
      <w:r>
        <w:rPr>
          <w:spacing w:val="-4"/>
        </w:rPr>
        <w:t> </w:t>
      </w:r>
      <w:r>
        <w:rPr/>
        <w:t>this</w:t>
      </w:r>
      <w:r>
        <w:rPr>
          <w:spacing w:val="-4"/>
        </w:rPr>
        <w:t> </w:t>
      </w:r>
      <w:r>
        <w:rPr/>
        <w:t>systemic</w:t>
      </w:r>
      <w:r>
        <w:rPr>
          <w:spacing w:val="-3"/>
        </w:rPr>
        <w:t> </w:t>
      </w:r>
      <w:r>
        <w:rPr/>
        <w:t>point</w:t>
      </w:r>
      <w:r>
        <w:rPr>
          <w:spacing w:val="-2"/>
        </w:rPr>
        <w:t> </w:t>
      </w:r>
      <w:r>
        <w:rPr/>
        <w:t>of view, such</w:t>
      </w:r>
      <w:r>
        <w:rPr>
          <w:spacing w:val="5"/>
        </w:rPr>
        <w:t> </w:t>
      </w:r>
      <w:r>
        <w:rPr/>
        <w:t>a</w:t>
      </w:r>
      <w:r>
        <w:rPr>
          <w:spacing w:val="6"/>
        </w:rPr>
        <w:t> </w:t>
      </w:r>
      <w:r>
        <w:rPr/>
        <w:t>development</w:t>
      </w:r>
      <w:r>
        <w:rPr>
          <w:spacing w:val="5"/>
        </w:rPr>
        <w:t> </w:t>
      </w:r>
      <w:r>
        <w:rPr/>
        <w:t>would</w:t>
      </w:r>
      <w:r>
        <w:rPr>
          <w:spacing w:val="6"/>
        </w:rPr>
        <w:t> </w:t>
      </w:r>
      <w:r>
        <w:rPr/>
        <w:t>mean</w:t>
      </w:r>
      <w:r>
        <w:rPr>
          <w:spacing w:val="7"/>
        </w:rPr>
        <w:t> </w:t>
      </w:r>
      <w:r>
        <w:rPr/>
        <w:t>a</w:t>
      </w:r>
      <w:r>
        <w:rPr>
          <w:spacing w:val="5"/>
        </w:rPr>
        <w:t> </w:t>
      </w:r>
      <w:r>
        <w:rPr/>
        <w:t>radical</w:t>
      </w:r>
      <w:r>
        <w:rPr>
          <w:spacing w:val="3"/>
        </w:rPr>
        <w:t> </w:t>
      </w:r>
      <w:r>
        <w:rPr/>
        <w:t>change</w:t>
      </w:r>
      <w:r>
        <w:rPr>
          <w:spacing w:val="6"/>
        </w:rPr>
        <w:t> </w:t>
      </w:r>
      <w:r>
        <w:rPr/>
        <w:t>of</w:t>
      </w:r>
      <w:r>
        <w:rPr>
          <w:spacing w:val="4"/>
        </w:rPr>
        <w:t> </w:t>
      </w:r>
      <w:r>
        <w:rPr/>
        <w:t>a</w:t>
      </w:r>
      <w:r>
        <w:rPr>
          <w:spacing w:val="5"/>
        </w:rPr>
        <w:t> </w:t>
      </w:r>
      <w:r>
        <w:rPr/>
        <w:t>current</w:t>
      </w:r>
      <w:r>
        <w:rPr>
          <w:spacing w:val="5"/>
        </w:rPr>
        <w:t> </w:t>
      </w:r>
      <w:r>
        <w:rPr/>
        <w:t>state.</w:t>
      </w:r>
      <w:r>
        <w:rPr>
          <w:spacing w:val="7"/>
        </w:rPr>
        <w:t> </w:t>
      </w:r>
      <w:r>
        <w:rPr/>
        <w:t>A</w:t>
      </w:r>
      <w:r>
        <w:rPr>
          <w:spacing w:val="2"/>
        </w:rPr>
        <w:t> </w:t>
      </w:r>
      <w:r>
        <w:rPr>
          <w:spacing w:val="-5"/>
        </w:rPr>
        <w:t>new</w:t>
      </w:r>
    </w:p>
    <w:p>
      <w:pPr>
        <w:pStyle w:val="BodyText"/>
        <w:spacing w:after="0" w:line="276" w:lineRule="auto"/>
        <w:sectPr>
          <w:pgSz w:w="12240" w:h="15840"/>
          <w:pgMar w:header="1046" w:footer="0" w:top="1360" w:bottom="280" w:left="720" w:right="360"/>
        </w:sectPr>
      </w:pPr>
    </w:p>
    <w:p>
      <w:pPr>
        <w:pStyle w:val="BodyText"/>
        <w:spacing w:line="276" w:lineRule="auto" w:before="276"/>
        <w:ind w:right="1922"/>
      </w:pPr>
      <w:r>
        <w:rPr/>
        <w:t>state would introduce new operational framework and arguably more centralized political organization.</w:t>
      </w:r>
    </w:p>
    <w:p>
      <w:pPr>
        <w:pStyle w:val="BodyText"/>
        <w:spacing w:line="273" w:lineRule="auto"/>
        <w:ind w:right="1906" w:firstLine="720"/>
      </w:pPr>
      <w:r>
        <w:rPr/>
        <w:t>Our aim is to understand the evolution of the European Union up to the current state. We share </w:t>
      </w:r>
      <w:r>
        <w:rPr>
          <w:sz w:val="27"/>
        </w:rPr>
        <w:t>John Searle’s </w:t>
      </w:r>
      <w:r>
        <w:rPr/>
        <w:t>sceptisicm towards modeling the alternatives. Discussing the possible worlds according to him, is not necessarily false but it is certainly</w:t>
      </w:r>
      <w:r>
        <w:rPr>
          <w:spacing w:val="80"/>
        </w:rPr>
        <w:t> </w:t>
      </w:r>
      <w:r>
        <w:rPr/>
        <w:t>not illuminating. (</w:t>
      </w:r>
      <w:hyperlink w:history="true" w:anchor="_bookmark386">
        <w:r>
          <w:rPr/>
          <w:t>Searle, 2011</w:t>
        </w:r>
      </w:hyperlink>
      <w:r>
        <w:rPr/>
        <w:t>) We try</w:t>
      </w:r>
      <w:r>
        <w:rPr>
          <w:spacing w:val="40"/>
        </w:rPr>
        <w:t> </w:t>
      </w:r>
      <w:r>
        <w:rPr/>
        <w:t>to avoid getting into the debates with the ideas that try to prove developments within the system [which is a model on its own] by building hypothetical arguments developed for the possible reality of the system.</w:t>
      </w:r>
    </w:p>
    <w:p>
      <w:pPr>
        <w:pStyle w:val="BodyText"/>
        <w:spacing w:line="276" w:lineRule="auto" w:before="9"/>
        <w:ind w:right="1907" w:firstLine="720"/>
      </w:pPr>
      <w:r>
        <w:rPr/>
        <w:t>Considering two aspects: a) the purpose of the system, b) political practice within the system, we argue that the European project was not intended</w:t>
      </w:r>
      <w:r>
        <w:rPr>
          <w:spacing w:val="-4"/>
        </w:rPr>
        <w:t> </w:t>
      </w:r>
      <w:r>
        <w:rPr/>
        <w:t>to</w:t>
      </w:r>
      <w:r>
        <w:rPr>
          <w:spacing w:val="-4"/>
        </w:rPr>
        <w:t> </w:t>
      </w:r>
      <w:r>
        <w:rPr/>
        <w:t>have</w:t>
      </w:r>
      <w:r>
        <w:rPr>
          <w:spacing w:val="-1"/>
        </w:rPr>
        <w:t> </w:t>
      </w:r>
      <w:r>
        <w:rPr/>
        <w:t>a</w:t>
      </w:r>
      <w:r>
        <w:rPr>
          <w:spacing w:val="-1"/>
        </w:rPr>
        <w:t> </w:t>
      </w:r>
      <w:r>
        <w:rPr/>
        <w:t>full</w:t>
      </w:r>
      <w:r>
        <w:rPr>
          <w:spacing w:val="-4"/>
        </w:rPr>
        <w:t> </w:t>
      </w:r>
      <w:r>
        <w:rPr/>
        <w:t>scale</w:t>
      </w:r>
      <w:r>
        <w:rPr>
          <w:spacing w:val="-1"/>
        </w:rPr>
        <w:t> </w:t>
      </w:r>
      <w:r>
        <w:rPr/>
        <w:t>political</w:t>
      </w:r>
      <w:r>
        <w:rPr>
          <w:spacing w:val="-4"/>
        </w:rPr>
        <w:t> </w:t>
      </w:r>
      <w:r>
        <w:rPr/>
        <w:t>orientation. There</w:t>
      </w:r>
      <w:r>
        <w:rPr>
          <w:spacing w:val="-6"/>
        </w:rPr>
        <w:t> </w:t>
      </w:r>
      <w:r>
        <w:rPr/>
        <w:t>were</w:t>
      </w:r>
      <w:r>
        <w:rPr>
          <w:spacing w:val="-6"/>
        </w:rPr>
        <w:t> </w:t>
      </w:r>
      <w:r>
        <w:rPr/>
        <w:t>idealistic</w:t>
      </w:r>
      <w:r>
        <w:rPr>
          <w:spacing w:val="-2"/>
        </w:rPr>
        <w:t> </w:t>
      </w:r>
      <w:r>
        <w:rPr/>
        <w:t>ideas for uniting the Europe, but those ideas largely remained it the background of the project. On the path towards the integration the leaks from the political systems of the member states has politicized certain areas of the European governance. Empowering the EP was arguably the biggest step towards more politicization, but as we have seen above, accountability practices are still in the hands of the Commission and the Council. Reform of the Commission should have brought to more politics at a supranational level, but the studies have shown that the Council still remains the most powerful institution in the EU.</w:t>
      </w:r>
    </w:p>
    <w:p>
      <w:pPr>
        <w:pStyle w:val="BodyText"/>
        <w:spacing w:line="276" w:lineRule="auto"/>
        <w:ind w:right="1907" w:firstLine="720"/>
      </w:pPr>
      <w:r>
        <w:rPr/>
        <w:t>It can be argued that more intergovernmental practice equals to the less political Union. We have to keep in mind that the input coming from the member states is not a simple impulse that can be absorbed or ignored by</w:t>
      </w:r>
      <w:r>
        <w:rPr>
          <w:spacing w:val="-2"/>
        </w:rPr>
        <w:t> </w:t>
      </w:r>
      <w:r>
        <w:rPr/>
        <w:t>the</w:t>
      </w:r>
      <w:r>
        <w:rPr>
          <w:spacing w:val="-2"/>
        </w:rPr>
        <w:t> </w:t>
      </w:r>
      <w:r>
        <w:rPr/>
        <w:t>system of</w:t>
      </w:r>
      <w:r>
        <w:rPr>
          <w:spacing w:val="-3"/>
        </w:rPr>
        <w:t> </w:t>
      </w:r>
      <w:r>
        <w:rPr/>
        <w:t>the</w:t>
      </w:r>
      <w:r>
        <w:rPr>
          <w:spacing w:val="-2"/>
        </w:rPr>
        <w:t> </w:t>
      </w:r>
      <w:r>
        <w:rPr/>
        <w:t>Union.</w:t>
      </w:r>
      <w:r>
        <w:rPr>
          <w:spacing w:val="-1"/>
        </w:rPr>
        <w:t> </w:t>
      </w:r>
      <w:r>
        <w:rPr/>
        <w:t>On the</w:t>
      </w:r>
      <w:r>
        <w:rPr>
          <w:spacing w:val="-2"/>
        </w:rPr>
        <w:t> </w:t>
      </w:r>
      <w:r>
        <w:rPr/>
        <w:t>contrary, the demands</w:t>
      </w:r>
      <w:r>
        <w:rPr>
          <w:spacing w:val="-4"/>
        </w:rPr>
        <w:t> </w:t>
      </w:r>
      <w:r>
        <w:rPr/>
        <w:t>from</w:t>
      </w:r>
      <w:r>
        <w:rPr>
          <w:spacing w:val="-4"/>
        </w:rPr>
        <w:t> </w:t>
      </w:r>
      <w:r>
        <w:rPr/>
        <w:t>the</w:t>
      </w:r>
      <w:r>
        <w:rPr>
          <w:spacing w:val="-2"/>
        </w:rPr>
        <w:t> </w:t>
      </w:r>
      <w:r>
        <w:rPr/>
        <w:t>masters of the treaties, often determine a direction of the legislative process of the EU. However, it will not be entirely accurate to assume that those inputs define the nature of the system </w:t>
      </w:r>
      <w:r>
        <w:rPr>
          <w:sz w:val="27"/>
        </w:rPr>
        <w:t>per se</w:t>
      </w:r>
      <w:r>
        <w:rPr/>
        <w:t>. There</w:t>
      </w:r>
      <w:r>
        <w:rPr>
          <w:spacing w:val="-3"/>
        </w:rPr>
        <w:t> </w:t>
      </w:r>
      <w:r>
        <w:rPr/>
        <w:t>are multiple factors which co- produce the systemic identity, we will address those in the next chapter.</w:t>
      </w:r>
    </w:p>
    <w:p>
      <w:pPr>
        <w:pStyle w:val="BodyText"/>
        <w:spacing w:line="276" w:lineRule="auto"/>
        <w:ind w:right="1907" w:firstLine="720"/>
      </w:pPr>
      <w:r>
        <w:rPr/>
        <w:t>In the EU, economic, political and legal systems are structurally coupled. This fact suggests that in order to get a properly functioning organization,</w:t>
      </w:r>
      <w:r>
        <w:rPr>
          <w:spacing w:val="34"/>
        </w:rPr>
        <w:t> </w:t>
      </w:r>
      <w:r>
        <w:rPr/>
        <w:t>the</w:t>
      </w:r>
      <w:r>
        <w:rPr>
          <w:spacing w:val="34"/>
        </w:rPr>
        <w:t> </w:t>
      </w:r>
      <w:r>
        <w:rPr/>
        <w:t>system</w:t>
      </w:r>
      <w:r>
        <w:rPr>
          <w:spacing w:val="32"/>
        </w:rPr>
        <w:t> </w:t>
      </w:r>
      <w:r>
        <w:rPr/>
        <w:t>has</w:t>
      </w:r>
      <w:r>
        <w:rPr>
          <w:spacing w:val="31"/>
        </w:rPr>
        <w:t> </w:t>
      </w:r>
      <w:r>
        <w:rPr/>
        <w:t>to</w:t>
      </w:r>
      <w:r>
        <w:rPr>
          <w:spacing w:val="31"/>
        </w:rPr>
        <w:t> </w:t>
      </w:r>
      <w:r>
        <w:rPr/>
        <w:t>develop</w:t>
      </w:r>
      <w:r>
        <w:rPr>
          <w:spacing w:val="32"/>
        </w:rPr>
        <w:t> </w:t>
      </w:r>
      <w:r>
        <w:rPr/>
        <w:t>a</w:t>
      </w:r>
      <w:r>
        <w:rPr>
          <w:spacing w:val="42"/>
        </w:rPr>
        <w:t> </w:t>
      </w:r>
      <w:r>
        <w:rPr/>
        <w:t>comprehensive</w:t>
      </w:r>
      <w:r>
        <w:rPr>
          <w:spacing w:val="34"/>
        </w:rPr>
        <w:t> </w:t>
      </w:r>
      <w:r>
        <w:rPr/>
        <w:t>scheme</w:t>
      </w:r>
      <w:r>
        <w:rPr>
          <w:spacing w:val="34"/>
        </w:rPr>
        <w:t> </w:t>
      </w:r>
      <w:r>
        <w:rPr/>
        <w:t>of</w:t>
      </w:r>
      <w:r>
        <w:rPr>
          <w:spacing w:val="36"/>
        </w:rPr>
        <w:t> </w:t>
      </w:r>
      <w:r>
        <w:rPr>
          <w:spacing w:val="-2"/>
        </w:rPr>
        <w:t>self-</w:t>
      </w:r>
    </w:p>
    <w:p>
      <w:pPr>
        <w:pStyle w:val="BodyText"/>
        <w:spacing w:after="0" w:line="276" w:lineRule="auto"/>
        <w:sectPr>
          <w:pgSz w:w="12240" w:h="15840"/>
          <w:pgMar w:header="1046" w:footer="0" w:top="1360" w:bottom="280" w:left="720" w:right="360"/>
        </w:sectPr>
      </w:pPr>
    </w:p>
    <w:p>
      <w:pPr>
        <w:pStyle w:val="BodyText"/>
        <w:spacing w:line="276" w:lineRule="auto" w:before="266"/>
        <w:ind w:right="1907"/>
      </w:pPr>
      <w:r>
        <w:rPr/>
        <w:t>reflection. </w:t>
      </w:r>
      <w:r>
        <w:rPr>
          <w:sz w:val="27"/>
        </w:rPr>
        <w:t>John Erik Fossum</w:t>
      </w:r>
      <w:r>
        <w:rPr>
          <w:spacing w:val="40"/>
          <w:sz w:val="27"/>
        </w:rPr>
        <w:t> </w:t>
      </w:r>
      <w:r>
        <w:rPr/>
        <w:t>maintains</w:t>
      </w:r>
      <w:r>
        <w:rPr>
          <w:spacing w:val="-1"/>
        </w:rPr>
        <w:t> </w:t>
      </w:r>
      <w:r>
        <w:rPr/>
        <w:t>that “the EU has</w:t>
      </w:r>
      <w:r>
        <w:rPr>
          <w:spacing w:val="-1"/>
        </w:rPr>
        <w:t> </w:t>
      </w:r>
      <w:r>
        <w:rPr/>
        <w:t>developed a set of binding norms and rules, but their principled and practical status is unclear and incomplete.” (</w:t>
      </w:r>
      <w:hyperlink w:history="true" w:anchor="_bookmark187">
        <w:r>
          <w:rPr/>
          <w:t>Fossum, 2002, p. 112</w:t>
        </w:r>
      </w:hyperlink>
      <w:r>
        <w:rPr/>
        <w:t>) The author assumes that this problem is caused by the gap created between “the structure of rules and</w:t>
      </w:r>
      <w:r>
        <w:rPr>
          <w:spacing w:val="40"/>
        </w:rPr>
        <w:t> </w:t>
      </w:r>
      <w:r>
        <w:rPr/>
        <w:t>the arguments</w:t>
      </w:r>
      <w:r>
        <w:rPr>
          <w:spacing w:val="-2"/>
        </w:rPr>
        <w:t> </w:t>
      </w:r>
      <w:r>
        <w:rPr/>
        <w:t>that are used to</w:t>
      </w:r>
      <w:r>
        <w:rPr>
          <w:spacing w:val="-3"/>
        </w:rPr>
        <w:t> </w:t>
      </w:r>
      <w:r>
        <w:rPr/>
        <w:t>justify the rules.” (ibid, p. 112)</w:t>
      </w:r>
      <w:r>
        <w:rPr>
          <w:spacing w:val="40"/>
        </w:rPr>
        <w:t> </w:t>
      </w:r>
      <w:r>
        <w:rPr/>
        <w:t>Political self- reflection cannot take place if the structure of the political system is not able to translate the information generated via the structural coupling.</w:t>
      </w:r>
    </w:p>
    <w:p>
      <w:pPr>
        <w:pStyle w:val="BodyText"/>
        <w:spacing w:line="271" w:lineRule="auto"/>
        <w:ind w:right="1904" w:firstLine="787"/>
      </w:pPr>
      <w:r>
        <w:rPr/>
        <w:t>Considering all facts, we are inclined to argue that the current self- identification of the EU is similar to observations proposed by </w:t>
      </w:r>
      <w:r>
        <w:rPr>
          <w:sz w:val="27"/>
        </w:rPr>
        <w:t>Majone </w:t>
      </w:r>
      <w:r>
        <w:rPr/>
        <w:t>and </w:t>
      </w:r>
      <w:r>
        <w:rPr>
          <w:sz w:val="27"/>
        </w:rPr>
        <w:t>Moravcsik</w:t>
      </w:r>
      <w:r>
        <w:rPr/>
        <w:t>. Economic system together with the legal system possess an advantage over a weakly developed political organization. Therefore, the system that we propose in the next chapter will share many similarities</w:t>
      </w:r>
      <w:r>
        <w:rPr>
          <w:spacing w:val="40"/>
        </w:rPr>
        <w:t> </w:t>
      </w:r>
      <w:r>
        <w:rPr/>
        <w:t>with non-political entities described in the previous chapter.</w:t>
      </w:r>
    </w:p>
    <w:p>
      <w:pPr>
        <w:pStyle w:val="BodyText"/>
        <w:spacing w:after="0" w:line="271" w:lineRule="auto"/>
        <w:sectPr>
          <w:pgSz w:w="12240" w:h="15840"/>
          <w:pgMar w:header="1046" w:footer="0" w:top="1360" w:bottom="280" w:left="720" w:right="360"/>
        </w:sectPr>
      </w:pPr>
    </w:p>
    <w:p>
      <w:pPr>
        <w:pStyle w:val="Heading1"/>
        <w:spacing w:before="696"/>
        <w:ind w:left="1046"/>
      </w:pPr>
      <w:r>
        <w:rPr>
          <w:b w:val="0"/>
          <w:position w:val="-2"/>
        </w:rPr>
        <w:drawing>
          <wp:inline distT="0" distB="0" distL="0" distR="0">
            <wp:extent cx="868986" cy="736272"/>
            <wp:effectExtent l="0" t="0" r="0" b="0"/>
            <wp:docPr id="169" name="Image 169"/>
            <wp:cNvGraphicFramePr>
              <a:graphicFrameLocks/>
            </wp:cNvGraphicFramePr>
            <a:graphic>
              <a:graphicData uri="http://schemas.openxmlformats.org/drawingml/2006/picture">
                <pic:pic>
                  <pic:nvPicPr>
                    <pic:cNvPr id="169" name="Image 169"/>
                    <pic:cNvPicPr/>
                  </pic:nvPicPr>
                  <pic:blipFill>
                    <a:blip r:embed="rId34" cstate="print"/>
                    <a:stretch>
                      <a:fillRect/>
                    </a:stretch>
                  </pic:blipFill>
                  <pic:spPr>
                    <a:xfrm>
                      <a:off x="0" y="0"/>
                      <a:ext cx="868986" cy="736272"/>
                    </a:xfrm>
                    <a:prstGeom prst="rect">
                      <a:avLst/>
                    </a:prstGeom>
                  </pic:spPr>
                </pic:pic>
              </a:graphicData>
            </a:graphic>
          </wp:inline>
        </w:drawing>
      </w:r>
      <w:r>
        <w:rPr>
          <w:b w:val="0"/>
          <w:position w:val="-2"/>
        </w:rPr>
      </w:r>
      <w:r>
        <w:rPr>
          <w:rFonts w:ascii="Times New Roman"/>
          <w:b w:val="0"/>
          <w:spacing w:val="26"/>
          <w:sz w:val="20"/>
        </w:rPr>
        <w:t> </w:t>
      </w:r>
      <w:bookmarkStart w:name="_bookmark47" w:id="48"/>
      <w:bookmarkEnd w:id="48"/>
      <w:r>
        <w:rPr>
          <w:rFonts w:ascii="Times New Roman"/>
          <w:b w:val="0"/>
          <w:spacing w:val="-24"/>
          <w:sz w:val="20"/>
        </w:rPr>
      </w:r>
      <w:r>
        <w:rPr/>
        <w:t>CHAPTER FIVE</w:t>
      </w:r>
    </w:p>
    <w:p>
      <w:pPr>
        <w:pStyle w:val="BodyText"/>
        <w:ind w:left="0"/>
        <w:jc w:val="left"/>
        <w:rPr>
          <w:rFonts w:ascii="Georgia"/>
          <w:b/>
          <w:sz w:val="20"/>
        </w:rPr>
      </w:pPr>
    </w:p>
    <w:p>
      <w:pPr>
        <w:pStyle w:val="BodyText"/>
        <w:spacing w:before="17"/>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57472">
                <wp:simplePos x="0" y="0"/>
                <wp:positionH relativeFrom="page">
                  <wp:posOffset>1078864</wp:posOffset>
                </wp:positionH>
                <wp:positionV relativeFrom="paragraph">
                  <wp:posOffset>170784</wp:posOffset>
                </wp:positionV>
                <wp:extent cx="5252085" cy="100330"/>
                <wp:effectExtent l="0" t="0" r="0" b="0"/>
                <wp:wrapTopAndBottom/>
                <wp:docPr id="170" name="Graphic 170"/>
                <wp:cNvGraphicFramePr>
                  <a:graphicFrameLocks/>
                </wp:cNvGraphicFramePr>
                <a:graphic>
                  <a:graphicData uri="http://schemas.microsoft.com/office/word/2010/wordprocessingShape">
                    <wps:wsp>
                      <wps:cNvPr id="170" name="Graphic 170"/>
                      <wps:cNvSpPr/>
                      <wps:spPr>
                        <a:xfrm>
                          <a:off x="0" y="0"/>
                          <a:ext cx="5252085" cy="100330"/>
                        </a:xfrm>
                        <a:custGeom>
                          <a:avLst/>
                          <a:gdLst/>
                          <a:ahLst/>
                          <a:cxnLst/>
                          <a:rect l="l" t="t" r="r" b="b"/>
                          <a:pathLst>
                            <a:path w="5252085" h="100330">
                              <a:moveTo>
                                <a:pt x="5252085" y="0"/>
                              </a:moveTo>
                              <a:lnTo>
                                <a:pt x="0" y="0"/>
                              </a:lnTo>
                              <a:lnTo>
                                <a:pt x="0" y="100329"/>
                              </a:lnTo>
                              <a:lnTo>
                                <a:pt x="5252085" y="100329"/>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3.447607pt;width:413.55pt;height:7.9pt;mso-position-horizontal-relative:page;mso-position-vertical-relative:paragraph;z-index:-15659008;mso-wrap-distance-left:0;mso-wrap-distance-right:0" id="docshape160" filled="true" fillcolor="#000000" stroked="false">
                <v:fill type="solid"/>
                <w10:wrap type="topAndBottom"/>
              </v:rect>
            </w:pict>
          </mc:Fallback>
        </mc:AlternateContent>
      </w:r>
    </w:p>
    <w:p>
      <w:pPr>
        <w:pStyle w:val="BodyText"/>
        <w:spacing w:before="222"/>
        <w:ind w:left="0"/>
        <w:jc w:val="left"/>
        <w:rPr>
          <w:rFonts w:ascii="Georgia"/>
          <w:b/>
          <w:sz w:val="28"/>
        </w:rPr>
      </w:pPr>
    </w:p>
    <w:p>
      <w:pPr>
        <w:spacing w:before="0"/>
        <w:ind w:left="979" w:right="0" w:firstLine="0"/>
        <w:jc w:val="left"/>
        <w:rPr>
          <w:sz w:val="28"/>
        </w:rPr>
      </w:pPr>
      <w:r>
        <w:rPr>
          <w:sz w:val="28"/>
        </w:rPr>
        <w:t>Explaining</w:t>
      </w:r>
      <w:r>
        <w:rPr>
          <w:spacing w:val="-6"/>
          <w:sz w:val="28"/>
        </w:rPr>
        <w:t> </w:t>
      </w:r>
      <w:r>
        <w:rPr>
          <w:sz w:val="28"/>
        </w:rPr>
        <w:t>the</w:t>
      </w:r>
      <w:r>
        <w:rPr>
          <w:spacing w:val="-6"/>
          <w:sz w:val="28"/>
        </w:rPr>
        <w:t> </w:t>
      </w:r>
      <w:r>
        <w:rPr>
          <w:sz w:val="28"/>
        </w:rPr>
        <w:t>System</w:t>
      </w:r>
      <w:r>
        <w:rPr>
          <w:spacing w:val="-7"/>
          <w:sz w:val="28"/>
        </w:rPr>
        <w:t> </w:t>
      </w:r>
      <w:r>
        <w:rPr>
          <w:sz w:val="28"/>
        </w:rPr>
        <w:t>of</w:t>
      </w:r>
      <w:r>
        <w:rPr>
          <w:spacing w:val="-10"/>
          <w:sz w:val="28"/>
        </w:rPr>
        <w:t> </w:t>
      </w:r>
      <w:r>
        <w:rPr>
          <w:sz w:val="28"/>
        </w:rPr>
        <w:t>the</w:t>
      </w:r>
      <w:r>
        <w:rPr>
          <w:spacing w:val="-6"/>
          <w:sz w:val="28"/>
        </w:rPr>
        <w:t> </w:t>
      </w:r>
      <w:r>
        <w:rPr>
          <w:sz w:val="28"/>
        </w:rPr>
        <w:t>European</w:t>
      </w:r>
      <w:r>
        <w:rPr>
          <w:spacing w:val="-8"/>
          <w:sz w:val="28"/>
        </w:rPr>
        <w:t> </w:t>
      </w:r>
      <w:r>
        <w:rPr>
          <w:spacing w:val="-4"/>
          <w:sz w:val="28"/>
        </w:rPr>
        <w:t>Union</w:t>
      </w:r>
    </w:p>
    <w:p>
      <w:pPr>
        <w:pStyle w:val="BodyText"/>
        <w:ind w:left="0"/>
        <w:jc w:val="left"/>
        <w:rPr>
          <w:sz w:val="28"/>
        </w:rPr>
      </w:pPr>
    </w:p>
    <w:p>
      <w:pPr>
        <w:pStyle w:val="BodyText"/>
        <w:ind w:left="0"/>
        <w:jc w:val="left"/>
        <w:rPr>
          <w:sz w:val="28"/>
        </w:rPr>
      </w:pPr>
    </w:p>
    <w:p>
      <w:pPr>
        <w:pStyle w:val="BodyText"/>
        <w:ind w:left="0"/>
        <w:jc w:val="left"/>
        <w:rPr>
          <w:sz w:val="28"/>
        </w:rPr>
      </w:pPr>
    </w:p>
    <w:p>
      <w:pPr>
        <w:pStyle w:val="BodyText"/>
        <w:spacing w:before="368"/>
        <w:ind w:left="0"/>
        <w:jc w:val="left"/>
        <w:rPr>
          <w:sz w:val="28"/>
        </w:rPr>
      </w:pPr>
    </w:p>
    <w:p>
      <w:pPr>
        <w:pStyle w:val="Heading4"/>
        <w:numPr>
          <w:ilvl w:val="1"/>
          <w:numId w:val="16"/>
        </w:numPr>
        <w:tabs>
          <w:tab w:pos="1780" w:val="left" w:leader="none"/>
        </w:tabs>
        <w:spacing w:line="240" w:lineRule="auto" w:before="0" w:after="0"/>
        <w:ind w:left="1780" w:right="0" w:hanging="801"/>
        <w:jc w:val="left"/>
      </w:pPr>
      <w:bookmarkStart w:name="_bookmark48" w:id="49"/>
      <w:bookmarkEnd w:id="49"/>
      <w:r>
        <w:rPr>
          <w:b w:val="0"/>
        </w:rPr>
      </w:r>
      <w:r>
        <w:rPr>
          <w:spacing w:val="-4"/>
        </w:rPr>
        <w:t>Drawing</w:t>
      </w:r>
      <w:r>
        <w:rPr>
          <w:spacing w:val="-13"/>
        </w:rPr>
        <w:t> </w:t>
      </w:r>
      <w:r>
        <w:rPr>
          <w:spacing w:val="-4"/>
        </w:rPr>
        <w:t>a</w:t>
      </w:r>
      <w:r>
        <w:rPr>
          <w:spacing w:val="-11"/>
        </w:rPr>
        <w:t> </w:t>
      </w:r>
      <w:r>
        <w:rPr>
          <w:spacing w:val="-4"/>
        </w:rPr>
        <w:t>Distinction</w:t>
      </w:r>
    </w:p>
    <w:p>
      <w:pPr>
        <w:pStyle w:val="BodyText"/>
        <w:ind w:left="0"/>
        <w:jc w:val="left"/>
        <w:rPr>
          <w:rFonts w:ascii="Georgia"/>
          <w:b/>
          <w:sz w:val="20"/>
        </w:rPr>
      </w:pPr>
    </w:p>
    <w:p>
      <w:pPr>
        <w:pStyle w:val="BodyText"/>
        <w:spacing w:before="45"/>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57984">
                <wp:simplePos x="0" y="0"/>
                <wp:positionH relativeFrom="page">
                  <wp:posOffset>1078864</wp:posOffset>
                </wp:positionH>
                <wp:positionV relativeFrom="paragraph">
                  <wp:posOffset>188190</wp:posOffset>
                </wp:positionV>
                <wp:extent cx="5252085" cy="51435"/>
                <wp:effectExtent l="0" t="0" r="0" b="0"/>
                <wp:wrapTopAndBottom/>
                <wp:docPr id="171" name="Graphic 171"/>
                <wp:cNvGraphicFramePr>
                  <a:graphicFrameLocks/>
                </wp:cNvGraphicFramePr>
                <a:graphic>
                  <a:graphicData uri="http://schemas.microsoft.com/office/word/2010/wordprocessingShape">
                    <wps:wsp>
                      <wps:cNvPr id="171" name="Graphic 171"/>
                      <wps:cNvSpPr/>
                      <wps:spPr>
                        <a:xfrm>
                          <a:off x="0" y="0"/>
                          <a:ext cx="5252085" cy="51435"/>
                        </a:xfrm>
                        <a:custGeom>
                          <a:avLst/>
                          <a:gdLst/>
                          <a:ahLst/>
                          <a:cxnLst/>
                          <a:rect l="l" t="t" r="r" b="b"/>
                          <a:pathLst>
                            <a:path w="5252085" h="51435">
                              <a:moveTo>
                                <a:pt x="5252085" y="0"/>
                              </a:moveTo>
                              <a:lnTo>
                                <a:pt x="0" y="0"/>
                              </a:lnTo>
                              <a:lnTo>
                                <a:pt x="0" y="51435"/>
                              </a:lnTo>
                              <a:lnTo>
                                <a:pt x="5252085" y="51435"/>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4.818164pt;width:413.55pt;height:4.05pt;mso-position-horizontal-relative:page;mso-position-vertical-relative:paragraph;z-index:-15658496;mso-wrap-distance-left:0;mso-wrap-distance-right:0" id="docshape161" filled="true" fillcolor="#000000" stroked="false">
                <v:fill type="solid"/>
                <w10:wrap type="topAndBottom"/>
              </v:rect>
            </w:pict>
          </mc:Fallback>
        </mc:AlternateContent>
      </w:r>
    </w:p>
    <w:p>
      <w:pPr>
        <w:pStyle w:val="BodyText"/>
        <w:ind w:left="0"/>
        <w:jc w:val="left"/>
        <w:rPr>
          <w:rFonts w:ascii="Georgia"/>
          <w:b/>
          <w:sz w:val="20"/>
        </w:rPr>
      </w:pPr>
    </w:p>
    <w:p>
      <w:pPr>
        <w:pStyle w:val="BodyText"/>
        <w:spacing w:before="17"/>
        <w:ind w:left="0"/>
        <w:jc w:val="left"/>
        <w:rPr>
          <w:rFonts w:ascii="Georgia"/>
          <w:b/>
          <w:sz w:val="20"/>
        </w:rPr>
      </w:pPr>
    </w:p>
    <w:p>
      <w:pPr>
        <w:pStyle w:val="BodyText"/>
        <w:spacing w:after="0"/>
        <w:jc w:val="left"/>
        <w:rPr>
          <w:rFonts w:ascii="Georgia"/>
          <w:b/>
          <w:sz w:val="20"/>
        </w:rPr>
        <w:sectPr>
          <w:pgSz w:w="12240" w:h="15840"/>
          <w:pgMar w:header="1046" w:footer="0" w:top="1360" w:bottom="280" w:left="720" w:right="360"/>
        </w:sectPr>
      </w:pPr>
    </w:p>
    <w:p>
      <w:pPr>
        <w:spacing w:before="65"/>
        <w:ind w:left="979" w:right="0" w:firstLine="0"/>
        <w:jc w:val="left"/>
        <w:rPr>
          <w:rFonts w:ascii="Calibri"/>
          <w:b/>
          <w:sz w:val="18"/>
        </w:rPr>
      </w:pPr>
      <w:r>
        <w:rPr>
          <w:rFonts w:ascii="Calibri"/>
          <w:b/>
          <w:color w:val="4F81BC"/>
          <w:sz w:val="18"/>
        </w:rPr>
        <w:t>Figure 12.</w:t>
      </w:r>
      <w:r>
        <w:rPr>
          <w:rFonts w:ascii="Calibri"/>
          <w:b/>
          <w:color w:val="4F81BC"/>
          <w:spacing w:val="-5"/>
          <w:sz w:val="18"/>
        </w:rPr>
        <w:t> </w:t>
      </w:r>
      <w:r>
        <w:rPr>
          <w:rFonts w:ascii="Calibri"/>
          <w:b/>
          <w:color w:val="4F81BC"/>
          <w:spacing w:val="-2"/>
          <w:sz w:val="18"/>
        </w:rPr>
        <w:t>Distinction</w:t>
      </w:r>
    </w:p>
    <w:p>
      <w:pPr>
        <w:spacing w:line="240" w:lineRule="auto" w:before="128"/>
        <w:rPr>
          <w:rFonts w:ascii="Calibri"/>
          <w:b/>
          <w:sz w:val="26"/>
        </w:rPr>
      </w:pPr>
      <w:r>
        <w:rPr/>
        <w:br w:type="column"/>
      </w:r>
      <w:r>
        <w:rPr>
          <w:rFonts w:ascii="Calibri"/>
          <w:b/>
          <w:sz w:val="26"/>
        </w:rPr>
      </w:r>
    </w:p>
    <w:p>
      <w:pPr>
        <w:pStyle w:val="BodyText"/>
        <w:spacing w:line="273" w:lineRule="auto"/>
        <w:ind w:left="152" w:right="1902"/>
      </w:pPr>
      <w:r>
        <w:rPr/>
        <w:t>In the previous chapters we have shown that drawing the boundaries of the social entity, depends on the observer. The researcher determines the variables that are relevant to a selected study. </w:t>
      </w:r>
      <w:r>
        <w:rPr>
          <w:sz w:val="27"/>
        </w:rPr>
        <w:t>Luhmann </w:t>
      </w:r>
      <w:r>
        <w:rPr/>
        <w:t>is referring to </w:t>
      </w:r>
      <w:r>
        <w:rPr>
          <w:sz w:val="27"/>
        </w:rPr>
        <w:t>George Spencer- Brown </w:t>
      </w:r>
      <w:r>
        <w:rPr/>
        <w:t>to maintain that when the</w:t>
      </w:r>
      <w:r>
        <w:rPr>
          <w:spacing w:val="-8"/>
        </w:rPr>
        <w:t> </w:t>
      </w:r>
      <w:r>
        <w:rPr/>
        <w:t>observer</w:t>
      </w:r>
      <w:r>
        <w:rPr>
          <w:spacing w:val="-7"/>
        </w:rPr>
        <w:t> </w:t>
      </w:r>
      <w:r>
        <w:rPr/>
        <w:t>draws</w:t>
      </w:r>
      <w:r>
        <w:rPr>
          <w:spacing w:val="-9"/>
        </w:rPr>
        <w:t> </w:t>
      </w:r>
      <w:r>
        <w:rPr/>
        <w:t>a</w:t>
      </w:r>
      <w:r>
        <w:rPr>
          <w:spacing w:val="-8"/>
        </w:rPr>
        <w:t> </w:t>
      </w:r>
      <w:r>
        <w:rPr/>
        <w:t>distinction, he/she can only focus on one side</w:t>
      </w:r>
      <w:r>
        <w:rPr>
          <w:spacing w:val="43"/>
        </w:rPr>
        <w:t>  </w:t>
      </w:r>
      <w:r>
        <w:rPr/>
        <w:t>of</w:t>
      </w:r>
      <w:r>
        <w:rPr>
          <w:spacing w:val="42"/>
        </w:rPr>
        <w:t>  </w:t>
      </w:r>
      <w:r>
        <w:rPr/>
        <w:t>the</w:t>
      </w:r>
      <w:r>
        <w:rPr>
          <w:spacing w:val="44"/>
        </w:rPr>
        <w:t>  </w:t>
      </w:r>
      <w:r>
        <w:rPr/>
        <w:t>distinction.</w:t>
      </w:r>
      <w:r>
        <w:rPr>
          <w:spacing w:val="44"/>
        </w:rPr>
        <w:t>  </w:t>
      </w:r>
      <w:r>
        <w:rPr>
          <w:spacing w:val="-5"/>
        </w:rPr>
        <w:t>The</w:t>
      </w:r>
    </w:p>
    <w:p>
      <w:pPr>
        <w:pStyle w:val="BodyText"/>
        <w:spacing w:after="0" w:line="273" w:lineRule="auto"/>
        <w:sectPr>
          <w:type w:val="continuous"/>
          <w:pgSz w:w="12240" w:h="15840"/>
          <w:pgMar w:header="1046" w:footer="0" w:top="660" w:bottom="0" w:left="720" w:right="360"/>
          <w:cols w:num="2" w:equalWidth="0">
            <w:col w:w="5517" w:space="40"/>
            <w:col w:w="5603"/>
          </w:cols>
        </w:sectPr>
      </w:pPr>
    </w:p>
    <w:p>
      <w:pPr>
        <w:pStyle w:val="BodyText"/>
        <w:spacing w:line="276" w:lineRule="auto"/>
        <w:ind w:right="1909"/>
        <w:jc w:val="left"/>
      </w:pPr>
      <w:r>
        <w:rPr/>
        <w:drawing>
          <wp:anchor distT="0" distB="0" distL="0" distR="0" allowOverlap="1" layoutInCell="1" locked="0" behindDoc="0" simplePos="0" relativeHeight="15799296">
            <wp:simplePos x="0" y="0"/>
            <wp:positionH relativeFrom="page">
              <wp:posOffset>1090930</wp:posOffset>
            </wp:positionH>
            <wp:positionV relativeFrom="paragraph">
              <wp:posOffset>-2889150</wp:posOffset>
            </wp:positionV>
            <wp:extent cx="2869565" cy="2869565"/>
            <wp:effectExtent l="0" t="0" r="0" b="0"/>
            <wp:wrapNone/>
            <wp:docPr id="172" name="Image 172" descr="difference"/>
            <wp:cNvGraphicFramePr>
              <a:graphicFrameLocks/>
            </wp:cNvGraphicFramePr>
            <a:graphic>
              <a:graphicData uri="http://schemas.openxmlformats.org/drawingml/2006/picture">
                <pic:pic>
                  <pic:nvPicPr>
                    <pic:cNvPr id="172" name="Image 172" descr="difference"/>
                    <pic:cNvPicPr/>
                  </pic:nvPicPr>
                  <pic:blipFill>
                    <a:blip r:embed="rId35" cstate="print"/>
                    <a:stretch>
                      <a:fillRect/>
                    </a:stretch>
                  </pic:blipFill>
                  <pic:spPr>
                    <a:xfrm>
                      <a:off x="0" y="0"/>
                      <a:ext cx="2869565" cy="2869565"/>
                    </a:xfrm>
                    <a:prstGeom prst="rect">
                      <a:avLst/>
                    </a:prstGeom>
                  </pic:spPr>
                </pic:pic>
              </a:graphicData>
            </a:graphic>
          </wp:anchor>
        </w:drawing>
      </w:r>
      <w:r>
        <w:rPr/>
        <w:t>selected side</w:t>
      </w:r>
      <w:r>
        <w:rPr>
          <w:spacing w:val="-1"/>
        </w:rPr>
        <w:t> </w:t>
      </w:r>
      <w:r>
        <w:rPr/>
        <w:t>is</w:t>
      </w:r>
      <w:r>
        <w:rPr>
          <w:spacing w:val="-3"/>
        </w:rPr>
        <w:t> </w:t>
      </w:r>
      <w:r>
        <w:rPr/>
        <w:t>a</w:t>
      </w:r>
      <w:r>
        <w:rPr>
          <w:spacing w:val="-1"/>
        </w:rPr>
        <w:t> </w:t>
      </w:r>
      <w:r>
        <w:rPr/>
        <w:t>system, while</w:t>
      </w:r>
      <w:r>
        <w:rPr>
          <w:spacing w:val="-1"/>
        </w:rPr>
        <w:t> </w:t>
      </w:r>
      <w:r>
        <w:rPr/>
        <w:t>the other one</w:t>
      </w:r>
      <w:r>
        <w:rPr>
          <w:spacing w:val="-1"/>
        </w:rPr>
        <w:t> </w:t>
      </w:r>
      <w:r>
        <w:rPr/>
        <w:t>becomes</w:t>
      </w:r>
      <w:r>
        <w:rPr>
          <w:spacing w:val="-3"/>
        </w:rPr>
        <w:t> </w:t>
      </w:r>
      <w:r>
        <w:rPr/>
        <w:t>the</w:t>
      </w:r>
      <w:r>
        <w:rPr>
          <w:spacing w:val="-1"/>
        </w:rPr>
        <w:t> </w:t>
      </w:r>
      <w:r>
        <w:rPr/>
        <w:t>environment</w:t>
      </w:r>
      <w:r>
        <w:rPr>
          <w:spacing w:val="-1"/>
        </w:rPr>
        <w:t> </w:t>
      </w:r>
      <w:r>
        <w:rPr/>
        <w:t>The distinction</w:t>
      </w:r>
      <w:r>
        <w:rPr>
          <w:spacing w:val="1"/>
        </w:rPr>
        <w:t> </w:t>
      </w:r>
      <w:r>
        <w:rPr/>
        <w:t>itself</w:t>
      </w:r>
      <w:r>
        <w:rPr>
          <w:spacing w:val="-1"/>
        </w:rPr>
        <w:t> </w:t>
      </w:r>
      <w:r>
        <w:rPr/>
        <w:t>is</w:t>
      </w:r>
      <w:r>
        <w:rPr>
          <w:spacing w:val="-1"/>
        </w:rPr>
        <w:t> </w:t>
      </w:r>
      <w:r>
        <w:rPr/>
        <w:t>an</w:t>
      </w:r>
      <w:r>
        <w:rPr>
          <w:spacing w:val="2"/>
        </w:rPr>
        <w:t> </w:t>
      </w:r>
      <w:r>
        <w:rPr/>
        <w:t>epistemic form</w:t>
      </w:r>
      <w:r>
        <w:rPr>
          <w:spacing w:val="-2"/>
        </w:rPr>
        <w:t> </w:t>
      </w:r>
      <w:r>
        <w:rPr/>
        <w:t>that</w:t>
      </w:r>
      <w:r>
        <w:rPr>
          <w:spacing w:val="1"/>
        </w:rPr>
        <w:t> </w:t>
      </w:r>
      <w:r>
        <w:rPr/>
        <w:t>shows</w:t>
      </w:r>
      <w:r>
        <w:rPr>
          <w:spacing w:val="-2"/>
        </w:rPr>
        <w:t> </w:t>
      </w:r>
      <w:r>
        <w:rPr/>
        <w:t>the</w:t>
      </w:r>
      <w:r>
        <w:rPr>
          <w:spacing w:val="1"/>
        </w:rPr>
        <w:t> </w:t>
      </w:r>
      <w:r>
        <w:rPr/>
        <w:t>paradigm</w:t>
      </w:r>
      <w:r>
        <w:rPr>
          <w:spacing w:val="-2"/>
        </w:rPr>
        <w:t> </w:t>
      </w:r>
      <w:r>
        <w:rPr/>
        <w:t>in</w:t>
      </w:r>
      <w:r>
        <w:rPr>
          <w:spacing w:val="1"/>
        </w:rPr>
        <w:t> </w:t>
      </w:r>
      <w:r>
        <w:rPr/>
        <w:t>which</w:t>
      </w:r>
      <w:r>
        <w:rPr>
          <w:spacing w:val="1"/>
        </w:rPr>
        <w:t> </w:t>
      </w:r>
      <w:r>
        <w:rPr>
          <w:spacing w:val="-5"/>
        </w:rPr>
        <w:t>the</w:t>
      </w:r>
    </w:p>
    <w:p>
      <w:pPr>
        <w:pStyle w:val="BodyText"/>
        <w:spacing w:after="0" w:line="276" w:lineRule="auto"/>
        <w:jc w:val="left"/>
        <w:sectPr>
          <w:type w:val="continuous"/>
          <w:pgSz w:w="12240" w:h="15840"/>
          <w:pgMar w:header="1046" w:footer="0" w:top="660" w:bottom="0" w:left="720" w:right="360"/>
        </w:sectPr>
      </w:pPr>
    </w:p>
    <w:p>
      <w:pPr>
        <w:pStyle w:val="BodyText"/>
        <w:spacing w:line="276" w:lineRule="auto" w:before="276"/>
        <w:ind w:right="1912"/>
      </w:pPr>
      <w:r>
        <w:rPr/>
        <w:t>distinction was</w:t>
      </w:r>
      <w:r>
        <w:rPr>
          <w:spacing w:val="-2"/>
        </w:rPr>
        <w:t> </w:t>
      </w:r>
      <w:r>
        <w:rPr/>
        <w:t>drawn.</w:t>
      </w:r>
      <w:r>
        <w:rPr>
          <w:spacing w:val="-3"/>
        </w:rPr>
        <w:t> </w:t>
      </w:r>
      <w:r>
        <w:rPr/>
        <w:t>For instance, when</w:t>
      </w:r>
      <w:r>
        <w:rPr>
          <w:spacing w:val="-4"/>
        </w:rPr>
        <w:t> </w:t>
      </w:r>
      <w:r>
        <w:rPr/>
        <w:t>we distinguish people, according to the languages they speak, we understand that our framework of reasoning is a linguistic one. Similarly, if we attempt to determine the boundaries of the social system [in this case the European Union], we have to agree on a form of distinction and the scope of selecting the systemic </w:t>
      </w:r>
      <w:r>
        <w:rPr>
          <w:spacing w:val="-2"/>
        </w:rPr>
        <w:t>variables.</w:t>
      </w:r>
    </w:p>
    <w:p>
      <w:pPr>
        <w:pStyle w:val="BodyText"/>
        <w:spacing w:line="276" w:lineRule="auto"/>
        <w:ind w:right="1910" w:firstLine="590"/>
      </w:pPr>
      <w:r>
        <w:rPr/>
        <w:t>First of all, we need to avoid using the EU as an organizational equivalent of Europe. It is not accurate to follow historical-cultural debates about the identity of Europe to determine the boundaries of the European Union. Neither will it be relevant to take the structure of the system and compare it to the structures of the other entities [international organizations, states, alliances].</w:t>
      </w:r>
    </w:p>
    <w:p>
      <w:pPr>
        <w:pStyle w:val="BodyText"/>
        <w:spacing w:line="273" w:lineRule="auto"/>
        <w:ind w:right="1910" w:firstLine="720"/>
      </w:pPr>
      <w:r>
        <w:rPr>
          <w:sz w:val="27"/>
        </w:rPr>
        <w:t>Simon Hix </w:t>
      </w:r>
      <w:r>
        <w:rPr/>
        <w:t>attempted to resolve the problem of distinction by arguing</w:t>
      </w:r>
      <w:r>
        <w:rPr>
          <w:spacing w:val="-2"/>
        </w:rPr>
        <w:t> </w:t>
      </w:r>
      <w:r>
        <w:rPr/>
        <w:t>that</w:t>
      </w:r>
      <w:r>
        <w:rPr>
          <w:spacing w:val="40"/>
        </w:rPr>
        <w:t> </w:t>
      </w:r>
      <w:r>
        <w:rPr/>
        <w:t>the</w:t>
      </w:r>
      <w:r>
        <w:rPr>
          <w:spacing w:val="-2"/>
        </w:rPr>
        <w:t> </w:t>
      </w:r>
      <w:r>
        <w:rPr/>
        <w:t>European Union</w:t>
      </w:r>
      <w:r>
        <w:rPr>
          <w:spacing w:val="-1"/>
        </w:rPr>
        <w:t> </w:t>
      </w:r>
      <w:r>
        <w:rPr/>
        <w:t>is</w:t>
      </w:r>
      <w:r>
        <w:rPr>
          <w:spacing w:val="-4"/>
        </w:rPr>
        <w:t> </w:t>
      </w:r>
      <w:r>
        <w:rPr/>
        <w:t>not</w:t>
      </w:r>
      <w:r>
        <w:rPr>
          <w:spacing w:val="-2"/>
        </w:rPr>
        <w:t> </w:t>
      </w:r>
      <w:r>
        <w:rPr/>
        <w:t>a</w:t>
      </w:r>
      <w:r>
        <w:rPr>
          <w:spacing w:val="-2"/>
        </w:rPr>
        <w:t> </w:t>
      </w:r>
      <w:r>
        <w:rPr/>
        <w:t>state,</w:t>
      </w:r>
      <w:r>
        <w:rPr>
          <w:spacing w:val="-1"/>
        </w:rPr>
        <w:t> </w:t>
      </w:r>
      <w:r>
        <w:rPr/>
        <w:t>but</w:t>
      </w:r>
      <w:r>
        <w:rPr>
          <w:spacing w:val="-2"/>
        </w:rPr>
        <w:t> </w:t>
      </w:r>
      <w:r>
        <w:rPr/>
        <w:t>it</w:t>
      </w:r>
      <w:r>
        <w:rPr>
          <w:spacing w:val="-2"/>
        </w:rPr>
        <w:t> </w:t>
      </w:r>
      <w:r>
        <w:rPr/>
        <w:t>can</w:t>
      </w:r>
      <w:r>
        <w:rPr>
          <w:spacing w:val="-1"/>
        </w:rPr>
        <w:t> </w:t>
      </w:r>
      <w:r>
        <w:rPr/>
        <w:t>be</w:t>
      </w:r>
      <w:r>
        <w:rPr>
          <w:spacing w:val="-2"/>
        </w:rPr>
        <w:t> </w:t>
      </w:r>
      <w:r>
        <w:rPr/>
        <w:t>considered as</w:t>
      </w:r>
      <w:r>
        <w:rPr>
          <w:spacing w:val="-4"/>
        </w:rPr>
        <w:t> </w:t>
      </w:r>
      <w:r>
        <w:rPr/>
        <w:t>a political system. His idea derived from the explanatory framework, developed by </w:t>
      </w:r>
      <w:r>
        <w:rPr>
          <w:sz w:val="27"/>
        </w:rPr>
        <w:t>Easton </w:t>
      </w:r>
      <w:r>
        <w:rPr/>
        <w:t>and </w:t>
      </w:r>
      <w:r>
        <w:rPr>
          <w:sz w:val="27"/>
        </w:rPr>
        <w:t>Amlond</w:t>
      </w:r>
      <w:r>
        <w:rPr/>
        <w:t>. (</w:t>
      </w:r>
      <w:hyperlink w:history="true" w:anchor="_bookmark221">
        <w:r>
          <w:rPr/>
          <w:t>S. Hix, 2005</w:t>
        </w:r>
      </w:hyperlink>
      <w:r>
        <w:rPr/>
        <w:t>) However, it is questionable whether or not the theories that were developed in the first half of the 20</w:t>
      </w:r>
      <w:r>
        <w:rPr>
          <w:position w:val="7"/>
          <w:sz w:val="15"/>
        </w:rPr>
        <w:t>th</w:t>
      </w:r>
      <w:r>
        <w:rPr>
          <w:spacing w:val="40"/>
          <w:position w:val="7"/>
          <w:sz w:val="15"/>
        </w:rPr>
        <w:t> </w:t>
      </w:r>
      <w:r>
        <w:rPr/>
        <w:t>century can grasp the nature of the post modern entity like </w:t>
      </w:r>
      <w:r>
        <w:rPr>
          <w:spacing w:val="-4"/>
        </w:rPr>
        <w:t>EU.</w:t>
      </w:r>
    </w:p>
    <w:p>
      <w:pPr>
        <w:spacing w:line="339" w:lineRule="exact" w:before="0"/>
        <w:ind w:left="1700" w:right="0" w:firstLine="0"/>
        <w:jc w:val="both"/>
        <w:rPr>
          <w:sz w:val="26"/>
        </w:rPr>
      </w:pPr>
      <w:r>
        <w:rPr>
          <w:sz w:val="27"/>
        </w:rPr>
        <w:t>Michael</w:t>
      </w:r>
      <w:r>
        <w:rPr>
          <w:spacing w:val="7"/>
          <w:sz w:val="27"/>
        </w:rPr>
        <w:t> </w:t>
      </w:r>
      <w:r>
        <w:rPr>
          <w:sz w:val="27"/>
        </w:rPr>
        <w:t>Smith</w:t>
      </w:r>
      <w:r>
        <w:rPr>
          <w:spacing w:val="11"/>
          <w:sz w:val="27"/>
        </w:rPr>
        <w:t> </w:t>
      </w:r>
      <w:r>
        <w:rPr>
          <w:sz w:val="26"/>
        </w:rPr>
        <w:t>proposed</w:t>
      </w:r>
      <w:r>
        <w:rPr>
          <w:spacing w:val="13"/>
          <w:sz w:val="26"/>
        </w:rPr>
        <w:t> </w:t>
      </w:r>
      <w:r>
        <w:rPr>
          <w:sz w:val="26"/>
        </w:rPr>
        <w:t>a</w:t>
      </w:r>
      <w:r>
        <w:rPr>
          <w:spacing w:val="12"/>
          <w:sz w:val="26"/>
        </w:rPr>
        <w:t> </w:t>
      </w:r>
      <w:r>
        <w:rPr>
          <w:sz w:val="26"/>
        </w:rPr>
        <w:t>distinction</w:t>
      </w:r>
      <w:r>
        <w:rPr>
          <w:spacing w:val="12"/>
          <w:sz w:val="26"/>
        </w:rPr>
        <w:t> </w:t>
      </w:r>
      <w:r>
        <w:rPr>
          <w:sz w:val="26"/>
        </w:rPr>
        <w:t>by</w:t>
      </w:r>
      <w:r>
        <w:rPr>
          <w:spacing w:val="11"/>
          <w:sz w:val="26"/>
        </w:rPr>
        <w:t> </w:t>
      </w:r>
      <w:r>
        <w:rPr>
          <w:sz w:val="26"/>
        </w:rPr>
        <w:t>defining</w:t>
      </w:r>
      <w:r>
        <w:rPr>
          <w:spacing w:val="13"/>
          <w:sz w:val="26"/>
        </w:rPr>
        <w:t> </w:t>
      </w:r>
      <w:r>
        <w:rPr>
          <w:sz w:val="26"/>
        </w:rPr>
        <w:t>the</w:t>
      </w:r>
      <w:r>
        <w:rPr>
          <w:spacing w:val="18"/>
          <w:sz w:val="26"/>
        </w:rPr>
        <w:t> </w:t>
      </w:r>
      <w:r>
        <w:rPr>
          <w:sz w:val="26"/>
        </w:rPr>
        <w:t>boundaries</w:t>
      </w:r>
      <w:r>
        <w:rPr>
          <w:spacing w:val="10"/>
          <w:sz w:val="26"/>
        </w:rPr>
        <w:t> </w:t>
      </w:r>
      <w:r>
        <w:rPr>
          <w:spacing w:val="-5"/>
          <w:sz w:val="26"/>
        </w:rPr>
        <w:t>of</w:t>
      </w:r>
    </w:p>
    <w:p>
      <w:pPr>
        <w:pStyle w:val="BodyText"/>
        <w:spacing w:line="276" w:lineRule="auto" w:before="48"/>
        <w:ind w:right="1909"/>
      </w:pPr>
      <w:r>
        <w:rPr/>
        <w:t>inclusion and exclusion in the EU. He maintained that in the case of the European Union exist four types of boundaries that distinguish the system from its environment: geopolitical, institutional/legal, transactional, and cultural. (</w:t>
      </w:r>
      <w:hyperlink w:history="true" w:anchor="_bookmark395">
        <w:r>
          <w:rPr/>
          <w:t>Smith, 1996</w:t>
        </w:r>
      </w:hyperlink>
      <w:r>
        <w:rPr/>
        <w:t>) The distinctions as the author proposes them can have a role of static indicators. However, if we take a close look at the definitions, we might see that in a process those boundaries are so interlinked it is hard to split one from another. For instance, the</w:t>
      </w:r>
      <w:r>
        <w:rPr>
          <w:spacing w:val="40"/>
        </w:rPr>
        <w:t> </w:t>
      </w:r>
      <w:r>
        <w:rPr/>
        <w:t>geopolitical boundaries [the author acknowledges] are very closely related to institutional/legal boundaries and the both are taken into account in the transactions the system undertakes with the environment.</w:t>
      </w:r>
    </w:p>
    <w:p>
      <w:pPr>
        <w:pStyle w:val="BodyText"/>
        <w:spacing w:line="276" w:lineRule="auto" w:before="4"/>
        <w:ind w:right="1909" w:firstLine="720"/>
      </w:pPr>
      <w:r>
        <w:rPr/>
        <w:t>Our framework for analysis requires not only drawing the lines between</w:t>
      </w:r>
      <w:r>
        <w:rPr>
          <w:spacing w:val="45"/>
        </w:rPr>
        <w:t> </w:t>
      </w:r>
      <w:r>
        <w:rPr/>
        <w:t>the</w:t>
      </w:r>
      <w:r>
        <w:rPr>
          <w:spacing w:val="45"/>
        </w:rPr>
        <w:t> </w:t>
      </w:r>
      <w:r>
        <w:rPr/>
        <w:t>systems</w:t>
      </w:r>
      <w:r>
        <w:rPr>
          <w:spacing w:val="43"/>
        </w:rPr>
        <w:t> </w:t>
      </w:r>
      <w:r>
        <w:rPr/>
        <w:t>we</w:t>
      </w:r>
      <w:r>
        <w:rPr>
          <w:spacing w:val="45"/>
        </w:rPr>
        <w:t> </w:t>
      </w:r>
      <w:r>
        <w:rPr/>
        <w:t>study</w:t>
      </w:r>
      <w:r>
        <w:rPr>
          <w:spacing w:val="45"/>
        </w:rPr>
        <w:t> </w:t>
      </w:r>
      <w:r>
        <w:rPr/>
        <w:t>and</w:t>
      </w:r>
      <w:r>
        <w:rPr>
          <w:spacing w:val="46"/>
        </w:rPr>
        <w:t> </w:t>
      </w:r>
      <w:r>
        <w:rPr/>
        <w:t>the</w:t>
      </w:r>
      <w:r>
        <w:rPr>
          <w:spacing w:val="45"/>
        </w:rPr>
        <w:t> </w:t>
      </w:r>
      <w:r>
        <w:rPr/>
        <w:t>outer</w:t>
      </w:r>
      <w:r>
        <w:rPr>
          <w:spacing w:val="46"/>
        </w:rPr>
        <w:t> </w:t>
      </w:r>
      <w:r>
        <w:rPr/>
        <w:t>world,</w:t>
      </w:r>
      <w:r>
        <w:rPr>
          <w:spacing w:val="46"/>
        </w:rPr>
        <w:t> </w:t>
      </w:r>
      <w:r>
        <w:rPr/>
        <w:t>but</w:t>
      </w:r>
      <w:r>
        <w:rPr>
          <w:spacing w:val="45"/>
        </w:rPr>
        <w:t> </w:t>
      </w:r>
      <w:r>
        <w:rPr/>
        <w:t>it</w:t>
      </w:r>
      <w:r>
        <w:rPr>
          <w:spacing w:val="44"/>
        </w:rPr>
        <w:t> </w:t>
      </w:r>
      <w:r>
        <w:rPr/>
        <w:t>also</w:t>
      </w:r>
      <w:r>
        <w:rPr>
          <w:spacing w:val="42"/>
        </w:rPr>
        <w:t> </w:t>
      </w:r>
      <w:r>
        <w:rPr>
          <w:spacing w:val="-2"/>
        </w:rPr>
        <w:t>requires</w:t>
      </w:r>
    </w:p>
    <w:p>
      <w:pPr>
        <w:pStyle w:val="BodyText"/>
        <w:spacing w:after="0" w:line="276" w:lineRule="auto"/>
        <w:sectPr>
          <w:pgSz w:w="12240" w:h="15840"/>
          <w:pgMar w:header="1046" w:footer="0" w:top="1360" w:bottom="280" w:left="720" w:right="360"/>
        </w:sectPr>
      </w:pPr>
    </w:p>
    <w:p>
      <w:pPr>
        <w:pStyle w:val="BodyText"/>
        <w:spacing w:line="271" w:lineRule="auto" w:before="276"/>
        <w:ind w:right="1902"/>
      </w:pPr>
      <w:r>
        <w:rPr/>
        <w:t>explaining how the proposed distinction is backed by the systemic</w:t>
      </w:r>
      <w:r>
        <w:rPr>
          <w:spacing w:val="80"/>
        </w:rPr>
        <w:t> </w:t>
      </w:r>
      <w:r>
        <w:rPr/>
        <w:t>practices. We reject the model proposed by </w:t>
      </w:r>
      <w:r>
        <w:rPr>
          <w:sz w:val="27"/>
        </w:rPr>
        <w:t>Hix </w:t>
      </w:r>
      <w:r>
        <w:rPr/>
        <w:t>and instead argue that the European Union consists of several closely interlinked systems (political, legal, economic) and the relations among those systems determine the identity</w:t>
      </w:r>
      <w:r>
        <w:rPr>
          <w:spacing w:val="-2"/>
        </w:rPr>
        <w:t> </w:t>
      </w:r>
      <w:r>
        <w:rPr/>
        <w:t>of</w:t>
      </w:r>
      <w:r>
        <w:rPr>
          <w:spacing w:val="-3"/>
        </w:rPr>
        <w:t> </w:t>
      </w:r>
      <w:r>
        <w:rPr/>
        <w:t>the</w:t>
      </w:r>
      <w:r>
        <w:rPr>
          <w:spacing w:val="-2"/>
        </w:rPr>
        <w:t> </w:t>
      </w:r>
      <w:r>
        <w:rPr/>
        <w:t>whole.</w:t>
      </w:r>
      <w:r>
        <w:rPr>
          <w:spacing w:val="-1"/>
        </w:rPr>
        <w:t> </w:t>
      </w:r>
      <w:r>
        <w:rPr/>
        <w:t>The</w:t>
      </w:r>
      <w:r>
        <w:rPr>
          <w:spacing w:val="-2"/>
        </w:rPr>
        <w:t> </w:t>
      </w:r>
      <w:r>
        <w:rPr/>
        <w:t>patterns</w:t>
      </w:r>
      <w:r>
        <w:rPr>
          <w:spacing w:val="-4"/>
        </w:rPr>
        <w:t> </w:t>
      </w:r>
      <w:r>
        <w:rPr/>
        <w:t>of</w:t>
      </w:r>
      <w:r>
        <w:rPr>
          <w:spacing w:val="-3"/>
        </w:rPr>
        <w:t> </w:t>
      </w:r>
      <w:r>
        <w:rPr/>
        <w:t>communication</w:t>
      </w:r>
      <w:r>
        <w:rPr>
          <w:spacing w:val="-1"/>
        </w:rPr>
        <w:t> </w:t>
      </w:r>
      <w:r>
        <w:rPr/>
        <w:t>in</w:t>
      </w:r>
      <w:r>
        <w:rPr>
          <w:spacing w:val="-1"/>
        </w:rPr>
        <w:t> </w:t>
      </w:r>
      <w:r>
        <w:rPr/>
        <w:t>the</w:t>
      </w:r>
      <w:r>
        <w:rPr>
          <w:spacing w:val="-2"/>
        </w:rPr>
        <w:t> </w:t>
      </w:r>
      <w:r>
        <w:rPr/>
        <w:t>EU</w:t>
      </w:r>
      <w:r>
        <w:rPr>
          <w:spacing w:val="-2"/>
        </w:rPr>
        <w:t> </w:t>
      </w:r>
      <w:r>
        <w:rPr/>
        <w:t>are</w:t>
      </w:r>
      <w:r>
        <w:rPr>
          <w:spacing w:val="-7"/>
        </w:rPr>
        <w:t> </w:t>
      </w:r>
      <w:r>
        <w:rPr/>
        <w:t>enacted using two types of operations: 1) the </w:t>
      </w:r>
      <w:r>
        <w:rPr>
          <w:sz w:val="27"/>
        </w:rPr>
        <w:t>maintenance operations </w:t>
      </w:r>
      <w:r>
        <w:rPr/>
        <w:t>ensure internal systemic stability via the </w:t>
      </w:r>
      <w:r>
        <w:rPr>
          <w:sz w:val="27"/>
        </w:rPr>
        <w:t>autopoietic </w:t>
      </w:r>
      <w:r>
        <w:rPr/>
        <w:t>communication and manage external impulses using the structural coupling mechanisms; 2) The </w:t>
      </w:r>
      <w:r>
        <w:rPr>
          <w:sz w:val="27"/>
        </w:rPr>
        <w:t>State- changing operations </w:t>
      </w:r>
      <w:r>
        <w:rPr/>
        <w:t>appear to resolve the problems of maintenance, or respond to positive feedback-requests coming from the systemic organization. Those operations, elements, or systems that do not affect the order of the Union at any given moment, reside in the environment.</w:t>
      </w: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spacing w:before="58"/>
        <w:ind w:left="0"/>
        <w:jc w:val="left"/>
      </w:pPr>
    </w:p>
    <w:p>
      <w:pPr>
        <w:pStyle w:val="Heading4"/>
        <w:numPr>
          <w:ilvl w:val="1"/>
          <w:numId w:val="16"/>
        </w:numPr>
        <w:tabs>
          <w:tab w:pos="1582" w:val="left" w:leader="none"/>
        </w:tabs>
        <w:spacing w:line="240" w:lineRule="auto" w:before="0" w:after="0"/>
        <w:ind w:left="1582" w:right="0" w:hanging="603"/>
        <w:jc w:val="left"/>
      </w:pPr>
      <w:bookmarkStart w:name="_bookmark49" w:id="50"/>
      <w:bookmarkEnd w:id="50"/>
      <w:r>
        <w:rPr>
          <w:b w:val="0"/>
        </w:rPr>
      </w:r>
      <w:r>
        <w:rPr>
          <w:spacing w:val="-10"/>
        </w:rPr>
        <w:t>General</w:t>
      </w:r>
      <w:r>
        <w:rPr>
          <w:spacing w:val="-4"/>
        </w:rPr>
        <w:t> </w:t>
      </w:r>
      <w:r>
        <w:rPr>
          <w:spacing w:val="-2"/>
        </w:rPr>
        <w:t>Propositions</w:t>
      </w:r>
    </w:p>
    <w:p>
      <w:pPr>
        <w:pStyle w:val="BodyText"/>
        <w:spacing w:before="6"/>
        <w:ind w:left="0"/>
        <w:jc w:val="left"/>
        <w:rPr>
          <w:rFonts w:ascii="Georgia"/>
          <w:b/>
          <w:sz w:val="18"/>
        </w:rPr>
      </w:pPr>
      <w:r>
        <w:rPr>
          <w:rFonts w:ascii="Georgia"/>
          <w:b/>
          <w:sz w:val="18"/>
        </w:rPr>
        <mc:AlternateContent>
          <mc:Choice Requires="wps">
            <w:drawing>
              <wp:anchor distT="0" distB="0" distL="0" distR="0" allowOverlap="1" layoutInCell="1" locked="0" behindDoc="1" simplePos="0" relativeHeight="487659008">
                <wp:simplePos x="0" y="0"/>
                <wp:positionH relativeFrom="page">
                  <wp:posOffset>1078864</wp:posOffset>
                </wp:positionH>
                <wp:positionV relativeFrom="paragraph">
                  <wp:posOffset>149321</wp:posOffset>
                </wp:positionV>
                <wp:extent cx="5252085" cy="51435"/>
                <wp:effectExtent l="0" t="0" r="0" b="0"/>
                <wp:wrapTopAndBottom/>
                <wp:docPr id="173" name="Graphic 173"/>
                <wp:cNvGraphicFramePr>
                  <a:graphicFrameLocks/>
                </wp:cNvGraphicFramePr>
                <a:graphic>
                  <a:graphicData uri="http://schemas.microsoft.com/office/word/2010/wordprocessingShape">
                    <wps:wsp>
                      <wps:cNvPr id="173" name="Graphic 173"/>
                      <wps:cNvSpPr/>
                      <wps:spPr>
                        <a:xfrm>
                          <a:off x="0" y="0"/>
                          <a:ext cx="5252085" cy="51435"/>
                        </a:xfrm>
                        <a:custGeom>
                          <a:avLst/>
                          <a:gdLst/>
                          <a:ahLst/>
                          <a:cxnLst/>
                          <a:rect l="l" t="t" r="r" b="b"/>
                          <a:pathLst>
                            <a:path w="5252085" h="51435">
                              <a:moveTo>
                                <a:pt x="5252085" y="0"/>
                              </a:moveTo>
                              <a:lnTo>
                                <a:pt x="0" y="0"/>
                              </a:lnTo>
                              <a:lnTo>
                                <a:pt x="0" y="51435"/>
                              </a:lnTo>
                              <a:lnTo>
                                <a:pt x="5252085" y="51435"/>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1.757565pt;width:413.55pt;height:4.05pt;mso-position-horizontal-relative:page;mso-position-vertical-relative:paragraph;z-index:-15657472;mso-wrap-distance-left:0;mso-wrap-distance-right:0" id="docshape162" filled="true" fillcolor="#000000" stroked="false">
                <v:fill type="solid"/>
                <w10:wrap type="topAndBottom"/>
              </v:rect>
            </w:pict>
          </mc:Fallback>
        </mc:AlternateContent>
      </w:r>
    </w:p>
    <w:p>
      <w:pPr>
        <w:pStyle w:val="BodyText"/>
        <w:ind w:left="0"/>
        <w:jc w:val="left"/>
        <w:rPr>
          <w:rFonts w:ascii="Georgia"/>
          <w:b/>
        </w:rPr>
      </w:pPr>
    </w:p>
    <w:p>
      <w:pPr>
        <w:pStyle w:val="BodyText"/>
        <w:spacing w:before="254"/>
        <w:ind w:left="0"/>
        <w:jc w:val="left"/>
        <w:rPr>
          <w:rFonts w:ascii="Georgia"/>
          <w:b/>
        </w:rPr>
      </w:pPr>
    </w:p>
    <w:p>
      <w:pPr>
        <w:pStyle w:val="BodyText"/>
        <w:spacing w:line="276" w:lineRule="auto"/>
        <w:ind w:right="1905" w:firstLine="720"/>
      </w:pPr>
      <w:r>
        <w:rPr/>
        <w:t>The EU is a system that synthesizes the relations among the autonomous subsystems (economic, political, and legal). This process is enacted in a </w:t>
      </w:r>
      <w:r>
        <w:rPr>
          <w:sz w:val="27"/>
        </w:rPr>
        <w:t>steady state</w:t>
      </w:r>
      <w:r>
        <w:rPr/>
        <w:t>. The </w:t>
      </w:r>
      <w:r>
        <w:rPr>
          <w:sz w:val="27"/>
        </w:rPr>
        <w:t>steady state </w:t>
      </w:r>
      <w:r>
        <w:rPr/>
        <w:t>is characterized by certain fluidity, that allows the system to re-create the structural components.</w:t>
      </w:r>
      <w:r>
        <w:rPr>
          <w:spacing w:val="40"/>
        </w:rPr>
        <w:t> </w:t>
      </w:r>
      <w:r>
        <w:rPr/>
        <w:t>In order to keep the systemic identity and simultaneously, maintain the effective relations among the subsystems, the EU has to adjust the institutional order to</w:t>
      </w:r>
      <w:r>
        <w:rPr>
          <w:spacing w:val="-4"/>
        </w:rPr>
        <w:t> </w:t>
      </w:r>
      <w:r>
        <w:rPr/>
        <w:t>new realities. Those</w:t>
      </w:r>
      <w:r>
        <w:rPr>
          <w:spacing w:val="-1"/>
        </w:rPr>
        <w:t> </w:t>
      </w:r>
      <w:r>
        <w:rPr/>
        <w:t>realities</w:t>
      </w:r>
      <w:r>
        <w:rPr>
          <w:spacing w:val="-3"/>
        </w:rPr>
        <w:t> </w:t>
      </w:r>
      <w:r>
        <w:rPr/>
        <w:t>often produce</w:t>
      </w:r>
      <w:r>
        <w:rPr>
          <w:spacing w:val="-1"/>
        </w:rPr>
        <w:t> </w:t>
      </w:r>
      <w:r>
        <w:rPr/>
        <w:t>the</w:t>
      </w:r>
      <w:r>
        <w:rPr>
          <w:spacing w:val="-1"/>
        </w:rPr>
        <w:t> </w:t>
      </w:r>
      <w:r>
        <w:rPr/>
        <w:t>variety of external impulses that is incomprehensible for the existing structure. To absorb the variety the system has to introduce internal complexity. The complexity in the EU emerges as a result of European integration. Even though</w:t>
      </w:r>
      <w:r>
        <w:rPr>
          <w:spacing w:val="21"/>
        </w:rPr>
        <w:t> </w:t>
      </w:r>
      <w:r>
        <w:rPr/>
        <w:t>the</w:t>
      </w:r>
      <w:r>
        <w:rPr>
          <w:spacing w:val="21"/>
        </w:rPr>
        <w:t> </w:t>
      </w:r>
      <w:r>
        <w:rPr/>
        <w:t>word</w:t>
      </w:r>
      <w:r>
        <w:rPr>
          <w:spacing w:val="18"/>
        </w:rPr>
        <w:t> </w:t>
      </w:r>
      <w:r>
        <w:rPr/>
        <w:t>‘integration’</w:t>
      </w:r>
      <w:r>
        <w:rPr>
          <w:spacing w:val="19"/>
        </w:rPr>
        <w:t> </w:t>
      </w:r>
      <w:r>
        <w:rPr/>
        <w:t>is</w:t>
      </w:r>
      <w:r>
        <w:rPr>
          <w:spacing w:val="19"/>
        </w:rPr>
        <w:t> </w:t>
      </w:r>
      <w:r>
        <w:rPr/>
        <w:t>often</w:t>
      </w:r>
      <w:r>
        <w:rPr>
          <w:spacing w:val="22"/>
        </w:rPr>
        <w:t> </w:t>
      </w:r>
      <w:r>
        <w:rPr/>
        <w:t>used</w:t>
      </w:r>
      <w:r>
        <w:rPr>
          <w:spacing w:val="80"/>
        </w:rPr>
        <w:t> </w:t>
      </w:r>
      <w:r>
        <w:rPr/>
        <w:t>coupled</w:t>
      </w:r>
      <w:r>
        <w:rPr>
          <w:spacing w:val="23"/>
        </w:rPr>
        <w:t> </w:t>
      </w:r>
      <w:r>
        <w:rPr/>
        <w:t>with</w:t>
      </w:r>
      <w:r>
        <w:rPr>
          <w:spacing w:val="21"/>
        </w:rPr>
        <w:t> </w:t>
      </w:r>
      <w:r>
        <w:rPr/>
        <w:t>a</w:t>
      </w:r>
      <w:r>
        <w:rPr>
          <w:spacing w:val="21"/>
        </w:rPr>
        <w:t> </w:t>
      </w:r>
      <w:r>
        <w:rPr/>
        <w:t>word</w:t>
      </w:r>
      <w:r>
        <w:rPr>
          <w:spacing w:val="18"/>
        </w:rPr>
        <w:t> </w:t>
      </w:r>
      <w:r>
        <w:rPr/>
        <w:t>‘process’</w:t>
      </w:r>
    </w:p>
    <w:p>
      <w:pPr>
        <w:pStyle w:val="BodyText"/>
        <w:spacing w:after="0" w:line="276" w:lineRule="auto"/>
        <w:sectPr>
          <w:pgSz w:w="12240" w:h="15840"/>
          <w:pgMar w:header="1046" w:footer="0" w:top="1360" w:bottom="280" w:left="720" w:right="360"/>
        </w:sectPr>
      </w:pPr>
    </w:p>
    <w:p>
      <w:pPr>
        <w:pStyle w:val="BodyText"/>
        <w:spacing w:line="273" w:lineRule="auto" w:before="276"/>
        <w:ind w:right="1908"/>
      </w:pPr>
      <w:r>
        <w:rPr/>
        <w:drawing>
          <wp:anchor distT="0" distB="0" distL="0" distR="0" allowOverlap="1" layoutInCell="1" locked="0" behindDoc="0" simplePos="0" relativeHeight="15800832">
            <wp:simplePos x="0" y="0"/>
            <wp:positionH relativeFrom="page">
              <wp:posOffset>2743200</wp:posOffset>
            </wp:positionH>
            <wp:positionV relativeFrom="paragraph">
              <wp:posOffset>2182716</wp:posOffset>
            </wp:positionV>
            <wp:extent cx="2630170" cy="2743200"/>
            <wp:effectExtent l="0" t="0" r="0" b="0"/>
            <wp:wrapNone/>
            <wp:docPr id="174" name="Image 174" descr="C:\Users\user\Desktop\diagrams\Steady sstate.jpg"/>
            <wp:cNvGraphicFramePr>
              <a:graphicFrameLocks/>
            </wp:cNvGraphicFramePr>
            <a:graphic>
              <a:graphicData uri="http://schemas.openxmlformats.org/drawingml/2006/picture">
                <pic:pic>
                  <pic:nvPicPr>
                    <pic:cNvPr id="174" name="Image 174" descr="C:\Users\user\Desktop\diagrams\Steady sstate.jpg"/>
                    <pic:cNvPicPr/>
                  </pic:nvPicPr>
                  <pic:blipFill>
                    <a:blip r:embed="rId36" cstate="print"/>
                    <a:stretch>
                      <a:fillRect/>
                    </a:stretch>
                  </pic:blipFill>
                  <pic:spPr>
                    <a:xfrm>
                      <a:off x="0" y="0"/>
                      <a:ext cx="2630170" cy="2743200"/>
                    </a:xfrm>
                    <a:prstGeom prst="rect">
                      <a:avLst/>
                    </a:prstGeom>
                  </pic:spPr>
                </pic:pic>
              </a:graphicData>
            </a:graphic>
          </wp:anchor>
        </w:drawing>
      </w:r>
      <w:r>
        <w:rPr/>
        <w:t>the closer look might unveil that the requisite systemic variety always emerges as a result of an </w:t>
      </w:r>
      <w:r>
        <w:rPr>
          <w:sz w:val="27"/>
        </w:rPr>
        <w:t>event-decision</w:t>
      </w:r>
      <w:r>
        <w:rPr>
          <w:spacing w:val="40"/>
          <w:sz w:val="27"/>
        </w:rPr>
        <w:t> </w:t>
      </w:r>
      <w:r>
        <w:rPr/>
        <w:t>that is followed</w:t>
      </w:r>
      <w:r>
        <w:rPr>
          <w:spacing w:val="40"/>
        </w:rPr>
        <w:t> </w:t>
      </w:r>
      <w:r>
        <w:rPr/>
        <w:t>by the maintenance operations. </w:t>
      </w:r>
      <w:r>
        <w:rPr>
          <w:position w:val="7"/>
          <w:sz w:val="15"/>
        </w:rPr>
        <w:t>30</w:t>
      </w:r>
      <w:r>
        <w:rPr>
          <w:spacing w:val="40"/>
          <w:position w:val="7"/>
          <w:sz w:val="15"/>
        </w:rPr>
        <w:t> </w:t>
      </w:r>
      <w:r>
        <w:rPr/>
        <w:t>In some cases the systemic event-decision is a culmination of the events that take place in subsystems. The impulses generated via legal communications, economic transactions or political discussions are interpreted in forms of positive or negative feedbacks (spillover/spillback). The political system in this sense has a discursive function; the decision-making in the EU is a cyclic process of deciding over</w:t>
      </w:r>
    </w:p>
    <w:p>
      <w:pPr>
        <w:spacing w:before="194"/>
        <w:ind w:left="1042" w:right="0" w:firstLine="0"/>
        <w:jc w:val="both"/>
        <w:rPr>
          <w:rFonts w:ascii="Calibri"/>
          <w:b/>
          <w:sz w:val="18"/>
        </w:rPr>
      </w:pPr>
      <w:r>
        <w:rPr>
          <w:rFonts w:ascii="Calibri"/>
          <w:b/>
          <w:color w:val="4F81BC"/>
          <w:sz w:val="18"/>
        </w:rPr>
        <w:t>Figure 13.</w:t>
      </w:r>
      <w:r>
        <w:rPr>
          <w:rFonts w:ascii="Calibri"/>
          <w:b/>
          <w:color w:val="4F81BC"/>
          <w:spacing w:val="-5"/>
          <w:sz w:val="18"/>
        </w:rPr>
        <w:t> </w:t>
      </w:r>
      <w:r>
        <w:rPr>
          <w:rFonts w:ascii="Calibri"/>
          <w:b/>
          <w:color w:val="4F81BC"/>
          <w:sz w:val="18"/>
        </w:rPr>
        <w:t>General</w:t>
      </w:r>
      <w:r>
        <w:rPr>
          <w:rFonts w:ascii="Calibri"/>
          <w:b/>
          <w:color w:val="4F81BC"/>
          <w:spacing w:val="-2"/>
          <w:sz w:val="18"/>
        </w:rPr>
        <w:t> structure</w:t>
      </w:r>
    </w:p>
    <w:p>
      <w:pPr>
        <w:pStyle w:val="BodyText"/>
        <w:ind w:left="0"/>
        <w:jc w:val="left"/>
        <w:rPr>
          <w:rFonts w:ascii="Calibri"/>
          <w:b/>
          <w:sz w:val="18"/>
        </w:rPr>
      </w:pPr>
    </w:p>
    <w:p>
      <w:pPr>
        <w:pStyle w:val="BodyText"/>
        <w:ind w:left="0"/>
        <w:jc w:val="left"/>
        <w:rPr>
          <w:rFonts w:ascii="Calibri"/>
          <w:b/>
          <w:sz w:val="18"/>
        </w:rPr>
      </w:pPr>
    </w:p>
    <w:p>
      <w:pPr>
        <w:pStyle w:val="BodyText"/>
        <w:ind w:left="0"/>
        <w:jc w:val="left"/>
        <w:rPr>
          <w:rFonts w:ascii="Calibri"/>
          <w:b/>
          <w:sz w:val="18"/>
        </w:rPr>
      </w:pPr>
    </w:p>
    <w:p>
      <w:pPr>
        <w:pStyle w:val="BodyText"/>
        <w:ind w:left="0"/>
        <w:jc w:val="left"/>
        <w:rPr>
          <w:rFonts w:ascii="Calibri"/>
          <w:b/>
          <w:sz w:val="18"/>
        </w:rPr>
      </w:pPr>
    </w:p>
    <w:p>
      <w:pPr>
        <w:pStyle w:val="BodyText"/>
        <w:ind w:left="0"/>
        <w:jc w:val="left"/>
        <w:rPr>
          <w:rFonts w:ascii="Calibri"/>
          <w:b/>
          <w:sz w:val="18"/>
        </w:rPr>
      </w:pPr>
    </w:p>
    <w:p>
      <w:pPr>
        <w:pStyle w:val="BodyText"/>
        <w:ind w:left="0"/>
        <w:jc w:val="left"/>
        <w:rPr>
          <w:rFonts w:ascii="Calibri"/>
          <w:b/>
          <w:sz w:val="18"/>
        </w:rPr>
      </w:pPr>
    </w:p>
    <w:p>
      <w:pPr>
        <w:pStyle w:val="BodyText"/>
        <w:ind w:left="0"/>
        <w:jc w:val="left"/>
        <w:rPr>
          <w:rFonts w:ascii="Calibri"/>
          <w:b/>
          <w:sz w:val="18"/>
        </w:rPr>
      </w:pPr>
    </w:p>
    <w:p>
      <w:pPr>
        <w:pStyle w:val="BodyText"/>
        <w:ind w:left="0"/>
        <w:jc w:val="left"/>
        <w:rPr>
          <w:rFonts w:ascii="Calibri"/>
          <w:b/>
          <w:sz w:val="18"/>
        </w:rPr>
      </w:pPr>
    </w:p>
    <w:p>
      <w:pPr>
        <w:pStyle w:val="BodyText"/>
        <w:ind w:left="0"/>
        <w:jc w:val="left"/>
        <w:rPr>
          <w:rFonts w:ascii="Calibri"/>
          <w:b/>
          <w:sz w:val="18"/>
        </w:rPr>
      </w:pPr>
    </w:p>
    <w:p>
      <w:pPr>
        <w:pStyle w:val="BodyText"/>
        <w:ind w:left="0"/>
        <w:jc w:val="left"/>
        <w:rPr>
          <w:rFonts w:ascii="Calibri"/>
          <w:b/>
          <w:sz w:val="18"/>
        </w:rPr>
      </w:pPr>
    </w:p>
    <w:p>
      <w:pPr>
        <w:pStyle w:val="BodyText"/>
        <w:ind w:left="0"/>
        <w:jc w:val="left"/>
        <w:rPr>
          <w:rFonts w:ascii="Calibri"/>
          <w:b/>
          <w:sz w:val="18"/>
        </w:rPr>
      </w:pPr>
    </w:p>
    <w:p>
      <w:pPr>
        <w:pStyle w:val="BodyText"/>
        <w:ind w:left="0"/>
        <w:jc w:val="left"/>
        <w:rPr>
          <w:rFonts w:ascii="Calibri"/>
          <w:b/>
          <w:sz w:val="18"/>
        </w:rPr>
      </w:pPr>
    </w:p>
    <w:p>
      <w:pPr>
        <w:pStyle w:val="BodyText"/>
        <w:ind w:left="0"/>
        <w:jc w:val="left"/>
        <w:rPr>
          <w:rFonts w:ascii="Calibri"/>
          <w:b/>
          <w:sz w:val="18"/>
        </w:rPr>
      </w:pPr>
    </w:p>
    <w:p>
      <w:pPr>
        <w:pStyle w:val="BodyText"/>
        <w:ind w:left="0"/>
        <w:jc w:val="left"/>
        <w:rPr>
          <w:rFonts w:ascii="Calibri"/>
          <w:b/>
          <w:sz w:val="18"/>
        </w:rPr>
      </w:pPr>
    </w:p>
    <w:p>
      <w:pPr>
        <w:pStyle w:val="BodyText"/>
        <w:ind w:left="0"/>
        <w:jc w:val="left"/>
        <w:rPr>
          <w:rFonts w:ascii="Calibri"/>
          <w:b/>
          <w:sz w:val="18"/>
        </w:rPr>
      </w:pPr>
    </w:p>
    <w:p>
      <w:pPr>
        <w:pStyle w:val="BodyText"/>
        <w:ind w:left="0"/>
        <w:jc w:val="left"/>
        <w:rPr>
          <w:rFonts w:ascii="Calibri"/>
          <w:b/>
          <w:sz w:val="18"/>
        </w:rPr>
      </w:pPr>
    </w:p>
    <w:p>
      <w:pPr>
        <w:pStyle w:val="BodyText"/>
        <w:spacing w:before="199"/>
        <w:ind w:left="0"/>
        <w:jc w:val="left"/>
        <w:rPr>
          <w:rFonts w:ascii="Calibri"/>
          <w:b/>
          <w:sz w:val="18"/>
        </w:rPr>
      </w:pPr>
    </w:p>
    <w:p>
      <w:pPr>
        <w:pStyle w:val="BodyText"/>
        <w:spacing w:line="276" w:lineRule="auto"/>
        <w:ind w:right="1910"/>
      </w:pPr>
      <w:r>
        <w:rPr/>
        <w:t>the issues and explaining those decisions. The political system codes the</w:t>
      </w:r>
      <w:r>
        <w:rPr>
          <w:spacing w:val="40"/>
        </w:rPr>
        <w:t> </w:t>
      </w:r>
      <w:r>
        <w:rPr/>
        <w:t>past events and re-generates them for the future communications</w:t>
      </w:r>
      <w:r>
        <w:rPr>
          <w:spacing w:val="80"/>
        </w:rPr>
        <w:t> </w:t>
      </w:r>
      <w:r>
        <w:rPr>
          <w:spacing w:val="-2"/>
        </w:rPr>
        <w:t>(learning).</w:t>
      </w:r>
    </w:p>
    <w:p>
      <w:pPr>
        <w:pStyle w:val="BodyText"/>
        <w:spacing w:line="276" w:lineRule="auto"/>
        <w:ind w:right="1913" w:firstLine="720"/>
      </w:pPr>
      <w:r>
        <w:rPr/>
        <w:t>Another direct function of the EU political system is to determine</w:t>
      </w:r>
      <w:r>
        <w:rPr>
          <w:spacing w:val="40"/>
        </w:rPr>
        <w:t> </w:t>
      </w:r>
      <w:r>
        <w:rPr/>
        <w:t>the ideological disposition of the community. As we will see later in this chapter, the values and norms play the crucial role in maintaining the external relations.</w:t>
      </w:r>
    </w:p>
    <w:p>
      <w:pPr>
        <w:pStyle w:val="BodyText"/>
        <w:spacing w:line="276" w:lineRule="auto"/>
        <w:ind w:right="1909" w:firstLine="720"/>
      </w:pPr>
      <w:r>
        <w:rPr/>
        <w:t>The main vehicle for the ‘maintenance operations’ is a legal system. The legal communications not only fix the political decisions, but often initiate those.</w:t>
      </w:r>
    </w:p>
    <w:p>
      <w:pPr>
        <w:pStyle w:val="BodyText"/>
        <w:spacing w:line="276" w:lineRule="auto"/>
        <w:ind w:right="1912" w:firstLine="720"/>
      </w:pPr>
      <w:r>
        <w:rPr/>
        <w:t>The legitimacy of the EU is based on its economic performance (output legitimacy).</w:t>
      </w:r>
      <w:r>
        <w:rPr>
          <w:spacing w:val="4"/>
        </w:rPr>
        <w:t> </w:t>
      </w:r>
      <w:r>
        <w:rPr/>
        <w:t>The</w:t>
      </w:r>
      <w:r>
        <w:rPr>
          <w:spacing w:val="2"/>
        </w:rPr>
        <w:t> </w:t>
      </w:r>
      <w:r>
        <w:rPr/>
        <w:t>economic</w:t>
      </w:r>
      <w:r>
        <w:rPr>
          <w:spacing w:val="1"/>
        </w:rPr>
        <w:t> </w:t>
      </w:r>
      <w:r>
        <w:rPr/>
        <w:t>growth</w:t>
      </w:r>
      <w:r>
        <w:rPr>
          <w:spacing w:val="1"/>
        </w:rPr>
        <w:t> </w:t>
      </w:r>
      <w:r>
        <w:rPr/>
        <w:t>and</w:t>
      </w:r>
      <w:r>
        <w:rPr>
          <w:spacing w:val="3"/>
        </w:rPr>
        <w:t> </w:t>
      </w:r>
      <w:r>
        <w:rPr/>
        <w:t>prosperity</w:t>
      </w:r>
      <w:r>
        <w:rPr>
          <w:spacing w:val="1"/>
        </w:rPr>
        <w:t> </w:t>
      </w:r>
      <w:r>
        <w:rPr/>
        <w:t>as</w:t>
      </w:r>
      <w:r>
        <w:rPr>
          <w:spacing w:val="-1"/>
        </w:rPr>
        <w:t> </w:t>
      </w:r>
      <w:r>
        <w:rPr/>
        <w:t>we</w:t>
      </w:r>
      <w:r>
        <w:rPr>
          <w:spacing w:val="2"/>
        </w:rPr>
        <w:t> </w:t>
      </w:r>
      <w:r>
        <w:rPr/>
        <w:t>have</w:t>
      </w:r>
      <w:r>
        <w:rPr>
          <w:spacing w:val="1"/>
        </w:rPr>
        <w:t> </w:t>
      </w:r>
      <w:r>
        <w:rPr>
          <w:spacing w:val="-2"/>
        </w:rPr>
        <w:t>noted</w:t>
      </w:r>
    </w:p>
    <w:p>
      <w:pPr>
        <w:pStyle w:val="BodyText"/>
        <w:spacing w:before="10"/>
        <w:ind w:left="0"/>
        <w:jc w:val="left"/>
        <w:rPr>
          <w:sz w:val="11"/>
        </w:rPr>
      </w:pPr>
      <w:r>
        <w:rPr>
          <w:sz w:val="11"/>
        </w:rPr>
        <mc:AlternateContent>
          <mc:Choice Requires="wps">
            <w:drawing>
              <wp:anchor distT="0" distB="0" distL="0" distR="0" allowOverlap="1" layoutInCell="1" locked="0" behindDoc="1" simplePos="0" relativeHeight="487659520">
                <wp:simplePos x="0" y="0"/>
                <wp:positionH relativeFrom="page">
                  <wp:posOffset>1079296</wp:posOffset>
                </wp:positionH>
                <wp:positionV relativeFrom="paragraph">
                  <wp:posOffset>114083</wp:posOffset>
                </wp:positionV>
                <wp:extent cx="1830070" cy="9525"/>
                <wp:effectExtent l="0" t="0" r="0" b="0"/>
                <wp:wrapTopAndBottom/>
                <wp:docPr id="175" name="Graphic 175"/>
                <wp:cNvGraphicFramePr>
                  <a:graphicFrameLocks/>
                </wp:cNvGraphicFramePr>
                <a:graphic>
                  <a:graphicData uri="http://schemas.microsoft.com/office/word/2010/wordprocessingShape">
                    <wps:wsp>
                      <wps:cNvPr id="175" name="Graphic 175"/>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8.982962pt;width:144.07pt;height:.72003pt;mso-position-horizontal-relative:page;mso-position-vertical-relative:paragraph;z-index:-15656960;mso-wrap-distance-left:0;mso-wrap-distance-right:0" id="docshape163" filled="true" fillcolor="#000000" stroked="false">
                <v:fill type="solid"/>
                <w10:wrap type="topAndBottom"/>
              </v:rect>
            </w:pict>
          </mc:Fallback>
        </mc:AlternateContent>
      </w:r>
    </w:p>
    <w:p>
      <w:pPr>
        <w:spacing w:before="103"/>
        <w:ind w:left="979" w:right="0" w:firstLine="0"/>
        <w:jc w:val="left"/>
        <w:rPr>
          <w:rFonts w:ascii="Calibri"/>
          <w:sz w:val="20"/>
        </w:rPr>
      </w:pPr>
      <w:r>
        <w:rPr>
          <w:rFonts w:ascii="Calibri"/>
          <w:sz w:val="20"/>
          <w:vertAlign w:val="superscript"/>
        </w:rPr>
        <w:t>30</w:t>
      </w:r>
      <w:r>
        <w:rPr>
          <w:rFonts w:ascii="Calibri"/>
          <w:spacing w:val="-3"/>
          <w:sz w:val="20"/>
          <w:vertAlign w:val="baseline"/>
        </w:rPr>
        <w:t> </w:t>
      </w:r>
      <w:r>
        <w:rPr>
          <w:rFonts w:ascii="Calibri"/>
          <w:sz w:val="20"/>
          <w:vertAlign w:val="baseline"/>
        </w:rPr>
        <w:t>Event-decision</w:t>
      </w:r>
      <w:r>
        <w:rPr>
          <w:rFonts w:ascii="Calibri"/>
          <w:spacing w:val="-9"/>
          <w:sz w:val="20"/>
          <w:vertAlign w:val="baseline"/>
        </w:rPr>
        <w:t> </w:t>
      </w:r>
      <w:r>
        <w:rPr>
          <w:rFonts w:ascii="Calibri"/>
          <w:sz w:val="20"/>
          <w:vertAlign w:val="baseline"/>
        </w:rPr>
        <w:t>combined</w:t>
      </w:r>
      <w:r>
        <w:rPr>
          <w:rFonts w:ascii="Calibri"/>
          <w:spacing w:val="-9"/>
          <w:sz w:val="20"/>
          <w:vertAlign w:val="baseline"/>
        </w:rPr>
        <w:t> </w:t>
      </w:r>
      <w:r>
        <w:rPr>
          <w:rFonts w:ascii="Calibri"/>
          <w:sz w:val="20"/>
          <w:vertAlign w:val="baseline"/>
        </w:rPr>
        <w:t>with</w:t>
      </w:r>
      <w:r>
        <w:rPr>
          <w:rFonts w:ascii="Calibri"/>
          <w:spacing w:val="-5"/>
          <w:sz w:val="20"/>
          <w:vertAlign w:val="baseline"/>
        </w:rPr>
        <w:t> </w:t>
      </w:r>
      <w:r>
        <w:rPr>
          <w:rFonts w:ascii="Calibri"/>
          <w:sz w:val="20"/>
          <w:vertAlign w:val="baseline"/>
        </w:rPr>
        <w:t>the</w:t>
      </w:r>
      <w:r>
        <w:rPr>
          <w:rFonts w:ascii="Calibri"/>
          <w:spacing w:val="-8"/>
          <w:sz w:val="20"/>
          <w:vertAlign w:val="baseline"/>
        </w:rPr>
        <w:t> </w:t>
      </w:r>
      <w:r>
        <w:rPr>
          <w:rFonts w:ascii="Calibri"/>
          <w:sz w:val="20"/>
          <w:vertAlign w:val="baseline"/>
        </w:rPr>
        <w:t>maintenance</w:t>
      </w:r>
      <w:r>
        <w:rPr>
          <w:rFonts w:ascii="Calibri"/>
          <w:spacing w:val="-7"/>
          <w:sz w:val="20"/>
          <w:vertAlign w:val="baseline"/>
        </w:rPr>
        <w:t> </w:t>
      </w:r>
      <w:r>
        <w:rPr>
          <w:rFonts w:ascii="Calibri"/>
          <w:sz w:val="20"/>
          <w:vertAlign w:val="baseline"/>
        </w:rPr>
        <w:t>operations</w:t>
      </w:r>
      <w:r>
        <w:rPr>
          <w:rFonts w:ascii="Calibri"/>
          <w:spacing w:val="-11"/>
          <w:sz w:val="20"/>
          <w:vertAlign w:val="baseline"/>
        </w:rPr>
        <w:t> </w:t>
      </w:r>
      <w:r>
        <w:rPr>
          <w:rFonts w:ascii="Calibri"/>
          <w:sz w:val="20"/>
          <w:vertAlign w:val="baseline"/>
        </w:rPr>
        <w:t>shape</w:t>
      </w:r>
      <w:r>
        <w:rPr>
          <w:rFonts w:ascii="Calibri"/>
          <w:spacing w:val="-4"/>
          <w:sz w:val="20"/>
          <w:vertAlign w:val="baseline"/>
        </w:rPr>
        <w:t> </w:t>
      </w:r>
      <w:r>
        <w:rPr>
          <w:rFonts w:ascii="Calibri"/>
          <w:sz w:val="20"/>
          <w:vertAlign w:val="baseline"/>
        </w:rPr>
        <w:t>the</w:t>
      </w:r>
      <w:r>
        <w:rPr>
          <w:rFonts w:ascii="Calibri"/>
          <w:spacing w:val="-9"/>
          <w:sz w:val="20"/>
          <w:vertAlign w:val="baseline"/>
        </w:rPr>
        <w:t> </w:t>
      </w:r>
      <w:r>
        <w:rPr>
          <w:rFonts w:ascii="Calibri"/>
          <w:sz w:val="20"/>
          <w:vertAlign w:val="baseline"/>
        </w:rPr>
        <w:t>state-changing</w:t>
      </w:r>
      <w:r>
        <w:rPr>
          <w:rFonts w:ascii="Calibri"/>
          <w:spacing w:val="-8"/>
          <w:sz w:val="20"/>
          <w:vertAlign w:val="baseline"/>
        </w:rPr>
        <w:t> </w:t>
      </w:r>
      <w:r>
        <w:rPr>
          <w:rFonts w:ascii="Calibri"/>
          <w:spacing w:val="-2"/>
          <w:sz w:val="20"/>
          <w:vertAlign w:val="baseline"/>
        </w:rPr>
        <w:t>operation.</w:t>
      </w:r>
    </w:p>
    <w:p>
      <w:pPr>
        <w:spacing w:after="0"/>
        <w:jc w:val="left"/>
        <w:rPr>
          <w:rFonts w:ascii="Calibri"/>
          <w:sz w:val="20"/>
        </w:rPr>
        <w:sectPr>
          <w:pgSz w:w="12240" w:h="15840"/>
          <w:pgMar w:header="1046" w:footer="0" w:top="1360" w:bottom="280" w:left="720" w:right="360"/>
        </w:sectPr>
      </w:pPr>
    </w:p>
    <w:p>
      <w:pPr>
        <w:pStyle w:val="BodyText"/>
        <w:spacing w:line="276" w:lineRule="auto" w:before="276"/>
        <w:ind w:right="1913"/>
      </w:pPr>
      <w:r>
        <w:rPr/>
        <w:t>in the previous chapter, are among initial purposes of the Union. Accordingly, the disturbance of the economic system can immediately unveil a need for the state-changing decisions. Simultaneously, as the free market is characterized by a high level of innovation, the economic system often pressures other systems not to lag behind in integration.</w:t>
      </w:r>
    </w:p>
    <w:p>
      <w:pPr>
        <w:pStyle w:val="BodyText"/>
        <w:spacing w:line="276" w:lineRule="auto"/>
        <w:ind w:right="1911" w:firstLine="720"/>
      </w:pPr>
      <w:r>
        <w:rPr/>
        <w:t>Considering all above mentioned factors, we maintain that the EU often behaves like a transnational firm that has voluntarily accepted a high level of social responsibility.</w:t>
      </w:r>
      <w:r>
        <w:rPr>
          <w:position w:val="7"/>
          <w:sz w:val="15"/>
        </w:rPr>
        <w:t>31</w:t>
      </w:r>
      <w:r>
        <w:rPr>
          <w:spacing w:val="40"/>
          <w:position w:val="7"/>
          <w:sz w:val="15"/>
        </w:rPr>
        <w:t> </w:t>
      </w:r>
      <w:r>
        <w:rPr/>
        <w:t>In modern management it is not uncommon to talk about political relationships both within and outside the </w:t>
      </w:r>
      <w:r>
        <w:rPr>
          <w:spacing w:val="-2"/>
        </w:rPr>
        <w:t>organization.</w:t>
      </w:r>
    </w:p>
    <w:p>
      <w:pPr>
        <w:pStyle w:val="BodyText"/>
        <w:spacing w:line="268" w:lineRule="auto"/>
        <w:ind w:right="1907" w:firstLine="720"/>
      </w:pPr>
      <w:r>
        <w:rPr/>
        <w:t>The EU maintains the external relations using a highly selective structural coupling. The coupling in the most cases takes a form of </w:t>
      </w:r>
      <w:r>
        <w:rPr>
          <w:sz w:val="27"/>
        </w:rPr>
        <w:t>other- other </w:t>
      </w:r>
      <w:r>
        <w:rPr/>
        <w:t>and </w:t>
      </w:r>
      <w:r>
        <w:rPr>
          <w:sz w:val="27"/>
        </w:rPr>
        <w:t>self-other </w:t>
      </w:r>
      <w:r>
        <w:rPr/>
        <w:t>adaptation. This condition implies that the Europan Union is a more complex entity than the most environmental agents.</w:t>
      </w:r>
    </w:p>
    <w:p>
      <w:pPr>
        <w:pStyle w:val="BodyText"/>
        <w:ind w:left="0"/>
        <w:jc w:val="left"/>
      </w:pPr>
    </w:p>
    <w:p>
      <w:pPr>
        <w:pStyle w:val="BodyText"/>
        <w:spacing w:before="269"/>
        <w:ind w:left="0"/>
        <w:jc w:val="left"/>
      </w:pPr>
    </w:p>
    <w:p>
      <w:pPr>
        <w:pStyle w:val="Heading4"/>
        <w:numPr>
          <w:ilvl w:val="1"/>
          <w:numId w:val="16"/>
        </w:numPr>
        <w:tabs>
          <w:tab w:pos="1581" w:val="left" w:leader="none"/>
        </w:tabs>
        <w:spacing w:line="240" w:lineRule="auto" w:before="0" w:after="0"/>
        <w:ind w:left="1581" w:right="0" w:hanging="602"/>
        <w:jc w:val="left"/>
      </w:pPr>
      <w:bookmarkStart w:name="_bookmark50" w:id="51"/>
      <w:bookmarkEnd w:id="51"/>
      <w:r>
        <w:rPr>
          <w:b w:val="0"/>
        </w:rPr>
      </w:r>
      <w:r>
        <w:rPr>
          <w:spacing w:val="-12"/>
        </w:rPr>
        <w:t>Internal</w:t>
      </w:r>
      <w:r>
        <w:rPr>
          <w:spacing w:val="-3"/>
        </w:rPr>
        <w:t> </w:t>
      </w:r>
      <w:r>
        <w:rPr>
          <w:spacing w:val="-12"/>
        </w:rPr>
        <w:t>Operations</w:t>
      </w:r>
      <w:r>
        <w:rPr>
          <w:spacing w:val="-1"/>
        </w:rPr>
        <w:t> </w:t>
      </w:r>
      <w:r>
        <w:rPr>
          <w:spacing w:val="-12"/>
        </w:rPr>
        <w:t>–</w:t>
      </w:r>
      <w:r>
        <w:rPr>
          <w:spacing w:val="-1"/>
        </w:rPr>
        <w:t> </w:t>
      </w:r>
      <w:r>
        <w:rPr>
          <w:spacing w:val="-12"/>
        </w:rPr>
        <w:t>Governance</w:t>
      </w:r>
    </w:p>
    <w:p>
      <w:pPr>
        <w:pStyle w:val="BodyText"/>
        <w:spacing w:before="2"/>
        <w:ind w:left="0"/>
        <w:jc w:val="left"/>
        <w:rPr>
          <w:rFonts w:ascii="Georgia"/>
          <w:b/>
          <w:sz w:val="12"/>
        </w:rPr>
      </w:pPr>
      <w:r>
        <w:rPr>
          <w:rFonts w:ascii="Georgia"/>
          <w:b/>
          <w:sz w:val="12"/>
        </w:rPr>
        <mc:AlternateContent>
          <mc:Choice Requires="wps">
            <w:drawing>
              <wp:anchor distT="0" distB="0" distL="0" distR="0" allowOverlap="1" layoutInCell="1" locked="0" behindDoc="1" simplePos="0" relativeHeight="487660544">
                <wp:simplePos x="0" y="0"/>
                <wp:positionH relativeFrom="page">
                  <wp:posOffset>1078864</wp:posOffset>
                </wp:positionH>
                <wp:positionV relativeFrom="paragraph">
                  <wp:posOffset>103528</wp:posOffset>
                </wp:positionV>
                <wp:extent cx="5252085" cy="52069"/>
                <wp:effectExtent l="0" t="0" r="0" b="0"/>
                <wp:wrapTopAndBottom/>
                <wp:docPr id="176" name="Graphic 176"/>
                <wp:cNvGraphicFramePr>
                  <a:graphicFrameLocks/>
                </wp:cNvGraphicFramePr>
                <a:graphic>
                  <a:graphicData uri="http://schemas.microsoft.com/office/word/2010/wordprocessingShape">
                    <wps:wsp>
                      <wps:cNvPr id="176" name="Graphic 176"/>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8.151885pt;width:413.55pt;height:4.1pt;mso-position-horizontal-relative:page;mso-position-vertical-relative:paragraph;z-index:-15655936;mso-wrap-distance-left:0;mso-wrap-distance-right:0" id="docshape164"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ind w:left="0"/>
        <w:jc w:val="left"/>
        <w:rPr>
          <w:rFonts w:ascii="Georgia"/>
          <w:b/>
        </w:rPr>
      </w:pPr>
    </w:p>
    <w:p>
      <w:pPr>
        <w:pStyle w:val="BodyText"/>
        <w:spacing w:before="46"/>
        <w:ind w:left="0"/>
        <w:jc w:val="left"/>
        <w:rPr>
          <w:rFonts w:ascii="Georgia"/>
          <w:b/>
        </w:rPr>
      </w:pPr>
    </w:p>
    <w:p>
      <w:pPr>
        <w:pStyle w:val="BodyText"/>
        <w:spacing w:line="276" w:lineRule="auto" w:before="1"/>
        <w:ind w:right="1905" w:firstLine="720"/>
      </w:pPr>
      <w:r>
        <w:rPr/>
        <w:t>The </w:t>
      </w:r>
      <w:r>
        <w:rPr>
          <w:sz w:val="27"/>
        </w:rPr>
        <w:t>autopoietic </w:t>
      </w:r>
      <w:r>
        <w:rPr/>
        <w:t>operations</w:t>
      </w:r>
      <w:r>
        <w:rPr>
          <w:spacing w:val="-3"/>
        </w:rPr>
        <w:t> </w:t>
      </w:r>
      <w:r>
        <w:rPr/>
        <w:t>within a system re-generate</w:t>
      </w:r>
      <w:r>
        <w:rPr>
          <w:spacing w:val="-5"/>
        </w:rPr>
        <w:t> </w:t>
      </w:r>
      <w:r>
        <w:rPr/>
        <w:t>the structure of the system using the recursive communicative framework. In a complex social organization, the systemic actors [subsystems] are distributed according</w:t>
      </w:r>
      <w:r>
        <w:rPr>
          <w:spacing w:val="-3"/>
        </w:rPr>
        <w:t> </w:t>
      </w:r>
      <w:r>
        <w:rPr/>
        <w:t>to</w:t>
      </w:r>
      <w:r>
        <w:rPr>
          <w:spacing w:val="-6"/>
        </w:rPr>
        <w:t> </w:t>
      </w:r>
      <w:r>
        <w:rPr/>
        <w:t>their</w:t>
      </w:r>
      <w:r>
        <w:rPr>
          <w:spacing w:val="-2"/>
        </w:rPr>
        <w:t> </w:t>
      </w:r>
      <w:r>
        <w:rPr/>
        <w:t>functional</w:t>
      </w:r>
      <w:r>
        <w:rPr>
          <w:spacing w:val="-5"/>
        </w:rPr>
        <w:t> </w:t>
      </w:r>
      <w:r>
        <w:rPr/>
        <w:t>roles in</w:t>
      </w:r>
      <w:r>
        <w:rPr>
          <w:spacing w:val="-2"/>
        </w:rPr>
        <w:t> </w:t>
      </w:r>
      <w:r>
        <w:rPr/>
        <w:t>the</w:t>
      </w:r>
      <w:r>
        <w:rPr>
          <w:spacing w:val="-3"/>
        </w:rPr>
        <w:t> </w:t>
      </w:r>
      <w:r>
        <w:rPr/>
        <w:t>system.</w:t>
      </w:r>
      <w:r>
        <w:rPr>
          <w:spacing w:val="-2"/>
        </w:rPr>
        <w:t> </w:t>
      </w:r>
      <w:r>
        <w:rPr/>
        <w:t>We</w:t>
      </w:r>
      <w:r>
        <w:rPr>
          <w:spacing w:val="-3"/>
        </w:rPr>
        <w:t> </w:t>
      </w:r>
      <w:r>
        <w:rPr/>
        <w:t>have noted</w:t>
      </w:r>
      <w:r>
        <w:rPr>
          <w:spacing w:val="-1"/>
        </w:rPr>
        <w:t> </w:t>
      </w:r>
      <w:r>
        <w:rPr/>
        <w:t>before that the formal hierarchy does not always represent a real power-position the agent occupies in a communicative framework. It is right for the business firms and the same is relevant for the entities that operate</w:t>
      </w:r>
      <w:r>
        <w:rPr>
          <w:spacing w:val="40"/>
        </w:rPr>
        <w:t> </w:t>
      </w:r>
      <w:r>
        <w:rPr/>
        <w:t>using the multi- level governance. Due to this condition, instead of determining the places</w:t>
      </w:r>
      <w:r>
        <w:rPr>
          <w:spacing w:val="40"/>
        </w:rPr>
        <w:t> </w:t>
      </w:r>
      <w:r>
        <w:rPr/>
        <w:t>of</w:t>
      </w:r>
      <w:r>
        <w:rPr>
          <w:spacing w:val="14"/>
        </w:rPr>
        <w:t> </w:t>
      </w:r>
      <w:r>
        <w:rPr/>
        <w:t>the</w:t>
      </w:r>
      <w:r>
        <w:rPr>
          <w:spacing w:val="15"/>
        </w:rPr>
        <w:t> </w:t>
      </w:r>
      <w:r>
        <w:rPr/>
        <w:t>agents</w:t>
      </w:r>
      <w:r>
        <w:rPr>
          <w:spacing w:val="18"/>
        </w:rPr>
        <w:t> </w:t>
      </w:r>
      <w:r>
        <w:rPr/>
        <w:t>in</w:t>
      </w:r>
      <w:r>
        <w:rPr>
          <w:spacing w:val="16"/>
        </w:rPr>
        <w:t> </w:t>
      </w:r>
      <w:r>
        <w:rPr/>
        <w:t>the</w:t>
      </w:r>
      <w:r>
        <w:rPr>
          <w:spacing w:val="15"/>
        </w:rPr>
        <w:t> </w:t>
      </w:r>
      <w:r>
        <w:rPr/>
        <w:t>communications,</w:t>
      </w:r>
      <w:r>
        <w:rPr>
          <w:spacing w:val="17"/>
        </w:rPr>
        <w:t> </w:t>
      </w:r>
      <w:r>
        <w:rPr/>
        <w:t>we</w:t>
      </w:r>
      <w:r>
        <w:rPr>
          <w:spacing w:val="15"/>
        </w:rPr>
        <w:t> </w:t>
      </w:r>
      <w:r>
        <w:rPr/>
        <w:t>have</w:t>
      </w:r>
      <w:r>
        <w:rPr>
          <w:spacing w:val="15"/>
        </w:rPr>
        <w:t> </w:t>
      </w:r>
      <w:r>
        <w:rPr/>
        <w:t>proposed</w:t>
      </w:r>
      <w:r>
        <w:rPr>
          <w:spacing w:val="21"/>
        </w:rPr>
        <w:t> </w:t>
      </w:r>
      <w:r>
        <w:rPr/>
        <w:t>schemes</w:t>
      </w:r>
      <w:r>
        <w:rPr>
          <w:spacing w:val="13"/>
        </w:rPr>
        <w:t> </w:t>
      </w:r>
      <w:r>
        <w:rPr/>
        <w:t>based</w:t>
      </w:r>
      <w:r>
        <w:rPr>
          <w:spacing w:val="17"/>
        </w:rPr>
        <w:t> </w:t>
      </w:r>
      <w:r>
        <w:rPr>
          <w:spacing w:val="-5"/>
        </w:rPr>
        <w:t>on</w:t>
      </w:r>
    </w:p>
    <w:p>
      <w:pPr>
        <w:pStyle w:val="BodyText"/>
        <w:spacing w:before="7"/>
        <w:ind w:left="0"/>
        <w:jc w:val="left"/>
        <w:rPr>
          <w:sz w:val="20"/>
        </w:rPr>
      </w:pPr>
      <w:r>
        <w:rPr>
          <w:sz w:val="20"/>
        </w:rPr>
        <mc:AlternateContent>
          <mc:Choice Requires="wps">
            <w:drawing>
              <wp:anchor distT="0" distB="0" distL="0" distR="0" allowOverlap="1" layoutInCell="1" locked="0" behindDoc="1" simplePos="0" relativeHeight="487661056">
                <wp:simplePos x="0" y="0"/>
                <wp:positionH relativeFrom="page">
                  <wp:posOffset>1079296</wp:posOffset>
                </wp:positionH>
                <wp:positionV relativeFrom="paragraph">
                  <wp:posOffset>187079</wp:posOffset>
                </wp:positionV>
                <wp:extent cx="1830070" cy="9525"/>
                <wp:effectExtent l="0" t="0" r="0" b="0"/>
                <wp:wrapTopAndBottom/>
                <wp:docPr id="177" name="Graphic 177"/>
                <wp:cNvGraphicFramePr>
                  <a:graphicFrameLocks/>
                </wp:cNvGraphicFramePr>
                <a:graphic>
                  <a:graphicData uri="http://schemas.microsoft.com/office/word/2010/wordprocessingShape">
                    <wps:wsp>
                      <wps:cNvPr id="177" name="Graphic 177"/>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14.730672pt;width:144.07pt;height:.71997pt;mso-position-horizontal-relative:page;mso-position-vertical-relative:paragraph;z-index:-15655424;mso-wrap-distance-left:0;mso-wrap-distance-right:0" id="docshape165" filled="true" fillcolor="#000000" stroked="false">
                <v:fill type="solid"/>
                <w10:wrap type="topAndBottom"/>
              </v:rect>
            </w:pict>
          </mc:Fallback>
        </mc:AlternateContent>
      </w:r>
    </w:p>
    <w:p>
      <w:pPr>
        <w:spacing w:before="102"/>
        <w:ind w:left="979" w:right="1909" w:firstLine="0"/>
        <w:jc w:val="left"/>
        <w:rPr>
          <w:rFonts w:ascii="Calibri"/>
          <w:sz w:val="20"/>
        </w:rPr>
      </w:pPr>
      <w:r>
        <w:rPr>
          <w:rFonts w:ascii="Calibri"/>
          <w:sz w:val="20"/>
          <w:vertAlign w:val="superscript"/>
        </w:rPr>
        <w:t>31</w:t>
      </w:r>
      <w:r>
        <w:rPr>
          <w:rFonts w:ascii="Calibri"/>
          <w:spacing w:val="21"/>
          <w:sz w:val="20"/>
          <w:vertAlign w:val="baseline"/>
        </w:rPr>
        <w:t> </w:t>
      </w:r>
      <w:r>
        <w:rPr>
          <w:rFonts w:ascii="Calibri"/>
          <w:sz w:val="20"/>
          <w:vertAlign w:val="baseline"/>
        </w:rPr>
        <w:t>As</w:t>
      </w:r>
      <w:r>
        <w:rPr>
          <w:rFonts w:ascii="Calibri"/>
          <w:spacing w:val="17"/>
          <w:sz w:val="20"/>
          <w:vertAlign w:val="baseline"/>
        </w:rPr>
        <w:t> </w:t>
      </w:r>
      <w:r>
        <w:rPr>
          <w:rFonts w:ascii="Calibri"/>
          <w:sz w:val="20"/>
          <w:vertAlign w:val="baseline"/>
        </w:rPr>
        <w:t>we</w:t>
      </w:r>
      <w:r>
        <w:rPr>
          <w:rFonts w:ascii="Calibri"/>
          <w:spacing w:val="20"/>
          <w:sz w:val="20"/>
          <w:vertAlign w:val="baseline"/>
        </w:rPr>
        <w:t> </w:t>
      </w:r>
      <w:r>
        <w:rPr>
          <w:rFonts w:ascii="Calibri"/>
          <w:sz w:val="20"/>
          <w:vertAlign w:val="baseline"/>
        </w:rPr>
        <w:t>have</w:t>
      </w:r>
      <w:r>
        <w:rPr>
          <w:rFonts w:ascii="Calibri"/>
          <w:spacing w:val="20"/>
          <w:sz w:val="20"/>
          <w:vertAlign w:val="baseline"/>
        </w:rPr>
        <w:t> </w:t>
      </w:r>
      <w:r>
        <w:rPr>
          <w:rFonts w:ascii="Calibri"/>
          <w:sz w:val="20"/>
          <w:vertAlign w:val="baseline"/>
        </w:rPr>
        <w:t>seen in</w:t>
      </w:r>
      <w:r>
        <w:rPr>
          <w:rFonts w:ascii="Calibri"/>
          <w:spacing w:val="21"/>
          <w:sz w:val="20"/>
          <w:vertAlign w:val="baseline"/>
        </w:rPr>
        <w:t> </w:t>
      </w:r>
      <w:r>
        <w:rPr>
          <w:rFonts w:ascii="Calibri"/>
          <w:sz w:val="20"/>
          <w:vertAlign w:val="baseline"/>
        </w:rPr>
        <w:t>the</w:t>
      </w:r>
      <w:r>
        <w:rPr>
          <w:rFonts w:ascii="Calibri"/>
          <w:spacing w:val="20"/>
          <w:sz w:val="20"/>
          <w:vertAlign w:val="baseline"/>
        </w:rPr>
        <w:t> </w:t>
      </w:r>
      <w:r>
        <w:rPr>
          <w:rFonts w:ascii="Calibri"/>
          <w:sz w:val="20"/>
          <w:vertAlign w:val="baseline"/>
        </w:rPr>
        <w:t>third</w:t>
      </w:r>
      <w:r>
        <w:rPr>
          <w:rFonts w:ascii="Calibri"/>
          <w:spacing w:val="19"/>
          <w:sz w:val="20"/>
          <w:vertAlign w:val="baseline"/>
        </w:rPr>
        <w:t> </w:t>
      </w:r>
      <w:r>
        <w:rPr>
          <w:rFonts w:ascii="Calibri"/>
          <w:sz w:val="20"/>
          <w:vertAlign w:val="baseline"/>
        </w:rPr>
        <w:t>chapter</w:t>
      </w:r>
      <w:r>
        <w:rPr>
          <w:rFonts w:ascii="Calibri"/>
          <w:spacing w:val="20"/>
          <w:sz w:val="20"/>
          <w:vertAlign w:val="baseline"/>
        </w:rPr>
        <w:t> </w:t>
      </w:r>
      <w:r>
        <w:rPr>
          <w:rFonts w:ascii="Calibri"/>
          <w:sz w:val="20"/>
          <w:vertAlign w:val="baseline"/>
        </w:rPr>
        <w:t>transnational</w:t>
      </w:r>
      <w:r>
        <w:rPr>
          <w:rFonts w:ascii="Calibri"/>
          <w:spacing w:val="21"/>
          <w:sz w:val="20"/>
          <w:vertAlign w:val="baseline"/>
        </w:rPr>
        <w:t> </w:t>
      </w:r>
      <w:r>
        <w:rPr>
          <w:rFonts w:ascii="Calibri"/>
          <w:sz w:val="20"/>
          <w:vertAlign w:val="baseline"/>
        </w:rPr>
        <w:t>firms often</w:t>
      </w:r>
      <w:r>
        <w:rPr>
          <w:rFonts w:ascii="Calibri"/>
          <w:spacing w:val="19"/>
          <w:sz w:val="20"/>
          <w:vertAlign w:val="baseline"/>
        </w:rPr>
        <w:t> </w:t>
      </w:r>
      <w:r>
        <w:rPr>
          <w:rFonts w:ascii="Calibri"/>
          <w:sz w:val="20"/>
          <w:vertAlign w:val="baseline"/>
        </w:rPr>
        <w:t>use</w:t>
      </w:r>
      <w:r>
        <w:rPr>
          <w:rFonts w:ascii="Calibri"/>
          <w:spacing w:val="20"/>
          <w:sz w:val="20"/>
          <w:vertAlign w:val="baseline"/>
        </w:rPr>
        <w:t> </w:t>
      </w:r>
      <w:r>
        <w:rPr>
          <w:rFonts w:ascii="Calibri"/>
          <w:sz w:val="20"/>
          <w:vertAlign w:val="baseline"/>
        </w:rPr>
        <w:t>political methods</w:t>
      </w:r>
      <w:r>
        <w:rPr>
          <w:rFonts w:ascii="Calibri"/>
          <w:spacing w:val="17"/>
          <w:sz w:val="20"/>
          <w:vertAlign w:val="baseline"/>
        </w:rPr>
        <w:t> </w:t>
      </w:r>
      <w:r>
        <w:rPr>
          <w:rFonts w:ascii="Calibri"/>
          <w:sz w:val="20"/>
          <w:vertAlign w:val="baseline"/>
        </w:rPr>
        <w:t>in</w:t>
      </w:r>
      <w:r>
        <w:rPr>
          <w:rFonts w:ascii="Calibri"/>
          <w:spacing w:val="19"/>
          <w:sz w:val="20"/>
          <w:vertAlign w:val="baseline"/>
        </w:rPr>
        <w:t> </w:t>
      </w:r>
      <w:r>
        <w:rPr>
          <w:rFonts w:ascii="Calibri"/>
          <w:sz w:val="20"/>
          <w:vertAlign w:val="baseline"/>
        </w:rPr>
        <w:t>order</w:t>
      </w:r>
      <w:r>
        <w:rPr>
          <w:rFonts w:ascii="Calibri"/>
          <w:spacing w:val="20"/>
          <w:sz w:val="20"/>
          <w:vertAlign w:val="baseline"/>
        </w:rPr>
        <w:t> </w:t>
      </w:r>
      <w:r>
        <w:rPr>
          <w:rFonts w:ascii="Calibri"/>
          <w:sz w:val="20"/>
          <w:vertAlign w:val="baseline"/>
        </w:rPr>
        <w:t>to achieve goals</w:t>
      </w:r>
    </w:p>
    <w:p>
      <w:pPr>
        <w:spacing w:after="0"/>
        <w:jc w:val="left"/>
        <w:rPr>
          <w:rFonts w:ascii="Calibri"/>
          <w:sz w:val="20"/>
        </w:rPr>
        <w:sectPr>
          <w:pgSz w:w="12240" w:h="15840"/>
          <w:pgMar w:header="1046" w:footer="0" w:top="1360" w:bottom="280" w:left="720" w:right="360"/>
        </w:sectPr>
      </w:pPr>
    </w:p>
    <w:p>
      <w:pPr>
        <w:pStyle w:val="BodyText"/>
        <w:spacing w:line="276" w:lineRule="auto" w:before="276"/>
        <w:ind w:right="1902"/>
      </w:pPr>
      <w:r>
        <w:rPr/>
        <w:t>operational hierarchy. Once levels of communication were drawn, we distinguished the area-positions where the defined types of communication take place [informative, executive, advisory]. This distinction makes it possible to adjust actors to the system according to their operational capacities. Following the logic of </w:t>
      </w:r>
      <w:r>
        <w:rPr>
          <w:sz w:val="27"/>
        </w:rPr>
        <w:t>Luhmann’s </w:t>
      </w:r>
      <w:r>
        <w:rPr/>
        <w:t>political theory, we argued that</w:t>
      </w:r>
      <w:r>
        <w:rPr>
          <w:spacing w:val="-2"/>
        </w:rPr>
        <w:t> </w:t>
      </w:r>
      <w:r>
        <w:rPr/>
        <w:t>in</w:t>
      </w:r>
      <w:r>
        <w:rPr>
          <w:spacing w:val="-1"/>
        </w:rPr>
        <w:t> </w:t>
      </w:r>
      <w:r>
        <w:rPr/>
        <w:t>a</w:t>
      </w:r>
      <w:r>
        <w:rPr>
          <w:spacing w:val="-2"/>
        </w:rPr>
        <w:t> </w:t>
      </w:r>
      <w:r>
        <w:rPr/>
        <w:t>political</w:t>
      </w:r>
      <w:r>
        <w:rPr>
          <w:spacing w:val="-5"/>
        </w:rPr>
        <w:t> </w:t>
      </w:r>
      <w:r>
        <w:rPr/>
        <w:t>system,</w:t>
      </w:r>
      <w:r>
        <w:rPr>
          <w:spacing w:val="-1"/>
        </w:rPr>
        <w:t> </w:t>
      </w:r>
      <w:r>
        <w:rPr/>
        <w:t>each</w:t>
      </w:r>
      <w:r>
        <w:rPr>
          <w:spacing w:val="-2"/>
        </w:rPr>
        <w:t> </w:t>
      </w:r>
      <w:r>
        <w:rPr/>
        <w:t>institution</w:t>
      </w:r>
      <w:r>
        <w:rPr>
          <w:spacing w:val="-1"/>
        </w:rPr>
        <w:t> </w:t>
      </w:r>
      <w:r>
        <w:rPr/>
        <w:t>[subsystem]</w:t>
      </w:r>
      <w:r>
        <w:rPr>
          <w:spacing w:val="-2"/>
        </w:rPr>
        <w:t> </w:t>
      </w:r>
      <w:r>
        <w:rPr/>
        <w:t>is</w:t>
      </w:r>
      <w:r>
        <w:rPr>
          <w:spacing w:val="-4"/>
        </w:rPr>
        <w:t> </w:t>
      </w:r>
      <w:r>
        <w:rPr/>
        <w:t>an environment</w:t>
      </w:r>
      <w:r>
        <w:rPr>
          <w:spacing w:val="-2"/>
        </w:rPr>
        <w:t> </w:t>
      </w:r>
      <w:r>
        <w:rPr/>
        <w:t>for all</w:t>
      </w:r>
      <w:r>
        <w:rPr>
          <w:spacing w:val="-5"/>
        </w:rPr>
        <w:t> </w:t>
      </w:r>
      <w:r>
        <w:rPr/>
        <w:t>the</w:t>
      </w:r>
      <w:r>
        <w:rPr>
          <w:spacing w:val="-2"/>
        </w:rPr>
        <w:t> </w:t>
      </w:r>
      <w:r>
        <w:rPr/>
        <w:t>others.</w:t>
      </w:r>
      <w:r>
        <w:rPr>
          <w:spacing w:val="-1"/>
        </w:rPr>
        <w:t> </w:t>
      </w:r>
      <w:r>
        <w:rPr/>
        <w:t>Therefore,</w:t>
      </w:r>
      <w:r>
        <w:rPr>
          <w:spacing w:val="-1"/>
        </w:rPr>
        <w:t> </w:t>
      </w:r>
      <w:r>
        <w:rPr/>
        <w:t>they</w:t>
      </w:r>
      <w:r>
        <w:rPr>
          <w:spacing w:val="-2"/>
        </w:rPr>
        <w:t> </w:t>
      </w:r>
      <w:r>
        <w:rPr/>
        <w:t>are</w:t>
      </w:r>
      <w:r>
        <w:rPr>
          <w:spacing w:val="-2"/>
        </w:rPr>
        <w:t> </w:t>
      </w:r>
      <w:r>
        <w:rPr/>
        <w:t>self-referential</w:t>
      </w:r>
      <w:r>
        <w:rPr>
          <w:spacing w:val="-4"/>
        </w:rPr>
        <w:t> </w:t>
      </w:r>
      <w:r>
        <w:rPr/>
        <w:t>systems</w:t>
      </w:r>
      <w:r>
        <w:rPr>
          <w:spacing w:val="-4"/>
        </w:rPr>
        <w:t> </w:t>
      </w:r>
      <w:r>
        <w:rPr/>
        <w:t>on</w:t>
      </w:r>
      <w:r>
        <w:rPr>
          <w:spacing w:val="-1"/>
        </w:rPr>
        <w:t> </w:t>
      </w:r>
      <w:r>
        <w:rPr/>
        <w:t>their own.</w:t>
      </w:r>
      <w:r>
        <w:rPr>
          <w:spacing w:val="-1"/>
        </w:rPr>
        <w:t> </w:t>
      </w:r>
      <w:r>
        <w:rPr/>
        <w:t>The institutions that engage in political communications are structurally coupled. This mechanism grants the operational autonomy to the subsystems, but simultaneously as the systemic goals are pre-determined, it works to ensure inclusion of the agents in the communicative process. The ‘autonomy–dependency’ relations are regulated by the systemic rules.</w:t>
      </w:r>
    </w:p>
    <w:p>
      <w:pPr>
        <w:pStyle w:val="BodyText"/>
        <w:spacing w:before="30"/>
        <w:ind w:left="0"/>
        <w:jc w:val="left"/>
      </w:pPr>
    </w:p>
    <w:p>
      <w:pPr>
        <w:spacing w:before="0"/>
        <w:ind w:left="979" w:right="0" w:firstLine="0"/>
        <w:jc w:val="both"/>
        <w:rPr>
          <w:rFonts w:ascii="Calibri"/>
          <w:b/>
          <w:sz w:val="18"/>
        </w:rPr>
      </w:pPr>
      <w:bookmarkStart w:name="_bookmark51" w:id="52"/>
      <w:bookmarkEnd w:id="52"/>
      <w:r>
        <w:rPr/>
      </w:r>
      <w:r>
        <w:rPr>
          <w:rFonts w:ascii="Calibri"/>
          <w:b/>
          <w:color w:val="4F81BC"/>
          <w:sz w:val="18"/>
        </w:rPr>
        <w:t>Figure</w:t>
      </w:r>
      <w:r>
        <w:rPr>
          <w:rFonts w:ascii="Calibri"/>
          <w:b/>
          <w:color w:val="4F81BC"/>
          <w:spacing w:val="-1"/>
          <w:sz w:val="18"/>
        </w:rPr>
        <w:t> </w:t>
      </w:r>
      <w:r>
        <w:rPr>
          <w:rFonts w:ascii="Calibri"/>
          <w:b/>
          <w:color w:val="4F81BC"/>
          <w:sz w:val="18"/>
        </w:rPr>
        <w:t>14.</w:t>
      </w:r>
      <w:r>
        <w:rPr>
          <w:rFonts w:ascii="Calibri"/>
          <w:b/>
          <w:color w:val="4F81BC"/>
          <w:spacing w:val="-6"/>
          <w:sz w:val="18"/>
        </w:rPr>
        <w:t> </w:t>
      </w:r>
      <w:r>
        <w:rPr>
          <w:rFonts w:ascii="Calibri"/>
          <w:b/>
          <w:color w:val="4F81BC"/>
          <w:sz w:val="18"/>
        </w:rPr>
        <w:t>the</w:t>
      </w:r>
      <w:r>
        <w:rPr>
          <w:rFonts w:ascii="Calibri"/>
          <w:b/>
          <w:color w:val="4F81BC"/>
          <w:spacing w:val="-1"/>
          <w:sz w:val="18"/>
        </w:rPr>
        <w:t> </w:t>
      </w:r>
      <w:r>
        <w:rPr>
          <w:rFonts w:ascii="Calibri"/>
          <w:b/>
          <w:color w:val="4F81BC"/>
          <w:sz w:val="18"/>
        </w:rPr>
        <w:t>Autopoiesis</w:t>
      </w:r>
      <w:r>
        <w:rPr>
          <w:rFonts w:ascii="Calibri"/>
          <w:b/>
          <w:color w:val="4F81BC"/>
          <w:spacing w:val="-1"/>
          <w:sz w:val="18"/>
        </w:rPr>
        <w:t> </w:t>
      </w:r>
      <w:r>
        <w:rPr>
          <w:rFonts w:ascii="Calibri"/>
          <w:b/>
          <w:color w:val="4F81BC"/>
          <w:sz w:val="18"/>
        </w:rPr>
        <w:t>of</w:t>
      </w:r>
      <w:r>
        <w:rPr>
          <w:rFonts w:ascii="Calibri"/>
          <w:b/>
          <w:color w:val="4F81BC"/>
          <w:spacing w:val="-5"/>
          <w:sz w:val="18"/>
        </w:rPr>
        <w:t> </w:t>
      </w:r>
      <w:r>
        <w:rPr>
          <w:rFonts w:ascii="Calibri"/>
          <w:b/>
          <w:color w:val="4F81BC"/>
          <w:sz w:val="18"/>
        </w:rPr>
        <w:t>the</w:t>
      </w:r>
      <w:r>
        <w:rPr>
          <w:rFonts w:ascii="Calibri"/>
          <w:b/>
          <w:color w:val="4F81BC"/>
          <w:spacing w:val="-5"/>
          <w:sz w:val="18"/>
        </w:rPr>
        <w:t> </w:t>
      </w:r>
      <w:r>
        <w:rPr>
          <w:rFonts w:ascii="Calibri"/>
          <w:b/>
          <w:color w:val="4F81BC"/>
          <w:sz w:val="18"/>
        </w:rPr>
        <w:t>European</w:t>
      </w:r>
      <w:r>
        <w:rPr>
          <w:rFonts w:ascii="Calibri"/>
          <w:b/>
          <w:color w:val="4F81BC"/>
          <w:spacing w:val="-7"/>
          <w:sz w:val="18"/>
        </w:rPr>
        <w:t> </w:t>
      </w:r>
      <w:r>
        <w:rPr>
          <w:rFonts w:ascii="Calibri"/>
          <w:b/>
          <w:color w:val="4F81BC"/>
          <w:spacing w:val="-4"/>
          <w:sz w:val="18"/>
        </w:rPr>
        <w:t>Union</w:t>
      </w:r>
    </w:p>
    <w:p>
      <w:pPr>
        <w:pStyle w:val="BodyText"/>
        <w:spacing w:before="9"/>
        <w:ind w:left="0"/>
        <w:jc w:val="left"/>
        <w:rPr>
          <w:rFonts w:ascii="Calibri"/>
          <w:b/>
          <w:sz w:val="14"/>
        </w:rPr>
      </w:pPr>
      <w:r>
        <w:rPr>
          <w:rFonts w:ascii="Calibri"/>
          <w:b/>
          <w:sz w:val="14"/>
        </w:rPr>
        <w:drawing>
          <wp:anchor distT="0" distB="0" distL="0" distR="0" allowOverlap="1" layoutInCell="1" locked="0" behindDoc="1" simplePos="0" relativeHeight="487661568">
            <wp:simplePos x="0" y="0"/>
            <wp:positionH relativeFrom="page">
              <wp:posOffset>1080135</wp:posOffset>
            </wp:positionH>
            <wp:positionV relativeFrom="paragraph">
              <wp:posOffset>129963</wp:posOffset>
            </wp:positionV>
            <wp:extent cx="5287090" cy="2430780"/>
            <wp:effectExtent l="0" t="0" r="0" b="0"/>
            <wp:wrapTopAndBottom/>
            <wp:docPr id="178" name="Image 178" descr="EU system"/>
            <wp:cNvGraphicFramePr>
              <a:graphicFrameLocks/>
            </wp:cNvGraphicFramePr>
            <a:graphic>
              <a:graphicData uri="http://schemas.openxmlformats.org/drawingml/2006/picture">
                <pic:pic>
                  <pic:nvPicPr>
                    <pic:cNvPr id="178" name="Image 178" descr="EU system"/>
                    <pic:cNvPicPr/>
                  </pic:nvPicPr>
                  <pic:blipFill>
                    <a:blip r:embed="rId37" cstate="print"/>
                    <a:stretch>
                      <a:fillRect/>
                    </a:stretch>
                  </pic:blipFill>
                  <pic:spPr>
                    <a:xfrm>
                      <a:off x="0" y="0"/>
                      <a:ext cx="5287090" cy="2430780"/>
                    </a:xfrm>
                    <a:prstGeom prst="rect">
                      <a:avLst/>
                    </a:prstGeom>
                  </pic:spPr>
                </pic:pic>
              </a:graphicData>
            </a:graphic>
          </wp:anchor>
        </w:drawing>
      </w:r>
    </w:p>
    <w:p>
      <w:pPr>
        <w:pStyle w:val="BodyText"/>
        <w:spacing w:line="268" w:lineRule="auto" w:before="17"/>
        <w:ind w:right="1902" w:firstLine="720"/>
      </w:pPr>
      <w:r>
        <w:rPr/>
        <w:t>On the EU level, we have </w:t>
      </w:r>
      <w:r>
        <w:rPr>
          <w:sz w:val="27"/>
        </w:rPr>
        <w:t>the planner systems </w:t>
      </w:r>
      <w:r>
        <w:rPr/>
        <w:t>and </w:t>
      </w:r>
      <w:r>
        <w:rPr>
          <w:sz w:val="27"/>
        </w:rPr>
        <w:t>the meaning systems</w:t>
      </w:r>
      <w:r>
        <w:rPr/>
        <w:t>. The </w:t>
      </w:r>
      <w:r>
        <w:rPr>
          <w:sz w:val="27"/>
        </w:rPr>
        <w:t>planner systems</w:t>
      </w:r>
      <w:r>
        <w:rPr>
          <w:spacing w:val="40"/>
          <w:sz w:val="27"/>
        </w:rPr>
        <w:t> </w:t>
      </w:r>
      <w:r>
        <w:rPr/>
        <w:t>undertake the maintenance operations, they comprise a ‘mechanical’ part of the entity, the effectiveness of which can only be determined in relations with the meaning systems.</w:t>
      </w:r>
      <w:r>
        <w:rPr>
          <w:spacing w:val="40"/>
        </w:rPr>
        <w:t> </w:t>
      </w:r>
      <w:r>
        <w:rPr/>
        <w:t>The </w:t>
      </w:r>
      <w:r>
        <w:rPr>
          <w:sz w:val="27"/>
        </w:rPr>
        <w:t>planner systems, </w:t>
      </w:r>
      <w:r>
        <w:rPr/>
        <w:t>are crucial for the organization, “but are not themselves the system.” (</w:t>
      </w:r>
      <w:hyperlink w:history="true" w:anchor="_bookmark268">
        <w:r>
          <w:rPr/>
          <w:t>Luhmann, 2013</w:t>
        </w:r>
      </w:hyperlink>
      <w:r>
        <w:rPr/>
        <w:t>) In the</w:t>
      </w:r>
      <w:r>
        <w:rPr>
          <w:spacing w:val="-1"/>
        </w:rPr>
        <w:t> </w:t>
      </w:r>
      <w:r>
        <w:rPr/>
        <w:t>EU </w:t>
      </w:r>
      <w:r>
        <w:rPr>
          <w:sz w:val="27"/>
        </w:rPr>
        <w:t>planners </w:t>
      </w:r>
      <w:r>
        <w:rPr/>
        <w:t>are the institutions. It can be argued that the institutions are systems of their own, but without an ascribed</w:t>
      </w:r>
      <w:r>
        <w:rPr>
          <w:spacing w:val="34"/>
        </w:rPr>
        <w:t> </w:t>
      </w:r>
      <w:r>
        <w:rPr/>
        <w:t>meaning</w:t>
      </w:r>
      <w:r>
        <w:rPr>
          <w:spacing w:val="33"/>
        </w:rPr>
        <w:t> </w:t>
      </w:r>
      <w:r>
        <w:rPr/>
        <w:t>(or</w:t>
      </w:r>
      <w:r>
        <w:rPr>
          <w:spacing w:val="33"/>
        </w:rPr>
        <w:t> </w:t>
      </w:r>
      <w:r>
        <w:rPr/>
        <w:t>purpose)</w:t>
      </w:r>
      <w:r>
        <w:rPr>
          <w:spacing w:val="33"/>
        </w:rPr>
        <w:t> </w:t>
      </w:r>
      <w:r>
        <w:rPr/>
        <w:t>the</w:t>
      </w:r>
      <w:r>
        <w:rPr>
          <w:spacing w:val="33"/>
        </w:rPr>
        <w:t> </w:t>
      </w:r>
      <w:r>
        <w:rPr/>
        <w:t>institution</w:t>
      </w:r>
      <w:r>
        <w:rPr>
          <w:spacing w:val="34"/>
        </w:rPr>
        <w:t> </w:t>
      </w:r>
      <w:r>
        <w:rPr/>
        <w:t>is</w:t>
      </w:r>
      <w:r>
        <w:rPr>
          <w:spacing w:val="30"/>
        </w:rPr>
        <w:t> </w:t>
      </w:r>
      <w:r>
        <w:rPr/>
        <w:t>just</w:t>
      </w:r>
      <w:r>
        <w:rPr>
          <w:spacing w:val="33"/>
        </w:rPr>
        <w:t> </w:t>
      </w:r>
      <w:r>
        <w:rPr/>
        <w:t>a</w:t>
      </w:r>
      <w:r>
        <w:rPr>
          <w:spacing w:val="37"/>
        </w:rPr>
        <w:t> </w:t>
      </w:r>
      <w:r>
        <w:rPr/>
        <w:t>set</w:t>
      </w:r>
      <w:r>
        <w:rPr>
          <w:spacing w:val="33"/>
        </w:rPr>
        <w:t> </w:t>
      </w:r>
      <w:r>
        <w:rPr/>
        <w:t>of</w:t>
      </w:r>
      <w:r>
        <w:rPr>
          <w:spacing w:val="36"/>
        </w:rPr>
        <w:t> </w:t>
      </w:r>
      <w:r>
        <w:rPr/>
        <w:t>components.</w:t>
      </w:r>
    </w:p>
    <w:p>
      <w:pPr>
        <w:pStyle w:val="BodyText"/>
        <w:spacing w:after="0" w:line="268" w:lineRule="auto"/>
        <w:sectPr>
          <w:pgSz w:w="12240" w:h="15840"/>
          <w:pgMar w:header="1046" w:footer="0" w:top="1360" w:bottom="280" w:left="720" w:right="360"/>
        </w:sectPr>
      </w:pPr>
    </w:p>
    <w:p>
      <w:pPr>
        <w:pStyle w:val="BodyText"/>
        <w:spacing w:line="273" w:lineRule="auto" w:before="276"/>
        <w:ind w:right="1907"/>
      </w:pPr>
      <w:r>
        <w:rPr/>
        <w:t>The planners have the analogous functions to Parsons’ concept of </w:t>
      </w:r>
      <w:r>
        <w:rPr>
          <w:sz w:val="27"/>
        </w:rPr>
        <w:t>collectivity</w:t>
      </w:r>
      <w:r>
        <w:rPr/>
        <w:t>. Collectivity “is a special type of social system, which is characterized by the capacity for ‘action in concert.’ This implies the mobilization of the collectivity’s resources to attain specific and usually explicit goals; it also implies the formalization of decision-making processes on behalf of the collectivity as a whole.” (</w:t>
      </w:r>
      <w:hyperlink w:history="true" w:anchor="_bookmark330">
        <w:r>
          <w:rPr/>
          <w:t>Parsons &amp; Smelser, 2005, p. 15</w:t>
        </w:r>
      </w:hyperlink>
      <w:r>
        <w:rPr/>
        <w:t>)</w:t>
      </w:r>
    </w:p>
    <w:p>
      <w:pPr>
        <w:pStyle w:val="BodyText"/>
        <w:spacing w:line="276" w:lineRule="auto" w:before="6"/>
        <w:ind w:right="1918" w:firstLine="720"/>
      </w:pPr>
      <w:r>
        <w:rPr/>
        <w:t>The meaning systems are those abstract systems that contain the ideal, objectives, goals and functions that the planners [intend to] fulfil. There are three meaning systems in the EU: political, legal and economic.</w:t>
      </w:r>
    </w:p>
    <w:p>
      <w:pPr>
        <w:pStyle w:val="ListParagraph"/>
        <w:numPr>
          <w:ilvl w:val="2"/>
          <w:numId w:val="16"/>
        </w:numPr>
        <w:tabs>
          <w:tab w:pos="1700" w:val="left" w:leader="none"/>
        </w:tabs>
        <w:spacing w:line="276" w:lineRule="auto" w:before="0" w:after="0"/>
        <w:ind w:left="1700" w:right="1916" w:hanging="360"/>
        <w:jc w:val="both"/>
        <w:rPr>
          <w:sz w:val="26"/>
        </w:rPr>
      </w:pPr>
      <w:r>
        <w:rPr>
          <w:sz w:val="26"/>
        </w:rPr>
        <w:t>The political system determines the ideology of the entity, undertakes the event-decisions and generates the discursive streams in the Union.</w:t>
      </w:r>
    </w:p>
    <w:p>
      <w:pPr>
        <w:pStyle w:val="ListParagraph"/>
        <w:numPr>
          <w:ilvl w:val="2"/>
          <w:numId w:val="16"/>
        </w:numPr>
        <w:tabs>
          <w:tab w:pos="1698" w:val="left" w:leader="none"/>
          <w:tab w:pos="1700" w:val="left" w:leader="none"/>
        </w:tabs>
        <w:spacing w:line="276" w:lineRule="auto" w:before="0" w:after="0"/>
        <w:ind w:left="1700" w:right="1907" w:hanging="360"/>
        <w:jc w:val="both"/>
        <w:rPr>
          <w:sz w:val="26"/>
        </w:rPr>
      </w:pPr>
      <w:r>
        <w:rPr>
          <w:sz w:val="26"/>
        </w:rPr>
        <w:t>The legal system is based on legal formalism and is entirely self- referential. It fixes the political decisions and initiates integrative </w:t>
      </w:r>
      <w:r>
        <w:rPr>
          <w:spacing w:val="-2"/>
          <w:sz w:val="26"/>
        </w:rPr>
        <w:t>impulses.</w:t>
      </w:r>
    </w:p>
    <w:p>
      <w:pPr>
        <w:pStyle w:val="ListParagraph"/>
        <w:numPr>
          <w:ilvl w:val="2"/>
          <w:numId w:val="16"/>
        </w:numPr>
        <w:tabs>
          <w:tab w:pos="1700" w:val="left" w:leader="none"/>
        </w:tabs>
        <w:spacing w:line="276" w:lineRule="auto" w:before="0" w:after="0"/>
        <w:ind w:left="1700" w:right="1909" w:hanging="360"/>
        <w:jc w:val="both"/>
        <w:rPr>
          <w:sz w:val="26"/>
        </w:rPr>
      </w:pPr>
      <w:r>
        <w:rPr>
          <w:sz w:val="26"/>
        </w:rPr>
        <w:t>The economic system includes the common market, works to fulfil the purpose of the Union and encourages the process of integration when necessary.</w:t>
      </w:r>
    </w:p>
    <w:p>
      <w:pPr>
        <w:pStyle w:val="BodyText"/>
        <w:spacing w:line="271" w:lineRule="auto"/>
        <w:ind w:right="1905" w:firstLine="720"/>
      </w:pPr>
      <w:r>
        <w:rPr/>
        <w:t>The meaning systems are closely related; however, they are operationally closed and independent. This means that the EU “can get into economic trouble, but this does not necessarily mean that it is in political trouble.” (</w:t>
      </w:r>
      <w:hyperlink w:history="true" w:anchor="_bookmark268">
        <w:r>
          <w:rPr/>
          <w:t>Luhmann, 2013, p. 122</w:t>
        </w:r>
      </w:hyperlink>
      <w:r>
        <w:rPr/>
        <w:t>) This argument derives from early cybernetic observations; according to</w:t>
      </w:r>
      <w:r>
        <w:rPr>
          <w:sz w:val="27"/>
        </w:rPr>
        <w:t>William Ross Ashby, </w:t>
      </w:r>
      <w:r>
        <w:rPr/>
        <w:t>if two separate [autonomous] systems are joined to form a single system and the "two systems</w:t>
      </w:r>
      <w:r>
        <w:rPr>
          <w:spacing w:val="-8"/>
        </w:rPr>
        <w:t> </w:t>
      </w:r>
      <w:r>
        <w:rPr/>
        <w:t>when</w:t>
      </w:r>
      <w:r>
        <w:rPr>
          <w:spacing w:val="-5"/>
        </w:rPr>
        <w:t> </w:t>
      </w:r>
      <w:r>
        <w:rPr/>
        <w:t>separate</w:t>
      </w:r>
      <w:r>
        <w:rPr>
          <w:spacing w:val="-6"/>
        </w:rPr>
        <w:t> </w:t>
      </w:r>
      <w:r>
        <w:rPr/>
        <w:t>were</w:t>
      </w:r>
      <w:r>
        <w:rPr>
          <w:spacing w:val="-6"/>
        </w:rPr>
        <w:t> </w:t>
      </w:r>
      <w:r>
        <w:rPr/>
        <w:t>both</w:t>
      </w:r>
      <w:r>
        <w:rPr>
          <w:spacing w:val="-6"/>
        </w:rPr>
        <w:t> </w:t>
      </w:r>
      <w:r>
        <w:rPr/>
        <w:t>stable"</w:t>
      </w:r>
      <w:r>
        <w:rPr>
          <w:spacing w:val="-6"/>
        </w:rPr>
        <w:t> </w:t>
      </w:r>
      <w:r>
        <w:rPr/>
        <w:t>the</w:t>
      </w:r>
      <w:r>
        <w:rPr>
          <w:spacing w:val="-6"/>
        </w:rPr>
        <w:t> </w:t>
      </w:r>
      <w:r>
        <w:rPr/>
        <w:t>system</w:t>
      </w:r>
      <w:r>
        <w:rPr>
          <w:spacing w:val="-8"/>
        </w:rPr>
        <w:t> </w:t>
      </w:r>
      <w:r>
        <w:rPr/>
        <w:t>they</w:t>
      </w:r>
      <w:r>
        <w:rPr>
          <w:spacing w:val="-6"/>
        </w:rPr>
        <w:t> </w:t>
      </w:r>
      <w:r>
        <w:rPr/>
        <w:t>form </w:t>
      </w:r>
      <w:r>
        <w:rPr>
          <w:sz w:val="27"/>
        </w:rPr>
        <w:t>can</w:t>
      </w:r>
      <w:r>
        <w:rPr>
          <w:spacing w:val="-2"/>
          <w:sz w:val="27"/>
        </w:rPr>
        <w:t> </w:t>
      </w:r>
      <w:r>
        <w:rPr>
          <w:sz w:val="27"/>
        </w:rPr>
        <w:t>be</w:t>
      </w:r>
      <w:r>
        <w:rPr>
          <w:spacing w:val="-8"/>
          <w:sz w:val="27"/>
        </w:rPr>
        <w:t> </w:t>
      </w:r>
      <w:r>
        <w:rPr>
          <w:sz w:val="27"/>
        </w:rPr>
        <w:t>stable or</w:t>
      </w:r>
      <w:r>
        <w:rPr>
          <w:spacing w:val="-1"/>
          <w:sz w:val="27"/>
        </w:rPr>
        <w:t> </w:t>
      </w:r>
      <w:r>
        <w:rPr>
          <w:sz w:val="27"/>
        </w:rPr>
        <w:t>unstable. </w:t>
      </w:r>
      <w:r>
        <w:rPr/>
        <w:t>(</w:t>
      </w:r>
      <w:hyperlink w:history="true" w:anchor="_bookmark82">
        <w:r>
          <w:rPr/>
          <w:t>Ashby, 1960, p. 64</w:t>
        </w:r>
      </w:hyperlink>
      <w:r>
        <w:rPr/>
        <w:t>) Similarly, if the </w:t>
      </w:r>
      <w:r>
        <w:rPr>
          <w:sz w:val="27"/>
        </w:rPr>
        <w:t>system</w:t>
      </w:r>
      <w:r>
        <w:rPr>
          <w:spacing w:val="-3"/>
          <w:sz w:val="27"/>
        </w:rPr>
        <w:t> </w:t>
      </w:r>
      <w:r>
        <w:rPr>
          <w:sz w:val="27"/>
        </w:rPr>
        <w:t>A</w:t>
      </w:r>
      <w:r>
        <w:rPr>
          <w:spacing w:val="-2"/>
          <w:sz w:val="27"/>
        </w:rPr>
        <w:t> </w:t>
      </w:r>
      <w:r>
        <w:rPr/>
        <w:t>is</w:t>
      </w:r>
      <w:r>
        <w:rPr>
          <w:spacing w:val="-1"/>
        </w:rPr>
        <w:t> </w:t>
      </w:r>
      <w:r>
        <w:rPr/>
        <w:t>‘troubled’ and is linked with </w:t>
      </w:r>
      <w:r>
        <w:rPr>
          <w:sz w:val="27"/>
        </w:rPr>
        <w:t>well-functioning B</w:t>
      </w:r>
      <w:r>
        <w:rPr/>
        <w:t>, the unity C – can go either way. In the worst case scenarios, however, a single subsystem can cause the collapse of the whole.</w:t>
      </w:r>
    </w:p>
    <w:p>
      <w:pPr>
        <w:pStyle w:val="BodyText"/>
        <w:spacing w:line="276" w:lineRule="auto" w:before="19"/>
        <w:ind w:right="1901" w:firstLine="720"/>
      </w:pPr>
      <w:r>
        <w:rPr/>
        <w:t>We have noted that the systems within the EU are structurally coupled. Besides the coupling there is another type of relations – the transactions.</w:t>
      </w:r>
      <w:r>
        <w:rPr>
          <w:spacing w:val="80"/>
          <w:w w:val="150"/>
        </w:rPr>
        <w:t> </w:t>
      </w:r>
      <w:r>
        <w:rPr/>
        <w:t>The</w:t>
      </w:r>
      <w:r>
        <w:rPr>
          <w:spacing w:val="80"/>
          <w:w w:val="150"/>
        </w:rPr>
        <w:t> </w:t>
      </w:r>
      <w:r>
        <w:rPr/>
        <w:t>latter</w:t>
      </w:r>
      <w:r>
        <w:rPr>
          <w:spacing w:val="80"/>
          <w:w w:val="150"/>
        </w:rPr>
        <w:t> </w:t>
      </w:r>
      <w:r>
        <w:rPr/>
        <w:t>takes</w:t>
      </w:r>
      <w:r>
        <w:rPr>
          <w:spacing w:val="80"/>
          <w:w w:val="150"/>
        </w:rPr>
        <w:t> </w:t>
      </w:r>
      <w:r>
        <w:rPr/>
        <w:t>place</w:t>
      </w:r>
      <w:r>
        <w:rPr>
          <w:spacing w:val="80"/>
          <w:w w:val="150"/>
        </w:rPr>
        <w:t> </w:t>
      </w:r>
      <w:r>
        <w:rPr/>
        <w:t>between</w:t>
      </w:r>
      <w:r>
        <w:rPr>
          <w:spacing w:val="80"/>
          <w:w w:val="150"/>
        </w:rPr>
        <w:t> </w:t>
      </w:r>
      <w:r>
        <w:rPr/>
        <w:t>the</w:t>
      </w:r>
      <w:r>
        <w:rPr>
          <w:spacing w:val="80"/>
          <w:w w:val="150"/>
        </w:rPr>
        <w:t> </w:t>
      </w:r>
      <w:r>
        <w:rPr/>
        <w:t>system(s)</w:t>
      </w:r>
      <w:r>
        <w:rPr>
          <w:spacing w:val="80"/>
          <w:w w:val="150"/>
        </w:rPr>
        <w:t> </w:t>
      </w:r>
      <w:r>
        <w:rPr/>
        <w:t>and</w:t>
      </w:r>
      <w:r>
        <w:rPr>
          <w:spacing w:val="80"/>
          <w:w w:val="150"/>
        </w:rPr>
        <w:t> </w:t>
      </w:r>
      <w:r>
        <w:rPr/>
        <w:t>the</w:t>
      </w:r>
    </w:p>
    <w:p>
      <w:pPr>
        <w:pStyle w:val="BodyText"/>
        <w:spacing w:after="0" w:line="276" w:lineRule="auto"/>
        <w:sectPr>
          <w:pgSz w:w="12240" w:h="15840"/>
          <w:pgMar w:header="1046" w:footer="0" w:top="1360" w:bottom="280" w:left="720" w:right="360"/>
        </w:sectPr>
      </w:pPr>
    </w:p>
    <w:p>
      <w:pPr>
        <w:pStyle w:val="BodyText"/>
        <w:spacing w:line="276" w:lineRule="auto" w:before="276"/>
        <w:ind w:right="1911"/>
      </w:pPr>
      <w:r>
        <w:rPr/>
        <w:t>qualitative variables. The transactions in contrast to the couplings are not reciprocal. For example, when an economic agent takes the case in the court, the judgement usually does not have any substantive effect on the legal system. However, if the case became a president, it would certainly affect both economic and legal systems. Consequently, the transaction, will become a part of the structural coupling.</w:t>
      </w:r>
    </w:p>
    <w:p>
      <w:pPr>
        <w:pStyle w:val="BodyText"/>
        <w:spacing w:line="273" w:lineRule="auto"/>
        <w:ind w:right="1911" w:firstLine="787"/>
      </w:pPr>
      <w:r>
        <w:rPr/>
        <w:t>The transactions are directed towards the system, according to the functions the latter performs. This approach gains a great relevance when analyzing relations between </w:t>
      </w:r>
      <w:r>
        <w:rPr>
          <w:sz w:val="27"/>
        </w:rPr>
        <w:t>de novo bodies </w:t>
      </w:r>
      <w:r>
        <w:rPr/>
        <w:t>and a wide variety of new governance actors.</w:t>
      </w:r>
    </w:p>
    <w:p>
      <w:pPr>
        <w:pStyle w:val="BodyText"/>
        <w:spacing w:line="276" w:lineRule="auto"/>
        <w:ind w:right="1907" w:firstLine="720"/>
      </w:pPr>
      <w:r>
        <w:rPr/>
        <w:t>And the final problem that we need to address in this section is a relation between structural changes that take place during the integration and the invariance the systemic identity. This problem can be well described by means of an old metaphor: “According to the Greek legend, Theseus slew the Minotaur and returned to Greece with the youth of Athens. On their return to Greece, it was decided to preserve Theseus' ship in perpetuity. The ship was moored and carefully maintained. Over the years, rotting ropes, timbers, and sails were gradually replaced with new ones…for the logical</w:t>
      </w:r>
      <w:r>
        <w:rPr>
          <w:spacing w:val="-4"/>
        </w:rPr>
        <w:t> </w:t>
      </w:r>
      <w:r>
        <w:rPr/>
        <w:t>question of things</w:t>
      </w:r>
      <w:r>
        <w:rPr>
          <w:spacing w:val="-3"/>
        </w:rPr>
        <w:t> </w:t>
      </w:r>
      <w:r>
        <w:rPr/>
        <w:t>that grow; one</w:t>
      </w:r>
      <w:r>
        <w:rPr>
          <w:spacing w:val="-1"/>
        </w:rPr>
        <w:t> </w:t>
      </w:r>
      <w:r>
        <w:rPr/>
        <w:t>side</w:t>
      </w:r>
      <w:r>
        <w:rPr>
          <w:spacing w:val="-1"/>
        </w:rPr>
        <w:t> </w:t>
      </w:r>
      <w:r>
        <w:rPr/>
        <w:t>holding</w:t>
      </w:r>
      <w:r>
        <w:rPr>
          <w:spacing w:val="-1"/>
        </w:rPr>
        <w:t> </w:t>
      </w:r>
      <w:r>
        <w:rPr/>
        <w:t>that</w:t>
      </w:r>
      <w:r>
        <w:rPr>
          <w:spacing w:val="-1"/>
        </w:rPr>
        <w:t> </w:t>
      </w:r>
      <w:r>
        <w:rPr/>
        <w:t>the ship remained the same, and the other contending that it was not the same. The question has now been debated for more than 2000 years: was the ship still Theseus’ ship?” (</w:t>
      </w:r>
      <w:hyperlink w:history="true" w:anchor="_bookmark134">
        <w:r>
          <w:rPr/>
          <w:t>John</w:t>
        </w:r>
        <w:r>
          <w:rPr>
            <w:spacing w:val="40"/>
          </w:rPr>
          <w:t> </w:t>
        </w:r>
        <w:r>
          <w:rPr/>
          <w:t>Collier &amp; Cumming, 2005, p. 2</w:t>
        </w:r>
      </w:hyperlink>
      <w:r>
        <w:rPr/>
        <w:t>) Any answer to this question would be rather arbitrary. However, as we follow certain systemic logic, we can determine some qualities that ensure the invariance of the EU identity. Firstly, as we argue that the EU is a self-referential and self-organized system, it requires a meaning/matter around of which the communication takes place. Elsewhere </w:t>
      </w:r>
      <w:r>
        <w:rPr>
          <w:sz w:val="27"/>
        </w:rPr>
        <w:t>Collier</w:t>
      </w:r>
      <w:r>
        <w:rPr>
          <w:spacing w:val="40"/>
          <w:sz w:val="27"/>
        </w:rPr>
        <w:t> </w:t>
      </w:r>
      <w:r>
        <w:rPr/>
        <w:t>proposed an example of photons, that do not interact with each other and therefore, cannot self organize, however they</w:t>
      </w:r>
      <w:r>
        <w:rPr>
          <w:spacing w:val="-1"/>
        </w:rPr>
        <w:t> </w:t>
      </w:r>
      <w:r>
        <w:rPr/>
        <w:t>“can be</w:t>
      </w:r>
      <w:r>
        <w:rPr>
          <w:spacing w:val="-1"/>
        </w:rPr>
        <w:t> </w:t>
      </w:r>
      <w:r>
        <w:rPr/>
        <w:t>forced to organize</w:t>
      </w:r>
      <w:r>
        <w:rPr>
          <w:spacing w:val="-1"/>
        </w:rPr>
        <w:t> </w:t>
      </w:r>
      <w:r>
        <w:rPr/>
        <w:t>through</w:t>
      </w:r>
      <w:r>
        <w:rPr>
          <w:spacing w:val="-1"/>
        </w:rPr>
        <w:t> </w:t>
      </w:r>
      <w:r>
        <w:rPr/>
        <w:t>interaction with matter.” (</w:t>
      </w:r>
      <w:hyperlink w:history="true" w:anchor="_bookmark133">
        <w:r>
          <w:rPr/>
          <w:t>2004, p. 153</w:t>
        </w:r>
      </w:hyperlink>
      <w:r>
        <w:rPr/>
        <w:t>) In the previous chapter, we have shown several political movements that pressured the state-governments to integrate. The </w:t>
      </w:r>
      <w:r>
        <w:rPr>
          <w:sz w:val="27"/>
        </w:rPr>
        <w:t>Schuman</w:t>
      </w:r>
      <w:r>
        <w:rPr>
          <w:spacing w:val="74"/>
          <w:sz w:val="27"/>
        </w:rPr>
        <w:t> </w:t>
      </w:r>
      <w:r>
        <w:rPr>
          <w:sz w:val="27"/>
        </w:rPr>
        <w:t>Declaration</w:t>
      </w:r>
      <w:r>
        <w:rPr>
          <w:spacing w:val="76"/>
          <w:sz w:val="27"/>
        </w:rPr>
        <w:t> </w:t>
      </w:r>
      <w:r>
        <w:rPr/>
        <w:t>fixed</w:t>
      </w:r>
      <w:r>
        <w:rPr>
          <w:spacing w:val="77"/>
        </w:rPr>
        <w:t> </w:t>
      </w:r>
      <w:r>
        <w:rPr/>
        <w:t>the</w:t>
      </w:r>
      <w:r>
        <w:rPr>
          <w:spacing w:val="76"/>
        </w:rPr>
        <w:t> </w:t>
      </w:r>
      <w:r>
        <w:rPr/>
        <w:t>purpose</w:t>
      </w:r>
      <w:r>
        <w:rPr>
          <w:spacing w:val="80"/>
        </w:rPr>
        <w:t> </w:t>
      </w:r>
      <w:r>
        <w:rPr/>
        <w:t>of</w:t>
      </w:r>
      <w:r>
        <w:rPr>
          <w:spacing w:val="74"/>
        </w:rPr>
        <w:t> </w:t>
      </w:r>
      <w:r>
        <w:rPr/>
        <w:t>integration</w:t>
      </w:r>
      <w:r>
        <w:rPr>
          <w:spacing w:val="77"/>
        </w:rPr>
        <w:t> </w:t>
      </w:r>
      <w:r>
        <w:rPr/>
        <w:t>and</w:t>
      </w:r>
      <w:r>
        <w:rPr>
          <w:spacing w:val="77"/>
        </w:rPr>
        <w:t> </w:t>
      </w:r>
      <w:r>
        <w:rPr/>
        <w:t>it</w:t>
      </w:r>
      <w:r>
        <w:rPr>
          <w:spacing w:val="75"/>
        </w:rPr>
        <w:t> </w:t>
      </w:r>
      <w:r>
        <w:rPr/>
        <w:t>has</w:t>
      </w:r>
      <w:r>
        <w:rPr>
          <w:spacing w:val="78"/>
        </w:rPr>
        <w:t> </w:t>
      </w:r>
      <w:r>
        <w:rPr/>
        <w:t>not</w:t>
      </w:r>
    </w:p>
    <w:p>
      <w:pPr>
        <w:pStyle w:val="BodyText"/>
        <w:spacing w:after="0" w:line="276" w:lineRule="auto"/>
        <w:sectPr>
          <w:pgSz w:w="12240" w:h="15840"/>
          <w:pgMar w:header="1046" w:footer="0" w:top="1360" w:bottom="280" w:left="720" w:right="360"/>
        </w:sectPr>
      </w:pPr>
    </w:p>
    <w:p>
      <w:pPr>
        <w:pStyle w:val="BodyText"/>
        <w:spacing w:line="276" w:lineRule="auto" w:before="276"/>
        <w:ind w:right="1911"/>
      </w:pPr>
      <w:r>
        <w:rPr/>
        <w:t>changed</w:t>
      </w:r>
      <w:r>
        <w:rPr>
          <w:spacing w:val="-2"/>
        </w:rPr>
        <w:t> </w:t>
      </w:r>
      <w:r>
        <w:rPr/>
        <w:t>since</w:t>
      </w:r>
      <w:r>
        <w:rPr>
          <w:spacing w:val="-3"/>
        </w:rPr>
        <w:t> </w:t>
      </w:r>
      <w:r>
        <w:rPr/>
        <w:t>then.</w:t>
      </w:r>
      <w:r>
        <w:rPr>
          <w:spacing w:val="-2"/>
        </w:rPr>
        <w:t> </w:t>
      </w:r>
      <w:r>
        <w:rPr/>
        <w:t>Nevertheless,</w:t>
      </w:r>
      <w:r>
        <w:rPr>
          <w:spacing w:val="-2"/>
        </w:rPr>
        <w:t> </w:t>
      </w:r>
      <w:r>
        <w:rPr/>
        <w:t>the</w:t>
      </w:r>
      <w:r>
        <w:rPr>
          <w:spacing w:val="-3"/>
        </w:rPr>
        <w:t> </w:t>
      </w:r>
      <w:r>
        <w:rPr/>
        <w:t>initial</w:t>
      </w:r>
      <w:r>
        <w:rPr>
          <w:spacing w:val="-5"/>
        </w:rPr>
        <w:t> </w:t>
      </w:r>
      <w:r>
        <w:rPr/>
        <w:t>agreement</w:t>
      </w:r>
      <w:r>
        <w:rPr>
          <w:spacing w:val="-3"/>
        </w:rPr>
        <w:t> </w:t>
      </w:r>
      <w:r>
        <w:rPr/>
        <w:t>was</w:t>
      </w:r>
      <w:r>
        <w:rPr>
          <w:spacing w:val="-5"/>
        </w:rPr>
        <w:t> </w:t>
      </w:r>
      <w:r>
        <w:rPr/>
        <w:t>just</w:t>
      </w:r>
      <w:r>
        <w:rPr>
          <w:spacing w:val="-3"/>
        </w:rPr>
        <w:t> </w:t>
      </w:r>
      <w:r>
        <w:rPr/>
        <w:t>an</w:t>
      </w:r>
      <w:r>
        <w:rPr>
          <w:spacing w:val="-2"/>
        </w:rPr>
        <w:t> </w:t>
      </w:r>
      <w:r>
        <w:rPr/>
        <w:t>impetus; since then, the Community have been in constant structural changes; the method of integration</w:t>
      </w:r>
      <w:r>
        <w:rPr>
          <w:spacing w:val="40"/>
        </w:rPr>
        <w:t> </w:t>
      </w:r>
      <w:r>
        <w:rPr/>
        <w:t>has been altered several times. Can we say that the modern EU is a structural re-interpretation of the same system that was launched by the founders?</w:t>
      </w:r>
    </w:p>
    <w:p>
      <w:pPr>
        <w:pStyle w:val="BodyText"/>
        <w:spacing w:line="276" w:lineRule="auto"/>
        <w:ind w:right="1903" w:firstLine="720"/>
      </w:pPr>
      <w:r>
        <w:rPr/>
        <w:t>Every formal organization has a theory-in-use “the theory of action constructed from observation of actual behavior,” (</w:t>
      </w:r>
      <w:hyperlink w:history="true" w:anchor="_bookmark80">
        <w:r>
          <w:rPr/>
          <w:t>Argyris &amp; Scho</w:t>
        </w:r>
        <w:r>
          <w:rPr>
            <w:rFonts w:ascii="Times New Roman" w:hAnsi="Times New Roman"/>
          </w:rPr>
          <w:t>̈</w:t>
        </w:r>
        <w:r>
          <w:rPr/>
          <w:t>n, 1978,</w:t>
        </w:r>
      </w:hyperlink>
      <w:r>
        <w:rPr>
          <w:spacing w:val="40"/>
        </w:rPr>
        <w:t> </w:t>
      </w:r>
      <w:hyperlink w:history="true" w:anchor="_bookmark80">
        <w:r>
          <w:rPr/>
          <w:t>p. 15</w:t>
        </w:r>
      </w:hyperlink>
      <w:r>
        <w:rPr/>
        <w:t>) The modern EU’s theory-in-use had been shaped during the first thirty years of integration. For this period of time there had been some ups and</w:t>
      </w:r>
      <w:r>
        <w:rPr>
          <w:spacing w:val="-6"/>
        </w:rPr>
        <w:t> </w:t>
      </w:r>
      <w:r>
        <w:rPr/>
        <w:t>downs</w:t>
      </w:r>
      <w:r>
        <w:rPr>
          <w:spacing w:val="-5"/>
        </w:rPr>
        <w:t> </w:t>
      </w:r>
      <w:r>
        <w:rPr/>
        <w:t>in</w:t>
      </w:r>
      <w:r>
        <w:rPr>
          <w:spacing w:val="-2"/>
        </w:rPr>
        <w:t> </w:t>
      </w:r>
      <w:r>
        <w:rPr/>
        <w:t>integration.</w:t>
      </w:r>
      <w:r>
        <w:rPr>
          <w:spacing w:val="-2"/>
        </w:rPr>
        <w:t> </w:t>
      </w:r>
      <w:r>
        <w:rPr/>
        <w:t>The</w:t>
      </w:r>
      <w:r>
        <w:rPr>
          <w:spacing w:val="-8"/>
        </w:rPr>
        <w:t> </w:t>
      </w:r>
      <w:r>
        <w:rPr/>
        <w:t>system</w:t>
      </w:r>
      <w:r>
        <w:rPr>
          <w:spacing w:val="-5"/>
        </w:rPr>
        <w:t> </w:t>
      </w:r>
      <w:r>
        <w:rPr/>
        <w:t>learned</w:t>
      </w:r>
      <w:r>
        <w:rPr>
          <w:spacing w:val="-1"/>
        </w:rPr>
        <w:t> </w:t>
      </w:r>
      <w:r>
        <w:rPr/>
        <w:t>both</w:t>
      </w:r>
      <w:r>
        <w:rPr>
          <w:spacing w:val="-3"/>
        </w:rPr>
        <w:t> </w:t>
      </w:r>
      <w:r>
        <w:rPr/>
        <w:t>limits</w:t>
      </w:r>
      <w:r>
        <w:rPr>
          <w:spacing w:val="-5"/>
        </w:rPr>
        <w:t> </w:t>
      </w:r>
      <w:r>
        <w:rPr/>
        <w:t>and opportunities; the Maastricht Treaty was</w:t>
      </w:r>
      <w:r>
        <w:rPr>
          <w:spacing w:val="-2"/>
        </w:rPr>
        <w:t> </w:t>
      </w:r>
      <w:r>
        <w:rPr/>
        <w:t>a shifting event, the document was</w:t>
      </w:r>
      <w:r>
        <w:rPr>
          <w:spacing w:val="-2"/>
        </w:rPr>
        <w:t> </w:t>
      </w:r>
      <w:r>
        <w:rPr/>
        <w:t>an enactment of the coded experience. Importantly, changes in the treaties take place using the method of ‘treaty consolidation’ instead of ‘treaty alteration.’</w:t>
      </w:r>
    </w:p>
    <w:p>
      <w:pPr>
        <w:pStyle w:val="BodyText"/>
        <w:spacing w:line="276" w:lineRule="auto"/>
        <w:ind w:right="1902" w:firstLine="720"/>
        <w:jc w:val="right"/>
      </w:pPr>
      <w:r>
        <w:rPr/>
        <w:t>Another aspect of systemic invariance is a technical</w:t>
      </w:r>
      <w:r>
        <w:rPr>
          <w:spacing w:val="-1"/>
        </w:rPr>
        <w:t> </w:t>
      </w:r>
      <w:r>
        <w:rPr/>
        <w:t>one. The</w:t>
      </w:r>
      <w:r>
        <w:rPr>
          <w:spacing w:val="-3"/>
        </w:rPr>
        <w:t> </w:t>
      </w:r>
      <w:r>
        <w:rPr/>
        <w:t>theory- in-use</w:t>
      </w:r>
      <w:r>
        <w:rPr>
          <w:spacing w:val="40"/>
        </w:rPr>
        <w:t> </w:t>
      </w:r>
      <w:r>
        <w:rPr/>
        <w:t>gained</w:t>
      </w:r>
      <w:r>
        <w:rPr>
          <w:spacing w:val="40"/>
        </w:rPr>
        <w:t> </w:t>
      </w:r>
      <w:r>
        <w:rPr/>
        <w:t>a</w:t>
      </w:r>
      <w:r>
        <w:rPr>
          <w:spacing w:val="40"/>
        </w:rPr>
        <w:t> </w:t>
      </w:r>
      <w:r>
        <w:rPr/>
        <w:t>unique</w:t>
      </w:r>
      <w:r>
        <w:rPr>
          <w:spacing w:val="40"/>
        </w:rPr>
        <w:t> </w:t>
      </w:r>
      <w:r>
        <w:rPr/>
        <w:t>mechanistic</w:t>
      </w:r>
      <w:r>
        <w:rPr>
          <w:spacing w:val="40"/>
        </w:rPr>
        <w:t> </w:t>
      </w:r>
      <w:r>
        <w:rPr/>
        <w:t>identity;</w:t>
      </w:r>
      <w:r>
        <w:rPr>
          <w:spacing w:val="40"/>
        </w:rPr>
        <w:t> </w:t>
      </w:r>
      <w:r>
        <w:rPr/>
        <w:t>the</w:t>
      </w:r>
      <w:r>
        <w:rPr>
          <w:spacing w:val="40"/>
        </w:rPr>
        <w:t> </w:t>
      </w:r>
      <w:r>
        <w:rPr/>
        <w:t>Union</w:t>
      </w:r>
      <w:r>
        <w:rPr>
          <w:spacing w:val="40"/>
        </w:rPr>
        <w:t> </w:t>
      </w:r>
      <w:r>
        <w:rPr/>
        <w:t>has</w:t>
      </w:r>
      <w:r>
        <w:rPr>
          <w:spacing w:val="40"/>
        </w:rPr>
        <w:t> </w:t>
      </w:r>
      <w:r>
        <w:rPr/>
        <w:t>developed</w:t>
      </w:r>
      <w:r>
        <w:rPr>
          <w:spacing w:val="40"/>
        </w:rPr>
        <w:t> </w:t>
      </w:r>
      <w:r>
        <w:rPr/>
        <w:t>a distinguishing bureaucratic culture, with a special system of coding and the language that</w:t>
      </w:r>
      <w:r>
        <w:rPr>
          <w:spacing w:val="-1"/>
        </w:rPr>
        <w:t> </w:t>
      </w:r>
      <w:r>
        <w:rPr/>
        <w:t>transcends the</w:t>
      </w:r>
      <w:r>
        <w:rPr>
          <w:spacing w:val="-1"/>
        </w:rPr>
        <w:t> </w:t>
      </w:r>
      <w:r>
        <w:rPr/>
        <w:t>national boundaries (Euro-speak). (</w:t>
      </w:r>
      <w:hyperlink w:history="true" w:anchor="_bookmark159">
        <w:r>
          <w:rPr/>
          <w:t>Diez, 1999</w:t>
        </w:r>
      </w:hyperlink>
      <w:r>
        <w:rPr/>
        <w:t>)</w:t>
      </w:r>
    </w:p>
    <w:p>
      <w:pPr>
        <w:pStyle w:val="BodyText"/>
        <w:spacing w:line="276" w:lineRule="auto"/>
        <w:ind w:right="1914" w:firstLine="720"/>
      </w:pPr>
      <w:r>
        <w:rPr/>
        <w:t>And finally, the systemic ideal is the same as it was in the beginning of integration. The EU is a value-based community that tries to achieve the peace and prosperity via enhanced cooperation.</w:t>
      </w:r>
    </w:p>
    <w:p>
      <w:pPr>
        <w:pStyle w:val="BodyText"/>
        <w:ind w:left="0"/>
        <w:jc w:val="left"/>
      </w:pPr>
    </w:p>
    <w:p>
      <w:pPr>
        <w:pStyle w:val="BodyText"/>
        <w:spacing w:before="315"/>
        <w:ind w:left="0"/>
        <w:jc w:val="left"/>
      </w:pPr>
    </w:p>
    <w:p>
      <w:pPr>
        <w:pStyle w:val="Heading4"/>
        <w:numPr>
          <w:ilvl w:val="1"/>
          <w:numId w:val="16"/>
        </w:numPr>
        <w:tabs>
          <w:tab w:pos="1582" w:val="left" w:leader="none"/>
        </w:tabs>
        <w:spacing w:line="240" w:lineRule="auto" w:before="0" w:after="0"/>
        <w:ind w:left="1582" w:right="0" w:hanging="603"/>
        <w:jc w:val="left"/>
      </w:pPr>
      <w:bookmarkStart w:name="_bookmark52" w:id="53"/>
      <w:bookmarkEnd w:id="53"/>
      <w:r>
        <w:rPr>
          <w:b w:val="0"/>
        </w:rPr>
      </w:r>
      <w:r>
        <w:rPr>
          <w:spacing w:val="-8"/>
        </w:rPr>
        <w:t>Legal</w:t>
      </w:r>
      <w:r>
        <w:rPr>
          <w:spacing w:val="-10"/>
        </w:rPr>
        <w:t> </w:t>
      </w:r>
      <w:r>
        <w:rPr>
          <w:spacing w:val="-2"/>
        </w:rPr>
        <w:t>System</w:t>
      </w:r>
    </w:p>
    <w:p>
      <w:pPr>
        <w:pStyle w:val="BodyText"/>
        <w:spacing w:before="194"/>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62080">
                <wp:simplePos x="0" y="0"/>
                <wp:positionH relativeFrom="page">
                  <wp:posOffset>1078864</wp:posOffset>
                </wp:positionH>
                <wp:positionV relativeFrom="paragraph">
                  <wp:posOffset>283172</wp:posOffset>
                </wp:positionV>
                <wp:extent cx="5252085" cy="51435"/>
                <wp:effectExtent l="0" t="0" r="0" b="0"/>
                <wp:wrapTopAndBottom/>
                <wp:docPr id="179" name="Graphic 179"/>
                <wp:cNvGraphicFramePr>
                  <a:graphicFrameLocks/>
                </wp:cNvGraphicFramePr>
                <a:graphic>
                  <a:graphicData uri="http://schemas.microsoft.com/office/word/2010/wordprocessingShape">
                    <wps:wsp>
                      <wps:cNvPr id="179" name="Graphic 179"/>
                      <wps:cNvSpPr/>
                      <wps:spPr>
                        <a:xfrm>
                          <a:off x="0" y="0"/>
                          <a:ext cx="5252085" cy="51435"/>
                        </a:xfrm>
                        <a:custGeom>
                          <a:avLst/>
                          <a:gdLst/>
                          <a:ahLst/>
                          <a:cxnLst/>
                          <a:rect l="l" t="t" r="r" b="b"/>
                          <a:pathLst>
                            <a:path w="5252085" h="51435">
                              <a:moveTo>
                                <a:pt x="5252085" y="0"/>
                              </a:moveTo>
                              <a:lnTo>
                                <a:pt x="0" y="0"/>
                              </a:lnTo>
                              <a:lnTo>
                                <a:pt x="0" y="51435"/>
                              </a:lnTo>
                              <a:lnTo>
                                <a:pt x="5252085" y="51435"/>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297012pt;width:413.55pt;height:4.05pt;mso-position-horizontal-relative:page;mso-position-vertical-relative:paragraph;z-index:-15654400;mso-wrap-distance-left:0;mso-wrap-distance-right:0" id="docshape166"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spacing w:before="8"/>
        <w:ind w:left="0"/>
        <w:jc w:val="left"/>
        <w:rPr>
          <w:rFonts w:ascii="Georgia"/>
          <w:b/>
        </w:rPr>
      </w:pPr>
    </w:p>
    <w:p>
      <w:pPr>
        <w:pStyle w:val="BodyText"/>
        <w:spacing w:line="273" w:lineRule="auto"/>
        <w:ind w:right="1909" w:firstLine="720"/>
      </w:pPr>
      <w:r>
        <w:rPr/>
        <w:t>The legal dimension of the EU system can be seen as the most important among others for three reasons: </w:t>
      </w:r>
      <w:r>
        <w:rPr>
          <w:sz w:val="27"/>
        </w:rPr>
        <w:t>first</w:t>
      </w:r>
      <w:r>
        <w:rPr/>
        <w:t>, while the European governance is lacking a coercive power, the only tool of imposing the sanctions is legislation. The supremacy of the European law over the national ones,</w:t>
      </w:r>
      <w:r>
        <w:rPr>
          <w:spacing w:val="4"/>
        </w:rPr>
        <w:t> </w:t>
      </w:r>
      <w:r>
        <w:rPr/>
        <w:t>not</w:t>
      </w:r>
      <w:r>
        <w:rPr>
          <w:spacing w:val="3"/>
        </w:rPr>
        <w:t> </w:t>
      </w:r>
      <w:r>
        <w:rPr/>
        <w:t>only</w:t>
      </w:r>
      <w:r>
        <w:rPr>
          <w:spacing w:val="2"/>
        </w:rPr>
        <w:t> </w:t>
      </w:r>
      <w:r>
        <w:rPr/>
        <w:t>pre-supposes</w:t>
      </w:r>
      <w:r>
        <w:rPr>
          <w:spacing w:val="1"/>
        </w:rPr>
        <w:t> </w:t>
      </w:r>
      <w:r>
        <w:rPr/>
        <w:t>the</w:t>
      </w:r>
      <w:r>
        <w:rPr>
          <w:spacing w:val="3"/>
        </w:rPr>
        <w:t> </w:t>
      </w:r>
      <w:r>
        <w:rPr/>
        <w:t>top</w:t>
      </w:r>
      <w:r>
        <w:rPr>
          <w:spacing w:val="6"/>
        </w:rPr>
        <w:t> </w:t>
      </w:r>
      <w:r>
        <w:rPr/>
        <w:t>down</w:t>
      </w:r>
      <w:r>
        <w:rPr>
          <w:spacing w:val="4"/>
        </w:rPr>
        <w:t> </w:t>
      </w:r>
      <w:r>
        <w:rPr/>
        <w:t>influence</w:t>
      </w:r>
      <w:r>
        <w:rPr>
          <w:spacing w:val="4"/>
        </w:rPr>
        <w:t> </w:t>
      </w:r>
      <w:r>
        <w:rPr/>
        <w:t>of</w:t>
      </w:r>
      <w:r>
        <w:rPr>
          <w:spacing w:val="1"/>
        </w:rPr>
        <w:t> </w:t>
      </w:r>
      <w:r>
        <w:rPr/>
        <w:t>the</w:t>
      </w:r>
      <w:r>
        <w:rPr>
          <w:spacing w:val="-1"/>
        </w:rPr>
        <w:t> </w:t>
      </w:r>
      <w:r>
        <w:rPr/>
        <w:t>EU,</w:t>
      </w:r>
      <w:r>
        <w:rPr>
          <w:spacing w:val="4"/>
        </w:rPr>
        <w:t> </w:t>
      </w:r>
      <w:r>
        <w:rPr>
          <w:spacing w:val="-5"/>
        </w:rPr>
        <w:t>but</w:t>
      </w:r>
    </w:p>
    <w:p>
      <w:pPr>
        <w:pStyle w:val="BodyText"/>
        <w:spacing w:after="0" w:line="273" w:lineRule="auto"/>
        <w:sectPr>
          <w:pgSz w:w="12240" w:h="15840"/>
          <w:pgMar w:header="1046" w:footer="0" w:top="1360" w:bottom="280" w:left="720" w:right="360"/>
        </w:sectPr>
      </w:pPr>
    </w:p>
    <w:p>
      <w:pPr>
        <w:pStyle w:val="BodyText"/>
        <w:spacing w:line="273" w:lineRule="auto" w:before="266"/>
        <w:ind w:right="1904"/>
      </w:pPr>
      <w:r>
        <w:rPr/>
        <w:t>also paves the way for other dimensions. </w:t>
      </w:r>
      <w:r>
        <w:rPr>
          <w:sz w:val="27"/>
        </w:rPr>
        <w:t>Second</w:t>
      </w:r>
      <w:r>
        <w:rPr/>
        <w:t>, the Court is built on the basis of common European legal traditions. (</w:t>
      </w:r>
      <w:hyperlink w:history="true" w:anchor="_bookmark125">
        <w:r>
          <w:rPr/>
          <w:t>Carozza, 2016</w:t>
        </w:r>
      </w:hyperlink>
      <w:r>
        <w:rPr/>
        <w:t>) The legal language across the continent has remained largely unchanged. We cannot say the same about ways of political communication. </w:t>
      </w:r>
      <w:r>
        <w:rPr>
          <w:sz w:val="27"/>
        </w:rPr>
        <w:t>Third</w:t>
      </w:r>
      <w:r>
        <w:rPr/>
        <w:t>, the legal communication in general is based on formal rules; therefore, the self- referential process within the legal system has to be more efficient than </w:t>
      </w:r>
      <w:r>
        <w:rPr>
          <w:spacing w:val="-2"/>
        </w:rPr>
        <w:t>others.</w:t>
      </w:r>
    </w:p>
    <w:p>
      <w:pPr>
        <w:pStyle w:val="BodyText"/>
        <w:spacing w:line="273" w:lineRule="auto" w:before="4"/>
        <w:ind w:right="1906" w:firstLine="720"/>
      </w:pPr>
      <w:r>
        <w:rPr/>
        <w:t>As we have taken the</w:t>
      </w:r>
      <w:r>
        <w:rPr>
          <w:spacing w:val="-2"/>
        </w:rPr>
        <w:t> </w:t>
      </w:r>
      <w:r>
        <w:rPr/>
        <w:t>supremacy of the EU law as a starting</w:t>
      </w:r>
      <w:r>
        <w:rPr>
          <w:spacing w:val="-1"/>
        </w:rPr>
        <w:t> </w:t>
      </w:r>
      <w:r>
        <w:rPr/>
        <w:t>point for discussing the structural couplings among the functional systems, we have to show how the legal system creates the linkages with the economic and political entities [systems]. </w:t>
      </w:r>
      <w:r>
        <w:rPr>
          <w:sz w:val="27"/>
        </w:rPr>
        <w:t>Luhmann </w:t>
      </w:r>
      <w:r>
        <w:rPr/>
        <w:t>argued that the possibilities of a legal system</w:t>
      </w:r>
      <w:r>
        <w:rPr>
          <w:spacing w:val="-4"/>
        </w:rPr>
        <w:t> </w:t>
      </w:r>
      <w:r>
        <w:rPr/>
        <w:t>to provide</w:t>
      </w:r>
      <w:r>
        <w:rPr>
          <w:spacing w:val="-2"/>
        </w:rPr>
        <w:t> </w:t>
      </w:r>
      <w:r>
        <w:rPr/>
        <w:t>“an instrumental</w:t>
      </w:r>
      <w:r>
        <w:rPr>
          <w:spacing w:val="-4"/>
        </w:rPr>
        <w:t> </w:t>
      </w:r>
      <w:r>
        <w:rPr/>
        <w:t>use</w:t>
      </w:r>
      <w:r>
        <w:rPr>
          <w:spacing w:val="-2"/>
        </w:rPr>
        <w:t> </w:t>
      </w:r>
      <w:r>
        <w:rPr/>
        <w:t>of</w:t>
      </w:r>
      <w:r>
        <w:rPr>
          <w:spacing w:val="-3"/>
        </w:rPr>
        <w:t> </w:t>
      </w:r>
      <w:r>
        <w:rPr/>
        <w:t>conceptual</w:t>
      </w:r>
      <w:r>
        <w:rPr>
          <w:spacing w:val="-5"/>
        </w:rPr>
        <w:t> </w:t>
      </w:r>
      <w:r>
        <w:rPr/>
        <w:t>variations”</w:t>
      </w:r>
      <w:r>
        <w:rPr>
          <w:spacing w:val="-1"/>
        </w:rPr>
        <w:t> </w:t>
      </w:r>
      <w:r>
        <w:rPr/>
        <w:t>has</w:t>
      </w:r>
      <w:r>
        <w:rPr>
          <w:spacing w:val="-4"/>
        </w:rPr>
        <w:t> </w:t>
      </w:r>
      <w:r>
        <w:rPr/>
        <w:t>formed a special connection with the political system. (</w:t>
      </w:r>
      <w:hyperlink w:history="true" w:anchor="_bookmark267">
        <w:r>
          <w:rPr/>
          <w:t>Luhmann, 1991, p. 1436</w:t>
        </w:r>
      </w:hyperlink>
      <w:r>
        <w:rPr/>
        <w:t>) The result of this connection is the concept of “state” that combines</w:t>
      </w:r>
      <w:r>
        <w:rPr>
          <w:spacing w:val="40"/>
        </w:rPr>
        <w:t> </w:t>
      </w:r>
      <w:r>
        <w:rPr/>
        <w:t>political and legal sovereignty.</w:t>
      </w:r>
    </w:p>
    <w:p>
      <w:pPr>
        <w:pStyle w:val="BodyText"/>
        <w:spacing w:line="273" w:lineRule="auto" w:before="12"/>
        <w:ind w:right="1911" w:firstLine="787"/>
      </w:pPr>
      <w:r>
        <w:rPr/>
        <w:t>This close linkage should not be confused in a reciprocal operational openness.</w:t>
      </w:r>
      <w:r>
        <w:rPr>
          <w:spacing w:val="-7"/>
        </w:rPr>
        <w:t> </w:t>
      </w:r>
      <w:r>
        <w:rPr/>
        <w:t>The</w:t>
      </w:r>
      <w:r>
        <w:rPr>
          <w:spacing w:val="-7"/>
        </w:rPr>
        <w:t> </w:t>
      </w:r>
      <w:r>
        <w:rPr>
          <w:sz w:val="27"/>
        </w:rPr>
        <w:t>autopoiesis</w:t>
      </w:r>
      <w:r>
        <w:rPr>
          <w:spacing w:val="-11"/>
          <w:sz w:val="27"/>
        </w:rPr>
        <w:t> </w:t>
      </w:r>
      <w:r>
        <w:rPr/>
        <w:t>of</w:t>
      </w:r>
      <w:r>
        <w:rPr>
          <w:spacing w:val="-8"/>
        </w:rPr>
        <w:t> </w:t>
      </w:r>
      <w:r>
        <w:rPr/>
        <w:t>the</w:t>
      </w:r>
      <w:r>
        <w:rPr>
          <w:spacing w:val="-8"/>
        </w:rPr>
        <w:t> </w:t>
      </w:r>
      <w:r>
        <w:rPr/>
        <w:t>legal</w:t>
      </w:r>
      <w:r>
        <w:rPr>
          <w:spacing w:val="-6"/>
        </w:rPr>
        <w:t> </w:t>
      </w:r>
      <w:r>
        <w:rPr/>
        <w:t>system</w:t>
      </w:r>
      <w:r>
        <w:rPr>
          <w:spacing w:val="-6"/>
        </w:rPr>
        <w:t> </w:t>
      </w:r>
      <w:r>
        <w:rPr/>
        <w:t>involves</w:t>
      </w:r>
      <w:r>
        <w:rPr>
          <w:spacing w:val="-9"/>
        </w:rPr>
        <w:t> </w:t>
      </w:r>
      <w:r>
        <w:rPr/>
        <w:t>a</w:t>
      </w:r>
      <w:r>
        <w:rPr>
          <w:spacing w:val="-8"/>
        </w:rPr>
        <w:t> </w:t>
      </w:r>
      <w:r>
        <w:rPr/>
        <w:t>distinction</w:t>
      </w:r>
      <w:r>
        <w:rPr>
          <w:spacing w:val="-7"/>
        </w:rPr>
        <w:t> </w:t>
      </w:r>
      <w:r>
        <w:rPr/>
        <w:t>between the binary ‘legal code’ [legal/illegal] and the</w:t>
      </w:r>
      <w:r>
        <w:rPr>
          <w:spacing w:val="-1"/>
        </w:rPr>
        <w:t> </w:t>
      </w:r>
      <w:r>
        <w:rPr/>
        <w:t>‘legal program.’ If the former is invariant and remains intact, the latter is “increasingly altered in order to take account of social polycontextuallity.” (</w:t>
      </w:r>
      <w:hyperlink w:history="true" w:anchor="_bookmark408">
        <w:r>
          <w:rPr/>
          <w:t>Teubner &amp; Febbrajo, 1992, p. 9</w:t>
        </w:r>
      </w:hyperlink>
      <w:r>
        <w:rPr/>
        <w:t>) To say it otherwise, the legal system is normatively closed, but it is cognitively open.</w:t>
      </w:r>
    </w:p>
    <w:p>
      <w:pPr>
        <w:pStyle w:val="BodyText"/>
        <w:spacing w:line="273" w:lineRule="auto" w:before="8"/>
        <w:ind w:right="1905" w:firstLine="720"/>
      </w:pPr>
      <w:r>
        <w:rPr/>
        <w:t>The openness of reasoning is required to distinguish the legal norms from ordinary environmental opinions. In this sense, the legal system not only</w:t>
      </w:r>
      <w:r>
        <w:rPr>
          <w:spacing w:val="-2"/>
        </w:rPr>
        <w:t> </w:t>
      </w:r>
      <w:r>
        <w:rPr/>
        <w:t>contains</w:t>
      </w:r>
      <w:r>
        <w:rPr>
          <w:spacing w:val="-2"/>
        </w:rPr>
        <w:t> </w:t>
      </w:r>
      <w:r>
        <w:rPr/>
        <w:t>actions</w:t>
      </w:r>
      <w:r>
        <w:rPr>
          <w:spacing w:val="-4"/>
        </w:rPr>
        <w:t> </w:t>
      </w:r>
      <w:r>
        <w:rPr/>
        <w:t>deriving</w:t>
      </w:r>
      <w:r>
        <w:rPr>
          <w:spacing w:val="-2"/>
        </w:rPr>
        <w:t> </w:t>
      </w:r>
      <w:r>
        <w:rPr/>
        <w:t>from</w:t>
      </w:r>
      <w:r>
        <w:rPr>
          <w:spacing w:val="-4"/>
        </w:rPr>
        <w:t> </w:t>
      </w:r>
      <w:r>
        <w:rPr/>
        <w:t>formal</w:t>
      </w:r>
      <w:r>
        <w:rPr>
          <w:spacing w:val="-4"/>
        </w:rPr>
        <w:t> </w:t>
      </w:r>
      <w:r>
        <w:rPr/>
        <w:t>rules,</w:t>
      </w:r>
      <w:r>
        <w:rPr>
          <w:spacing w:val="-1"/>
        </w:rPr>
        <w:t> </w:t>
      </w:r>
      <w:r>
        <w:rPr/>
        <w:t>but</w:t>
      </w:r>
      <w:r>
        <w:rPr>
          <w:spacing w:val="-2"/>
        </w:rPr>
        <w:t> </w:t>
      </w:r>
      <w:r>
        <w:rPr/>
        <w:t>also,</w:t>
      </w:r>
      <w:r>
        <w:rPr>
          <w:spacing w:val="-1"/>
        </w:rPr>
        <w:t> </w:t>
      </w:r>
      <w:r>
        <w:rPr/>
        <w:t>from</w:t>
      </w:r>
      <w:r>
        <w:rPr>
          <w:spacing w:val="-4"/>
        </w:rPr>
        <w:t> </w:t>
      </w:r>
      <w:r>
        <w:rPr/>
        <w:t>“any</w:t>
      </w:r>
      <w:r>
        <w:rPr>
          <w:spacing w:val="-2"/>
        </w:rPr>
        <w:t> </w:t>
      </w:r>
      <w:r>
        <w:rPr/>
        <w:t>human communication,</w:t>
      </w:r>
      <w:r>
        <w:rPr>
          <w:spacing w:val="-2"/>
        </w:rPr>
        <w:t> </w:t>
      </w:r>
      <w:r>
        <w:rPr/>
        <w:t>which</w:t>
      </w:r>
      <w:r>
        <w:rPr>
          <w:spacing w:val="-3"/>
        </w:rPr>
        <w:t> </w:t>
      </w:r>
      <w:r>
        <w:rPr/>
        <w:t>has</w:t>
      </w:r>
      <w:r>
        <w:rPr>
          <w:spacing w:val="-4"/>
        </w:rPr>
        <w:t> </w:t>
      </w:r>
      <w:r>
        <w:rPr/>
        <w:t>reference</w:t>
      </w:r>
      <w:r>
        <w:rPr>
          <w:spacing w:val="-3"/>
        </w:rPr>
        <w:t> </w:t>
      </w:r>
      <w:r>
        <w:rPr/>
        <w:t>to</w:t>
      </w:r>
      <w:r>
        <w:rPr>
          <w:spacing w:val="-5"/>
        </w:rPr>
        <w:t> </w:t>
      </w:r>
      <w:r>
        <w:rPr/>
        <w:t>legal</w:t>
      </w:r>
      <w:r>
        <w:rPr>
          <w:spacing w:val="-1"/>
        </w:rPr>
        <w:t> </w:t>
      </w:r>
      <w:r>
        <w:rPr/>
        <w:t>expectations.”</w:t>
      </w:r>
      <w:r>
        <w:rPr>
          <w:spacing w:val="-2"/>
        </w:rPr>
        <w:t> </w:t>
      </w:r>
      <w:r>
        <w:rPr/>
        <w:t>(</w:t>
      </w:r>
      <w:hyperlink w:history="true" w:anchor="_bookmark407">
        <w:r>
          <w:rPr/>
          <w:t>Teubner,</w:t>
        </w:r>
        <w:r>
          <w:rPr>
            <w:spacing w:val="-2"/>
          </w:rPr>
          <w:t> </w:t>
        </w:r>
        <w:r>
          <w:rPr/>
          <w:t>1984,</w:t>
        </w:r>
      </w:hyperlink>
      <w:r>
        <w:rPr/>
        <w:t> </w:t>
      </w:r>
      <w:hyperlink w:history="true" w:anchor="_bookmark407">
        <w:r>
          <w:rPr/>
          <w:t>p. 86</w:t>
        </w:r>
      </w:hyperlink>
      <w:r>
        <w:rPr/>
        <w:t>) Political communication, as it creates the binding decisions has to have a legal depiction. Modern political systems use legal systems to fix the decisions. The distinctive feature of the legal </w:t>
      </w:r>
      <w:r>
        <w:rPr>
          <w:sz w:val="27"/>
        </w:rPr>
        <w:t>autopoiesis</w:t>
      </w:r>
      <w:r>
        <w:rPr/>
        <w:t>, is the fact that, even if the recursive operations re-create legal acts from the legal acts, the unity</w:t>
      </w:r>
      <w:r>
        <w:rPr>
          <w:spacing w:val="57"/>
          <w:w w:val="150"/>
        </w:rPr>
        <w:t> </w:t>
      </w:r>
      <w:r>
        <w:rPr/>
        <w:t>only</w:t>
      </w:r>
      <w:r>
        <w:rPr>
          <w:spacing w:val="62"/>
          <w:w w:val="150"/>
        </w:rPr>
        <w:t> </w:t>
      </w:r>
      <w:r>
        <w:rPr/>
        <w:t>becomes</w:t>
      </w:r>
      <w:r>
        <w:rPr>
          <w:spacing w:val="55"/>
          <w:w w:val="150"/>
        </w:rPr>
        <w:t> </w:t>
      </w:r>
      <w:r>
        <w:rPr/>
        <w:t>the</w:t>
      </w:r>
      <w:r>
        <w:rPr>
          <w:spacing w:val="59"/>
          <w:w w:val="150"/>
        </w:rPr>
        <w:t> </w:t>
      </w:r>
      <w:r>
        <w:rPr/>
        <w:t>“</w:t>
      </w:r>
      <w:r>
        <w:rPr>
          <w:sz w:val="27"/>
        </w:rPr>
        <w:t>autopoietic</w:t>
      </w:r>
      <w:r>
        <w:rPr>
          <w:spacing w:val="59"/>
          <w:w w:val="150"/>
          <w:sz w:val="27"/>
        </w:rPr>
        <w:t> </w:t>
      </w:r>
      <w:r>
        <w:rPr/>
        <w:t>organization</w:t>
      </w:r>
      <w:r>
        <w:rPr>
          <w:spacing w:val="60"/>
          <w:w w:val="150"/>
        </w:rPr>
        <w:t> </w:t>
      </w:r>
      <w:r>
        <w:rPr/>
        <w:t>to</w:t>
      </w:r>
      <w:r>
        <w:rPr>
          <w:spacing w:val="60"/>
          <w:w w:val="150"/>
        </w:rPr>
        <w:t> </w:t>
      </w:r>
      <w:r>
        <w:rPr/>
        <w:t>the</w:t>
      </w:r>
      <w:r>
        <w:rPr>
          <w:spacing w:val="58"/>
          <w:w w:val="150"/>
        </w:rPr>
        <w:t> </w:t>
      </w:r>
      <w:r>
        <w:rPr/>
        <w:t>degree</w:t>
      </w:r>
      <w:r>
        <w:rPr>
          <w:spacing w:val="58"/>
          <w:w w:val="150"/>
        </w:rPr>
        <w:t> </w:t>
      </w:r>
      <w:r>
        <w:rPr>
          <w:spacing w:val="-4"/>
        </w:rPr>
        <w:t>that</w:t>
      </w:r>
    </w:p>
    <w:p>
      <w:pPr>
        <w:pStyle w:val="BodyText"/>
        <w:spacing w:after="0" w:line="273" w:lineRule="auto"/>
        <w:sectPr>
          <w:pgSz w:w="12240" w:h="15840"/>
          <w:pgMar w:header="1046" w:footer="0" w:top="1360" w:bottom="280" w:left="720" w:right="360"/>
        </w:sectPr>
      </w:pPr>
    </w:p>
    <w:p>
      <w:pPr>
        <w:pStyle w:val="BodyText"/>
        <w:spacing w:line="276" w:lineRule="auto" w:before="276"/>
        <w:ind w:right="1917"/>
      </w:pPr>
      <w:r>
        <w:rPr/>
        <w:t>references to external factors, e.g. politics and religion are replaced by references to the legal rules.” (Ibid, p. 87)</w:t>
      </w:r>
    </w:p>
    <w:p>
      <w:pPr>
        <w:pStyle w:val="BodyText"/>
        <w:spacing w:line="276" w:lineRule="auto"/>
        <w:ind w:right="1908" w:firstLine="720"/>
      </w:pPr>
      <w:r>
        <w:rPr/>
        <w:t>The</w:t>
      </w:r>
      <w:r>
        <w:rPr>
          <w:spacing w:val="-7"/>
        </w:rPr>
        <w:t> </w:t>
      </w:r>
      <w:r>
        <w:rPr/>
        <w:t>decisions,</w:t>
      </w:r>
      <w:r>
        <w:rPr>
          <w:spacing w:val="-3"/>
        </w:rPr>
        <w:t> </w:t>
      </w:r>
      <w:r>
        <w:rPr>
          <w:sz w:val="27"/>
        </w:rPr>
        <w:t>Luhmann</w:t>
      </w:r>
      <w:r>
        <w:rPr>
          <w:spacing w:val="-7"/>
          <w:sz w:val="27"/>
        </w:rPr>
        <w:t> </w:t>
      </w:r>
      <w:r>
        <w:rPr/>
        <w:t>argues,</w:t>
      </w:r>
      <w:r>
        <w:rPr>
          <w:spacing w:val="-6"/>
        </w:rPr>
        <w:t> </w:t>
      </w:r>
      <w:r>
        <w:rPr/>
        <w:t>“are</w:t>
      </w:r>
      <w:r>
        <w:rPr>
          <w:spacing w:val="-7"/>
        </w:rPr>
        <w:t> </w:t>
      </w:r>
      <w:r>
        <w:rPr/>
        <w:t>legally</w:t>
      </w:r>
      <w:r>
        <w:rPr>
          <w:spacing w:val="-7"/>
        </w:rPr>
        <w:t> </w:t>
      </w:r>
      <w:r>
        <w:rPr/>
        <w:t>valid</w:t>
      </w:r>
      <w:r>
        <w:rPr>
          <w:spacing w:val="-5"/>
        </w:rPr>
        <w:t> </w:t>
      </w:r>
      <w:r>
        <w:rPr/>
        <w:t>only</w:t>
      </w:r>
      <w:r>
        <w:rPr>
          <w:spacing w:val="-7"/>
        </w:rPr>
        <w:t> </w:t>
      </w:r>
      <w:r>
        <w:rPr/>
        <w:t>on</w:t>
      </w:r>
      <w:r>
        <w:rPr>
          <w:spacing w:val="-6"/>
        </w:rPr>
        <w:t> </w:t>
      </w:r>
      <w:r>
        <w:rPr/>
        <w:t>the</w:t>
      </w:r>
      <w:r>
        <w:rPr>
          <w:spacing w:val="-7"/>
        </w:rPr>
        <w:t> </w:t>
      </w:r>
      <w:r>
        <w:rPr/>
        <w:t>basis</w:t>
      </w:r>
      <w:r>
        <w:rPr>
          <w:spacing w:val="-9"/>
        </w:rPr>
        <w:t> </w:t>
      </w:r>
      <w:r>
        <w:rPr/>
        <w:t>of normative rules, because normative rules are valid only when implemented by decisions.” (</w:t>
      </w:r>
      <w:hyperlink w:history="true" w:anchor="_bookmark407">
        <w:r>
          <w:rPr/>
          <w:t>in Teubner, 1984, p. 87</w:t>
        </w:r>
      </w:hyperlink>
      <w:r>
        <w:rPr/>
        <w:t>) This argument has a real</w:t>
      </w:r>
      <w:r>
        <w:rPr>
          <w:spacing w:val="40"/>
        </w:rPr>
        <w:t> </w:t>
      </w:r>
      <w:r>
        <w:rPr/>
        <w:t>significance while considering a modern political system; only those decisions are real decisions, which have a legal depiction. Illegal decisions never have a systemic relevance, because they deviate from the established communicative framework [constitutional order].</w:t>
      </w:r>
    </w:p>
    <w:p>
      <w:pPr>
        <w:spacing w:line="189" w:lineRule="exact" w:before="0"/>
        <w:ind w:left="1003" w:right="0" w:firstLine="0"/>
        <w:jc w:val="both"/>
        <w:rPr>
          <w:rFonts w:ascii="Calibri"/>
          <w:b/>
          <w:sz w:val="18"/>
        </w:rPr>
      </w:pPr>
      <w:r>
        <w:rPr>
          <w:rFonts w:ascii="Calibri"/>
          <w:b/>
          <w:color w:val="4F81BC"/>
          <w:sz w:val="18"/>
        </w:rPr>
        <w:t>Figure</w:t>
      </w:r>
      <w:r>
        <w:rPr>
          <w:rFonts w:ascii="Calibri"/>
          <w:b/>
          <w:color w:val="4F81BC"/>
          <w:spacing w:val="1"/>
          <w:sz w:val="18"/>
        </w:rPr>
        <w:t> </w:t>
      </w:r>
      <w:r>
        <w:rPr>
          <w:rFonts w:ascii="Calibri"/>
          <w:b/>
          <w:color w:val="4F81BC"/>
          <w:sz w:val="18"/>
        </w:rPr>
        <w:t>15.</w:t>
      </w:r>
      <w:r>
        <w:rPr>
          <w:rFonts w:ascii="Calibri"/>
          <w:b/>
          <w:color w:val="4F81BC"/>
          <w:spacing w:val="-5"/>
          <w:sz w:val="18"/>
        </w:rPr>
        <w:t> </w:t>
      </w:r>
      <w:r>
        <w:rPr>
          <w:rFonts w:ascii="Calibri"/>
          <w:b/>
          <w:color w:val="4F81BC"/>
          <w:sz w:val="18"/>
        </w:rPr>
        <w:t>Legal</w:t>
      </w:r>
      <w:r>
        <w:rPr>
          <w:rFonts w:ascii="Calibri"/>
          <w:b/>
          <w:color w:val="4F81BC"/>
          <w:spacing w:val="-5"/>
          <w:sz w:val="18"/>
        </w:rPr>
        <w:t> </w:t>
      </w:r>
      <w:r>
        <w:rPr>
          <w:rFonts w:ascii="Calibri"/>
          <w:b/>
          <w:color w:val="4F81BC"/>
          <w:sz w:val="18"/>
        </w:rPr>
        <w:t>System</w:t>
      </w:r>
      <w:r>
        <w:rPr>
          <w:rFonts w:ascii="Calibri"/>
          <w:b/>
          <w:color w:val="4F81BC"/>
          <w:spacing w:val="-3"/>
          <w:sz w:val="18"/>
        </w:rPr>
        <w:t> </w:t>
      </w:r>
      <w:r>
        <w:rPr>
          <w:rFonts w:ascii="Calibri"/>
          <w:b/>
          <w:color w:val="4F81BC"/>
          <w:spacing w:val="-2"/>
          <w:sz w:val="18"/>
        </w:rPr>
        <w:t>coupling</w:t>
      </w:r>
    </w:p>
    <w:p>
      <w:pPr>
        <w:pStyle w:val="BodyText"/>
        <w:spacing w:before="64"/>
        <w:ind w:left="0"/>
        <w:jc w:val="left"/>
        <w:rPr>
          <w:rFonts w:ascii="Calibri"/>
          <w:b/>
          <w:sz w:val="20"/>
        </w:rPr>
      </w:pPr>
      <w:r>
        <w:rPr>
          <w:rFonts w:ascii="Calibri"/>
          <w:b/>
          <w:sz w:val="20"/>
        </w:rPr>
        <mc:AlternateContent>
          <mc:Choice Requires="wps">
            <w:drawing>
              <wp:anchor distT="0" distB="0" distL="0" distR="0" allowOverlap="1" layoutInCell="1" locked="0" behindDoc="1" simplePos="0" relativeHeight="487662592">
                <wp:simplePos x="0" y="0"/>
                <wp:positionH relativeFrom="page">
                  <wp:posOffset>1087755</wp:posOffset>
                </wp:positionH>
                <wp:positionV relativeFrom="paragraph">
                  <wp:posOffset>211302</wp:posOffset>
                </wp:positionV>
                <wp:extent cx="3381375" cy="2390775"/>
                <wp:effectExtent l="0" t="0" r="0" b="0"/>
                <wp:wrapTopAndBottom/>
                <wp:docPr id="180" name="Group 180" descr="C:\Users\user\Desktop\diagrams\coupling legals.jpg"/>
                <wp:cNvGraphicFramePr>
                  <a:graphicFrameLocks/>
                </wp:cNvGraphicFramePr>
                <a:graphic>
                  <a:graphicData uri="http://schemas.microsoft.com/office/word/2010/wordprocessingGroup">
                    <wpg:wgp>
                      <wpg:cNvPr id="180" name="Group 180" descr="C:\Users\user\Desktop\diagrams\coupling legals.jpg"/>
                      <wpg:cNvGrpSpPr/>
                      <wpg:grpSpPr>
                        <a:xfrm>
                          <a:off x="0" y="0"/>
                          <a:ext cx="3381375" cy="2390775"/>
                          <a:chExt cx="3381375" cy="2390775"/>
                        </a:xfrm>
                      </wpg:grpSpPr>
                      <pic:pic>
                        <pic:nvPicPr>
                          <pic:cNvPr id="181" name="Image 181" descr="C:\Users\user\Desktop\diagrams\coupling legals.jpg"/>
                          <pic:cNvPicPr/>
                        </pic:nvPicPr>
                        <pic:blipFill>
                          <a:blip r:embed="rId38" cstate="print"/>
                          <a:stretch>
                            <a:fillRect/>
                          </a:stretch>
                        </pic:blipFill>
                        <pic:spPr>
                          <a:xfrm>
                            <a:off x="9525" y="9588"/>
                            <a:ext cx="3362325" cy="2371725"/>
                          </a:xfrm>
                          <a:prstGeom prst="rect">
                            <a:avLst/>
                          </a:prstGeom>
                        </pic:spPr>
                      </pic:pic>
                      <wps:wsp>
                        <wps:cNvPr id="182" name="Graphic 182"/>
                        <wps:cNvSpPr/>
                        <wps:spPr>
                          <a:xfrm>
                            <a:off x="4762" y="4762"/>
                            <a:ext cx="3371850" cy="2381250"/>
                          </a:xfrm>
                          <a:custGeom>
                            <a:avLst/>
                            <a:gdLst/>
                            <a:ahLst/>
                            <a:cxnLst/>
                            <a:rect l="l" t="t" r="r" b="b"/>
                            <a:pathLst>
                              <a:path w="3371850" h="2381250">
                                <a:moveTo>
                                  <a:pt x="0" y="2381250"/>
                                </a:moveTo>
                                <a:lnTo>
                                  <a:pt x="3371850" y="2381250"/>
                                </a:lnTo>
                                <a:lnTo>
                                  <a:pt x="3371850" y="0"/>
                                </a:lnTo>
                                <a:lnTo>
                                  <a:pt x="0" y="0"/>
                                </a:lnTo>
                                <a:lnTo>
                                  <a:pt x="0" y="238125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85.650002pt;margin-top:16.637978pt;width:266.25pt;height:188.25pt;mso-position-horizontal-relative:page;mso-position-vertical-relative:paragraph;z-index:-15653888;mso-wrap-distance-left:0;mso-wrap-distance-right:0" id="docshapegroup167" coordorigin="1713,333" coordsize="5325,3765" alt="C:\Users\user\Desktop\diagrams\coupling legals.jpg">
                <v:shape style="position:absolute;left:1728;top:347;width:5295;height:3735" type="#_x0000_t75" id="docshape168" alt="C:\Users\user\Desktop\diagrams\coupling legals.jpg" stroked="false">
                  <v:imagedata r:id="rId38" o:title=""/>
                </v:shape>
                <v:rect style="position:absolute;left:1720;top:340;width:5310;height:3750" id="docshape169" filled="false" stroked="true" strokeweight=".75pt" strokecolor="#000000">
                  <v:stroke dashstyle="solid"/>
                </v:rect>
                <w10:wrap type="topAndBottom"/>
              </v:group>
            </w:pict>
          </mc:Fallback>
        </mc:AlternateContent>
      </w:r>
    </w:p>
    <w:p>
      <w:pPr>
        <w:pStyle w:val="BodyText"/>
        <w:spacing w:line="276" w:lineRule="auto" w:before="29"/>
        <w:ind w:right="1902" w:firstLine="720"/>
      </w:pPr>
      <w:r>
        <w:rPr/>
        <w:t>The figure describes the role of the legal system in the EU: A) the political</w:t>
      </w:r>
      <w:r>
        <w:rPr>
          <w:spacing w:val="-4"/>
        </w:rPr>
        <w:t> </w:t>
      </w:r>
      <w:r>
        <w:rPr/>
        <w:t>system</w:t>
      </w:r>
      <w:r>
        <w:rPr>
          <w:spacing w:val="-3"/>
        </w:rPr>
        <w:t> </w:t>
      </w:r>
      <w:r>
        <w:rPr/>
        <w:t>has</w:t>
      </w:r>
      <w:r>
        <w:rPr>
          <w:spacing w:val="-3"/>
        </w:rPr>
        <w:t> </w:t>
      </w:r>
      <w:r>
        <w:rPr/>
        <w:t>to</w:t>
      </w:r>
      <w:r>
        <w:rPr>
          <w:spacing w:val="-4"/>
        </w:rPr>
        <w:t> </w:t>
      </w:r>
      <w:r>
        <w:rPr/>
        <w:t>fix</w:t>
      </w:r>
      <w:r>
        <w:rPr>
          <w:spacing w:val="-2"/>
        </w:rPr>
        <w:t> </w:t>
      </w:r>
      <w:r>
        <w:rPr/>
        <w:t>decisions</w:t>
      </w:r>
      <w:r>
        <w:rPr>
          <w:spacing w:val="-3"/>
        </w:rPr>
        <w:t> </w:t>
      </w:r>
      <w:r>
        <w:rPr/>
        <w:t>using</w:t>
      </w:r>
      <w:r>
        <w:rPr>
          <w:spacing w:val="-1"/>
        </w:rPr>
        <w:t> </w:t>
      </w:r>
      <w:r>
        <w:rPr/>
        <w:t>the</w:t>
      </w:r>
      <w:r>
        <w:rPr>
          <w:spacing w:val="-1"/>
        </w:rPr>
        <w:t> </w:t>
      </w:r>
      <w:r>
        <w:rPr/>
        <w:t>legal</w:t>
      </w:r>
      <w:r>
        <w:rPr>
          <w:spacing w:val="-3"/>
        </w:rPr>
        <w:t> </w:t>
      </w:r>
      <w:r>
        <w:rPr/>
        <w:t>code. Therefore, the</w:t>
      </w:r>
      <w:r>
        <w:rPr>
          <w:spacing w:val="-1"/>
        </w:rPr>
        <w:t> </w:t>
      </w:r>
      <w:r>
        <w:rPr/>
        <w:t>legal system has a certain ‘contract making’ role.</w:t>
      </w:r>
      <w:r>
        <w:rPr>
          <w:spacing w:val="-1"/>
        </w:rPr>
        <w:t> </w:t>
      </w:r>
      <w:r>
        <w:rPr/>
        <w:t>B) The legal system receives the inputs from other subunits; its decisions have the consequences not only in the case-relevant systems. The effects of individual adjudications escape from one area to another. C) The political decisions obtain formal</w:t>
      </w:r>
      <w:r>
        <w:rPr>
          <w:spacing w:val="40"/>
        </w:rPr>
        <w:t> </w:t>
      </w:r>
      <w:r>
        <w:rPr/>
        <w:t>depictions in the legal system, but some legal decisions likewise, have political consequences; the established precedents find their place in feedback</w:t>
      </w:r>
      <w:r>
        <w:rPr>
          <w:spacing w:val="-1"/>
        </w:rPr>
        <w:t> </w:t>
      </w:r>
      <w:r>
        <w:rPr/>
        <w:t>loops</w:t>
      </w:r>
      <w:r>
        <w:rPr>
          <w:spacing w:val="-4"/>
        </w:rPr>
        <w:t> </w:t>
      </w:r>
      <w:r>
        <w:rPr/>
        <w:t>and affect</w:t>
      </w:r>
      <w:r>
        <w:rPr>
          <w:spacing w:val="-2"/>
        </w:rPr>
        <w:t> </w:t>
      </w:r>
      <w:r>
        <w:rPr/>
        <w:t>the</w:t>
      </w:r>
      <w:r>
        <w:rPr>
          <w:spacing w:val="-2"/>
        </w:rPr>
        <w:t> </w:t>
      </w:r>
      <w:r>
        <w:rPr/>
        <w:t>political</w:t>
      </w:r>
      <w:r>
        <w:rPr>
          <w:spacing w:val="-5"/>
        </w:rPr>
        <w:t> </w:t>
      </w:r>
      <w:r>
        <w:rPr/>
        <w:t>communication.</w:t>
      </w:r>
      <w:r>
        <w:rPr>
          <w:spacing w:val="-1"/>
        </w:rPr>
        <w:t> </w:t>
      </w:r>
      <w:r>
        <w:rPr/>
        <w:t>D)</w:t>
      </w:r>
      <w:r>
        <w:rPr>
          <w:spacing w:val="-2"/>
        </w:rPr>
        <w:t> </w:t>
      </w:r>
      <w:r>
        <w:rPr/>
        <w:t>Other</w:t>
      </w:r>
      <w:r>
        <w:rPr>
          <w:spacing w:val="-1"/>
        </w:rPr>
        <w:t> </w:t>
      </w:r>
      <w:r>
        <w:rPr/>
        <w:t>subsystems can pressure the political system directly through the political process, or indirectly</w:t>
      </w:r>
      <w:r>
        <w:rPr>
          <w:spacing w:val="-3"/>
        </w:rPr>
        <w:t> </w:t>
      </w:r>
      <w:r>
        <w:rPr/>
        <w:t>using</w:t>
      </w:r>
      <w:r>
        <w:rPr>
          <w:spacing w:val="-3"/>
        </w:rPr>
        <w:t> </w:t>
      </w:r>
      <w:r>
        <w:rPr/>
        <w:t>the</w:t>
      </w:r>
      <w:r>
        <w:rPr>
          <w:spacing w:val="-3"/>
        </w:rPr>
        <w:t> </w:t>
      </w:r>
      <w:r>
        <w:rPr/>
        <w:t>legal</w:t>
      </w:r>
      <w:r>
        <w:rPr>
          <w:spacing w:val="-5"/>
        </w:rPr>
        <w:t> </w:t>
      </w:r>
      <w:r>
        <w:rPr/>
        <w:t>system.</w:t>
      </w:r>
      <w:r>
        <w:rPr>
          <w:spacing w:val="-2"/>
        </w:rPr>
        <w:t> </w:t>
      </w:r>
      <w:r>
        <w:rPr/>
        <w:t>E)</w:t>
      </w:r>
      <w:r>
        <w:rPr>
          <w:spacing w:val="-2"/>
        </w:rPr>
        <w:t> </w:t>
      </w:r>
      <w:r>
        <w:rPr/>
        <w:t>Simultaneously,</w:t>
      </w:r>
      <w:r>
        <w:rPr>
          <w:spacing w:val="-1"/>
        </w:rPr>
        <w:t> </w:t>
      </w:r>
      <w:r>
        <w:rPr/>
        <w:t>political</w:t>
      </w:r>
      <w:r>
        <w:rPr>
          <w:spacing w:val="-6"/>
        </w:rPr>
        <w:t> </w:t>
      </w:r>
      <w:r>
        <w:rPr/>
        <w:t>system</w:t>
      </w:r>
      <w:r>
        <w:rPr>
          <w:spacing w:val="-5"/>
        </w:rPr>
        <w:t> </w:t>
      </w:r>
      <w:r>
        <w:rPr/>
        <w:t>utilizes the</w:t>
      </w:r>
      <w:r>
        <w:rPr>
          <w:spacing w:val="24"/>
        </w:rPr>
        <w:t> </w:t>
      </w:r>
      <w:r>
        <w:rPr/>
        <w:t>legal</w:t>
      </w:r>
      <w:r>
        <w:rPr>
          <w:spacing w:val="22"/>
        </w:rPr>
        <w:t> </w:t>
      </w:r>
      <w:r>
        <w:rPr/>
        <w:t>norms</w:t>
      </w:r>
      <w:r>
        <w:rPr>
          <w:spacing w:val="22"/>
        </w:rPr>
        <w:t> </w:t>
      </w:r>
      <w:r>
        <w:rPr/>
        <w:t>to</w:t>
      </w:r>
      <w:r>
        <w:rPr>
          <w:spacing w:val="21"/>
        </w:rPr>
        <w:t> </w:t>
      </w:r>
      <w:r>
        <w:rPr/>
        <w:t>maintain</w:t>
      </w:r>
      <w:r>
        <w:rPr>
          <w:spacing w:val="25"/>
        </w:rPr>
        <w:t> </w:t>
      </w:r>
      <w:r>
        <w:rPr/>
        <w:t>own</w:t>
      </w:r>
      <w:r>
        <w:rPr>
          <w:spacing w:val="30"/>
        </w:rPr>
        <w:t> </w:t>
      </w:r>
      <w:r>
        <w:rPr/>
        <w:t>influence</w:t>
      </w:r>
      <w:r>
        <w:rPr>
          <w:spacing w:val="29"/>
        </w:rPr>
        <w:t> </w:t>
      </w:r>
      <w:r>
        <w:rPr/>
        <w:t>on</w:t>
      </w:r>
      <w:r>
        <w:rPr>
          <w:spacing w:val="25"/>
        </w:rPr>
        <w:t> </w:t>
      </w:r>
      <w:r>
        <w:rPr/>
        <w:t>other</w:t>
      </w:r>
      <w:r>
        <w:rPr>
          <w:spacing w:val="25"/>
        </w:rPr>
        <w:t> </w:t>
      </w:r>
      <w:r>
        <w:rPr/>
        <w:t>systems.</w:t>
      </w:r>
      <w:r>
        <w:rPr>
          <w:spacing w:val="26"/>
        </w:rPr>
        <w:t> </w:t>
      </w:r>
      <w:r>
        <w:rPr/>
        <w:t>F)</w:t>
      </w:r>
      <w:r>
        <w:rPr>
          <w:spacing w:val="25"/>
        </w:rPr>
        <w:t> </w:t>
      </w:r>
      <w:r>
        <w:rPr/>
        <w:t>The</w:t>
      </w:r>
      <w:r>
        <w:rPr>
          <w:spacing w:val="29"/>
        </w:rPr>
        <w:t> </w:t>
      </w:r>
      <w:r>
        <w:rPr/>
        <w:t>legal</w:t>
      </w:r>
    </w:p>
    <w:p>
      <w:pPr>
        <w:pStyle w:val="BodyText"/>
        <w:spacing w:after="0" w:line="276" w:lineRule="auto"/>
        <w:sectPr>
          <w:pgSz w:w="12240" w:h="15840"/>
          <w:pgMar w:header="1046" w:footer="0" w:top="1360" w:bottom="280" w:left="720" w:right="360"/>
        </w:sectPr>
      </w:pPr>
    </w:p>
    <w:p>
      <w:pPr>
        <w:pStyle w:val="BodyText"/>
        <w:spacing w:line="273" w:lineRule="auto" w:before="266"/>
        <w:ind w:right="1906"/>
      </w:pPr>
      <w:r>
        <w:rPr/>
        <w:t>system often serves as a vehicle for </w:t>
      </w:r>
      <w:r>
        <w:rPr>
          <w:sz w:val="27"/>
        </w:rPr>
        <w:t>double-loop learning</w:t>
      </w:r>
      <w:r>
        <w:rPr/>
        <w:t>.</w:t>
      </w:r>
      <w:r>
        <w:rPr>
          <w:position w:val="7"/>
          <w:sz w:val="15"/>
        </w:rPr>
        <w:t>32</w:t>
      </w:r>
      <w:r>
        <w:rPr>
          <w:spacing w:val="40"/>
          <w:position w:val="7"/>
          <w:sz w:val="15"/>
        </w:rPr>
        <w:t> </w:t>
      </w:r>
      <w:r>
        <w:rPr/>
        <w:t>Not only it follows the</w:t>
      </w:r>
      <w:r>
        <w:rPr>
          <w:spacing w:val="-1"/>
        </w:rPr>
        <w:t> </w:t>
      </w:r>
      <w:r>
        <w:rPr/>
        <w:t>original</w:t>
      </w:r>
      <w:r>
        <w:rPr>
          <w:spacing w:val="-3"/>
        </w:rPr>
        <w:t> </w:t>
      </w:r>
      <w:r>
        <w:rPr/>
        <w:t>objectives of</w:t>
      </w:r>
      <w:r>
        <w:rPr>
          <w:spacing w:val="-2"/>
        </w:rPr>
        <w:t> </w:t>
      </w:r>
      <w:r>
        <w:rPr/>
        <w:t>the</w:t>
      </w:r>
      <w:r>
        <w:rPr>
          <w:spacing w:val="-1"/>
        </w:rPr>
        <w:t> </w:t>
      </w:r>
      <w:r>
        <w:rPr/>
        <w:t>treaties, but</w:t>
      </w:r>
      <w:r>
        <w:rPr>
          <w:spacing w:val="-1"/>
        </w:rPr>
        <w:t> </w:t>
      </w:r>
      <w:r>
        <w:rPr/>
        <w:t>questions</w:t>
      </w:r>
      <w:r>
        <w:rPr>
          <w:spacing w:val="-3"/>
        </w:rPr>
        <w:t> </w:t>
      </w:r>
      <w:r>
        <w:rPr/>
        <w:t>them</w:t>
      </w:r>
      <w:r>
        <w:rPr>
          <w:spacing w:val="-3"/>
        </w:rPr>
        <w:t> </w:t>
      </w:r>
      <w:r>
        <w:rPr/>
        <w:t>and adapts to new challenges.</w:t>
      </w:r>
    </w:p>
    <w:p>
      <w:pPr>
        <w:pStyle w:val="BodyText"/>
        <w:spacing w:line="276" w:lineRule="auto" w:before="5"/>
        <w:ind w:right="1903" w:firstLine="720"/>
      </w:pPr>
      <w:r>
        <w:rPr/>
        <w:t>In the European Union power is fluid. Therefore, the political decisions that are taken within the systemic organization often leave the sphere of politics. The regionalization, the increased importance of the agencies and a role of the market, cause the fluctuations that are atypical in the normal political process. Only by means of the legal rules becomes it possible, to</w:t>
      </w:r>
      <w:r>
        <w:rPr>
          <w:spacing w:val="-4"/>
        </w:rPr>
        <w:t> </w:t>
      </w:r>
      <w:r>
        <w:rPr/>
        <w:t>bring</w:t>
      </w:r>
      <w:r>
        <w:rPr>
          <w:spacing w:val="-1"/>
        </w:rPr>
        <w:t> </w:t>
      </w:r>
      <w:r>
        <w:rPr/>
        <w:t>the</w:t>
      </w:r>
      <w:r>
        <w:rPr>
          <w:spacing w:val="-1"/>
        </w:rPr>
        <w:t> </w:t>
      </w:r>
      <w:r>
        <w:rPr/>
        <w:t>issues</w:t>
      </w:r>
      <w:r>
        <w:rPr>
          <w:spacing w:val="-3"/>
        </w:rPr>
        <w:t> </w:t>
      </w:r>
      <w:r>
        <w:rPr/>
        <w:t>back to</w:t>
      </w:r>
      <w:r>
        <w:rPr>
          <w:spacing w:val="-4"/>
        </w:rPr>
        <w:t> </w:t>
      </w:r>
      <w:r>
        <w:rPr/>
        <w:t>a</w:t>
      </w:r>
      <w:r>
        <w:rPr>
          <w:spacing w:val="-1"/>
        </w:rPr>
        <w:t> </w:t>
      </w:r>
      <w:r>
        <w:rPr/>
        <w:t>political</w:t>
      </w:r>
      <w:r>
        <w:rPr>
          <w:spacing w:val="-4"/>
        </w:rPr>
        <w:t> </w:t>
      </w:r>
      <w:r>
        <w:rPr/>
        <w:t>domain. Quite</w:t>
      </w:r>
      <w:r>
        <w:rPr>
          <w:spacing w:val="-1"/>
        </w:rPr>
        <w:t> </w:t>
      </w:r>
      <w:r>
        <w:rPr/>
        <w:t>often, the</w:t>
      </w:r>
      <w:r>
        <w:rPr>
          <w:spacing w:val="-1"/>
        </w:rPr>
        <w:t> </w:t>
      </w:r>
      <w:r>
        <w:rPr/>
        <w:t>legal precedents within the EU determine the future of political communication. “Many legal scholars portray the Court as a hero who has greatly advanced the cause of integration by intervening when the political process is stalled and no political consensus can be reached.” (</w:t>
      </w:r>
      <w:hyperlink w:history="true" w:anchor="_bookmark76">
        <w:r>
          <w:rPr/>
          <w:t>Alter, 2009a, p. 139</w:t>
        </w:r>
      </w:hyperlink>
      <w:r>
        <w:rPr/>
        <w:t>) Relying</w:t>
      </w:r>
      <w:r>
        <w:rPr>
          <w:spacing w:val="40"/>
        </w:rPr>
        <w:t> </w:t>
      </w:r>
      <w:r>
        <w:rPr/>
        <w:t>on the same logic, others maintain that the Court is designed to have a pro- integration position. This argument focuses on the fact that in many cases the treaties just provide clues for the legal system to interpret the documents in the best possible manner for the community. Former judge of the Court made it clear that: “the policies in the preamble and first few articles of the Treaties are more notable for their generality than their clarity.” (</w:t>
      </w:r>
      <w:hyperlink w:history="true" w:anchor="_bookmark153">
        <w:r>
          <w:rPr/>
          <w:t>de Waele, 2010, p. 13</w:t>
        </w:r>
      </w:hyperlink>
      <w:r>
        <w:rPr/>
        <w:t>) Similar conclusions were drawn by </w:t>
      </w:r>
      <w:r>
        <w:rPr>
          <w:sz w:val="27"/>
        </w:rPr>
        <w:t>Farrell and</w:t>
      </w:r>
      <w:r>
        <w:rPr>
          <w:spacing w:val="40"/>
          <w:sz w:val="27"/>
        </w:rPr>
        <w:t> </w:t>
      </w:r>
      <w:r>
        <w:rPr>
          <w:sz w:val="27"/>
        </w:rPr>
        <w:t>Heritier </w:t>
      </w:r>
      <w:r>
        <w:rPr/>
        <w:t>who argue that the “Treaty texts are better considered as incomplete contracts, which do not cover all contingencies.” (</w:t>
      </w:r>
      <w:hyperlink w:history="true" w:anchor="_bookmark180">
        <w:r>
          <w:rPr/>
          <w:t>2007</w:t>
        </w:r>
      </w:hyperlink>
      <w:r>
        <w:rPr/>
        <w:t>) This means that the Court not only has powers within the legal domain, but can determine political direction of the European Union as well.</w:t>
      </w:r>
    </w:p>
    <w:p>
      <w:pPr>
        <w:spacing w:line="314" w:lineRule="exact" w:before="0"/>
        <w:ind w:left="1700" w:right="0" w:firstLine="0"/>
        <w:jc w:val="both"/>
        <w:rPr>
          <w:sz w:val="26"/>
        </w:rPr>
      </w:pPr>
      <w:r>
        <w:rPr>
          <w:sz w:val="27"/>
        </w:rPr>
        <w:t>Henri</w:t>
      </w:r>
      <w:r>
        <w:rPr>
          <w:spacing w:val="-13"/>
          <w:sz w:val="27"/>
        </w:rPr>
        <w:t> </w:t>
      </w:r>
      <w:r>
        <w:rPr>
          <w:sz w:val="27"/>
        </w:rPr>
        <w:t>de</w:t>
      </w:r>
      <w:r>
        <w:rPr>
          <w:spacing w:val="-9"/>
          <w:sz w:val="27"/>
        </w:rPr>
        <w:t> </w:t>
      </w:r>
      <w:r>
        <w:rPr>
          <w:sz w:val="27"/>
        </w:rPr>
        <w:t>Waele</w:t>
      </w:r>
      <w:r>
        <w:rPr>
          <w:spacing w:val="-8"/>
          <w:sz w:val="27"/>
        </w:rPr>
        <w:t> </w:t>
      </w:r>
      <w:r>
        <w:rPr>
          <w:sz w:val="26"/>
        </w:rPr>
        <w:t>argues</w:t>
      </w:r>
      <w:r>
        <w:rPr>
          <w:spacing w:val="-9"/>
          <w:sz w:val="26"/>
        </w:rPr>
        <w:t> </w:t>
      </w:r>
      <w:r>
        <w:rPr>
          <w:sz w:val="26"/>
        </w:rPr>
        <w:t>that</w:t>
      </w:r>
      <w:r>
        <w:rPr>
          <w:spacing w:val="-8"/>
          <w:sz w:val="26"/>
        </w:rPr>
        <w:t> </w:t>
      </w:r>
      <w:r>
        <w:rPr>
          <w:sz w:val="26"/>
        </w:rPr>
        <w:t>the</w:t>
      </w:r>
      <w:r>
        <w:rPr>
          <w:spacing w:val="-7"/>
          <w:sz w:val="26"/>
        </w:rPr>
        <w:t> </w:t>
      </w:r>
      <w:r>
        <w:rPr>
          <w:sz w:val="26"/>
        </w:rPr>
        <w:t>status</w:t>
      </w:r>
      <w:r>
        <w:rPr>
          <w:spacing w:val="-5"/>
          <w:sz w:val="26"/>
        </w:rPr>
        <w:t> </w:t>
      </w:r>
      <w:r>
        <w:rPr>
          <w:sz w:val="26"/>
        </w:rPr>
        <w:t>of</w:t>
      </w:r>
      <w:r>
        <w:rPr>
          <w:spacing w:val="-9"/>
          <w:sz w:val="26"/>
        </w:rPr>
        <w:t> </w:t>
      </w:r>
      <w:r>
        <w:rPr>
          <w:sz w:val="26"/>
        </w:rPr>
        <w:t>the</w:t>
      </w:r>
      <w:r>
        <w:rPr>
          <w:spacing w:val="-3"/>
          <w:sz w:val="26"/>
        </w:rPr>
        <w:t> </w:t>
      </w:r>
      <w:r>
        <w:rPr>
          <w:sz w:val="26"/>
        </w:rPr>
        <w:t>Court</w:t>
      </w:r>
      <w:r>
        <w:rPr>
          <w:spacing w:val="-8"/>
          <w:sz w:val="26"/>
        </w:rPr>
        <w:t> </w:t>
      </w:r>
      <w:r>
        <w:rPr>
          <w:sz w:val="26"/>
        </w:rPr>
        <w:t>[and</w:t>
      </w:r>
      <w:r>
        <w:rPr>
          <w:spacing w:val="-6"/>
          <w:sz w:val="26"/>
        </w:rPr>
        <w:t> </w:t>
      </w:r>
      <w:r>
        <w:rPr>
          <w:sz w:val="26"/>
        </w:rPr>
        <w:t>therefore</w:t>
      </w:r>
      <w:r>
        <w:rPr>
          <w:spacing w:val="-7"/>
          <w:sz w:val="26"/>
        </w:rPr>
        <w:t> </w:t>
      </w:r>
      <w:r>
        <w:rPr>
          <w:spacing w:val="-5"/>
          <w:sz w:val="26"/>
        </w:rPr>
        <w:t>the</w:t>
      </w:r>
    </w:p>
    <w:p>
      <w:pPr>
        <w:pStyle w:val="BodyText"/>
        <w:spacing w:line="276" w:lineRule="auto" w:before="53"/>
        <w:ind w:right="1912"/>
      </w:pPr>
      <w:r>
        <w:rPr/>
        <w:t>legal dimension] was established due to the “fundamentally defective” design of</w:t>
      </w:r>
      <w:r>
        <w:rPr>
          <w:spacing w:val="-1"/>
        </w:rPr>
        <w:t> </w:t>
      </w:r>
      <w:r>
        <w:rPr/>
        <w:t>the early</w:t>
      </w:r>
      <w:r>
        <w:rPr>
          <w:spacing w:val="-1"/>
        </w:rPr>
        <w:t> </w:t>
      </w:r>
      <w:r>
        <w:rPr/>
        <w:t>communities. Non-democratic</w:t>
      </w:r>
      <w:r>
        <w:rPr>
          <w:spacing w:val="-1"/>
        </w:rPr>
        <w:t> </w:t>
      </w:r>
      <w:r>
        <w:rPr/>
        <w:t>assembly, weak executive commission and the Council bounded by the unanimity rule, were confident that “when certain rules were needed for the good functioning of the</w:t>
      </w:r>
      <w:r>
        <w:rPr>
          <w:spacing w:val="-3"/>
        </w:rPr>
        <w:t> </w:t>
      </w:r>
      <w:r>
        <w:rPr/>
        <w:t>supranational</w:t>
      </w:r>
      <w:r>
        <w:rPr>
          <w:spacing w:val="-1"/>
        </w:rPr>
        <w:t> </w:t>
      </w:r>
      <w:r>
        <w:rPr/>
        <w:t>franchise,</w:t>
      </w:r>
      <w:r>
        <w:rPr>
          <w:spacing w:val="-2"/>
        </w:rPr>
        <w:t> </w:t>
      </w:r>
      <w:r>
        <w:rPr/>
        <w:t>the</w:t>
      </w:r>
      <w:r>
        <w:rPr>
          <w:spacing w:val="-3"/>
        </w:rPr>
        <w:t> </w:t>
      </w:r>
      <w:r>
        <w:rPr/>
        <w:t>Court</w:t>
      </w:r>
      <w:r>
        <w:rPr>
          <w:spacing w:val="-3"/>
        </w:rPr>
        <w:t> </w:t>
      </w:r>
      <w:r>
        <w:rPr/>
        <w:t>could deliver,</w:t>
      </w:r>
      <w:r>
        <w:rPr>
          <w:spacing w:val="-2"/>
        </w:rPr>
        <w:t> </w:t>
      </w:r>
      <w:r>
        <w:rPr/>
        <w:t>and</w:t>
      </w:r>
      <w:r>
        <w:rPr>
          <w:spacing w:val="-1"/>
        </w:rPr>
        <w:t> </w:t>
      </w:r>
      <w:r>
        <w:rPr/>
        <w:t>simultaneously lay</w:t>
      </w:r>
    </w:p>
    <w:p>
      <w:pPr>
        <w:pStyle w:val="BodyText"/>
        <w:ind w:left="0"/>
        <w:jc w:val="left"/>
        <w:rPr>
          <w:sz w:val="20"/>
        </w:rPr>
      </w:pPr>
    </w:p>
    <w:p>
      <w:pPr>
        <w:pStyle w:val="BodyText"/>
        <w:spacing w:before="23"/>
        <w:ind w:left="0"/>
        <w:jc w:val="left"/>
        <w:rPr>
          <w:sz w:val="20"/>
        </w:rPr>
      </w:pPr>
      <w:r>
        <w:rPr>
          <w:sz w:val="20"/>
        </w:rPr>
        <mc:AlternateContent>
          <mc:Choice Requires="wps">
            <w:drawing>
              <wp:anchor distT="0" distB="0" distL="0" distR="0" allowOverlap="1" layoutInCell="1" locked="0" behindDoc="1" simplePos="0" relativeHeight="487663104">
                <wp:simplePos x="0" y="0"/>
                <wp:positionH relativeFrom="page">
                  <wp:posOffset>1079296</wp:posOffset>
                </wp:positionH>
                <wp:positionV relativeFrom="paragraph">
                  <wp:posOffset>197334</wp:posOffset>
                </wp:positionV>
                <wp:extent cx="1830070" cy="9525"/>
                <wp:effectExtent l="0" t="0" r="0" b="0"/>
                <wp:wrapTopAndBottom/>
                <wp:docPr id="183" name="Graphic 183"/>
                <wp:cNvGraphicFramePr>
                  <a:graphicFrameLocks/>
                </wp:cNvGraphicFramePr>
                <a:graphic>
                  <a:graphicData uri="http://schemas.microsoft.com/office/word/2010/wordprocessingShape">
                    <wps:wsp>
                      <wps:cNvPr id="183" name="Graphic 183"/>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15.538153pt;width:144.07pt;height:.72003pt;mso-position-horizontal-relative:page;mso-position-vertical-relative:paragraph;z-index:-15653376;mso-wrap-distance-left:0;mso-wrap-distance-right:0" id="docshape170" filled="true" fillcolor="#000000" stroked="false">
                <v:fill type="solid"/>
                <w10:wrap type="topAndBottom"/>
              </v:rect>
            </w:pict>
          </mc:Fallback>
        </mc:AlternateContent>
      </w:r>
    </w:p>
    <w:p>
      <w:pPr>
        <w:spacing w:before="103"/>
        <w:ind w:left="979" w:right="0" w:firstLine="0"/>
        <w:jc w:val="left"/>
        <w:rPr>
          <w:rFonts w:ascii="Calibri"/>
          <w:sz w:val="20"/>
        </w:rPr>
      </w:pPr>
      <w:r>
        <w:rPr>
          <w:rFonts w:ascii="Calibri"/>
          <w:sz w:val="20"/>
          <w:vertAlign w:val="superscript"/>
        </w:rPr>
        <w:t>32</w:t>
      </w:r>
      <w:r>
        <w:rPr>
          <w:rFonts w:ascii="Calibri"/>
          <w:spacing w:val="1"/>
          <w:sz w:val="20"/>
          <w:vertAlign w:val="baseline"/>
        </w:rPr>
        <w:t> </w:t>
      </w:r>
      <w:r>
        <w:rPr>
          <w:rFonts w:ascii="Calibri"/>
          <w:sz w:val="20"/>
          <w:vertAlign w:val="baseline"/>
        </w:rPr>
        <w:t>See</w:t>
      </w:r>
      <w:r>
        <w:rPr>
          <w:rFonts w:ascii="Calibri"/>
          <w:spacing w:val="-4"/>
          <w:sz w:val="20"/>
          <w:vertAlign w:val="baseline"/>
        </w:rPr>
        <w:t> </w:t>
      </w:r>
      <w:r>
        <w:rPr>
          <w:rFonts w:ascii="Calibri"/>
          <w:sz w:val="20"/>
          <w:vertAlign w:val="baseline"/>
        </w:rPr>
        <w:t>third</w:t>
      </w:r>
      <w:r>
        <w:rPr>
          <w:rFonts w:ascii="Calibri"/>
          <w:spacing w:val="-5"/>
          <w:sz w:val="20"/>
          <w:vertAlign w:val="baseline"/>
        </w:rPr>
        <w:t> </w:t>
      </w:r>
      <w:r>
        <w:rPr>
          <w:rFonts w:ascii="Calibri"/>
          <w:sz w:val="20"/>
          <w:vertAlign w:val="baseline"/>
        </w:rPr>
        <w:t>chapter</w:t>
      </w:r>
      <w:r>
        <w:rPr>
          <w:rFonts w:ascii="Calibri"/>
          <w:spacing w:val="-2"/>
          <w:sz w:val="20"/>
          <w:vertAlign w:val="baseline"/>
        </w:rPr>
        <w:t> </w:t>
      </w:r>
      <w:r>
        <w:rPr>
          <w:rFonts w:ascii="Calibri"/>
          <w:sz w:val="20"/>
          <w:vertAlign w:val="baseline"/>
        </w:rPr>
        <w:t>-</w:t>
      </w:r>
      <w:r>
        <w:rPr>
          <w:rFonts w:ascii="Calibri"/>
          <w:spacing w:val="-4"/>
          <w:sz w:val="20"/>
          <w:vertAlign w:val="baseline"/>
        </w:rPr>
        <w:t> </w:t>
      </w:r>
      <w:r>
        <w:rPr>
          <w:rFonts w:ascii="Calibri"/>
          <w:spacing w:val="-2"/>
          <w:sz w:val="20"/>
          <w:vertAlign w:val="baseline"/>
        </w:rPr>
        <w:t>learning</w:t>
      </w:r>
    </w:p>
    <w:p>
      <w:pPr>
        <w:spacing w:after="0"/>
        <w:jc w:val="left"/>
        <w:rPr>
          <w:rFonts w:ascii="Calibri"/>
          <w:sz w:val="20"/>
        </w:rPr>
        <w:sectPr>
          <w:pgSz w:w="12240" w:h="15840"/>
          <w:pgMar w:header="1046" w:footer="0" w:top="1360" w:bottom="280" w:left="720" w:right="360"/>
        </w:sectPr>
      </w:pPr>
    </w:p>
    <w:p>
      <w:pPr>
        <w:pStyle w:val="BodyText"/>
        <w:spacing w:line="276" w:lineRule="auto" w:before="276"/>
        <w:ind w:right="1909"/>
        <w:jc w:val="left"/>
      </w:pPr>
      <w:r>
        <w:rPr/>
        <w:t>claim to just as much legitimacy as that the other institutions.” (</w:t>
      </w:r>
      <w:hyperlink w:history="true" w:anchor="_bookmark153">
        <w:r>
          <w:rPr/>
          <w:t>de Waele,</w:t>
        </w:r>
      </w:hyperlink>
      <w:r>
        <w:rPr/>
        <w:t> </w:t>
      </w:r>
      <w:hyperlink w:history="true" w:anchor="_bookmark153">
        <w:r>
          <w:rPr/>
          <w:t>2010, p. 11</w:t>
        </w:r>
      </w:hyperlink>
      <w:r>
        <w:rPr/>
        <w:t>)</w:t>
      </w:r>
    </w:p>
    <w:p>
      <w:pPr>
        <w:pStyle w:val="BodyText"/>
        <w:tabs>
          <w:tab w:pos="2351" w:val="left" w:leader="none"/>
          <w:tab w:pos="3080" w:val="left" w:leader="none"/>
          <w:tab w:pos="4039" w:val="left" w:leader="none"/>
          <w:tab w:pos="5070" w:val="left" w:leader="none"/>
          <w:tab w:pos="5803" w:val="left" w:leader="none"/>
          <w:tab w:pos="6383" w:val="left" w:leader="none"/>
          <w:tab w:pos="8084" w:val="left" w:leader="none"/>
          <w:tab w:pos="8885" w:val="left" w:leader="none"/>
        </w:tabs>
        <w:spacing w:line="273" w:lineRule="auto"/>
        <w:ind w:right="1910" w:firstLine="720"/>
        <w:jc w:val="right"/>
      </w:pPr>
      <w:r>
        <w:rPr>
          <w:spacing w:val="-4"/>
        </w:rPr>
        <w:t>The</w:t>
      </w:r>
      <w:r>
        <w:rPr/>
        <w:tab/>
      </w:r>
      <w:r>
        <w:rPr>
          <w:spacing w:val="-4"/>
        </w:rPr>
        <w:t>legal</w:t>
      </w:r>
      <w:r>
        <w:rPr/>
        <w:tab/>
      </w:r>
      <w:r>
        <w:rPr>
          <w:spacing w:val="-2"/>
        </w:rPr>
        <w:t>system</w:t>
      </w:r>
      <w:r>
        <w:rPr/>
        <w:tab/>
      </w:r>
      <w:r>
        <w:rPr>
          <w:spacing w:val="-2"/>
        </w:rPr>
        <w:t>couples</w:t>
      </w:r>
      <w:r>
        <w:rPr/>
        <w:tab/>
      </w:r>
      <w:r>
        <w:rPr>
          <w:spacing w:val="-4"/>
        </w:rPr>
        <w:t>with</w:t>
      </w:r>
      <w:r>
        <w:rPr/>
        <w:tab/>
      </w:r>
      <w:r>
        <w:rPr>
          <w:spacing w:val="-4"/>
        </w:rPr>
        <w:t>the</w:t>
      </w:r>
      <w:r>
        <w:rPr/>
        <w:tab/>
      </w:r>
      <w:r>
        <w:rPr>
          <w:spacing w:val="-2"/>
        </w:rPr>
        <w:t>environment,</w:t>
      </w:r>
      <w:r>
        <w:rPr/>
        <w:tab/>
      </w:r>
      <w:r>
        <w:rPr>
          <w:spacing w:val="-2"/>
        </w:rPr>
        <w:t>using</w:t>
      </w:r>
      <w:r>
        <w:rPr/>
        <w:tab/>
      </w:r>
      <w:r>
        <w:rPr>
          <w:spacing w:val="-4"/>
        </w:rPr>
        <w:t>the </w:t>
      </w:r>
      <w:r>
        <w:rPr/>
        <w:t>mechanism</w:t>
      </w:r>
      <w:r>
        <w:rPr>
          <w:spacing w:val="35"/>
        </w:rPr>
        <w:t> </w:t>
      </w:r>
      <w:r>
        <w:rPr/>
        <w:t>of</w:t>
      </w:r>
      <w:r>
        <w:rPr>
          <w:spacing w:val="33"/>
        </w:rPr>
        <w:t> </w:t>
      </w:r>
      <w:r>
        <w:rPr>
          <w:sz w:val="27"/>
        </w:rPr>
        <w:t>judicialization</w:t>
      </w:r>
      <w:r>
        <w:rPr/>
        <w:t>.</w:t>
      </w:r>
      <w:r>
        <w:rPr>
          <w:spacing w:val="34"/>
        </w:rPr>
        <w:t> </w:t>
      </w:r>
      <w:r>
        <w:rPr/>
        <w:t>The</w:t>
      </w:r>
      <w:r>
        <w:rPr>
          <w:spacing w:val="33"/>
        </w:rPr>
        <w:t> </w:t>
      </w:r>
      <w:r>
        <w:rPr/>
        <w:t>concept</w:t>
      </w:r>
      <w:r>
        <w:rPr>
          <w:spacing w:val="33"/>
        </w:rPr>
        <w:t> </w:t>
      </w:r>
      <w:r>
        <w:rPr/>
        <w:t>was</w:t>
      </w:r>
      <w:r>
        <w:rPr>
          <w:spacing w:val="31"/>
        </w:rPr>
        <w:t> </w:t>
      </w:r>
      <w:r>
        <w:rPr/>
        <w:t>developed</w:t>
      </w:r>
      <w:r>
        <w:rPr>
          <w:spacing w:val="34"/>
        </w:rPr>
        <w:t> </w:t>
      </w:r>
      <w:r>
        <w:rPr/>
        <w:t>by</w:t>
      </w:r>
      <w:r>
        <w:rPr>
          <w:spacing w:val="40"/>
        </w:rPr>
        <w:t> </w:t>
      </w:r>
      <w:r>
        <w:rPr>
          <w:sz w:val="27"/>
        </w:rPr>
        <w:t>Alec</w:t>
      </w:r>
      <w:r>
        <w:rPr>
          <w:spacing w:val="33"/>
          <w:sz w:val="27"/>
        </w:rPr>
        <w:t> </w:t>
      </w:r>
      <w:r>
        <w:rPr>
          <w:sz w:val="27"/>
        </w:rPr>
        <w:t>Stone Stweet</w:t>
      </w:r>
      <w:r>
        <w:rPr>
          <w:spacing w:val="80"/>
          <w:sz w:val="27"/>
        </w:rPr>
        <w:t> </w:t>
      </w:r>
      <w:r>
        <w:rPr/>
        <w:t>(</w:t>
      </w:r>
      <w:hyperlink w:history="true" w:anchor="_bookmark403">
        <w:r>
          <w:rPr/>
          <w:t>1999</w:t>
        </w:r>
      </w:hyperlink>
      <w:r>
        <w:rPr/>
        <w:t>),</w:t>
      </w:r>
      <w:r>
        <w:rPr>
          <w:spacing w:val="80"/>
        </w:rPr>
        <w:t> </w:t>
      </w:r>
      <w:r>
        <w:rPr/>
        <w:t>to</w:t>
      </w:r>
      <w:r>
        <w:rPr>
          <w:spacing w:val="80"/>
        </w:rPr>
        <w:t> </w:t>
      </w:r>
      <w:r>
        <w:rPr/>
        <w:t>describe</w:t>
      </w:r>
      <w:r>
        <w:rPr>
          <w:spacing w:val="80"/>
        </w:rPr>
        <w:t> </w:t>
      </w:r>
      <w:r>
        <w:rPr/>
        <w:t>how</w:t>
      </w:r>
      <w:r>
        <w:rPr>
          <w:spacing w:val="80"/>
        </w:rPr>
        <w:t> </w:t>
      </w:r>
      <w:r>
        <w:rPr/>
        <w:t>the</w:t>
      </w:r>
      <w:r>
        <w:rPr>
          <w:spacing w:val="80"/>
        </w:rPr>
        <w:t> </w:t>
      </w:r>
      <w:r>
        <w:rPr/>
        <w:t>legal</w:t>
      </w:r>
      <w:r>
        <w:rPr>
          <w:spacing w:val="80"/>
        </w:rPr>
        <w:t> </w:t>
      </w:r>
      <w:r>
        <w:rPr/>
        <w:t>communication</w:t>
      </w:r>
      <w:r>
        <w:rPr>
          <w:spacing w:val="80"/>
        </w:rPr>
        <w:t> </w:t>
      </w:r>
      <w:r>
        <w:rPr/>
        <w:t>(normative interpretation,</w:t>
      </w:r>
      <w:r>
        <w:rPr>
          <w:spacing w:val="40"/>
        </w:rPr>
        <w:t> </w:t>
      </w:r>
      <w:r>
        <w:rPr/>
        <w:t>reason</w:t>
      </w:r>
      <w:r>
        <w:rPr>
          <w:spacing w:val="40"/>
        </w:rPr>
        <w:t> </w:t>
      </w:r>
      <w:r>
        <w:rPr/>
        <w:t>giving,</w:t>
      </w:r>
      <w:r>
        <w:rPr>
          <w:spacing w:val="40"/>
        </w:rPr>
        <w:t> </w:t>
      </w:r>
      <w:r>
        <w:rPr/>
        <w:t>application</w:t>
      </w:r>
      <w:r>
        <w:rPr>
          <w:spacing w:val="40"/>
        </w:rPr>
        <w:t> </w:t>
      </w:r>
      <w:r>
        <w:rPr/>
        <w:t>of</w:t>
      </w:r>
      <w:r>
        <w:rPr>
          <w:spacing w:val="40"/>
        </w:rPr>
        <w:t> </w:t>
      </w:r>
      <w:r>
        <w:rPr/>
        <w:t>legal</w:t>
      </w:r>
      <w:r>
        <w:rPr>
          <w:spacing w:val="40"/>
        </w:rPr>
        <w:t> </w:t>
      </w:r>
      <w:r>
        <w:rPr/>
        <w:t>norms)</w:t>
      </w:r>
      <w:r>
        <w:rPr>
          <w:spacing w:val="40"/>
        </w:rPr>
        <w:t> </w:t>
      </w:r>
      <w:r>
        <w:rPr/>
        <w:t>influences</w:t>
      </w:r>
      <w:r>
        <w:rPr>
          <w:spacing w:val="40"/>
        </w:rPr>
        <w:t> </w:t>
      </w:r>
      <w:r>
        <w:rPr/>
        <w:t>the behavior of the ‘non-judicial agents of governance’. The author maintains</w:t>
      </w:r>
      <w:r>
        <w:rPr>
          <w:spacing w:val="40"/>
        </w:rPr>
        <w:t> </w:t>
      </w:r>
      <w:r>
        <w:rPr/>
        <w:t>that</w:t>
      </w:r>
      <w:r>
        <w:rPr>
          <w:spacing w:val="80"/>
        </w:rPr>
        <w:t> </w:t>
      </w:r>
      <w:r>
        <w:rPr/>
        <w:t>the</w:t>
      </w:r>
      <w:r>
        <w:rPr>
          <w:spacing w:val="80"/>
        </w:rPr>
        <w:t> </w:t>
      </w:r>
      <w:r>
        <w:rPr/>
        <w:t>rule</w:t>
      </w:r>
      <w:r>
        <w:rPr>
          <w:spacing w:val="80"/>
        </w:rPr>
        <w:t> </w:t>
      </w:r>
      <w:r>
        <w:rPr/>
        <w:t>making</w:t>
      </w:r>
      <w:r>
        <w:rPr>
          <w:spacing w:val="80"/>
        </w:rPr>
        <w:t> </w:t>
      </w:r>
      <w:r>
        <w:rPr/>
        <w:t>in</w:t>
      </w:r>
      <w:r>
        <w:rPr>
          <w:spacing w:val="80"/>
        </w:rPr>
        <w:t> </w:t>
      </w:r>
      <w:r>
        <w:rPr/>
        <w:t>a</w:t>
      </w:r>
      <w:r>
        <w:rPr>
          <w:spacing w:val="80"/>
        </w:rPr>
        <w:t> </w:t>
      </w:r>
      <w:r>
        <w:rPr/>
        <w:t>typical</w:t>
      </w:r>
      <w:r>
        <w:rPr>
          <w:spacing w:val="80"/>
        </w:rPr>
        <w:t> </w:t>
      </w:r>
      <w:r>
        <w:rPr/>
        <w:t>social</w:t>
      </w:r>
      <w:r>
        <w:rPr>
          <w:spacing w:val="80"/>
        </w:rPr>
        <w:t> </w:t>
      </w:r>
      <w:r>
        <w:rPr/>
        <w:t>communication</w:t>
      </w:r>
      <w:r>
        <w:rPr>
          <w:spacing w:val="80"/>
        </w:rPr>
        <w:t> </w:t>
      </w:r>
      <w:r>
        <w:rPr/>
        <w:t>(contractual, constitutional,</w:t>
      </w:r>
      <w:r>
        <w:rPr>
          <w:spacing w:val="-3"/>
        </w:rPr>
        <w:t> </w:t>
      </w:r>
      <w:r>
        <w:rPr/>
        <w:t>regulatory,</w:t>
      </w:r>
      <w:r>
        <w:rPr>
          <w:spacing w:val="-2"/>
        </w:rPr>
        <w:t> </w:t>
      </w:r>
      <w:r>
        <w:rPr/>
        <w:t>and</w:t>
      </w:r>
      <w:r>
        <w:rPr>
          <w:spacing w:val="-2"/>
        </w:rPr>
        <w:t> </w:t>
      </w:r>
      <w:r>
        <w:rPr/>
        <w:t>commercial)</w:t>
      </w:r>
      <w:r>
        <w:rPr>
          <w:spacing w:val="-3"/>
        </w:rPr>
        <w:t> </w:t>
      </w:r>
      <w:r>
        <w:rPr/>
        <w:t>creates</w:t>
      </w:r>
      <w:r>
        <w:rPr>
          <w:spacing w:val="-6"/>
        </w:rPr>
        <w:t> </w:t>
      </w:r>
      <w:r>
        <w:rPr/>
        <w:t>the</w:t>
      </w:r>
      <w:r>
        <w:rPr>
          <w:spacing w:val="-4"/>
        </w:rPr>
        <w:t> </w:t>
      </w:r>
      <w:r>
        <w:rPr/>
        <w:t>need</w:t>
      </w:r>
      <w:r>
        <w:rPr>
          <w:spacing w:val="-2"/>
        </w:rPr>
        <w:t> </w:t>
      </w:r>
      <w:r>
        <w:rPr/>
        <w:t>for</w:t>
      </w:r>
      <w:r>
        <w:rPr>
          <w:spacing w:val="-3"/>
        </w:rPr>
        <w:t> </w:t>
      </w:r>
      <w:r>
        <w:rPr/>
        <w:t>introducing a ‘third-party dispute resolution’ (TDR). As a result, two-variable feedback loop is generated: a) rulemaking and contracting under rules, b) third-party conflict resolution. “If the judge gives reasons for her decisions, and if those who</w:t>
      </w:r>
      <w:r>
        <w:rPr>
          <w:spacing w:val="80"/>
        </w:rPr>
        <w:t> </w:t>
      </w:r>
      <w:r>
        <w:rPr/>
        <w:t>contract</w:t>
      </w:r>
      <w:r>
        <w:rPr>
          <w:spacing w:val="80"/>
        </w:rPr>
        <w:t> </w:t>
      </w:r>
      <w:r>
        <w:rPr/>
        <w:t>and</w:t>
      </w:r>
      <w:r>
        <w:rPr>
          <w:spacing w:val="80"/>
        </w:rPr>
        <w:t> </w:t>
      </w:r>
      <w:r>
        <w:rPr/>
        <w:t>use</w:t>
      </w:r>
      <w:r>
        <w:rPr>
          <w:spacing w:val="80"/>
        </w:rPr>
        <w:t> </w:t>
      </w:r>
      <w:r>
        <w:rPr/>
        <w:t>the</w:t>
      </w:r>
      <w:r>
        <w:rPr>
          <w:spacing w:val="80"/>
        </w:rPr>
        <w:t> </w:t>
      </w:r>
      <w:r>
        <w:rPr/>
        <w:t>TDR</w:t>
      </w:r>
      <w:r>
        <w:rPr>
          <w:spacing w:val="80"/>
        </w:rPr>
        <w:t> </w:t>
      </w:r>
      <w:r>
        <w:rPr/>
        <w:t>consider</w:t>
      </w:r>
      <w:r>
        <w:rPr>
          <w:spacing w:val="80"/>
        </w:rPr>
        <w:t> </w:t>
      </w:r>
      <w:r>
        <w:rPr/>
        <w:t>these</w:t>
      </w:r>
      <w:r>
        <w:rPr>
          <w:spacing w:val="80"/>
        </w:rPr>
        <w:t> </w:t>
      </w:r>
      <w:r>
        <w:rPr/>
        <w:t>reasons</w:t>
      </w:r>
      <w:r>
        <w:rPr>
          <w:spacing w:val="80"/>
        </w:rPr>
        <w:t> </w:t>
      </w:r>
      <w:r>
        <w:rPr/>
        <w:t>to</w:t>
      </w:r>
      <w:r>
        <w:rPr>
          <w:spacing w:val="80"/>
        </w:rPr>
        <w:t> </w:t>
      </w:r>
      <w:r>
        <w:rPr/>
        <w:t>have</w:t>
      </w:r>
      <w:r>
        <w:rPr>
          <w:spacing w:val="80"/>
        </w:rPr>
        <w:t> </w:t>
      </w:r>
      <w:r>
        <w:rPr/>
        <w:t>some precedential</w:t>
      </w:r>
      <w:r>
        <w:rPr>
          <w:spacing w:val="40"/>
        </w:rPr>
        <w:t> </w:t>
      </w:r>
      <w:r>
        <w:rPr/>
        <w:t>value,</w:t>
      </w:r>
      <w:r>
        <w:rPr>
          <w:spacing w:val="40"/>
        </w:rPr>
        <w:t> </w:t>
      </w:r>
      <w:r>
        <w:rPr/>
        <w:t>then</w:t>
      </w:r>
      <w:r>
        <w:rPr>
          <w:spacing w:val="40"/>
        </w:rPr>
        <w:t> </w:t>
      </w:r>
      <w:r>
        <w:rPr/>
        <w:t>the</w:t>
      </w:r>
      <w:r>
        <w:rPr>
          <w:spacing w:val="40"/>
        </w:rPr>
        <w:t> </w:t>
      </w:r>
      <w:r>
        <w:rPr/>
        <w:t>second</w:t>
      </w:r>
      <w:r>
        <w:rPr>
          <w:spacing w:val="40"/>
        </w:rPr>
        <w:t> </w:t>
      </w:r>
      <w:r>
        <w:rPr/>
        <w:t>(causally</w:t>
      </w:r>
      <w:r>
        <w:rPr>
          <w:spacing w:val="40"/>
        </w:rPr>
        <w:t> </w:t>
      </w:r>
      <w:r>
        <w:rPr/>
        <w:t>related)</w:t>
      </w:r>
      <w:r>
        <w:rPr>
          <w:spacing w:val="40"/>
        </w:rPr>
        <w:t> </w:t>
      </w:r>
      <w:r>
        <w:rPr/>
        <w:t>feedback</w:t>
      </w:r>
      <w:r>
        <w:rPr>
          <w:spacing w:val="40"/>
        </w:rPr>
        <w:t> </w:t>
      </w:r>
      <w:r>
        <w:rPr/>
        <w:t>loop</w:t>
      </w:r>
      <w:r>
        <w:rPr>
          <w:spacing w:val="40"/>
        </w:rPr>
        <w:t> </w:t>
      </w:r>
      <w:r>
        <w:rPr/>
        <w:t>will emerge</w:t>
      </w:r>
      <w:r>
        <w:rPr>
          <w:spacing w:val="40"/>
        </w:rPr>
        <w:t> </w:t>
      </w:r>
      <w:r>
        <w:rPr/>
        <w:t>linking</w:t>
      </w:r>
      <w:r>
        <w:rPr>
          <w:spacing w:val="40"/>
        </w:rPr>
        <w:t> </w:t>
      </w:r>
      <w:r>
        <w:rPr/>
        <w:t>the</w:t>
      </w:r>
      <w:r>
        <w:rPr>
          <w:spacing w:val="40"/>
        </w:rPr>
        <w:t> </w:t>
      </w:r>
      <w:r>
        <w:rPr/>
        <w:t>lawmaking</w:t>
      </w:r>
      <w:r>
        <w:rPr>
          <w:spacing w:val="40"/>
        </w:rPr>
        <w:t> </w:t>
      </w:r>
      <w:r>
        <w:rPr/>
        <w:t>that</w:t>
      </w:r>
      <w:r>
        <w:rPr>
          <w:spacing w:val="40"/>
        </w:rPr>
        <w:t> </w:t>
      </w:r>
      <w:r>
        <w:rPr/>
        <w:t>issues</w:t>
      </w:r>
      <w:r>
        <w:rPr>
          <w:spacing w:val="40"/>
        </w:rPr>
        <w:t> </w:t>
      </w:r>
      <w:r>
        <w:rPr/>
        <w:t>from</w:t>
      </w:r>
      <w:r>
        <w:rPr>
          <w:spacing w:val="40"/>
        </w:rPr>
        <w:t> </w:t>
      </w:r>
      <w:r>
        <w:rPr/>
        <w:t>TDR</w:t>
      </w:r>
      <w:r>
        <w:rPr>
          <w:spacing w:val="40"/>
        </w:rPr>
        <w:t> </w:t>
      </w:r>
      <w:r>
        <w:rPr/>
        <w:t>with</w:t>
      </w:r>
      <w:r>
        <w:rPr>
          <w:spacing w:val="40"/>
        </w:rPr>
        <w:t> </w:t>
      </w:r>
      <w:r>
        <w:rPr/>
        <w:t>how</w:t>
      </w:r>
      <w:r>
        <w:rPr>
          <w:spacing w:val="40"/>
        </w:rPr>
        <w:t> </w:t>
      </w:r>
      <w:r>
        <w:rPr/>
        <w:t>future</w:t>
      </w:r>
      <w:r>
        <w:rPr>
          <w:spacing w:val="80"/>
        </w:rPr>
        <w:t> </w:t>
      </w:r>
      <w:r>
        <w:rPr/>
        <w:t>legislating, contracting,</w:t>
      </w:r>
      <w:r>
        <w:rPr>
          <w:spacing w:val="-3"/>
        </w:rPr>
        <w:t> </w:t>
      </w:r>
      <w:r>
        <w:rPr/>
        <w:t>and disputing takes</w:t>
      </w:r>
      <w:r>
        <w:rPr>
          <w:spacing w:val="-2"/>
        </w:rPr>
        <w:t> </w:t>
      </w:r>
      <w:r>
        <w:rPr/>
        <w:t>place.” (</w:t>
      </w:r>
      <w:hyperlink w:history="true" w:anchor="_bookmark404">
        <w:r>
          <w:rPr/>
          <w:t>Stone Sweet, 2010,</w:t>
        </w:r>
        <w:r>
          <w:rPr>
            <w:spacing w:val="-3"/>
          </w:rPr>
          <w:t> </w:t>
        </w:r>
        <w:r>
          <w:rPr/>
          <w:t>p. 4</w:t>
        </w:r>
      </w:hyperlink>
      <w:r>
        <w:rPr/>
        <w:t>)</w:t>
      </w:r>
    </w:p>
    <w:p>
      <w:pPr>
        <w:pStyle w:val="BodyText"/>
        <w:spacing w:line="276" w:lineRule="auto" w:before="18"/>
        <w:ind w:right="1910" w:firstLine="720"/>
      </w:pPr>
      <w:r>
        <w:rPr/>
        <w:t>Traditionally judicialization took place, when the outcome of a case could have a moral (right oriented) implications. However, in recent years, judicialization of politics has encompassed “‘mega-politics’ – matters of outright and utmost political significance that often define and divide</w:t>
      </w:r>
      <w:r>
        <w:rPr>
          <w:spacing w:val="40"/>
        </w:rPr>
        <w:t> </w:t>
      </w:r>
      <w:r>
        <w:rPr/>
        <w:t>whole polities.” (</w:t>
      </w:r>
      <w:hyperlink w:history="true" w:anchor="_bookmark220">
        <w:r>
          <w:rPr/>
          <w:t>Hirschl, 2008, p. 2</w:t>
        </w:r>
      </w:hyperlink>
      <w:r>
        <w:rPr/>
        <w:t>)</w:t>
      </w:r>
    </w:p>
    <w:p>
      <w:pPr>
        <w:pStyle w:val="BodyText"/>
        <w:spacing w:line="276" w:lineRule="auto"/>
        <w:ind w:right="1908" w:firstLine="787"/>
      </w:pPr>
      <w:r>
        <w:rPr/>
        <w:t>Throughout the process of the European Integration the judicialization and the resulting presidential adjudications have institutionalized</w:t>
      </w:r>
      <w:r>
        <w:rPr>
          <w:spacing w:val="-1"/>
        </w:rPr>
        <w:t> </w:t>
      </w:r>
      <w:r>
        <w:rPr/>
        <w:t>the</w:t>
      </w:r>
      <w:r>
        <w:rPr>
          <w:spacing w:val="-3"/>
        </w:rPr>
        <w:t> </w:t>
      </w:r>
      <w:r>
        <w:rPr/>
        <w:t>practices outside</w:t>
      </w:r>
      <w:r>
        <w:rPr>
          <w:spacing w:val="-3"/>
        </w:rPr>
        <w:t> </w:t>
      </w:r>
      <w:r>
        <w:rPr/>
        <w:t>the legal</w:t>
      </w:r>
      <w:r>
        <w:rPr>
          <w:spacing w:val="-5"/>
        </w:rPr>
        <w:t> </w:t>
      </w:r>
      <w:r>
        <w:rPr/>
        <w:t>system. The</w:t>
      </w:r>
      <w:r>
        <w:rPr>
          <w:spacing w:val="-2"/>
        </w:rPr>
        <w:t> </w:t>
      </w:r>
      <w:r>
        <w:rPr/>
        <w:t>Figure</w:t>
      </w:r>
      <w:r>
        <w:rPr>
          <w:spacing w:val="-3"/>
        </w:rPr>
        <w:t> </w:t>
      </w:r>
      <w:r>
        <w:rPr/>
        <w:t>16 shows those cases, which had successfully judicialized the domains originally occupied by the political and economic actors.</w:t>
      </w:r>
    </w:p>
    <w:p>
      <w:pPr>
        <w:pStyle w:val="BodyText"/>
        <w:spacing w:after="0" w:line="276" w:lineRule="auto"/>
        <w:sectPr>
          <w:pgSz w:w="12240" w:h="15840"/>
          <w:pgMar w:header="1046" w:footer="0" w:top="1360" w:bottom="280" w:left="720" w:right="360"/>
        </w:sectPr>
      </w:pPr>
    </w:p>
    <w:p>
      <w:pPr>
        <w:pStyle w:val="BodyText"/>
        <w:spacing w:before="33"/>
        <w:ind w:left="0"/>
        <w:jc w:val="left"/>
        <w:rPr>
          <w:sz w:val="18"/>
        </w:rPr>
      </w:pPr>
    </w:p>
    <w:p>
      <w:pPr>
        <w:spacing w:before="0"/>
        <w:ind w:left="979" w:right="1909" w:firstLine="0"/>
        <w:jc w:val="left"/>
        <w:rPr>
          <w:rFonts w:ascii="Calibri"/>
          <w:b/>
          <w:i/>
          <w:sz w:val="18"/>
        </w:rPr>
      </w:pPr>
      <w:bookmarkStart w:name="_bookmark53" w:id="54"/>
      <w:bookmarkEnd w:id="54"/>
      <w:r>
        <w:rPr/>
      </w:r>
      <w:r>
        <w:rPr>
          <w:rFonts w:ascii="Calibri"/>
          <w:b/>
          <w:color w:val="4F81BC"/>
          <w:sz w:val="18"/>
        </w:rPr>
        <w:t>Figure</w:t>
      </w:r>
      <w:r>
        <w:rPr>
          <w:rFonts w:ascii="Calibri"/>
          <w:b/>
          <w:color w:val="4F81BC"/>
          <w:spacing w:val="28"/>
          <w:sz w:val="18"/>
        </w:rPr>
        <w:t> </w:t>
      </w:r>
      <w:r>
        <w:rPr>
          <w:rFonts w:ascii="Calibri"/>
          <w:b/>
          <w:color w:val="4F81BC"/>
          <w:sz w:val="18"/>
        </w:rPr>
        <w:t>16.</w:t>
      </w:r>
      <w:r>
        <w:rPr>
          <w:rFonts w:ascii="Calibri"/>
          <w:b/>
          <w:color w:val="4F81BC"/>
          <w:spacing w:val="29"/>
          <w:sz w:val="18"/>
        </w:rPr>
        <w:t> </w:t>
      </w:r>
      <w:r>
        <w:rPr>
          <w:rFonts w:ascii="Calibri"/>
          <w:b/>
          <w:color w:val="4F81BC"/>
          <w:sz w:val="18"/>
        </w:rPr>
        <w:t>List</w:t>
      </w:r>
      <w:r>
        <w:rPr>
          <w:rFonts w:ascii="Calibri"/>
          <w:b/>
          <w:color w:val="4F81BC"/>
          <w:spacing w:val="29"/>
          <w:sz w:val="18"/>
        </w:rPr>
        <w:t> </w:t>
      </w:r>
      <w:r>
        <w:rPr>
          <w:rFonts w:ascii="Calibri"/>
          <w:b/>
          <w:color w:val="4F81BC"/>
          <w:sz w:val="18"/>
        </w:rPr>
        <w:t>of</w:t>
      </w:r>
      <w:r>
        <w:rPr>
          <w:rFonts w:ascii="Calibri"/>
          <w:b/>
          <w:color w:val="4F81BC"/>
          <w:spacing w:val="30"/>
          <w:sz w:val="18"/>
        </w:rPr>
        <w:t> </w:t>
      </w:r>
      <w:r>
        <w:rPr>
          <w:rFonts w:ascii="Calibri"/>
          <w:b/>
          <w:color w:val="4F81BC"/>
          <w:sz w:val="18"/>
        </w:rPr>
        <w:t>important</w:t>
      </w:r>
      <w:r>
        <w:rPr>
          <w:rFonts w:ascii="Calibri"/>
          <w:b/>
          <w:color w:val="4F81BC"/>
          <w:spacing w:val="29"/>
          <w:sz w:val="18"/>
        </w:rPr>
        <w:t> </w:t>
      </w:r>
      <w:r>
        <w:rPr>
          <w:rFonts w:ascii="Calibri"/>
          <w:b/>
          <w:color w:val="4F81BC"/>
          <w:sz w:val="18"/>
        </w:rPr>
        <w:t>cases.</w:t>
      </w:r>
      <w:r>
        <w:rPr>
          <w:rFonts w:ascii="Calibri"/>
          <w:b/>
          <w:color w:val="4F81BC"/>
          <w:spacing w:val="30"/>
          <w:sz w:val="18"/>
        </w:rPr>
        <w:t> </w:t>
      </w:r>
      <w:r>
        <w:rPr>
          <w:rFonts w:ascii="Calibri"/>
          <w:b/>
          <w:i/>
          <w:color w:val="4F81BC"/>
          <w:sz w:val="18"/>
        </w:rPr>
        <w:t>Generated</w:t>
      </w:r>
      <w:r>
        <w:rPr>
          <w:rFonts w:ascii="Calibri"/>
          <w:b/>
          <w:i/>
          <w:color w:val="4F81BC"/>
          <w:spacing w:val="30"/>
          <w:sz w:val="18"/>
        </w:rPr>
        <w:t> </w:t>
      </w:r>
      <w:r>
        <w:rPr>
          <w:rFonts w:ascii="Calibri"/>
          <w:b/>
          <w:i/>
          <w:color w:val="4F81BC"/>
          <w:sz w:val="18"/>
        </w:rPr>
        <w:t>from:</w:t>
      </w:r>
      <w:r>
        <w:rPr>
          <w:rFonts w:ascii="Calibri"/>
          <w:b/>
          <w:i/>
          <w:color w:val="4F81BC"/>
          <w:spacing w:val="29"/>
          <w:sz w:val="18"/>
        </w:rPr>
        <w:t> </w:t>
      </w:r>
      <w:hyperlink w:history="true" w:anchor="_bookmark138">
        <w:r>
          <w:rPr>
            <w:rFonts w:ascii="Calibri"/>
            <w:b/>
            <w:i/>
            <w:color w:val="4F81BC"/>
            <w:sz w:val="18"/>
          </w:rPr>
          <w:t>(Competences</w:t>
        </w:r>
        <w:r>
          <w:rPr>
            <w:rFonts w:ascii="Calibri"/>
            <w:b/>
            <w:i/>
            <w:color w:val="4F81BC"/>
            <w:spacing w:val="25"/>
            <w:sz w:val="18"/>
          </w:rPr>
          <w:t> </w:t>
        </w:r>
        <w:r>
          <w:rPr>
            <w:rFonts w:ascii="Calibri"/>
            <w:b/>
            <w:i/>
            <w:color w:val="4F81BC"/>
            <w:sz w:val="18"/>
          </w:rPr>
          <w:t>of</w:t>
        </w:r>
        <w:r>
          <w:rPr>
            <w:rFonts w:ascii="Calibri"/>
            <w:b/>
            <w:i/>
            <w:color w:val="4F81BC"/>
            <w:spacing w:val="30"/>
            <w:sz w:val="18"/>
          </w:rPr>
          <w:t> </w:t>
        </w:r>
        <w:r>
          <w:rPr>
            <w:rFonts w:ascii="Calibri"/>
            <w:b/>
            <w:i/>
            <w:color w:val="4F81BC"/>
            <w:sz w:val="18"/>
          </w:rPr>
          <w:t>the</w:t>
        </w:r>
        <w:r>
          <w:rPr>
            <w:rFonts w:ascii="Calibri"/>
            <w:b/>
            <w:i/>
            <w:color w:val="4F81BC"/>
            <w:spacing w:val="31"/>
            <w:sz w:val="18"/>
          </w:rPr>
          <w:t> </w:t>
        </w:r>
        <w:r>
          <w:rPr>
            <w:rFonts w:ascii="Calibri"/>
            <w:b/>
            <w:i/>
            <w:color w:val="4F81BC"/>
            <w:sz w:val="18"/>
          </w:rPr>
          <w:t>Court</w:t>
        </w:r>
        <w:r>
          <w:rPr>
            <w:rFonts w:ascii="Calibri"/>
            <w:b/>
            <w:i/>
            <w:color w:val="4F81BC"/>
            <w:spacing w:val="29"/>
            <w:sz w:val="18"/>
          </w:rPr>
          <w:t> </w:t>
        </w:r>
        <w:r>
          <w:rPr>
            <w:rFonts w:ascii="Calibri"/>
            <w:b/>
            <w:i/>
            <w:color w:val="4F81BC"/>
            <w:sz w:val="18"/>
          </w:rPr>
          <w:t>of</w:t>
        </w:r>
        <w:r>
          <w:rPr>
            <w:rFonts w:ascii="Calibri"/>
            <w:b/>
            <w:i/>
            <w:color w:val="4F81BC"/>
            <w:spacing w:val="25"/>
            <w:sz w:val="18"/>
          </w:rPr>
          <w:t> </w:t>
        </w:r>
        <w:r>
          <w:rPr>
            <w:rFonts w:ascii="Calibri"/>
            <w:b/>
            <w:i/>
            <w:color w:val="4F81BC"/>
            <w:sz w:val="18"/>
          </w:rPr>
          <w:t>Justice</w:t>
        </w:r>
        <w:r>
          <w:rPr>
            <w:rFonts w:ascii="Calibri"/>
            <w:b/>
            <w:i/>
            <w:color w:val="4F81BC"/>
            <w:spacing w:val="31"/>
            <w:sz w:val="18"/>
          </w:rPr>
          <w:t> </w:t>
        </w:r>
        <w:r>
          <w:rPr>
            <w:rFonts w:ascii="Calibri"/>
            <w:b/>
            <w:i/>
            <w:color w:val="4F81BC"/>
            <w:sz w:val="18"/>
          </w:rPr>
          <w:t>of</w:t>
        </w:r>
        <w:r>
          <w:rPr>
            <w:rFonts w:ascii="Calibri"/>
            <w:b/>
            <w:i/>
            <w:color w:val="4F81BC"/>
            <w:spacing w:val="25"/>
            <w:sz w:val="18"/>
          </w:rPr>
          <w:t> </w:t>
        </w:r>
        <w:r>
          <w:rPr>
            <w:rFonts w:ascii="Calibri"/>
            <w:b/>
            <w:i/>
            <w:color w:val="4F81BC"/>
            <w:sz w:val="18"/>
          </w:rPr>
          <w:t>the</w:t>
        </w:r>
        <w:r>
          <w:rPr>
            <w:rFonts w:ascii="Calibri"/>
            <w:b/>
            <w:i/>
            <w:color w:val="4F81BC"/>
            <w:spacing w:val="26"/>
            <w:sz w:val="18"/>
          </w:rPr>
          <w:t> </w:t>
        </w:r>
        <w:r>
          <w:rPr>
            <w:rFonts w:ascii="Calibri"/>
            <w:b/>
            <w:i/>
            <w:color w:val="4F81BC"/>
            <w:sz w:val="18"/>
          </w:rPr>
          <w:t>European</w:t>
        </w:r>
      </w:hyperlink>
      <w:r>
        <w:rPr>
          <w:rFonts w:ascii="Calibri"/>
          <w:b/>
          <w:i/>
          <w:color w:val="4F81BC"/>
          <w:sz w:val="18"/>
        </w:rPr>
        <w:t> </w:t>
      </w:r>
      <w:hyperlink w:history="true" w:anchor="_bookmark138">
        <w:r>
          <w:rPr>
            <w:rFonts w:ascii="Calibri"/>
            <w:b/>
            <w:i/>
            <w:color w:val="4F81BC"/>
            <w:sz w:val="18"/>
          </w:rPr>
          <w:t>Union,</w:t>
        </w:r>
        <w:r>
          <w:rPr>
            <w:rFonts w:ascii="Calibri"/>
            <w:b/>
            <w:i/>
            <w:color w:val="4F81BC"/>
            <w:spacing w:val="-4"/>
            <w:sz w:val="18"/>
          </w:rPr>
          <w:t> </w:t>
        </w:r>
        <w:r>
          <w:rPr>
            <w:rFonts w:ascii="Calibri"/>
            <w:b/>
            <w:i/>
            <w:color w:val="4F81BC"/>
            <w:sz w:val="18"/>
          </w:rPr>
          <w:t>2016</w:t>
        </w:r>
      </w:hyperlink>
      <w:r>
        <w:rPr>
          <w:rFonts w:ascii="Calibri"/>
          <w:b/>
          <w:i/>
          <w:color w:val="4F81BC"/>
          <w:sz w:val="18"/>
        </w:rPr>
        <w:t>)</w:t>
      </w:r>
    </w:p>
    <w:p>
      <w:pPr>
        <w:pStyle w:val="BodyText"/>
        <w:spacing w:before="16"/>
        <w:ind w:left="0"/>
        <w:jc w:val="left"/>
        <w:rPr>
          <w:rFonts w:ascii="Calibri"/>
          <w:b/>
          <w:i/>
          <w:sz w:val="20"/>
        </w:rPr>
      </w:pPr>
    </w:p>
    <w:tbl>
      <w:tblPr>
        <w:tblW w:w="0" w:type="auto"/>
        <w:jc w:val="left"/>
        <w:tblInd w:w="8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05"/>
        <w:gridCol w:w="3771"/>
        <w:gridCol w:w="3621"/>
      </w:tblGrid>
      <w:tr>
        <w:trPr>
          <w:trHeight w:val="244" w:hRule="atLeast"/>
        </w:trPr>
        <w:tc>
          <w:tcPr>
            <w:tcW w:w="1105" w:type="dxa"/>
            <w:tcBorders>
              <w:bottom w:val="single" w:sz="24" w:space="0" w:color="000000"/>
            </w:tcBorders>
          </w:tcPr>
          <w:p>
            <w:pPr>
              <w:pStyle w:val="TableParagraph"/>
              <w:spacing w:line="211" w:lineRule="exact"/>
              <w:ind w:left="120"/>
              <w:rPr>
                <w:sz w:val="20"/>
              </w:rPr>
            </w:pPr>
            <w:r>
              <w:rPr>
                <w:spacing w:val="-4"/>
                <w:sz w:val="20"/>
              </w:rPr>
              <w:t>YEAR</w:t>
            </w:r>
          </w:p>
        </w:tc>
        <w:tc>
          <w:tcPr>
            <w:tcW w:w="3771" w:type="dxa"/>
            <w:tcBorders>
              <w:bottom w:val="single" w:sz="24" w:space="0" w:color="000000"/>
            </w:tcBorders>
          </w:tcPr>
          <w:p>
            <w:pPr>
              <w:pStyle w:val="TableParagraph"/>
              <w:spacing w:line="211" w:lineRule="exact"/>
              <w:ind w:left="219"/>
              <w:jc w:val="center"/>
              <w:rPr>
                <w:sz w:val="20"/>
              </w:rPr>
            </w:pPr>
            <w:r>
              <w:rPr>
                <w:spacing w:val="-4"/>
                <w:sz w:val="20"/>
              </w:rPr>
              <w:t>CASE</w:t>
            </w:r>
          </w:p>
        </w:tc>
        <w:tc>
          <w:tcPr>
            <w:tcW w:w="3621" w:type="dxa"/>
            <w:tcBorders>
              <w:bottom w:val="single" w:sz="24" w:space="0" w:color="000000"/>
            </w:tcBorders>
          </w:tcPr>
          <w:p>
            <w:pPr>
              <w:pStyle w:val="TableParagraph"/>
              <w:spacing w:line="211" w:lineRule="exact"/>
              <w:ind w:left="216"/>
              <w:jc w:val="center"/>
              <w:rPr>
                <w:sz w:val="20"/>
              </w:rPr>
            </w:pPr>
            <w:r>
              <w:rPr>
                <w:spacing w:val="-2"/>
                <w:sz w:val="20"/>
              </w:rPr>
              <w:t>RESULT</w:t>
            </w:r>
          </w:p>
        </w:tc>
      </w:tr>
      <w:tr>
        <w:trPr>
          <w:trHeight w:val="910" w:hRule="atLeast"/>
        </w:trPr>
        <w:tc>
          <w:tcPr>
            <w:tcW w:w="1105" w:type="dxa"/>
            <w:tcBorders>
              <w:top w:val="single" w:sz="24" w:space="0" w:color="000000"/>
              <w:right w:val="single" w:sz="8" w:space="0" w:color="000000"/>
            </w:tcBorders>
          </w:tcPr>
          <w:p>
            <w:pPr>
              <w:pStyle w:val="TableParagraph"/>
              <w:spacing w:before="8"/>
              <w:ind w:left="120"/>
              <w:rPr>
                <w:sz w:val="20"/>
              </w:rPr>
            </w:pPr>
            <w:r>
              <w:rPr>
                <w:spacing w:val="-4"/>
                <w:sz w:val="20"/>
              </w:rPr>
              <w:t>1963</w:t>
            </w:r>
          </w:p>
        </w:tc>
        <w:tc>
          <w:tcPr>
            <w:tcW w:w="3771" w:type="dxa"/>
            <w:tcBorders>
              <w:top w:val="single" w:sz="24" w:space="0" w:color="000000"/>
              <w:left w:val="single" w:sz="8" w:space="0" w:color="000000"/>
            </w:tcBorders>
            <w:shd w:val="clear" w:color="auto" w:fill="C0C0C0"/>
          </w:tcPr>
          <w:p>
            <w:pPr>
              <w:pStyle w:val="TableParagraph"/>
              <w:spacing w:line="275" w:lineRule="exact"/>
              <w:ind w:left="109"/>
              <w:rPr>
                <w:sz w:val="21"/>
              </w:rPr>
            </w:pPr>
            <w:r>
              <w:rPr>
                <w:spacing w:val="-4"/>
                <w:sz w:val="21"/>
              </w:rPr>
              <w:t>Van</w:t>
            </w:r>
            <w:r>
              <w:rPr>
                <w:spacing w:val="-9"/>
                <w:sz w:val="21"/>
              </w:rPr>
              <w:t> </w:t>
            </w:r>
            <w:r>
              <w:rPr>
                <w:spacing w:val="-4"/>
                <w:sz w:val="21"/>
              </w:rPr>
              <w:t>Gend</w:t>
            </w:r>
            <w:r>
              <w:rPr>
                <w:spacing w:val="-9"/>
                <w:sz w:val="21"/>
              </w:rPr>
              <w:t> </w:t>
            </w:r>
            <w:r>
              <w:rPr>
                <w:spacing w:val="-4"/>
                <w:sz w:val="21"/>
              </w:rPr>
              <w:t>&amp;</w:t>
            </w:r>
            <w:r>
              <w:rPr>
                <w:spacing w:val="-3"/>
                <w:sz w:val="21"/>
              </w:rPr>
              <w:t> </w:t>
            </w:r>
            <w:r>
              <w:rPr>
                <w:spacing w:val="-4"/>
                <w:sz w:val="21"/>
              </w:rPr>
              <w:t>Loos</w:t>
            </w:r>
          </w:p>
        </w:tc>
        <w:tc>
          <w:tcPr>
            <w:tcW w:w="3621" w:type="dxa"/>
            <w:tcBorders>
              <w:top w:val="single" w:sz="24" w:space="0" w:color="000000"/>
              <w:right w:val="single" w:sz="8" w:space="0" w:color="000000"/>
            </w:tcBorders>
            <w:shd w:val="clear" w:color="auto" w:fill="C0C0C0"/>
          </w:tcPr>
          <w:p>
            <w:pPr>
              <w:pStyle w:val="TableParagraph"/>
              <w:spacing w:line="276" w:lineRule="auto" w:before="8"/>
              <w:ind w:left="319"/>
              <w:rPr>
                <w:sz w:val="20"/>
              </w:rPr>
            </w:pPr>
            <w:r>
              <w:rPr>
                <w:sz w:val="20"/>
              </w:rPr>
              <w:t>Established the principle that Community</w:t>
            </w:r>
            <w:r>
              <w:rPr>
                <w:spacing w:val="-8"/>
                <w:sz w:val="20"/>
              </w:rPr>
              <w:t> </w:t>
            </w:r>
            <w:r>
              <w:rPr>
                <w:sz w:val="20"/>
              </w:rPr>
              <w:t>law</w:t>
            </w:r>
            <w:r>
              <w:rPr>
                <w:spacing w:val="-10"/>
                <w:sz w:val="20"/>
              </w:rPr>
              <w:t> </w:t>
            </w:r>
            <w:r>
              <w:rPr>
                <w:sz w:val="20"/>
              </w:rPr>
              <w:t>is</w:t>
            </w:r>
            <w:r>
              <w:rPr>
                <w:spacing w:val="-8"/>
                <w:sz w:val="20"/>
              </w:rPr>
              <w:t> </w:t>
            </w:r>
            <w:r>
              <w:rPr>
                <w:sz w:val="20"/>
              </w:rPr>
              <w:t>directly</w:t>
            </w:r>
            <w:r>
              <w:rPr>
                <w:spacing w:val="-8"/>
                <w:sz w:val="20"/>
              </w:rPr>
              <w:t> </w:t>
            </w:r>
            <w:r>
              <w:rPr>
                <w:sz w:val="20"/>
              </w:rPr>
              <w:t>applicable</w:t>
            </w:r>
          </w:p>
          <w:p>
            <w:pPr>
              <w:pStyle w:val="TableParagraph"/>
              <w:spacing w:line="262" w:lineRule="exact"/>
              <w:ind w:left="319"/>
              <w:rPr>
                <w:sz w:val="20"/>
              </w:rPr>
            </w:pPr>
            <w:r>
              <w:rPr>
                <w:sz w:val="20"/>
              </w:rPr>
              <w:t>in</w:t>
            </w:r>
            <w:r>
              <w:rPr>
                <w:spacing w:val="-1"/>
                <w:sz w:val="20"/>
              </w:rPr>
              <w:t> </w:t>
            </w:r>
            <w:r>
              <w:rPr>
                <w:sz w:val="20"/>
              </w:rPr>
              <w:t>the</w:t>
            </w:r>
            <w:r>
              <w:rPr>
                <w:spacing w:val="-2"/>
                <w:sz w:val="20"/>
              </w:rPr>
              <w:t> </w:t>
            </w:r>
            <w:r>
              <w:rPr>
                <w:sz w:val="20"/>
              </w:rPr>
              <w:t>courts</w:t>
            </w:r>
            <w:r>
              <w:rPr>
                <w:spacing w:val="-6"/>
                <w:sz w:val="20"/>
              </w:rPr>
              <w:t> </w:t>
            </w:r>
            <w:r>
              <w:rPr>
                <w:sz w:val="20"/>
              </w:rPr>
              <w:t>of</w:t>
            </w:r>
            <w:r>
              <w:rPr>
                <w:spacing w:val="-2"/>
                <w:sz w:val="20"/>
              </w:rPr>
              <w:t> </w:t>
            </w:r>
            <w:r>
              <w:rPr>
                <w:sz w:val="20"/>
              </w:rPr>
              <w:t>the</w:t>
            </w:r>
            <w:r>
              <w:rPr>
                <w:spacing w:val="-7"/>
                <w:sz w:val="20"/>
              </w:rPr>
              <w:t> </w:t>
            </w:r>
            <w:r>
              <w:rPr>
                <w:sz w:val="20"/>
              </w:rPr>
              <w:t>Member</w:t>
            </w:r>
            <w:r>
              <w:rPr>
                <w:spacing w:val="-5"/>
                <w:sz w:val="20"/>
              </w:rPr>
              <w:t> </w:t>
            </w:r>
            <w:r>
              <w:rPr>
                <w:spacing w:val="-2"/>
                <w:sz w:val="20"/>
              </w:rPr>
              <w:t>States</w:t>
            </w:r>
          </w:p>
        </w:tc>
      </w:tr>
      <w:tr>
        <w:trPr>
          <w:trHeight w:val="1210" w:hRule="atLeast"/>
        </w:trPr>
        <w:tc>
          <w:tcPr>
            <w:tcW w:w="1105" w:type="dxa"/>
            <w:tcBorders>
              <w:right w:val="single" w:sz="8" w:space="0" w:color="000000"/>
            </w:tcBorders>
          </w:tcPr>
          <w:p>
            <w:pPr>
              <w:pStyle w:val="TableParagraph"/>
              <w:spacing w:before="5"/>
              <w:ind w:left="120"/>
              <w:rPr>
                <w:sz w:val="20"/>
              </w:rPr>
            </w:pPr>
            <w:r>
              <w:rPr>
                <w:spacing w:val="-4"/>
                <w:sz w:val="20"/>
              </w:rPr>
              <w:t>1964</w:t>
            </w:r>
          </w:p>
        </w:tc>
        <w:tc>
          <w:tcPr>
            <w:tcW w:w="3771" w:type="dxa"/>
            <w:tcBorders>
              <w:left w:val="single" w:sz="8" w:space="0" w:color="000000"/>
            </w:tcBorders>
          </w:tcPr>
          <w:p>
            <w:pPr>
              <w:pStyle w:val="TableParagraph"/>
              <w:spacing w:line="272" w:lineRule="exact"/>
              <w:ind w:left="109"/>
              <w:rPr>
                <w:sz w:val="21"/>
              </w:rPr>
            </w:pPr>
            <w:r>
              <w:rPr>
                <w:spacing w:val="-2"/>
                <w:sz w:val="21"/>
              </w:rPr>
              <w:t>Costa</w:t>
            </w:r>
            <w:r>
              <w:rPr>
                <w:spacing w:val="-9"/>
                <w:sz w:val="21"/>
              </w:rPr>
              <w:t> </w:t>
            </w:r>
            <w:r>
              <w:rPr>
                <w:spacing w:val="-2"/>
                <w:sz w:val="21"/>
              </w:rPr>
              <w:t>v</w:t>
            </w:r>
            <w:r>
              <w:rPr>
                <w:spacing w:val="-11"/>
                <w:sz w:val="21"/>
              </w:rPr>
              <w:t> </w:t>
            </w:r>
            <w:r>
              <w:rPr>
                <w:spacing w:val="-4"/>
                <w:sz w:val="21"/>
              </w:rPr>
              <w:t>ENEL</w:t>
            </w:r>
          </w:p>
        </w:tc>
        <w:tc>
          <w:tcPr>
            <w:tcW w:w="3621" w:type="dxa"/>
            <w:tcBorders>
              <w:right w:val="single" w:sz="8" w:space="0" w:color="000000"/>
            </w:tcBorders>
          </w:tcPr>
          <w:p>
            <w:pPr>
              <w:pStyle w:val="TableParagraph"/>
              <w:spacing w:line="276" w:lineRule="auto" w:before="5"/>
              <w:ind w:left="319" w:right="79"/>
              <w:rPr>
                <w:sz w:val="20"/>
              </w:rPr>
            </w:pPr>
            <w:r>
              <w:rPr>
                <w:sz w:val="20"/>
              </w:rPr>
              <w:t>Defined</w:t>
            </w:r>
            <w:r>
              <w:rPr>
                <w:spacing w:val="-6"/>
                <w:sz w:val="20"/>
              </w:rPr>
              <w:t> </w:t>
            </w:r>
            <w:r>
              <w:rPr>
                <w:sz w:val="20"/>
              </w:rPr>
              <w:t>Community</w:t>
            </w:r>
            <w:r>
              <w:rPr>
                <w:spacing w:val="-4"/>
                <w:sz w:val="20"/>
              </w:rPr>
              <w:t> </w:t>
            </w:r>
            <w:r>
              <w:rPr>
                <w:sz w:val="20"/>
              </w:rPr>
              <w:t>law</w:t>
            </w:r>
            <w:r>
              <w:rPr>
                <w:spacing w:val="-10"/>
                <w:sz w:val="20"/>
              </w:rPr>
              <w:t> </w:t>
            </w:r>
            <w:r>
              <w:rPr>
                <w:sz w:val="20"/>
              </w:rPr>
              <w:t>as</w:t>
            </w:r>
            <w:r>
              <w:rPr>
                <w:spacing w:val="-10"/>
                <w:sz w:val="20"/>
              </w:rPr>
              <w:t> </w:t>
            </w:r>
            <w:r>
              <w:rPr>
                <w:sz w:val="20"/>
              </w:rPr>
              <w:t>an independent system, taking precedence</w:t>
            </w:r>
            <w:r>
              <w:rPr>
                <w:spacing w:val="-13"/>
                <w:sz w:val="20"/>
              </w:rPr>
              <w:t> </w:t>
            </w:r>
            <w:r>
              <w:rPr>
                <w:sz w:val="20"/>
              </w:rPr>
              <w:t>over</w:t>
            </w:r>
            <w:r>
              <w:rPr>
                <w:spacing w:val="-9"/>
                <w:sz w:val="20"/>
              </w:rPr>
              <w:t> </w:t>
            </w:r>
            <w:r>
              <w:rPr>
                <w:sz w:val="20"/>
              </w:rPr>
              <w:t>national</w:t>
            </w:r>
            <w:r>
              <w:rPr>
                <w:spacing w:val="-13"/>
                <w:sz w:val="20"/>
              </w:rPr>
              <w:t> </w:t>
            </w:r>
            <w:r>
              <w:rPr>
                <w:sz w:val="20"/>
              </w:rPr>
              <w:t>legal</w:t>
            </w:r>
          </w:p>
          <w:p>
            <w:pPr>
              <w:pStyle w:val="TableParagraph"/>
              <w:spacing w:line="262" w:lineRule="exact"/>
              <w:ind w:left="319"/>
              <w:rPr>
                <w:sz w:val="20"/>
              </w:rPr>
            </w:pPr>
            <w:r>
              <w:rPr>
                <w:spacing w:val="-2"/>
                <w:sz w:val="20"/>
              </w:rPr>
              <w:t>provisions.</w:t>
            </w:r>
          </w:p>
        </w:tc>
      </w:tr>
      <w:tr>
        <w:trPr>
          <w:trHeight w:val="1214" w:hRule="atLeast"/>
        </w:trPr>
        <w:tc>
          <w:tcPr>
            <w:tcW w:w="1105" w:type="dxa"/>
            <w:tcBorders>
              <w:right w:val="single" w:sz="8" w:space="0" w:color="000000"/>
            </w:tcBorders>
          </w:tcPr>
          <w:p>
            <w:pPr>
              <w:pStyle w:val="TableParagraph"/>
              <w:spacing w:before="5"/>
              <w:ind w:left="120"/>
              <w:rPr>
                <w:sz w:val="20"/>
              </w:rPr>
            </w:pPr>
            <w:r>
              <w:rPr>
                <w:spacing w:val="-4"/>
                <w:sz w:val="20"/>
              </w:rPr>
              <w:t>1971</w:t>
            </w:r>
          </w:p>
        </w:tc>
        <w:tc>
          <w:tcPr>
            <w:tcW w:w="3771" w:type="dxa"/>
            <w:tcBorders>
              <w:left w:val="single" w:sz="8" w:space="0" w:color="000000"/>
            </w:tcBorders>
            <w:shd w:val="clear" w:color="auto" w:fill="C0C0C0"/>
          </w:tcPr>
          <w:p>
            <w:pPr>
              <w:pStyle w:val="TableParagraph"/>
              <w:spacing w:line="271" w:lineRule="exact"/>
              <w:ind w:left="109"/>
              <w:rPr>
                <w:sz w:val="21"/>
              </w:rPr>
            </w:pPr>
            <w:r>
              <w:rPr>
                <w:spacing w:val="-6"/>
                <w:sz w:val="21"/>
              </w:rPr>
              <w:t>AETR</w:t>
            </w:r>
            <w:r>
              <w:rPr>
                <w:spacing w:val="-3"/>
                <w:sz w:val="21"/>
              </w:rPr>
              <w:t> </w:t>
            </w:r>
            <w:r>
              <w:rPr>
                <w:spacing w:val="-6"/>
                <w:sz w:val="21"/>
              </w:rPr>
              <w:t>judgment,</w:t>
            </w:r>
            <w:r>
              <w:rPr>
                <w:spacing w:val="2"/>
                <w:sz w:val="21"/>
              </w:rPr>
              <w:t> </w:t>
            </w:r>
            <w:r>
              <w:rPr>
                <w:spacing w:val="-6"/>
                <w:sz w:val="21"/>
              </w:rPr>
              <w:t>Commission</w:t>
            </w:r>
            <w:r>
              <w:rPr>
                <w:spacing w:val="5"/>
                <w:sz w:val="21"/>
              </w:rPr>
              <w:t> </w:t>
            </w:r>
            <w:r>
              <w:rPr>
                <w:spacing w:val="-6"/>
                <w:sz w:val="21"/>
              </w:rPr>
              <w:t>v</w:t>
            </w:r>
            <w:r>
              <w:rPr>
                <w:spacing w:val="-3"/>
                <w:sz w:val="21"/>
              </w:rPr>
              <w:t> </w:t>
            </w:r>
            <w:r>
              <w:rPr>
                <w:spacing w:val="-6"/>
                <w:sz w:val="21"/>
              </w:rPr>
              <w:t>Council</w:t>
            </w:r>
          </w:p>
        </w:tc>
        <w:tc>
          <w:tcPr>
            <w:tcW w:w="3621" w:type="dxa"/>
            <w:tcBorders>
              <w:right w:val="single" w:sz="8" w:space="0" w:color="000000"/>
            </w:tcBorders>
            <w:shd w:val="clear" w:color="auto" w:fill="C0C0C0"/>
          </w:tcPr>
          <w:p>
            <w:pPr>
              <w:pStyle w:val="TableParagraph"/>
              <w:spacing w:line="276" w:lineRule="auto" w:before="5"/>
              <w:ind w:left="319" w:right="146"/>
              <w:jc w:val="both"/>
              <w:rPr>
                <w:sz w:val="20"/>
              </w:rPr>
            </w:pPr>
            <w:r>
              <w:rPr>
                <w:sz w:val="20"/>
              </w:rPr>
              <w:t>Recognized</w:t>
            </w:r>
            <w:r>
              <w:rPr>
                <w:spacing w:val="-11"/>
                <w:sz w:val="20"/>
              </w:rPr>
              <w:t> </w:t>
            </w:r>
            <w:r>
              <w:rPr>
                <w:sz w:val="20"/>
              </w:rPr>
              <w:t>the</w:t>
            </w:r>
            <w:r>
              <w:rPr>
                <w:spacing w:val="-7"/>
                <w:sz w:val="20"/>
              </w:rPr>
              <w:t> </w:t>
            </w:r>
            <w:r>
              <w:rPr>
                <w:sz w:val="20"/>
              </w:rPr>
              <w:t>Community’s</w:t>
            </w:r>
            <w:r>
              <w:rPr>
                <w:spacing w:val="-11"/>
                <w:sz w:val="20"/>
              </w:rPr>
              <w:t> </w:t>
            </w:r>
            <w:r>
              <w:rPr>
                <w:sz w:val="20"/>
              </w:rPr>
              <w:t>right</w:t>
            </w:r>
            <w:r>
              <w:rPr>
                <w:spacing w:val="-6"/>
                <w:sz w:val="20"/>
              </w:rPr>
              <w:t> </w:t>
            </w:r>
            <w:r>
              <w:rPr>
                <w:sz w:val="20"/>
              </w:rPr>
              <w:t>to conclude</w:t>
            </w:r>
            <w:r>
              <w:rPr>
                <w:spacing w:val="-3"/>
                <w:sz w:val="20"/>
              </w:rPr>
              <w:t> </w:t>
            </w:r>
            <w:r>
              <w:rPr>
                <w:sz w:val="20"/>
              </w:rPr>
              <w:t>international</w:t>
            </w:r>
            <w:r>
              <w:rPr>
                <w:spacing w:val="-7"/>
                <w:sz w:val="20"/>
              </w:rPr>
              <w:t> </w:t>
            </w:r>
            <w:r>
              <w:rPr>
                <w:sz w:val="20"/>
              </w:rPr>
              <w:t>agreements</w:t>
            </w:r>
            <w:r>
              <w:rPr>
                <w:spacing w:val="-2"/>
                <w:sz w:val="20"/>
              </w:rPr>
              <w:t> </w:t>
            </w:r>
            <w:r>
              <w:rPr>
                <w:sz w:val="20"/>
              </w:rPr>
              <w:t>in spheres where Community</w:t>
            </w:r>
          </w:p>
          <w:p>
            <w:pPr>
              <w:pStyle w:val="TableParagraph"/>
              <w:spacing w:before="4"/>
              <w:ind w:left="319"/>
              <w:jc w:val="both"/>
              <w:rPr>
                <w:sz w:val="20"/>
              </w:rPr>
            </w:pPr>
            <w:r>
              <w:rPr>
                <w:sz w:val="20"/>
              </w:rPr>
              <w:t>regulations</w:t>
            </w:r>
            <w:r>
              <w:rPr>
                <w:spacing w:val="-10"/>
                <w:sz w:val="20"/>
              </w:rPr>
              <w:t> </w:t>
            </w:r>
            <w:r>
              <w:rPr>
                <w:spacing w:val="-2"/>
                <w:sz w:val="20"/>
              </w:rPr>
              <w:t>apply</w:t>
            </w:r>
          </w:p>
        </w:tc>
      </w:tr>
      <w:tr>
        <w:trPr>
          <w:trHeight w:val="1209" w:hRule="atLeast"/>
        </w:trPr>
        <w:tc>
          <w:tcPr>
            <w:tcW w:w="1105" w:type="dxa"/>
            <w:tcBorders>
              <w:right w:val="single" w:sz="8" w:space="0" w:color="000000"/>
            </w:tcBorders>
          </w:tcPr>
          <w:p>
            <w:pPr>
              <w:pStyle w:val="TableParagraph"/>
              <w:spacing w:before="5"/>
              <w:ind w:left="120"/>
              <w:rPr>
                <w:sz w:val="20"/>
              </w:rPr>
            </w:pPr>
            <w:r>
              <w:rPr>
                <w:spacing w:val="-4"/>
                <w:sz w:val="20"/>
              </w:rPr>
              <w:t>1974</w:t>
            </w:r>
          </w:p>
        </w:tc>
        <w:tc>
          <w:tcPr>
            <w:tcW w:w="3771" w:type="dxa"/>
            <w:tcBorders>
              <w:left w:val="single" w:sz="8" w:space="0" w:color="000000"/>
            </w:tcBorders>
          </w:tcPr>
          <w:p>
            <w:pPr>
              <w:pStyle w:val="TableParagraph"/>
              <w:spacing w:line="272" w:lineRule="exact"/>
              <w:ind w:left="109"/>
              <w:rPr>
                <w:sz w:val="21"/>
              </w:rPr>
            </w:pPr>
            <w:r>
              <w:rPr>
                <w:spacing w:val="-4"/>
                <w:sz w:val="21"/>
              </w:rPr>
              <w:t>Nold</w:t>
            </w:r>
            <w:r>
              <w:rPr>
                <w:spacing w:val="-8"/>
                <w:sz w:val="21"/>
              </w:rPr>
              <w:t> </w:t>
            </w:r>
            <w:r>
              <w:rPr>
                <w:spacing w:val="-4"/>
                <w:sz w:val="21"/>
              </w:rPr>
              <w:t>case</w:t>
            </w:r>
          </w:p>
        </w:tc>
        <w:tc>
          <w:tcPr>
            <w:tcW w:w="3621" w:type="dxa"/>
            <w:tcBorders>
              <w:right w:val="single" w:sz="8" w:space="0" w:color="000000"/>
            </w:tcBorders>
          </w:tcPr>
          <w:p>
            <w:pPr>
              <w:pStyle w:val="TableParagraph"/>
              <w:spacing w:line="276" w:lineRule="auto" w:before="5"/>
              <w:ind w:left="319" w:right="79"/>
              <w:rPr>
                <w:sz w:val="20"/>
              </w:rPr>
            </w:pPr>
            <w:r>
              <w:rPr>
                <w:sz w:val="20"/>
              </w:rPr>
              <w:t>Court</w:t>
            </w:r>
            <w:r>
              <w:rPr>
                <w:spacing w:val="-7"/>
                <w:sz w:val="20"/>
              </w:rPr>
              <w:t> </w:t>
            </w:r>
            <w:r>
              <w:rPr>
                <w:sz w:val="20"/>
              </w:rPr>
              <w:t>stated</w:t>
            </w:r>
            <w:r>
              <w:rPr>
                <w:spacing w:val="-11"/>
                <w:sz w:val="20"/>
              </w:rPr>
              <w:t> </w:t>
            </w:r>
            <w:r>
              <w:rPr>
                <w:sz w:val="20"/>
              </w:rPr>
              <w:t>that</w:t>
            </w:r>
            <w:r>
              <w:rPr>
                <w:spacing w:val="-10"/>
                <w:sz w:val="20"/>
              </w:rPr>
              <w:t> </w:t>
            </w:r>
            <w:r>
              <w:rPr>
                <w:sz w:val="20"/>
              </w:rPr>
              <w:t>fundamental</w:t>
            </w:r>
            <w:r>
              <w:rPr>
                <w:spacing w:val="-11"/>
                <w:sz w:val="20"/>
              </w:rPr>
              <w:t> </w:t>
            </w:r>
            <w:r>
              <w:rPr>
                <w:sz w:val="20"/>
              </w:rPr>
              <w:t>human rights are an integral part of the general principles of law that it</w:t>
            </w:r>
          </w:p>
          <w:p>
            <w:pPr>
              <w:pStyle w:val="TableParagraph"/>
              <w:spacing w:line="262" w:lineRule="exact"/>
              <w:ind w:left="319"/>
              <w:rPr>
                <w:sz w:val="20"/>
              </w:rPr>
            </w:pPr>
            <w:r>
              <w:rPr>
                <w:spacing w:val="-2"/>
                <w:sz w:val="20"/>
              </w:rPr>
              <w:t>upholds</w:t>
            </w:r>
          </w:p>
        </w:tc>
      </w:tr>
      <w:tr>
        <w:trPr>
          <w:trHeight w:val="1517" w:hRule="atLeast"/>
        </w:trPr>
        <w:tc>
          <w:tcPr>
            <w:tcW w:w="1105" w:type="dxa"/>
            <w:tcBorders>
              <w:right w:val="single" w:sz="8" w:space="0" w:color="000000"/>
            </w:tcBorders>
          </w:tcPr>
          <w:p>
            <w:pPr>
              <w:pStyle w:val="TableParagraph"/>
              <w:spacing w:before="5"/>
              <w:ind w:left="120"/>
              <w:rPr>
                <w:sz w:val="20"/>
              </w:rPr>
            </w:pPr>
            <w:r>
              <w:rPr>
                <w:spacing w:val="-4"/>
                <w:sz w:val="20"/>
              </w:rPr>
              <w:t>1979</w:t>
            </w:r>
          </w:p>
        </w:tc>
        <w:tc>
          <w:tcPr>
            <w:tcW w:w="3771" w:type="dxa"/>
            <w:tcBorders>
              <w:left w:val="single" w:sz="8" w:space="0" w:color="000000"/>
            </w:tcBorders>
            <w:shd w:val="clear" w:color="auto" w:fill="C0C0C0"/>
          </w:tcPr>
          <w:p>
            <w:pPr>
              <w:pStyle w:val="TableParagraph"/>
              <w:spacing w:line="272" w:lineRule="exact"/>
              <w:ind w:left="109"/>
              <w:rPr>
                <w:sz w:val="21"/>
              </w:rPr>
            </w:pPr>
            <w:r>
              <w:rPr>
                <w:spacing w:val="-2"/>
                <w:sz w:val="21"/>
              </w:rPr>
              <w:t>Cassis</w:t>
            </w:r>
            <w:r>
              <w:rPr>
                <w:spacing w:val="-11"/>
                <w:sz w:val="21"/>
              </w:rPr>
              <w:t> </w:t>
            </w:r>
            <w:r>
              <w:rPr>
                <w:spacing w:val="-2"/>
                <w:sz w:val="21"/>
              </w:rPr>
              <w:t>de</w:t>
            </w:r>
            <w:r>
              <w:rPr>
                <w:spacing w:val="-11"/>
                <w:sz w:val="21"/>
              </w:rPr>
              <w:t> </w:t>
            </w:r>
            <w:r>
              <w:rPr>
                <w:spacing w:val="-2"/>
                <w:sz w:val="21"/>
              </w:rPr>
              <w:t>Dijon</w:t>
            </w:r>
          </w:p>
        </w:tc>
        <w:tc>
          <w:tcPr>
            <w:tcW w:w="3621" w:type="dxa"/>
            <w:tcBorders>
              <w:right w:val="single" w:sz="8" w:space="0" w:color="000000"/>
            </w:tcBorders>
            <w:shd w:val="clear" w:color="auto" w:fill="C0C0C0"/>
          </w:tcPr>
          <w:p>
            <w:pPr>
              <w:pStyle w:val="TableParagraph"/>
              <w:spacing w:line="276" w:lineRule="auto" w:before="5"/>
              <w:ind w:left="319" w:right="79"/>
              <w:rPr>
                <w:sz w:val="20"/>
              </w:rPr>
            </w:pPr>
            <w:r>
              <w:rPr>
                <w:sz w:val="20"/>
              </w:rPr>
              <w:t>The court ruled that any product legally</w:t>
            </w:r>
            <w:r>
              <w:rPr>
                <w:spacing w:val="-8"/>
                <w:sz w:val="20"/>
              </w:rPr>
              <w:t> </w:t>
            </w:r>
            <w:r>
              <w:rPr>
                <w:sz w:val="20"/>
              </w:rPr>
              <w:t>manufactured</w:t>
            </w:r>
            <w:r>
              <w:rPr>
                <w:spacing w:val="-10"/>
                <w:sz w:val="20"/>
              </w:rPr>
              <w:t> </w:t>
            </w:r>
            <w:r>
              <w:rPr>
                <w:sz w:val="20"/>
              </w:rPr>
              <w:t>and</w:t>
            </w:r>
            <w:r>
              <w:rPr>
                <w:spacing w:val="-10"/>
                <w:sz w:val="20"/>
              </w:rPr>
              <w:t> </w:t>
            </w:r>
            <w:r>
              <w:rPr>
                <w:sz w:val="20"/>
              </w:rPr>
              <w:t>marketed</w:t>
            </w:r>
            <w:r>
              <w:rPr>
                <w:spacing w:val="-10"/>
                <w:sz w:val="20"/>
              </w:rPr>
              <w:t> </w:t>
            </w:r>
            <w:r>
              <w:rPr>
                <w:sz w:val="20"/>
              </w:rPr>
              <w:t>in a Member State must in principle be allowed on the market of any other</w:t>
            </w:r>
          </w:p>
          <w:p>
            <w:pPr>
              <w:pStyle w:val="TableParagraph"/>
              <w:spacing w:line="262" w:lineRule="exact"/>
              <w:ind w:left="319"/>
              <w:rPr>
                <w:sz w:val="20"/>
              </w:rPr>
            </w:pPr>
            <w:r>
              <w:rPr>
                <w:sz w:val="20"/>
              </w:rPr>
              <w:t>Member</w:t>
            </w:r>
            <w:r>
              <w:rPr>
                <w:spacing w:val="-4"/>
                <w:sz w:val="20"/>
              </w:rPr>
              <w:t> </w:t>
            </w:r>
            <w:r>
              <w:rPr>
                <w:spacing w:val="-2"/>
                <w:sz w:val="20"/>
              </w:rPr>
              <w:t>State</w:t>
            </w:r>
          </w:p>
        </w:tc>
      </w:tr>
    </w:tbl>
    <w:p>
      <w:pPr>
        <w:pStyle w:val="BodyText"/>
        <w:spacing w:before="169"/>
        <w:ind w:left="0"/>
        <w:jc w:val="left"/>
        <w:rPr>
          <w:rFonts w:ascii="Calibri"/>
          <w:b/>
          <w:i/>
          <w:sz w:val="18"/>
        </w:rPr>
      </w:pPr>
    </w:p>
    <w:p>
      <w:pPr>
        <w:pStyle w:val="BodyText"/>
        <w:spacing w:line="273" w:lineRule="auto"/>
        <w:ind w:right="1903" w:firstLine="720"/>
      </w:pPr>
      <w:r>
        <w:rPr>
          <w:sz w:val="27"/>
        </w:rPr>
        <w:t>Van Gend &amp; Loos </w:t>
      </w:r>
      <w:r>
        <w:rPr/>
        <w:t>case became a “cornerstone for the constitutional evolution” of</w:t>
      </w:r>
      <w:r>
        <w:rPr>
          <w:spacing w:val="-3"/>
        </w:rPr>
        <w:t> </w:t>
      </w:r>
      <w:r>
        <w:rPr/>
        <w:t>the</w:t>
      </w:r>
      <w:r>
        <w:rPr>
          <w:spacing w:val="-2"/>
        </w:rPr>
        <w:t> </w:t>
      </w:r>
      <w:r>
        <w:rPr/>
        <w:t>European community. (</w:t>
      </w:r>
      <w:hyperlink w:history="true" w:anchor="_bookmark400">
        <w:r>
          <w:rPr/>
          <w:t>Stein,</w:t>
        </w:r>
        <w:r>
          <w:rPr>
            <w:spacing w:val="-1"/>
          </w:rPr>
          <w:t> </w:t>
        </w:r>
        <w:r>
          <w:rPr/>
          <w:t>1981</w:t>
        </w:r>
      </w:hyperlink>
      <w:r>
        <w:rPr/>
        <w:t>)</w:t>
      </w:r>
      <w:r>
        <w:rPr>
          <w:spacing w:val="-1"/>
        </w:rPr>
        <w:t> </w:t>
      </w:r>
      <w:r>
        <w:rPr/>
        <w:t>On</w:t>
      </w:r>
      <w:r>
        <w:rPr>
          <w:spacing w:val="-1"/>
        </w:rPr>
        <w:t> </w:t>
      </w:r>
      <w:r>
        <w:rPr/>
        <w:t>9</w:t>
      </w:r>
      <w:r>
        <w:rPr>
          <w:spacing w:val="-3"/>
        </w:rPr>
        <w:t> </w:t>
      </w:r>
      <w:r>
        <w:rPr/>
        <w:t>September</w:t>
      </w:r>
      <w:r>
        <w:rPr>
          <w:spacing w:val="-1"/>
        </w:rPr>
        <w:t> </w:t>
      </w:r>
      <w:r>
        <w:rPr/>
        <w:t>1960, </w:t>
      </w:r>
      <w:r>
        <w:rPr>
          <w:sz w:val="27"/>
        </w:rPr>
        <w:t>Van</w:t>
      </w:r>
      <w:r>
        <w:rPr>
          <w:spacing w:val="-5"/>
          <w:sz w:val="27"/>
        </w:rPr>
        <w:t> </w:t>
      </w:r>
      <w:r>
        <w:rPr>
          <w:sz w:val="27"/>
        </w:rPr>
        <w:t>Gend</w:t>
      </w:r>
      <w:r>
        <w:rPr>
          <w:spacing w:val="-5"/>
          <w:sz w:val="27"/>
        </w:rPr>
        <w:t> </w:t>
      </w:r>
      <w:r>
        <w:rPr>
          <w:sz w:val="27"/>
        </w:rPr>
        <w:t>&amp;</w:t>
      </w:r>
      <w:r>
        <w:rPr>
          <w:spacing w:val="-9"/>
          <w:sz w:val="27"/>
        </w:rPr>
        <w:t> </w:t>
      </w:r>
      <w:r>
        <w:rPr>
          <w:sz w:val="27"/>
        </w:rPr>
        <w:t>Loos</w:t>
      </w:r>
      <w:r>
        <w:rPr>
          <w:spacing w:val="-5"/>
          <w:sz w:val="27"/>
        </w:rPr>
        <w:t> </w:t>
      </w:r>
      <w:r>
        <w:rPr/>
        <w:t>imported</w:t>
      </w:r>
      <w:r>
        <w:rPr>
          <w:spacing w:val="-3"/>
        </w:rPr>
        <w:t> </w:t>
      </w:r>
      <w:r>
        <w:rPr/>
        <w:t>into</w:t>
      </w:r>
      <w:r>
        <w:rPr>
          <w:spacing w:val="-6"/>
        </w:rPr>
        <w:t> </w:t>
      </w:r>
      <w:r>
        <w:rPr/>
        <w:t>the</w:t>
      </w:r>
      <w:r>
        <w:rPr>
          <w:spacing w:val="-3"/>
        </w:rPr>
        <w:t> </w:t>
      </w:r>
      <w:r>
        <w:rPr/>
        <w:t>Netherlands</w:t>
      </w:r>
      <w:r>
        <w:rPr>
          <w:spacing w:val="-5"/>
        </w:rPr>
        <w:t> </w:t>
      </w:r>
      <w:r>
        <w:rPr/>
        <w:t>from</w:t>
      </w:r>
      <w:r>
        <w:rPr>
          <w:spacing w:val="-5"/>
        </w:rPr>
        <w:t> </w:t>
      </w:r>
      <w:r>
        <w:rPr/>
        <w:t>the</w:t>
      </w:r>
      <w:r>
        <w:rPr>
          <w:spacing w:val="-3"/>
        </w:rPr>
        <w:t> </w:t>
      </w:r>
      <w:r>
        <w:rPr/>
        <w:t>Federal</w:t>
      </w:r>
      <w:r>
        <w:rPr>
          <w:spacing w:val="-6"/>
        </w:rPr>
        <w:t> </w:t>
      </w:r>
      <w:r>
        <w:rPr/>
        <w:t>Republic of Germany a quantity of urea formaldehyde. The</w:t>
      </w:r>
      <w:r>
        <w:rPr>
          <w:spacing w:val="-3"/>
        </w:rPr>
        <w:t> </w:t>
      </w:r>
      <w:r>
        <w:rPr/>
        <w:t>company paid the import tariff (8%) according to product classification agreed among the Benelux countries in 1958 (Benelux Protocol). </w:t>
      </w:r>
      <w:r>
        <w:rPr>
          <w:sz w:val="27"/>
        </w:rPr>
        <w:t>Van Gend en Loos </w:t>
      </w:r>
      <w:r>
        <w:rPr/>
        <w:t>objected the application of suggested tariff, putting forward a classification under 1958 the EEC Treaty that was charging 3% rate for their product. “Thus increasing the import duty on the product in question after the entry into force of the EEC Treaty, the Dutch Government infringed Article 12 of</w:t>
      </w:r>
      <w:r>
        <w:rPr>
          <w:spacing w:val="-1"/>
        </w:rPr>
        <w:t> </w:t>
      </w:r>
      <w:r>
        <w:rPr/>
        <w:t>that Treaty.” This objection was not accepted by the Inspector of Customs and Excise at Zaandam. The case of appeal was heard by the </w:t>
      </w:r>
      <w:r>
        <w:rPr>
          <w:sz w:val="27"/>
        </w:rPr>
        <w:t>Tariefcommissie</w:t>
      </w:r>
      <w:r>
        <w:rPr/>
        <w:t>. However,</w:t>
      </w:r>
      <w:r>
        <w:rPr>
          <w:spacing w:val="40"/>
        </w:rPr>
        <w:t> </w:t>
      </w:r>
      <w:r>
        <w:rPr/>
        <w:t>the</w:t>
      </w:r>
      <w:r>
        <w:rPr>
          <w:spacing w:val="40"/>
        </w:rPr>
        <w:t> </w:t>
      </w:r>
      <w:r>
        <w:rPr/>
        <w:t>committee</w:t>
      </w:r>
      <w:r>
        <w:rPr>
          <w:spacing w:val="40"/>
        </w:rPr>
        <w:t> </w:t>
      </w:r>
      <w:r>
        <w:rPr/>
        <w:t>could</w:t>
      </w:r>
      <w:r>
        <w:rPr>
          <w:spacing w:val="40"/>
        </w:rPr>
        <w:t> </w:t>
      </w:r>
      <w:r>
        <w:rPr/>
        <w:t>not</w:t>
      </w:r>
      <w:r>
        <w:rPr>
          <w:spacing w:val="40"/>
        </w:rPr>
        <w:t> </w:t>
      </w:r>
      <w:r>
        <w:rPr/>
        <w:t>give</w:t>
      </w:r>
      <w:r>
        <w:rPr>
          <w:spacing w:val="40"/>
        </w:rPr>
        <w:t> </w:t>
      </w:r>
      <w:r>
        <w:rPr/>
        <w:t>a</w:t>
      </w:r>
      <w:r>
        <w:rPr>
          <w:spacing w:val="40"/>
        </w:rPr>
        <w:t> </w:t>
      </w:r>
      <w:r>
        <w:rPr/>
        <w:t>formal</w:t>
      </w:r>
      <w:r>
        <w:rPr>
          <w:spacing w:val="40"/>
        </w:rPr>
        <w:t> </w:t>
      </w:r>
      <w:r>
        <w:rPr/>
        <w:t>decision</w:t>
      </w:r>
      <w:r>
        <w:rPr>
          <w:spacing w:val="62"/>
        </w:rPr>
        <w:t> </w:t>
      </w:r>
      <w:r>
        <w:rPr/>
        <w:t>because</w:t>
      </w:r>
      <w:r>
        <w:rPr>
          <w:spacing w:val="40"/>
        </w:rPr>
        <w:t> </w:t>
      </w:r>
      <w:r>
        <w:rPr/>
        <w:t>“the</w:t>
      </w:r>
    </w:p>
    <w:p>
      <w:pPr>
        <w:pStyle w:val="BodyText"/>
        <w:spacing w:after="0" w:line="273" w:lineRule="auto"/>
        <w:sectPr>
          <w:pgSz w:w="12240" w:h="15840"/>
          <w:pgMar w:header="1046" w:footer="0" w:top="1360" w:bottom="280" w:left="720" w:right="360"/>
        </w:sectPr>
      </w:pPr>
    </w:p>
    <w:p>
      <w:pPr>
        <w:pStyle w:val="BodyText"/>
        <w:spacing w:line="273" w:lineRule="auto" w:before="276"/>
        <w:ind w:right="1901"/>
      </w:pPr>
      <w:r>
        <w:rPr/>
        <w:t>arguments of the parties raised questions concerning the interpretation of the EEC Treaty.” Finally, using the </w:t>
      </w:r>
      <w:r>
        <w:rPr>
          <w:sz w:val="27"/>
        </w:rPr>
        <w:t>Preliminary</w:t>
      </w:r>
      <w:r>
        <w:rPr>
          <w:spacing w:val="40"/>
          <w:sz w:val="27"/>
        </w:rPr>
        <w:t> </w:t>
      </w:r>
      <w:r>
        <w:rPr>
          <w:sz w:val="27"/>
        </w:rPr>
        <w:t>Reference </w:t>
      </w:r>
      <w:r>
        <w:rPr/>
        <w:t>system,</w:t>
      </w:r>
      <w:r>
        <w:rPr>
          <w:position w:val="7"/>
          <w:sz w:val="15"/>
        </w:rPr>
        <w:t>33</w:t>
      </w:r>
      <w:r>
        <w:rPr>
          <w:spacing w:val="40"/>
          <w:position w:val="7"/>
          <w:sz w:val="15"/>
        </w:rPr>
        <w:t> </w:t>
      </w:r>
      <w:r>
        <w:rPr/>
        <w:t>the case was brought to the Court of Justice on 16 August 1962. (</w:t>
      </w:r>
      <w:hyperlink w:history="true" w:anchor="_bookmark416">
        <w:r>
          <w:rPr/>
          <w:t>"Van Gend en</w:t>
        </w:r>
      </w:hyperlink>
      <w:r>
        <w:rPr/>
        <w:t> </w:t>
      </w:r>
      <w:hyperlink w:history="true" w:anchor="_bookmark416">
        <w:r>
          <w:rPr/>
          <w:t>Loos," 1963</w:t>
        </w:r>
      </w:hyperlink>
      <w:r>
        <w:rPr/>
        <w:t>) The ECJ decided:</w:t>
      </w:r>
    </w:p>
    <w:p>
      <w:pPr>
        <w:pStyle w:val="Heading6"/>
        <w:spacing w:line="266" w:lineRule="auto"/>
        <w:ind w:left="979" w:right="1915"/>
      </w:pPr>
      <w:r>
        <w:rPr/>
        <w:t>“Whether Article 12 of the EEC Treaty has direct application within the territory of a Member State, in other words, whether nationals of such a State can, on the basis of the article in question, lay claim to individual rights</w:t>
      </w:r>
      <w:r>
        <w:rPr>
          <w:spacing w:val="-4"/>
        </w:rPr>
        <w:t> </w:t>
      </w:r>
      <w:r>
        <w:rPr/>
        <w:t>which</w:t>
      </w:r>
      <w:r>
        <w:rPr>
          <w:spacing w:val="-2"/>
        </w:rPr>
        <w:t> </w:t>
      </w:r>
      <w:r>
        <w:rPr/>
        <w:t>the</w:t>
      </w:r>
      <w:r>
        <w:rPr>
          <w:spacing w:val="-1"/>
        </w:rPr>
        <w:t> </w:t>
      </w:r>
      <w:r>
        <w:rPr/>
        <w:t>courts</w:t>
      </w:r>
      <w:r>
        <w:rPr>
          <w:spacing w:val="-4"/>
        </w:rPr>
        <w:t> </w:t>
      </w:r>
      <w:r>
        <w:rPr/>
        <w:t>must</w:t>
      </w:r>
      <w:r>
        <w:rPr>
          <w:spacing w:val="-2"/>
        </w:rPr>
        <w:t> </w:t>
      </w:r>
      <w:r>
        <w:rPr/>
        <w:t>protect.”</w:t>
      </w:r>
    </w:p>
    <w:p>
      <w:pPr>
        <w:pStyle w:val="BodyText"/>
        <w:spacing w:line="276" w:lineRule="auto"/>
        <w:ind w:right="1898" w:firstLine="720"/>
      </w:pPr>
      <w:r>
        <w:rPr/>
        <w:t>The Netherlands and Belgium, and Germany responded to the infringement accusations, by denying the jurisdiction of the Court to deal with the case of the Dutch tribunal. They maintained that cases of the similar nature “might be brought before the court only by the Commission or by another member state,” not by the individuals, and that “because the question was one of ‘application’ and not of ‘interpretation’ of the treaty</w:t>
      </w:r>
      <w:r>
        <w:rPr>
          <w:spacing w:val="40"/>
        </w:rPr>
        <w:t> </w:t>
      </w:r>
      <w:r>
        <w:rPr/>
        <w:t>[…] it was not appropriate for the Court of Justice to consider the matter.” (</w:t>
      </w:r>
      <w:hyperlink w:history="true" w:anchor="_bookmark400">
        <w:r>
          <w:rPr/>
          <w:t>Stein, 1981, pp. 4-5</w:t>
        </w:r>
      </w:hyperlink>
      <w:r>
        <w:rPr/>
        <w:t>)</w:t>
      </w:r>
    </w:p>
    <w:p>
      <w:pPr>
        <w:pStyle w:val="BodyText"/>
        <w:spacing w:line="276" w:lineRule="auto"/>
        <w:ind w:right="1853" w:firstLine="787"/>
      </w:pPr>
      <w:r>
        <w:rPr/>
        <w:t>The Commission of the EEC on the other hand, argued that </w:t>
      </w:r>
      <w:r>
        <w:rPr>
          <w:color w:val="000000"/>
          <w:shd w:fill="FEFE8B" w:color="auto" w:val="clear"/>
        </w:rPr>
        <w:t>“the</w:t>
      </w:r>
      <w:r>
        <w:rPr>
          <w:color w:val="000000"/>
        </w:rPr>
        <w:t> </w:t>
      </w:r>
      <w:r>
        <w:rPr>
          <w:color w:val="000000"/>
          <w:shd w:fill="FEFE8B" w:color="auto" w:val="clear"/>
        </w:rPr>
        <w:t>effect of the provisions of the Treaty on the national law of Member States</w:t>
      </w:r>
      <w:r>
        <w:rPr>
          <w:color w:val="000000"/>
          <w:spacing w:val="-1"/>
          <w:shd w:fill="FEFE8B" w:color="auto" w:val="clear"/>
        </w:rPr>
        <w:t> </w:t>
      </w:r>
      <w:r>
        <w:rPr>
          <w:color w:val="000000"/>
          <w:spacing w:val="-1"/>
        </w:rPr>
        <w:t> </w:t>
      </w:r>
      <w:r>
        <w:rPr>
          <w:color w:val="000000"/>
          <w:shd w:fill="FEFE8B" w:color="auto" w:val="clear"/>
        </w:rPr>
        <w:t>cannot be determined by the</w:t>
      </w:r>
      <w:r>
        <w:rPr>
          <w:color w:val="000000"/>
          <w:spacing w:val="-2"/>
          <w:shd w:fill="FEFE8B" w:color="auto" w:val="clear"/>
        </w:rPr>
        <w:t> </w:t>
      </w:r>
      <w:r>
        <w:rPr>
          <w:color w:val="000000"/>
          <w:shd w:fill="FEFE8B" w:color="auto" w:val="clear"/>
        </w:rPr>
        <w:t>actual national law of each of them but by the</w:t>
      </w:r>
      <w:r>
        <w:rPr>
          <w:color w:val="000000"/>
          <w:spacing w:val="-4"/>
          <w:shd w:fill="FEFE8B" w:color="auto" w:val="clear"/>
        </w:rPr>
        <w:t> </w:t>
      </w:r>
      <w:r>
        <w:rPr>
          <w:color w:val="000000"/>
          <w:spacing w:val="-4"/>
        </w:rPr>
        <w:t> </w:t>
      </w:r>
      <w:r>
        <w:rPr>
          <w:color w:val="000000"/>
          <w:shd w:fill="FEFE8B" w:color="auto" w:val="clear"/>
        </w:rPr>
        <w:t>Treaty itself.</w:t>
      </w:r>
      <w:r>
        <w:rPr>
          <w:color w:val="000000"/>
        </w:rPr>
        <w:t> (“Van Gend en Loos,” p. 334, 1963) Therefore ECJ was a right place to discuss the case. The Commission has proceeded with the argument that the Court should protect rights of the individuals in every occasion, including those cases in which the member states violate the treaty </w:t>
      </w:r>
      <w:r>
        <w:rPr>
          <w:color w:val="000000"/>
          <w:spacing w:val="-2"/>
        </w:rPr>
        <w:t>provisions.</w:t>
      </w:r>
    </w:p>
    <w:p>
      <w:pPr>
        <w:pStyle w:val="BodyText"/>
        <w:spacing w:line="273" w:lineRule="auto"/>
        <w:ind w:right="1917" w:firstLine="720"/>
        <w:rPr>
          <w:sz w:val="27"/>
        </w:rPr>
      </w:pPr>
      <w:r>
        <w:rPr/>
        <w:t>The</w:t>
      </w:r>
      <w:r>
        <w:rPr>
          <w:spacing w:val="-3"/>
        </w:rPr>
        <w:t> </w:t>
      </w:r>
      <w:r>
        <w:rPr/>
        <w:t>court</w:t>
      </w:r>
      <w:r>
        <w:rPr>
          <w:spacing w:val="-3"/>
        </w:rPr>
        <w:t> </w:t>
      </w:r>
      <w:r>
        <w:rPr/>
        <w:t>has followed</w:t>
      </w:r>
      <w:r>
        <w:rPr>
          <w:spacing w:val="-1"/>
        </w:rPr>
        <w:t> </w:t>
      </w:r>
      <w:r>
        <w:rPr/>
        <w:t>the</w:t>
      </w:r>
      <w:r>
        <w:rPr>
          <w:spacing w:val="-3"/>
        </w:rPr>
        <w:t> </w:t>
      </w:r>
      <w:r>
        <w:rPr/>
        <w:t>reasoning</w:t>
      </w:r>
      <w:r>
        <w:rPr>
          <w:spacing w:val="-3"/>
        </w:rPr>
        <w:t> </w:t>
      </w:r>
      <w:r>
        <w:rPr/>
        <w:t>of the Commission</w:t>
      </w:r>
      <w:r>
        <w:rPr>
          <w:spacing w:val="-2"/>
        </w:rPr>
        <w:t> </w:t>
      </w:r>
      <w:r>
        <w:rPr/>
        <w:t>and</w:t>
      </w:r>
      <w:r>
        <w:rPr>
          <w:spacing w:val="-1"/>
        </w:rPr>
        <w:t> </w:t>
      </w:r>
      <w:r>
        <w:rPr/>
        <w:t>decided that the treaty in fact has a direct effect that creates “individual rights which national courts must protect.” Therefore, the tariff determined by</w:t>
      </w:r>
      <w:r>
        <w:rPr>
          <w:spacing w:val="40"/>
        </w:rPr>
        <w:t> </w:t>
      </w:r>
      <w:r>
        <w:rPr/>
        <w:t>the treaty</w:t>
      </w:r>
      <w:r>
        <w:rPr>
          <w:spacing w:val="-1"/>
        </w:rPr>
        <w:t> </w:t>
      </w:r>
      <w:r>
        <w:rPr/>
        <w:t>should have been the</w:t>
      </w:r>
      <w:r>
        <w:rPr>
          <w:spacing w:val="-1"/>
        </w:rPr>
        <w:t> </w:t>
      </w:r>
      <w:r>
        <w:rPr/>
        <w:t>one relevant for the </w:t>
      </w:r>
      <w:r>
        <w:rPr>
          <w:sz w:val="27"/>
        </w:rPr>
        <w:t>Van</w:t>
      </w:r>
      <w:r>
        <w:rPr>
          <w:spacing w:val="-1"/>
          <w:sz w:val="27"/>
        </w:rPr>
        <w:t> </w:t>
      </w:r>
      <w:r>
        <w:rPr>
          <w:sz w:val="27"/>
        </w:rPr>
        <w:t>Gend</w:t>
      </w:r>
      <w:r>
        <w:rPr>
          <w:spacing w:val="-1"/>
          <w:sz w:val="27"/>
        </w:rPr>
        <w:t> </w:t>
      </w:r>
      <w:r>
        <w:rPr>
          <w:sz w:val="27"/>
        </w:rPr>
        <w:t>en</w:t>
      </w:r>
      <w:r>
        <w:rPr>
          <w:spacing w:val="-2"/>
          <w:sz w:val="27"/>
        </w:rPr>
        <w:t> </w:t>
      </w:r>
      <w:r>
        <w:rPr>
          <w:sz w:val="27"/>
        </w:rPr>
        <w:t>Loos.</w:t>
      </w:r>
    </w:p>
    <w:p>
      <w:pPr>
        <w:pStyle w:val="BodyText"/>
        <w:ind w:left="0"/>
        <w:jc w:val="left"/>
        <w:rPr>
          <w:sz w:val="20"/>
        </w:rPr>
      </w:pPr>
    </w:p>
    <w:p>
      <w:pPr>
        <w:pStyle w:val="BodyText"/>
        <w:spacing w:before="78"/>
        <w:ind w:left="0"/>
        <w:jc w:val="left"/>
        <w:rPr>
          <w:sz w:val="20"/>
        </w:rPr>
      </w:pPr>
      <w:r>
        <w:rPr>
          <w:sz w:val="20"/>
        </w:rPr>
        <mc:AlternateContent>
          <mc:Choice Requires="wps">
            <w:drawing>
              <wp:anchor distT="0" distB="0" distL="0" distR="0" allowOverlap="1" layoutInCell="1" locked="0" behindDoc="1" simplePos="0" relativeHeight="487663616">
                <wp:simplePos x="0" y="0"/>
                <wp:positionH relativeFrom="page">
                  <wp:posOffset>1079296</wp:posOffset>
                </wp:positionH>
                <wp:positionV relativeFrom="paragraph">
                  <wp:posOffset>232415</wp:posOffset>
                </wp:positionV>
                <wp:extent cx="1830070" cy="9525"/>
                <wp:effectExtent l="0" t="0" r="0" b="0"/>
                <wp:wrapTopAndBottom/>
                <wp:docPr id="184" name="Graphic 184"/>
                <wp:cNvGraphicFramePr>
                  <a:graphicFrameLocks/>
                </wp:cNvGraphicFramePr>
                <a:graphic>
                  <a:graphicData uri="http://schemas.microsoft.com/office/word/2010/wordprocessingShape">
                    <wps:wsp>
                      <wps:cNvPr id="184" name="Graphic 184"/>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18.300402pt;width:144.07pt;height:.71997pt;mso-position-horizontal-relative:page;mso-position-vertical-relative:paragraph;z-index:-15652864;mso-wrap-distance-left:0;mso-wrap-distance-right:0" id="docshape171" filled="true" fillcolor="#000000" stroked="false">
                <v:fill type="solid"/>
                <w10:wrap type="topAndBottom"/>
              </v:rect>
            </w:pict>
          </mc:Fallback>
        </mc:AlternateContent>
      </w:r>
    </w:p>
    <w:p>
      <w:pPr>
        <w:spacing w:line="240" w:lineRule="auto" w:before="102"/>
        <w:ind w:left="979" w:right="1905" w:firstLine="0"/>
        <w:jc w:val="both"/>
        <w:rPr>
          <w:rFonts w:ascii="Calibri"/>
          <w:sz w:val="20"/>
        </w:rPr>
      </w:pPr>
      <w:r>
        <w:rPr>
          <w:rFonts w:ascii="Calibri"/>
          <w:sz w:val="20"/>
          <w:vertAlign w:val="superscript"/>
        </w:rPr>
        <w:t>33</w:t>
      </w:r>
      <w:r>
        <w:rPr>
          <w:rFonts w:ascii="Calibri"/>
          <w:sz w:val="20"/>
          <w:vertAlign w:val="baseline"/>
        </w:rPr>
        <w:t> The reference for a preliminary ruling is a procedure exercised before the Court of Justice of the European Union. This procedure enables national courts to question the Court of Justice on the interpretation or validity of European law. The reference for a preliminary ruling therefore offers means to guarantee legal certainty by uniform application of EU law.</w:t>
      </w:r>
    </w:p>
    <w:p>
      <w:pPr>
        <w:spacing w:after="0" w:line="240" w:lineRule="auto"/>
        <w:jc w:val="both"/>
        <w:rPr>
          <w:rFonts w:ascii="Calibri"/>
          <w:sz w:val="20"/>
        </w:rPr>
        <w:sectPr>
          <w:pgSz w:w="12240" w:h="15840"/>
          <w:pgMar w:header="1046" w:footer="0" w:top="1360" w:bottom="280" w:left="720" w:right="360"/>
        </w:sectPr>
      </w:pPr>
    </w:p>
    <w:p>
      <w:pPr>
        <w:pStyle w:val="BodyText"/>
        <w:spacing w:line="271" w:lineRule="auto" w:before="276"/>
        <w:ind w:right="1906" w:firstLine="720"/>
      </w:pPr>
      <w:r>
        <w:rPr/>
        <w:t>For many scholars, this decision has not only shaped the legal order, it constituted that order. </w:t>
      </w:r>
      <w:r>
        <w:rPr>
          <w:sz w:val="27"/>
        </w:rPr>
        <w:t>Joseph Weiler </w:t>
      </w:r>
      <w:r>
        <w:rPr/>
        <w:t>argues, however, that the importance of the </w:t>
      </w:r>
      <w:r>
        <w:rPr>
          <w:sz w:val="27"/>
        </w:rPr>
        <w:t>Van Gend en Loos </w:t>
      </w:r>
      <w:r>
        <w:rPr/>
        <w:t>case in introducing the ‘direct effect’ laid not in the innovative judgement of the Court, but mostly</w:t>
      </w:r>
      <w:r>
        <w:rPr>
          <w:spacing w:val="40"/>
        </w:rPr>
        <w:t> </w:t>
      </w:r>
      <w:r>
        <w:rPr/>
        <w:t>in successful activation of the treaty features like </w:t>
      </w:r>
      <w:r>
        <w:rPr>
          <w:sz w:val="27"/>
        </w:rPr>
        <w:t>Preliminary Reference </w:t>
      </w:r>
      <w:r>
        <w:rPr/>
        <w:t>procedure; “By asking the question and making the reference as regards Article 12, the Dutch court was already opening the conceptual (and political) door to the Court.” (</w:t>
      </w:r>
      <w:hyperlink w:history="true" w:anchor="_bookmark426">
        <w:r>
          <w:rPr/>
          <w:t>Weiler, 2013</w:t>
        </w:r>
      </w:hyperlink>
      <w:r>
        <w:rPr/>
        <w:t>)</w:t>
      </w:r>
    </w:p>
    <w:p>
      <w:pPr>
        <w:pStyle w:val="BodyText"/>
        <w:spacing w:line="276" w:lineRule="auto" w:before="10"/>
        <w:ind w:right="1815" w:firstLine="720"/>
      </w:pPr>
      <w:r>
        <w:rPr/>
        <w:t>A significant statement deriving from the decision demonstrated the power of</w:t>
      </w:r>
      <w:r>
        <w:rPr>
          <w:spacing w:val="35"/>
        </w:rPr>
        <w:t> </w:t>
      </w:r>
      <w:r>
        <w:rPr/>
        <w:t>the Court </w:t>
      </w:r>
      <w:r>
        <w:rPr>
          <w:color w:val="000000"/>
          <w:shd w:fill="FEFE8B" w:color="auto" w:val="clear"/>
        </w:rPr>
        <w:t>“to determine itself the</w:t>
      </w:r>
      <w:r>
        <w:rPr>
          <w:color w:val="000000"/>
          <w:spacing w:val="37"/>
          <w:shd w:fill="FEFE8B" w:color="auto" w:val="clear"/>
        </w:rPr>
        <w:t> </w:t>
      </w:r>
      <w:r>
        <w:rPr>
          <w:color w:val="000000"/>
          <w:shd w:fill="FEFE8B" w:color="auto" w:val="clear"/>
        </w:rPr>
        <w:t>legal effect of the EEC Treaty</w:t>
      </w:r>
      <w:r>
        <w:rPr>
          <w:color w:val="000000"/>
          <w:spacing w:val="80"/>
          <w:shd w:fill="FEFE8B" w:color="auto" w:val="clear"/>
        </w:rPr>
        <w:t> </w:t>
      </w:r>
    </w:p>
    <w:p>
      <w:pPr>
        <w:pStyle w:val="BodyText"/>
        <w:spacing w:line="273" w:lineRule="auto"/>
        <w:ind w:right="1908" w:hanging="40"/>
      </w:pPr>
      <w:r>
        <w:rPr>
          <w:color w:val="000000"/>
          <w:spacing w:val="-17"/>
          <w:shd w:fill="FEFE8B" w:color="auto" w:val="clear"/>
        </w:rPr>
        <w:t> </w:t>
      </w:r>
      <w:r>
        <w:rPr>
          <w:color w:val="000000"/>
          <w:shd w:fill="FEFE8B" w:color="auto" w:val="clear"/>
        </w:rPr>
        <w:t>within</w:t>
      </w:r>
      <w:r>
        <w:rPr>
          <w:color w:val="000000"/>
          <w:spacing w:val="-13"/>
          <w:shd w:fill="FEFE8B" w:color="auto" w:val="clear"/>
        </w:rPr>
        <w:t> </w:t>
      </w:r>
      <w:r>
        <w:rPr>
          <w:color w:val="000000"/>
          <w:shd w:fill="FEFE8B" w:color="auto" w:val="clear"/>
        </w:rPr>
        <w:t>national</w:t>
      </w:r>
      <w:r>
        <w:rPr>
          <w:color w:val="000000"/>
          <w:spacing w:val="-4"/>
          <w:shd w:fill="FEFE8B" w:color="auto" w:val="clear"/>
        </w:rPr>
        <w:t> </w:t>
      </w:r>
      <w:r>
        <w:rPr>
          <w:color w:val="000000"/>
          <w:shd w:fill="FEFE8B" w:color="auto" w:val="clear"/>
        </w:rPr>
        <w:t>legal</w:t>
      </w:r>
      <w:r>
        <w:rPr>
          <w:color w:val="000000"/>
          <w:spacing w:val="-5"/>
          <w:shd w:fill="FEFE8B" w:color="auto" w:val="clear"/>
        </w:rPr>
        <w:t> </w:t>
      </w:r>
      <w:r>
        <w:rPr>
          <w:color w:val="000000"/>
          <w:shd w:fill="FEFE8B" w:color="auto" w:val="clear"/>
        </w:rPr>
        <w:t>systems.”</w:t>
      </w:r>
      <w:r>
        <w:rPr>
          <w:color w:val="000000"/>
          <w:spacing w:val="-2"/>
          <w:shd w:fill="FEFE8B" w:color="auto" w:val="clear"/>
        </w:rPr>
        <w:t> </w:t>
      </w:r>
      <w:r>
        <w:rPr>
          <w:color w:val="000000"/>
        </w:rPr>
        <w:t>(</w:t>
      </w:r>
      <w:hyperlink w:history="true" w:anchor="_bookmark145">
        <w:r>
          <w:rPr>
            <w:color w:val="000000"/>
          </w:rPr>
          <w:t>Cremona,</w:t>
        </w:r>
        <w:r>
          <w:rPr>
            <w:color w:val="000000"/>
            <w:spacing w:val="-5"/>
          </w:rPr>
          <w:t> </w:t>
        </w:r>
        <w:r>
          <w:rPr>
            <w:color w:val="000000"/>
          </w:rPr>
          <w:t>2013,</w:t>
        </w:r>
        <w:r>
          <w:rPr>
            <w:color w:val="000000"/>
            <w:spacing w:val="-2"/>
          </w:rPr>
          <w:t> </w:t>
        </w:r>
        <w:r>
          <w:rPr>
            <w:color w:val="000000"/>
          </w:rPr>
          <w:t>p.</w:t>
        </w:r>
        <w:r>
          <w:rPr>
            <w:color w:val="000000"/>
            <w:spacing w:val="-2"/>
          </w:rPr>
          <w:t> </w:t>
        </w:r>
        <w:r>
          <w:rPr>
            <w:color w:val="000000"/>
          </w:rPr>
          <w:t>26</w:t>
        </w:r>
      </w:hyperlink>
      <w:r>
        <w:rPr>
          <w:color w:val="000000"/>
        </w:rPr>
        <w:t>)</w:t>
      </w:r>
      <w:r>
        <w:rPr>
          <w:color w:val="000000"/>
          <w:spacing w:val="-2"/>
        </w:rPr>
        <w:t> </w:t>
      </w:r>
      <w:r>
        <w:rPr>
          <w:color w:val="000000"/>
        </w:rPr>
        <w:t>And</w:t>
      </w:r>
      <w:r>
        <w:rPr>
          <w:color w:val="000000"/>
          <w:spacing w:val="-5"/>
        </w:rPr>
        <w:t> </w:t>
      </w:r>
      <w:r>
        <w:rPr>
          <w:color w:val="000000"/>
        </w:rPr>
        <w:t>by</w:t>
      </w:r>
      <w:r>
        <w:rPr>
          <w:color w:val="000000"/>
          <w:spacing w:val="-3"/>
        </w:rPr>
        <w:t> </w:t>
      </w:r>
      <w:r>
        <w:rPr>
          <w:color w:val="000000"/>
        </w:rPr>
        <w:t>this</w:t>
      </w:r>
      <w:r>
        <w:rPr>
          <w:color w:val="000000"/>
          <w:spacing w:val="-5"/>
        </w:rPr>
        <w:t> </w:t>
      </w:r>
      <w:r>
        <w:rPr>
          <w:color w:val="000000"/>
        </w:rPr>
        <w:t>claim</w:t>
      </w:r>
      <w:r>
        <w:rPr>
          <w:color w:val="000000"/>
          <w:spacing w:val="-5"/>
        </w:rPr>
        <w:t> </w:t>
      </w:r>
      <w:r>
        <w:rPr>
          <w:color w:val="000000"/>
        </w:rPr>
        <w:t>the legal system was making a vivid hint on self-referentiality of its operations. A shift from the international legal order towards, the Community legal order</w:t>
      </w:r>
      <w:r>
        <w:rPr>
          <w:color w:val="000000"/>
          <w:spacing w:val="-17"/>
        </w:rPr>
        <w:t> </w:t>
      </w:r>
      <w:r>
        <w:rPr>
          <w:color w:val="000000"/>
        </w:rPr>
        <w:t>meant</w:t>
      </w:r>
      <w:r>
        <w:rPr>
          <w:color w:val="000000"/>
          <w:spacing w:val="-16"/>
        </w:rPr>
        <w:t> </w:t>
      </w:r>
      <w:r>
        <w:rPr>
          <w:color w:val="000000"/>
        </w:rPr>
        <w:t>acknowledging</w:t>
      </w:r>
      <w:r>
        <w:rPr>
          <w:color w:val="000000"/>
          <w:spacing w:val="-16"/>
        </w:rPr>
        <w:t> </w:t>
      </w:r>
      <w:r>
        <w:rPr>
          <w:color w:val="000000"/>
        </w:rPr>
        <w:t>the</w:t>
      </w:r>
      <w:r>
        <w:rPr>
          <w:color w:val="000000"/>
          <w:spacing w:val="-16"/>
        </w:rPr>
        <w:t> </w:t>
      </w:r>
      <w:r>
        <w:rPr>
          <w:color w:val="000000"/>
          <w:spacing w:val="11"/>
          <w:shd w:fill="FEFE8B" w:color="auto" w:val="clear"/>
        </w:rPr>
        <w:t> </w:t>
      </w:r>
      <w:r>
        <w:rPr>
          <w:color w:val="000000"/>
          <w:shd w:fill="FEFE8B" w:color="auto" w:val="clear"/>
        </w:rPr>
        <w:t>"</w:t>
      </w:r>
      <w:r>
        <w:rPr>
          <w:color w:val="000000"/>
          <w:sz w:val="27"/>
          <w:shd w:fill="FEFE8B" w:color="auto" w:val="clear"/>
        </w:rPr>
        <w:t>Kompetenz-Kompetenz</w:t>
      </w:r>
      <w:r>
        <w:rPr>
          <w:color w:val="000000"/>
          <w:shd w:fill="FEFE8B" w:color="auto" w:val="clear"/>
        </w:rPr>
        <w:t>"</w:t>
      </w:r>
      <w:r>
        <w:rPr>
          <w:color w:val="000000"/>
          <w:spacing w:val="-16"/>
        </w:rPr>
        <w:t> </w:t>
      </w:r>
      <w:r>
        <w:rPr>
          <w:color w:val="000000"/>
        </w:rPr>
        <w:t>of</w:t>
      </w:r>
      <w:r>
        <w:rPr>
          <w:color w:val="000000"/>
          <w:spacing w:val="-14"/>
        </w:rPr>
        <w:t> </w:t>
      </w:r>
      <w:r>
        <w:rPr>
          <w:color w:val="000000"/>
        </w:rPr>
        <w:t>the</w:t>
      </w:r>
      <w:r>
        <w:rPr>
          <w:color w:val="000000"/>
          <w:spacing w:val="-3"/>
        </w:rPr>
        <w:t> </w:t>
      </w:r>
      <w:r>
        <w:rPr>
          <w:color w:val="000000"/>
        </w:rPr>
        <w:t>Court</w:t>
      </w:r>
      <w:r>
        <w:rPr>
          <w:color w:val="000000"/>
          <w:spacing w:val="-5"/>
        </w:rPr>
        <w:t> </w:t>
      </w:r>
      <w:r>
        <w:rPr>
          <w:color w:val="000000"/>
        </w:rPr>
        <w:t>[i.e. it is the body that determines which norms come within the sphere of application</w:t>
      </w:r>
      <w:r>
        <w:rPr>
          <w:color w:val="000000"/>
          <w:spacing w:val="40"/>
        </w:rPr>
        <w:t> </w:t>
      </w:r>
      <w:r>
        <w:rPr>
          <w:color w:val="000000"/>
        </w:rPr>
        <w:t>of Community</w:t>
      </w:r>
      <w:r>
        <w:rPr>
          <w:color w:val="000000"/>
          <w:spacing w:val="40"/>
        </w:rPr>
        <w:t> </w:t>
      </w:r>
      <w:r>
        <w:rPr>
          <w:color w:val="000000"/>
        </w:rPr>
        <w:t>law]. (</w:t>
      </w:r>
      <w:hyperlink w:history="true" w:anchor="_bookmark425">
        <w:r>
          <w:rPr>
            <w:color w:val="000000"/>
          </w:rPr>
          <w:t>Weiler, 1991, p. 2414</w:t>
        </w:r>
      </w:hyperlink>
      <w:r>
        <w:rPr>
          <w:color w:val="000000"/>
        </w:rPr>
        <w:t>) However, full application of</w:t>
      </w:r>
      <w:r>
        <w:rPr>
          <w:color w:val="000000"/>
          <w:spacing w:val="-3"/>
        </w:rPr>
        <w:t> </w:t>
      </w:r>
      <w:r>
        <w:rPr>
          <w:color w:val="000000"/>
        </w:rPr>
        <w:t>the principle</w:t>
      </w:r>
      <w:r>
        <w:rPr>
          <w:color w:val="000000"/>
          <w:spacing w:val="-2"/>
        </w:rPr>
        <w:t> </w:t>
      </w:r>
      <w:r>
        <w:rPr>
          <w:color w:val="000000"/>
        </w:rPr>
        <w:t>became</w:t>
      </w:r>
      <w:r>
        <w:rPr>
          <w:color w:val="000000"/>
          <w:spacing w:val="-2"/>
        </w:rPr>
        <w:t> </w:t>
      </w:r>
      <w:r>
        <w:rPr>
          <w:color w:val="000000"/>
        </w:rPr>
        <w:t>possible only</w:t>
      </w:r>
      <w:r>
        <w:rPr>
          <w:color w:val="000000"/>
          <w:spacing w:val="-2"/>
        </w:rPr>
        <w:t> </w:t>
      </w:r>
      <w:r>
        <w:rPr>
          <w:color w:val="000000"/>
        </w:rPr>
        <w:t>after</w:t>
      </w:r>
      <w:r>
        <w:rPr>
          <w:color w:val="000000"/>
          <w:spacing w:val="-1"/>
        </w:rPr>
        <w:t> </w:t>
      </w:r>
      <w:r>
        <w:rPr>
          <w:color w:val="000000"/>
        </w:rPr>
        <w:t>two subsequent</w:t>
      </w:r>
      <w:r>
        <w:rPr>
          <w:color w:val="000000"/>
          <w:spacing w:val="-2"/>
        </w:rPr>
        <w:t> </w:t>
      </w:r>
      <w:r>
        <w:rPr>
          <w:color w:val="000000"/>
        </w:rPr>
        <w:t>cases were concluded.</w:t>
      </w:r>
    </w:p>
    <w:p>
      <w:pPr>
        <w:pStyle w:val="BodyText"/>
        <w:spacing w:line="276" w:lineRule="auto" w:before="12"/>
        <w:ind w:right="1813" w:firstLine="720"/>
      </w:pPr>
      <w:r>
        <w:rPr/>
        <w:t>By the time of the decision, political tensions were all around the Community.</w:t>
      </w:r>
      <w:r>
        <w:rPr>
          <w:spacing w:val="74"/>
        </w:rPr>
        <w:t> </w:t>
      </w:r>
      <w:r>
        <w:rPr>
          <w:color w:val="000000"/>
          <w:spacing w:val="-26"/>
          <w:shd w:fill="FEFE8B" w:color="auto" w:val="clear"/>
        </w:rPr>
        <w:t> </w:t>
      </w:r>
      <w:r>
        <w:rPr>
          <w:color w:val="000000"/>
          <w:shd w:fill="FEFE8B" w:color="auto" w:val="clear"/>
        </w:rPr>
        <w:t>Just</w:t>
      </w:r>
      <w:r>
        <w:rPr>
          <w:color w:val="000000"/>
          <w:spacing w:val="24"/>
          <w:shd w:fill="FEFE8B" w:color="auto" w:val="clear"/>
        </w:rPr>
        <w:t>  </w:t>
      </w:r>
      <w:r>
        <w:rPr>
          <w:color w:val="000000"/>
          <w:shd w:fill="FEFE8B" w:color="auto" w:val="clear"/>
        </w:rPr>
        <w:t>before</w:t>
      </w:r>
      <w:r>
        <w:rPr>
          <w:color w:val="000000"/>
          <w:spacing w:val="24"/>
          <w:shd w:fill="FEFE8B" w:color="auto" w:val="clear"/>
        </w:rPr>
        <w:t>  </w:t>
      </w:r>
      <w:r>
        <w:rPr>
          <w:color w:val="000000"/>
          <w:shd w:fill="FEFE8B" w:color="auto" w:val="clear"/>
        </w:rPr>
        <w:t>the</w:t>
      </w:r>
      <w:r>
        <w:rPr>
          <w:color w:val="000000"/>
          <w:spacing w:val="23"/>
          <w:shd w:fill="FEFE8B" w:color="auto" w:val="clear"/>
        </w:rPr>
        <w:t>  </w:t>
      </w:r>
      <w:r>
        <w:rPr>
          <w:color w:val="000000"/>
          <w:shd w:fill="FEFE8B" w:color="auto" w:val="clear"/>
        </w:rPr>
        <w:t>case</w:t>
      </w:r>
      <w:r>
        <w:rPr>
          <w:color w:val="000000"/>
          <w:spacing w:val="24"/>
          <w:shd w:fill="FEFE8B" w:color="auto" w:val="clear"/>
        </w:rPr>
        <w:t>  </w:t>
      </w:r>
      <w:r>
        <w:rPr>
          <w:color w:val="000000"/>
          <w:shd w:fill="FEFE8B" w:color="auto" w:val="clear"/>
        </w:rPr>
        <w:t>the</w:t>
      </w:r>
      <w:r>
        <w:rPr>
          <w:color w:val="000000"/>
          <w:spacing w:val="24"/>
          <w:shd w:fill="FEFE8B" w:color="auto" w:val="clear"/>
        </w:rPr>
        <w:t>  </w:t>
      </w:r>
      <w:r>
        <w:rPr>
          <w:color w:val="000000"/>
          <w:shd w:fill="FEFE8B" w:color="auto" w:val="clear"/>
        </w:rPr>
        <w:t>French</w:t>
      </w:r>
      <w:r>
        <w:rPr>
          <w:color w:val="000000"/>
          <w:spacing w:val="24"/>
          <w:shd w:fill="FEFE8B" w:color="auto" w:val="clear"/>
        </w:rPr>
        <w:t>  </w:t>
      </w:r>
      <w:r>
        <w:rPr>
          <w:color w:val="000000"/>
          <w:shd w:fill="FEFE8B" w:color="auto" w:val="clear"/>
        </w:rPr>
        <w:t>suspended</w:t>
      </w:r>
      <w:r>
        <w:rPr>
          <w:color w:val="000000"/>
          <w:spacing w:val="25"/>
          <w:shd w:fill="FEFE8B" w:color="auto" w:val="clear"/>
        </w:rPr>
        <w:t>  </w:t>
      </w:r>
      <w:r>
        <w:rPr>
          <w:color w:val="000000"/>
          <w:shd w:fill="FEFE8B" w:color="auto" w:val="clear"/>
        </w:rPr>
        <w:t>the</w:t>
      </w:r>
      <w:r>
        <w:rPr>
          <w:color w:val="000000"/>
          <w:spacing w:val="23"/>
          <w:shd w:fill="FEFE8B" w:color="auto" w:val="clear"/>
        </w:rPr>
        <w:t>  </w:t>
      </w:r>
      <w:r>
        <w:rPr>
          <w:color w:val="000000"/>
          <w:spacing w:val="-2"/>
          <w:shd w:fill="FEFE8B" w:color="auto" w:val="clear"/>
        </w:rPr>
        <w:t>British</w:t>
      </w:r>
      <w:r>
        <w:rPr>
          <w:color w:val="000000"/>
          <w:spacing w:val="80"/>
          <w:shd w:fill="FEFE8B" w:color="auto" w:val="clear"/>
        </w:rPr>
        <w:t> </w:t>
      </w:r>
    </w:p>
    <w:p>
      <w:pPr>
        <w:pStyle w:val="BodyText"/>
        <w:ind w:left="939"/>
      </w:pPr>
      <w:r>
        <w:rPr>
          <w:color w:val="000000"/>
          <w:spacing w:val="-26"/>
          <w:shd w:fill="FEFE8B" w:color="auto" w:val="clear"/>
        </w:rPr>
        <w:t> </w:t>
      </w:r>
      <w:r>
        <w:rPr>
          <w:color w:val="000000"/>
          <w:shd w:fill="FEFE8B" w:color="auto" w:val="clear"/>
        </w:rPr>
        <w:t>membership</w:t>
      </w:r>
      <w:r>
        <w:rPr>
          <w:color w:val="000000"/>
          <w:spacing w:val="27"/>
          <w:shd w:fill="FEFE8B" w:color="auto" w:val="clear"/>
        </w:rPr>
        <w:t> </w:t>
      </w:r>
      <w:r>
        <w:rPr>
          <w:color w:val="000000"/>
          <w:shd w:fill="FEFE8B" w:color="auto" w:val="clear"/>
        </w:rPr>
        <w:t>negotiations,</w:t>
      </w:r>
      <w:r>
        <w:rPr>
          <w:color w:val="000000"/>
          <w:spacing w:val="32"/>
          <w:shd w:fill="FEFE8B" w:color="auto" w:val="clear"/>
        </w:rPr>
        <w:t> </w:t>
      </w:r>
      <w:r>
        <w:rPr>
          <w:color w:val="000000"/>
          <w:shd w:fill="FEFE8B" w:color="auto" w:val="clear"/>
        </w:rPr>
        <w:t>and</w:t>
      </w:r>
      <w:r>
        <w:rPr>
          <w:color w:val="000000"/>
          <w:spacing w:val="36"/>
          <w:shd w:fill="FEFE8B" w:color="auto" w:val="clear"/>
        </w:rPr>
        <w:t> </w:t>
      </w:r>
      <w:r>
        <w:rPr>
          <w:color w:val="000000"/>
          <w:shd w:fill="FEFE8B" w:color="auto" w:val="clear"/>
        </w:rPr>
        <w:t>representatives</w:t>
      </w:r>
      <w:r>
        <w:rPr>
          <w:color w:val="000000"/>
          <w:spacing w:val="29"/>
          <w:shd w:fill="FEFE8B" w:color="auto" w:val="clear"/>
        </w:rPr>
        <w:t> </w:t>
      </w:r>
      <w:r>
        <w:rPr>
          <w:color w:val="000000"/>
          <w:shd w:fill="FEFE8B" w:color="auto" w:val="clear"/>
        </w:rPr>
        <w:t>of</w:t>
      </w:r>
      <w:r>
        <w:rPr>
          <w:color w:val="000000"/>
          <w:spacing w:val="30"/>
          <w:shd w:fill="FEFE8B" w:color="auto" w:val="clear"/>
        </w:rPr>
        <w:t> </w:t>
      </w:r>
      <w:r>
        <w:rPr>
          <w:color w:val="000000"/>
          <w:shd w:fill="FEFE8B" w:color="auto" w:val="clear"/>
        </w:rPr>
        <w:t>the</w:t>
      </w:r>
      <w:r>
        <w:rPr>
          <w:color w:val="000000"/>
          <w:spacing w:val="32"/>
          <w:shd w:fill="FEFE8B" w:color="auto" w:val="clear"/>
        </w:rPr>
        <w:t> </w:t>
      </w:r>
      <w:r>
        <w:rPr>
          <w:color w:val="000000"/>
          <w:shd w:fill="FEFE8B" w:color="auto" w:val="clear"/>
        </w:rPr>
        <w:t>legal</w:t>
      </w:r>
      <w:r>
        <w:rPr>
          <w:color w:val="000000"/>
          <w:spacing w:val="33"/>
          <w:shd w:fill="FEFE8B" w:color="auto" w:val="clear"/>
        </w:rPr>
        <w:t> </w:t>
      </w:r>
      <w:r>
        <w:rPr>
          <w:color w:val="000000"/>
          <w:shd w:fill="FEFE8B" w:color="auto" w:val="clear"/>
        </w:rPr>
        <w:t>systems</w:t>
      </w:r>
      <w:r>
        <w:rPr>
          <w:color w:val="000000"/>
          <w:spacing w:val="29"/>
          <w:shd w:fill="FEFE8B" w:color="auto" w:val="clear"/>
        </w:rPr>
        <w:t> </w:t>
      </w:r>
      <w:r>
        <w:rPr>
          <w:color w:val="000000"/>
          <w:shd w:fill="FEFE8B" w:color="auto" w:val="clear"/>
        </w:rPr>
        <w:t>felt</w:t>
      </w:r>
      <w:r>
        <w:rPr>
          <w:color w:val="000000"/>
          <w:spacing w:val="30"/>
          <w:shd w:fill="FEFE8B" w:color="auto" w:val="clear"/>
        </w:rPr>
        <w:t> </w:t>
      </w:r>
      <w:r>
        <w:rPr>
          <w:color w:val="000000"/>
          <w:spacing w:val="-5"/>
          <w:shd w:fill="FEFE8B" w:color="auto" w:val="clear"/>
        </w:rPr>
        <w:t>an</w:t>
      </w:r>
      <w:r>
        <w:rPr>
          <w:color w:val="000000"/>
          <w:spacing w:val="80"/>
          <w:shd w:fill="FEFE8B" w:color="auto" w:val="clear"/>
        </w:rPr>
        <w:t> </w:t>
      </w:r>
    </w:p>
    <w:p>
      <w:pPr>
        <w:pStyle w:val="BodyText"/>
        <w:spacing w:before="51"/>
        <w:ind w:left="939"/>
      </w:pPr>
      <w:r>
        <w:rPr>
          <w:color w:val="000000"/>
          <w:spacing w:val="-26"/>
          <w:shd w:fill="FEFE8B" w:color="auto" w:val="clear"/>
        </w:rPr>
        <w:t> </w:t>
      </w:r>
      <w:r>
        <w:rPr>
          <w:color w:val="000000"/>
          <w:shd w:fill="FEFE8B" w:color="auto" w:val="clear"/>
        </w:rPr>
        <w:t>increased</w:t>
      </w:r>
      <w:r>
        <w:rPr>
          <w:color w:val="000000"/>
          <w:spacing w:val="17"/>
          <w:shd w:fill="FEFE8B" w:color="auto" w:val="clear"/>
        </w:rPr>
        <w:t> </w:t>
      </w:r>
      <w:r>
        <w:rPr>
          <w:color w:val="000000"/>
          <w:shd w:fill="FEFE8B" w:color="auto" w:val="clear"/>
        </w:rPr>
        <w:t>responsibility</w:t>
      </w:r>
      <w:r>
        <w:rPr>
          <w:color w:val="000000"/>
          <w:spacing w:val="18"/>
          <w:shd w:fill="FEFE8B" w:color="auto" w:val="clear"/>
        </w:rPr>
        <w:t> </w:t>
      </w:r>
      <w:r>
        <w:rPr>
          <w:color w:val="000000"/>
          <w:shd w:fill="FEFE8B" w:color="auto" w:val="clear"/>
        </w:rPr>
        <w:t>to</w:t>
      </w:r>
      <w:r>
        <w:rPr>
          <w:color w:val="000000"/>
          <w:spacing w:val="16"/>
          <w:shd w:fill="FEFE8B" w:color="auto" w:val="clear"/>
        </w:rPr>
        <w:t> </w:t>
      </w:r>
      <w:r>
        <w:rPr>
          <w:color w:val="000000"/>
          <w:shd w:fill="FEFE8B" w:color="auto" w:val="clear"/>
        </w:rPr>
        <w:t>lead</w:t>
      </w:r>
      <w:r>
        <w:rPr>
          <w:color w:val="000000"/>
          <w:spacing w:val="20"/>
          <w:shd w:fill="FEFE8B" w:color="auto" w:val="clear"/>
        </w:rPr>
        <w:t> </w:t>
      </w:r>
      <w:r>
        <w:rPr>
          <w:color w:val="000000"/>
          <w:shd w:fill="FEFE8B" w:color="auto" w:val="clear"/>
        </w:rPr>
        <w:t>the</w:t>
      </w:r>
      <w:r>
        <w:rPr>
          <w:color w:val="000000"/>
          <w:spacing w:val="19"/>
          <w:shd w:fill="FEFE8B" w:color="auto" w:val="clear"/>
        </w:rPr>
        <w:t> </w:t>
      </w:r>
      <w:r>
        <w:rPr>
          <w:color w:val="000000"/>
          <w:shd w:fill="FEFE8B" w:color="auto" w:val="clear"/>
        </w:rPr>
        <w:t>process</w:t>
      </w:r>
      <w:r>
        <w:rPr>
          <w:color w:val="000000"/>
          <w:spacing w:val="20"/>
          <w:shd w:fill="FEFE8B" w:color="auto" w:val="clear"/>
        </w:rPr>
        <w:t> </w:t>
      </w:r>
      <w:r>
        <w:rPr>
          <w:color w:val="000000"/>
          <w:shd w:fill="FEFE8B" w:color="auto" w:val="clear"/>
        </w:rPr>
        <w:t>of</w:t>
      </w:r>
      <w:r>
        <w:rPr>
          <w:color w:val="000000"/>
          <w:spacing w:val="18"/>
          <w:shd w:fill="FEFE8B" w:color="auto" w:val="clear"/>
        </w:rPr>
        <w:t> </w:t>
      </w:r>
      <w:r>
        <w:rPr>
          <w:color w:val="000000"/>
          <w:shd w:fill="FEFE8B" w:color="auto" w:val="clear"/>
        </w:rPr>
        <w:t>integration.</w:t>
      </w:r>
      <w:r>
        <w:rPr>
          <w:color w:val="000000"/>
          <w:spacing w:val="31"/>
          <w:shd w:fill="FEFE8B" w:color="auto" w:val="clear"/>
        </w:rPr>
        <w:t> </w:t>
      </w:r>
      <w:r>
        <w:rPr>
          <w:color w:val="000000"/>
          <w:shd w:fill="FEFE8B" w:color="auto" w:val="clear"/>
        </w:rPr>
        <w:t>In</w:t>
      </w:r>
      <w:r>
        <w:rPr>
          <w:color w:val="000000"/>
          <w:spacing w:val="19"/>
          <w:shd w:fill="FEFE8B" w:color="auto" w:val="clear"/>
        </w:rPr>
        <w:t> </w:t>
      </w:r>
      <w:r>
        <w:rPr>
          <w:color w:val="000000"/>
          <w:shd w:fill="FEFE8B" w:color="auto" w:val="clear"/>
        </w:rPr>
        <w:t>the</w:t>
      </w:r>
      <w:r>
        <w:rPr>
          <w:color w:val="000000"/>
          <w:spacing w:val="19"/>
          <w:shd w:fill="FEFE8B" w:color="auto" w:val="clear"/>
        </w:rPr>
        <w:t> </w:t>
      </w:r>
      <w:r>
        <w:rPr>
          <w:color w:val="000000"/>
          <w:shd w:fill="FEFE8B" w:color="auto" w:val="clear"/>
        </w:rPr>
        <w:t>words</w:t>
      </w:r>
      <w:r>
        <w:rPr>
          <w:color w:val="000000"/>
          <w:spacing w:val="16"/>
          <w:shd w:fill="FEFE8B" w:color="auto" w:val="clear"/>
        </w:rPr>
        <w:t> </w:t>
      </w:r>
      <w:r>
        <w:rPr>
          <w:color w:val="000000"/>
          <w:spacing w:val="-5"/>
          <w:shd w:fill="FEFE8B" w:color="auto" w:val="clear"/>
        </w:rPr>
        <w:t>of</w:t>
      </w:r>
      <w:r>
        <w:rPr>
          <w:color w:val="000000"/>
          <w:spacing w:val="80"/>
          <w:shd w:fill="FEFE8B" w:color="auto" w:val="clear"/>
        </w:rPr>
        <w:t> </w:t>
      </w:r>
    </w:p>
    <w:p>
      <w:pPr>
        <w:pStyle w:val="BodyText"/>
        <w:spacing w:line="273" w:lineRule="auto" w:before="41"/>
        <w:ind w:right="1810" w:hanging="65"/>
      </w:pPr>
      <w:r>
        <w:rPr>
          <w:color w:val="000000"/>
          <w:spacing w:val="-12"/>
          <w:sz w:val="27"/>
          <w:shd w:fill="FEFE8B" w:color="auto" w:val="clear"/>
        </w:rPr>
        <w:t> </w:t>
      </w:r>
      <w:r>
        <w:rPr>
          <w:color w:val="000000"/>
          <w:sz w:val="27"/>
          <w:shd w:fill="FEFE8B" w:color="auto" w:val="clear"/>
        </w:rPr>
        <w:t>Michel Gaudet</w:t>
      </w:r>
      <w:r>
        <w:rPr>
          <w:color w:val="000000"/>
          <w:shd w:fill="FEFE8B" w:color="auto" w:val="clear"/>
        </w:rPr>
        <w:t>: “while the statesmen discuss the political future of Europe,</w:t>
      </w:r>
      <w:r>
        <w:rPr>
          <w:color w:val="000000"/>
          <w:spacing w:val="32"/>
          <w:shd w:fill="FEFE8B" w:color="auto" w:val="clear"/>
        </w:rPr>
        <w:t> </w:t>
      </w:r>
      <w:r>
        <w:rPr>
          <w:color w:val="000000"/>
          <w:spacing w:val="32"/>
        </w:rPr>
        <w:t> </w:t>
      </w:r>
      <w:r>
        <w:rPr>
          <w:color w:val="000000"/>
          <w:shd w:fill="FEFE8B" w:color="auto" w:val="clear"/>
        </w:rPr>
        <w:t>[…] the lawyers of</w:t>
      </w:r>
      <w:r>
        <w:rPr>
          <w:color w:val="000000"/>
          <w:spacing w:val="35"/>
          <w:shd w:fill="FEFE8B" w:color="auto" w:val="clear"/>
        </w:rPr>
        <w:t> </w:t>
      </w:r>
      <w:r>
        <w:rPr>
          <w:color w:val="000000"/>
          <w:shd w:fill="FEFE8B" w:color="auto" w:val="clear"/>
        </w:rPr>
        <w:t>our</w:t>
      </w:r>
      <w:r>
        <w:rPr>
          <w:color w:val="000000"/>
          <w:spacing w:val="37"/>
          <w:shd w:fill="FEFE8B" w:color="auto" w:val="clear"/>
        </w:rPr>
        <w:t> </w:t>
      </w:r>
      <w:r>
        <w:rPr>
          <w:color w:val="000000"/>
          <w:shd w:fill="FEFE8B" w:color="auto" w:val="clear"/>
        </w:rPr>
        <w:t>six countries dedicate themselves to the</w:t>
      </w:r>
      <w:r>
        <w:rPr>
          <w:color w:val="000000"/>
          <w:spacing w:val="37"/>
          <w:shd w:fill="FEFE8B" w:color="auto" w:val="clear"/>
        </w:rPr>
        <w:t> </w:t>
      </w:r>
      <w:r>
        <w:rPr>
          <w:color w:val="000000"/>
          <w:shd w:fill="FEFE8B" w:color="auto" w:val="clear"/>
        </w:rPr>
        <w:t>birth of a</w:t>
      </w:r>
      <w:r>
        <w:rPr>
          <w:color w:val="000000"/>
          <w:spacing w:val="80"/>
          <w:shd w:fill="FEFE8B" w:color="auto" w:val="clear"/>
        </w:rPr>
        <w:t> </w:t>
      </w:r>
    </w:p>
    <w:p>
      <w:pPr>
        <w:pStyle w:val="BodyText"/>
        <w:spacing w:line="278" w:lineRule="auto" w:before="3"/>
        <w:ind w:right="1915" w:hanging="40"/>
      </w:pPr>
      <w:r>
        <w:rPr>
          <w:color w:val="000000"/>
          <w:spacing w:val="-17"/>
          <w:shd w:fill="FEFE8B" w:color="auto" w:val="clear"/>
        </w:rPr>
        <w:t> </w:t>
      </w:r>
      <w:r>
        <w:rPr>
          <w:color w:val="000000"/>
          <w:shd w:fill="FEFE8B" w:color="auto" w:val="clear"/>
        </w:rPr>
        <w:t>European</w:t>
      </w:r>
      <w:r>
        <w:rPr>
          <w:color w:val="000000"/>
          <w:spacing w:val="-1"/>
          <w:shd w:fill="FEFE8B" w:color="auto" w:val="clear"/>
        </w:rPr>
        <w:t> </w:t>
      </w:r>
      <w:r>
        <w:rPr>
          <w:color w:val="000000"/>
          <w:shd w:fill="FEFE8B" w:color="auto" w:val="clear"/>
        </w:rPr>
        <w:t>law which is discreet, yet full of promises.”</w:t>
      </w:r>
      <w:r>
        <w:rPr>
          <w:color w:val="000000"/>
        </w:rPr>
        <w:t> (</w:t>
      </w:r>
      <w:hyperlink w:history="true" w:anchor="_bookmark418">
        <w:r>
          <w:rPr>
            <w:color w:val="000000"/>
          </w:rPr>
          <w:t>in Vauchez, 2010, p.</w:t>
        </w:r>
      </w:hyperlink>
      <w:r>
        <w:rPr>
          <w:color w:val="000000"/>
        </w:rPr>
        <w:t> </w:t>
      </w:r>
      <w:hyperlink w:history="true" w:anchor="_bookmark418">
        <w:r>
          <w:rPr>
            <w:color w:val="000000"/>
          </w:rPr>
          <w:t>16</w:t>
        </w:r>
      </w:hyperlink>
      <w:r>
        <w:rPr>
          <w:color w:val="000000"/>
        </w:rPr>
        <w:t>) The case certainly opened up a discussion for constitutionalization of the EU via the legal system.</w:t>
      </w:r>
    </w:p>
    <w:p>
      <w:pPr>
        <w:spacing w:line="340" w:lineRule="exact" w:before="0"/>
        <w:ind w:left="1700" w:right="0" w:firstLine="0"/>
        <w:jc w:val="both"/>
        <w:rPr>
          <w:sz w:val="26"/>
        </w:rPr>
      </w:pPr>
      <w:r>
        <w:rPr>
          <w:sz w:val="26"/>
        </w:rPr>
        <w:t>In</w:t>
      </w:r>
      <w:r>
        <w:rPr>
          <w:spacing w:val="78"/>
          <w:sz w:val="26"/>
        </w:rPr>
        <w:t> </w:t>
      </w:r>
      <w:r>
        <w:rPr>
          <w:sz w:val="26"/>
        </w:rPr>
        <w:t>Case</w:t>
      </w:r>
      <w:r>
        <w:rPr>
          <w:spacing w:val="77"/>
          <w:sz w:val="26"/>
        </w:rPr>
        <w:t> </w:t>
      </w:r>
      <w:r>
        <w:rPr>
          <w:sz w:val="26"/>
        </w:rPr>
        <w:t>6/64</w:t>
      </w:r>
      <w:r>
        <w:rPr>
          <w:spacing w:val="78"/>
          <w:sz w:val="26"/>
        </w:rPr>
        <w:t> </w:t>
      </w:r>
      <w:r>
        <w:rPr>
          <w:sz w:val="27"/>
        </w:rPr>
        <w:t>Flaminio</w:t>
      </w:r>
      <w:r>
        <w:rPr>
          <w:spacing w:val="77"/>
          <w:sz w:val="27"/>
        </w:rPr>
        <w:t> </w:t>
      </w:r>
      <w:r>
        <w:rPr>
          <w:sz w:val="27"/>
        </w:rPr>
        <w:t>Costa</w:t>
      </w:r>
      <w:r>
        <w:rPr>
          <w:spacing w:val="51"/>
          <w:w w:val="150"/>
          <w:sz w:val="27"/>
        </w:rPr>
        <w:t> </w:t>
      </w:r>
      <w:r>
        <w:rPr>
          <w:sz w:val="26"/>
        </w:rPr>
        <w:t>stood</w:t>
      </w:r>
      <w:r>
        <w:rPr>
          <w:spacing w:val="51"/>
          <w:w w:val="150"/>
          <w:sz w:val="26"/>
        </w:rPr>
        <w:t> </w:t>
      </w:r>
      <w:r>
        <w:rPr>
          <w:sz w:val="26"/>
        </w:rPr>
        <w:t>against</w:t>
      </w:r>
      <w:r>
        <w:rPr>
          <w:spacing w:val="50"/>
          <w:w w:val="150"/>
          <w:sz w:val="26"/>
        </w:rPr>
        <w:t> </w:t>
      </w:r>
      <w:r>
        <w:rPr>
          <w:sz w:val="26"/>
        </w:rPr>
        <w:t>the</w:t>
      </w:r>
      <w:r>
        <w:rPr>
          <w:spacing w:val="52"/>
          <w:w w:val="150"/>
          <w:sz w:val="26"/>
        </w:rPr>
        <w:t> </w:t>
      </w:r>
      <w:r>
        <w:rPr>
          <w:sz w:val="27"/>
        </w:rPr>
        <w:t>ENEL</w:t>
      </w:r>
      <w:r>
        <w:rPr>
          <w:spacing w:val="47"/>
          <w:w w:val="150"/>
          <w:sz w:val="27"/>
        </w:rPr>
        <w:t> </w:t>
      </w:r>
      <w:r>
        <w:rPr>
          <w:spacing w:val="-2"/>
          <w:sz w:val="26"/>
        </w:rPr>
        <w:t>(National</w:t>
      </w:r>
    </w:p>
    <w:p>
      <w:pPr>
        <w:pStyle w:val="BodyText"/>
        <w:spacing w:line="273" w:lineRule="auto" w:before="38"/>
        <w:ind w:right="1910"/>
      </w:pPr>
      <w:r>
        <w:rPr/>
        <w:t>Electricity Board), in the ECJ. Earlier, </w:t>
      </w:r>
      <w:r>
        <w:rPr>
          <w:sz w:val="27"/>
        </w:rPr>
        <w:t>Costa </w:t>
      </w:r>
      <w:r>
        <w:rPr/>
        <w:t>who was a shareholder of the company nationalized by the Italian government, refused to pay the electricity invoice, arguing that nationalizing the company the government had</w:t>
      </w:r>
      <w:r>
        <w:rPr>
          <w:spacing w:val="45"/>
        </w:rPr>
        <w:t> </w:t>
      </w:r>
      <w:r>
        <w:rPr/>
        <w:t>infringed</w:t>
      </w:r>
      <w:r>
        <w:rPr>
          <w:spacing w:val="44"/>
        </w:rPr>
        <w:t> </w:t>
      </w:r>
      <w:r>
        <w:rPr/>
        <w:t>the</w:t>
      </w:r>
      <w:r>
        <w:rPr>
          <w:spacing w:val="44"/>
        </w:rPr>
        <w:t> </w:t>
      </w:r>
      <w:r>
        <w:rPr/>
        <w:t>EEC</w:t>
      </w:r>
      <w:r>
        <w:rPr>
          <w:spacing w:val="38"/>
        </w:rPr>
        <w:t> </w:t>
      </w:r>
      <w:r>
        <w:rPr/>
        <w:t>regulation.</w:t>
      </w:r>
      <w:r>
        <w:rPr>
          <w:spacing w:val="45"/>
        </w:rPr>
        <w:t> </w:t>
      </w:r>
      <w:r>
        <w:rPr/>
        <w:t>“He</w:t>
      </w:r>
      <w:r>
        <w:rPr>
          <w:spacing w:val="43"/>
        </w:rPr>
        <w:t> </w:t>
      </w:r>
      <w:r>
        <w:rPr/>
        <w:t>went</w:t>
      </w:r>
      <w:r>
        <w:rPr>
          <w:spacing w:val="43"/>
        </w:rPr>
        <w:t> </w:t>
      </w:r>
      <w:r>
        <w:rPr/>
        <w:t>to</w:t>
      </w:r>
      <w:r>
        <w:rPr>
          <w:spacing w:val="51"/>
        </w:rPr>
        <w:t> </w:t>
      </w:r>
      <w:r>
        <w:rPr/>
        <w:t>court,</w:t>
      </w:r>
      <w:r>
        <w:rPr>
          <w:spacing w:val="45"/>
        </w:rPr>
        <w:t> </w:t>
      </w:r>
      <w:r>
        <w:rPr/>
        <w:t>which</w:t>
      </w:r>
      <w:r>
        <w:rPr>
          <w:spacing w:val="43"/>
        </w:rPr>
        <w:t> </w:t>
      </w:r>
      <w:r>
        <w:rPr/>
        <w:t>due</w:t>
      </w:r>
      <w:r>
        <w:rPr>
          <w:spacing w:val="44"/>
        </w:rPr>
        <w:t> </w:t>
      </w:r>
      <w:r>
        <w:rPr/>
        <w:t>to</w:t>
      </w:r>
      <w:r>
        <w:rPr>
          <w:spacing w:val="40"/>
        </w:rPr>
        <w:t> </w:t>
      </w:r>
      <w:r>
        <w:rPr>
          <w:spacing w:val="-5"/>
        </w:rPr>
        <w:t>the</w:t>
      </w:r>
    </w:p>
    <w:p>
      <w:pPr>
        <w:pStyle w:val="BodyText"/>
        <w:spacing w:after="0" w:line="273" w:lineRule="auto"/>
        <w:sectPr>
          <w:pgSz w:w="12240" w:h="15840"/>
          <w:pgMar w:header="1046" w:footer="0" w:top="1360" w:bottom="280" w:left="720" w:right="360"/>
        </w:sectPr>
      </w:pPr>
    </w:p>
    <w:p>
      <w:pPr>
        <w:pStyle w:val="BodyText"/>
        <w:spacing w:line="276" w:lineRule="auto" w:before="276"/>
        <w:ind w:right="1912"/>
      </w:pPr>
      <w:r>
        <w:rPr/>
        <mc:AlternateContent>
          <mc:Choice Requires="wps">
            <w:drawing>
              <wp:anchor distT="0" distB="0" distL="0" distR="0" allowOverlap="1" layoutInCell="1" locked="0" behindDoc="1" simplePos="0" relativeHeight="485071872">
                <wp:simplePos x="0" y="0"/>
                <wp:positionH relativeFrom="page">
                  <wp:posOffset>5700217</wp:posOffset>
                </wp:positionH>
                <wp:positionV relativeFrom="paragraph">
                  <wp:posOffset>970602</wp:posOffset>
                </wp:positionV>
                <wp:extent cx="673100" cy="167640"/>
                <wp:effectExtent l="0" t="0" r="0" b="0"/>
                <wp:wrapNone/>
                <wp:docPr id="185" name="Group 185"/>
                <wp:cNvGraphicFramePr>
                  <a:graphicFrameLocks/>
                </wp:cNvGraphicFramePr>
                <a:graphic>
                  <a:graphicData uri="http://schemas.microsoft.com/office/word/2010/wordprocessingGroup">
                    <wpg:wgp>
                      <wpg:cNvPr id="185" name="Group 185"/>
                      <wpg:cNvGrpSpPr/>
                      <wpg:grpSpPr>
                        <a:xfrm>
                          <a:off x="0" y="0"/>
                          <a:ext cx="673100" cy="167640"/>
                          <a:chExt cx="673100" cy="167640"/>
                        </a:xfrm>
                      </wpg:grpSpPr>
                      <wps:wsp>
                        <wps:cNvPr id="186" name="Graphic 186"/>
                        <wps:cNvSpPr/>
                        <wps:spPr>
                          <a:xfrm>
                            <a:off x="0" y="0"/>
                            <a:ext cx="673100" cy="167640"/>
                          </a:xfrm>
                          <a:custGeom>
                            <a:avLst/>
                            <a:gdLst/>
                            <a:ahLst/>
                            <a:cxnLst/>
                            <a:rect l="l" t="t" r="r" b="b"/>
                            <a:pathLst>
                              <a:path w="673100" h="167640">
                                <a:moveTo>
                                  <a:pt x="41148" y="0"/>
                                </a:moveTo>
                                <a:lnTo>
                                  <a:pt x="0" y="0"/>
                                </a:lnTo>
                                <a:lnTo>
                                  <a:pt x="0" y="167563"/>
                                </a:lnTo>
                                <a:lnTo>
                                  <a:pt x="41148" y="167563"/>
                                </a:lnTo>
                                <a:lnTo>
                                  <a:pt x="41148" y="0"/>
                                </a:lnTo>
                                <a:close/>
                              </a:path>
                              <a:path w="673100" h="167640">
                                <a:moveTo>
                                  <a:pt x="672985" y="0"/>
                                </a:moveTo>
                                <a:lnTo>
                                  <a:pt x="80949" y="0"/>
                                </a:lnTo>
                                <a:lnTo>
                                  <a:pt x="80949" y="167563"/>
                                </a:lnTo>
                                <a:lnTo>
                                  <a:pt x="672985" y="167563"/>
                                </a:lnTo>
                                <a:lnTo>
                                  <a:pt x="672985" y="0"/>
                                </a:lnTo>
                                <a:close/>
                              </a:path>
                            </a:pathLst>
                          </a:custGeom>
                          <a:solidFill>
                            <a:srgbClr val="FFFF3F">
                              <a:alpha val="59999"/>
                            </a:srgbClr>
                          </a:solidFill>
                        </wps:spPr>
                        <wps:bodyPr wrap="square" lIns="0" tIns="0" rIns="0" bIns="0" rtlCol="0">
                          <a:prstTxWarp prst="textNoShape">
                            <a:avLst/>
                          </a:prstTxWarp>
                          <a:noAutofit/>
                        </wps:bodyPr>
                      </wps:wsp>
                      <wps:wsp>
                        <wps:cNvPr id="187" name="Textbox 187"/>
                        <wps:cNvSpPr txBox="1"/>
                        <wps:spPr>
                          <a:xfrm>
                            <a:off x="80949" y="0"/>
                            <a:ext cx="592455" cy="167640"/>
                          </a:xfrm>
                          <a:prstGeom prst="rect">
                            <a:avLst/>
                          </a:prstGeom>
                        </wps:spPr>
                        <wps:txbx>
                          <w:txbxContent>
                            <w:p>
                              <w:pPr>
                                <w:spacing w:line="264" w:lineRule="exact" w:before="0"/>
                                <w:ind w:left="0" w:right="0" w:firstLine="0"/>
                                <w:jc w:val="left"/>
                                <w:rPr>
                                  <w:sz w:val="26"/>
                                </w:rPr>
                              </w:pPr>
                              <w:r>
                                <w:rPr>
                                  <w:spacing w:val="-2"/>
                                  <w:sz w:val="26"/>
                                </w:rPr>
                                <w:t>“restrict</w:t>
                              </w:r>
                            </w:p>
                          </w:txbxContent>
                        </wps:txbx>
                        <wps:bodyPr wrap="square" lIns="0" tIns="0" rIns="0" bIns="0" rtlCol="0">
                          <a:noAutofit/>
                        </wps:bodyPr>
                      </wps:wsp>
                    </wpg:wgp>
                  </a:graphicData>
                </a:graphic>
              </wp:anchor>
            </w:drawing>
          </mc:Choice>
          <mc:Fallback>
            <w:pict>
              <v:group style="position:absolute;margin-left:448.835999pt;margin-top:76.425423pt;width:53pt;height:13.2pt;mso-position-horizontal-relative:page;mso-position-vertical-relative:paragraph;z-index:-18244608" id="docshapegroup172" coordorigin="8977,1529" coordsize="1060,264">
                <v:shape style="position:absolute;left:8976;top:1528;width:1060;height:264" id="docshape173" coordorigin="8977,1529" coordsize="1060,264" path="m9042,1529l8977,1529,8977,1792,9042,1792,9042,1529xm10037,1529l9104,1529,9104,1792,10037,1792,10037,1529xe" filled="true" fillcolor="#ffff3f" stroked="false">
                  <v:path arrowok="t"/>
                  <v:fill opacity="39321f" type="solid"/>
                </v:shape>
                <v:shape style="position:absolute;left:9104;top:1528;width:933;height:264" type="#_x0000_t202" id="docshape174" filled="false" stroked="false">
                  <v:textbox inset="0,0,0,0">
                    <w:txbxContent>
                      <w:p>
                        <w:pPr>
                          <w:spacing w:line="264" w:lineRule="exact" w:before="0"/>
                          <w:ind w:left="0" w:right="0" w:firstLine="0"/>
                          <w:jc w:val="left"/>
                          <w:rPr>
                            <w:sz w:val="26"/>
                          </w:rPr>
                        </w:pPr>
                        <w:r>
                          <w:rPr>
                            <w:spacing w:val="-2"/>
                            <w:sz w:val="26"/>
                          </w:rPr>
                          <w:t>“restrict</w:t>
                        </w:r>
                      </w:p>
                    </w:txbxContent>
                  </v:textbox>
                  <w10:wrap type="none"/>
                </v:shape>
                <w10:wrap type="none"/>
              </v:group>
            </w:pict>
          </mc:Fallback>
        </mc:AlternateContent>
      </w:r>
      <w:r>
        <w:rPr/>
        <w:t>paltry sum in this case was in first and last instance the Justice of the Peace of Milan.” (</w:t>
      </w:r>
      <w:hyperlink w:history="true" w:anchor="_bookmark272">
        <w:r>
          <w:rPr/>
          <w:t>Mangold, 2011, p. 225</w:t>
        </w:r>
      </w:hyperlink>
      <w:r>
        <w:rPr/>
        <w:t>) The judge addressed the ECJ for guidance. The Italian government, believed that the preliminary reference was</w:t>
      </w:r>
      <w:r>
        <w:rPr>
          <w:spacing w:val="40"/>
        </w:rPr>
        <w:t> </w:t>
      </w:r>
      <w:r>
        <w:rPr/>
        <w:t>“absolutely</w:t>
      </w:r>
      <w:r>
        <w:rPr>
          <w:spacing w:val="40"/>
        </w:rPr>
        <w:t> </w:t>
      </w:r>
      <w:r>
        <w:rPr/>
        <w:t>inadmissible,”</w:t>
      </w:r>
      <w:r>
        <w:rPr>
          <w:spacing w:val="40"/>
        </w:rPr>
        <w:t> </w:t>
      </w:r>
      <w:r>
        <w:rPr/>
        <w:t>because,</w:t>
      </w:r>
      <w:r>
        <w:rPr>
          <w:spacing w:val="40"/>
        </w:rPr>
        <w:t> </w:t>
      </w:r>
      <w:r>
        <w:rPr/>
        <w:t>the</w:t>
      </w:r>
      <w:r>
        <w:rPr>
          <w:spacing w:val="40"/>
        </w:rPr>
        <w:t> </w:t>
      </w:r>
      <w:r>
        <w:rPr/>
        <w:t>Italian</w:t>
      </w:r>
      <w:r>
        <w:rPr>
          <w:spacing w:val="40"/>
        </w:rPr>
        <w:t> </w:t>
      </w:r>
      <w:r>
        <w:rPr/>
        <w:t>court</w:t>
      </w:r>
      <w:r>
        <w:rPr>
          <w:spacing w:val="40"/>
        </w:rPr>
        <w:t> </w:t>
      </w:r>
      <w:r>
        <w:rPr/>
        <w:t>did</w:t>
      </w:r>
      <w:r>
        <w:rPr>
          <w:spacing w:val="40"/>
        </w:rPr>
        <w:t> </w:t>
      </w:r>
      <w:r>
        <w:rPr/>
        <w:t>not</w:t>
      </w:r>
    </w:p>
    <w:p>
      <w:pPr>
        <w:pStyle w:val="BodyText"/>
        <w:spacing w:line="276" w:lineRule="auto"/>
        <w:ind w:right="1800"/>
      </w:pPr>
      <w:r>
        <w:rPr>
          <w:color w:val="000000"/>
          <w:shd w:fill="FEFE8B" w:color="auto" w:val="clear"/>
        </w:rPr>
        <w:t>itself to asking the Court to interpret the Treaty, but also asked it to declare </w:t>
      </w:r>
      <w:r>
        <w:rPr>
          <w:color w:val="000000"/>
        </w:rPr>
        <w:t> </w:t>
      </w:r>
      <w:r>
        <w:rPr>
          <w:color w:val="000000"/>
          <w:shd w:fill="FEFE8B" w:color="auto" w:val="clear"/>
        </w:rPr>
        <w:t>whether the Italian law in dispute was in conformity with the </w:t>
      </w:r>
      <w:r>
        <w:rPr>
          <w:color w:val="000000"/>
        </w:rPr>
        <w:t> </w:t>
      </w:r>
      <w:r>
        <w:rPr>
          <w:color w:val="000000"/>
          <w:shd w:fill="FEFE8B" w:color="auto" w:val="clear"/>
        </w:rPr>
        <w:t>Treaty.”</w:t>
      </w:r>
      <w:r>
        <w:rPr>
          <w:color w:val="000000"/>
        </w:rPr>
        <w:t> While interpreting relations between the community legal system and domestic regulations, the Italian government was following the judgement</w:t>
      </w:r>
      <w:r>
        <w:rPr>
          <w:color w:val="000000"/>
          <w:spacing w:val="80"/>
        </w:rPr>
        <w:t> </w:t>
      </w:r>
      <w:r>
        <w:rPr>
          <w:color w:val="000000"/>
        </w:rPr>
        <w:t>of the constitutional court. </w:t>
      </w:r>
      <w:r>
        <w:rPr>
          <w:color w:val="000000"/>
          <w:shd w:fill="FEFE8B" w:color="auto" w:val="clear"/>
        </w:rPr>
        <w:t>According to which, the privatization law as it </w:t>
      </w:r>
      <w:r>
        <w:rPr>
          <w:color w:val="000000"/>
        </w:rPr>
        <w:t> </w:t>
      </w:r>
      <w:r>
        <w:rPr>
          <w:color w:val="000000"/>
          <w:shd w:fill="FEFE8B" w:color="auto" w:val="clear"/>
        </w:rPr>
        <w:t>came after the Treaty of Rome, was considered to be a legally prevailing </w:t>
      </w:r>
      <w:r>
        <w:rPr>
          <w:color w:val="000000"/>
        </w:rPr>
        <w:t> </w:t>
      </w:r>
      <w:r>
        <w:rPr>
          <w:color w:val="000000"/>
          <w:shd w:fill="FEFE8B" w:color="auto" w:val="clear"/>
        </w:rPr>
        <w:t>over the treaty regulations.</w:t>
      </w:r>
      <w:r>
        <w:rPr>
          <w:color w:val="000000"/>
        </w:rPr>
        <w:t> In addition, the Italian constitution had a clause under which the state could impose limitations on the external actors like EEC, when the national interests were at stake. If the ECJ accepted these arguments, the outcome could cause serious troubles for the legal</w:t>
      </w:r>
      <w:r>
        <w:rPr>
          <w:color w:val="000000"/>
          <w:spacing w:val="40"/>
        </w:rPr>
        <w:t> </w:t>
      </w:r>
      <w:r>
        <w:rPr>
          <w:color w:val="000000"/>
        </w:rPr>
        <w:t>integration. If every new law adopted in the member states undermined the Community law, the competences of the ECJ would never go further than those of a traditional international court. The Court acknowledged this danger</w:t>
      </w:r>
      <w:r>
        <w:rPr>
          <w:color w:val="000000"/>
          <w:spacing w:val="76"/>
        </w:rPr>
        <w:t> </w:t>
      </w:r>
      <w:r>
        <w:rPr>
          <w:color w:val="000000"/>
        </w:rPr>
        <w:t>and</w:t>
      </w:r>
      <w:r>
        <w:rPr>
          <w:color w:val="000000"/>
          <w:spacing w:val="50"/>
          <w:w w:val="150"/>
        </w:rPr>
        <w:t> </w:t>
      </w:r>
      <w:r>
        <w:rPr>
          <w:color w:val="000000"/>
        </w:rPr>
        <w:t>maintained</w:t>
      </w:r>
      <w:r>
        <w:rPr>
          <w:color w:val="000000"/>
          <w:spacing w:val="77"/>
        </w:rPr>
        <w:t> </w:t>
      </w:r>
      <w:r>
        <w:rPr>
          <w:color w:val="000000"/>
        </w:rPr>
        <w:t>that,</w:t>
      </w:r>
      <w:r>
        <w:rPr>
          <w:color w:val="000000"/>
          <w:spacing w:val="78"/>
        </w:rPr>
        <w:t> </w:t>
      </w:r>
      <w:r>
        <w:rPr>
          <w:color w:val="000000"/>
          <w:shd w:fill="FEFE8B" w:color="auto" w:val="clear"/>
        </w:rPr>
        <w:t>“The</w:t>
      </w:r>
      <w:r>
        <w:rPr>
          <w:color w:val="000000"/>
          <w:spacing w:val="48"/>
          <w:w w:val="150"/>
          <w:shd w:fill="FEFE8B" w:color="auto" w:val="clear"/>
        </w:rPr>
        <w:t> </w:t>
      </w:r>
      <w:r>
        <w:rPr>
          <w:color w:val="000000"/>
          <w:shd w:fill="FEFE8B" w:color="auto" w:val="clear"/>
        </w:rPr>
        <w:t>executive</w:t>
      </w:r>
      <w:r>
        <w:rPr>
          <w:color w:val="000000"/>
          <w:spacing w:val="49"/>
          <w:w w:val="150"/>
          <w:shd w:fill="FEFE8B" w:color="auto" w:val="clear"/>
        </w:rPr>
        <w:t> </w:t>
      </w:r>
      <w:r>
        <w:rPr>
          <w:color w:val="000000"/>
          <w:shd w:fill="FEFE8B" w:color="auto" w:val="clear"/>
        </w:rPr>
        <w:t>force</w:t>
      </w:r>
      <w:r>
        <w:rPr>
          <w:color w:val="000000"/>
          <w:spacing w:val="53"/>
          <w:w w:val="150"/>
          <w:shd w:fill="FEFE8B" w:color="auto" w:val="clear"/>
        </w:rPr>
        <w:t> </w:t>
      </w:r>
      <w:r>
        <w:rPr>
          <w:color w:val="000000"/>
          <w:shd w:fill="FEFE8B" w:color="auto" w:val="clear"/>
        </w:rPr>
        <w:t>of</w:t>
      </w:r>
      <w:r>
        <w:rPr>
          <w:color w:val="000000"/>
          <w:spacing w:val="79"/>
          <w:shd w:fill="FEFE8B" w:color="auto" w:val="clear"/>
        </w:rPr>
        <w:t> </w:t>
      </w:r>
      <w:r>
        <w:rPr>
          <w:color w:val="000000"/>
          <w:shd w:fill="FEFE8B" w:color="auto" w:val="clear"/>
        </w:rPr>
        <w:t>Community</w:t>
      </w:r>
      <w:r>
        <w:rPr>
          <w:color w:val="000000"/>
          <w:spacing w:val="48"/>
          <w:w w:val="150"/>
          <w:shd w:fill="FEFE8B" w:color="auto" w:val="clear"/>
        </w:rPr>
        <w:t> </w:t>
      </w:r>
      <w:r>
        <w:rPr>
          <w:color w:val="000000"/>
          <w:spacing w:val="-5"/>
          <w:shd w:fill="FEFE8B" w:color="auto" w:val="clear"/>
        </w:rPr>
        <w:t>law</w:t>
      </w:r>
      <w:r>
        <w:rPr>
          <w:color w:val="000000"/>
          <w:spacing w:val="80"/>
          <w:shd w:fill="FEFE8B" w:color="auto" w:val="clear"/>
        </w:rPr>
        <w:t> </w:t>
      </w:r>
    </w:p>
    <w:p>
      <w:pPr>
        <w:pStyle w:val="BodyText"/>
        <w:spacing w:line="276" w:lineRule="auto"/>
        <w:ind w:right="1909" w:hanging="40"/>
        <w:jc w:val="left"/>
      </w:pPr>
      <w:r>
        <w:rPr>
          <w:color w:val="000000"/>
          <w:spacing w:val="-26"/>
          <w:shd w:fill="FEFE8B" w:color="auto" w:val="clear"/>
        </w:rPr>
        <w:t> </w:t>
      </w:r>
      <w:r>
        <w:rPr>
          <w:color w:val="000000"/>
          <w:shd w:fill="FEFE8B" w:color="auto" w:val="clear"/>
        </w:rPr>
        <w:t>cannot vary from, one State to</w:t>
      </w:r>
      <w:r>
        <w:rPr>
          <w:color w:val="000000"/>
          <w:spacing w:val="-1"/>
          <w:shd w:fill="FEFE8B" w:color="auto" w:val="clear"/>
        </w:rPr>
        <w:t> </w:t>
      </w:r>
      <w:r>
        <w:rPr>
          <w:color w:val="000000"/>
          <w:shd w:fill="FEFE8B" w:color="auto" w:val="clear"/>
        </w:rPr>
        <w:t>another</w:t>
      </w:r>
      <w:r>
        <w:rPr>
          <w:color w:val="000000"/>
          <w:spacing w:val="-2"/>
          <w:shd w:fill="FEFE8B" w:color="auto" w:val="clear"/>
        </w:rPr>
        <w:t> </w:t>
      </w:r>
      <w:r>
        <w:rPr>
          <w:color w:val="000000"/>
          <w:shd w:fill="FEFE8B" w:color="auto" w:val="clear"/>
        </w:rPr>
        <w:t>in deference to</w:t>
      </w:r>
      <w:r>
        <w:rPr>
          <w:color w:val="000000"/>
          <w:spacing w:val="-1"/>
          <w:shd w:fill="FEFE8B" w:color="auto" w:val="clear"/>
        </w:rPr>
        <w:t> </w:t>
      </w:r>
      <w:r>
        <w:rPr>
          <w:color w:val="000000"/>
          <w:shd w:fill="FEFE8B" w:color="auto" w:val="clear"/>
        </w:rPr>
        <w:t>subsequent domestic</w:t>
      </w:r>
      <w:r>
        <w:rPr>
          <w:color w:val="000000"/>
          <w:spacing w:val="37"/>
          <w:shd w:fill="FEFE8B" w:color="auto" w:val="clear"/>
        </w:rPr>
        <w:t> </w:t>
      </w:r>
      <w:r>
        <w:rPr>
          <w:color w:val="000000"/>
          <w:spacing w:val="37"/>
        </w:rPr>
        <w:t> </w:t>
      </w:r>
      <w:r>
        <w:rPr>
          <w:color w:val="000000"/>
          <w:shd w:fill="FEFE8B" w:color="auto" w:val="clear"/>
        </w:rPr>
        <w:t>laws,”</w:t>
      </w:r>
      <w:r>
        <w:rPr>
          <w:color w:val="000000"/>
        </w:rPr>
        <w:t> the judgement has explained a role of the EEC and the obligation it</w:t>
      </w:r>
      <w:r>
        <w:rPr>
          <w:color w:val="000000"/>
          <w:spacing w:val="40"/>
        </w:rPr>
        <w:t> </w:t>
      </w:r>
      <w:r>
        <w:rPr>
          <w:color w:val="000000"/>
        </w:rPr>
        <w:t>imposes</w:t>
      </w:r>
      <w:r>
        <w:rPr>
          <w:color w:val="000000"/>
          <w:spacing w:val="80"/>
        </w:rPr>
        <w:t> </w:t>
      </w:r>
      <w:r>
        <w:rPr>
          <w:color w:val="000000"/>
        </w:rPr>
        <w:t>on</w:t>
      </w:r>
      <w:r>
        <w:rPr>
          <w:color w:val="000000"/>
          <w:spacing w:val="80"/>
        </w:rPr>
        <w:t> </w:t>
      </w:r>
      <w:r>
        <w:rPr>
          <w:color w:val="000000"/>
        </w:rPr>
        <w:t>the</w:t>
      </w:r>
      <w:r>
        <w:rPr>
          <w:color w:val="000000"/>
          <w:spacing w:val="80"/>
        </w:rPr>
        <w:t> </w:t>
      </w:r>
      <w:r>
        <w:rPr>
          <w:color w:val="000000"/>
        </w:rPr>
        <w:t>member</w:t>
      </w:r>
      <w:r>
        <w:rPr>
          <w:color w:val="000000"/>
          <w:spacing w:val="80"/>
        </w:rPr>
        <w:t> </w:t>
      </w:r>
      <w:r>
        <w:rPr>
          <w:color w:val="000000"/>
        </w:rPr>
        <w:t>states;</w:t>
      </w:r>
      <w:r>
        <w:rPr>
          <w:color w:val="000000"/>
          <w:spacing w:val="80"/>
        </w:rPr>
        <w:t> </w:t>
      </w:r>
      <w:r>
        <w:rPr>
          <w:color w:val="000000"/>
        </w:rPr>
        <w:t>By</w:t>
      </w:r>
      <w:r>
        <w:rPr>
          <w:color w:val="000000"/>
          <w:spacing w:val="80"/>
        </w:rPr>
        <w:t> </w:t>
      </w:r>
      <w:r>
        <w:rPr>
          <w:color w:val="000000"/>
        </w:rPr>
        <w:t>limiting</w:t>
      </w:r>
      <w:r>
        <w:rPr>
          <w:color w:val="000000"/>
          <w:spacing w:val="80"/>
        </w:rPr>
        <w:t> </w:t>
      </w:r>
      <w:r>
        <w:rPr>
          <w:color w:val="000000"/>
        </w:rPr>
        <w:t>own</w:t>
      </w:r>
      <w:r>
        <w:rPr>
          <w:color w:val="000000"/>
          <w:spacing w:val="80"/>
        </w:rPr>
        <w:t> </w:t>
      </w:r>
      <w:r>
        <w:rPr>
          <w:color w:val="000000"/>
        </w:rPr>
        <w:t>sovereignty</w:t>
      </w:r>
      <w:r>
        <w:rPr>
          <w:color w:val="000000"/>
          <w:spacing w:val="80"/>
        </w:rPr>
        <w:t> </w:t>
      </w:r>
      <w:r>
        <w:rPr>
          <w:color w:val="000000"/>
        </w:rPr>
        <w:t>for</w:t>
      </w:r>
      <w:r>
        <w:rPr>
          <w:color w:val="000000"/>
          <w:spacing w:val="80"/>
        </w:rPr>
        <w:t> </w:t>
      </w:r>
      <w:r>
        <w:rPr>
          <w:color w:val="000000"/>
        </w:rPr>
        <w:t>the common purposes, the members have generated the treaty that became an </w:t>
      </w:r>
      <w:r>
        <w:rPr>
          <w:color w:val="000000"/>
          <w:shd w:fill="FEFE8B" w:color="auto" w:val="clear"/>
        </w:rPr>
        <w:t>“integral part” of their legal systems, and “which their courts are bound to</w:t>
      </w:r>
      <w:r>
        <w:rPr>
          <w:color w:val="000000"/>
          <w:spacing w:val="31"/>
          <w:shd w:fill="FEFE8B" w:color="auto" w:val="clear"/>
        </w:rPr>
        <w:t> </w:t>
      </w:r>
      <w:r>
        <w:rPr>
          <w:color w:val="000000"/>
          <w:spacing w:val="31"/>
        </w:rPr>
        <w:t> </w:t>
      </w:r>
      <w:r>
        <w:rPr>
          <w:color w:val="000000"/>
          <w:shd w:fill="FEFE8B" w:color="auto" w:val="clear"/>
        </w:rPr>
        <w:t>apply.”</w:t>
      </w:r>
      <w:r>
        <w:rPr>
          <w:color w:val="000000"/>
          <w:spacing w:val="47"/>
          <w:shd w:fill="FEFE8B" w:color="auto" w:val="clear"/>
        </w:rPr>
        <w:t> </w:t>
      </w:r>
      <w:r>
        <w:rPr>
          <w:color w:val="000000"/>
          <w:shd w:fill="FEFE8B" w:color="auto" w:val="clear"/>
        </w:rPr>
        <w:t>The</w:t>
      </w:r>
      <w:r>
        <w:rPr>
          <w:color w:val="000000"/>
          <w:spacing w:val="47"/>
          <w:shd w:fill="FEFE8B" w:color="auto" w:val="clear"/>
        </w:rPr>
        <w:t> </w:t>
      </w:r>
      <w:r>
        <w:rPr>
          <w:color w:val="000000"/>
          <w:shd w:fill="FEFE8B" w:color="auto" w:val="clear"/>
        </w:rPr>
        <w:t>decision</w:t>
      </w:r>
      <w:r>
        <w:rPr>
          <w:color w:val="000000"/>
          <w:spacing w:val="48"/>
          <w:shd w:fill="FEFE8B" w:color="auto" w:val="clear"/>
        </w:rPr>
        <w:t> </w:t>
      </w:r>
      <w:r>
        <w:rPr>
          <w:color w:val="000000"/>
          <w:shd w:fill="FEFE8B" w:color="auto" w:val="clear"/>
        </w:rPr>
        <w:t>stated</w:t>
      </w:r>
      <w:r>
        <w:rPr>
          <w:color w:val="000000"/>
          <w:spacing w:val="48"/>
          <w:shd w:fill="FEFE8B" w:color="auto" w:val="clear"/>
        </w:rPr>
        <w:t> </w:t>
      </w:r>
      <w:r>
        <w:rPr>
          <w:color w:val="000000"/>
          <w:shd w:fill="FEFE8B" w:color="auto" w:val="clear"/>
        </w:rPr>
        <w:t>that</w:t>
      </w:r>
      <w:r>
        <w:rPr>
          <w:color w:val="000000"/>
          <w:spacing w:val="47"/>
          <w:shd w:fill="FEFE8B" w:color="auto" w:val="clear"/>
        </w:rPr>
        <w:t> </w:t>
      </w:r>
      <w:r>
        <w:rPr>
          <w:color w:val="000000"/>
          <w:shd w:fill="FEFE8B" w:color="auto" w:val="clear"/>
        </w:rPr>
        <w:t>a</w:t>
      </w:r>
      <w:r>
        <w:rPr>
          <w:color w:val="000000"/>
          <w:spacing w:val="47"/>
          <w:shd w:fill="FEFE8B" w:color="auto" w:val="clear"/>
        </w:rPr>
        <w:t> </w:t>
      </w:r>
      <w:r>
        <w:rPr>
          <w:color w:val="000000"/>
          <w:shd w:fill="FEFE8B" w:color="auto" w:val="clear"/>
        </w:rPr>
        <w:t>national</w:t>
      </w:r>
      <w:r>
        <w:rPr>
          <w:color w:val="000000"/>
          <w:spacing w:val="45"/>
          <w:shd w:fill="FEFE8B" w:color="auto" w:val="clear"/>
        </w:rPr>
        <w:t> </w:t>
      </w:r>
      <w:r>
        <w:rPr>
          <w:color w:val="000000"/>
          <w:shd w:fill="FEFE8B" w:color="auto" w:val="clear"/>
        </w:rPr>
        <w:t>law</w:t>
      </w:r>
      <w:r>
        <w:rPr>
          <w:color w:val="000000"/>
          <w:spacing w:val="48"/>
          <w:shd w:fill="FEFE8B" w:color="auto" w:val="clear"/>
        </w:rPr>
        <w:t> </w:t>
      </w:r>
      <w:r>
        <w:rPr>
          <w:color w:val="000000"/>
          <w:shd w:fill="FEFE8B" w:color="auto" w:val="clear"/>
        </w:rPr>
        <w:t>“cannot</w:t>
      </w:r>
      <w:r>
        <w:rPr>
          <w:color w:val="000000"/>
          <w:spacing w:val="47"/>
          <w:shd w:fill="FEFE8B" w:color="auto" w:val="clear"/>
        </w:rPr>
        <w:t> </w:t>
      </w:r>
      <w:r>
        <w:rPr>
          <w:color w:val="000000"/>
          <w:shd w:fill="FEFE8B" w:color="auto" w:val="clear"/>
        </w:rPr>
        <w:t>take</w:t>
      </w:r>
      <w:r>
        <w:rPr>
          <w:color w:val="000000"/>
          <w:spacing w:val="47"/>
          <w:shd w:fill="FEFE8B" w:color="auto" w:val="clear"/>
        </w:rPr>
        <w:t> </w:t>
      </w:r>
      <w:r>
        <w:rPr>
          <w:color w:val="000000"/>
          <w:spacing w:val="-2"/>
          <w:shd w:fill="FEFE8B" w:color="auto" w:val="clear"/>
        </w:rPr>
        <w:t>precedence</w:t>
      </w:r>
      <w:r>
        <w:rPr>
          <w:color w:val="000000"/>
          <w:spacing w:val="80"/>
          <w:shd w:fill="FEFE8B" w:color="auto" w:val="clear"/>
        </w:rPr>
        <w:t> </w:t>
      </w:r>
    </w:p>
    <w:p>
      <w:pPr>
        <w:pStyle w:val="BodyText"/>
        <w:spacing w:line="271" w:lineRule="auto"/>
        <w:ind w:right="1903" w:hanging="40"/>
      </w:pPr>
      <w:r>
        <w:rPr>
          <w:color w:val="000000"/>
          <w:spacing w:val="-17"/>
          <w:shd w:fill="FEFE8B" w:color="auto" w:val="clear"/>
        </w:rPr>
        <w:t> </w:t>
      </w:r>
      <w:r>
        <w:rPr>
          <w:color w:val="000000"/>
          <w:shd w:fill="FEFE8B" w:color="auto" w:val="clear"/>
        </w:rPr>
        <w:t>over Community law.” </w:t>
      </w:r>
      <w:r>
        <w:rPr>
          <w:color w:val="000000"/>
        </w:rPr>
        <w:t>(</w:t>
      </w:r>
      <w:hyperlink w:history="true" w:anchor="_bookmark400">
        <w:r>
          <w:rPr>
            <w:color w:val="000000"/>
          </w:rPr>
          <w:t>Stein, 1981, p. 11</w:t>
        </w:r>
      </w:hyperlink>
      <w:r>
        <w:rPr>
          <w:color w:val="000000"/>
        </w:rPr>
        <w:t>) The Commission, the Advocate General and the court, considering the </w:t>
      </w:r>
      <w:r>
        <w:rPr>
          <w:color w:val="000000"/>
          <w:sz w:val="27"/>
        </w:rPr>
        <w:t>Van Gend en Loos, </w:t>
      </w:r>
      <w:r>
        <w:rPr>
          <w:color w:val="000000"/>
        </w:rPr>
        <w:t>rejected the arguments about the jurisdiction as well. The supremacy principle was finally established after 1978 </w:t>
      </w:r>
      <w:r>
        <w:rPr>
          <w:color w:val="000000"/>
          <w:sz w:val="27"/>
        </w:rPr>
        <w:t>Simmenthal </w:t>
      </w:r>
      <w:r>
        <w:rPr>
          <w:color w:val="000000"/>
        </w:rPr>
        <w:t>case, the outcome of which, was generated considering the both direct effect and supremacy principles of</w:t>
      </w:r>
      <w:r>
        <w:rPr>
          <w:color w:val="000000"/>
          <w:spacing w:val="40"/>
        </w:rPr>
        <w:t> </w:t>
      </w:r>
      <w:r>
        <w:rPr>
          <w:color w:val="000000"/>
        </w:rPr>
        <w:t>the community law. The </w:t>
      </w:r>
      <w:r>
        <w:rPr>
          <w:color w:val="000000"/>
          <w:sz w:val="27"/>
        </w:rPr>
        <w:t>Costa v ENEL </w:t>
      </w:r>
      <w:r>
        <w:rPr>
          <w:color w:val="000000"/>
        </w:rPr>
        <w:t>case became an illustration of the ECJ</w:t>
      </w:r>
      <w:r>
        <w:rPr>
          <w:color w:val="000000"/>
          <w:spacing w:val="-4"/>
        </w:rPr>
        <w:t> </w:t>
      </w:r>
      <w:r>
        <w:rPr>
          <w:color w:val="000000"/>
        </w:rPr>
        <w:t>strategy</w:t>
      </w:r>
      <w:r>
        <w:rPr>
          <w:color w:val="000000"/>
          <w:spacing w:val="-2"/>
        </w:rPr>
        <w:t> </w:t>
      </w:r>
      <w:r>
        <w:rPr>
          <w:color w:val="000000"/>
        </w:rPr>
        <w:t>of influencing</w:t>
      </w:r>
      <w:r>
        <w:rPr>
          <w:color w:val="000000"/>
          <w:spacing w:val="-2"/>
        </w:rPr>
        <w:t> </w:t>
      </w:r>
      <w:r>
        <w:rPr>
          <w:color w:val="000000"/>
        </w:rPr>
        <w:t>the</w:t>
      </w:r>
      <w:r>
        <w:rPr>
          <w:color w:val="000000"/>
          <w:spacing w:val="-2"/>
        </w:rPr>
        <w:t> </w:t>
      </w:r>
      <w:r>
        <w:rPr>
          <w:color w:val="000000"/>
        </w:rPr>
        <w:t>EEC</w:t>
      </w:r>
      <w:r>
        <w:rPr>
          <w:color w:val="000000"/>
          <w:spacing w:val="-2"/>
        </w:rPr>
        <w:t> </w:t>
      </w:r>
      <w:r>
        <w:rPr>
          <w:color w:val="000000"/>
        </w:rPr>
        <w:t>political life. </w:t>
      </w:r>
      <w:r>
        <w:rPr>
          <w:color w:val="000000"/>
          <w:sz w:val="27"/>
        </w:rPr>
        <w:t>Karen</w:t>
      </w:r>
      <w:r>
        <w:rPr>
          <w:color w:val="000000"/>
          <w:spacing w:val="-3"/>
          <w:sz w:val="27"/>
        </w:rPr>
        <w:t> </w:t>
      </w:r>
      <w:r>
        <w:rPr>
          <w:color w:val="000000"/>
          <w:sz w:val="27"/>
        </w:rPr>
        <w:t>Alter </w:t>
      </w:r>
      <w:r>
        <w:rPr>
          <w:color w:val="000000"/>
        </w:rPr>
        <w:t>observed</w:t>
      </w:r>
      <w:r>
        <w:rPr>
          <w:color w:val="000000"/>
          <w:spacing w:val="-1"/>
        </w:rPr>
        <w:t> </w:t>
      </w:r>
      <w:r>
        <w:rPr>
          <w:color w:val="000000"/>
        </w:rPr>
        <w:t>that the</w:t>
      </w:r>
      <w:r>
        <w:rPr>
          <w:color w:val="000000"/>
          <w:spacing w:val="80"/>
        </w:rPr>
        <w:t> </w:t>
      </w:r>
      <w:r>
        <w:rPr>
          <w:color w:val="000000"/>
        </w:rPr>
        <w:t>Court</w:t>
      </w:r>
      <w:r>
        <w:rPr>
          <w:color w:val="000000"/>
          <w:spacing w:val="-2"/>
        </w:rPr>
        <w:t> </w:t>
      </w:r>
      <w:r>
        <w:rPr>
          <w:rFonts w:ascii="Times New Roman" w:hAnsi="Times New Roman"/>
          <w:color w:val="000000"/>
          <w:spacing w:val="40"/>
          <w:shd w:fill="FEFE8B" w:color="auto" w:val="clear"/>
        </w:rPr>
        <w:t> </w:t>
      </w:r>
      <w:r>
        <w:rPr>
          <w:color w:val="000000"/>
          <w:shd w:fill="FEFE8B" w:color="auto" w:val="clear"/>
        </w:rPr>
        <w:t>“expanded</w:t>
      </w:r>
      <w:r>
        <w:rPr>
          <w:color w:val="000000"/>
          <w:spacing w:val="80"/>
          <w:shd w:fill="FEFE8B" w:color="auto" w:val="clear"/>
        </w:rPr>
        <w:t> </w:t>
      </w:r>
      <w:r>
        <w:rPr>
          <w:color w:val="000000"/>
          <w:shd w:fill="FEFE8B" w:color="auto" w:val="clear"/>
        </w:rPr>
        <w:t>its</w:t>
      </w:r>
      <w:r>
        <w:rPr>
          <w:color w:val="000000"/>
          <w:spacing w:val="80"/>
          <w:shd w:fill="FEFE8B" w:color="auto" w:val="clear"/>
        </w:rPr>
        <w:t> </w:t>
      </w:r>
      <w:r>
        <w:rPr>
          <w:color w:val="000000"/>
          <w:shd w:fill="FEFE8B" w:color="auto" w:val="clear"/>
        </w:rPr>
        <w:t>jurisdictional</w:t>
      </w:r>
      <w:r>
        <w:rPr>
          <w:color w:val="000000"/>
          <w:spacing w:val="80"/>
          <w:shd w:fill="FEFE8B" w:color="auto" w:val="clear"/>
        </w:rPr>
        <w:t> </w:t>
      </w:r>
      <w:r>
        <w:rPr>
          <w:color w:val="000000"/>
          <w:shd w:fill="FEFE8B" w:color="auto" w:val="clear"/>
        </w:rPr>
        <w:t>authority</w:t>
      </w:r>
      <w:r>
        <w:rPr>
          <w:color w:val="000000"/>
          <w:spacing w:val="80"/>
          <w:shd w:fill="FEFE8B" w:color="auto" w:val="clear"/>
        </w:rPr>
        <w:t> </w:t>
      </w:r>
      <w:r>
        <w:rPr>
          <w:color w:val="000000"/>
          <w:shd w:fill="FEFE8B" w:color="auto" w:val="clear"/>
        </w:rPr>
        <w:t>by</w:t>
      </w:r>
      <w:r>
        <w:rPr>
          <w:color w:val="000000"/>
          <w:spacing w:val="76"/>
          <w:w w:val="150"/>
          <w:shd w:fill="FEFE8B" w:color="auto" w:val="clear"/>
        </w:rPr>
        <w:t> </w:t>
      </w:r>
      <w:r>
        <w:rPr>
          <w:color w:val="000000"/>
          <w:shd w:fill="FEFE8B" w:color="auto" w:val="clear"/>
        </w:rPr>
        <w:t>establishing</w:t>
      </w:r>
      <w:r>
        <w:rPr>
          <w:color w:val="000000"/>
          <w:spacing w:val="80"/>
          <w:shd w:fill="FEFE8B" w:color="auto" w:val="clear"/>
        </w:rPr>
        <w:t> </w:t>
      </w:r>
      <w:r>
        <w:rPr>
          <w:color w:val="000000"/>
          <w:shd w:fill="FEFE8B" w:color="auto" w:val="clear"/>
        </w:rPr>
        <w:t>legal</w:t>
      </w:r>
    </w:p>
    <w:p>
      <w:pPr>
        <w:pStyle w:val="BodyText"/>
        <w:spacing w:after="0" w:line="271" w:lineRule="auto"/>
        <w:sectPr>
          <w:pgSz w:w="12240" w:h="15840"/>
          <w:pgMar w:header="1046" w:footer="0" w:top="1360" w:bottom="280" w:left="720" w:right="360"/>
        </w:sectPr>
      </w:pPr>
    </w:p>
    <w:p>
      <w:pPr>
        <w:pStyle w:val="BodyText"/>
        <w:tabs>
          <w:tab w:pos="1858" w:val="left" w:leader="none"/>
        </w:tabs>
        <w:spacing w:line="273" w:lineRule="auto" w:before="276"/>
        <w:ind w:right="1909"/>
        <w:jc w:val="left"/>
      </w:pPr>
      <w:r>
        <w:rPr>
          <w:color w:val="000000"/>
          <w:shd w:fill="FEFE8B" w:color="auto" w:val="clear"/>
        </w:rPr>
        <w:t>principles,</w:t>
      </w:r>
      <w:r>
        <w:rPr>
          <w:color w:val="000000"/>
          <w:spacing w:val="40"/>
          <w:shd w:fill="FEFE8B" w:color="auto" w:val="clear"/>
        </w:rPr>
        <w:t> </w:t>
      </w:r>
      <w:r>
        <w:rPr>
          <w:color w:val="000000"/>
          <w:shd w:fill="FEFE8B" w:color="auto" w:val="clear"/>
        </w:rPr>
        <w:t>but</w:t>
      </w:r>
      <w:r>
        <w:rPr>
          <w:color w:val="000000"/>
          <w:spacing w:val="40"/>
          <w:shd w:fill="FEFE8B" w:color="auto" w:val="clear"/>
        </w:rPr>
        <w:t> </w:t>
      </w:r>
      <w:r>
        <w:rPr>
          <w:color w:val="000000"/>
          <w:shd w:fill="FEFE8B" w:color="auto" w:val="clear"/>
        </w:rPr>
        <w:t>not</w:t>
      </w:r>
      <w:r>
        <w:rPr>
          <w:color w:val="000000"/>
          <w:spacing w:val="40"/>
          <w:shd w:fill="FEFE8B" w:color="auto" w:val="clear"/>
        </w:rPr>
        <w:t> </w:t>
      </w:r>
      <w:r>
        <w:rPr>
          <w:color w:val="000000"/>
          <w:shd w:fill="FEFE8B" w:color="auto" w:val="clear"/>
        </w:rPr>
        <w:t>applying</w:t>
      </w:r>
      <w:r>
        <w:rPr>
          <w:color w:val="000000"/>
          <w:spacing w:val="40"/>
          <w:shd w:fill="FEFE8B" w:color="auto" w:val="clear"/>
        </w:rPr>
        <w:t> </w:t>
      </w:r>
      <w:r>
        <w:rPr>
          <w:color w:val="000000"/>
          <w:shd w:fill="FEFE8B" w:color="auto" w:val="clear"/>
        </w:rPr>
        <w:t>the</w:t>
      </w:r>
      <w:r>
        <w:rPr>
          <w:color w:val="000000"/>
          <w:spacing w:val="40"/>
          <w:shd w:fill="FEFE8B" w:color="auto" w:val="clear"/>
        </w:rPr>
        <w:t> </w:t>
      </w:r>
      <w:r>
        <w:rPr>
          <w:color w:val="000000"/>
          <w:shd w:fill="FEFE8B" w:color="auto" w:val="clear"/>
        </w:rPr>
        <w:t>principles</w:t>
      </w:r>
      <w:r>
        <w:rPr>
          <w:color w:val="000000"/>
          <w:spacing w:val="40"/>
          <w:shd w:fill="FEFE8B" w:color="auto" w:val="clear"/>
        </w:rPr>
        <w:t> </w:t>
      </w:r>
      <w:r>
        <w:rPr>
          <w:color w:val="000000"/>
          <w:shd w:fill="FEFE8B" w:color="auto" w:val="clear"/>
        </w:rPr>
        <w:t>to</w:t>
      </w:r>
      <w:r>
        <w:rPr>
          <w:color w:val="000000"/>
          <w:spacing w:val="40"/>
          <w:shd w:fill="FEFE8B" w:color="auto" w:val="clear"/>
        </w:rPr>
        <w:t> </w:t>
      </w:r>
      <w:r>
        <w:rPr>
          <w:color w:val="000000"/>
          <w:shd w:fill="FEFE8B" w:color="auto" w:val="clear"/>
        </w:rPr>
        <w:t>the</w:t>
      </w:r>
      <w:r>
        <w:rPr>
          <w:color w:val="000000"/>
          <w:spacing w:val="40"/>
          <w:shd w:fill="FEFE8B" w:color="auto" w:val="clear"/>
        </w:rPr>
        <w:t> </w:t>
      </w:r>
      <w:r>
        <w:rPr>
          <w:color w:val="000000"/>
          <w:shd w:fill="FEFE8B" w:color="auto" w:val="clear"/>
        </w:rPr>
        <w:t>cases</w:t>
      </w:r>
      <w:r>
        <w:rPr>
          <w:color w:val="000000"/>
          <w:spacing w:val="40"/>
          <w:shd w:fill="FEFE8B" w:color="auto" w:val="clear"/>
        </w:rPr>
        <w:t> </w:t>
      </w:r>
      <w:r>
        <w:rPr>
          <w:color w:val="000000"/>
          <w:shd w:fill="FEFE8B" w:color="auto" w:val="clear"/>
        </w:rPr>
        <w:t>at</w:t>
      </w:r>
      <w:r>
        <w:rPr>
          <w:color w:val="000000"/>
          <w:spacing w:val="40"/>
          <w:shd w:fill="FEFE8B" w:color="auto" w:val="clear"/>
        </w:rPr>
        <w:t> </w:t>
      </w:r>
      <w:r>
        <w:rPr>
          <w:color w:val="000000"/>
          <w:shd w:fill="FEFE8B" w:color="auto" w:val="clear"/>
        </w:rPr>
        <w:t>hand.” </w:t>
      </w:r>
      <w:r>
        <w:rPr>
          <w:color w:val="000000"/>
          <w:spacing w:val="-9"/>
        </w:rPr>
        <w:t> </w:t>
      </w:r>
      <w:r>
        <w:rPr>
          <w:color w:val="000000"/>
        </w:rPr>
        <w:t>(Alter, </w:t>
      </w:r>
      <w:r>
        <w:rPr>
          <w:color w:val="000000"/>
          <w:spacing w:val="-2"/>
        </w:rPr>
        <w:t>1998)</w:t>
      </w:r>
      <w:r>
        <w:rPr>
          <w:color w:val="000000"/>
        </w:rPr>
        <w:tab/>
        <w:t>In </w:t>
      </w:r>
      <w:r>
        <w:rPr>
          <w:color w:val="000000"/>
          <w:sz w:val="27"/>
        </w:rPr>
        <w:t>Costa v ENEL </w:t>
      </w:r>
      <w:r>
        <w:rPr>
          <w:color w:val="000000"/>
        </w:rPr>
        <w:t>the principle of supremacy was declared, but the court found that </w:t>
      </w:r>
      <w:r>
        <w:rPr>
          <w:color w:val="000000"/>
          <w:shd w:fill="FEFE8B" w:color="auto" w:val="clear"/>
        </w:rPr>
        <w:t>“the Italian law privatizing the electric company did not </w:t>
      </w:r>
      <w:r>
        <w:rPr>
          <w:color w:val="000000"/>
        </w:rPr>
        <w:t> </w:t>
      </w:r>
      <w:r>
        <w:rPr>
          <w:color w:val="000000"/>
          <w:shd w:fill="FEFE8B" w:color="auto" w:val="clear"/>
        </w:rPr>
        <w:t>violate EC law.”</w:t>
      </w:r>
      <w:r>
        <w:rPr>
          <w:color w:val="000000"/>
          <w:spacing w:val="40"/>
          <w:shd w:fill="FEFE8B" w:color="auto" w:val="clear"/>
        </w:rPr>
        <w:t> </w:t>
      </w:r>
    </w:p>
    <w:p>
      <w:pPr>
        <w:pStyle w:val="BodyText"/>
        <w:spacing w:line="276" w:lineRule="auto"/>
        <w:ind w:right="1907" w:firstLine="720"/>
      </w:pPr>
      <w:r>
        <w:rPr/>
        <w:t>After forming the internal legal order, it was time for the</w:t>
      </w:r>
      <w:r>
        <w:rPr>
          <w:spacing w:val="40"/>
        </w:rPr>
        <w:t> </w:t>
      </w:r>
      <w:r>
        <w:rPr/>
        <w:t>Community to define implications of the internal arrangements of external relations. It was obvious that common policies could not be stopped on the community borders. (</w:t>
      </w:r>
      <w:hyperlink w:history="true" w:anchor="_bookmark226">
        <w:r>
          <w:rPr/>
          <w:t>Holdgaard &amp; Holdgaard, 2001</w:t>
        </w:r>
      </w:hyperlink>
      <w:r>
        <w:rPr/>
        <w:t>) After the supremacy principle was established, it became unclear how would states conform to the community regulations, if their relations with external actors had implications on the EEC.</w:t>
      </w:r>
    </w:p>
    <w:p>
      <w:pPr>
        <w:pStyle w:val="BodyText"/>
        <w:spacing w:line="273" w:lineRule="auto"/>
        <w:ind w:right="1905" w:firstLine="720"/>
      </w:pPr>
      <w:r>
        <w:rPr>
          <w:sz w:val="27"/>
        </w:rPr>
        <w:t>AETR judgment, Commission v Council – </w:t>
      </w:r>
      <w:r>
        <w:rPr/>
        <w:t>The ECJ had to decide a formal dispute between the Commission and the Council. To a great extent the Commission was representing the Community, and the Council defended the interests of the member state governments. (</w:t>
      </w:r>
      <w:hyperlink w:history="true" w:anchor="_bookmark400">
        <w:r>
          <w:rPr/>
          <w:t>Stein, 1981</w:t>
        </w:r>
      </w:hyperlink>
      <w:r>
        <w:rPr/>
        <w:t>)</w:t>
      </w:r>
    </w:p>
    <w:p>
      <w:pPr>
        <w:pStyle w:val="BodyText"/>
        <w:spacing w:line="276" w:lineRule="auto"/>
        <w:ind w:right="1916" w:firstLine="720"/>
      </w:pPr>
      <w:r>
        <w:rPr/>
        <w:t>The agreement concerning the work of crews of vehicles engaged in international road transport (AETR) was signed in Geneva 1962. However, due to</w:t>
      </w:r>
      <w:r>
        <w:rPr>
          <w:spacing w:val="-1"/>
        </w:rPr>
        <w:t> </w:t>
      </w:r>
      <w:r>
        <w:rPr/>
        <w:t>lack of sufficient ratifications the agreement did not enter into</w:t>
      </w:r>
      <w:r>
        <w:rPr>
          <w:spacing w:val="-1"/>
        </w:rPr>
        <w:t> </w:t>
      </w:r>
      <w:r>
        <w:rPr/>
        <w:t>force. The negotiations were renewed in 1967. The Council of the six member states, helped to prepare a final draft of AETR.</w:t>
      </w:r>
    </w:p>
    <w:p>
      <w:pPr>
        <w:pStyle w:val="BodyText"/>
        <w:spacing w:line="276" w:lineRule="auto"/>
        <w:ind w:right="1904" w:firstLine="720"/>
      </w:pPr>
      <w:r>
        <w:rPr/>
        <w:t>On 19 May 1970, the Commission submitted “application for the annulment of the proceedings of the council of 20 march 1970, relating to the negotiation and conclusion by the member states of the EEC.” (</w:t>
      </w:r>
      <w:hyperlink w:history="true" w:anchor="_bookmark69">
        <w:r>
          <w:rPr/>
          <w:t>"AETR</w:t>
        </w:r>
      </w:hyperlink>
      <w:r>
        <w:rPr/>
        <w:t> </w:t>
      </w:r>
      <w:hyperlink w:history="true" w:anchor="_bookmark69">
        <w:r>
          <w:rPr/>
          <w:t>case the European Court of Justice," 1971</w:t>
        </w:r>
      </w:hyperlink>
      <w:r>
        <w:rPr/>
        <w:t>)</w:t>
      </w:r>
    </w:p>
    <w:p>
      <w:pPr>
        <w:pStyle w:val="BodyText"/>
        <w:spacing w:line="278" w:lineRule="auto"/>
        <w:ind w:right="1906" w:firstLine="720"/>
      </w:pPr>
      <w:r>
        <w:rPr/>
        <w:t>The argument of the Commission was based on regulation No 543/69</w:t>
      </w:r>
      <w:r>
        <w:rPr>
          <w:position w:val="7"/>
          <w:sz w:val="15"/>
        </w:rPr>
        <w:t>34</w:t>
      </w:r>
      <w:r>
        <w:rPr>
          <w:spacing w:val="40"/>
          <w:position w:val="7"/>
          <w:sz w:val="15"/>
        </w:rPr>
        <w:t> </w:t>
      </w:r>
      <w:r>
        <w:rPr/>
        <w:t>and maintained that, the matters alike the AETR “could only be carried out by the Community.” (Case, 1971)</w:t>
      </w:r>
    </w:p>
    <w:p>
      <w:pPr>
        <w:pStyle w:val="BodyText"/>
        <w:spacing w:line="276" w:lineRule="auto"/>
        <w:ind w:right="1904" w:firstLine="854"/>
        <w:rPr>
          <w:position w:val="7"/>
          <w:sz w:val="15"/>
        </w:rPr>
      </w:pPr>
      <w:r>
        <w:rPr/>
        <w:t>In addition, the plaintiff maintained that the procedure of negotiating</w:t>
      </w:r>
      <w:r>
        <w:rPr>
          <w:spacing w:val="59"/>
          <w:w w:val="150"/>
        </w:rPr>
        <w:t> </w:t>
      </w:r>
      <w:r>
        <w:rPr/>
        <w:t>the</w:t>
      </w:r>
      <w:r>
        <w:rPr>
          <w:spacing w:val="59"/>
          <w:w w:val="150"/>
        </w:rPr>
        <w:t> </w:t>
      </w:r>
      <w:r>
        <w:rPr/>
        <w:t>AETR</w:t>
      </w:r>
      <w:r>
        <w:rPr>
          <w:spacing w:val="56"/>
          <w:w w:val="150"/>
        </w:rPr>
        <w:t> </w:t>
      </w:r>
      <w:r>
        <w:rPr/>
        <w:t>has</w:t>
      </w:r>
      <w:r>
        <w:rPr>
          <w:spacing w:val="57"/>
          <w:w w:val="150"/>
        </w:rPr>
        <w:t> </w:t>
      </w:r>
      <w:r>
        <w:rPr/>
        <w:t>infringed</w:t>
      </w:r>
      <w:r>
        <w:rPr>
          <w:spacing w:val="61"/>
          <w:w w:val="150"/>
        </w:rPr>
        <w:t> </w:t>
      </w:r>
      <w:r>
        <w:rPr/>
        <w:t>the</w:t>
      </w:r>
      <w:r>
        <w:rPr>
          <w:spacing w:val="54"/>
          <w:w w:val="150"/>
        </w:rPr>
        <w:t> </w:t>
      </w:r>
      <w:r>
        <w:rPr/>
        <w:t>articles</w:t>
      </w:r>
      <w:r>
        <w:rPr>
          <w:spacing w:val="57"/>
          <w:w w:val="150"/>
        </w:rPr>
        <w:t> </w:t>
      </w:r>
      <w:r>
        <w:rPr/>
        <w:t>75</w:t>
      </w:r>
      <w:r>
        <w:rPr>
          <w:spacing w:val="59"/>
          <w:w w:val="150"/>
        </w:rPr>
        <w:t> </w:t>
      </w:r>
      <w:r>
        <w:rPr/>
        <w:t>and</w:t>
      </w:r>
      <w:r>
        <w:rPr>
          <w:spacing w:val="60"/>
          <w:w w:val="150"/>
        </w:rPr>
        <w:t> </w:t>
      </w:r>
      <w:r>
        <w:rPr/>
        <w:t>228</w:t>
      </w:r>
      <w:r>
        <w:rPr>
          <w:spacing w:val="59"/>
          <w:w w:val="150"/>
        </w:rPr>
        <w:t> </w:t>
      </w:r>
      <w:r>
        <w:rPr>
          <w:spacing w:val="-2"/>
        </w:rPr>
        <w:t>(EEC).</w:t>
      </w:r>
      <w:r>
        <w:rPr>
          <w:spacing w:val="-2"/>
          <w:position w:val="7"/>
          <w:sz w:val="15"/>
        </w:rPr>
        <w:t>35</w:t>
      </w:r>
    </w:p>
    <w:p>
      <w:pPr>
        <w:pStyle w:val="BodyText"/>
        <w:spacing w:before="7"/>
        <w:ind w:left="0"/>
        <w:jc w:val="left"/>
        <w:rPr>
          <w:sz w:val="15"/>
        </w:rPr>
      </w:pPr>
      <w:r>
        <w:rPr>
          <w:sz w:val="15"/>
        </w:rPr>
        <mc:AlternateContent>
          <mc:Choice Requires="wps">
            <w:drawing>
              <wp:anchor distT="0" distB="0" distL="0" distR="0" allowOverlap="1" layoutInCell="1" locked="0" behindDoc="1" simplePos="0" relativeHeight="487664640">
                <wp:simplePos x="0" y="0"/>
                <wp:positionH relativeFrom="page">
                  <wp:posOffset>1079296</wp:posOffset>
                </wp:positionH>
                <wp:positionV relativeFrom="paragraph">
                  <wp:posOffset>145447</wp:posOffset>
                </wp:positionV>
                <wp:extent cx="1830070" cy="9525"/>
                <wp:effectExtent l="0" t="0" r="0" b="0"/>
                <wp:wrapTopAndBottom/>
                <wp:docPr id="188" name="Graphic 188"/>
                <wp:cNvGraphicFramePr>
                  <a:graphicFrameLocks/>
                </wp:cNvGraphicFramePr>
                <a:graphic>
                  <a:graphicData uri="http://schemas.microsoft.com/office/word/2010/wordprocessingShape">
                    <wps:wsp>
                      <wps:cNvPr id="188" name="Graphic 188"/>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11.45255pt;width:144.07pt;height:.71997pt;mso-position-horizontal-relative:page;mso-position-vertical-relative:paragraph;z-index:-15651840;mso-wrap-distance-left:0;mso-wrap-distance-right:0" id="docshape175" filled="true" fillcolor="#000000" stroked="false">
                <v:fill type="solid"/>
                <w10:wrap type="topAndBottom"/>
              </v:rect>
            </w:pict>
          </mc:Fallback>
        </mc:AlternateContent>
      </w:r>
    </w:p>
    <w:p>
      <w:pPr>
        <w:spacing w:line="235" w:lineRule="auto" w:before="106"/>
        <w:ind w:left="979" w:right="1909" w:firstLine="0"/>
        <w:jc w:val="left"/>
        <w:rPr>
          <w:rFonts w:ascii="Calibri"/>
          <w:sz w:val="20"/>
        </w:rPr>
      </w:pPr>
      <w:r>
        <w:rPr>
          <w:rFonts w:ascii="Calibri"/>
          <w:sz w:val="20"/>
          <w:vertAlign w:val="superscript"/>
        </w:rPr>
        <w:t>34</w:t>
      </w:r>
      <w:r>
        <w:rPr>
          <w:rFonts w:ascii="Calibri"/>
          <w:sz w:val="20"/>
          <w:vertAlign w:val="baseline"/>
        </w:rPr>
        <w:t> No. 543/69 (EEC) of 25 March 1969 on the</w:t>
      </w:r>
      <w:r>
        <w:rPr>
          <w:rFonts w:ascii="Calibri"/>
          <w:spacing w:val="76"/>
          <w:sz w:val="20"/>
          <w:vertAlign w:val="baseline"/>
        </w:rPr>
        <w:t> </w:t>
      </w:r>
      <w:r>
        <w:rPr>
          <w:rFonts w:ascii="Calibri"/>
          <w:sz w:val="20"/>
          <w:vertAlign w:val="baseline"/>
        </w:rPr>
        <w:t>harmonization of certain social legislation relating to</w:t>
      </w:r>
      <w:r>
        <w:rPr>
          <w:rFonts w:ascii="Calibri"/>
          <w:spacing w:val="40"/>
          <w:sz w:val="20"/>
          <w:vertAlign w:val="baseline"/>
        </w:rPr>
        <w:t> </w:t>
      </w:r>
      <w:r>
        <w:rPr>
          <w:rFonts w:ascii="Calibri"/>
          <w:sz w:val="20"/>
          <w:vertAlign w:val="baseline"/>
        </w:rPr>
        <w:t>road transport</w:t>
      </w:r>
    </w:p>
    <w:p>
      <w:pPr>
        <w:spacing w:before="2"/>
        <w:ind w:left="979" w:right="1909" w:firstLine="0"/>
        <w:jc w:val="left"/>
        <w:rPr>
          <w:rFonts w:ascii="Calibri"/>
          <w:sz w:val="20"/>
        </w:rPr>
      </w:pPr>
      <w:r>
        <w:rPr>
          <w:rFonts w:ascii="Calibri"/>
          <w:sz w:val="20"/>
          <w:vertAlign w:val="superscript"/>
        </w:rPr>
        <w:t>35</w:t>
      </w:r>
      <w:r>
        <w:rPr>
          <w:rFonts w:ascii="Calibri"/>
          <w:spacing w:val="40"/>
          <w:sz w:val="20"/>
          <w:vertAlign w:val="baseline"/>
        </w:rPr>
        <w:t> </w:t>
      </w:r>
      <w:r>
        <w:rPr>
          <w:rFonts w:ascii="Calibri"/>
          <w:sz w:val="20"/>
          <w:vertAlign w:val="baseline"/>
        </w:rPr>
        <w:t>Treaty</w:t>
      </w:r>
      <w:r>
        <w:rPr>
          <w:rFonts w:ascii="Calibri"/>
          <w:spacing w:val="40"/>
          <w:sz w:val="20"/>
          <w:vertAlign w:val="baseline"/>
        </w:rPr>
        <w:t> </w:t>
      </w:r>
      <w:r>
        <w:rPr>
          <w:rFonts w:ascii="Calibri"/>
          <w:sz w:val="20"/>
          <w:vertAlign w:val="baseline"/>
        </w:rPr>
        <w:t>establishing</w:t>
      </w:r>
      <w:r>
        <w:rPr>
          <w:rFonts w:ascii="Calibri"/>
          <w:spacing w:val="40"/>
          <w:sz w:val="20"/>
          <w:vertAlign w:val="baseline"/>
        </w:rPr>
        <w:t> </w:t>
      </w:r>
      <w:r>
        <w:rPr>
          <w:rFonts w:ascii="Calibri"/>
          <w:sz w:val="20"/>
          <w:vertAlign w:val="baseline"/>
        </w:rPr>
        <w:t>the</w:t>
      </w:r>
      <w:r>
        <w:rPr>
          <w:rFonts w:ascii="Calibri"/>
          <w:spacing w:val="40"/>
          <w:sz w:val="20"/>
          <w:vertAlign w:val="baseline"/>
        </w:rPr>
        <w:t> </w:t>
      </w:r>
      <w:r>
        <w:rPr>
          <w:rFonts w:ascii="Calibri"/>
          <w:sz w:val="20"/>
          <w:vertAlign w:val="baseline"/>
        </w:rPr>
        <w:t>European</w:t>
      </w:r>
      <w:r>
        <w:rPr>
          <w:rFonts w:ascii="Calibri"/>
          <w:spacing w:val="40"/>
          <w:sz w:val="20"/>
          <w:vertAlign w:val="baseline"/>
        </w:rPr>
        <w:t> </w:t>
      </w:r>
      <w:r>
        <w:rPr>
          <w:rFonts w:ascii="Calibri"/>
          <w:sz w:val="20"/>
          <w:vertAlign w:val="baseline"/>
        </w:rPr>
        <w:t>Community</w:t>
      </w:r>
      <w:r>
        <w:rPr>
          <w:rFonts w:ascii="Calibri"/>
          <w:spacing w:val="40"/>
          <w:sz w:val="20"/>
          <w:vertAlign w:val="baseline"/>
        </w:rPr>
        <w:t> </w:t>
      </w:r>
      <w:r>
        <w:rPr>
          <w:rFonts w:ascii="Calibri"/>
          <w:sz w:val="20"/>
          <w:vertAlign w:val="baseline"/>
        </w:rPr>
        <w:t>(Amsterdam</w:t>
      </w:r>
      <w:r>
        <w:rPr>
          <w:rFonts w:ascii="Calibri"/>
          <w:spacing w:val="40"/>
          <w:sz w:val="20"/>
          <w:vertAlign w:val="baseline"/>
        </w:rPr>
        <w:t> </w:t>
      </w:r>
      <w:r>
        <w:rPr>
          <w:rFonts w:ascii="Calibri"/>
          <w:sz w:val="20"/>
          <w:vertAlign w:val="baseline"/>
        </w:rPr>
        <w:t>consolidated</w:t>
      </w:r>
      <w:r>
        <w:rPr>
          <w:rFonts w:ascii="Calibri"/>
          <w:spacing w:val="40"/>
          <w:sz w:val="20"/>
          <w:vertAlign w:val="baseline"/>
        </w:rPr>
        <w:t> </w:t>
      </w:r>
      <w:r>
        <w:rPr>
          <w:rFonts w:ascii="Calibri"/>
          <w:sz w:val="20"/>
          <w:vertAlign w:val="baseline"/>
        </w:rPr>
        <w:t>version)</w:t>
      </w:r>
      <w:r>
        <w:rPr>
          <w:rFonts w:ascii="Calibri"/>
          <w:spacing w:val="40"/>
          <w:sz w:val="20"/>
          <w:vertAlign w:val="baseline"/>
        </w:rPr>
        <w:t> </w:t>
      </w:r>
      <w:r>
        <w:rPr>
          <w:rFonts w:ascii="Calibri"/>
          <w:sz w:val="20"/>
          <w:vertAlign w:val="baseline"/>
        </w:rPr>
        <w:t>-</w:t>
      </w:r>
      <w:r>
        <w:rPr>
          <w:rFonts w:ascii="Calibri"/>
          <w:spacing w:val="40"/>
          <w:sz w:val="20"/>
          <w:vertAlign w:val="baseline"/>
        </w:rPr>
        <w:t> </w:t>
      </w:r>
      <w:r>
        <w:rPr>
          <w:rFonts w:ascii="Calibri"/>
          <w:sz w:val="20"/>
          <w:vertAlign w:val="baseline"/>
        </w:rPr>
        <w:t>Part</w:t>
      </w:r>
      <w:r>
        <w:rPr>
          <w:rFonts w:ascii="Calibri"/>
          <w:spacing w:val="40"/>
          <w:sz w:val="20"/>
          <w:vertAlign w:val="baseline"/>
        </w:rPr>
        <w:t> </w:t>
      </w:r>
      <w:r>
        <w:rPr>
          <w:rFonts w:ascii="Calibri"/>
          <w:sz w:val="20"/>
          <w:vertAlign w:val="baseline"/>
        </w:rPr>
        <w:t>Three: Community</w:t>
      </w:r>
      <w:r>
        <w:rPr>
          <w:rFonts w:ascii="Calibri"/>
          <w:spacing w:val="8"/>
          <w:sz w:val="20"/>
          <w:vertAlign w:val="baseline"/>
        </w:rPr>
        <w:t> </w:t>
      </w:r>
      <w:r>
        <w:rPr>
          <w:rFonts w:ascii="Calibri"/>
          <w:sz w:val="20"/>
          <w:vertAlign w:val="baseline"/>
        </w:rPr>
        <w:t>policies</w:t>
      </w:r>
      <w:r>
        <w:rPr>
          <w:rFonts w:ascii="Calibri"/>
          <w:spacing w:val="10"/>
          <w:sz w:val="20"/>
          <w:vertAlign w:val="baseline"/>
        </w:rPr>
        <w:t> </w:t>
      </w:r>
      <w:r>
        <w:rPr>
          <w:rFonts w:ascii="Calibri"/>
          <w:sz w:val="20"/>
          <w:vertAlign w:val="baseline"/>
        </w:rPr>
        <w:t>-</w:t>
      </w:r>
      <w:r>
        <w:rPr>
          <w:rFonts w:ascii="Calibri"/>
          <w:spacing w:val="10"/>
          <w:sz w:val="20"/>
          <w:vertAlign w:val="baseline"/>
        </w:rPr>
        <w:t> </w:t>
      </w:r>
      <w:r>
        <w:rPr>
          <w:rFonts w:ascii="Calibri"/>
          <w:sz w:val="20"/>
          <w:vertAlign w:val="baseline"/>
        </w:rPr>
        <w:t>Title</w:t>
      </w:r>
      <w:r>
        <w:rPr>
          <w:rFonts w:ascii="Calibri"/>
          <w:spacing w:val="10"/>
          <w:sz w:val="20"/>
          <w:vertAlign w:val="baseline"/>
        </w:rPr>
        <w:t> </w:t>
      </w:r>
      <w:r>
        <w:rPr>
          <w:rFonts w:ascii="Calibri"/>
          <w:sz w:val="20"/>
          <w:vertAlign w:val="baseline"/>
        </w:rPr>
        <w:t>V:</w:t>
      </w:r>
      <w:r>
        <w:rPr>
          <w:rFonts w:ascii="Calibri"/>
          <w:spacing w:val="8"/>
          <w:sz w:val="20"/>
          <w:vertAlign w:val="baseline"/>
        </w:rPr>
        <w:t> </w:t>
      </w:r>
      <w:r>
        <w:rPr>
          <w:rFonts w:ascii="Calibri"/>
          <w:sz w:val="20"/>
          <w:vertAlign w:val="baseline"/>
        </w:rPr>
        <w:t>Transport</w:t>
      </w:r>
      <w:r>
        <w:rPr>
          <w:rFonts w:ascii="Calibri"/>
          <w:spacing w:val="12"/>
          <w:sz w:val="20"/>
          <w:vertAlign w:val="baseline"/>
        </w:rPr>
        <w:t> </w:t>
      </w:r>
      <w:r>
        <w:rPr>
          <w:rFonts w:ascii="Calibri"/>
          <w:sz w:val="20"/>
          <w:vertAlign w:val="baseline"/>
        </w:rPr>
        <w:t>-</w:t>
      </w:r>
      <w:r>
        <w:rPr>
          <w:rFonts w:ascii="Calibri"/>
          <w:spacing w:val="10"/>
          <w:sz w:val="20"/>
          <w:vertAlign w:val="baseline"/>
        </w:rPr>
        <w:t> </w:t>
      </w:r>
      <w:r>
        <w:rPr>
          <w:rFonts w:ascii="Calibri"/>
          <w:sz w:val="20"/>
          <w:vertAlign w:val="baseline"/>
        </w:rPr>
        <w:t>Article</w:t>
      </w:r>
      <w:r>
        <w:rPr>
          <w:rFonts w:ascii="Calibri"/>
          <w:spacing w:val="10"/>
          <w:sz w:val="20"/>
          <w:vertAlign w:val="baseline"/>
        </w:rPr>
        <w:t> </w:t>
      </w:r>
      <w:r>
        <w:rPr>
          <w:rFonts w:ascii="Calibri"/>
          <w:sz w:val="20"/>
          <w:vertAlign w:val="baseline"/>
        </w:rPr>
        <w:t>71</w:t>
      </w:r>
      <w:r>
        <w:rPr>
          <w:rFonts w:ascii="Calibri"/>
          <w:spacing w:val="9"/>
          <w:sz w:val="20"/>
          <w:vertAlign w:val="baseline"/>
        </w:rPr>
        <w:t> </w:t>
      </w:r>
      <w:r>
        <w:rPr>
          <w:rFonts w:ascii="Calibri"/>
          <w:sz w:val="20"/>
          <w:vertAlign w:val="baseline"/>
        </w:rPr>
        <w:t>-</w:t>
      </w:r>
      <w:r>
        <w:rPr>
          <w:rFonts w:ascii="Calibri"/>
          <w:spacing w:val="11"/>
          <w:sz w:val="20"/>
          <w:vertAlign w:val="baseline"/>
        </w:rPr>
        <w:t> </w:t>
      </w:r>
      <w:r>
        <w:rPr>
          <w:rFonts w:ascii="Calibri"/>
          <w:b/>
          <w:sz w:val="20"/>
          <w:vertAlign w:val="baseline"/>
        </w:rPr>
        <w:t>Article</w:t>
      </w:r>
      <w:r>
        <w:rPr>
          <w:rFonts w:ascii="Calibri"/>
          <w:b/>
          <w:spacing w:val="8"/>
          <w:sz w:val="20"/>
          <w:vertAlign w:val="baseline"/>
        </w:rPr>
        <w:t> </w:t>
      </w:r>
      <w:r>
        <w:rPr>
          <w:rFonts w:ascii="Calibri"/>
          <w:b/>
          <w:sz w:val="20"/>
          <w:vertAlign w:val="baseline"/>
        </w:rPr>
        <w:t>75</w:t>
      </w:r>
      <w:r>
        <w:rPr>
          <w:rFonts w:ascii="Calibri"/>
          <w:b/>
          <w:spacing w:val="9"/>
          <w:sz w:val="20"/>
          <w:vertAlign w:val="baseline"/>
        </w:rPr>
        <w:t> </w:t>
      </w:r>
      <w:r>
        <w:rPr>
          <w:rFonts w:ascii="Calibri"/>
          <w:b/>
          <w:sz w:val="20"/>
          <w:vertAlign w:val="baseline"/>
        </w:rPr>
        <w:t>-</w:t>
      </w:r>
      <w:r>
        <w:rPr>
          <w:rFonts w:ascii="Calibri"/>
          <w:b/>
          <w:spacing w:val="14"/>
          <w:sz w:val="20"/>
          <w:vertAlign w:val="baseline"/>
        </w:rPr>
        <w:t> </w:t>
      </w:r>
      <w:r>
        <w:rPr>
          <w:rFonts w:ascii="Calibri"/>
          <w:b/>
          <w:sz w:val="20"/>
          <w:vertAlign w:val="baseline"/>
        </w:rPr>
        <w:t>EC</w:t>
      </w:r>
      <w:r>
        <w:rPr>
          <w:rFonts w:ascii="Calibri"/>
          <w:b/>
          <w:spacing w:val="8"/>
          <w:sz w:val="20"/>
          <w:vertAlign w:val="baseline"/>
        </w:rPr>
        <w:t> </w:t>
      </w:r>
      <w:r>
        <w:rPr>
          <w:rFonts w:ascii="Calibri"/>
          <w:b/>
          <w:sz w:val="20"/>
          <w:vertAlign w:val="baseline"/>
        </w:rPr>
        <w:t>Treaty</w:t>
      </w:r>
      <w:r>
        <w:rPr>
          <w:rFonts w:ascii="Calibri"/>
          <w:b/>
          <w:spacing w:val="11"/>
          <w:sz w:val="20"/>
          <w:vertAlign w:val="baseline"/>
        </w:rPr>
        <w:t> </w:t>
      </w:r>
      <w:r>
        <w:rPr>
          <w:rFonts w:ascii="Calibri"/>
          <w:sz w:val="20"/>
          <w:vertAlign w:val="baseline"/>
        </w:rPr>
        <w:t>(Maastricht</w:t>
      </w:r>
      <w:r>
        <w:rPr>
          <w:rFonts w:ascii="Calibri"/>
          <w:spacing w:val="9"/>
          <w:sz w:val="20"/>
          <w:vertAlign w:val="baseline"/>
        </w:rPr>
        <w:t> </w:t>
      </w:r>
      <w:r>
        <w:rPr>
          <w:rFonts w:ascii="Calibri"/>
          <w:spacing w:val="-2"/>
          <w:sz w:val="20"/>
          <w:vertAlign w:val="baseline"/>
        </w:rPr>
        <w:t>consolidated</w:t>
      </w:r>
    </w:p>
    <w:p>
      <w:pPr>
        <w:spacing w:after="0"/>
        <w:jc w:val="left"/>
        <w:rPr>
          <w:rFonts w:ascii="Calibri"/>
          <w:sz w:val="20"/>
        </w:rPr>
        <w:sectPr>
          <w:pgSz w:w="12240" w:h="15840"/>
          <w:pgMar w:header="1046" w:footer="0" w:top="1360" w:bottom="280" w:left="720" w:right="360"/>
        </w:sectPr>
      </w:pPr>
    </w:p>
    <w:p>
      <w:pPr>
        <w:pStyle w:val="BodyText"/>
        <w:spacing w:line="276" w:lineRule="auto" w:before="276"/>
        <w:ind w:right="1903"/>
      </w:pPr>
      <w:r>
        <w:rPr/>
        <w:t>Common transport policies identified in the former cannot be enacted, if the external relations in the field are not executed at the level of the Community. The statement maintained that it is a mistake to separate domestic regulations from external consequences, especially in the field of the transport, which “by its nature frequently involves an international aspect transcending the framework of the community alone.” (Case, 1971) As the procedures under the EEC treaty demanded, the uniformity of the policy arrangements cannot be abandoned; on the contrary, the AETR included provisions that were at “variance with the corresponding provisions of the regulation [543/69].” (Case, 1971)</w:t>
      </w:r>
    </w:p>
    <w:p>
      <w:pPr>
        <w:pStyle w:val="BodyText"/>
        <w:spacing w:line="276" w:lineRule="auto"/>
        <w:ind w:right="1908" w:firstLine="720"/>
      </w:pPr>
      <w:r>
        <w:rPr/>
        <w:t>The court agreed on the substance of the Commission’s arguments and made it clear that having a “legal personality” the community establishes the contractual links with the third countries over the whole field.”</w:t>
      </w:r>
      <w:r>
        <w:rPr>
          <w:spacing w:val="-2"/>
        </w:rPr>
        <w:t> </w:t>
      </w:r>
      <w:r>
        <w:rPr/>
        <w:t>This</w:t>
      </w:r>
      <w:r>
        <w:rPr>
          <w:spacing w:val="-4"/>
        </w:rPr>
        <w:t> </w:t>
      </w:r>
      <w:r>
        <w:rPr/>
        <w:t>presupposes</w:t>
      </w:r>
      <w:r>
        <w:rPr>
          <w:spacing w:val="-4"/>
        </w:rPr>
        <w:t> </w:t>
      </w:r>
      <w:r>
        <w:rPr/>
        <w:t>that</w:t>
      </w:r>
      <w:r>
        <w:rPr>
          <w:spacing w:val="-2"/>
        </w:rPr>
        <w:t> </w:t>
      </w:r>
      <w:r>
        <w:rPr/>
        <w:t>when</w:t>
      </w:r>
      <w:r>
        <w:rPr>
          <w:spacing w:val="-1"/>
        </w:rPr>
        <w:t> </w:t>
      </w:r>
      <w:r>
        <w:rPr/>
        <w:t>the</w:t>
      </w:r>
      <w:r>
        <w:rPr>
          <w:spacing w:val="-2"/>
        </w:rPr>
        <w:t> </w:t>
      </w:r>
      <w:r>
        <w:rPr/>
        <w:t>treaty</w:t>
      </w:r>
      <w:r>
        <w:rPr>
          <w:spacing w:val="-6"/>
        </w:rPr>
        <w:t> </w:t>
      </w:r>
      <w:r>
        <w:rPr/>
        <w:t>includes</w:t>
      </w:r>
      <w:r>
        <w:rPr>
          <w:spacing w:val="-4"/>
        </w:rPr>
        <w:t> </w:t>
      </w:r>
      <w:r>
        <w:rPr/>
        <w:t>the</w:t>
      </w:r>
      <w:r>
        <w:rPr>
          <w:spacing w:val="-2"/>
        </w:rPr>
        <w:t> </w:t>
      </w:r>
      <w:r>
        <w:rPr/>
        <w:t>provisions</w:t>
      </w:r>
      <w:r>
        <w:rPr>
          <w:spacing w:val="-4"/>
        </w:rPr>
        <w:t> </w:t>
      </w:r>
      <w:r>
        <w:rPr/>
        <w:t>“laying down common rules, whatever form these may take, the member states no longer have the right, acting individually or even collectively, to undertake obligations with third countries which affect those rules.” (</w:t>
      </w:r>
      <w:hyperlink w:history="true" w:anchor="_bookmark69">
        <w:r>
          <w:rPr/>
          <w:t>"AETR case the</w:t>
        </w:r>
      </w:hyperlink>
      <w:r>
        <w:rPr/>
        <w:t> </w:t>
      </w:r>
      <w:hyperlink w:history="true" w:anchor="_bookmark69">
        <w:r>
          <w:rPr/>
          <w:t>European Court of Justice," 1971</w:t>
        </w:r>
      </w:hyperlink>
      <w:r>
        <w:rPr/>
        <w:t>)</w:t>
      </w:r>
    </w:p>
    <w:p>
      <w:pPr>
        <w:pStyle w:val="BodyText"/>
        <w:spacing w:line="276" w:lineRule="auto"/>
        <w:ind w:right="1908" w:firstLine="720"/>
      </w:pPr>
      <w:r>
        <w:rPr/>
        <w:t>The judges shared the principle that was put up front by the Commission, however the demand for annulment was rejected. The reason was a technical detail connected with the stretched negotiating process of the AETR; in 1962, when talks were launched the powers of the</w:t>
      </w:r>
      <w:r>
        <w:rPr>
          <w:spacing w:val="40"/>
        </w:rPr>
        <w:t> </w:t>
      </w:r>
      <w:r>
        <w:rPr/>
        <w:t>community in the area of transport, were not determined. Later, when the second round of the negotiations took place, the Council followed the setting established in 1962. But this time, Council “no longer enjoyed complete freedom in its relations with the third countries.” The court took into consideration rights of the states to finalize the process; as the negotiations</w:t>
      </w:r>
      <w:r>
        <w:rPr>
          <w:spacing w:val="38"/>
        </w:rPr>
        <w:t> </w:t>
      </w:r>
      <w:r>
        <w:rPr/>
        <w:t>were</w:t>
      </w:r>
      <w:r>
        <w:rPr>
          <w:spacing w:val="40"/>
        </w:rPr>
        <w:t> </w:t>
      </w:r>
      <w:r>
        <w:rPr/>
        <w:t>initiated</w:t>
      </w:r>
      <w:r>
        <w:rPr>
          <w:spacing w:val="40"/>
        </w:rPr>
        <w:t> </w:t>
      </w:r>
      <w:r>
        <w:rPr/>
        <w:t>as</w:t>
      </w:r>
      <w:r>
        <w:rPr>
          <w:spacing w:val="38"/>
        </w:rPr>
        <w:t> </w:t>
      </w:r>
      <w:r>
        <w:rPr/>
        <w:t>an</w:t>
      </w:r>
      <w:r>
        <w:rPr>
          <w:spacing w:val="40"/>
        </w:rPr>
        <w:t> </w:t>
      </w:r>
      <w:r>
        <w:rPr/>
        <w:t>intergovernmental</w:t>
      </w:r>
      <w:r>
        <w:rPr>
          <w:spacing w:val="38"/>
        </w:rPr>
        <w:t> </w:t>
      </w:r>
      <w:r>
        <w:rPr/>
        <w:t>dialogue,</w:t>
      </w:r>
      <w:r>
        <w:rPr>
          <w:spacing w:val="40"/>
        </w:rPr>
        <w:t> </w:t>
      </w:r>
      <w:r>
        <w:rPr/>
        <w:t>it</w:t>
      </w:r>
      <w:r>
        <w:rPr>
          <w:spacing w:val="40"/>
        </w:rPr>
        <w:t> </w:t>
      </w:r>
      <w:r>
        <w:rPr/>
        <w:t>could</w:t>
      </w:r>
      <w:r>
        <w:rPr>
          <w:spacing w:val="40"/>
        </w:rPr>
        <w:t> </w:t>
      </w:r>
      <w:r>
        <w:rPr/>
        <w:t>be</w:t>
      </w:r>
    </w:p>
    <w:p>
      <w:pPr>
        <w:pStyle w:val="BodyText"/>
        <w:spacing w:before="103"/>
        <w:ind w:left="0"/>
        <w:jc w:val="left"/>
        <w:rPr>
          <w:sz w:val="20"/>
        </w:rPr>
      </w:pPr>
      <w:r>
        <w:rPr>
          <w:sz w:val="20"/>
        </w:rPr>
        <mc:AlternateContent>
          <mc:Choice Requires="wps">
            <w:drawing>
              <wp:anchor distT="0" distB="0" distL="0" distR="0" allowOverlap="1" layoutInCell="1" locked="0" behindDoc="1" simplePos="0" relativeHeight="487665152">
                <wp:simplePos x="0" y="0"/>
                <wp:positionH relativeFrom="page">
                  <wp:posOffset>1079296</wp:posOffset>
                </wp:positionH>
                <wp:positionV relativeFrom="paragraph">
                  <wp:posOffset>248226</wp:posOffset>
                </wp:positionV>
                <wp:extent cx="5253990" cy="9525"/>
                <wp:effectExtent l="0" t="0" r="0" b="0"/>
                <wp:wrapTopAndBottom/>
                <wp:docPr id="189" name="Graphic 189"/>
                <wp:cNvGraphicFramePr>
                  <a:graphicFrameLocks/>
                </wp:cNvGraphicFramePr>
                <a:graphic>
                  <a:graphicData uri="http://schemas.microsoft.com/office/word/2010/wordprocessingShape">
                    <wps:wsp>
                      <wps:cNvPr id="189" name="Graphic 189"/>
                      <wps:cNvSpPr/>
                      <wps:spPr>
                        <a:xfrm>
                          <a:off x="0" y="0"/>
                          <a:ext cx="5253990" cy="9525"/>
                        </a:xfrm>
                        <a:custGeom>
                          <a:avLst/>
                          <a:gdLst/>
                          <a:ahLst/>
                          <a:cxnLst/>
                          <a:rect l="l" t="t" r="r" b="b"/>
                          <a:pathLst>
                            <a:path w="5253990" h="9525">
                              <a:moveTo>
                                <a:pt x="5253863" y="0"/>
                              </a:moveTo>
                              <a:lnTo>
                                <a:pt x="0" y="0"/>
                              </a:lnTo>
                              <a:lnTo>
                                <a:pt x="0" y="9143"/>
                              </a:lnTo>
                              <a:lnTo>
                                <a:pt x="5253863" y="9143"/>
                              </a:lnTo>
                              <a:lnTo>
                                <a:pt x="525386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19.545401pt;width:413.69pt;height:.71997pt;mso-position-horizontal-relative:page;mso-position-vertical-relative:paragraph;z-index:-15651328;mso-wrap-distance-left:0;mso-wrap-distance-right:0" id="docshape176" filled="true" fillcolor="#000000" stroked="false">
                <v:fill type="solid"/>
                <w10:wrap type="topAndBottom"/>
              </v:rect>
            </w:pict>
          </mc:Fallback>
        </mc:AlternateContent>
      </w:r>
    </w:p>
    <w:p>
      <w:pPr>
        <w:spacing w:line="240" w:lineRule="auto" w:before="102"/>
        <w:ind w:left="979" w:right="1899" w:firstLine="0"/>
        <w:jc w:val="both"/>
        <w:rPr>
          <w:rFonts w:ascii="Calibri"/>
          <w:sz w:val="20"/>
        </w:rPr>
      </w:pPr>
      <w:r>
        <w:rPr>
          <w:rFonts w:ascii="Calibri"/>
          <w:sz w:val="20"/>
        </w:rPr>
        <w:t>version) - Article 75 - EEC Treaty. </w:t>
      </w:r>
      <w:r>
        <w:rPr>
          <w:rFonts w:ascii="Calibri"/>
          <w:b/>
          <w:sz w:val="20"/>
        </w:rPr>
        <w:t>Article 228 - </w:t>
      </w:r>
      <w:r>
        <w:rPr>
          <w:rFonts w:ascii="Calibri"/>
          <w:sz w:val="20"/>
        </w:rPr>
        <w:t>Treaty establishing the European Community (Amsterdam consolidated version) - Part Five: Institutions of the Community - Title I: Provisions governing the institutions - Chapter 1: The institutions - Section 4: The Court of Justice - Article 228 - Article 171 - EC Treaty (Maastricht consolidated version) - Article 171 - EEC Treaty</w:t>
      </w:r>
    </w:p>
    <w:p>
      <w:pPr>
        <w:spacing w:after="0" w:line="240" w:lineRule="auto"/>
        <w:jc w:val="both"/>
        <w:rPr>
          <w:rFonts w:ascii="Calibri"/>
          <w:sz w:val="20"/>
        </w:rPr>
        <w:sectPr>
          <w:pgSz w:w="12240" w:h="15840"/>
          <w:pgMar w:header="1046" w:footer="0" w:top="1360" w:bottom="280" w:left="720" w:right="360"/>
        </w:sectPr>
      </w:pPr>
    </w:p>
    <w:p>
      <w:pPr>
        <w:pStyle w:val="BodyText"/>
        <w:spacing w:line="276" w:lineRule="auto" w:before="276"/>
        <w:ind w:right="1920"/>
      </w:pPr>
      <w:r>
        <w:rPr/>
        <w:t>concluded as such. Therefore, the court has decided that the Council did</w:t>
      </w:r>
      <w:r>
        <w:rPr>
          <w:spacing w:val="40"/>
        </w:rPr>
        <w:t> </w:t>
      </w:r>
      <w:r>
        <w:rPr/>
        <w:t>not infringe the Community law by executing the request of the member </w:t>
      </w:r>
      <w:r>
        <w:rPr>
          <w:spacing w:val="-2"/>
        </w:rPr>
        <w:t>states.</w:t>
      </w:r>
    </w:p>
    <w:p>
      <w:pPr>
        <w:pStyle w:val="BodyText"/>
        <w:spacing w:line="276" w:lineRule="auto"/>
        <w:ind w:right="1902" w:firstLine="720"/>
      </w:pPr>
      <w:r>
        <w:rPr/>
        <w:t>The reviewed cases have shown that the legal system managed to overcome political obstacles to generate the benchmark decisions. Nevertheless, the absence of the uniform scholarly opinion about a stature of the ECJ in general European setting, bring to two main questions:</w:t>
      </w:r>
      <w:r>
        <w:rPr>
          <w:spacing w:val="40"/>
        </w:rPr>
        <w:t> </w:t>
      </w:r>
      <w:r>
        <w:rPr/>
        <w:t>1) what are decisive factors, which determine directions of the Court rulings? Some studies suggest that the court has as much power, as granted by the member states. According to them, the ECJ helps to reduce the</w:t>
      </w:r>
      <w:r>
        <w:rPr>
          <w:spacing w:val="40"/>
        </w:rPr>
        <w:t> </w:t>
      </w:r>
      <w:r>
        <w:rPr/>
        <w:t>uncertainties that arise during conflicts and produces the focal points “around</w:t>
      </w:r>
      <w:r>
        <w:rPr>
          <w:spacing w:val="-1"/>
        </w:rPr>
        <w:t> </w:t>
      </w:r>
      <w:r>
        <w:rPr/>
        <w:t>which</w:t>
      </w:r>
      <w:r>
        <w:rPr>
          <w:spacing w:val="-3"/>
        </w:rPr>
        <w:t> </w:t>
      </w:r>
      <w:r>
        <w:rPr/>
        <w:t>the</w:t>
      </w:r>
      <w:r>
        <w:rPr>
          <w:spacing w:val="-3"/>
        </w:rPr>
        <w:t> </w:t>
      </w:r>
      <w:r>
        <w:rPr/>
        <w:t>EC</w:t>
      </w:r>
      <w:r>
        <w:rPr>
          <w:spacing w:val="-8"/>
        </w:rPr>
        <w:t> </w:t>
      </w:r>
      <w:r>
        <w:rPr/>
        <w:t>members</w:t>
      </w:r>
      <w:r>
        <w:rPr>
          <w:spacing w:val="-5"/>
        </w:rPr>
        <w:t> </w:t>
      </w:r>
      <w:r>
        <w:rPr/>
        <w:t>could</w:t>
      </w:r>
      <w:r>
        <w:rPr>
          <w:spacing w:val="-1"/>
        </w:rPr>
        <w:t> </w:t>
      </w:r>
      <w:r>
        <w:rPr/>
        <w:t>coordinate</w:t>
      </w:r>
      <w:r>
        <w:rPr>
          <w:spacing w:val="-3"/>
        </w:rPr>
        <w:t> </w:t>
      </w:r>
      <w:r>
        <w:rPr/>
        <w:t>the</w:t>
      </w:r>
      <w:r>
        <w:rPr>
          <w:spacing w:val="-3"/>
        </w:rPr>
        <w:t> </w:t>
      </w:r>
      <w:r>
        <w:rPr/>
        <w:t>bargaining.”</w:t>
      </w:r>
      <w:r>
        <w:rPr>
          <w:spacing w:val="-3"/>
        </w:rPr>
        <w:t> </w:t>
      </w:r>
      <w:r>
        <w:rPr/>
        <w:t>The focal points are important, however, the authors argue that ultimately, their absence does not change the outcomes. (</w:t>
      </w:r>
      <w:hyperlink w:history="true" w:anchor="_bookmark192">
        <w:r>
          <w:rPr/>
          <w:t>Garrett &amp; Weingast, 1993, pp. 189-</w:t>
        </w:r>
      </w:hyperlink>
      <w:r>
        <w:rPr/>
        <w:t> </w:t>
      </w:r>
      <w:hyperlink w:history="true" w:anchor="_bookmark192">
        <w:r>
          <w:rPr/>
          <w:t>190</w:t>
        </w:r>
      </w:hyperlink>
      <w:r>
        <w:rPr/>
        <w:t>) This argument is close to the initial intents of the founding six. They wanted to build a legal system that would not compromise their political authority. ECJ was created to check the authority of the Commission and the Council of Ministers, to explain some unclear aspects of the EC laws through the dispute resolution, and “deciding on charges of noncompliance raised by</w:t>
      </w:r>
      <w:r>
        <w:rPr>
          <w:spacing w:val="-2"/>
        </w:rPr>
        <w:t> </w:t>
      </w:r>
      <w:r>
        <w:rPr/>
        <w:t>the</w:t>
      </w:r>
      <w:r>
        <w:rPr>
          <w:spacing w:val="-2"/>
        </w:rPr>
        <w:t> </w:t>
      </w:r>
      <w:r>
        <w:rPr/>
        <w:t>Commission</w:t>
      </w:r>
      <w:r>
        <w:rPr>
          <w:spacing w:val="-1"/>
        </w:rPr>
        <w:t> </w:t>
      </w:r>
      <w:r>
        <w:rPr/>
        <w:t>or</w:t>
      </w:r>
      <w:r>
        <w:rPr>
          <w:spacing w:val="-1"/>
        </w:rPr>
        <w:t> </w:t>
      </w:r>
      <w:r>
        <w:rPr/>
        <w:t>by</w:t>
      </w:r>
      <w:r>
        <w:rPr>
          <w:spacing w:val="-2"/>
        </w:rPr>
        <w:t> </w:t>
      </w:r>
      <w:r>
        <w:rPr/>
        <w:t>member</w:t>
      </w:r>
      <w:r>
        <w:rPr>
          <w:spacing w:val="-1"/>
        </w:rPr>
        <w:t> </w:t>
      </w:r>
      <w:r>
        <w:rPr/>
        <w:t>states.”</w:t>
      </w:r>
      <w:r>
        <w:rPr>
          <w:spacing w:val="-1"/>
        </w:rPr>
        <w:t> </w:t>
      </w:r>
      <w:r>
        <w:rPr/>
        <w:t>(Alter,</w:t>
      </w:r>
      <w:r>
        <w:rPr>
          <w:spacing w:val="-1"/>
        </w:rPr>
        <w:t> </w:t>
      </w:r>
      <w:r>
        <w:rPr/>
        <w:t>1998,</w:t>
      </w:r>
      <w:r>
        <w:rPr>
          <w:spacing w:val="-1"/>
        </w:rPr>
        <w:t> </w:t>
      </w:r>
      <w:r>
        <w:rPr/>
        <w:t>p.</w:t>
      </w:r>
      <w:r>
        <w:rPr>
          <w:spacing w:val="-4"/>
        </w:rPr>
        <w:t> </w:t>
      </w:r>
      <w:r>
        <w:rPr/>
        <w:t>122)</w:t>
      </w:r>
      <w:r>
        <w:rPr>
          <w:spacing w:val="40"/>
        </w:rPr>
        <w:t> </w:t>
      </w:r>
      <w:r>
        <w:rPr/>
        <w:t>As</w:t>
      </w:r>
      <w:r>
        <w:rPr>
          <w:spacing w:val="-3"/>
        </w:rPr>
        <w:t> </w:t>
      </w:r>
      <w:r>
        <w:rPr/>
        <w:t>we have seen from the reviewed cases, limited competences of the Court did not last long. The structure of the first communities, with fluid decision making bodies, has created a ‘power vacuum’ into which the Commission and the ECJ moved with combined forces to “overcome frequent decision making deadlocks.” (</w:t>
      </w:r>
      <w:hyperlink w:history="true" w:anchor="_bookmark215">
        <w:r>
          <w:rPr/>
          <w:t>Heritier, 2000, p. 3</w:t>
        </w:r>
      </w:hyperlink>
      <w:r>
        <w:rPr/>
        <w:t>) As a result, the ECJ has escaped from the control of politicians who did not support the transformation of the EU legal system. (Alter, 1998, p. 128) The evidence suggests that, while deciding the politically sensitive issues the ECJ has rarely followed the interests of the governments. In addition, the Court together with the Commission often generated the ‘unintended consequences’ that conflict with the preferences of the powerful member states. (</w:t>
      </w:r>
      <w:hyperlink w:history="true" w:anchor="_bookmark403">
        <w:r>
          <w:rPr/>
          <w:t>Stone Sweet, 1999,</w:t>
        </w:r>
      </w:hyperlink>
      <w:r>
        <w:rPr>
          <w:spacing w:val="80"/>
        </w:rPr>
        <w:t> </w:t>
      </w:r>
      <w:hyperlink w:history="true" w:anchor="_bookmark403">
        <w:r>
          <w:rPr/>
          <w:t>pp. 20-21</w:t>
        </w:r>
      </w:hyperlink>
      <w:r>
        <w:rPr/>
        <w:t>)</w:t>
      </w:r>
    </w:p>
    <w:p>
      <w:pPr>
        <w:pStyle w:val="BodyText"/>
        <w:spacing w:after="0" w:line="276" w:lineRule="auto"/>
        <w:sectPr>
          <w:pgSz w:w="12240" w:h="15840"/>
          <w:pgMar w:header="1046" w:footer="0" w:top="1360" w:bottom="280" w:left="720" w:right="360"/>
        </w:sectPr>
      </w:pPr>
    </w:p>
    <w:p>
      <w:pPr>
        <w:pStyle w:val="BodyText"/>
        <w:spacing w:line="276" w:lineRule="auto" w:before="276"/>
        <w:ind w:right="1907" w:firstLine="720"/>
      </w:pPr>
      <w:r>
        <w:rPr/>
        <w:t>Those</w:t>
      </w:r>
      <w:r>
        <w:rPr>
          <w:spacing w:val="-3"/>
        </w:rPr>
        <w:t> </w:t>
      </w:r>
      <w:r>
        <w:rPr/>
        <w:t>scholars</w:t>
      </w:r>
      <w:r>
        <w:rPr>
          <w:spacing w:val="-5"/>
        </w:rPr>
        <w:t> </w:t>
      </w:r>
      <w:r>
        <w:rPr/>
        <w:t>who</w:t>
      </w:r>
      <w:r>
        <w:rPr>
          <w:spacing w:val="-5"/>
        </w:rPr>
        <w:t> </w:t>
      </w:r>
      <w:r>
        <w:rPr/>
        <w:t>accept self-referential</w:t>
      </w:r>
      <w:r>
        <w:rPr>
          <w:spacing w:val="-5"/>
        </w:rPr>
        <w:t> </w:t>
      </w:r>
      <w:r>
        <w:rPr/>
        <w:t>role</w:t>
      </w:r>
      <w:r>
        <w:rPr>
          <w:spacing w:val="-3"/>
        </w:rPr>
        <w:t> </w:t>
      </w:r>
      <w:r>
        <w:rPr/>
        <w:t>of</w:t>
      </w:r>
      <w:r>
        <w:rPr>
          <w:spacing w:val="-4"/>
        </w:rPr>
        <w:t> </w:t>
      </w:r>
      <w:r>
        <w:rPr/>
        <w:t>the</w:t>
      </w:r>
      <w:r>
        <w:rPr>
          <w:spacing w:val="-3"/>
        </w:rPr>
        <w:t> </w:t>
      </w:r>
      <w:r>
        <w:rPr/>
        <w:t>legal</w:t>
      </w:r>
      <w:r>
        <w:rPr>
          <w:spacing w:val="-1"/>
        </w:rPr>
        <w:t> </w:t>
      </w:r>
      <w:r>
        <w:rPr/>
        <w:t>system ask the second question: 2) If they cannot control the outcomes, what are the reasons for which the states agree to pool their powers into the legal</w:t>
      </w:r>
      <w:r>
        <w:rPr>
          <w:spacing w:val="40"/>
        </w:rPr>
        <w:t> </w:t>
      </w:r>
      <w:r>
        <w:rPr/>
        <w:t>system? The answer to this question largely defines the nature of the structural coupling between legal and political systems.</w:t>
      </w:r>
    </w:p>
    <w:p>
      <w:pPr>
        <w:pStyle w:val="BodyText"/>
        <w:spacing w:line="276" w:lineRule="auto"/>
        <w:ind w:right="1910" w:firstLine="720"/>
      </w:pPr>
      <w:r>
        <w:rPr/>
        <w:t>At the beginning of the European Integration, there were two separate legal systems. Community system was not closely linked to</w:t>
      </w:r>
      <w:r>
        <w:rPr>
          <w:spacing w:val="40"/>
        </w:rPr>
        <w:t> </w:t>
      </w:r>
      <w:r>
        <w:rPr/>
        <w:t>national courts; therefore, political actors had to interact with both in a different manner. However, as the legal integration in EEC moved fast, ECJ became closely connected with the national Courts.</w:t>
      </w:r>
    </w:p>
    <w:p>
      <w:pPr>
        <w:pStyle w:val="BodyText"/>
        <w:spacing w:line="273" w:lineRule="auto"/>
        <w:ind w:right="1908" w:firstLine="787"/>
      </w:pPr>
      <w:r>
        <w:rPr/>
        <w:t>ECJ – NCs – by attaching the legal identity to the ECJ, the Community legal system became superimposed on the national legal systems. Thereafter, while talking about the Community’s legal setting, we have to have in mind the organization, functioning of which greatly depends on the input that the national Courts provide. The relations between</w:t>
      </w:r>
      <w:r>
        <w:rPr>
          <w:spacing w:val="-8"/>
        </w:rPr>
        <w:t> </w:t>
      </w:r>
      <w:r>
        <w:rPr/>
        <w:t>the</w:t>
      </w:r>
      <w:r>
        <w:rPr>
          <w:spacing w:val="-13"/>
        </w:rPr>
        <w:t> </w:t>
      </w:r>
      <w:r>
        <w:rPr/>
        <w:t>ECJ</w:t>
      </w:r>
      <w:r>
        <w:rPr>
          <w:spacing w:val="-11"/>
        </w:rPr>
        <w:t> </w:t>
      </w:r>
      <w:r>
        <w:rPr/>
        <w:t>and</w:t>
      </w:r>
      <w:r>
        <w:rPr>
          <w:spacing w:val="-12"/>
        </w:rPr>
        <w:t> </w:t>
      </w:r>
      <w:r>
        <w:rPr/>
        <w:t>NCs</w:t>
      </w:r>
      <w:r>
        <w:rPr>
          <w:spacing w:val="-11"/>
        </w:rPr>
        <w:t> </w:t>
      </w:r>
      <w:r>
        <w:rPr/>
        <w:t>are</w:t>
      </w:r>
      <w:r>
        <w:rPr>
          <w:spacing w:val="-9"/>
        </w:rPr>
        <w:t> </w:t>
      </w:r>
      <w:r>
        <w:rPr/>
        <w:t>reciprocal.</w:t>
      </w:r>
      <w:r>
        <w:rPr>
          <w:spacing w:val="-1"/>
        </w:rPr>
        <w:t> </w:t>
      </w:r>
      <w:r>
        <w:rPr>
          <w:sz w:val="27"/>
        </w:rPr>
        <w:t>Mattli</w:t>
      </w:r>
      <w:r>
        <w:rPr>
          <w:spacing w:val="-13"/>
          <w:sz w:val="27"/>
        </w:rPr>
        <w:t> </w:t>
      </w:r>
      <w:r>
        <w:rPr/>
        <w:t>and</w:t>
      </w:r>
      <w:r>
        <w:rPr>
          <w:spacing w:val="-7"/>
        </w:rPr>
        <w:t> </w:t>
      </w:r>
      <w:r>
        <w:rPr>
          <w:sz w:val="27"/>
        </w:rPr>
        <w:t>Slaughter</w:t>
      </w:r>
      <w:r>
        <w:rPr>
          <w:spacing w:val="-10"/>
          <w:sz w:val="27"/>
        </w:rPr>
        <w:t> </w:t>
      </w:r>
      <w:r>
        <w:rPr/>
        <w:t>identify</w:t>
      </w:r>
      <w:r>
        <w:rPr>
          <w:spacing w:val="-9"/>
        </w:rPr>
        <w:t> </w:t>
      </w:r>
      <w:r>
        <w:rPr/>
        <w:t>three powers</w:t>
      </w:r>
      <w:r>
        <w:rPr>
          <w:spacing w:val="-1"/>
        </w:rPr>
        <w:t> </w:t>
      </w:r>
      <w:r>
        <w:rPr/>
        <w:t>NCs</w:t>
      </w:r>
      <w:r>
        <w:rPr>
          <w:spacing w:val="-1"/>
        </w:rPr>
        <w:t> </w:t>
      </w:r>
      <w:r>
        <w:rPr/>
        <w:t>can expect to</w:t>
      </w:r>
      <w:r>
        <w:rPr>
          <w:spacing w:val="-2"/>
        </w:rPr>
        <w:t> </w:t>
      </w:r>
      <w:r>
        <w:rPr/>
        <w:t>receive from</w:t>
      </w:r>
      <w:r>
        <w:rPr>
          <w:spacing w:val="-1"/>
        </w:rPr>
        <w:t> </w:t>
      </w:r>
      <w:r>
        <w:rPr/>
        <w:t>the ECJ: a) power of judicial</w:t>
      </w:r>
      <w:r>
        <w:rPr>
          <w:spacing w:val="-2"/>
        </w:rPr>
        <w:t> </w:t>
      </w:r>
      <w:r>
        <w:rPr/>
        <w:t>review,</w:t>
      </w:r>
    </w:p>
    <w:p>
      <w:pPr>
        <w:pStyle w:val="BodyText"/>
        <w:spacing w:line="276" w:lineRule="auto" w:before="8"/>
        <w:ind w:right="1902"/>
      </w:pPr>
      <w:r>
        <w:rPr/>
        <w:t>b) institutional power and prestige, c) power to promote certain policies (</w:t>
      </w:r>
      <w:hyperlink w:history="true" w:anchor="_bookmark282">
        <w:r>
          <w:rPr/>
          <w:t>Mattli &amp; Slaughter, 1998, p. 190</w:t>
        </w:r>
      </w:hyperlink>
      <w:r>
        <w:rPr/>
        <w:t>) The ‘direct effect’ and ‘supremacy principles’ greatly empowered those courts, which did not have authority for the judicial review. Using the community legal system the NCs could go against the national legislature. In the systems where the constitutional courts practiced judicial review, the lower courts acquired capacity to have their word in making the law. We have seen it in Costa v ENEL case; even</w:t>
      </w:r>
      <w:r>
        <w:rPr>
          <w:spacing w:val="40"/>
        </w:rPr>
        <w:t> </w:t>
      </w:r>
      <w:r>
        <w:rPr/>
        <w:t>if</w:t>
      </w:r>
      <w:r>
        <w:rPr>
          <w:spacing w:val="-2"/>
        </w:rPr>
        <w:t> </w:t>
      </w:r>
      <w:r>
        <w:rPr/>
        <w:t>the</w:t>
      </w:r>
      <w:r>
        <w:rPr>
          <w:spacing w:val="-1"/>
        </w:rPr>
        <w:t> </w:t>
      </w:r>
      <w:r>
        <w:rPr/>
        <w:t>Italian constitutional court</w:t>
      </w:r>
      <w:r>
        <w:rPr>
          <w:spacing w:val="-1"/>
        </w:rPr>
        <w:t> </w:t>
      </w:r>
      <w:r>
        <w:rPr/>
        <w:t>did not see the</w:t>
      </w:r>
      <w:r>
        <w:rPr>
          <w:spacing w:val="-1"/>
        </w:rPr>
        <w:t> </w:t>
      </w:r>
      <w:r>
        <w:rPr/>
        <w:t>reasons</w:t>
      </w:r>
      <w:r>
        <w:rPr>
          <w:spacing w:val="-3"/>
        </w:rPr>
        <w:t> </w:t>
      </w:r>
      <w:r>
        <w:rPr/>
        <w:t>for the</w:t>
      </w:r>
      <w:r>
        <w:rPr>
          <w:spacing w:val="-1"/>
        </w:rPr>
        <w:t> </w:t>
      </w:r>
      <w:r>
        <w:rPr/>
        <w:t>preliminary reference, the </w:t>
      </w:r>
      <w:r>
        <w:rPr>
          <w:sz w:val="27"/>
        </w:rPr>
        <w:t>Peace of Milan Justice </w:t>
      </w:r>
      <w:r>
        <w:rPr/>
        <w:t>took the case straight to the ECJ. The Constitutional Court felt that its “prerogative of exclusive constitutional review was in jeopardy,” but after seeing that other European courts accepted EEC legal norms, the judges decided to play along. (</w:t>
      </w:r>
      <w:hyperlink w:history="true" w:anchor="_bookmark282">
        <w:r>
          <w:rPr/>
          <w:t>Mattli &amp;</w:t>
        </w:r>
      </w:hyperlink>
      <w:r>
        <w:rPr/>
        <w:t> </w:t>
      </w:r>
      <w:hyperlink w:history="true" w:anchor="_bookmark282">
        <w:r>
          <w:rPr/>
          <w:t>Slaughter, 1998</w:t>
        </w:r>
      </w:hyperlink>
      <w:r>
        <w:rPr/>
        <w:t>)</w:t>
      </w:r>
    </w:p>
    <w:p>
      <w:pPr>
        <w:pStyle w:val="BodyText"/>
        <w:spacing w:line="276" w:lineRule="auto"/>
        <w:ind w:right="1908" w:firstLine="720"/>
      </w:pPr>
      <w:r>
        <w:rPr/>
        <w:t>With a right to use the community law, the NCs can affect the policies</w:t>
      </w:r>
      <w:r>
        <w:rPr>
          <w:spacing w:val="33"/>
        </w:rPr>
        <w:t> </w:t>
      </w:r>
      <w:r>
        <w:rPr/>
        <w:t>of</w:t>
      </w:r>
      <w:r>
        <w:rPr>
          <w:spacing w:val="35"/>
        </w:rPr>
        <w:t> </w:t>
      </w:r>
      <w:r>
        <w:rPr/>
        <w:t>the</w:t>
      </w:r>
      <w:r>
        <w:rPr>
          <w:spacing w:val="35"/>
        </w:rPr>
        <w:t> </w:t>
      </w:r>
      <w:r>
        <w:rPr/>
        <w:t>national</w:t>
      </w:r>
      <w:r>
        <w:rPr>
          <w:spacing w:val="34"/>
        </w:rPr>
        <w:t> </w:t>
      </w:r>
      <w:r>
        <w:rPr/>
        <w:t>governments.</w:t>
      </w:r>
      <w:r>
        <w:rPr>
          <w:spacing w:val="44"/>
        </w:rPr>
        <w:t> </w:t>
      </w:r>
      <w:r>
        <w:rPr/>
        <w:t>The</w:t>
      </w:r>
      <w:r>
        <w:rPr>
          <w:spacing w:val="27"/>
        </w:rPr>
        <w:t> </w:t>
      </w:r>
      <w:r>
        <w:rPr/>
        <w:t>states</w:t>
      </w:r>
      <w:r>
        <w:rPr>
          <w:spacing w:val="34"/>
        </w:rPr>
        <w:t> </w:t>
      </w:r>
      <w:r>
        <w:rPr/>
        <w:t>cannot</w:t>
      </w:r>
      <w:r>
        <w:rPr>
          <w:spacing w:val="35"/>
        </w:rPr>
        <w:t> </w:t>
      </w:r>
      <w:r>
        <w:rPr/>
        <w:t>avoid</w:t>
      </w:r>
      <w:r>
        <w:rPr>
          <w:spacing w:val="42"/>
        </w:rPr>
        <w:t> </w:t>
      </w:r>
      <w:r>
        <w:rPr>
          <w:spacing w:val="-2"/>
        </w:rPr>
        <w:t>obligations</w:t>
      </w:r>
    </w:p>
    <w:p>
      <w:pPr>
        <w:pStyle w:val="BodyText"/>
        <w:spacing w:after="0" w:line="276" w:lineRule="auto"/>
        <w:sectPr>
          <w:pgSz w:w="12240" w:h="15840"/>
          <w:pgMar w:header="1046" w:footer="0" w:top="1360" w:bottom="280" w:left="720" w:right="360"/>
        </w:sectPr>
      </w:pPr>
    </w:p>
    <w:p>
      <w:pPr>
        <w:pStyle w:val="BodyText"/>
        <w:spacing w:line="276" w:lineRule="auto" w:before="276"/>
        <w:ind w:right="1908"/>
      </w:pPr>
      <w:r>
        <w:rPr/>
        <w:t>they have, by interpreting ‘their way out’ from treaty provisions, (</w:t>
      </w:r>
      <w:hyperlink w:history="true" w:anchor="_bookmark75">
        <w:r>
          <w:rPr/>
          <w:t>Alter,</w:t>
        </w:r>
      </w:hyperlink>
      <w:r>
        <w:rPr/>
        <w:t> </w:t>
      </w:r>
      <w:hyperlink w:history="true" w:anchor="_bookmark75">
        <w:r>
          <w:rPr/>
          <w:t>1999</w:t>
        </w:r>
      </w:hyperlink>
      <w:r>
        <w:rPr/>
        <w:t>) because the national courts do not hesitate to ask the ECJ for a guidance. By domesticizing the EU legal system, the NCs have acquired the institutional immunity that is very hard for any government to undermine.</w:t>
      </w:r>
    </w:p>
    <w:p>
      <w:pPr>
        <w:pStyle w:val="BodyText"/>
        <w:spacing w:line="276" w:lineRule="auto"/>
        <w:ind w:right="1907" w:firstLine="720"/>
      </w:pPr>
      <w:r>
        <w:rPr/>
        <w:t>On its side the ECJ has to be committed to own principles; any sign</w:t>
      </w:r>
      <w:r>
        <w:rPr>
          <w:spacing w:val="40"/>
        </w:rPr>
        <w:t> </w:t>
      </w:r>
      <w:r>
        <w:rPr/>
        <w:t>of stepping back in favor of the external actors could be precedential and might harm the credibility of the community legal system. This is true, especially if we consider the ‘intercourt competition’ that exists in Europe. Those courts that do not share values of the ECJ, are against community policies and/or are strong enough without the community assistance can indeed threaten the position of the EU legal system. (</w:t>
      </w:r>
      <w:hyperlink w:history="true" w:anchor="_bookmark282">
        <w:r>
          <w:rPr/>
          <w:t>Mattli &amp; Slaughter,</w:t>
        </w:r>
      </w:hyperlink>
      <w:r>
        <w:rPr/>
        <w:t> </w:t>
      </w:r>
      <w:hyperlink w:history="true" w:anchor="_bookmark282">
        <w:r>
          <w:rPr>
            <w:spacing w:val="-2"/>
          </w:rPr>
          <w:t>1998</w:t>
        </w:r>
      </w:hyperlink>
      <w:r>
        <w:rPr>
          <w:spacing w:val="-2"/>
        </w:rPr>
        <w:t>)</w:t>
      </w:r>
    </w:p>
    <w:p>
      <w:pPr>
        <w:spacing w:line="271" w:lineRule="auto" w:before="0"/>
        <w:ind w:left="979" w:right="1919" w:firstLine="720"/>
        <w:jc w:val="both"/>
        <w:rPr>
          <w:sz w:val="26"/>
        </w:rPr>
      </w:pPr>
      <w:r>
        <w:rPr>
          <w:sz w:val="26"/>
        </w:rPr>
        <w:t>Now, as we have indicated that a main tool for the European legal system to affect the member states is NCs, we can get back to the question. </w:t>
      </w:r>
      <w:r>
        <w:rPr>
          <w:sz w:val="27"/>
        </w:rPr>
        <w:t>Why</w:t>
      </w:r>
      <w:r>
        <w:rPr>
          <w:spacing w:val="-9"/>
          <w:sz w:val="27"/>
        </w:rPr>
        <w:t> </w:t>
      </w:r>
      <w:r>
        <w:rPr>
          <w:sz w:val="27"/>
        </w:rPr>
        <w:t>the</w:t>
      </w:r>
      <w:r>
        <w:rPr>
          <w:spacing w:val="-8"/>
          <w:sz w:val="27"/>
        </w:rPr>
        <w:t> </w:t>
      </w:r>
      <w:r>
        <w:rPr>
          <w:sz w:val="27"/>
        </w:rPr>
        <w:t>states</w:t>
      </w:r>
      <w:r>
        <w:rPr>
          <w:spacing w:val="-11"/>
          <w:sz w:val="27"/>
        </w:rPr>
        <w:t> </w:t>
      </w:r>
      <w:r>
        <w:rPr>
          <w:sz w:val="27"/>
        </w:rPr>
        <w:t>allow</w:t>
      </w:r>
      <w:r>
        <w:rPr>
          <w:spacing w:val="-8"/>
          <w:sz w:val="27"/>
        </w:rPr>
        <w:t> </w:t>
      </w:r>
      <w:r>
        <w:rPr>
          <w:sz w:val="27"/>
        </w:rPr>
        <w:t>empowerment</w:t>
      </w:r>
      <w:r>
        <w:rPr>
          <w:spacing w:val="-9"/>
          <w:sz w:val="27"/>
        </w:rPr>
        <w:t> </w:t>
      </w:r>
      <w:r>
        <w:rPr>
          <w:sz w:val="27"/>
        </w:rPr>
        <w:t>of</w:t>
      </w:r>
      <w:r>
        <w:rPr>
          <w:spacing w:val="-10"/>
          <w:sz w:val="27"/>
        </w:rPr>
        <w:t> </w:t>
      </w:r>
      <w:r>
        <w:rPr>
          <w:sz w:val="27"/>
        </w:rPr>
        <w:t>the</w:t>
      </w:r>
      <w:r>
        <w:rPr>
          <w:spacing w:val="-12"/>
          <w:sz w:val="27"/>
        </w:rPr>
        <w:t> </w:t>
      </w:r>
      <w:r>
        <w:rPr>
          <w:sz w:val="27"/>
        </w:rPr>
        <w:t>ECJ</w:t>
      </w:r>
      <w:r>
        <w:rPr>
          <w:sz w:val="26"/>
        </w:rPr>
        <w:t>?</w:t>
      </w:r>
    </w:p>
    <w:p>
      <w:pPr>
        <w:pStyle w:val="BodyText"/>
        <w:spacing w:line="273" w:lineRule="auto" w:before="5"/>
        <w:ind w:right="1903" w:firstLine="720"/>
      </w:pPr>
      <w:r>
        <w:rPr/>
        <w:t>Firstly, we need to point out that the legal system got a boost largely due to political problems the community had. The historical evidence suggests that political and legal domains were “entirely self-referential and self-contained,” but “The integrating federal legal development was a response and reaction to disintegrating confederal political development.” (</w:t>
      </w:r>
      <w:hyperlink w:history="true" w:anchor="_bookmark425">
        <w:r>
          <w:rPr/>
          <w:t>Weiler,</w:t>
        </w:r>
        <w:r>
          <w:rPr>
            <w:spacing w:val="-3"/>
          </w:rPr>
          <w:t> </w:t>
        </w:r>
        <w:r>
          <w:rPr/>
          <w:t>1991,</w:t>
        </w:r>
        <w:r>
          <w:rPr>
            <w:spacing w:val="-3"/>
          </w:rPr>
          <w:t> </w:t>
        </w:r>
        <w:r>
          <w:rPr/>
          <w:t>pp.</w:t>
        </w:r>
        <w:r>
          <w:rPr>
            <w:spacing w:val="-3"/>
          </w:rPr>
          <w:t> </w:t>
        </w:r>
        <w:r>
          <w:rPr/>
          <w:t>2424-2425</w:t>
        </w:r>
      </w:hyperlink>
      <w:r>
        <w:rPr/>
        <w:t>)</w:t>
      </w:r>
      <w:r>
        <w:rPr>
          <w:spacing w:val="-3"/>
        </w:rPr>
        <w:t> </w:t>
      </w:r>
      <w:r>
        <w:rPr/>
        <w:t>After</w:t>
      </w:r>
      <w:r>
        <w:rPr>
          <w:spacing w:val="-3"/>
        </w:rPr>
        <w:t> </w:t>
      </w:r>
      <w:r>
        <w:rPr/>
        <w:t>the</w:t>
      </w:r>
      <w:r>
        <w:rPr>
          <w:spacing w:val="-4"/>
        </w:rPr>
        <w:t> </w:t>
      </w:r>
      <w:r>
        <w:rPr/>
        <w:t>event-cases</w:t>
      </w:r>
      <w:r>
        <w:rPr>
          <w:spacing w:val="-6"/>
        </w:rPr>
        <w:t> </w:t>
      </w:r>
      <w:r>
        <w:rPr/>
        <w:t>like</w:t>
      </w:r>
      <w:r>
        <w:rPr>
          <w:spacing w:val="-2"/>
        </w:rPr>
        <w:t> </w:t>
      </w:r>
      <w:r>
        <w:rPr>
          <w:sz w:val="27"/>
        </w:rPr>
        <w:t>Van</w:t>
      </w:r>
      <w:r>
        <w:rPr>
          <w:spacing w:val="-5"/>
          <w:sz w:val="27"/>
        </w:rPr>
        <w:t> </w:t>
      </w:r>
      <w:r>
        <w:rPr>
          <w:sz w:val="27"/>
        </w:rPr>
        <w:t>Gend</w:t>
      </w:r>
      <w:r>
        <w:rPr>
          <w:spacing w:val="-5"/>
          <w:sz w:val="27"/>
        </w:rPr>
        <w:t> </w:t>
      </w:r>
      <w:r>
        <w:rPr>
          <w:sz w:val="27"/>
        </w:rPr>
        <w:t>en</w:t>
      </w:r>
      <w:r>
        <w:rPr>
          <w:spacing w:val="-10"/>
          <w:sz w:val="27"/>
        </w:rPr>
        <w:t> </w:t>
      </w:r>
      <w:r>
        <w:rPr>
          <w:sz w:val="27"/>
        </w:rPr>
        <w:t>Loos</w:t>
      </w:r>
      <w:r>
        <w:rPr/>
        <w:t>, </w:t>
      </w:r>
      <w:r>
        <w:rPr>
          <w:sz w:val="27"/>
        </w:rPr>
        <w:t>Costa v ENEL </w:t>
      </w:r>
      <w:r>
        <w:rPr/>
        <w:t>were concluded and supported by the Commission, the intergovernmental part of the political system became locked-in within the advanced legal framework. </w:t>
      </w:r>
      <w:r>
        <w:rPr>
          <w:sz w:val="27"/>
        </w:rPr>
        <w:t>Weiler </w:t>
      </w:r>
      <w:r>
        <w:rPr/>
        <w:t>rightly observed that the biggest leap forward in legal integration happened when states struggled to overcome each other’s veto rights on political matters. Even after the political and economic integration was re-launched, it has been practically impossible to put strong limitations on the ECJ.</w:t>
      </w:r>
    </w:p>
    <w:p>
      <w:pPr>
        <w:pStyle w:val="BodyText"/>
        <w:spacing w:line="273" w:lineRule="auto"/>
        <w:ind w:right="1917" w:firstLine="720"/>
      </w:pPr>
      <w:r>
        <w:rPr>
          <w:sz w:val="27"/>
        </w:rPr>
        <w:t>Karen Alter </w:t>
      </w:r>
      <w:r>
        <w:rPr/>
        <w:t>has identified three component arguments to explain how the ECJ escaped the member state control: 1) the author argues that judges and politicians have different career span and this “translates into different</w:t>
      </w:r>
      <w:r>
        <w:rPr>
          <w:spacing w:val="-5"/>
        </w:rPr>
        <w:t> </w:t>
      </w:r>
      <w:r>
        <w:rPr/>
        <w:t>preferences,”</w:t>
      </w:r>
      <w:r>
        <w:rPr>
          <w:spacing w:val="-5"/>
        </w:rPr>
        <w:t> </w:t>
      </w:r>
      <w:r>
        <w:rPr/>
        <w:t>the</w:t>
      </w:r>
      <w:r>
        <w:rPr>
          <w:spacing w:val="-5"/>
        </w:rPr>
        <w:t> </w:t>
      </w:r>
      <w:r>
        <w:rPr/>
        <w:t>court</w:t>
      </w:r>
      <w:r>
        <w:rPr>
          <w:spacing w:val="-5"/>
        </w:rPr>
        <w:t> </w:t>
      </w:r>
      <w:r>
        <w:rPr/>
        <w:t>can</w:t>
      </w:r>
      <w:r>
        <w:rPr>
          <w:spacing w:val="-4"/>
        </w:rPr>
        <w:t> </w:t>
      </w:r>
      <w:r>
        <w:rPr/>
        <w:t>have</w:t>
      </w:r>
      <w:r>
        <w:rPr>
          <w:spacing w:val="-5"/>
        </w:rPr>
        <w:t> </w:t>
      </w:r>
      <w:r>
        <w:rPr/>
        <w:t>long</w:t>
      </w:r>
      <w:r>
        <w:rPr>
          <w:spacing w:val="-5"/>
        </w:rPr>
        <w:t> </w:t>
      </w:r>
      <w:r>
        <w:rPr/>
        <w:t>term</w:t>
      </w:r>
      <w:r>
        <w:rPr>
          <w:spacing w:val="-6"/>
        </w:rPr>
        <w:t> </w:t>
      </w:r>
      <w:r>
        <w:rPr/>
        <w:t>objectives</w:t>
      </w:r>
      <w:r>
        <w:rPr>
          <w:spacing w:val="-6"/>
        </w:rPr>
        <w:t> </w:t>
      </w:r>
      <w:r>
        <w:rPr/>
        <w:t>and</w:t>
      </w:r>
      <w:r>
        <w:rPr>
          <w:spacing w:val="-3"/>
        </w:rPr>
        <w:t> </w:t>
      </w:r>
      <w:r>
        <w:rPr/>
        <w:t>skillfully</w:t>
      </w:r>
    </w:p>
    <w:p>
      <w:pPr>
        <w:pStyle w:val="BodyText"/>
        <w:spacing w:after="0" w:line="273" w:lineRule="auto"/>
        <w:sectPr>
          <w:pgSz w:w="12240" w:h="15840"/>
          <w:pgMar w:header="1046" w:footer="0" w:top="1360" w:bottom="280" w:left="720" w:right="360"/>
        </w:sectPr>
      </w:pPr>
    </w:p>
    <w:p>
      <w:pPr>
        <w:pStyle w:val="BodyText"/>
        <w:spacing w:line="276" w:lineRule="auto" w:before="276"/>
        <w:ind w:right="1907"/>
      </w:pPr>
      <w:r>
        <w:rPr/>
        <w:t>manipulate politicians who are at the office for a limited time. 2) ECJ uses NCs to limit the member state governments in undertaking extralegal means. The national courts often use community law against own officials, therefore, constrain them in the ‘legal rules of the game. 3) The EU legal system does not give much room to the member states to reverse decisions, because it is extremely hard to find a consensus. (</w:t>
      </w:r>
      <w:hyperlink w:history="true" w:anchor="_bookmark74">
        <w:r>
          <w:rPr/>
          <w:t>Alter, 1998</w:t>
        </w:r>
      </w:hyperlink>
      <w:r>
        <w:rPr/>
        <w:t>)</w:t>
      </w:r>
    </w:p>
    <w:p>
      <w:pPr>
        <w:pStyle w:val="BodyText"/>
        <w:spacing w:line="276" w:lineRule="auto"/>
        <w:ind w:right="1903" w:firstLine="720"/>
      </w:pPr>
      <w:r>
        <w:rPr/>
        <w:t>We need to expand the third argument. The Court has been ‘smart’ not giving the immediate political troubles to the politicians. A real difference was produced not by practical outcomes of the cases, but by the explanations that the judges were giving to the public. In some cases, even</w:t>
      </w:r>
      <w:r>
        <w:rPr>
          <w:spacing w:val="40"/>
        </w:rPr>
        <w:t> </w:t>
      </w:r>
      <w:r>
        <w:rPr/>
        <w:t>if</w:t>
      </w:r>
      <w:r>
        <w:rPr>
          <w:spacing w:val="-3"/>
        </w:rPr>
        <w:t> </w:t>
      </w:r>
      <w:r>
        <w:rPr/>
        <w:t>the</w:t>
      </w:r>
      <w:r>
        <w:rPr>
          <w:spacing w:val="-2"/>
        </w:rPr>
        <w:t> </w:t>
      </w:r>
      <w:r>
        <w:rPr/>
        <w:t>ruling</w:t>
      </w:r>
      <w:r>
        <w:rPr>
          <w:spacing w:val="-2"/>
        </w:rPr>
        <w:t> </w:t>
      </w:r>
      <w:r>
        <w:rPr/>
        <w:t>was</w:t>
      </w:r>
      <w:r>
        <w:rPr>
          <w:spacing w:val="-3"/>
        </w:rPr>
        <w:t> </w:t>
      </w:r>
      <w:r>
        <w:rPr/>
        <w:t>in</w:t>
      </w:r>
      <w:r>
        <w:rPr>
          <w:spacing w:val="-1"/>
        </w:rPr>
        <w:t> </w:t>
      </w:r>
      <w:r>
        <w:rPr/>
        <w:t>favor</w:t>
      </w:r>
      <w:r>
        <w:rPr>
          <w:spacing w:val="-1"/>
        </w:rPr>
        <w:t> </w:t>
      </w:r>
      <w:r>
        <w:rPr/>
        <w:t>of</w:t>
      </w:r>
      <w:r>
        <w:rPr>
          <w:spacing w:val="-3"/>
        </w:rPr>
        <w:t> </w:t>
      </w:r>
      <w:r>
        <w:rPr/>
        <w:t>the</w:t>
      </w:r>
      <w:r>
        <w:rPr>
          <w:spacing w:val="-2"/>
        </w:rPr>
        <w:t> </w:t>
      </w:r>
      <w:r>
        <w:rPr/>
        <w:t>state</w:t>
      </w:r>
      <w:r>
        <w:rPr>
          <w:spacing w:val="-2"/>
        </w:rPr>
        <w:t> </w:t>
      </w:r>
      <w:r>
        <w:rPr/>
        <w:t>actors,</w:t>
      </w:r>
      <w:r>
        <w:rPr>
          <w:spacing w:val="-1"/>
        </w:rPr>
        <w:t> </w:t>
      </w:r>
      <w:r>
        <w:rPr/>
        <w:t>the</w:t>
      </w:r>
      <w:r>
        <w:rPr>
          <w:spacing w:val="-2"/>
        </w:rPr>
        <w:t> </w:t>
      </w:r>
      <w:r>
        <w:rPr/>
        <w:t>principles</w:t>
      </w:r>
      <w:r>
        <w:rPr>
          <w:spacing w:val="-3"/>
        </w:rPr>
        <w:t> </w:t>
      </w:r>
      <w:r>
        <w:rPr/>
        <w:t>deriving</w:t>
      </w:r>
      <w:r>
        <w:rPr>
          <w:spacing w:val="-2"/>
        </w:rPr>
        <w:t> </w:t>
      </w:r>
      <w:r>
        <w:rPr/>
        <w:t>from</w:t>
      </w:r>
      <w:r>
        <w:rPr>
          <w:spacing w:val="-3"/>
        </w:rPr>
        <w:t> </w:t>
      </w:r>
      <w:r>
        <w:rPr/>
        <w:t>the Court’s reasoning weakened the intergovernmental influence on the legal </w:t>
      </w:r>
      <w:r>
        <w:rPr>
          <w:spacing w:val="-2"/>
        </w:rPr>
        <w:t>system.</w:t>
      </w:r>
    </w:p>
    <w:p>
      <w:pPr>
        <w:pStyle w:val="BodyText"/>
        <w:spacing w:line="276" w:lineRule="auto"/>
        <w:ind w:right="1901" w:firstLine="720"/>
      </w:pPr>
      <w:r>
        <w:rPr/>
        <w:t>In the third chapter, we have shown that in a social organization decisions are fixed only when they are followed by the subsequent decisions. In the European legal system, the importance of the rulings was established after the judges referred to them in succeeding cases [acknowledging them as principles]. This technique makes the EU legal system flexible and adaptable, “less exposed to the attention of national governments.” (</w:t>
      </w:r>
      <w:hyperlink w:history="true" w:anchor="_bookmark281">
        <w:r>
          <w:rPr/>
          <w:t>Martinico, 2011, p. 73</w:t>
        </w:r>
      </w:hyperlink>
      <w:r>
        <w:rPr/>
        <w:t>) It is true that the legal community always converses about possible effects of the legal decisions, but these conversations hardly leave the domain of law. In a given setting, the politicians who were busy with achieving immediate political objectives,</w:t>
      </w:r>
      <w:r>
        <w:rPr>
          <w:spacing w:val="40"/>
        </w:rPr>
        <w:t> </w:t>
      </w:r>
      <w:r>
        <w:rPr/>
        <w:t>did not pay enough attention to the Court unveiling potentially ‘dangerous’ principles.</w:t>
      </w:r>
      <w:r>
        <w:rPr>
          <w:position w:val="7"/>
          <w:sz w:val="15"/>
        </w:rPr>
        <w:t>36</w:t>
      </w:r>
      <w:r>
        <w:rPr>
          <w:spacing w:val="40"/>
          <w:position w:val="7"/>
          <w:sz w:val="15"/>
        </w:rPr>
        <w:t> </w:t>
      </w:r>
      <w:r>
        <w:rPr/>
        <w:t>The legal decisions were translated into political language too late for disputing the contents. It is practically impossible for the individual state to</w:t>
      </w:r>
      <w:r>
        <w:rPr>
          <w:spacing w:val="-2"/>
        </w:rPr>
        <w:t> </w:t>
      </w:r>
      <w:r>
        <w:rPr/>
        <w:t>challenge the court’s decision. There are both institutional</w:t>
      </w:r>
      <w:r>
        <w:rPr>
          <w:spacing w:val="-2"/>
        </w:rPr>
        <w:t> </w:t>
      </w:r>
      <w:r>
        <w:rPr/>
        <w:t>and legal obstacles. </w:t>
      </w:r>
      <w:r>
        <w:rPr>
          <w:sz w:val="27"/>
        </w:rPr>
        <w:t>Institutionally</w:t>
      </w:r>
      <w:r>
        <w:rPr/>
        <w:t>, going against the ECJ might mean going against the national Courts. The latter, if significantly empowered by the community law, can openly confront the state. This confrontation means a situation</w:t>
      </w:r>
      <w:r>
        <w:rPr>
          <w:spacing w:val="80"/>
        </w:rPr>
        <w:t> </w:t>
      </w:r>
      <w:r>
        <w:rPr/>
        <w:t>in</w:t>
      </w:r>
      <w:r>
        <w:rPr>
          <w:spacing w:val="80"/>
        </w:rPr>
        <w:t> </w:t>
      </w:r>
      <w:r>
        <w:rPr/>
        <w:t>which</w:t>
      </w:r>
      <w:r>
        <w:rPr>
          <w:spacing w:val="80"/>
        </w:rPr>
        <w:t> </w:t>
      </w:r>
      <w:r>
        <w:rPr/>
        <w:t>the</w:t>
      </w:r>
      <w:r>
        <w:rPr>
          <w:spacing w:val="80"/>
        </w:rPr>
        <w:t> </w:t>
      </w:r>
      <w:r>
        <w:rPr/>
        <w:t>national</w:t>
      </w:r>
      <w:r>
        <w:rPr>
          <w:spacing w:val="80"/>
        </w:rPr>
        <w:t> </w:t>
      </w:r>
      <w:r>
        <w:rPr/>
        <w:t>governments</w:t>
      </w:r>
      <w:r>
        <w:rPr>
          <w:spacing w:val="80"/>
        </w:rPr>
        <w:t> </w:t>
      </w:r>
      <w:r>
        <w:rPr/>
        <w:t>have</w:t>
      </w:r>
      <w:r>
        <w:rPr>
          <w:spacing w:val="80"/>
        </w:rPr>
        <w:t> </w:t>
      </w:r>
      <w:r>
        <w:rPr/>
        <w:t>to</w:t>
      </w:r>
      <w:r>
        <w:rPr>
          <w:spacing w:val="80"/>
        </w:rPr>
        <w:t> </w:t>
      </w:r>
      <w:r>
        <w:rPr/>
        <w:t>“persuade</w:t>
      </w:r>
      <w:r>
        <w:rPr>
          <w:spacing w:val="80"/>
        </w:rPr>
        <w:t> </w:t>
      </w:r>
      <w:r>
        <w:rPr/>
        <w:t>legal</w:t>
      </w:r>
    </w:p>
    <w:p>
      <w:pPr>
        <w:pStyle w:val="BodyText"/>
        <w:ind w:left="0"/>
        <w:jc w:val="left"/>
        <w:rPr>
          <w:sz w:val="11"/>
        </w:rPr>
      </w:pPr>
      <w:r>
        <w:rPr>
          <w:sz w:val="11"/>
        </w:rPr>
        <mc:AlternateContent>
          <mc:Choice Requires="wps">
            <w:drawing>
              <wp:anchor distT="0" distB="0" distL="0" distR="0" allowOverlap="1" layoutInCell="1" locked="0" behindDoc="1" simplePos="0" relativeHeight="487665664">
                <wp:simplePos x="0" y="0"/>
                <wp:positionH relativeFrom="page">
                  <wp:posOffset>1079296</wp:posOffset>
                </wp:positionH>
                <wp:positionV relativeFrom="paragraph">
                  <wp:posOffset>107282</wp:posOffset>
                </wp:positionV>
                <wp:extent cx="1830070" cy="9525"/>
                <wp:effectExtent l="0" t="0" r="0" b="0"/>
                <wp:wrapTopAndBottom/>
                <wp:docPr id="190" name="Graphic 190"/>
                <wp:cNvGraphicFramePr>
                  <a:graphicFrameLocks/>
                </wp:cNvGraphicFramePr>
                <a:graphic>
                  <a:graphicData uri="http://schemas.microsoft.com/office/word/2010/wordprocessingShape">
                    <wps:wsp>
                      <wps:cNvPr id="190" name="Graphic 190"/>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8.447407pt;width:144.07pt;height:.72003pt;mso-position-horizontal-relative:page;mso-position-vertical-relative:paragraph;z-index:-15650816;mso-wrap-distance-left:0;mso-wrap-distance-right:0" id="docshape177" filled="true" fillcolor="#000000" stroked="false">
                <v:fill type="solid"/>
                <w10:wrap type="topAndBottom"/>
              </v:rect>
            </w:pict>
          </mc:Fallback>
        </mc:AlternateContent>
      </w:r>
    </w:p>
    <w:p>
      <w:pPr>
        <w:spacing w:before="103"/>
        <w:ind w:left="979" w:right="0" w:firstLine="0"/>
        <w:jc w:val="left"/>
        <w:rPr>
          <w:rFonts w:ascii="Calibri"/>
          <w:sz w:val="20"/>
        </w:rPr>
      </w:pPr>
      <w:r>
        <w:rPr>
          <w:rFonts w:ascii="Calibri"/>
          <w:sz w:val="20"/>
          <w:vertAlign w:val="superscript"/>
        </w:rPr>
        <w:t>36</w:t>
      </w:r>
      <w:r>
        <w:rPr>
          <w:rFonts w:ascii="Calibri"/>
          <w:spacing w:val="1"/>
          <w:sz w:val="20"/>
          <w:vertAlign w:val="baseline"/>
        </w:rPr>
        <w:t> </w:t>
      </w:r>
      <w:r>
        <w:rPr>
          <w:rFonts w:ascii="Calibri"/>
          <w:sz w:val="20"/>
          <w:vertAlign w:val="baseline"/>
        </w:rPr>
        <w:t>Dangerous</w:t>
      </w:r>
      <w:r>
        <w:rPr>
          <w:rFonts w:ascii="Calibri"/>
          <w:spacing w:val="-8"/>
          <w:sz w:val="20"/>
          <w:vertAlign w:val="baseline"/>
        </w:rPr>
        <w:t> </w:t>
      </w:r>
      <w:r>
        <w:rPr>
          <w:rFonts w:ascii="Calibri"/>
          <w:sz w:val="20"/>
          <w:vertAlign w:val="baseline"/>
        </w:rPr>
        <w:t>for</w:t>
      </w:r>
      <w:r>
        <w:rPr>
          <w:rFonts w:ascii="Calibri"/>
          <w:spacing w:val="-3"/>
          <w:sz w:val="20"/>
          <w:vertAlign w:val="baseline"/>
        </w:rPr>
        <w:t> </w:t>
      </w:r>
      <w:r>
        <w:rPr>
          <w:rFonts w:ascii="Calibri"/>
          <w:sz w:val="20"/>
          <w:vertAlign w:val="baseline"/>
        </w:rPr>
        <w:t>the</w:t>
      </w:r>
      <w:r>
        <w:rPr>
          <w:rFonts w:ascii="Calibri"/>
          <w:spacing w:val="-5"/>
          <w:sz w:val="20"/>
          <w:vertAlign w:val="baseline"/>
        </w:rPr>
        <w:t> </w:t>
      </w:r>
      <w:r>
        <w:rPr>
          <w:rFonts w:ascii="Calibri"/>
          <w:sz w:val="20"/>
          <w:vertAlign w:val="baseline"/>
        </w:rPr>
        <w:t>state</w:t>
      </w:r>
      <w:r>
        <w:rPr>
          <w:rFonts w:ascii="Calibri"/>
          <w:spacing w:val="-5"/>
          <w:sz w:val="20"/>
          <w:vertAlign w:val="baseline"/>
        </w:rPr>
        <w:t> </w:t>
      </w:r>
      <w:r>
        <w:rPr>
          <w:rFonts w:ascii="Calibri"/>
          <w:spacing w:val="-2"/>
          <w:sz w:val="20"/>
          <w:vertAlign w:val="baseline"/>
        </w:rPr>
        <w:t>power.</w:t>
      </w:r>
    </w:p>
    <w:p>
      <w:pPr>
        <w:spacing w:after="0"/>
        <w:jc w:val="left"/>
        <w:rPr>
          <w:rFonts w:ascii="Calibri"/>
          <w:sz w:val="20"/>
        </w:rPr>
        <w:sectPr>
          <w:pgSz w:w="12240" w:h="15840"/>
          <w:pgMar w:header="1046" w:footer="0" w:top="1360" w:bottom="280" w:left="720" w:right="360"/>
        </w:sectPr>
      </w:pPr>
    </w:p>
    <w:p>
      <w:pPr>
        <w:pStyle w:val="BodyText"/>
        <w:spacing w:line="276" w:lineRule="auto" w:before="276"/>
        <w:ind w:right="1913"/>
      </w:pPr>
      <w:r>
        <w:rPr/>
        <w:t>audience” about the relevance of their anti-ECJ arguments. By doing so</w:t>
      </w:r>
      <w:r>
        <w:rPr>
          <w:spacing w:val="40"/>
        </w:rPr>
        <w:t> </w:t>
      </w:r>
      <w:r>
        <w:rPr/>
        <w:t>they become “constrained by the legal</w:t>
      </w:r>
      <w:r>
        <w:rPr>
          <w:spacing w:val="-3"/>
        </w:rPr>
        <w:t> </w:t>
      </w:r>
      <w:r>
        <w:rPr/>
        <w:t>rules of</w:t>
      </w:r>
      <w:r>
        <w:rPr>
          <w:spacing w:val="-1"/>
        </w:rPr>
        <w:t> </w:t>
      </w:r>
      <w:r>
        <w:rPr/>
        <w:t>the game.” (Alter, 2009, p. 8) If we consider the fact that the politicians also have to be part of normal political</w:t>
      </w:r>
      <w:r>
        <w:rPr>
          <w:spacing w:val="-2"/>
        </w:rPr>
        <w:t> </w:t>
      </w:r>
      <w:r>
        <w:rPr/>
        <w:t>communications, it is</w:t>
      </w:r>
      <w:r>
        <w:rPr>
          <w:spacing w:val="-1"/>
        </w:rPr>
        <w:t> </w:t>
      </w:r>
      <w:r>
        <w:rPr/>
        <w:t>hardly profitable for them</w:t>
      </w:r>
      <w:r>
        <w:rPr>
          <w:spacing w:val="-1"/>
        </w:rPr>
        <w:t> </w:t>
      </w:r>
      <w:r>
        <w:rPr/>
        <w:t>to</w:t>
      </w:r>
      <w:r>
        <w:rPr>
          <w:spacing w:val="-2"/>
        </w:rPr>
        <w:t> </w:t>
      </w:r>
      <w:r>
        <w:rPr/>
        <w:t>domesticize the clash with community institutions.</w:t>
      </w:r>
    </w:p>
    <w:p>
      <w:pPr>
        <w:pStyle w:val="BodyText"/>
        <w:spacing w:line="273" w:lineRule="auto"/>
        <w:ind w:right="1907" w:firstLine="720"/>
      </w:pPr>
      <w:r>
        <w:rPr/>
        <w:t>The </w:t>
      </w:r>
      <w:r>
        <w:rPr>
          <w:sz w:val="27"/>
        </w:rPr>
        <w:t>legal </w:t>
      </w:r>
      <w:r>
        <w:rPr/>
        <w:t>obstacle has to be understood as a synthesis of the factors that are beyond any given state of the system. Those factors are characterized with extreme complexity spread all across the subsystems. </w:t>
      </w:r>
      <w:r>
        <w:rPr>
          <w:sz w:val="27"/>
        </w:rPr>
        <w:t>Giuseppe Martinico </w:t>
      </w:r>
      <w:r>
        <w:rPr/>
        <w:t>has used a right term - ‘non-reversibility’ - to characterize temporality of events – as legal decisions. (</w:t>
      </w:r>
      <w:hyperlink w:history="true" w:anchor="_bookmark281">
        <w:r>
          <w:rPr/>
          <w:t>Martinico, 2011, p.</w:t>
        </w:r>
      </w:hyperlink>
      <w:r>
        <w:rPr/>
        <w:t> </w:t>
      </w:r>
      <w:hyperlink w:history="true" w:anchor="_bookmark281">
        <w:r>
          <w:rPr/>
          <w:t>78</w:t>
        </w:r>
      </w:hyperlink>
      <w:r>
        <w:rPr/>
        <w:t>) The idea supposes that, after the principle is established, it is impossible to return to an initial state. This is so, because the legal system co-evolves with other systems and by doing so implicates on every aspect of the EU structure. Even if member states decided to limit the powers of the Court, they still would not be able to get back to a starting point.</w:t>
      </w:r>
    </w:p>
    <w:p>
      <w:pPr>
        <w:pStyle w:val="BodyText"/>
        <w:spacing w:line="276" w:lineRule="auto" w:before="4"/>
        <w:ind w:right="1911" w:firstLine="720"/>
      </w:pPr>
      <w:r>
        <w:rPr/>
        <w:t>Reversing the ECJ decision is possible, but rare. This can be</w:t>
      </w:r>
      <w:r>
        <w:rPr>
          <w:spacing w:val="40"/>
        </w:rPr>
        <w:t> </w:t>
      </w:r>
      <w:r>
        <w:rPr/>
        <w:t>explained not only by the ‘smart’ approach the Court uses not to upset the member state governments. If the ECJ interprets the Treaties in ‘an awkward of misguided way,’ the member states have to agree on a problem unanimously. In addition, if the court ‘materially amends’ the treaties, the unanimous decision for reversal will also require the ratification</w:t>
      </w:r>
      <w:r>
        <w:rPr>
          <w:spacing w:val="40"/>
        </w:rPr>
        <w:t> </w:t>
      </w:r>
      <w:r>
        <w:rPr/>
        <w:t>procedures. Due to the challenges connected with this method, the chances to initiate the reversal are quite low. (</w:t>
      </w:r>
      <w:hyperlink w:history="true" w:anchor="_bookmark153">
        <w:r>
          <w:rPr/>
          <w:t>de Waele, 2010, pp. 15-16</w:t>
        </w:r>
      </w:hyperlink>
      <w:r>
        <w:rPr/>
        <w:t>)</w:t>
      </w:r>
    </w:p>
    <w:p>
      <w:pPr>
        <w:pStyle w:val="BodyText"/>
        <w:spacing w:line="273" w:lineRule="auto"/>
        <w:ind w:right="1901" w:firstLine="720"/>
      </w:pPr>
      <w:r>
        <w:rPr/>
        <w:t>The</w:t>
      </w:r>
      <w:r>
        <w:rPr>
          <w:spacing w:val="-6"/>
        </w:rPr>
        <w:t> </w:t>
      </w:r>
      <w:r>
        <w:rPr/>
        <w:t>evidence</w:t>
      </w:r>
      <w:r>
        <w:rPr>
          <w:spacing w:val="-6"/>
        </w:rPr>
        <w:t> </w:t>
      </w:r>
      <w:r>
        <w:rPr/>
        <w:t>collected</w:t>
      </w:r>
      <w:r>
        <w:rPr>
          <w:spacing w:val="-4"/>
        </w:rPr>
        <w:t> </w:t>
      </w:r>
      <w:r>
        <w:rPr/>
        <w:t>in</w:t>
      </w:r>
      <w:r>
        <w:rPr>
          <w:spacing w:val="-5"/>
        </w:rPr>
        <w:t> </w:t>
      </w:r>
      <w:r>
        <w:rPr/>
        <w:t>this</w:t>
      </w:r>
      <w:r>
        <w:rPr>
          <w:spacing w:val="-8"/>
        </w:rPr>
        <w:t> </w:t>
      </w:r>
      <w:r>
        <w:rPr/>
        <w:t>section</w:t>
      </w:r>
      <w:r>
        <w:rPr>
          <w:spacing w:val="-5"/>
        </w:rPr>
        <w:t> </w:t>
      </w:r>
      <w:r>
        <w:rPr/>
        <w:t>supports</w:t>
      </w:r>
      <w:r>
        <w:rPr>
          <w:spacing w:val="-8"/>
        </w:rPr>
        <w:t> </w:t>
      </w:r>
      <w:r>
        <w:rPr/>
        <w:t>the</w:t>
      </w:r>
      <w:r>
        <w:rPr>
          <w:spacing w:val="-6"/>
        </w:rPr>
        <w:t> </w:t>
      </w:r>
      <w:r>
        <w:rPr/>
        <w:t>argument</w:t>
      </w:r>
      <w:r>
        <w:rPr>
          <w:spacing w:val="-6"/>
        </w:rPr>
        <w:t> </w:t>
      </w:r>
      <w:r>
        <w:rPr/>
        <w:t>of </w:t>
      </w:r>
      <w:r>
        <w:rPr>
          <w:sz w:val="27"/>
        </w:rPr>
        <w:t>Stone Sweet,</w:t>
      </w:r>
      <w:r>
        <w:rPr>
          <w:spacing w:val="-6"/>
          <w:sz w:val="27"/>
        </w:rPr>
        <w:t> </w:t>
      </w:r>
      <w:r>
        <w:rPr/>
        <w:t>who</w:t>
      </w:r>
      <w:r>
        <w:rPr>
          <w:spacing w:val="-6"/>
        </w:rPr>
        <w:t> </w:t>
      </w:r>
      <w:r>
        <w:rPr/>
        <w:t>maintained</w:t>
      </w:r>
      <w:r>
        <w:rPr>
          <w:spacing w:val="-1"/>
        </w:rPr>
        <w:t> </w:t>
      </w:r>
      <w:r>
        <w:rPr/>
        <w:t>that</w:t>
      </w:r>
      <w:r>
        <w:rPr>
          <w:spacing w:val="-7"/>
        </w:rPr>
        <w:t> </w:t>
      </w:r>
      <w:r>
        <w:rPr/>
        <w:t>the</w:t>
      </w:r>
      <w:r>
        <w:rPr>
          <w:spacing w:val="-8"/>
        </w:rPr>
        <w:t> </w:t>
      </w:r>
      <w:r>
        <w:rPr/>
        <w:t>ECJ</w:t>
      </w:r>
      <w:r>
        <w:rPr>
          <w:spacing w:val="-5"/>
        </w:rPr>
        <w:t> </w:t>
      </w:r>
      <w:r>
        <w:rPr/>
        <w:t>cannot</w:t>
      </w:r>
      <w:r>
        <w:rPr>
          <w:spacing w:val="-8"/>
        </w:rPr>
        <w:t> </w:t>
      </w:r>
      <w:r>
        <w:rPr/>
        <w:t>be</w:t>
      </w:r>
      <w:r>
        <w:rPr>
          <w:spacing w:val="-3"/>
        </w:rPr>
        <w:t> </w:t>
      </w:r>
      <w:r>
        <w:rPr/>
        <w:t>considered</w:t>
      </w:r>
      <w:r>
        <w:rPr>
          <w:spacing w:val="-1"/>
        </w:rPr>
        <w:t> </w:t>
      </w:r>
      <w:r>
        <w:rPr/>
        <w:t>as</w:t>
      </w:r>
      <w:r>
        <w:rPr>
          <w:spacing w:val="-5"/>
        </w:rPr>
        <w:t> </w:t>
      </w:r>
      <w:r>
        <w:rPr/>
        <w:t>an</w:t>
      </w:r>
      <w:r>
        <w:rPr>
          <w:spacing w:val="-1"/>
        </w:rPr>
        <w:t> </w:t>
      </w:r>
      <w:r>
        <w:rPr/>
        <w:t>agent</w:t>
      </w:r>
      <w:r>
        <w:rPr>
          <w:spacing w:val="-8"/>
        </w:rPr>
        <w:t> </w:t>
      </w:r>
      <w:r>
        <w:rPr/>
        <w:t>of</w:t>
      </w:r>
      <w:r>
        <w:rPr>
          <w:spacing w:val="-4"/>
        </w:rPr>
        <w:t> </w:t>
      </w:r>
      <w:r>
        <w:rPr/>
        <w:t>the member states [principals]. Instead as suggested by the author, the model of ‘trusteeship’ seems to be more relevant: “the Court, as Trustee, possesses powers to alter the “rules of the game” under which all other organs of governance, including the ECJ and Member States, are interacting. These powers inhere in any situation of structural judicial supremacy.” (</w:t>
      </w:r>
      <w:hyperlink w:history="true" w:anchor="_bookmark404">
        <w:r>
          <w:rPr/>
          <w:t>Stone</w:t>
        </w:r>
      </w:hyperlink>
      <w:r>
        <w:rPr/>
        <w:t> </w:t>
      </w:r>
      <w:hyperlink w:history="true" w:anchor="_bookmark404">
        <w:r>
          <w:rPr/>
          <w:t>Sweet, 2010, p. 14</w:t>
        </w:r>
      </w:hyperlink>
      <w:r>
        <w:rPr/>
        <w:t>)</w:t>
      </w:r>
    </w:p>
    <w:p>
      <w:pPr>
        <w:pStyle w:val="BodyText"/>
        <w:spacing w:after="0" w:line="273" w:lineRule="auto"/>
        <w:sectPr>
          <w:pgSz w:w="12240" w:h="15840"/>
          <w:pgMar w:header="1046" w:footer="0" w:top="1360" w:bottom="280" w:left="720" w:right="360"/>
        </w:sectPr>
      </w:pPr>
    </w:p>
    <w:p>
      <w:pPr>
        <w:pStyle w:val="Heading4"/>
        <w:numPr>
          <w:ilvl w:val="1"/>
          <w:numId w:val="16"/>
        </w:numPr>
        <w:tabs>
          <w:tab w:pos="1582" w:val="left" w:leader="none"/>
        </w:tabs>
        <w:spacing w:line="240" w:lineRule="auto" w:before="288" w:after="0"/>
        <w:ind w:left="1582" w:right="0" w:hanging="603"/>
        <w:jc w:val="left"/>
      </w:pPr>
      <w:bookmarkStart w:name="_bookmark54" w:id="55"/>
      <w:bookmarkEnd w:id="55"/>
      <w:r>
        <w:rPr>
          <w:b w:val="0"/>
        </w:rPr>
      </w:r>
      <w:r>
        <w:rPr>
          <w:spacing w:val="-12"/>
        </w:rPr>
        <w:t>Economic</w:t>
      </w:r>
      <w:r>
        <w:rPr>
          <w:spacing w:val="-4"/>
        </w:rPr>
        <w:t> </w:t>
      </w:r>
      <w:r>
        <w:rPr>
          <w:spacing w:val="-2"/>
        </w:rPr>
        <w:t>System</w:t>
      </w:r>
    </w:p>
    <w:p>
      <w:pPr>
        <w:pStyle w:val="BodyText"/>
        <w:ind w:left="0"/>
        <w:jc w:val="left"/>
        <w:rPr>
          <w:rFonts w:ascii="Georgia"/>
          <w:b/>
          <w:sz w:val="20"/>
        </w:rPr>
      </w:pPr>
    </w:p>
    <w:p>
      <w:pPr>
        <w:pStyle w:val="BodyText"/>
        <w:spacing w:before="46"/>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66176">
                <wp:simplePos x="0" y="0"/>
                <wp:positionH relativeFrom="page">
                  <wp:posOffset>1078864</wp:posOffset>
                </wp:positionH>
                <wp:positionV relativeFrom="paragraph">
                  <wp:posOffset>188917</wp:posOffset>
                </wp:positionV>
                <wp:extent cx="5252085" cy="51435"/>
                <wp:effectExtent l="0" t="0" r="0" b="0"/>
                <wp:wrapTopAndBottom/>
                <wp:docPr id="191" name="Graphic 191"/>
                <wp:cNvGraphicFramePr>
                  <a:graphicFrameLocks/>
                </wp:cNvGraphicFramePr>
                <a:graphic>
                  <a:graphicData uri="http://schemas.microsoft.com/office/word/2010/wordprocessingShape">
                    <wps:wsp>
                      <wps:cNvPr id="191" name="Graphic 191"/>
                      <wps:cNvSpPr/>
                      <wps:spPr>
                        <a:xfrm>
                          <a:off x="0" y="0"/>
                          <a:ext cx="5252085" cy="51435"/>
                        </a:xfrm>
                        <a:custGeom>
                          <a:avLst/>
                          <a:gdLst/>
                          <a:ahLst/>
                          <a:cxnLst/>
                          <a:rect l="l" t="t" r="r" b="b"/>
                          <a:pathLst>
                            <a:path w="5252085" h="51435">
                              <a:moveTo>
                                <a:pt x="5252085" y="0"/>
                              </a:moveTo>
                              <a:lnTo>
                                <a:pt x="0" y="0"/>
                              </a:lnTo>
                              <a:lnTo>
                                <a:pt x="0" y="51434"/>
                              </a:lnTo>
                              <a:lnTo>
                                <a:pt x="5252085" y="51434"/>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4.87543pt;width:413.55pt;height:4.05pt;mso-position-horizontal-relative:page;mso-position-vertical-relative:paragraph;z-index:-15650304;mso-wrap-distance-left:0;mso-wrap-distance-right:0" id="docshape178" filled="true" fillcolor="#000000" stroked="false">
                <v:fill type="solid"/>
                <w10:wrap type="topAndBottom"/>
              </v:rect>
            </w:pict>
          </mc:Fallback>
        </mc:AlternateContent>
      </w:r>
    </w:p>
    <w:p>
      <w:pPr>
        <w:pStyle w:val="BodyText"/>
        <w:spacing w:before="206"/>
        <w:ind w:left="0"/>
        <w:jc w:val="left"/>
        <w:rPr>
          <w:rFonts w:ascii="Georgia"/>
          <w:b/>
        </w:rPr>
      </w:pPr>
    </w:p>
    <w:p>
      <w:pPr>
        <w:pStyle w:val="BodyText"/>
        <w:spacing w:line="276" w:lineRule="auto" w:before="1"/>
        <w:ind w:right="1908" w:firstLine="720"/>
      </w:pPr>
      <w:r>
        <w:rPr/>
        <w:t>It is hard to distinguish the boundaries of the social systems. </w:t>
      </w:r>
      <w:r>
        <w:rPr>
          <w:sz w:val="27"/>
        </w:rPr>
        <w:t>Parsons </w:t>
      </w:r>
      <w:r>
        <w:rPr/>
        <w:t>suggested that the whole society can be considered to be part of the economy, however, the relations among the subsystems are never exclusively economic. (</w:t>
      </w:r>
      <w:hyperlink w:history="true" w:anchor="_bookmark330">
        <w:r>
          <w:rPr/>
          <w:t>Parsons &amp; Smelser, 2005</w:t>
        </w:r>
      </w:hyperlink>
      <w:r>
        <w:rPr/>
        <w:t>)</w:t>
      </w:r>
    </w:p>
    <w:p>
      <w:pPr>
        <w:pStyle w:val="BodyText"/>
        <w:spacing w:line="276" w:lineRule="auto"/>
        <w:ind w:right="1915" w:firstLine="720"/>
      </w:pPr>
      <w:r>
        <w:rPr/>
        <w:t>The</w:t>
      </w:r>
      <w:r>
        <w:rPr>
          <w:spacing w:val="-2"/>
        </w:rPr>
        <w:t> </w:t>
      </w:r>
      <w:r>
        <w:rPr/>
        <w:t>place</w:t>
      </w:r>
      <w:r>
        <w:rPr>
          <w:spacing w:val="-2"/>
        </w:rPr>
        <w:t> </w:t>
      </w:r>
      <w:r>
        <w:rPr/>
        <w:t>of</w:t>
      </w:r>
      <w:r>
        <w:rPr>
          <w:spacing w:val="-1"/>
        </w:rPr>
        <w:t> </w:t>
      </w:r>
      <w:r>
        <w:rPr/>
        <w:t>the</w:t>
      </w:r>
      <w:r>
        <w:rPr>
          <w:spacing w:val="-2"/>
        </w:rPr>
        <w:t> </w:t>
      </w:r>
      <w:r>
        <w:rPr/>
        <w:t>economic</w:t>
      </w:r>
      <w:r>
        <w:rPr>
          <w:spacing w:val="-3"/>
        </w:rPr>
        <w:t> </w:t>
      </w:r>
      <w:r>
        <w:rPr/>
        <w:t>communication is market.</w:t>
      </w:r>
      <w:r>
        <w:rPr>
          <w:spacing w:val="-1"/>
        </w:rPr>
        <w:t> </w:t>
      </w:r>
      <w:r>
        <w:rPr/>
        <w:t>The</w:t>
      </w:r>
      <w:r>
        <w:rPr>
          <w:spacing w:val="-2"/>
        </w:rPr>
        <w:t> </w:t>
      </w:r>
      <w:r>
        <w:rPr/>
        <w:t>market</w:t>
      </w:r>
      <w:r>
        <w:rPr>
          <w:spacing w:val="-2"/>
        </w:rPr>
        <w:t> </w:t>
      </w:r>
      <w:r>
        <w:rPr/>
        <w:t>is</w:t>
      </w:r>
      <w:r>
        <w:rPr>
          <w:spacing w:val="-4"/>
        </w:rPr>
        <w:t> </w:t>
      </w:r>
      <w:r>
        <w:rPr/>
        <w:t>a purposeful social</w:t>
      </w:r>
      <w:r>
        <w:rPr>
          <w:spacing w:val="-1"/>
        </w:rPr>
        <w:t> </w:t>
      </w:r>
      <w:r>
        <w:rPr/>
        <w:t>system. In relation to</w:t>
      </w:r>
      <w:r>
        <w:rPr>
          <w:spacing w:val="-1"/>
        </w:rPr>
        <w:t> </w:t>
      </w:r>
      <w:r>
        <w:rPr/>
        <w:t>a political</w:t>
      </w:r>
      <w:r>
        <w:rPr>
          <w:spacing w:val="-1"/>
        </w:rPr>
        <w:t> </w:t>
      </w:r>
      <w:r>
        <w:rPr/>
        <w:t>system we can distinguish three types of markets: free (libertarian), partially free (Keynesian) and regulated (Marxist).</w:t>
      </w:r>
    </w:p>
    <w:p>
      <w:pPr>
        <w:pStyle w:val="BodyText"/>
        <w:spacing w:line="273" w:lineRule="auto"/>
        <w:ind w:right="1902" w:firstLine="720"/>
      </w:pPr>
      <w:r>
        <w:rPr/>
        <w:t>The rebuilding the post war Europe gained an impetus with the </w:t>
      </w:r>
      <w:r>
        <w:rPr>
          <w:sz w:val="27"/>
        </w:rPr>
        <w:t>Marshall Plan</w:t>
      </w:r>
      <w:r>
        <w:rPr/>
        <w:t>. The plan was based on </w:t>
      </w:r>
      <w:r>
        <w:rPr>
          <w:sz w:val="27"/>
        </w:rPr>
        <w:t>Keynesian </w:t>
      </w:r>
      <w:r>
        <w:rPr/>
        <w:t>notion that public actors should not rely on markets alone and stimulate the economy by interventions when needed. (</w:t>
      </w:r>
      <w:hyperlink w:history="true" w:anchor="_bookmark349">
        <w:r>
          <w:rPr/>
          <w:t>Ramonet, 1997</w:t>
        </w:r>
      </w:hyperlink>
      <w:r>
        <w:rPr/>
        <w:t>) Nevertheless, it is often argued that the economic integration proceeded due to the strong, neo- liberal impulses. This assumption is moderately relevant, but not fully self- contained. The initial economic setup was based on the principle of “coordination rather than market-oriented competition;” (</w:t>
      </w:r>
      <w:hyperlink w:history="true" w:anchor="_bookmark216">
        <w:r>
          <w:rPr/>
          <w:t>Hermann, 2007</w:t>
        </w:r>
      </w:hyperlink>
      <w:r>
        <w:rPr/>
        <w:t>) therefore, we cannot say that the preliminary arrangement had the neo- liberal roots. To clarify this point, we need to introduce a few points.</w:t>
      </w:r>
    </w:p>
    <w:p>
      <w:pPr>
        <w:pStyle w:val="BodyText"/>
        <w:spacing w:line="271" w:lineRule="auto" w:before="18"/>
        <w:ind w:right="1905" w:firstLine="720"/>
      </w:pPr>
      <w:r>
        <w:rPr/>
        <w:t>The</w:t>
      </w:r>
      <w:r>
        <w:rPr>
          <w:spacing w:val="-1"/>
        </w:rPr>
        <w:t> </w:t>
      </w:r>
      <w:r>
        <w:rPr/>
        <w:t>social system as we</w:t>
      </w:r>
      <w:r>
        <w:rPr>
          <w:spacing w:val="-1"/>
        </w:rPr>
        <w:t> </w:t>
      </w:r>
      <w:r>
        <w:rPr/>
        <w:t>have noted earlier is a</w:t>
      </w:r>
      <w:r>
        <w:rPr>
          <w:spacing w:val="-1"/>
        </w:rPr>
        <w:t> </w:t>
      </w:r>
      <w:r>
        <w:rPr/>
        <w:t>communication. If</w:t>
      </w:r>
      <w:r>
        <w:rPr>
          <w:spacing w:val="-3"/>
        </w:rPr>
        <w:t> </w:t>
      </w:r>
      <w:r>
        <w:rPr/>
        <w:t>the market is a social system, it has to have a communicative cycle. This condition</w:t>
      </w:r>
      <w:r>
        <w:rPr>
          <w:spacing w:val="-2"/>
        </w:rPr>
        <w:t> </w:t>
      </w:r>
      <w:r>
        <w:rPr/>
        <w:t>necessarily</w:t>
      </w:r>
      <w:r>
        <w:rPr>
          <w:spacing w:val="-3"/>
        </w:rPr>
        <w:t> </w:t>
      </w:r>
      <w:r>
        <w:rPr/>
        <w:t>involves</w:t>
      </w:r>
      <w:r>
        <w:rPr>
          <w:spacing w:val="-4"/>
        </w:rPr>
        <w:t> </w:t>
      </w:r>
      <w:r>
        <w:rPr/>
        <w:t>the</w:t>
      </w:r>
      <w:r>
        <w:rPr>
          <w:spacing w:val="-3"/>
        </w:rPr>
        <w:t> </w:t>
      </w:r>
      <w:r>
        <w:rPr/>
        <w:t>notion</w:t>
      </w:r>
      <w:r>
        <w:rPr>
          <w:spacing w:val="-2"/>
        </w:rPr>
        <w:t> </w:t>
      </w:r>
      <w:r>
        <w:rPr/>
        <w:t>of</w:t>
      </w:r>
      <w:r>
        <w:rPr>
          <w:spacing w:val="-4"/>
        </w:rPr>
        <w:t> </w:t>
      </w:r>
      <w:r>
        <w:rPr/>
        <w:t>informational</w:t>
      </w:r>
      <w:r>
        <w:rPr>
          <w:spacing w:val="-1"/>
        </w:rPr>
        <w:t> </w:t>
      </w:r>
      <w:r>
        <w:rPr/>
        <w:t>asymmetries.</w:t>
      </w:r>
      <w:r>
        <w:rPr>
          <w:spacing w:val="-2"/>
        </w:rPr>
        <w:t> </w:t>
      </w:r>
      <w:r>
        <w:rPr/>
        <w:t>We can distinguish three types of asymmetries in economic communication: first one was examined by </w:t>
      </w:r>
      <w:r>
        <w:rPr>
          <w:sz w:val="27"/>
        </w:rPr>
        <w:t>George A. Akerlof, </w:t>
      </w:r>
      <w:r>
        <w:rPr/>
        <w:t>(</w:t>
      </w:r>
      <w:hyperlink w:history="true" w:anchor="_bookmark72">
        <w:r>
          <w:rPr/>
          <w:t>Akerlof, 1970</w:t>
        </w:r>
      </w:hyperlink>
      <w:r>
        <w:rPr/>
        <w:t>) and </w:t>
      </w:r>
      <w:r>
        <w:rPr>
          <w:sz w:val="27"/>
        </w:rPr>
        <w:t>Joseph Stiglitz </w:t>
      </w:r>
      <w:r>
        <w:rPr/>
        <w:t>in several works. (</w:t>
      </w:r>
      <w:hyperlink w:history="true" w:anchor="_bookmark365">
        <w:r>
          <w:rPr/>
          <w:t>Rothschild &amp; Stiglitz, 1976;</w:t>
        </w:r>
      </w:hyperlink>
      <w:r>
        <w:rPr/>
        <w:t> </w:t>
      </w:r>
      <w:hyperlink w:history="true" w:anchor="_bookmark401">
        <w:r>
          <w:rPr/>
          <w:t>Stiglitz, 1975</w:t>
        </w:r>
      </w:hyperlink>
      <w:r>
        <w:rPr/>
        <w:t>) We would</w:t>
      </w:r>
      <w:r>
        <w:rPr>
          <w:spacing w:val="20"/>
        </w:rPr>
        <w:t> </w:t>
      </w:r>
      <w:r>
        <w:rPr/>
        <w:t>call</w:t>
      </w:r>
      <w:r>
        <w:rPr>
          <w:spacing w:val="18"/>
        </w:rPr>
        <w:t> </w:t>
      </w:r>
      <w:r>
        <w:rPr/>
        <w:t>it</w:t>
      </w:r>
      <w:r>
        <w:rPr>
          <w:spacing w:val="19"/>
        </w:rPr>
        <w:t> </w:t>
      </w:r>
      <w:r>
        <w:rPr/>
        <w:t>an</w:t>
      </w:r>
      <w:r>
        <w:rPr>
          <w:spacing w:val="25"/>
        </w:rPr>
        <w:t> </w:t>
      </w:r>
      <w:r>
        <w:rPr>
          <w:sz w:val="27"/>
        </w:rPr>
        <w:t>innate</w:t>
      </w:r>
      <w:r>
        <w:rPr>
          <w:spacing w:val="17"/>
          <w:sz w:val="27"/>
        </w:rPr>
        <w:t> </w:t>
      </w:r>
      <w:r>
        <w:rPr>
          <w:sz w:val="27"/>
        </w:rPr>
        <w:t>economic</w:t>
      </w:r>
      <w:r>
        <w:rPr>
          <w:spacing w:val="16"/>
          <w:sz w:val="27"/>
        </w:rPr>
        <w:t> </w:t>
      </w:r>
      <w:r>
        <w:rPr>
          <w:sz w:val="27"/>
        </w:rPr>
        <w:t>asymmetry</w:t>
      </w:r>
      <w:r>
        <w:rPr/>
        <w:t>.</w:t>
      </w:r>
      <w:r>
        <w:rPr>
          <w:spacing w:val="20"/>
        </w:rPr>
        <w:t> </w:t>
      </w:r>
      <w:r>
        <w:rPr/>
        <w:t>According</w:t>
      </w:r>
      <w:r>
        <w:rPr>
          <w:spacing w:val="20"/>
        </w:rPr>
        <w:t> </w:t>
      </w:r>
      <w:r>
        <w:rPr/>
        <w:t>to</w:t>
      </w:r>
      <w:r>
        <w:rPr>
          <w:spacing w:val="18"/>
        </w:rPr>
        <w:t> </w:t>
      </w:r>
      <w:r>
        <w:rPr/>
        <w:t>the</w:t>
      </w:r>
      <w:r>
        <w:rPr>
          <w:spacing w:val="20"/>
        </w:rPr>
        <w:t> </w:t>
      </w:r>
      <w:r>
        <w:rPr>
          <w:spacing w:val="-2"/>
        </w:rPr>
        <w:t>approach,</w:t>
      </w:r>
    </w:p>
    <w:p>
      <w:pPr>
        <w:pStyle w:val="BodyText"/>
        <w:spacing w:after="0" w:line="271" w:lineRule="auto"/>
        <w:sectPr>
          <w:pgSz w:w="12240" w:h="15840"/>
          <w:pgMar w:header="1046" w:footer="0" w:top="1360" w:bottom="280" w:left="720" w:right="360"/>
        </w:sectPr>
      </w:pPr>
    </w:p>
    <w:p>
      <w:pPr>
        <w:pStyle w:val="BodyText"/>
        <w:spacing w:line="276" w:lineRule="auto" w:before="276"/>
        <w:ind w:right="1923"/>
        <w:rPr>
          <w:position w:val="7"/>
          <w:sz w:val="15"/>
        </w:rPr>
      </w:pPr>
      <w:r>
        <w:rPr/>
        <w:t>one party of the economic transaction always has more information about the operation than the other.</w:t>
      </w:r>
      <w:r>
        <w:rPr>
          <w:position w:val="7"/>
          <w:sz w:val="15"/>
        </w:rPr>
        <w:t>37</w:t>
      </w:r>
    </w:p>
    <w:p>
      <w:pPr>
        <w:pStyle w:val="BodyText"/>
        <w:spacing w:line="273" w:lineRule="auto"/>
        <w:ind w:right="1903" w:firstLine="720"/>
      </w:pPr>
      <w:r>
        <w:rPr/>
        <w:t>The second type of asymmetry is an </w:t>
      </w:r>
      <w:r>
        <w:rPr>
          <w:sz w:val="27"/>
        </w:rPr>
        <w:t>acquired asymmetry</w:t>
      </w:r>
      <w:r>
        <w:rPr/>
        <w:t>. This asymmetry takes place due to the errors in the communication. If both asymmetries appear the same time and involve the same communications, they synthesize in a </w:t>
      </w:r>
      <w:r>
        <w:rPr>
          <w:sz w:val="27"/>
        </w:rPr>
        <w:t>structural asymmetry </w:t>
      </w:r>
      <w:r>
        <w:rPr/>
        <w:t>(observable pattern of asymmetric communication).</w:t>
      </w:r>
    </w:p>
    <w:p>
      <w:pPr>
        <w:pStyle w:val="BodyText"/>
        <w:spacing w:line="276" w:lineRule="auto"/>
        <w:ind w:right="1906" w:firstLine="720"/>
      </w:pPr>
      <w:r>
        <w:rPr/>
        <w:t>The free market by definition has to be a self-referential and therefore, hold the mechanisms typical for self-referential systems. It has a capacity to absorb the external shocks and re-establish the steady state in case of disturbance; for doing so, it should have a well-organized feedback structure and subsequently an effective learning mechanism. The acquired asymmetry</w:t>
      </w:r>
      <w:r>
        <w:rPr>
          <w:spacing w:val="-2"/>
        </w:rPr>
        <w:t> </w:t>
      </w:r>
      <w:r>
        <w:rPr/>
        <w:t>in</w:t>
      </w:r>
      <w:r>
        <w:rPr>
          <w:spacing w:val="-1"/>
        </w:rPr>
        <w:t> </w:t>
      </w:r>
      <w:r>
        <w:rPr/>
        <w:t>the</w:t>
      </w:r>
      <w:r>
        <w:rPr>
          <w:spacing w:val="-2"/>
        </w:rPr>
        <w:t> </w:t>
      </w:r>
      <w:r>
        <w:rPr/>
        <w:t>ideal</w:t>
      </w:r>
      <w:r>
        <w:rPr>
          <w:spacing w:val="-4"/>
        </w:rPr>
        <w:t> </w:t>
      </w:r>
      <w:r>
        <w:rPr/>
        <w:t>type system should be</w:t>
      </w:r>
      <w:r>
        <w:rPr>
          <w:spacing w:val="-2"/>
        </w:rPr>
        <w:t> </w:t>
      </w:r>
      <w:r>
        <w:rPr/>
        <w:t>just</w:t>
      </w:r>
      <w:r>
        <w:rPr>
          <w:spacing w:val="-2"/>
        </w:rPr>
        <w:t> </w:t>
      </w:r>
      <w:r>
        <w:rPr/>
        <w:t>a</w:t>
      </w:r>
      <w:r>
        <w:rPr>
          <w:spacing w:val="-2"/>
        </w:rPr>
        <w:t> </w:t>
      </w:r>
      <w:r>
        <w:rPr/>
        <w:t>temporary</w:t>
      </w:r>
      <w:r>
        <w:rPr>
          <w:spacing w:val="-2"/>
        </w:rPr>
        <w:t> </w:t>
      </w:r>
      <w:r>
        <w:rPr/>
        <w:t>event</w:t>
      </w:r>
      <w:r>
        <w:rPr>
          <w:spacing w:val="-2"/>
        </w:rPr>
        <w:t> </w:t>
      </w:r>
      <w:r>
        <w:rPr/>
        <w:t>caused by</w:t>
      </w:r>
      <w:r>
        <w:rPr>
          <w:spacing w:val="-1"/>
        </w:rPr>
        <w:t> </w:t>
      </w:r>
      <w:r>
        <w:rPr/>
        <w:t>organizational irregularities, however, if</w:t>
      </w:r>
      <w:r>
        <w:rPr>
          <w:spacing w:val="-1"/>
        </w:rPr>
        <w:t> </w:t>
      </w:r>
      <w:r>
        <w:rPr/>
        <w:t>the</w:t>
      </w:r>
      <w:r>
        <w:rPr>
          <w:spacing w:val="-1"/>
        </w:rPr>
        <w:t> </w:t>
      </w:r>
      <w:r>
        <w:rPr/>
        <w:t>asymmetric</w:t>
      </w:r>
      <w:r>
        <w:rPr>
          <w:spacing w:val="-1"/>
        </w:rPr>
        <w:t> </w:t>
      </w:r>
      <w:r>
        <w:rPr/>
        <w:t>communication is maintained for some time and becomes an observable pattern, the irregularity can become a new systemic constancy. Consequently, those actors who</w:t>
      </w:r>
      <w:r>
        <w:rPr>
          <w:spacing w:val="-1"/>
        </w:rPr>
        <w:t> </w:t>
      </w:r>
      <w:r>
        <w:rPr/>
        <w:t>acquired the information based advantage start</w:t>
      </w:r>
      <w:r>
        <w:rPr>
          <w:spacing w:val="-3"/>
        </w:rPr>
        <w:t> </w:t>
      </w:r>
      <w:r>
        <w:rPr/>
        <w:t>to</w:t>
      </w:r>
      <w:r>
        <w:rPr>
          <w:spacing w:val="-1"/>
        </w:rPr>
        <w:t> </w:t>
      </w:r>
      <w:r>
        <w:rPr/>
        <w:t>determine the nature of the systemic operations. Not only they benefit from every subsequent cycle of economic exchange, they start to affect the nature of</w:t>
      </w:r>
      <w:r>
        <w:rPr>
          <w:spacing w:val="40"/>
        </w:rPr>
        <w:t> </w:t>
      </w:r>
      <w:r>
        <w:rPr/>
        <w:t>the</w:t>
      </w:r>
      <w:r>
        <w:rPr>
          <w:spacing w:val="-2"/>
        </w:rPr>
        <w:t> </w:t>
      </w:r>
      <w:r>
        <w:rPr/>
        <w:t>communication.</w:t>
      </w:r>
      <w:r>
        <w:rPr>
          <w:spacing w:val="-1"/>
        </w:rPr>
        <w:t> </w:t>
      </w:r>
      <w:r>
        <w:rPr/>
        <w:t>As actors get</w:t>
      </w:r>
      <w:r>
        <w:rPr>
          <w:spacing w:val="-2"/>
        </w:rPr>
        <w:t> </w:t>
      </w:r>
      <w:r>
        <w:rPr/>
        <w:t>into</w:t>
      </w:r>
      <w:r>
        <w:rPr>
          <w:spacing w:val="-4"/>
        </w:rPr>
        <w:t> </w:t>
      </w:r>
      <w:r>
        <w:rPr/>
        <w:t>the</w:t>
      </w:r>
      <w:r>
        <w:rPr>
          <w:spacing w:val="-2"/>
        </w:rPr>
        <w:t> </w:t>
      </w:r>
      <w:r>
        <w:rPr/>
        <w:t>organizational</w:t>
      </w:r>
      <w:r>
        <w:rPr>
          <w:spacing w:val="-4"/>
        </w:rPr>
        <w:t> </w:t>
      </w:r>
      <w:r>
        <w:rPr/>
        <w:t>part of</w:t>
      </w:r>
      <w:r>
        <w:rPr>
          <w:spacing w:val="-3"/>
        </w:rPr>
        <w:t> </w:t>
      </w:r>
      <w:r>
        <w:rPr/>
        <w:t>the</w:t>
      </w:r>
      <w:r>
        <w:rPr>
          <w:spacing w:val="-2"/>
        </w:rPr>
        <w:t> </w:t>
      </w:r>
      <w:r>
        <w:rPr/>
        <w:t>system, they intrinsically get a structural power.</w:t>
      </w:r>
      <w:r>
        <w:rPr>
          <w:position w:val="7"/>
          <w:sz w:val="15"/>
        </w:rPr>
        <w:t>38</w:t>
      </w:r>
      <w:r>
        <w:rPr>
          <w:spacing w:val="40"/>
          <w:position w:val="7"/>
          <w:sz w:val="15"/>
        </w:rPr>
        <w:t> </w:t>
      </w:r>
      <w:r>
        <w:rPr/>
        <w:t>The actor, which holds the structural power over the economic system, starts to expand its complexity. Commonly the economic elites leave the domain of economy and start affecting the political system. As we have seen in the chapter three, there are various ways to influence the politics: some economic actors affect the dynamics of the political process by lobbying, others support politicians during the elections to have a friendly government. Sometimes political systems become so dependent on some sectors of the economy that collapsing</w:t>
      </w:r>
      <w:r>
        <w:rPr>
          <w:spacing w:val="33"/>
        </w:rPr>
        <w:t> </w:t>
      </w:r>
      <w:r>
        <w:rPr/>
        <w:t>of</w:t>
      </w:r>
      <w:r>
        <w:rPr>
          <w:spacing w:val="31"/>
        </w:rPr>
        <w:t> </w:t>
      </w:r>
      <w:r>
        <w:rPr/>
        <w:t>these</w:t>
      </w:r>
      <w:r>
        <w:rPr>
          <w:spacing w:val="34"/>
        </w:rPr>
        <w:t> </w:t>
      </w:r>
      <w:r>
        <w:rPr/>
        <w:t>sectors</w:t>
      </w:r>
      <w:r>
        <w:rPr>
          <w:spacing w:val="30"/>
        </w:rPr>
        <w:t> </w:t>
      </w:r>
      <w:r>
        <w:rPr/>
        <w:t>can</w:t>
      </w:r>
      <w:r>
        <w:rPr>
          <w:spacing w:val="40"/>
        </w:rPr>
        <w:t> </w:t>
      </w:r>
      <w:r>
        <w:rPr/>
        <w:t>cause</w:t>
      </w:r>
      <w:r>
        <w:rPr>
          <w:spacing w:val="34"/>
        </w:rPr>
        <w:t> </w:t>
      </w:r>
      <w:r>
        <w:rPr/>
        <w:t>a</w:t>
      </w:r>
      <w:r>
        <w:rPr>
          <w:spacing w:val="32"/>
        </w:rPr>
        <w:t> </w:t>
      </w:r>
      <w:r>
        <w:rPr/>
        <w:t>political</w:t>
      </w:r>
      <w:r>
        <w:rPr>
          <w:spacing w:val="31"/>
        </w:rPr>
        <w:t> </w:t>
      </w:r>
      <w:r>
        <w:rPr/>
        <w:t>collapse</w:t>
      </w:r>
      <w:r>
        <w:rPr>
          <w:spacing w:val="33"/>
        </w:rPr>
        <w:t> </w:t>
      </w:r>
      <w:r>
        <w:rPr/>
        <w:t>as</w:t>
      </w:r>
      <w:r>
        <w:rPr>
          <w:spacing w:val="31"/>
        </w:rPr>
        <w:t> </w:t>
      </w:r>
      <w:r>
        <w:rPr/>
        <w:t>well.</w:t>
      </w:r>
      <w:r>
        <w:rPr>
          <w:spacing w:val="34"/>
        </w:rPr>
        <w:t> </w:t>
      </w:r>
      <w:r>
        <w:rPr/>
        <w:t>In</w:t>
      </w:r>
      <w:r>
        <w:rPr>
          <w:spacing w:val="33"/>
        </w:rPr>
        <w:t> </w:t>
      </w:r>
      <w:r>
        <w:rPr>
          <w:spacing w:val="-4"/>
        </w:rPr>
        <w:t>many</w:t>
      </w:r>
    </w:p>
    <w:p>
      <w:pPr>
        <w:pStyle w:val="BodyText"/>
        <w:spacing w:before="181"/>
        <w:ind w:left="0"/>
        <w:jc w:val="left"/>
        <w:rPr>
          <w:sz w:val="20"/>
        </w:rPr>
      </w:pPr>
      <w:r>
        <w:rPr>
          <w:sz w:val="20"/>
        </w:rPr>
        <mc:AlternateContent>
          <mc:Choice Requires="wps">
            <w:drawing>
              <wp:anchor distT="0" distB="0" distL="0" distR="0" allowOverlap="1" layoutInCell="1" locked="0" behindDoc="1" simplePos="0" relativeHeight="487666688">
                <wp:simplePos x="0" y="0"/>
                <wp:positionH relativeFrom="page">
                  <wp:posOffset>1079296</wp:posOffset>
                </wp:positionH>
                <wp:positionV relativeFrom="paragraph">
                  <wp:posOffset>297847</wp:posOffset>
                </wp:positionV>
                <wp:extent cx="1830070" cy="9525"/>
                <wp:effectExtent l="0" t="0" r="0" b="0"/>
                <wp:wrapTopAndBottom/>
                <wp:docPr id="192" name="Graphic 192"/>
                <wp:cNvGraphicFramePr>
                  <a:graphicFrameLocks/>
                </wp:cNvGraphicFramePr>
                <a:graphic>
                  <a:graphicData uri="http://schemas.microsoft.com/office/word/2010/wordprocessingShape">
                    <wps:wsp>
                      <wps:cNvPr id="192" name="Graphic 192"/>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23.452549pt;width:144.07pt;height:.71997pt;mso-position-horizontal-relative:page;mso-position-vertical-relative:paragraph;z-index:-15649792;mso-wrap-distance-left:0;mso-wrap-distance-right:0" id="docshape179" filled="true" fillcolor="#000000" stroked="false">
                <v:fill type="solid"/>
                <w10:wrap type="topAndBottom"/>
              </v:rect>
            </w:pict>
          </mc:Fallback>
        </mc:AlternateContent>
      </w:r>
    </w:p>
    <w:p>
      <w:pPr>
        <w:spacing w:before="102"/>
        <w:ind w:left="979" w:right="1279" w:firstLine="0"/>
        <w:jc w:val="left"/>
        <w:rPr>
          <w:rFonts w:ascii="Calibri"/>
          <w:sz w:val="20"/>
        </w:rPr>
      </w:pPr>
      <w:r>
        <w:rPr>
          <w:rFonts w:ascii="Calibri"/>
          <w:sz w:val="20"/>
          <w:vertAlign w:val="superscript"/>
        </w:rPr>
        <w:t>37</w:t>
      </w:r>
      <w:r>
        <w:rPr>
          <w:rFonts w:ascii="Calibri"/>
          <w:spacing w:val="37"/>
          <w:sz w:val="20"/>
          <w:vertAlign w:val="baseline"/>
        </w:rPr>
        <w:t> </w:t>
      </w:r>
      <w:r>
        <w:rPr>
          <w:rFonts w:ascii="Calibri"/>
          <w:sz w:val="20"/>
          <w:vertAlign w:val="baseline"/>
        </w:rPr>
        <w:t>Both,</w:t>
      </w:r>
      <w:r>
        <w:rPr>
          <w:rFonts w:ascii="Calibri"/>
          <w:spacing w:val="33"/>
          <w:sz w:val="20"/>
          <w:vertAlign w:val="baseline"/>
        </w:rPr>
        <w:t> </w:t>
      </w:r>
      <w:r>
        <w:rPr>
          <w:rFonts w:ascii="Calibri"/>
          <w:sz w:val="20"/>
          <w:vertAlign w:val="baseline"/>
        </w:rPr>
        <w:t>Akerlof</w:t>
      </w:r>
      <w:r>
        <w:rPr>
          <w:rFonts w:ascii="Calibri"/>
          <w:spacing w:val="36"/>
          <w:sz w:val="20"/>
          <w:vertAlign w:val="baseline"/>
        </w:rPr>
        <w:t> </w:t>
      </w:r>
      <w:r>
        <w:rPr>
          <w:rFonts w:ascii="Calibri"/>
          <w:sz w:val="20"/>
          <w:vertAlign w:val="baseline"/>
        </w:rPr>
        <w:t>and</w:t>
      </w:r>
      <w:r>
        <w:rPr>
          <w:rFonts w:ascii="Calibri"/>
          <w:spacing w:val="35"/>
          <w:sz w:val="20"/>
          <w:vertAlign w:val="baseline"/>
        </w:rPr>
        <w:t> </w:t>
      </w:r>
      <w:r>
        <w:rPr>
          <w:rFonts w:ascii="Calibri"/>
          <w:sz w:val="20"/>
          <w:vertAlign w:val="baseline"/>
        </w:rPr>
        <w:t>Stiglitz</w:t>
      </w:r>
      <w:r>
        <w:rPr>
          <w:rFonts w:ascii="Calibri"/>
          <w:spacing w:val="37"/>
          <w:sz w:val="20"/>
          <w:vertAlign w:val="baseline"/>
        </w:rPr>
        <w:t> </w:t>
      </w:r>
      <w:r>
        <w:rPr>
          <w:rFonts w:ascii="Calibri"/>
          <w:sz w:val="20"/>
          <w:vertAlign w:val="baseline"/>
        </w:rPr>
        <w:t>studied</w:t>
      </w:r>
      <w:r>
        <w:rPr>
          <w:rFonts w:ascii="Calibri"/>
          <w:spacing w:val="36"/>
          <w:sz w:val="20"/>
          <w:vertAlign w:val="baseline"/>
        </w:rPr>
        <w:t> </w:t>
      </w:r>
      <w:r>
        <w:rPr>
          <w:rFonts w:ascii="Calibri"/>
          <w:sz w:val="20"/>
          <w:vertAlign w:val="baseline"/>
        </w:rPr>
        <w:t>the</w:t>
      </w:r>
      <w:r>
        <w:rPr>
          <w:rFonts w:ascii="Calibri"/>
          <w:spacing w:val="35"/>
          <w:sz w:val="20"/>
          <w:vertAlign w:val="baseline"/>
        </w:rPr>
        <w:t> </w:t>
      </w:r>
      <w:r>
        <w:rPr>
          <w:rFonts w:ascii="Calibri"/>
          <w:sz w:val="20"/>
          <w:vertAlign w:val="baseline"/>
        </w:rPr>
        <w:t>information</w:t>
      </w:r>
      <w:r>
        <w:rPr>
          <w:rFonts w:ascii="Calibri"/>
          <w:spacing w:val="35"/>
          <w:sz w:val="20"/>
          <w:vertAlign w:val="baseline"/>
        </w:rPr>
        <w:t> </w:t>
      </w:r>
      <w:r>
        <w:rPr>
          <w:rFonts w:ascii="Calibri"/>
          <w:sz w:val="20"/>
          <w:vertAlign w:val="baseline"/>
        </w:rPr>
        <w:t>asymmetry,</w:t>
      </w:r>
      <w:r>
        <w:rPr>
          <w:rFonts w:ascii="Calibri"/>
          <w:spacing w:val="39"/>
          <w:sz w:val="20"/>
          <w:vertAlign w:val="baseline"/>
        </w:rPr>
        <w:t> </w:t>
      </w:r>
      <w:r>
        <w:rPr>
          <w:rFonts w:ascii="Calibri"/>
          <w:sz w:val="20"/>
          <w:vertAlign w:val="baseline"/>
        </w:rPr>
        <w:t>however</w:t>
      </w:r>
      <w:r>
        <w:rPr>
          <w:rFonts w:ascii="Calibri"/>
          <w:spacing w:val="37"/>
          <w:sz w:val="20"/>
          <w:vertAlign w:val="baseline"/>
        </w:rPr>
        <w:t> </w:t>
      </w:r>
      <w:r>
        <w:rPr>
          <w:rFonts w:ascii="Calibri"/>
          <w:sz w:val="20"/>
          <w:vertAlign w:val="baseline"/>
        </w:rPr>
        <w:t>they</w:t>
      </w:r>
      <w:r>
        <w:rPr>
          <w:rFonts w:ascii="Calibri"/>
          <w:spacing w:val="35"/>
          <w:sz w:val="20"/>
          <w:vertAlign w:val="baseline"/>
        </w:rPr>
        <w:t> </w:t>
      </w:r>
      <w:r>
        <w:rPr>
          <w:rFonts w:ascii="Calibri"/>
          <w:sz w:val="20"/>
          <w:vertAlign w:val="baseline"/>
        </w:rPr>
        <w:t>were</w:t>
      </w:r>
      <w:r>
        <w:rPr>
          <w:rFonts w:ascii="Calibri"/>
          <w:spacing w:val="36"/>
          <w:sz w:val="20"/>
          <w:vertAlign w:val="baseline"/>
        </w:rPr>
        <w:t> </w:t>
      </w:r>
      <w:r>
        <w:rPr>
          <w:rFonts w:ascii="Calibri"/>
          <w:sz w:val="20"/>
          <w:vertAlign w:val="baseline"/>
        </w:rPr>
        <w:t>focusing</w:t>
      </w:r>
      <w:r>
        <w:rPr>
          <w:rFonts w:ascii="Calibri"/>
          <w:spacing w:val="36"/>
          <w:sz w:val="20"/>
          <w:vertAlign w:val="baseline"/>
        </w:rPr>
        <w:t> </w:t>
      </w:r>
      <w:r>
        <w:rPr>
          <w:rFonts w:ascii="Calibri"/>
          <w:sz w:val="20"/>
          <w:vertAlign w:val="baseline"/>
        </w:rPr>
        <w:t>on different</w:t>
      </w:r>
      <w:r>
        <w:rPr>
          <w:rFonts w:ascii="Calibri"/>
          <w:spacing w:val="-1"/>
          <w:sz w:val="20"/>
          <w:vertAlign w:val="baseline"/>
        </w:rPr>
        <w:t> </w:t>
      </w:r>
      <w:r>
        <w:rPr>
          <w:rFonts w:ascii="Calibri"/>
          <w:sz w:val="20"/>
          <w:vertAlign w:val="baseline"/>
        </w:rPr>
        <w:t>aspects</w:t>
      </w:r>
    </w:p>
    <w:p>
      <w:pPr>
        <w:spacing w:before="2"/>
        <w:ind w:left="979" w:right="0" w:firstLine="0"/>
        <w:jc w:val="left"/>
        <w:rPr>
          <w:rFonts w:ascii="Calibri" w:hAnsi="Calibri"/>
          <w:sz w:val="20"/>
        </w:rPr>
      </w:pPr>
      <w:r>
        <w:rPr>
          <w:rFonts w:ascii="Calibri" w:hAnsi="Calibri"/>
          <w:sz w:val="20"/>
          <w:vertAlign w:val="superscript"/>
        </w:rPr>
        <w:t>38</w:t>
      </w:r>
      <w:r>
        <w:rPr>
          <w:rFonts w:ascii="Calibri" w:hAnsi="Calibri"/>
          <w:spacing w:val="-4"/>
          <w:sz w:val="20"/>
          <w:vertAlign w:val="baseline"/>
        </w:rPr>
        <w:t> </w:t>
      </w:r>
      <w:r>
        <w:rPr>
          <w:rFonts w:ascii="Calibri" w:hAnsi="Calibri"/>
          <w:sz w:val="20"/>
          <w:vertAlign w:val="baseline"/>
        </w:rPr>
        <w:t>We</w:t>
      </w:r>
      <w:r>
        <w:rPr>
          <w:rFonts w:ascii="Calibri" w:hAnsi="Calibri"/>
          <w:spacing w:val="-4"/>
          <w:sz w:val="20"/>
          <w:vertAlign w:val="baseline"/>
        </w:rPr>
        <w:t> </w:t>
      </w:r>
      <w:r>
        <w:rPr>
          <w:rFonts w:ascii="Calibri" w:hAnsi="Calibri"/>
          <w:sz w:val="20"/>
          <w:vertAlign w:val="baseline"/>
        </w:rPr>
        <w:t>have</w:t>
      </w:r>
      <w:r>
        <w:rPr>
          <w:rFonts w:ascii="Calibri" w:hAnsi="Calibri"/>
          <w:spacing w:val="-9"/>
          <w:sz w:val="20"/>
          <w:vertAlign w:val="baseline"/>
        </w:rPr>
        <w:t> </w:t>
      </w:r>
      <w:r>
        <w:rPr>
          <w:rFonts w:ascii="Calibri" w:hAnsi="Calibri"/>
          <w:sz w:val="20"/>
          <w:vertAlign w:val="baseline"/>
        </w:rPr>
        <w:t>in</w:t>
      </w:r>
      <w:r>
        <w:rPr>
          <w:rFonts w:ascii="Calibri" w:hAnsi="Calibri"/>
          <w:spacing w:val="-9"/>
          <w:sz w:val="20"/>
          <w:vertAlign w:val="baseline"/>
        </w:rPr>
        <w:t> </w:t>
      </w:r>
      <w:r>
        <w:rPr>
          <w:rFonts w:ascii="Calibri" w:hAnsi="Calibri"/>
          <w:sz w:val="20"/>
          <w:vertAlign w:val="baseline"/>
        </w:rPr>
        <w:t>mind</w:t>
      </w:r>
      <w:r>
        <w:rPr>
          <w:rFonts w:ascii="Calibri" w:hAnsi="Calibri"/>
          <w:spacing w:val="-9"/>
          <w:sz w:val="20"/>
          <w:vertAlign w:val="baseline"/>
        </w:rPr>
        <w:t> </w:t>
      </w:r>
      <w:r>
        <w:rPr>
          <w:rFonts w:ascii="Calibri" w:hAnsi="Calibri"/>
          <w:sz w:val="20"/>
          <w:vertAlign w:val="baseline"/>
        </w:rPr>
        <w:t>Luhmann’s</w:t>
      </w:r>
      <w:r>
        <w:rPr>
          <w:rFonts w:ascii="Calibri" w:hAnsi="Calibri"/>
          <w:spacing w:val="-7"/>
          <w:sz w:val="20"/>
          <w:vertAlign w:val="baseline"/>
        </w:rPr>
        <w:t> </w:t>
      </w:r>
      <w:r>
        <w:rPr>
          <w:rFonts w:ascii="Calibri" w:hAnsi="Calibri"/>
          <w:sz w:val="20"/>
          <w:vertAlign w:val="baseline"/>
        </w:rPr>
        <w:t>organization-structure</w:t>
      </w:r>
      <w:r>
        <w:rPr>
          <w:rFonts w:ascii="Calibri" w:hAnsi="Calibri"/>
          <w:spacing w:val="-8"/>
          <w:sz w:val="20"/>
          <w:vertAlign w:val="baseline"/>
        </w:rPr>
        <w:t> </w:t>
      </w:r>
      <w:r>
        <w:rPr>
          <w:rFonts w:ascii="Calibri" w:hAnsi="Calibri"/>
          <w:spacing w:val="-2"/>
          <w:sz w:val="20"/>
          <w:vertAlign w:val="baseline"/>
        </w:rPr>
        <w:t>divide</w:t>
      </w:r>
    </w:p>
    <w:p>
      <w:pPr>
        <w:spacing w:after="0"/>
        <w:jc w:val="left"/>
        <w:rPr>
          <w:rFonts w:ascii="Calibri" w:hAnsi="Calibri"/>
          <w:sz w:val="20"/>
        </w:rPr>
        <w:sectPr>
          <w:pgSz w:w="12240" w:h="15840"/>
          <w:pgMar w:header="1046" w:footer="0" w:top="1360" w:bottom="280" w:left="720" w:right="360"/>
        </w:sectPr>
      </w:pPr>
    </w:p>
    <w:p>
      <w:pPr>
        <w:pStyle w:val="BodyText"/>
        <w:spacing w:line="276" w:lineRule="auto" w:before="276"/>
        <w:ind w:right="1919"/>
      </w:pPr>
      <w:r>
        <w:rPr/>
        <w:t>cases the market actors acquire the status of the ‘independent experts’ and influence the political processes by giving the advices.</w:t>
      </w:r>
    </w:p>
    <w:p>
      <w:pPr>
        <w:pStyle w:val="BodyText"/>
        <w:spacing w:line="273" w:lineRule="auto"/>
        <w:ind w:right="1901" w:firstLine="720"/>
      </w:pPr>
      <w:r>
        <w:rPr/>
        <w:t>The above explained condition is common for the </w:t>
      </w:r>
      <w:r>
        <w:rPr>
          <w:sz w:val="27"/>
        </w:rPr>
        <w:t>Westphalian </w:t>
      </w:r>
      <w:r>
        <w:rPr/>
        <w:t>political order. The European Integration opened up a new ‘uninhabited’ space for communication. In the beginning of the process appeared two public clusters, that were involved in the processes; the European political elite was a mixture of national political elites and was hardly homogenous</w:t>
      </w:r>
      <w:r>
        <w:rPr>
          <w:spacing w:val="40"/>
        </w:rPr>
        <w:t> </w:t>
      </w:r>
      <w:r>
        <w:rPr/>
        <w:t>in intentions. To the contrary, the economic elites saw the attractiveness of the integration and eagerly shaped a truth ‘transnational capitalist class.’ As the later studies have shown “the economic elites in particular tend to display higher levels of Europeanness than their political counterparts.” (</w:t>
      </w:r>
      <w:hyperlink w:history="true" w:anchor="_bookmark100">
        <w:r>
          <w:rPr/>
          <w:t>Best, 2012, p. 231</w:t>
        </w:r>
      </w:hyperlink>
      <w:r>
        <w:rPr/>
        <w:t>)</w:t>
      </w:r>
      <w:r>
        <w:rPr>
          <w:spacing w:val="-1"/>
        </w:rPr>
        <w:t> </w:t>
      </w:r>
      <w:r>
        <w:rPr>
          <w:sz w:val="27"/>
        </w:rPr>
        <w:t>Bastiaan van Apeldoorn </w:t>
      </w:r>
      <w:r>
        <w:rPr/>
        <w:t>identified two fractions within the economic elite: a) </w:t>
      </w:r>
      <w:r>
        <w:rPr>
          <w:sz w:val="27"/>
        </w:rPr>
        <w:t>globalist fraction, </w:t>
      </w:r>
      <w:r>
        <w:rPr/>
        <w:t>the neo-liberals, included the global players (financial institutions, transnational companies), b) </w:t>
      </w:r>
      <w:r>
        <w:rPr>
          <w:sz w:val="27"/>
        </w:rPr>
        <w:t>Europeanist fraction, </w:t>
      </w:r>
      <w:r>
        <w:rPr/>
        <w:t>the neo mercantilists, consisted of those actors that operated on a transnational scale, but were rather protective against the global input into the European market.</w:t>
      </w:r>
    </w:p>
    <w:p>
      <w:pPr>
        <w:pStyle w:val="BodyText"/>
        <w:spacing w:line="276" w:lineRule="auto"/>
        <w:ind w:right="1904" w:firstLine="720"/>
      </w:pPr>
      <w:r>
        <w:rPr/>
        <w:t>The arena of their competition was the European Round Table of Industrialists (ERT), a major organization that united the most powerful business interests of Europe. (</w:t>
      </w:r>
      <w:hyperlink w:history="true" w:anchor="_bookmark415">
        <w:r>
          <w:rPr/>
          <w:t>van Apeldoorn, 2001, p. 77</w:t>
        </w:r>
      </w:hyperlink>
      <w:r>
        <w:rPr/>
        <w:t>) The ERT was lobbying for the further economic integration and was so influential that: “ERT propositions as formulated in their Europe 1990: An Agenda for Action proposal were adopted almost word for word in the Commission’s White Paper on Completing the Internal Market.” (</w:t>
      </w:r>
      <w:hyperlink w:history="true" w:anchor="_bookmark216">
        <w:r>
          <w:rPr/>
          <w:t>Hermann, 2007, p. 9</w:t>
        </w:r>
      </w:hyperlink>
      <w:r>
        <w:rPr/>
        <w:t>)</w:t>
      </w:r>
    </w:p>
    <w:p>
      <w:pPr>
        <w:pStyle w:val="BodyText"/>
        <w:spacing w:line="276" w:lineRule="auto"/>
        <w:ind w:right="1905" w:firstLine="720"/>
      </w:pPr>
      <w:r>
        <w:rPr/>
        <w:t>A market is an integral part of the economic system, but the economic system is more than a market. The latter always involves a method, a discourse or ideology that describes or/and defines the nature of the market. It would be feasible to argue that the result of the economic relations can in some cases be determined by the political system. For example, the very idea of the Soviet Communist Party was to abolish the capitalist class structure by introducing a planned economy. It was a closed circle</w:t>
      </w:r>
      <w:r>
        <w:rPr>
          <w:spacing w:val="80"/>
        </w:rPr>
        <w:t> </w:t>
      </w:r>
      <w:r>
        <w:rPr/>
        <w:t>in</w:t>
      </w:r>
      <w:r>
        <w:rPr>
          <w:spacing w:val="77"/>
        </w:rPr>
        <w:t> </w:t>
      </w:r>
      <w:r>
        <w:rPr/>
        <w:t>which:</w:t>
      </w:r>
      <w:r>
        <w:rPr>
          <w:spacing w:val="78"/>
        </w:rPr>
        <w:t> </w:t>
      </w:r>
      <w:r>
        <w:rPr/>
        <w:t>a)</w:t>
      </w:r>
      <w:r>
        <w:rPr>
          <w:spacing w:val="77"/>
        </w:rPr>
        <w:t> </w:t>
      </w:r>
      <w:r>
        <w:rPr/>
        <w:t>the</w:t>
      </w:r>
      <w:r>
        <w:rPr>
          <w:spacing w:val="76"/>
        </w:rPr>
        <w:t> </w:t>
      </w:r>
      <w:r>
        <w:rPr/>
        <w:t>economic</w:t>
      </w:r>
      <w:r>
        <w:rPr>
          <w:spacing w:val="80"/>
        </w:rPr>
        <w:t> </w:t>
      </w:r>
      <w:r>
        <w:rPr/>
        <w:t>ideas</w:t>
      </w:r>
      <w:r>
        <w:rPr>
          <w:spacing w:val="79"/>
        </w:rPr>
        <w:t> </w:t>
      </w:r>
      <w:r>
        <w:rPr/>
        <w:t>shaped</w:t>
      </w:r>
      <w:r>
        <w:rPr>
          <w:spacing w:val="78"/>
        </w:rPr>
        <w:t> </w:t>
      </w:r>
      <w:r>
        <w:rPr/>
        <w:t>the</w:t>
      </w:r>
      <w:r>
        <w:rPr>
          <w:spacing w:val="76"/>
        </w:rPr>
        <w:t> </w:t>
      </w:r>
      <w:r>
        <w:rPr/>
        <w:t>political</w:t>
      </w:r>
      <w:r>
        <w:rPr>
          <w:spacing w:val="78"/>
        </w:rPr>
        <w:t> </w:t>
      </w:r>
      <w:r>
        <w:rPr/>
        <w:t>system</w:t>
      </w:r>
      <w:r>
        <w:rPr>
          <w:spacing w:val="78"/>
        </w:rPr>
        <w:t> </w:t>
      </w:r>
      <w:r>
        <w:rPr/>
        <w:t>b)</w:t>
      </w:r>
    </w:p>
    <w:p>
      <w:pPr>
        <w:pStyle w:val="BodyText"/>
        <w:spacing w:after="0" w:line="276" w:lineRule="auto"/>
        <w:sectPr>
          <w:pgSz w:w="12240" w:h="15840"/>
          <w:pgMar w:header="1046" w:footer="0" w:top="1360" w:bottom="280" w:left="720" w:right="360"/>
        </w:sectPr>
      </w:pPr>
    </w:p>
    <w:p>
      <w:pPr>
        <w:pStyle w:val="BodyText"/>
        <w:spacing w:line="273" w:lineRule="auto" w:before="276"/>
        <w:ind w:right="1911"/>
        <w:rPr>
          <w:sz w:val="27"/>
        </w:rPr>
      </w:pPr>
      <w:r>
        <w:rPr/>
        <w:t>political system acquired a full control over it, c) the state organized the market, according to the founding ideas, d) the very political system launched self-destructive programs like </w:t>
      </w:r>
      <w:r>
        <w:rPr>
          <w:sz w:val="27"/>
        </w:rPr>
        <w:t>glasnost </w:t>
      </w:r>
      <w:r>
        <w:rPr/>
        <w:t>and </w:t>
      </w:r>
      <w:r>
        <w:rPr>
          <w:sz w:val="27"/>
        </w:rPr>
        <w:t>perestroika.</w:t>
      </w:r>
    </w:p>
    <w:p>
      <w:pPr>
        <w:pStyle w:val="BodyText"/>
        <w:spacing w:line="273" w:lineRule="auto"/>
        <w:ind w:right="1906" w:firstLine="720"/>
      </w:pPr>
      <w:r>
        <w:rPr/>
        <w:t>The European integration differs from this example. In Europe, the political system did not absorb the market, instead the political identity co- evolved</w:t>
      </w:r>
      <w:r>
        <w:rPr>
          <w:spacing w:val="-5"/>
        </w:rPr>
        <w:t> </w:t>
      </w:r>
      <w:r>
        <w:rPr/>
        <w:t>with</w:t>
      </w:r>
      <w:r>
        <w:rPr>
          <w:spacing w:val="-6"/>
        </w:rPr>
        <w:t> </w:t>
      </w:r>
      <w:r>
        <w:rPr/>
        <w:t>the</w:t>
      </w:r>
      <w:r>
        <w:rPr>
          <w:spacing w:val="-10"/>
        </w:rPr>
        <w:t> </w:t>
      </w:r>
      <w:r>
        <w:rPr/>
        <w:t>economic</w:t>
      </w:r>
      <w:r>
        <w:rPr>
          <w:spacing w:val="-7"/>
        </w:rPr>
        <w:t> </w:t>
      </w:r>
      <w:r>
        <w:rPr/>
        <w:t>system.</w:t>
      </w:r>
      <w:r>
        <w:rPr>
          <w:spacing w:val="-5"/>
        </w:rPr>
        <w:t> </w:t>
      </w:r>
      <w:r>
        <w:rPr/>
        <w:t>The </w:t>
      </w:r>
      <w:r>
        <w:rPr>
          <w:sz w:val="27"/>
        </w:rPr>
        <w:t>Maastricht</w:t>
      </w:r>
      <w:r>
        <w:rPr>
          <w:spacing w:val="-8"/>
          <w:sz w:val="27"/>
        </w:rPr>
        <w:t> </w:t>
      </w:r>
      <w:r>
        <w:rPr>
          <w:sz w:val="27"/>
        </w:rPr>
        <w:t>Treaty</w:t>
      </w:r>
      <w:r>
        <w:rPr>
          <w:spacing w:val="-6"/>
          <w:sz w:val="27"/>
        </w:rPr>
        <w:t> </w:t>
      </w:r>
      <w:r>
        <w:rPr/>
        <w:t>could</w:t>
      </w:r>
      <w:r>
        <w:rPr>
          <w:spacing w:val="-5"/>
        </w:rPr>
        <w:t> </w:t>
      </w:r>
      <w:r>
        <w:rPr/>
        <w:t>serve</w:t>
      </w:r>
      <w:r>
        <w:rPr>
          <w:spacing w:val="-6"/>
        </w:rPr>
        <w:t> </w:t>
      </w:r>
      <w:r>
        <w:rPr/>
        <w:t>as</w:t>
      </w:r>
      <w:r>
        <w:rPr>
          <w:spacing w:val="-8"/>
        </w:rPr>
        <w:t> </w:t>
      </w:r>
      <w:r>
        <w:rPr/>
        <w:t>an example of this long-lasting dependency. The Treaty seemed to reflect the interests</w:t>
      </w:r>
      <w:r>
        <w:rPr>
          <w:spacing w:val="-3"/>
        </w:rPr>
        <w:t> </w:t>
      </w:r>
      <w:r>
        <w:rPr/>
        <w:t>of</w:t>
      </w:r>
      <w:r>
        <w:rPr>
          <w:spacing w:val="-2"/>
        </w:rPr>
        <w:t> </w:t>
      </w:r>
      <w:r>
        <w:rPr/>
        <w:t>economic</w:t>
      </w:r>
      <w:r>
        <w:rPr>
          <w:spacing w:val="-2"/>
        </w:rPr>
        <w:t> </w:t>
      </w:r>
      <w:r>
        <w:rPr/>
        <w:t>(both</w:t>
      </w:r>
      <w:r>
        <w:rPr>
          <w:spacing w:val="-1"/>
        </w:rPr>
        <w:t> </w:t>
      </w:r>
      <w:r>
        <w:rPr/>
        <w:t>fractions), and political elites</w:t>
      </w:r>
      <w:r>
        <w:rPr>
          <w:spacing w:val="-3"/>
        </w:rPr>
        <w:t> </w:t>
      </w:r>
      <w:r>
        <w:rPr/>
        <w:t>(dominated by</w:t>
      </w:r>
      <w:r>
        <w:rPr>
          <w:spacing w:val="-1"/>
        </w:rPr>
        <w:t> </w:t>
      </w:r>
      <w:r>
        <w:rPr/>
        <w:t>the social democrats). However, as the time passed the neo-liberals have gained a structural advantage.</w:t>
      </w:r>
      <w:r>
        <w:rPr>
          <w:position w:val="7"/>
          <w:sz w:val="15"/>
        </w:rPr>
        <w:t>39</w:t>
      </w:r>
      <w:r>
        <w:rPr>
          <w:spacing w:val="40"/>
          <w:position w:val="7"/>
          <w:sz w:val="15"/>
        </w:rPr>
        <w:t> </w:t>
      </w:r>
      <w:r>
        <w:rPr/>
        <w:t>(</w:t>
      </w:r>
      <w:hyperlink w:history="true" w:anchor="_bookmark415">
        <w:r>
          <w:rPr/>
          <w:t>van Apeldoorn, 2001, p. 81</w:t>
        </w:r>
      </w:hyperlink>
      <w:r>
        <w:rPr/>
        <w:t>)</w:t>
      </w:r>
    </w:p>
    <w:p>
      <w:pPr>
        <w:pStyle w:val="BodyText"/>
        <w:spacing w:line="276" w:lineRule="auto" w:before="4"/>
        <w:ind w:right="1907" w:firstLine="720"/>
      </w:pPr>
      <w:r>
        <w:rPr/>
        <w:t>The</w:t>
      </w:r>
      <w:r>
        <w:rPr>
          <w:spacing w:val="-4"/>
        </w:rPr>
        <w:t> </w:t>
      </w:r>
      <w:r>
        <w:rPr/>
        <w:t>economic</w:t>
      </w:r>
      <w:r>
        <w:rPr>
          <w:spacing w:val="-5"/>
        </w:rPr>
        <w:t> </w:t>
      </w:r>
      <w:r>
        <w:rPr/>
        <w:t>message</w:t>
      </w:r>
      <w:r>
        <w:rPr>
          <w:spacing w:val="-4"/>
        </w:rPr>
        <w:t> </w:t>
      </w:r>
      <w:r>
        <w:rPr/>
        <w:t>in</w:t>
      </w:r>
      <w:r>
        <w:rPr>
          <w:spacing w:val="-3"/>
        </w:rPr>
        <w:t> </w:t>
      </w:r>
      <w:r>
        <w:rPr/>
        <w:t>the</w:t>
      </w:r>
      <w:r>
        <w:rPr>
          <w:spacing w:val="-4"/>
        </w:rPr>
        <w:t> </w:t>
      </w:r>
      <w:r>
        <w:rPr/>
        <w:t>market</w:t>
      </w:r>
      <w:r>
        <w:rPr>
          <w:spacing w:val="-4"/>
        </w:rPr>
        <w:t> </w:t>
      </w:r>
      <w:r>
        <w:rPr/>
        <w:t>communication</w:t>
      </w:r>
      <w:r>
        <w:rPr>
          <w:spacing w:val="-3"/>
        </w:rPr>
        <w:t> </w:t>
      </w:r>
      <w:r>
        <w:rPr/>
        <w:t>is</w:t>
      </w:r>
      <w:r>
        <w:rPr>
          <w:spacing w:val="-6"/>
        </w:rPr>
        <w:t> </w:t>
      </w:r>
      <w:r>
        <w:rPr/>
        <w:t>a</w:t>
      </w:r>
      <w:r>
        <w:rPr>
          <w:spacing w:val="-4"/>
        </w:rPr>
        <w:t> </w:t>
      </w:r>
      <w:r>
        <w:rPr/>
        <w:t>transaction. The transaction has costs, those actors who have more information about the nature of the communication are more cost efficient than those who do not</w:t>
      </w:r>
      <w:r>
        <w:rPr>
          <w:spacing w:val="-3"/>
        </w:rPr>
        <w:t> </w:t>
      </w:r>
      <w:r>
        <w:rPr/>
        <w:t>have</w:t>
      </w:r>
      <w:r>
        <w:rPr>
          <w:spacing w:val="-3"/>
        </w:rPr>
        <w:t> </w:t>
      </w:r>
      <w:r>
        <w:rPr/>
        <w:t>access</w:t>
      </w:r>
      <w:r>
        <w:rPr>
          <w:spacing w:val="-5"/>
        </w:rPr>
        <w:t> </w:t>
      </w:r>
      <w:r>
        <w:rPr/>
        <w:t>to</w:t>
      </w:r>
      <w:r>
        <w:rPr>
          <w:spacing w:val="-6"/>
        </w:rPr>
        <w:t> </w:t>
      </w:r>
      <w:r>
        <w:rPr/>
        <w:t>it. (</w:t>
      </w:r>
      <w:hyperlink w:history="true" w:anchor="_bookmark440">
        <w:r>
          <w:rPr/>
          <w:t>Williamson,</w:t>
        </w:r>
        <w:r>
          <w:rPr>
            <w:spacing w:val="-2"/>
          </w:rPr>
          <w:t> </w:t>
        </w:r>
        <w:r>
          <w:rPr/>
          <w:t>1981</w:t>
        </w:r>
      </w:hyperlink>
      <w:r>
        <w:rPr/>
        <w:t>)</w:t>
      </w:r>
      <w:r>
        <w:rPr>
          <w:spacing w:val="-2"/>
        </w:rPr>
        <w:t> </w:t>
      </w:r>
      <w:r>
        <w:rPr/>
        <w:t>As</w:t>
      </w:r>
      <w:r>
        <w:rPr>
          <w:spacing w:val="-5"/>
        </w:rPr>
        <w:t> </w:t>
      </w:r>
      <w:r>
        <w:rPr/>
        <w:t>the</w:t>
      </w:r>
      <w:r>
        <w:rPr>
          <w:spacing w:val="-3"/>
        </w:rPr>
        <w:t> </w:t>
      </w:r>
      <w:r>
        <w:rPr/>
        <w:t>Europe</w:t>
      </w:r>
      <w:r>
        <w:rPr>
          <w:spacing w:val="-3"/>
        </w:rPr>
        <w:t> </w:t>
      </w:r>
      <w:r>
        <w:rPr/>
        <w:t>was</w:t>
      </w:r>
      <w:r>
        <w:rPr>
          <w:spacing w:val="-5"/>
        </w:rPr>
        <w:t> </w:t>
      </w:r>
      <w:r>
        <w:rPr/>
        <w:t>recovering</w:t>
      </w:r>
      <w:r>
        <w:rPr>
          <w:spacing w:val="-3"/>
        </w:rPr>
        <w:t> </w:t>
      </w:r>
      <w:r>
        <w:rPr/>
        <w:t>after the war, the political system (the national Governments) became a primary distributor of the information. This condition on the one hand was an obstacle for the economic system, but on the other hand, it was an opportunity to construct the continent according to the market demands.</w:t>
      </w:r>
    </w:p>
    <w:p>
      <w:pPr>
        <w:pStyle w:val="BodyText"/>
        <w:spacing w:line="273" w:lineRule="auto"/>
        <w:ind w:right="1910" w:firstLine="720"/>
      </w:pPr>
      <w:r>
        <w:rPr/>
        <w:t>The legal system provided some help to the economic actors in overcoming</w:t>
      </w:r>
      <w:r>
        <w:rPr>
          <w:spacing w:val="-5"/>
        </w:rPr>
        <w:t> </w:t>
      </w:r>
      <w:r>
        <w:rPr/>
        <w:t>political</w:t>
      </w:r>
      <w:r>
        <w:rPr>
          <w:spacing w:val="-6"/>
        </w:rPr>
        <w:t> </w:t>
      </w:r>
      <w:r>
        <w:rPr/>
        <w:t>obstacles.</w:t>
      </w:r>
      <w:r>
        <w:rPr>
          <w:spacing w:val="-7"/>
        </w:rPr>
        <w:t> </w:t>
      </w:r>
      <w:r>
        <w:rPr/>
        <w:t>The</w:t>
      </w:r>
      <w:r>
        <w:rPr>
          <w:spacing w:val="-4"/>
        </w:rPr>
        <w:t> </w:t>
      </w:r>
      <w:r>
        <w:rPr>
          <w:sz w:val="27"/>
        </w:rPr>
        <w:t>Cassis</w:t>
      </w:r>
      <w:r>
        <w:rPr>
          <w:spacing w:val="-13"/>
          <w:sz w:val="27"/>
        </w:rPr>
        <w:t> </w:t>
      </w:r>
      <w:r>
        <w:rPr>
          <w:sz w:val="27"/>
        </w:rPr>
        <w:t>de</w:t>
      </w:r>
      <w:r>
        <w:rPr>
          <w:spacing w:val="-7"/>
          <w:sz w:val="27"/>
        </w:rPr>
        <w:t> </w:t>
      </w:r>
      <w:r>
        <w:rPr>
          <w:sz w:val="27"/>
        </w:rPr>
        <w:t>Dijon</w:t>
      </w:r>
      <w:r>
        <w:rPr>
          <w:spacing w:val="-7"/>
          <w:sz w:val="27"/>
        </w:rPr>
        <w:t> </w:t>
      </w:r>
      <w:r>
        <w:rPr/>
        <w:t>case</w:t>
      </w:r>
      <w:r>
        <w:rPr>
          <w:spacing w:val="-7"/>
        </w:rPr>
        <w:t> </w:t>
      </w:r>
      <w:r>
        <w:rPr/>
        <w:t>had</w:t>
      </w:r>
      <w:r>
        <w:rPr>
          <w:spacing w:val="-6"/>
        </w:rPr>
        <w:t> </w:t>
      </w:r>
      <w:r>
        <w:rPr/>
        <w:t>determined</w:t>
      </w:r>
      <w:r>
        <w:rPr>
          <w:spacing w:val="-6"/>
        </w:rPr>
        <w:t> </w:t>
      </w:r>
      <w:r>
        <w:rPr/>
        <w:t>the nature of the future couplings between the economic and political systems. In the</w:t>
      </w:r>
      <w:r>
        <w:rPr>
          <w:spacing w:val="-1"/>
        </w:rPr>
        <w:t> </w:t>
      </w:r>
      <w:r>
        <w:rPr/>
        <w:t>case</w:t>
      </w:r>
      <w:r>
        <w:rPr>
          <w:spacing w:val="-1"/>
        </w:rPr>
        <w:t> </w:t>
      </w:r>
      <w:r>
        <w:rPr/>
        <w:t>the</w:t>
      </w:r>
      <w:r>
        <w:rPr>
          <w:spacing w:val="-1"/>
        </w:rPr>
        <w:t> </w:t>
      </w:r>
      <w:r>
        <w:rPr/>
        <w:t>ECJ</w:t>
      </w:r>
      <w:r>
        <w:rPr>
          <w:spacing w:val="-4"/>
        </w:rPr>
        <w:t> </w:t>
      </w:r>
      <w:r>
        <w:rPr/>
        <w:t>was</w:t>
      </w:r>
      <w:r>
        <w:rPr>
          <w:spacing w:val="-3"/>
        </w:rPr>
        <w:t> </w:t>
      </w:r>
      <w:r>
        <w:rPr/>
        <w:t>deciding</w:t>
      </w:r>
      <w:r>
        <w:rPr>
          <w:spacing w:val="-1"/>
        </w:rPr>
        <w:t> </w:t>
      </w:r>
      <w:r>
        <w:rPr/>
        <w:t>whether the</w:t>
      </w:r>
      <w:r>
        <w:rPr>
          <w:spacing w:val="-1"/>
        </w:rPr>
        <w:t> </w:t>
      </w:r>
      <w:r>
        <w:rPr/>
        <w:t>French</w:t>
      </w:r>
      <w:r>
        <w:rPr>
          <w:spacing w:val="-1"/>
        </w:rPr>
        <w:t> </w:t>
      </w:r>
      <w:r>
        <w:rPr/>
        <w:t>liquor </w:t>
      </w:r>
      <w:r>
        <w:rPr>
          <w:sz w:val="27"/>
        </w:rPr>
        <w:t>Cassis</w:t>
      </w:r>
      <w:r>
        <w:rPr>
          <w:spacing w:val="-6"/>
          <w:sz w:val="27"/>
        </w:rPr>
        <w:t> </w:t>
      </w:r>
      <w:r>
        <w:rPr>
          <w:sz w:val="27"/>
        </w:rPr>
        <w:t>de</w:t>
      </w:r>
      <w:r>
        <w:rPr>
          <w:spacing w:val="-3"/>
          <w:sz w:val="27"/>
        </w:rPr>
        <w:t> </w:t>
      </w:r>
      <w:r>
        <w:rPr>
          <w:sz w:val="27"/>
        </w:rPr>
        <w:t>Dijon </w:t>
      </w:r>
      <w:r>
        <w:rPr/>
        <w:t>could be legally sold</w:t>
      </w:r>
      <w:r>
        <w:rPr>
          <w:spacing w:val="40"/>
        </w:rPr>
        <w:t> </w:t>
      </w:r>
      <w:r>
        <w:rPr/>
        <w:t>on the German market; according to the German law, the alcohol content in the spirits had to be at least 25 percent, while the Cassis had only 10-20. The German government had two main arguments for banning the product, according to which: 1) allowing the beverages</w:t>
      </w:r>
      <w:r>
        <w:rPr>
          <w:spacing w:val="40"/>
        </w:rPr>
        <w:t> </w:t>
      </w:r>
      <w:r>
        <w:rPr/>
        <w:t>with low level of alcohol ‘could more easily induce a tolerance toward alcohol than more highly alcoholic beverages,’ 2) accepting the French alcohol content regulations ‘mean that one country could set standards for all</w:t>
      </w:r>
      <w:r>
        <w:rPr>
          <w:spacing w:val="-6"/>
        </w:rPr>
        <w:t> </w:t>
      </w:r>
      <w:r>
        <w:rPr/>
        <w:t>member</w:t>
      </w:r>
      <w:r>
        <w:rPr>
          <w:spacing w:val="-5"/>
        </w:rPr>
        <w:t> </w:t>
      </w:r>
      <w:r>
        <w:rPr/>
        <w:t>states,</w:t>
      </w:r>
      <w:r>
        <w:rPr>
          <w:spacing w:val="-6"/>
        </w:rPr>
        <w:t> </w:t>
      </w:r>
      <w:r>
        <w:rPr/>
        <w:t>thus</w:t>
      </w:r>
      <w:r>
        <w:rPr>
          <w:spacing w:val="-9"/>
        </w:rPr>
        <w:t> </w:t>
      </w:r>
      <w:r>
        <w:rPr/>
        <w:t>precipitating</w:t>
      </w:r>
      <w:r>
        <w:rPr>
          <w:spacing w:val="-7"/>
        </w:rPr>
        <w:t> </w:t>
      </w:r>
      <w:r>
        <w:rPr/>
        <w:t>a</w:t>
      </w:r>
      <w:r>
        <w:rPr>
          <w:spacing w:val="-6"/>
        </w:rPr>
        <w:t> </w:t>
      </w:r>
      <w:r>
        <w:rPr/>
        <w:t>lowering</w:t>
      </w:r>
      <w:r>
        <w:rPr>
          <w:spacing w:val="-7"/>
        </w:rPr>
        <w:t> </w:t>
      </w:r>
      <w:r>
        <w:rPr/>
        <w:t>of</w:t>
      </w:r>
      <w:r>
        <w:rPr>
          <w:spacing w:val="-8"/>
        </w:rPr>
        <w:t> </w:t>
      </w:r>
      <w:r>
        <w:rPr/>
        <w:t>standards</w:t>
      </w:r>
      <w:r>
        <w:rPr>
          <w:spacing w:val="-8"/>
        </w:rPr>
        <w:t> </w:t>
      </w:r>
      <w:r>
        <w:rPr/>
        <w:t>throughout</w:t>
      </w:r>
      <w:r>
        <w:rPr>
          <w:spacing w:val="-7"/>
        </w:rPr>
        <w:t> </w:t>
      </w:r>
      <w:r>
        <w:rPr>
          <w:spacing w:val="-5"/>
        </w:rPr>
        <w:t>the</w:t>
      </w:r>
    </w:p>
    <w:p>
      <w:pPr>
        <w:pStyle w:val="BodyText"/>
        <w:spacing w:before="56"/>
        <w:ind w:left="0"/>
        <w:jc w:val="left"/>
        <w:rPr>
          <w:sz w:val="20"/>
        </w:rPr>
      </w:pPr>
      <w:r>
        <w:rPr>
          <w:sz w:val="20"/>
        </w:rPr>
        <mc:AlternateContent>
          <mc:Choice Requires="wps">
            <w:drawing>
              <wp:anchor distT="0" distB="0" distL="0" distR="0" allowOverlap="1" layoutInCell="1" locked="0" behindDoc="1" simplePos="0" relativeHeight="487667200">
                <wp:simplePos x="0" y="0"/>
                <wp:positionH relativeFrom="page">
                  <wp:posOffset>1079296</wp:posOffset>
                </wp:positionH>
                <wp:positionV relativeFrom="paragraph">
                  <wp:posOffset>218618</wp:posOffset>
                </wp:positionV>
                <wp:extent cx="1830070" cy="9525"/>
                <wp:effectExtent l="0" t="0" r="0" b="0"/>
                <wp:wrapTopAndBottom/>
                <wp:docPr id="193" name="Graphic 193"/>
                <wp:cNvGraphicFramePr>
                  <a:graphicFrameLocks/>
                </wp:cNvGraphicFramePr>
                <a:graphic>
                  <a:graphicData uri="http://schemas.microsoft.com/office/word/2010/wordprocessingShape">
                    <wps:wsp>
                      <wps:cNvPr id="193" name="Graphic 193"/>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17.214054pt;width:144.07pt;height:.71997pt;mso-position-horizontal-relative:page;mso-position-vertical-relative:paragraph;z-index:-15649280;mso-wrap-distance-left:0;mso-wrap-distance-right:0" id="docshape180" filled="true" fillcolor="#000000" stroked="false">
                <v:fill type="solid"/>
                <w10:wrap type="topAndBottom"/>
              </v:rect>
            </w:pict>
          </mc:Fallback>
        </mc:AlternateContent>
      </w:r>
    </w:p>
    <w:p>
      <w:pPr>
        <w:spacing w:before="102"/>
        <w:ind w:left="979" w:right="1909" w:firstLine="0"/>
        <w:jc w:val="left"/>
        <w:rPr>
          <w:rFonts w:ascii="Calibri"/>
          <w:sz w:val="20"/>
        </w:rPr>
      </w:pPr>
      <w:r>
        <w:rPr>
          <w:rFonts w:ascii="Calibri"/>
          <w:sz w:val="20"/>
          <w:vertAlign w:val="superscript"/>
        </w:rPr>
        <w:t>39</w:t>
      </w:r>
      <w:r>
        <w:rPr>
          <w:rFonts w:ascii="Calibri"/>
          <w:spacing w:val="40"/>
          <w:sz w:val="20"/>
          <w:vertAlign w:val="baseline"/>
        </w:rPr>
        <w:t> </w:t>
      </w:r>
      <w:r>
        <w:rPr>
          <w:rFonts w:ascii="Calibri"/>
          <w:sz w:val="20"/>
          <w:vertAlign w:val="baseline"/>
        </w:rPr>
        <w:t>This</w:t>
      </w:r>
      <w:r>
        <w:rPr>
          <w:rFonts w:ascii="Calibri"/>
          <w:spacing w:val="40"/>
          <w:sz w:val="20"/>
          <w:vertAlign w:val="baseline"/>
        </w:rPr>
        <w:t> </w:t>
      </w:r>
      <w:r>
        <w:rPr>
          <w:rFonts w:ascii="Calibri"/>
          <w:sz w:val="20"/>
          <w:vertAlign w:val="baseline"/>
        </w:rPr>
        <w:t>was</w:t>
      </w:r>
      <w:r>
        <w:rPr>
          <w:rFonts w:ascii="Calibri"/>
          <w:spacing w:val="40"/>
          <w:sz w:val="20"/>
          <w:vertAlign w:val="baseline"/>
        </w:rPr>
        <w:t> </w:t>
      </w:r>
      <w:r>
        <w:rPr>
          <w:rFonts w:ascii="Calibri"/>
          <w:sz w:val="20"/>
          <w:vertAlign w:val="baseline"/>
        </w:rPr>
        <w:t>caused</w:t>
      </w:r>
      <w:r>
        <w:rPr>
          <w:rFonts w:ascii="Calibri"/>
          <w:spacing w:val="40"/>
          <w:sz w:val="20"/>
          <w:vertAlign w:val="baseline"/>
        </w:rPr>
        <w:t> </w:t>
      </w:r>
      <w:r>
        <w:rPr>
          <w:rFonts w:ascii="Calibri"/>
          <w:sz w:val="20"/>
          <w:vertAlign w:val="baseline"/>
        </w:rPr>
        <w:t>by</w:t>
      </w:r>
      <w:r>
        <w:rPr>
          <w:rFonts w:ascii="Calibri"/>
          <w:spacing w:val="40"/>
          <w:sz w:val="20"/>
          <w:vertAlign w:val="baseline"/>
        </w:rPr>
        <w:t> </w:t>
      </w:r>
      <w:r>
        <w:rPr>
          <w:rFonts w:ascii="Calibri"/>
          <w:sz w:val="20"/>
          <w:vertAlign w:val="baseline"/>
        </w:rPr>
        <w:t>weakening</w:t>
      </w:r>
      <w:r>
        <w:rPr>
          <w:rFonts w:ascii="Calibri"/>
          <w:spacing w:val="40"/>
          <w:sz w:val="20"/>
          <w:vertAlign w:val="baseline"/>
        </w:rPr>
        <w:t> </w:t>
      </w:r>
      <w:r>
        <w:rPr>
          <w:rFonts w:ascii="Calibri"/>
          <w:sz w:val="20"/>
          <w:vertAlign w:val="baseline"/>
        </w:rPr>
        <w:t>of</w:t>
      </w:r>
      <w:r>
        <w:rPr>
          <w:rFonts w:ascii="Calibri"/>
          <w:spacing w:val="40"/>
          <w:sz w:val="20"/>
          <w:vertAlign w:val="baseline"/>
        </w:rPr>
        <w:t> </w:t>
      </w:r>
      <w:r>
        <w:rPr>
          <w:rFonts w:ascii="Calibri"/>
          <w:sz w:val="20"/>
          <w:vertAlign w:val="baseline"/>
        </w:rPr>
        <w:t>the</w:t>
      </w:r>
      <w:r>
        <w:rPr>
          <w:rFonts w:ascii="Calibri"/>
          <w:spacing w:val="40"/>
          <w:sz w:val="20"/>
          <w:vertAlign w:val="baseline"/>
        </w:rPr>
        <w:t> </w:t>
      </w:r>
      <w:r>
        <w:rPr>
          <w:rFonts w:ascii="Calibri"/>
          <w:sz w:val="20"/>
          <w:vertAlign w:val="baseline"/>
        </w:rPr>
        <w:t>social-democrats</w:t>
      </w:r>
      <w:r>
        <w:rPr>
          <w:rFonts w:ascii="Calibri"/>
          <w:spacing w:val="40"/>
          <w:sz w:val="20"/>
          <w:vertAlign w:val="baseline"/>
        </w:rPr>
        <w:t> </w:t>
      </w:r>
      <w:r>
        <w:rPr>
          <w:rFonts w:ascii="Calibri"/>
          <w:sz w:val="20"/>
          <w:vertAlign w:val="baseline"/>
        </w:rPr>
        <w:t>in</w:t>
      </w:r>
      <w:r>
        <w:rPr>
          <w:rFonts w:ascii="Calibri"/>
          <w:spacing w:val="40"/>
          <w:sz w:val="20"/>
          <w:vertAlign w:val="baseline"/>
        </w:rPr>
        <w:t> </w:t>
      </w:r>
      <w:r>
        <w:rPr>
          <w:rFonts w:ascii="Calibri"/>
          <w:sz w:val="20"/>
          <w:vertAlign w:val="baseline"/>
        </w:rPr>
        <w:t>politics</w:t>
      </w:r>
      <w:r>
        <w:rPr>
          <w:rFonts w:ascii="Calibri"/>
          <w:spacing w:val="40"/>
          <w:sz w:val="20"/>
          <w:vertAlign w:val="baseline"/>
        </w:rPr>
        <w:t> </w:t>
      </w:r>
      <w:r>
        <w:rPr>
          <w:rFonts w:ascii="Calibri"/>
          <w:sz w:val="20"/>
          <w:vertAlign w:val="baseline"/>
        </w:rPr>
        <w:t>and</w:t>
      </w:r>
      <w:r>
        <w:rPr>
          <w:rFonts w:ascii="Calibri"/>
          <w:spacing w:val="40"/>
          <w:sz w:val="20"/>
          <w:vertAlign w:val="baseline"/>
        </w:rPr>
        <w:t> </w:t>
      </w:r>
      <w:r>
        <w:rPr>
          <w:rFonts w:ascii="Calibri"/>
          <w:sz w:val="20"/>
          <w:vertAlign w:val="baseline"/>
        </w:rPr>
        <w:t>an</w:t>
      </w:r>
      <w:r>
        <w:rPr>
          <w:rFonts w:ascii="Calibri"/>
          <w:spacing w:val="40"/>
          <w:sz w:val="20"/>
          <w:vertAlign w:val="baseline"/>
        </w:rPr>
        <w:t> </w:t>
      </w:r>
      <w:r>
        <w:rPr>
          <w:rFonts w:ascii="Calibri"/>
          <w:sz w:val="20"/>
          <w:vertAlign w:val="baseline"/>
        </w:rPr>
        <w:t>increased</w:t>
      </w:r>
      <w:r>
        <w:rPr>
          <w:rFonts w:ascii="Calibri"/>
          <w:spacing w:val="40"/>
          <w:sz w:val="20"/>
          <w:vertAlign w:val="baseline"/>
        </w:rPr>
        <w:t> </w:t>
      </w:r>
      <w:r>
        <w:rPr>
          <w:rFonts w:ascii="Calibri"/>
          <w:sz w:val="20"/>
          <w:vertAlign w:val="baseline"/>
        </w:rPr>
        <w:t>level</w:t>
      </w:r>
      <w:r>
        <w:rPr>
          <w:rFonts w:ascii="Calibri"/>
          <w:spacing w:val="40"/>
          <w:sz w:val="20"/>
          <w:vertAlign w:val="baseline"/>
        </w:rPr>
        <w:t> </w:t>
      </w:r>
      <w:r>
        <w:rPr>
          <w:rFonts w:ascii="Calibri"/>
          <w:sz w:val="20"/>
          <w:vertAlign w:val="baseline"/>
        </w:rPr>
        <w:t>of globalization of markets.</w:t>
      </w:r>
    </w:p>
    <w:p>
      <w:pPr>
        <w:spacing w:after="0"/>
        <w:jc w:val="left"/>
        <w:rPr>
          <w:rFonts w:ascii="Calibri"/>
          <w:sz w:val="20"/>
        </w:rPr>
        <w:sectPr>
          <w:pgSz w:w="12240" w:h="15840"/>
          <w:pgMar w:header="1046" w:footer="0" w:top="1360" w:bottom="280" w:left="720" w:right="360"/>
        </w:sectPr>
      </w:pPr>
    </w:p>
    <w:p>
      <w:pPr>
        <w:pStyle w:val="BodyText"/>
        <w:spacing w:line="273" w:lineRule="auto" w:before="276"/>
        <w:ind w:right="1903"/>
      </w:pPr>
      <w:r>
        <w:rPr/>
        <w:t>EC.’ (</w:t>
      </w:r>
      <w:hyperlink w:history="true" w:anchor="_bookmark77">
        <w:r>
          <w:rPr/>
          <w:t>Alter &amp; Meunier, 1994</w:t>
        </w:r>
      </w:hyperlink>
      <w:r>
        <w:rPr/>
        <w:t>) The Court rejected the German arguments</w:t>
      </w:r>
      <w:r>
        <w:rPr>
          <w:spacing w:val="40"/>
        </w:rPr>
        <w:t> </w:t>
      </w:r>
      <w:r>
        <w:rPr/>
        <w:t>and subsequently explained that the judges did not see the reason why “lawfully produced and marketed in one of the Member States, alcoholic beverages should not be introduced into any other Member State.” This explanation became a cornerstone of the political debate consequently initiated by the Commission, that informed the member states about a new direction in harmonization policies. As a result the </w:t>
      </w:r>
      <w:r>
        <w:rPr>
          <w:sz w:val="27"/>
        </w:rPr>
        <w:t>Single European Act </w:t>
      </w:r>
      <w:r>
        <w:rPr/>
        <w:t>together with the harmonization included the mutual recognition principle.</w:t>
      </w:r>
      <w:r>
        <w:rPr>
          <w:position w:val="7"/>
          <w:sz w:val="15"/>
        </w:rPr>
        <w:t>40</w:t>
      </w:r>
      <w:r>
        <w:rPr>
          <w:spacing w:val="80"/>
          <w:position w:val="7"/>
          <w:sz w:val="15"/>
        </w:rPr>
        <w:t> </w:t>
      </w:r>
      <w:r>
        <w:rPr/>
        <w:t>This was a big step forward towards abolishing the barriers in market communication. There are four main theoretical pathways we can take to analyze the role of the economic system in European integration: a) the </w:t>
      </w:r>
      <w:r>
        <w:rPr>
          <w:sz w:val="27"/>
        </w:rPr>
        <w:t>notion of technocratic supremacy</w:t>
      </w:r>
      <w:r>
        <w:rPr>
          <w:spacing w:val="80"/>
          <w:sz w:val="27"/>
        </w:rPr>
        <w:t> </w:t>
      </w:r>
      <w:r>
        <w:rPr/>
        <w:t>based on the belief that economic elites hold an intrinsic advantage over politicians in the process that prioritizes the economic integration; b) the concept of spill-over implying that the economic integration will eventually lead to functional and political integration; c) </w:t>
      </w:r>
      <w:r>
        <w:rPr>
          <w:sz w:val="27"/>
        </w:rPr>
        <w:t>Neo-neo functional turn </w:t>
      </w:r>
      <w:r>
        <w:rPr/>
        <w:t>that focuses on self- interested economic elites, which try to reduce transaction costs by pressuring</w:t>
      </w:r>
      <w:r>
        <w:rPr>
          <w:spacing w:val="-1"/>
        </w:rPr>
        <w:t> </w:t>
      </w:r>
      <w:r>
        <w:rPr/>
        <w:t>the</w:t>
      </w:r>
      <w:r>
        <w:rPr>
          <w:spacing w:val="-1"/>
        </w:rPr>
        <w:t> </w:t>
      </w:r>
      <w:r>
        <w:rPr/>
        <w:t>governments</w:t>
      </w:r>
      <w:r>
        <w:rPr>
          <w:spacing w:val="-3"/>
        </w:rPr>
        <w:t> </w:t>
      </w:r>
      <w:r>
        <w:rPr/>
        <w:t>to abolish</w:t>
      </w:r>
      <w:r>
        <w:rPr>
          <w:spacing w:val="-1"/>
        </w:rPr>
        <w:t> </w:t>
      </w:r>
      <w:r>
        <w:rPr/>
        <w:t>the</w:t>
      </w:r>
      <w:r>
        <w:rPr>
          <w:spacing w:val="-1"/>
        </w:rPr>
        <w:t> </w:t>
      </w:r>
      <w:r>
        <w:rPr/>
        <w:t>trade</w:t>
      </w:r>
      <w:r>
        <w:rPr>
          <w:spacing w:val="-1"/>
        </w:rPr>
        <w:t> </w:t>
      </w:r>
      <w:r>
        <w:rPr/>
        <w:t>barriers, (</w:t>
      </w:r>
      <w:hyperlink w:history="true" w:anchor="_bookmark368">
        <w:r>
          <w:rPr/>
          <w:t>Sandholz</w:t>
        </w:r>
        <w:r>
          <w:rPr>
            <w:spacing w:val="-3"/>
          </w:rPr>
          <w:t> </w:t>
        </w:r>
        <w:r>
          <w:rPr/>
          <w:t>&amp; Stone</w:t>
        </w:r>
      </w:hyperlink>
      <w:r>
        <w:rPr/>
        <w:t> </w:t>
      </w:r>
      <w:hyperlink w:history="true" w:anchor="_bookmark368">
        <w:r>
          <w:rPr/>
          <w:t>Sweet, 2012</w:t>
        </w:r>
      </w:hyperlink>
      <w:r>
        <w:rPr/>
        <w:t>) d) </w:t>
      </w:r>
      <w:r>
        <w:rPr>
          <w:sz w:val="27"/>
        </w:rPr>
        <w:t>The transactional</w:t>
      </w:r>
      <w:r>
        <w:rPr>
          <w:spacing w:val="40"/>
          <w:sz w:val="27"/>
        </w:rPr>
        <w:t> </w:t>
      </w:r>
      <w:r>
        <w:rPr/>
        <w:t>approach argues that the constant transactions would eventually transform the exchanges into dependencies (couplings).</w:t>
      </w:r>
      <w:r>
        <w:rPr>
          <w:spacing w:val="40"/>
        </w:rPr>
        <w:t> </w:t>
      </w:r>
      <w:r>
        <w:rPr/>
        <w:t>Each of these pathways is relevant and can be considered as mechanisms of adaptation.</w:t>
      </w:r>
    </w:p>
    <w:p>
      <w:pPr>
        <w:pStyle w:val="BodyText"/>
        <w:spacing w:line="276" w:lineRule="auto" w:before="14"/>
        <w:ind w:right="1909" w:firstLine="720"/>
      </w:pPr>
      <w:r>
        <w:rPr/>
        <w:t>Undoubtedly, the</w:t>
      </w:r>
      <w:r>
        <w:rPr>
          <w:spacing w:val="-1"/>
        </w:rPr>
        <w:t> </w:t>
      </w:r>
      <w:r>
        <w:rPr/>
        <w:t>EU</w:t>
      </w:r>
      <w:r>
        <w:rPr>
          <w:spacing w:val="-1"/>
        </w:rPr>
        <w:t> </w:t>
      </w:r>
      <w:r>
        <w:rPr/>
        <w:t>economic system is much</w:t>
      </w:r>
      <w:r>
        <w:rPr>
          <w:spacing w:val="-1"/>
        </w:rPr>
        <w:t> </w:t>
      </w:r>
      <w:r>
        <w:rPr/>
        <w:t>more</w:t>
      </w:r>
      <w:r>
        <w:rPr>
          <w:spacing w:val="-1"/>
        </w:rPr>
        <w:t> </w:t>
      </w:r>
      <w:r>
        <w:rPr/>
        <w:t>complex</w:t>
      </w:r>
      <w:r>
        <w:rPr>
          <w:spacing w:val="-2"/>
        </w:rPr>
        <w:t> </w:t>
      </w:r>
      <w:r>
        <w:rPr/>
        <w:t>than a single chapter can describe. Nevertheless, we would like to propose a few points that can help to understand the role of</w:t>
      </w:r>
      <w:r>
        <w:rPr>
          <w:spacing w:val="40"/>
        </w:rPr>
        <w:t> </w:t>
      </w:r>
      <w:r>
        <w:rPr/>
        <w:t>economy in the European System. We have indicated earlier that the economic communication is acknowledged</w:t>
      </w:r>
      <w:r>
        <w:rPr>
          <w:spacing w:val="-1"/>
        </w:rPr>
        <w:t> </w:t>
      </w:r>
      <w:r>
        <w:rPr/>
        <w:t>as</w:t>
      </w:r>
      <w:r>
        <w:rPr>
          <w:spacing w:val="-4"/>
        </w:rPr>
        <w:t> </w:t>
      </w:r>
      <w:r>
        <w:rPr/>
        <w:t>such</w:t>
      </w:r>
      <w:r>
        <w:rPr>
          <w:spacing w:val="40"/>
        </w:rPr>
        <w:t> </w:t>
      </w:r>
      <w:r>
        <w:rPr/>
        <w:t>by</w:t>
      </w:r>
      <w:r>
        <w:rPr>
          <w:spacing w:val="-2"/>
        </w:rPr>
        <w:t> </w:t>
      </w:r>
      <w:r>
        <w:rPr/>
        <w:t>the</w:t>
      </w:r>
      <w:r>
        <w:rPr>
          <w:spacing w:val="-2"/>
        </w:rPr>
        <w:t> </w:t>
      </w:r>
      <w:r>
        <w:rPr/>
        <w:t>observing</w:t>
      </w:r>
      <w:r>
        <w:rPr>
          <w:spacing w:val="-2"/>
        </w:rPr>
        <w:t> </w:t>
      </w:r>
      <w:r>
        <w:rPr/>
        <w:t>political</w:t>
      </w:r>
      <w:r>
        <w:rPr>
          <w:spacing w:val="-5"/>
        </w:rPr>
        <w:t> </w:t>
      </w:r>
      <w:r>
        <w:rPr/>
        <w:t>actors.</w:t>
      </w:r>
      <w:r>
        <w:rPr>
          <w:spacing w:val="-1"/>
        </w:rPr>
        <w:t> </w:t>
      </w:r>
      <w:r>
        <w:rPr/>
        <w:t>The</w:t>
      </w:r>
      <w:r>
        <w:rPr>
          <w:spacing w:val="-2"/>
        </w:rPr>
        <w:t> </w:t>
      </w:r>
      <w:r>
        <w:rPr/>
        <w:t>coupling</w:t>
      </w:r>
      <w:r>
        <w:rPr>
          <w:spacing w:val="-2"/>
        </w:rPr>
        <w:t> </w:t>
      </w:r>
      <w:r>
        <w:rPr/>
        <w:t>of</w:t>
      </w:r>
      <w:r>
        <w:rPr>
          <w:spacing w:val="-3"/>
        </w:rPr>
        <w:t> </w:t>
      </w:r>
      <w:r>
        <w:rPr/>
        <w:t>the EU</w:t>
      </w:r>
      <w:r>
        <w:rPr>
          <w:spacing w:val="27"/>
        </w:rPr>
        <w:t> </w:t>
      </w:r>
      <w:r>
        <w:rPr/>
        <w:t>economic</w:t>
      </w:r>
      <w:r>
        <w:rPr>
          <w:spacing w:val="26"/>
        </w:rPr>
        <w:t> </w:t>
      </w:r>
      <w:r>
        <w:rPr/>
        <w:t>and</w:t>
      </w:r>
      <w:r>
        <w:rPr>
          <w:spacing w:val="28"/>
        </w:rPr>
        <w:t> </w:t>
      </w:r>
      <w:r>
        <w:rPr/>
        <w:t>political</w:t>
      </w:r>
      <w:r>
        <w:rPr>
          <w:spacing w:val="24"/>
        </w:rPr>
        <w:t> </w:t>
      </w:r>
      <w:r>
        <w:rPr/>
        <w:t>systems</w:t>
      </w:r>
      <w:r>
        <w:rPr>
          <w:spacing w:val="29"/>
        </w:rPr>
        <w:t> </w:t>
      </w:r>
      <w:r>
        <w:rPr/>
        <w:t>is</w:t>
      </w:r>
      <w:r>
        <w:rPr>
          <w:spacing w:val="24"/>
        </w:rPr>
        <w:t> </w:t>
      </w:r>
      <w:r>
        <w:rPr/>
        <w:t>not</w:t>
      </w:r>
      <w:r>
        <w:rPr>
          <w:spacing w:val="27"/>
        </w:rPr>
        <w:t> </w:t>
      </w:r>
      <w:r>
        <w:rPr/>
        <w:t>just</w:t>
      </w:r>
      <w:r>
        <w:rPr>
          <w:spacing w:val="27"/>
        </w:rPr>
        <w:t> </w:t>
      </w:r>
      <w:r>
        <w:rPr/>
        <w:t>a</w:t>
      </w:r>
      <w:r>
        <w:rPr>
          <w:spacing w:val="27"/>
        </w:rPr>
        <w:t> </w:t>
      </w:r>
      <w:r>
        <w:rPr/>
        <w:t>technical</w:t>
      </w:r>
      <w:r>
        <w:rPr>
          <w:spacing w:val="24"/>
        </w:rPr>
        <w:t> </w:t>
      </w:r>
      <w:r>
        <w:rPr/>
        <w:t>one;</w:t>
      </w:r>
      <w:r>
        <w:rPr>
          <w:spacing w:val="28"/>
        </w:rPr>
        <w:t> </w:t>
      </w:r>
      <w:r>
        <w:rPr/>
        <w:t>it</w:t>
      </w:r>
      <w:r>
        <w:rPr>
          <w:spacing w:val="27"/>
        </w:rPr>
        <w:t> </w:t>
      </w:r>
      <w:r>
        <w:rPr/>
        <w:t>certainly</w:t>
      </w:r>
    </w:p>
    <w:p>
      <w:pPr>
        <w:pStyle w:val="BodyText"/>
        <w:spacing w:before="9"/>
        <w:ind w:left="0"/>
        <w:jc w:val="left"/>
        <w:rPr>
          <w:sz w:val="17"/>
        </w:rPr>
      </w:pPr>
      <w:r>
        <w:rPr>
          <w:sz w:val="17"/>
        </w:rPr>
        <mc:AlternateContent>
          <mc:Choice Requires="wps">
            <w:drawing>
              <wp:anchor distT="0" distB="0" distL="0" distR="0" allowOverlap="1" layoutInCell="1" locked="0" behindDoc="1" simplePos="0" relativeHeight="487667712">
                <wp:simplePos x="0" y="0"/>
                <wp:positionH relativeFrom="page">
                  <wp:posOffset>1079296</wp:posOffset>
                </wp:positionH>
                <wp:positionV relativeFrom="paragraph">
                  <wp:posOffset>163692</wp:posOffset>
                </wp:positionV>
                <wp:extent cx="1830070" cy="9525"/>
                <wp:effectExtent l="0" t="0" r="0" b="0"/>
                <wp:wrapTopAndBottom/>
                <wp:docPr id="194" name="Graphic 194"/>
                <wp:cNvGraphicFramePr>
                  <a:graphicFrameLocks/>
                </wp:cNvGraphicFramePr>
                <a:graphic>
                  <a:graphicData uri="http://schemas.microsoft.com/office/word/2010/wordprocessingShape">
                    <wps:wsp>
                      <wps:cNvPr id="194" name="Graphic 194"/>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12.88914pt;width:144.07pt;height:.72003pt;mso-position-horizontal-relative:page;mso-position-vertical-relative:paragraph;z-index:-15648768;mso-wrap-distance-left:0;mso-wrap-distance-right:0" id="docshape181" filled="true" fillcolor="#000000" stroked="false">
                <v:fill type="solid"/>
                <w10:wrap type="topAndBottom"/>
              </v:rect>
            </w:pict>
          </mc:Fallback>
        </mc:AlternateContent>
      </w:r>
    </w:p>
    <w:p>
      <w:pPr>
        <w:spacing w:line="237" w:lineRule="auto" w:before="100"/>
        <w:ind w:left="979" w:right="1908" w:firstLine="0"/>
        <w:jc w:val="both"/>
        <w:rPr>
          <w:rFonts w:ascii="Times New Roman"/>
          <w:sz w:val="24"/>
        </w:rPr>
      </w:pPr>
      <w:r>
        <w:rPr>
          <w:rFonts w:ascii="Calibri"/>
          <w:sz w:val="24"/>
          <w:vertAlign w:val="superscript"/>
        </w:rPr>
        <w:t>40</w:t>
      </w:r>
      <w:r>
        <w:rPr>
          <w:rFonts w:ascii="Calibri"/>
          <w:sz w:val="24"/>
          <w:vertAlign w:val="baseline"/>
        </w:rPr>
        <w:t> </w:t>
      </w:r>
      <w:hyperlink r:id="rId39">
        <w:r>
          <w:rPr>
            <w:rFonts w:ascii="Times New Roman"/>
            <w:i/>
            <w:color w:val="0000FF"/>
            <w:sz w:val="24"/>
            <w:u w:val="single" w:color="0000FF"/>
            <w:vertAlign w:val="baseline"/>
          </w:rPr>
          <w:t>Mutual recognition</w:t>
        </w:r>
      </w:hyperlink>
      <w:r>
        <w:rPr>
          <w:rFonts w:ascii="Times New Roman"/>
          <w:i/>
          <w:color w:val="0000FF"/>
          <w:sz w:val="24"/>
          <w:vertAlign w:val="baseline"/>
        </w:rPr>
        <w:t> </w:t>
      </w:r>
      <w:r>
        <w:rPr>
          <w:rFonts w:ascii="Times New Roman"/>
          <w:color w:val="1D2029"/>
          <w:sz w:val="24"/>
          <w:vertAlign w:val="baseline"/>
        </w:rPr>
        <w:t>ensures market access for products that are not subject to EU harmonisation. It guarantees that any</w:t>
      </w:r>
      <w:r>
        <w:rPr>
          <w:rFonts w:ascii="Times New Roman"/>
          <w:color w:val="1D2029"/>
          <w:spacing w:val="-5"/>
          <w:sz w:val="24"/>
          <w:vertAlign w:val="baseline"/>
        </w:rPr>
        <w:t> </w:t>
      </w:r>
      <w:r>
        <w:rPr>
          <w:rFonts w:ascii="Times New Roman"/>
          <w:color w:val="1D2029"/>
          <w:sz w:val="24"/>
          <w:vertAlign w:val="baseline"/>
        </w:rPr>
        <w:t>product lawfully sold in one EU country</w:t>
      </w:r>
      <w:r>
        <w:rPr>
          <w:rFonts w:ascii="Times New Roman"/>
          <w:color w:val="1D2029"/>
          <w:spacing w:val="-5"/>
          <w:sz w:val="24"/>
          <w:vertAlign w:val="baseline"/>
        </w:rPr>
        <w:t> </w:t>
      </w:r>
      <w:r>
        <w:rPr>
          <w:rFonts w:ascii="Times New Roman"/>
          <w:color w:val="1D2029"/>
          <w:sz w:val="24"/>
          <w:vertAlign w:val="baseline"/>
        </w:rPr>
        <w:t>can be sold in another. This is possible even if the product does not fully comply with the technical rules of the other country.</w:t>
      </w:r>
    </w:p>
    <w:p>
      <w:pPr>
        <w:spacing w:after="0" w:line="237" w:lineRule="auto"/>
        <w:jc w:val="both"/>
        <w:rPr>
          <w:rFonts w:ascii="Times New Roman"/>
          <w:sz w:val="24"/>
        </w:rPr>
        <w:sectPr>
          <w:pgSz w:w="12240" w:h="15840"/>
          <w:pgMar w:header="1046" w:footer="0" w:top="1360" w:bottom="280" w:left="720" w:right="360"/>
        </w:sectPr>
      </w:pPr>
    </w:p>
    <w:p>
      <w:pPr>
        <w:pStyle w:val="BodyText"/>
        <w:spacing w:line="276" w:lineRule="auto" w:before="276"/>
        <w:ind w:right="1907"/>
        <w:rPr>
          <w:position w:val="7"/>
          <w:sz w:val="15"/>
        </w:rPr>
      </w:pPr>
      <w:r>
        <w:rPr/>
        <w:t>has a broad discursive connotation. The economic growth was a political objective of the ECSC founders. After the Common Market was completed and the</w:t>
      </w:r>
      <w:r>
        <w:rPr>
          <w:spacing w:val="-1"/>
        </w:rPr>
        <w:t> </w:t>
      </w:r>
      <w:r>
        <w:rPr/>
        <w:t>EU gained a broader political meaning, the market became a source of political legitimacy. It is not surprising that when people talk about the economic crisis, they often consider it in context of the political status of</w:t>
      </w:r>
      <w:r>
        <w:rPr>
          <w:spacing w:val="40"/>
        </w:rPr>
        <w:t> </w:t>
      </w:r>
      <w:r>
        <w:rPr/>
        <w:t>the EU. For example, the European Federalists believe that the economic problems derive from the incomplete political integration. (</w:t>
      </w:r>
      <w:hyperlink w:history="true" w:anchor="_bookmark150">
        <w:r>
          <w:rPr/>
          <w:t>Dahrendorf,</w:t>
        </w:r>
      </w:hyperlink>
      <w:r>
        <w:rPr/>
        <w:t> </w:t>
      </w:r>
      <w:hyperlink w:history="true" w:anchor="_bookmark150">
        <w:r>
          <w:rPr/>
          <w:t>2003</w:t>
        </w:r>
      </w:hyperlink>
      <w:r>
        <w:rPr/>
        <w:t>) The ‘Europeanists’ hope for the best realization of </w:t>
      </w:r>
      <w:r>
        <w:rPr>
          <w:sz w:val="27"/>
        </w:rPr>
        <w:t>Jean Monnet</w:t>
      </w:r>
      <w:r>
        <w:rPr/>
        <w:t>’s words: “Europe will be forged in crises, and</w:t>
      </w:r>
      <w:r>
        <w:rPr>
          <w:spacing w:val="-5"/>
        </w:rPr>
        <w:t> </w:t>
      </w:r>
      <w:r>
        <w:rPr/>
        <w:t>will be the sum of the solutions adopted in those crises.” (</w:t>
      </w:r>
      <w:hyperlink w:history="true" w:anchor="_bookmark106">
        <w:r>
          <w:rPr/>
          <w:t>Borchardt, 2011</w:t>
        </w:r>
      </w:hyperlink>
      <w:r>
        <w:rPr/>
        <w:t>) The researches have shown that teconomic</w:t>
      </w:r>
      <w:r>
        <w:rPr>
          <w:spacing w:val="-2"/>
        </w:rPr>
        <w:t> </w:t>
      </w:r>
      <w:r>
        <w:rPr/>
        <w:t>crises</w:t>
      </w:r>
      <w:r>
        <w:rPr>
          <w:spacing w:val="-3"/>
        </w:rPr>
        <w:t> </w:t>
      </w:r>
      <w:r>
        <w:rPr/>
        <w:t>have</w:t>
      </w:r>
      <w:r>
        <w:rPr>
          <w:spacing w:val="-1"/>
        </w:rPr>
        <w:t> </w:t>
      </w:r>
      <w:r>
        <w:rPr/>
        <w:t>directly</w:t>
      </w:r>
      <w:r>
        <w:rPr>
          <w:spacing w:val="-1"/>
        </w:rPr>
        <w:t> </w:t>
      </w:r>
      <w:r>
        <w:rPr/>
        <w:t>affected the</w:t>
      </w:r>
      <w:r>
        <w:rPr>
          <w:spacing w:val="-1"/>
        </w:rPr>
        <w:t> </w:t>
      </w:r>
      <w:r>
        <w:rPr/>
        <w:t>systemic</w:t>
      </w:r>
      <w:r>
        <w:rPr>
          <w:spacing w:val="-2"/>
        </w:rPr>
        <w:t> </w:t>
      </w:r>
      <w:r>
        <w:rPr/>
        <w:t>trust</w:t>
      </w:r>
      <w:r>
        <w:rPr>
          <w:spacing w:val="-1"/>
        </w:rPr>
        <w:t> </w:t>
      </w:r>
      <w:r>
        <w:rPr/>
        <w:t>of</w:t>
      </w:r>
      <w:r>
        <w:rPr>
          <w:spacing w:val="-2"/>
        </w:rPr>
        <w:t> </w:t>
      </w:r>
      <w:r>
        <w:rPr/>
        <w:t>the</w:t>
      </w:r>
      <w:r>
        <w:rPr>
          <w:spacing w:val="-1"/>
        </w:rPr>
        <w:t> </w:t>
      </w:r>
      <w:r>
        <w:rPr/>
        <w:t>EU</w:t>
      </w:r>
      <w:r>
        <w:rPr>
          <w:spacing w:val="-1"/>
        </w:rPr>
        <w:t> </w:t>
      </w:r>
      <w:r>
        <w:rPr/>
        <w:t>citizens; (</w:t>
      </w:r>
      <w:hyperlink w:history="true" w:anchor="_bookmark363">
        <w:r>
          <w:rPr/>
          <w:t>Roth, 2009</w:t>
        </w:r>
      </w:hyperlink>
      <w:r>
        <w:rPr/>
        <w:t>) the ‘sum of the solutions’ in popular narratives is often being portrayed by adding the word ‘exit’ to the state names (Brexit, Grexit). This condition is certainly not what the Europeanists hope for. The success of</w:t>
      </w:r>
      <w:r>
        <w:rPr>
          <w:spacing w:val="40"/>
        </w:rPr>
        <w:t> </w:t>
      </w:r>
      <w:r>
        <w:rPr/>
        <w:t>the economic system caused the political spill-overs in the past and its failure can lead to political disintegration.</w:t>
      </w:r>
      <w:r>
        <w:rPr>
          <w:position w:val="7"/>
          <w:sz w:val="15"/>
        </w:rPr>
        <w:t>41</w:t>
      </w:r>
    </w:p>
    <w:p>
      <w:pPr>
        <w:pStyle w:val="BodyText"/>
        <w:ind w:left="0"/>
        <w:jc w:val="left"/>
      </w:pPr>
    </w:p>
    <w:p>
      <w:pPr>
        <w:pStyle w:val="BodyText"/>
        <w:spacing w:before="339"/>
        <w:ind w:left="0"/>
        <w:jc w:val="left"/>
      </w:pPr>
    </w:p>
    <w:p>
      <w:pPr>
        <w:pStyle w:val="Heading4"/>
        <w:numPr>
          <w:ilvl w:val="1"/>
          <w:numId w:val="16"/>
        </w:numPr>
        <w:tabs>
          <w:tab w:pos="1582" w:val="left" w:leader="none"/>
        </w:tabs>
        <w:spacing w:line="240" w:lineRule="auto" w:before="0" w:after="0"/>
        <w:ind w:left="1582" w:right="0" w:hanging="603"/>
        <w:jc w:val="left"/>
      </w:pPr>
      <w:bookmarkStart w:name="_bookmark55" w:id="56"/>
      <w:bookmarkEnd w:id="56"/>
      <w:r>
        <w:rPr>
          <w:b w:val="0"/>
        </w:rPr>
      </w:r>
      <w:r>
        <w:rPr>
          <w:spacing w:val="-8"/>
        </w:rPr>
        <w:t>External</w:t>
      </w:r>
      <w:r>
        <w:rPr>
          <w:spacing w:val="-11"/>
        </w:rPr>
        <w:t> </w:t>
      </w:r>
      <w:r>
        <w:rPr>
          <w:spacing w:val="-8"/>
        </w:rPr>
        <w:t>Governance</w:t>
      </w:r>
      <w:r>
        <w:rPr>
          <w:spacing w:val="-6"/>
        </w:rPr>
        <w:t> </w:t>
      </w:r>
      <w:r>
        <w:rPr>
          <w:spacing w:val="-8"/>
        </w:rPr>
        <w:t>-</w:t>
      </w:r>
      <w:r>
        <w:rPr>
          <w:spacing w:val="67"/>
        </w:rPr>
        <w:t> </w:t>
      </w:r>
      <w:r>
        <w:rPr>
          <w:spacing w:val="-8"/>
        </w:rPr>
        <w:t>Security</w:t>
      </w:r>
    </w:p>
    <w:p>
      <w:pPr>
        <w:pStyle w:val="BodyText"/>
        <w:spacing w:before="194"/>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68224">
                <wp:simplePos x="0" y="0"/>
                <wp:positionH relativeFrom="page">
                  <wp:posOffset>1078864</wp:posOffset>
                </wp:positionH>
                <wp:positionV relativeFrom="paragraph">
                  <wp:posOffset>283084</wp:posOffset>
                </wp:positionV>
                <wp:extent cx="5252085" cy="51435"/>
                <wp:effectExtent l="0" t="0" r="0" b="0"/>
                <wp:wrapTopAndBottom/>
                <wp:docPr id="195" name="Graphic 195"/>
                <wp:cNvGraphicFramePr>
                  <a:graphicFrameLocks/>
                </wp:cNvGraphicFramePr>
                <a:graphic>
                  <a:graphicData uri="http://schemas.microsoft.com/office/word/2010/wordprocessingShape">
                    <wps:wsp>
                      <wps:cNvPr id="195" name="Graphic 195"/>
                      <wps:cNvSpPr/>
                      <wps:spPr>
                        <a:xfrm>
                          <a:off x="0" y="0"/>
                          <a:ext cx="5252085" cy="51435"/>
                        </a:xfrm>
                        <a:custGeom>
                          <a:avLst/>
                          <a:gdLst/>
                          <a:ahLst/>
                          <a:cxnLst/>
                          <a:rect l="l" t="t" r="r" b="b"/>
                          <a:pathLst>
                            <a:path w="5252085" h="51435">
                              <a:moveTo>
                                <a:pt x="5252085" y="0"/>
                              </a:moveTo>
                              <a:lnTo>
                                <a:pt x="0" y="0"/>
                              </a:lnTo>
                              <a:lnTo>
                                <a:pt x="0" y="51435"/>
                              </a:lnTo>
                              <a:lnTo>
                                <a:pt x="5252085" y="51435"/>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290091pt;width:413.55pt;height:4.05pt;mso-position-horizontal-relative:page;mso-position-vertical-relative:paragraph;z-index:-15648256;mso-wrap-distance-left:0;mso-wrap-distance-right:0" id="docshape182" filled="true" fillcolor="#000000" stroked="false">
                <v:fill type="solid"/>
                <w10:wrap type="topAndBottom"/>
              </v:rect>
            </w:pict>
          </mc:Fallback>
        </mc:AlternateContent>
      </w:r>
    </w:p>
    <w:p>
      <w:pPr>
        <w:pStyle w:val="BodyText"/>
        <w:spacing w:before="285"/>
        <w:ind w:left="0"/>
        <w:jc w:val="left"/>
        <w:rPr>
          <w:rFonts w:ascii="Georgia"/>
          <w:b/>
        </w:rPr>
      </w:pPr>
    </w:p>
    <w:p>
      <w:pPr>
        <w:pStyle w:val="BodyText"/>
        <w:spacing w:line="273" w:lineRule="auto"/>
        <w:ind w:right="1909"/>
      </w:pPr>
      <w:r>
        <w:rPr>
          <w:sz w:val="27"/>
        </w:rPr>
        <w:t>Schimmelfennig </w:t>
      </w:r>
      <w:r>
        <w:rPr/>
        <w:t>and </w:t>
      </w:r>
      <w:r>
        <w:rPr>
          <w:sz w:val="27"/>
        </w:rPr>
        <w:t>Sedelmeier </w:t>
      </w:r>
      <w:r>
        <w:rPr/>
        <w:t>argue that “a key difference between the internal and the external dimension of governance is that while the former concerns primarily the </w:t>
      </w:r>
      <w:r>
        <w:rPr>
          <w:sz w:val="27"/>
        </w:rPr>
        <w:t>creation </w:t>
      </w:r>
      <w:r>
        <w:rPr/>
        <w:t>of rules as well as their implementation in national political systems, the external dimension is exclusively about the transfer of given EU rules and their adoption by non-member states.”</w:t>
      </w:r>
      <w:r>
        <w:rPr>
          <w:spacing w:val="80"/>
        </w:rPr>
        <w:t> </w:t>
      </w:r>
      <w:r>
        <w:rPr/>
        <w:t>(</w:t>
      </w:r>
      <w:hyperlink w:history="true" w:anchor="_bookmark376">
        <w:r>
          <w:rPr/>
          <w:t>2004, p. 661</w:t>
        </w:r>
      </w:hyperlink>
      <w:r>
        <w:rPr/>
        <w:t>) This definition is a good starting point.</w:t>
      </w: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spacing w:before="131"/>
        <w:ind w:left="0"/>
        <w:jc w:val="left"/>
        <w:rPr>
          <w:sz w:val="20"/>
        </w:rPr>
      </w:pPr>
      <w:r>
        <w:rPr>
          <w:sz w:val="20"/>
        </w:rPr>
        <mc:AlternateContent>
          <mc:Choice Requires="wps">
            <w:drawing>
              <wp:anchor distT="0" distB="0" distL="0" distR="0" allowOverlap="1" layoutInCell="1" locked="0" behindDoc="1" simplePos="0" relativeHeight="487668736">
                <wp:simplePos x="0" y="0"/>
                <wp:positionH relativeFrom="page">
                  <wp:posOffset>1079296</wp:posOffset>
                </wp:positionH>
                <wp:positionV relativeFrom="paragraph">
                  <wp:posOffset>265742</wp:posOffset>
                </wp:positionV>
                <wp:extent cx="1830070" cy="9525"/>
                <wp:effectExtent l="0" t="0" r="0" b="0"/>
                <wp:wrapTopAndBottom/>
                <wp:docPr id="196" name="Graphic 196"/>
                <wp:cNvGraphicFramePr>
                  <a:graphicFrameLocks/>
                </wp:cNvGraphicFramePr>
                <a:graphic>
                  <a:graphicData uri="http://schemas.microsoft.com/office/word/2010/wordprocessingShape">
                    <wps:wsp>
                      <wps:cNvPr id="196" name="Graphic 196"/>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20.924616pt;width:144.07pt;height:.72003pt;mso-position-horizontal-relative:page;mso-position-vertical-relative:paragraph;z-index:-15647744;mso-wrap-distance-left:0;mso-wrap-distance-right:0" id="docshape183" filled="true" fillcolor="#000000" stroked="false">
                <v:fill type="solid"/>
                <w10:wrap type="topAndBottom"/>
              </v:rect>
            </w:pict>
          </mc:Fallback>
        </mc:AlternateContent>
      </w:r>
    </w:p>
    <w:p>
      <w:pPr>
        <w:spacing w:before="103"/>
        <w:ind w:left="979" w:right="0" w:firstLine="0"/>
        <w:jc w:val="left"/>
        <w:rPr>
          <w:rFonts w:ascii="Calibri"/>
          <w:sz w:val="20"/>
        </w:rPr>
      </w:pPr>
      <w:r>
        <w:rPr>
          <w:rFonts w:ascii="Calibri"/>
          <w:sz w:val="20"/>
          <w:vertAlign w:val="superscript"/>
        </w:rPr>
        <w:t>41</w:t>
      </w:r>
      <w:r>
        <w:rPr>
          <w:rFonts w:ascii="Calibri"/>
          <w:spacing w:val="1"/>
          <w:sz w:val="20"/>
          <w:vertAlign w:val="baseline"/>
        </w:rPr>
        <w:t> </w:t>
      </w:r>
      <w:r>
        <w:rPr>
          <w:rFonts w:ascii="Calibri"/>
          <w:sz w:val="20"/>
          <w:vertAlign w:val="baseline"/>
        </w:rPr>
        <w:t>Even</w:t>
      </w:r>
      <w:r>
        <w:rPr>
          <w:rFonts w:ascii="Calibri"/>
          <w:spacing w:val="-4"/>
          <w:sz w:val="20"/>
          <w:vertAlign w:val="baseline"/>
        </w:rPr>
        <w:t> </w:t>
      </w:r>
      <w:r>
        <w:rPr>
          <w:rFonts w:ascii="Calibri"/>
          <w:sz w:val="20"/>
          <w:vertAlign w:val="baseline"/>
        </w:rPr>
        <w:t>if</w:t>
      </w:r>
      <w:r>
        <w:rPr>
          <w:rFonts w:ascii="Calibri"/>
          <w:spacing w:val="-4"/>
          <w:sz w:val="20"/>
          <w:vertAlign w:val="baseline"/>
        </w:rPr>
        <w:t> </w:t>
      </w:r>
      <w:r>
        <w:rPr>
          <w:rFonts w:ascii="Calibri"/>
          <w:sz w:val="20"/>
          <w:vertAlign w:val="baseline"/>
        </w:rPr>
        <w:t>market</w:t>
      </w:r>
      <w:r>
        <w:rPr>
          <w:rFonts w:ascii="Calibri"/>
          <w:spacing w:val="-5"/>
          <w:sz w:val="20"/>
          <w:vertAlign w:val="baseline"/>
        </w:rPr>
        <w:t> </w:t>
      </w:r>
      <w:r>
        <w:rPr>
          <w:rFonts w:ascii="Calibri"/>
          <w:sz w:val="20"/>
          <w:vertAlign w:val="baseline"/>
        </w:rPr>
        <w:t>remains</w:t>
      </w:r>
      <w:r>
        <w:rPr>
          <w:rFonts w:ascii="Calibri"/>
          <w:spacing w:val="-7"/>
          <w:sz w:val="20"/>
          <w:vertAlign w:val="baseline"/>
        </w:rPr>
        <w:t> </w:t>
      </w:r>
      <w:r>
        <w:rPr>
          <w:rFonts w:ascii="Calibri"/>
          <w:sz w:val="20"/>
          <w:vertAlign w:val="baseline"/>
        </w:rPr>
        <w:t>in</w:t>
      </w:r>
      <w:r>
        <w:rPr>
          <w:rFonts w:ascii="Calibri"/>
          <w:spacing w:val="-1"/>
          <w:sz w:val="20"/>
          <w:vertAlign w:val="baseline"/>
        </w:rPr>
        <w:t> </w:t>
      </w:r>
      <w:r>
        <w:rPr>
          <w:rFonts w:ascii="Calibri"/>
          <w:spacing w:val="-2"/>
          <w:sz w:val="20"/>
          <w:vertAlign w:val="baseline"/>
        </w:rPr>
        <w:t>place</w:t>
      </w:r>
    </w:p>
    <w:p>
      <w:pPr>
        <w:spacing w:after="0"/>
        <w:jc w:val="left"/>
        <w:rPr>
          <w:rFonts w:ascii="Calibri"/>
          <w:sz w:val="20"/>
        </w:rPr>
        <w:sectPr>
          <w:pgSz w:w="12240" w:h="15840"/>
          <w:pgMar w:header="1046" w:footer="0" w:top="1360" w:bottom="280" w:left="720" w:right="360"/>
        </w:sectPr>
      </w:pPr>
    </w:p>
    <w:p>
      <w:pPr>
        <w:pStyle w:val="BodyText"/>
        <w:ind w:left="0"/>
        <w:jc w:val="left"/>
        <w:rPr>
          <w:rFonts w:ascii="Calibri"/>
          <w:sz w:val="18"/>
        </w:rPr>
      </w:pPr>
    </w:p>
    <w:p>
      <w:pPr>
        <w:pStyle w:val="BodyText"/>
        <w:ind w:left="0"/>
        <w:jc w:val="left"/>
        <w:rPr>
          <w:rFonts w:ascii="Calibri"/>
          <w:sz w:val="18"/>
        </w:rPr>
      </w:pPr>
    </w:p>
    <w:p>
      <w:pPr>
        <w:pStyle w:val="BodyText"/>
        <w:spacing w:before="5"/>
        <w:ind w:left="0"/>
        <w:jc w:val="left"/>
        <w:rPr>
          <w:rFonts w:ascii="Calibri"/>
          <w:sz w:val="18"/>
        </w:rPr>
      </w:pPr>
    </w:p>
    <w:p>
      <w:pPr>
        <w:spacing w:before="0"/>
        <w:ind w:left="979" w:right="0" w:firstLine="0"/>
        <w:jc w:val="both"/>
        <w:rPr>
          <w:rFonts w:ascii="Calibri"/>
          <w:b/>
          <w:sz w:val="18"/>
        </w:rPr>
      </w:pPr>
      <w:bookmarkStart w:name="_bookmark56" w:id="57"/>
      <w:bookmarkEnd w:id="57"/>
      <w:r>
        <w:rPr/>
      </w:r>
      <w:r>
        <w:rPr>
          <w:rFonts w:ascii="Calibri"/>
          <w:b/>
          <w:color w:val="4F81BC"/>
          <w:sz w:val="18"/>
        </w:rPr>
        <w:t>Figure</w:t>
      </w:r>
      <w:r>
        <w:rPr>
          <w:rFonts w:ascii="Calibri"/>
          <w:b/>
          <w:color w:val="4F81BC"/>
          <w:spacing w:val="-2"/>
          <w:sz w:val="18"/>
        </w:rPr>
        <w:t> </w:t>
      </w:r>
      <w:r>
        <w:rPr>
          <w:rFonts w:ascii="Calibri"/>
          <w:b/>
          <w:color w:val="4F81BC"/>
          <w:sz w:val="18"/>
        </w:rPr>
        <w:t>17.</w:t>
      </w:r>
      <w:r>
        <w:rPr>
          <w:rFonts w:ascii="Calibri"/>
          <w:b/>
          <w:color w:val="4F81BC"/>
          <w:spacing w:val="-7"/>
          <w:sz w:val="18"/>
        </w:rPr>
        <w:t> </w:t>
      </w:r>
      <w:r>
        <w:rPr>
          <w:rFonts w:ascii="Calibri"/>
          <w:b/>
          <w:color w:val="4F81BC"/>
          <w:sz w:val="18"/>
        </w:rPr>
        <w:t>External</w:t>
      </w:r>
      <w:r>
        <w:rPr>
          <w:rFonts w:ascii="Calibri"/>
          <w:b/>
          <w:color w:val="4F81BC"/>
          <w:spacing w:val="-8"/>
          <w:sz w:val="18"/>
        </w:rPr>
        <w:t> </w:t>
      </w:r>
      <w:r>
        <w:rPr>
          <w:rFonts w:ascii="Calibri"/>
          <w:b/>
          <w:color w:val="4F81BC"/>
          <w:sz w:val="18"/>
        </w:rPr>
        <w:t>governance</w:t>
      </w:r>
      <w:r>
        <w:rPr>
          <w:rFonts w:ascii="Calibri"/>
          <w:b/>
          <w:color w:val="4F81BC"/>
          <w:spacing w:val="-7"/>
          <w:sz w:val="18"/>
        </w:rPr>
        <w:t> </w:t>
      </w:r>
      <w:r>
        <w:rPr>
          <w:rFonts w:ascii="Calibri"/>
          <w:b/>
          <w:color w:val="4F81BC"/>
          <w:sz w:val="18"/>
        </w:rPr>
        <w:t>timeline.</w:t>
      </w:r>
      <w:r>
        <w:rPr>
          <w:rFonts w:ascii="Calibri"/>
          <w:b/>
          <w:color w:val="4F81BC"/>
          <w:spacing w:val="-2"/>
          <w:sz w:val="18"/>
        </w:rPr>
        <w:t> </w:t>
      </w:r>
      <w:r>
        <w:rPr>
          <w:rFonts w:ascii="Calibri"/>
          <w:b/>
          <w:color w:val="4F81BC"/>
          <w:sz w:val="18"/>
        </w:rPr>
        <w:t>Generated</w:t>
      </w:r>
      <w:r>
        <w:rPr>
          <w:rFonts w:ascii="Calibri"/>
          <w:b/>
          <w:color w:val="4F81BC"/>
          <w:spacing w:val="-4"/>
          <w:sz w:val="18"/>
        </w:rPr>
        <w:t> </w:t>
      </w:r>
      <w:r>
        <w:rPr>
          <w:rFonts w:ascii="Calibri"/>
          <w:b/>
          <w:color w:val="4F81BC"/>
          <w:sz w:val="18"/>
        </w:rPr>
        <w:t>from</w:t>
      </w:r>
      <w:r>
        <w:rPr>
          <w:rFonts w:ascii="Calibri"/>
          <w:b/>
          <w:color w:val="4F81BC"/>
          <w:spacing w:val="-2"/>
          <w:sz w:val="18"/>
        </w:rPr>
        <w:t> </w:t>
      </w:r>
      <w:r>
        <w:rPr>
          <w:rFonts w:ascii="Calibri"/>
          <w:b/>
          <w:color w:val="4F81BC"/>
          <w:sz w:val="18"/>
        </w:rPr>
        <w:t>(Genderen,</w:t>
      </w:r>
      <w:r>
        <w:rPr>
          <w:rFonts w:ascii="Calibri"/>
          <w:b/>
          <w:color w:val="4F81BC"/>
          <w:spacing w:val="-1"/>
          <w:sz w:val="18"/>
        </w:rPr>
        <w:t> </w:t>
      </w:r>
      <w:r>
        <w:rPr>
          <w:rFonts w:ascii="Calibri"/>
          <w:b/>
          <w:color w:val="4F81BC"/>
          <w:sz w:val="18"/>
        </w:rPr>
        <w:t>Legrand,</w:t>
      </w:r>
      <w:r>
        <w:rPr>
          <w:rFonts w:ascii="Calibri"/>
          <w:b/>
          <w:color w:val="4F81BC"/>
          <w:spacing w:val="-5"/>
          <w:sz w:val="18"/>
        </w:rPr>
        <w:t> </w:t>
      </w:r>
      <w:r>
        <w:rPr>
          <w:rFonts w:ascii="Calibri"/>
          <w:b/>
          <w:color w:val="4F81BC"/>
          <w:sz w:val="18"/>
        </w:rPr>
        <w:t>&amp;</w:t>
      </w:r>
      <w:r>
        <w:rPr>
          <w:rFonts w:ascii="Calibri"/>
          <w:b/>
          <w:color w:val="4F81BC"/>
          <w:spacing w:val="-6"/>
          <w:sz w:val="18"/>
        </w:rPr>
        <w:t> </w:t>
      </w:r>
      <w:r>
        <w:rPr>
          <w:rFonts w:ascii="Calibri"/>
          <w:b/>
          <w:color w:val="4F81BC"/>
          <w:sz w:val="18"/>
        </w:rPr>
        <w:t>Kruijs,</w:t>
      </w:r>
      <w:r>
        <w:rPr>
          <w:rFonts w:ascii="Calibri"/>
          <w:b/>
          <w:color w:val="4F81BC"/>
          <w:spacing w:val="-1"/>
          <w:sz w:val="18"/>
        </w:rPr>
        <w:t> </w:t>
      </w:r>
      <w:r>
        <w:rPr>
          <w:rFonts w:ascii="Calibri"/>
          <w:b/>
          <w:color w:val="4F81BC"/>
          <w:spacing w:val="-2"/>
          <w:sz w:val="18"/>
        </w:rPr>
        <w:t>2016)</w:t>
      </w:r>
    </w:p>
    <w:p>
      <w:pPr>
        <w:pStyle w:val="BodyText"/>
        <w:spacing w:before="6"/>
        <w:ind w:left="0"/>
        <w:jc w:val="left"/>
        <w:rPr>
          <w:rFonts w:ascii="Calibri"/>
          <w:b/>
          <w:sz w:val="16"/>
        </w:rPr>
      </w:pPr>
    </w:p>
    <w:tbl>
      <w:tblPr>
        <w:tblW w:w="0" w:type="auto"/>
        <w:jc w:val="left"/>
        <w:tblInd w:w="8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671"/>
        <w:gridCol w:w="3077"/>
        <w:gridCol w:w="3754"/>
      </w:tblGrid>
      <w:tr>
        <w:trPr>
          <w:trHeight w:val="2529" w:hRule="atLeast"/>
        </w:trPr>
        <w:tc>
          <w:tcPr>
            <w:tcW w:w="1671" w:type="dxa"/>
            <w:tcBorders>
              <w:top w:val="single" w:sz="8" w:space="0" w:color="000000"/>
              <w:bottom w:val="single" w:sz="8" w:space="0" w:color="000000"/>
            </w:tcBorders>
          </w:tcPr>
          <w:p>
            <w:pPr>
              <w:pStyle w:val="TableParagraph"/>
              <w:spacing w:line="315" w:lineRule="exact"/>
              <w:ind w:left="115"/>
              <w:rPr>
                <w:sz w:val="24"/>
              </w:rPr>
            </w:pPr>
            <w:r>
              <w:rPr>
                <w:spacing w:val="-4"/>
                <w:sz w:val="24"/>
              </w:rPr>
              <w:t>1993</w:t>
            </w:r>
          </w:p>
          <w:p>
            <w:pPr>
              <w:pStyle w:val="TableParagraph"/>
              <w:spacing w:line="266" w:lineRule="auto" w:before="38"/>
              <w:ind w:left="115" w:right="578"/>
              <w:jc w:val="both"/>
              <w:rPr>
                <w:sz w:val="25"/>
              </w:rPr>
            </w:pPr>
            <w:r>
              <w:rPr>
                <w:spacing w:val="-6"/>
                <w:sz w:val="25"/>
              </w:rPr>
              <w:t>Treaty</w:t>
            </w:r>
            <w:r>
              <w:rPr>
                <w:spacing w:val="-10"/>
                <w:sz w:val="25"/>
              </w:rPr>
              <w:t> </w:t>
            </w:r>
            <w:r>
              <w:rPr>
                <w:spacing w:val="-6"/>
                <w:sz w:val="25"/>
              </w:rPr>
              <w:t>on European </w:t>
            </w:r>
            <w:r>
              <w:rPr>
                <w:spacing w:val="-2"/>
                <w:sz w:val="25"/>
              </w:rPr>
              <w:t>Union</w:t>
            </w:r>
          </w:p>
        </w:tc>
        <w:tc>
          <w:tcPr>
            <w:tcW w:w="3077" w:type="dxa"/>
            <w:tcBorders>
              <w:top w:val="single" w:sz="8" w:space="0" w:color="000000"/>
              <w:bottom w:val="single" w:sz="8" w:space="0" w:color="000000"/>
            </w:tcBorders>
          </w:tcPr>
          <w:p>
            <w:pPr>
              <w:pStyle w:val="TableParagraph"/>
              <w:spacing w:before="544"/>
              <w:ind w:left="16" w:right="21"/>
              <w:jc w:val="center"/>
              <w:rPr>
                <w:sz w:val="48"/>
              </w:rPr>
            </w:pPr>
            <w:r>
              <w:rPr>
                <w:spacing w:val="-4"/>
                <w:sz w:val="48"/>
              </w:rPr>
              <w:t>CFSP</w:t>
            </w:r>
          </w:p>
        </w:tc>
        <w:tc>
          <w:tcPr>
            <w:tcW w:w="3754" w:type="dxa"/>
            <w:tcBorders>
              <w:top w:val="single" w:sz="8" w:space="0" w:color="000000"/>
              <w:bottom w:val="single" w:sz="8" w:space="0" w:color="000000"/>
            </w:tcBorders>
          </w:tcPr>
          <w:p>
            <w:pPr>
              <w:pStyle w:val="TableParagraph"/>
              <w:spacing w:line="317" w:lineRule="exact"/>
              <w:ind w:left="126"/>
              <w:rPr>
                <w:sz w:val="25"/>
              </w:rPr>
            </w:pPr>
            <w:r>
              <w:rPr>
                <w:spacing w:val="-2"/>
                <w:sz w:val="25"/>
              </w:rPr>
              <w:t>Aims:</w:t>
            </w:r>
          </w:p>
          <w:p>
            <w:pPr>
              <w:pStyle w:val="TableParagraph"/>
              <w:numPr>
                <w:ilvl w:val="0"/>
                <w:numId w:val="17"/>
              </w:numPr>
              <w:tabs>
                <w:tab w:pos="846" w:val="left" w:leader="none"/>
              </w:tabs>
              <w:spacing w:line="315" w:lineRule="exact" w:before="0" w:after="0"/>
              <w:ind w:left="846" w:right="0" w:hanging="360"/>
              <w:jc w:val="left"/>
              <w:rPr>
                <w:sz w:val="24"/>
              </w:rPr>
            </w:pPr>
            <w:r>
              <w:rPr>
                <w:sz w:val="24"/>
              </w:rPr>
              <w:t>preserving</w:t>
            </w:r>
            <w:r>
              <w:rPr>
                <w:spacing w:val="54"/>
                <w:sz w:val="24"/>
              </w:rPr>
              <w:t> </w:t>
            </w:r>
            <w:r>
              <w:rPr>
                <w:spacing w:val="-4"/>
                <w:sz w:val="24"/>
              </w:rPr>
              <w:t>peace</w:t>
            </w:r>
          </w:p>
          <w:p>
            <w:pPr>
              <w:pStyle w:val="TableParagraph"/>
              <w:numPr>
                <w:ilvl w:val="0"/>
                <w:numId w:val="17"/>
              </w:numPr>
              <w:tabs>
                <w:tab w:pos="846" w:val="left" w:leader="none"/>
              </w:tabs>
              <w:spacing w:line="240" w:lineRule="auto" w:before="0" w:after="0"/>
              <w:ind w:left="846" w:right="682" w:hanging="361"/>
              <w:jc w:val="left"/>
              <w:rPr>
                <w:sz w:val="24"/>
              </w:rPr>
            </w:pPr>
            <w:r>
              <w:rPr>
                <w:sz w:val="24"/>
              </w:rPr>
              <w:t>strengthening the international</w:t>
            </w:r>
            <w:r>
              <w:rPr>
                <w:spacing w:val="-15"/>
                <w:sz w:val="24"/>
              </w:rPr>
              <w:t> </w:t>
            </w:r>
            <w:r>
              <w:rPr>
                <w:sz w:val="24"/>
              </w:rPr>
              <w:t>security,</w:t>
            </w:r>
          </w:p>
          <w:p>
            <w:pPr>
              <w:pStyle w:val="TableParagraph"/>
              <w:numPr>
                <w:ilvl w:val="0"/>
                <w:numId w:val="17"/>
              </w:numPr>
              <w:tabs>
                <w:tab w:pos="846" w:val="left" w:leader="none"/>
              </w:tabs>
              <w:spacing w:line="240" w:lineRule="auto" w:before="2" w:after="0"/>
              <w:ind w:left="846" w:right="691" w:hanging="361"/>
              <w:jc w:val="left"/>
              <w:rPr>
                <w:sz w:val="24"/>
              </w:rPr>
            </w:pPr>
            <w:r>
              <w:rPr>
                <w:sz w:val="24"/>
              </w:rPr>
              <w:t>promoting</w:t>
            </w:r>
            <w:r>
              <w:rPr>
                <w:spacing w:val="-15"/>
                <w:sz w:val="24"/>
              </w:rPr>
              <w:t> </w:t>
            </w:r>
            <w:r>
              <w:rPr>
                <w:sz w:val="24"/>
              </w:rPr>
              <w:t>the</w:t>
            </w:r>
            <w:r>
              <w:rPr>
                <w:spacing w:val="-15"/>
                <w:sz w:val="24"/>
              </w:rPr>
              <w:t> </w:t>
            </w:r>
            <w:r>
              <w:rPr>
                <w:sz w:val="24"/>
              </w:rPr>
              <w:t>human rights</w:t>
            </w:r>
            <w:r>
              <w:rPr>
                <w:spacing w:val="-15"/>
                <w:sz w:val="24"/>
              </w:rPr>
              <w:t> </w:t>
            </w:r>
            <w:r>
              <w:rPr>
                <w:sz w:val="24"/>
              </w:rPr>
              <w:t>and</w:t>
            </w:r>
            <w:r>
              <w:rPr>
                <w:spacing w:val="-15"/>
                <w:sz w:val="24"/>
              </w:rPr>
              <w:t> </w:t>
            </w:r>
            <w:r>
              <w:rPr>
                <w:sz w:val="24"/>
              </w:rPr>
              <w:t>democracy.</w:t>
            </w:r>
          </w:p>
          <w:p>
            <w:pPr>
              <w:pStyle w:val="TableParagraph"/>
              <w:spacing w:line="313" w:lineRule="exact"/>
              <w:ind w:left="126"/>
              <w:rPr>
                <w:sz w:val="24"/>
              </w:rPr>
            </w:pPr>
            <w:r>
              <w:rPr>
                <w:spacing w:val="-2"/>
                <w:sz w:val="24"/>
              </w:rPr>
              <w:t>Method:</w:t>
            </w:r>
          </w:p>
          <w:p>
            <w:pPr>
              <w:pStyle w:val="TableParagraph"/>
              <w:spacing w:line="298" w:lineRule="exact" w:before="1"/>
              <w:ind w:left="126"/>
              <w:rPr>
                <w:sz w:val="24"/>
              </w:rPr>
            </w:pPr>
            <w:r>
              <w:rPr>
                <w:sz w:val="24"/>
              </w:rPr>
              <w:t>Intergovernmental</w:t>
            </w:r>
            <w:r>
              <w:rPr>
                <w:spacing w:val="-4"/>
                <w:sz w:val="24"/>
              </w:rPr>
              <w:t> </w:t>
            </w:r>
            <w:r>
              <w:rPr>
                <w:sz w:val="24"/>
              </w:rPr>
              <w:t>-</w:t>
            </w:r>
            <w:r>
              <w:rPr>
                <w:spacing w:val="-1"/>
                <w:sz w:val="24"/>
              </w:rPr>
              <w:t> </w:t>
            </w:r>
            <w:r>
              <w:rPr>
                <w:spacing w:val="-2"/>
                <w:sz w:val="24"/>
              </w:rPr>
              <w:t>Consensus</w:t>
            </w:r>
          </w:p>
        </w:tc>
      </w:tr>
      <w:tr>
        <w:trPr>
          <w:trHeight w:val="1089" w:hRule="atLeast"/>
        </w:trPr>
        <w:tc>
          <w:tcPr>
            <w:tcW w:w="1671" w:type="dxa"/>
            <w:tcBorders>
              <w:top w:val="single" w:sz="8" w:space="0" w:color="000000"/>
            </w:tcBorders>
            <w:shd w:val="clear" w:color="auto" w:fill="C0C0C0"/>
          </w:tcPr>
          <w:p>
            <w:pPr>
              <w:pStyle w:val="TableParagraph"/>
              <w:spacing w:line="314" w:lineRule="exact"/>
              <w:ind w:left="115"/>
              <w:rPr>
                <w:sz w:val="24"/>
              </w:rPr>
            </w:pPr>
            <w:r>
              <w:rPr>
                <w:spacing w:val="-4"/>
                <w:sz w:val="24"/>
              </w:rPr>
              <w:t>1997</w:t>
            </w:r>
          </w:p>
          <w:p>
            <w:pPr>
              <w:pStyle w:val="TableParagraph"/>
              <w:spacing w:line="360" w:lineRule="atLeast" w:before="8"/>
              <w:ind w:left="115" w:right="376"/>
              <w:rPr>
                <w:sz w:val="25"/>
              </w:rPr>
            </w:pPr>
            <w:r>
              <w:rPr>
                <w:sz w:val="25"/>
              </w:rPr>
              <w:t>Treaty of </w:t>
            </w:r>
            <w:r>
              <w:rPr>
                <w:spacing w:val="-6"/>
                <w:sz w:val="25"/>
              </w:rPr>
              <w:t>Amsterdam</w:t>
            </w:r>
          </w:p>
        </w:tc>
        <w:tc>
          <w:tcPr>
            <w:tcW w:w="3077" w:type="dxa"/>
            <w:tcBorders>
              <w:top w:val="single" w:sz="8" w:space="0" w:color="000000"/>
            </w:tcBorders>
            <w:shd w:val="clear" w:color="auto" w:fill="C0C0C0"/>
          </w:tcPr>
          <w:p>
            <w:pPr>
              <w:pStyle w:val="TableParagraph"/>
              <w:spacing w:before="69"/>
              <w:rPr>
                <w:rFonts w:ascii="Calibri"/>
                <w:b/>
                <w:sz w:val="24"/>
              </w:rPr>
            </w:pPr>
          </w:p>
          <w:p>
            <w:pPr>
              <w:pStyle w:val="TableParagraph"/>
              <w:ind w:right="21"/>
              <w:jc w:val="center"/>
              <w:rPr>
                <w:sz w:val="24"/>
              </w:rPr>
            </w:pPr>
            <w:r>
              <w:rPr>
                <w:sz w:val="24"/>
              </w:rPr>
              <w:t>Enhanced</w:t>
            </w:r>
            <w:r>
              <w:rPr>
                <w:spacing w:val="-14"/>
                <w:sz w:val="24"/>
              </w:rPr>
              <w:t> </w:t>
            </w:r>
            <w:r>
              <w:rPr>
                <w:sz w:val="24"/>
              </w:rPr>
              <w:t>decision-</w:t>
            </w:r>
            <w:r>
              <w:rPr>
                <w:spacing w:val="-2"/>
                <w:sz w:val="24"/>
              </w:rPr>
              <w:t>making</w:t>
            </w:r>
          </w:p>
        </w:tc>
        <w:tc>
          <w:tcPr>
            <w:tcW w:w="3754" w:type="dxa"/>
            <w:tcBorders>
              <w:top w:val="single" w:sz="8" w:space="0" w:color="000000"/>
            </w:tcBorders>
            <w:shd w:val="clear" w:color="auto" w:fill="C0C0C0"/>
          </w:tcPr>
          <w:p>
            <w:pPr>
              <w:pStyle w:val="TableParagraph"/>
              <w:numPr>
                <w:ilvl w:val="0"/>
                <w:numId w:val="18"/>
              </w:numPr>
              <w:tabs>
                <w:tab w:pos="846" w:val="left" w:leader="none"/>
              </w:tabs>
              <w:spacing w:line="240" w:lineRule="auto" w:before="180" w:after="0"/>
              <w:ind w:left="846" w:right="0" w:hanging="360"/>
              <w:jc w:val="left"/>
              <w:rPr>
                <w:sz w:val="24"/>
              </w:rPr>
            </w:pPr>
            <w:r>
              <w:rPr>
                <w:sz w:val="24"/>
              </w:rPr>
              <w:t>Constructive</w:t>
            </w:r>
            <w:r>
              <w:rPr>
                <w:spacing w:val="-8"/>
                <w:sz w:val="24"/>
              </w:rPr>
              <w:t> </w:t>
            </w:r>
            <w:r>
              <w:rPr>
                <w:spacing w:val="-2"/>
                <w:sz w:val="24"/>
              </w:rPr>
              <w:t>abstention</w:t>
            </w:r>
          </w:p>
          <w:p>
            <w:pPr>
              <w:pStyle w:val="TableParagraph"/>
              <w:numPr>
                <w:ilvl w:val="0"/>
                <w:numId w:val="18"/>
              </w:numPr>
              <w:tabs>
                <w:tab w:pos="846" w:val="left" w:leader="none"/>
              </w:tabs>
              <w:spacing w:line="240" w:lineRule="auto" w:before="49" w:after="0"/>
              <w:ind w:left="846" w:right="0" w:hanging="360"/>
              <w:jc w:val="left"/>
              <w:rPr>
                <w:sz w:val="24"/>
              </w:rPr>
            </w:pPr>
            <w:r>
              <w:rPr>
                <w:sz w:val="24"/>
              </w:rPr>
              <w:t>Qualified</w:t>
            </w:r>
            <w:r>
              <w:rPr>
                <w:spacing w:val="-5"/>
                <w:sz w:val="24"/>
              </w:rPr>
              <w:t> </w:t>
            </w:r>
            <w:r>
              <w:rPr>
                <w:sz w:val="24"/>
              </w:rPr>
              <w:t>majority</w:t>
            </w:r>
            <w:r>
              <w:rPr>
                <w:spacing w:val="-3"/>
                <w:sz w:val="24"/>
              </w:rPr>
              <w:t> </w:t>
            </w:r>
            <w:r>
              <w:rPr>
                <w:spacing w:val="-2"/>
                <w:sz w:val="24"/>
              </w:rPr>
              <w:t>voting</w:t>
            </w:r>
          </w:p>
        </w:tc>
      </w:tr>
      <w:tr>
        <w:trPr>
          <w:trHeight w:val="1094" w:hRule="atLeast"/>
        </w:trPr>
        <w:tc>
          <w:tcPr>
            <w:tcW w:w="1671" w:type="dxa"/>
          </w:tcPr>
          <w:p>
            <w:pPr>
              <w:pStyle w:val="TableParagraph"/>
              <w:spacing w:line="314" w:lineRule="exact"/>
              <w:ind w:left="115"/>
              <w:rPr>
                <w:sz w:val="24"/>
              </w:rPr>
            </w:pPr>
            <w:r>
              <w:rPr>
                <w:spacing w:val="-4"/>
                <w:sz w:val="24"/>
              </w:rPr>
              <w:t>1999</w:t>
            </w:r>
          </w:p>
          <w:p>
            <w:pPr>
              <w:pStyle w:val="TableParagraph"/>
              <w:spacing w:line="360" w:lineRule="atLeast" w:before="8"/>
              <w:ind w:left="115"/>
              <w:rPr>
                <w:sz w:val="25"/>
              </w:rPr>
            </w:pPr>
            <w:r>
              <w:rPr>
                <w:spacing w:val="-8"/>
                <w:sz w:val="25"/>
              </w:rPr>
              <w:t>European </w:t>
            </w:r>
            <w:r>
              <w:rPr>
                <w:spacing w:val="-2"/>
                <w:sz w:val="25"/>
              </w:rPr>
              <w:t>Council</w:t>
            </w:r>
          </w:p>
        </w:tc>
        <w:tc>
          <w:tcPr>
            <w:tcW w:w="3077" w:type="dxa"/>
          </w:tcPr>
          <w:p>
            <w:pPr>
              <w:pStyle w:val="TableParagraph"/>
              <w:spacing w:before="70"/>
              <w:rPr>
                <w:rFonts w:ascii="Calibri"/>
                <w:b/>
                <w:sz w:val="24"/>
              </w:rPr>
            </w:pPr>
          </w:p>
          <w:p>
            <w:pPr>
              <w:pStyle w:val="TableParagraph"/>
              <w:ind w:left="5" w:right="21"/>
              <w:jc w:val="center"/>
              <w:rPr>
                <w:sz w:val="24"/>
              </w:rPr>
            </w:pPr>
            <w:r>
              <w:rPr>
                <w:sz w:val="24"/>
              </w:rPr>
              <w:t>High</w:t>
            </w:r>
            <w:r>
              <w:rPr>
                <w:spacing w:val="-12"/>
                <w:sz w:val="24"/>
              </w:rPr>
              <w:t> </w:t>
            </w:r>
            <w:r>
              <w:rPr>
                <w:spacing w:val="-2"/>
                <w:sz w:val="24"/>
              </w:rPr>
              <w:t>Representative</w:t>
            </w:r>
          </w:p>
        </w:tc>
        <w:tc>
          <w:tcPr>
            <w:tcW w:w="3754" w:type="dxa"/>
          </w:tcPr>
          <w:p>
            <w:pPr>
              <w:pStyle w:val="TableParagraph"/>
              <w:rPr>
                <w:rFonts w:ascii="Times New Roman"/>
                <w:sz w:val="24"/>
              </w:rPr>
            </w:pPr>
          </w:p>
        </w:tc>
      </w:tr>
      <w:tr>
        <w:trPr>
          <w:trHeight w:val="1090" w:hRule="atLeast"/>
        </w:trPr>
        <w:tc>
          <w:tcPr>
            <w:tcW w:w="1671" w:type="dxa"/>
            <w:shd w:val="clear" w:color="auto" w:fill="C0C0C0"/>
          </w:tcPr>
          <w:p>
            <w:pPr>
              <w:pStyle w:val="TableParagraph"/>
              <w:spacing w:line="314" w:lineRule="exact"/>
              <w:ind w:left="115"/>
              <w:rPr>
                <w:sz w:val="24"/>
              </w:rPr>
            </w:pPr>
            <w:r>
              <w:rPr>
                <w:spacing w:val="-4"/>
                <w:sz w:val="24"/>
              </w:rPr>
              <w:t>2003</w:t>
            </w:r>
          </w:p>
          <w:p>
            <w:pPr>
              <w:pStyle w:val="TableParagraph"/>
              <w:spacing w:before="34"/>
              <w:ind w:left="115"/>
              <w:rPr>
                <w:sz w:val="25"/>
              </w:rPr>
            </w:pPr>
            <w:r>
              <w:rPr>
                <w:spacing w:val="-4"/>
                <w:sz w:val="25"/>
              </w:rPr>
              <w:t>Treaty</w:t>
            </w:r>
            <w:r>
              <w:rPr>
                <w:spacing w:val="-5"/>
                <w:sz w:val="25"/>
              </w:rPr>
              <w:t> of</w:t>
            </w:r>
          </w:p>
          <w:p>
            <w:pPr>
              <w:pStyle w:val="TableParagraph"/>
              <w:spacing w:before="36"/>
              <w:ind w:left="115"/>
              <w:rPr>
                <w:sz w:val="25"/>
              </w:rPr>
            </w:pPr>
            <w:r>
              <w:rPr>
                <w:spacing w:val="-4"/>
                <w:sz w:val="25"/>
              </w:rPr>
              <w:t>Nice</w:t>
            </w:r>
          </w:p>
        </w:tc>
        <w:tc>
          <w:tcPr>
            <w:tcW w:w="3077" w:type="dxa"/>
            <w:shd w:val="clear" w:color="auto" w:fill="C0C0C0"/>
          </w:tcPr>
          <w:p>
            <w:pPr>
              <w:pStyle w:val="TableParagraph"/>
              <w:spacing w:line="276" w:lineRule="auto" w:before="176"/>
              <w:ind w:left="970" w:hanging="514"/>
              <w:rPr>
                <w:sz w:val="24"/>
              </w:rPr>
            </w:pPr>
            <w:r>
              <w:rPr>
                <w:sz w:val="24"/>
              </w:rPr>
              <w:t>Political</w:t>
            </w:r>
            <w:r>
              <w:rPr>
                <w:spacing w:val="-15"/>
                <w:sz w:val="24"/>
              </w:rPr>
              <w:t> </w:t>
            </w:r>
            <w:r>
              <w:rPr>
                <w:sz w:val="24"/>
              </w:rPr>
              <w:t>and</w:t>
            </w:r>
            <w:r>
              <w:rPr>
                <w:spacing w:val="-15"/>
                <w:sz w:val="24"/>
              </w:rPr>
              <w:t> </w:t>
            </w:r>
            <w:r>
              <w:rPr>
                <w:sz w:val="24"/>
              </w:rPr>
              <w:t>Security </w:t>
            </w:r>
            <w:r>
              <w:rPr>
                <w:spacing w:val="-2"/>
                <w:sz w:val="24"/>
              </w:rPr>
              <w:t>Committee</w:t>
            </w:r>
          </w:p>
        </w:tc>
        <w:tc>
          <w:tcPr>
            <w:tcW w:w="3754" w:type="dxa"/>
            <w:shd w:val="clear" w:color="auto" w:fill="C0C0C0"/>
          </w:tcPr>
          <w:p>
            <w:pPr>
              <w:pStyle w:val="TableParagraph"/>
              <w:spacing w:line="271" w:lineRule="auto"/>
              <w:ind w:left="126"/>
              <w:rPr>
                <w:sz w:val="24"/>
              </w:rPr>
            </w:pPr>
            <w:r>
              <w:rPr>
                <w:sz w:val="25"/>
              </w:rPr>
              <w:t>Aim:</w:t>
            </w:r>
            <w:r>
              <w:rPr>
                <w:spacing w:val="26"/>
                <w:sz w:val="25"/>
              </w:rPr>
              <w:t> </w:t>
            </w:r>
            <w:r>
              <w:rPr>
                <w:sz w:val="24"/>
              </w:rPr>
              <w:t>to</w:t>
            </w:r>
            <w:r>
              <w:rPr>
                <w:spacing w:val="-15"/>
                <w:sz w:val="24"/>
              </w:rPr>
              <w:t> </w:t>
            </w:r>
            <w:r>
              <w:rPr>
                <w:sz w:val="24"/>
              </w:rPr>
              <w:t>exercise</w:t>
            </w:r>
            <w:r>
              <w:rPr>
                <w:spacing w:val="-14"/>
                <w:sz w:val="24"/>
              </w:rPr>
              <w:t> </w:t>
            </w:r>
            <w:r>
              <w:rPr>
                <w:sz w:val="24"/>
              </w:rPr>
              <w:t>political</w:t>
            </w:r>
            <w:r>
              <w:rPr>
                <w:spacing w:val="-15"/>
                <w:sz w:val="24"/>
              </w:rPr>
              <w:t> </w:t>
            </w:r>
            <w:r>
              <w:rPr>
                <w:sz w:val="24"/>
              </w:rPr>
              <w:t>control and strategic direction of crisis</w:t>
            </w:r>
          </w:p>
          <w:p>
            <w:pPr>
              <w:pStyle w:val="TableParagraph"/>
              <w:ind w:left="126"/>
              <w:rPr>
                <w:sz w:val="24"/>
              </w:rPr>
            </w:pPr>
            <w:r>
              <w:rPr>
                <w:sz w:val="24"/>
              </w:rPr>
              <w:t>management </w:t>
            </w:r>
            <w:r>
              <w:rPr>
                <w:spacing w:val="-2"/>
                <w:sz w:val="24"/>
              </w:rPr>
              <w:t>operations</w:t>
            </w:r>
          </w:p>
        </w:tc>
      </w:tr>
      <w:tr>
        <w:trPr>
          <w:trHeight w:val="2179" w:hRule="atLeast"/>
        </w:trPr>
        <w:tc>
          <w:tcPr>
            <w:tcW w:w="1671" w:type="dxa"/>
            <w:tcBorders>
              <w:bottom w:val="single" w:sz="8" w:space="0" w:color="000000"/>
            </w:tcBorders>
          </w:tcPr>
          <w:p>
            <w:pPr>
              <w:pStyle w:val="TableParagraph"/>
              <w:spacing w:line="314" w:lineRule="exact"/>
              <w:ind w:left="115"/>
              <w:rPr>
                <w:sz w:val="24"/>
              </w:rPr>
            </w:pPr>
            <w:r>
              <w:rPr>
                <w:spacing w:val="-4"/>
                <w:sz w:val="24"/>
              </w:rPr>
              <w:t>2009</w:t>
            </w:r>
          </w:p>
          <w:p>
            <w:pPr>
              <w:pStyle w:val="TableParagraph"/>
              <w:spacing w:before="38"/>
              <w:ind w:left="115"/>
              <w:rPr>
                <w:sz w:val="25"/>
              </w:rPr>
            </w:pPr>
            <w:r>
              <w:rPr>
                <w:spacing w:val="-5"/>
                <w:sz w:val="25"/>
              </w:rPr>
              <w:t>Lisbon</w:t>
            </w:r>
            <w:r>
              <w:rPr>
                <w:spacing w:val="-4"/>
                <w:sz w:val="25"/>
              </w:rPr>
              <w:t> </w:t>
            </w:r>
            <w:r>
              <w:rPr>
                <w:spacing w:val="-2"/>
                <w:sz w:val="25"/>
              </w:rPr>
              <w:t>Treaty</w:t>
            </w:r>
          </w:p>
        </w:tc>
        <w:tc>
          <w:tcPr>
            <w:tcW w:w="3077" w:type="dxa"/>
            <w:tcBorders>
              <w:bottom w:val="single" w:sz="8" w:space="0" w:color="000000"/>
            </w:tcBorders>
          </w:tcPr>
          <w:p>
            <w:pPr>
              <w:pStyle w:val="TableParagraph"/>
              <w:numPr>
                <w:ilvl w:val="0"/>
                <w:numId w:val="19"/>
              </w:numPr>
              <w:tabs>
                <w:tab w:pos="792" w:val="left" w:leader="none"/>
              </w:tabs>
              <w:spacing w:line="314" w:lineRule="exact" w:before="0" w:after="0"/>
              <w:ind w:left="792" w:right="0" w:hanging="360"/>
              <w:jc w:val="left"/>
              <w:rPr>
                <w:sz w:val="24"/>
              </w:rPr>
            </w:pPr>
            <w:r>
              <w:rPr>
                <w:sz w:val="24"/>
              </w:rPr>
              <w:t>EU Legal</w:t>
            </w:r>
            <w:r>
              <w:rPr>
                <w:spacing w:val="-5"/>
                <w:sz w:val="24"/>
              </w:rPr>
              <w:t> </w:t>
            </w:r>
            <w:r>
              <w:rPr>
                <w:spacing w:val="-2"/>
                <w:sz w:val="24"/>
              </w:rPr>
              <w:t>Personality.</w:t>
            </w:r>
          </w:p>
          <w:p>
            <w:pPr>
              <w:pStyle w:val="TableParagraph"/>
              <w:numPr>
                <w:ilvl w:val="0"/>
                <w:numId w:val="19"/>
              </w:numPr>
              <w:tabs>
                <w:tab w:pos="792" w:val="left" w:leader="none"/>
              </w:tabs>
              <w:spacing w:line="276" w:lineRule="auto" w:before="48" w:after="0"/>
              <w:ind w:left="792" w:right="228" w:hanging="360"/>
              <w:jc w:val="left"/>
              <w:rPr>
                <w:sz w:val="24"/>
              </w:rPr>
            </w:pPr>
            <w:r>
              <w:rPr>
                <w:sz w:val="24"/>
              </w:rPr>
              <w:t>High</w:t>
            </w:r>
            <w:r>
              <w:rPr>
                <w:spacing w:val="-15"/>
                <w:sz w:val="24"/>
              </w:rPr>
              <w:t> </w:t>
            </w:r>
            <w:r>
              <w:rPr>
                <w:sz w:val="24"/>
              </w:rPr>
              <w:t>Representative of the Union for Foreign Affairs and Security Policy.</w:t>
            </w:r>
          </w:p>
          <w:p>
            <w:pPr>
              <w:pStyle w:val="TableParagraph"/>
              <w:numPr>
                <w:ilvl w:val="0"/>
                <w:numId w:val="19"/>
              </w:numPr>
              <w:tabs>
                <w:tab w:pos="792" w:val="left" w:leader="none"/>
              </w:tabs>
              <w:spacing w:line="312" w:lineRule="exact" w:before="0" w:after="0"/>
              <w:ind w:left="792" w:right="0" w:hanging="360"/>
              <w:jc w:val="left"/>
              <w:rPr>
                <w:sz w:val="24"/>
              </w:rPr>
            </w:pPr>
            <w:r>
              <w:rPr>
                <w:spacing w:val="-4"/>
                <w:sz w:val="24"/>
              </w:rPr>
              <w:t>EEAS</w:t>
            </w:r>
          </w:p>
        </w:tc>
        <w:tc>
          <w:tcPr>
            <w:tcW w:w="3754" w:type="dxa"/>
            <w:tcBorders>
              <w:bottom w:val="single" w:sz="8" w:space="0" w:color="000000"/>
            </w:tcBorders>
          </w:tcPr>
          <w:p>
            <w:pPr>
              <w:pStyle w:val="TableParagraph"/>
              <w:rPr>
                <w:rFonts w:ascii="Times New Roman"/>
                <w:sz w:val="24"/>
              </w:rPr>
            </w:pPr>
          </w:p>
        </w:tc>
      </w:tr>
    </w:tbl>
    <w:p>
      <w:pPr>
        <w:pStyle w:val="BodyText"/>
        <w:spacing w:line="276" w:lineRule="auto" w:before="3"/>
        <w:ind w:right="1911"/>
      </w:pPr>
      <w:r>
        <w:rPr/>
        <w:t>The external governance, from the systemic point of view is a structural coupling that involves every subsystem of the unity. We need to clarify</w:t>
      </w:r>
      <w:r>
        <w:rPr>
          <w:spacing w:val="40"/>
        </w:rPr>
        <w:t> </w:t>
      </w:r>
      <w:r>
        <w:rPr/>
        <w:t>why</w:t>
      </w:r>
      <w:r>
        <w:rPr>
          <w:spacing w:val="-3"/>
        </w:rPr>
        <w:t> </w:t>
      </w:r>
      <w:r>
        <w:rPr/>
        <w:t>using</w:t>
      </w:r>
      <w:r>
        <w:rPr>
          <w:spacing w:val="-3"/>
        </w:rPr>
        <w:t> </w:t>
      </w:r>
      <w:r>
        <w:rPr/>
        <w:t>the</w:t>
      </w:r>
      <w:r>
        <w:rPr>
          <w:spacing w:val="-3"/>
        </w:rPr>
        <w:t> </w:t>
      </w:r>
      <w:r>
        <w:rPr/>
        <w:t>systemic</w:t>
      </w:r>
      <w:r>
        <w:rPr>
          <w:spacing w:val="-4"/>
        </w:rPr>
        <w:t> </w:t>
      </w:r>
      <w:r>
        <w:rPr/>
        <w:t>terminology is</w:t>
      </w:r>
      <w:r>
        <w:rPr>
          <w:spacing w:val="-5"/>
        </w:rPr>
        <w:t> </w:t>
      </w:r>
      <w:r>
        <w:rPr/>
        <w:t>not just</w:t>
      </w:r>
      <w:r>
        <w:rPr>
          <w:spacing w:val="-3"/>
        </w:rPr>
        <w:t> </w:t>
      </w:r>
      <w:r>
        <w:rPr/>
        <w:t>a</w:t>
      </w:r>
      <w:r>
        <w:rPr>
          <w:spacing w:val="-3"/>
        </w:rPr>
        <w:t> </w:t>
      </w:r>
      <w:r>
        <w:rPr/>
        <w:t>duplication of</w:t>
      </w:r>
      <w:r>
        <w:rPr>
          <w:spacing w:val="-4"/>
        </w:rPr>
        <w:t> </w:t>
      </w:r>
      <w:r>
        <w:rPr/>
        <w:t>the</w:t>
      </w:r>
      <w:r>
        <w:rPr>
          <w:spacing w:val="-3"/>
        </w:rPr>
        <w:t> </w:t>
      </w:r>
      <w:r>
        <w:rPr/>
        <w:t>concepts that already exist in the literature of integration. In a general sense, every approach</w:t>
      </w:r>
      <w:r>
        <w:rPr>
          <w:spacing w:val="-2"/>
        </w:rPr>
        <w:t> </w:t>
      </w:r>
      <w:r>
        <w:rPr/>
        <w:t>that</w:t>
      </w:r>
      <w:r>
        <w:rPr>
          <w:spacing w:val="-2"/>
        </w:rPr>
        <w:t> </w:t>
      </w:r>
      <w:r>
        <w:rPr/>
        <w:t>studies</w:t>
      </w:r>
      <w:r>
        <w:rPr>
          <w:spacing w:val="-4"/>
        </w:rPr>
        <w:t> </w:t>
      </w:r>
      <w:r>
        <w:rPr/>
        <w:t>the</w:t>
      </w:r>
      <w:r>
        <w:rPr>
          <w:spacing w:val="-2"/>
        </w:rPr>
        <w:t> </w:t>
      </w:r>
      <w:r>
        <w:rPr/>
        <w:t>European Union</w:t>
      </w:r>
      <w:r>
        <w:rPr>
          <w:spacing w:val="-1"/>
        </w:rPr>
        <w:t> </w:t>
      </w:r>
      <w:r>
        <w:rPr/>
        <w:t>as a</w:t>
      </w:r>
      <w:r>
        <w:rPr>
          <w:spacing w:val="-2"/>
        </w:rPr>
        <w:t> </w:t>
      </w:r>
      <w:r>
        <w:rPr/>
        <w:t>global</w:t>
      </w:r>
      <w:r>
        <w:rPr>
          <w:spacing w:val="-5"/>
        </w:rPr>
        <w:t> </w:t>
      </w:r>
      <w:r>
        <w:rPr/>
        <w:t>actor,</w:t>
      </w:r>
      <w:r>
        <w:rPr>
          <w:spacing w:val="-1"/>
        </w:rPr>
        <w:t> </w:t>
      </w:r>
      <w:r>
        <w:rPr/>
        <w:t>focuses on</w:t>
      </w:r>
      <w:r>
        <w:rPr>
          <w:spacing w:val="-1"/>
        </w:rPr>
        <w:t> </w:t>
      </w:r>
      <w:r>
        <w:rPr/>
        <w:t>some aspects that are reductionist in nature. As we try to propose a broad systemic framework for the synthesis of the existing literature, we try to do it at every level. Based on the need of the determined generality, the concept of structural coupling can serve as a unifying path to seeing the EU external</w:t>
      </w:r>
      <w:r>
        <w:rPr>
          <w:spacing w:val="-10"/>
        </w:rPr>
        <w:t> </w:t>
      </w:r>
      <w:r>
        <w:rPr/>
        <w:t>relations.</w:t>
      </w:r>
      <w:r>
        <w:rPr>
          <w:spacing w:val="-7"/>
        </w:rPr>
        <w:t> </w:t>
      </w:r>
      <w:r>
        <w:rPr/>
        <w:t>The</w:t>
      </w:r>
      <w:r>
        <w:rPr>
          <w:spacing w:val="-7"/>
        </w:rPr>
        <w:t> </w:t>
      </w:r>
      <w:r>
        <w:rPr/>
        <w:t>opening</w:t>
      </w:r>
      <w:r>
        <w:rPr>
          <w:spacing w:val="-11"/>
        </w:rPr>
        <w:t> </w:t>
      </w:r>
      <w:r>
        <w:rPr/>
        <w:t>definition</w:t>
      </w:r>
      <w:r>
        <w:rPr>
          <w:spacing w:val="-7"/>
        </w:rPr>
        <w:t> </w:t>
      </w:r>
      <w:r>
        <w:rPr/>
        <w:t>of</w:t>
      </w:r>
      <w:r>
        <w:rPr>
          <w:spacing w:val="-9"/>
        </w:rPr>
        <w:t> </w:t>
      </w:r>
      <w:r>
        <w:rPr/>
        <w:t>this</w:t>
      </w:r>
      <w:r>
        <w:rPr>
          <w:spacing w:val="-9"/>
        </w:rPr>
        <w:t> </w:t>
      </w:r>
      <w:r>
        <w:rPr/>
        <w:t>section</w:t>
      </w:r>
      <w:r>
        <w:rPr>
          <w:spacing w:val="-2"/>
        </w:rPr>
        <w:t> </w:t>
      </w:r>
      <w:r>
        <w:rPr/>
        <w:t>is</w:t>
      </w:r>
      <w:r>
        <w:rPr>
          <w:spacing w:val="-9"/>
        </w:rPr>
        <w:t> </w:t>
      </w:r>
      <w:r>
        <w:rPr/>
        <w:t>a</w:t>
      </w:r>
      <w:r>
        <w:rPr>
          <w:spacing w:val="-8"/>
        </w:rPr>
        <w:t> </w:t>
      </w:r>
      <w:r>
        <w:rPr/>
        <w:t>continuation</w:t>
      </w:r>
      <w:r>
        <w:rPr>
          <w:spacing w:val="-7"/>
        </w:rPr>
        <w:t> </w:t>
      </w:r>
      <w:r>
        <w:rPr>
          <w:spacing w:val="-5"/>
        </w:rPr>
        <w:t>of</w:t>
      </w:r>
    </w:p>
    <w:p>
      <w:pPr>
        <w:pStyle w:val="BodyText"/>
        <w:spacing w:after="0" w:line="276" w:lineRule="auto"/>
        <w:sectPr>
          <w:pgSz w:w="12240" w:h="15840"/>
          <w:pgMar w:header="1046" w:footer="0" w:top="1360" w:bottom="280" w:left="720" w:right="360"/>
        </w:sectPr>
      </w:pPr>
    </w:p>
    <w:p>
      <w:pPr>
        <w:pStyle w:val="BodyText"/>
        <w:spacing w:line="276" w:lineRule="auto" w:before="276"/>
        <w:ind w:right="1906"/>
      </w:pPr>
      <w:r>
        <w:rPr/>
        <w:t>the central argument of the chapter. We noted above that the main vehicle for regulating relations among the EU units, as with the third parties, is a legal system. We have seen how the </w:t>
      </w:r>
      <w:r>
        <w:rPr>
          <w:sz w:val="27"/>
        </w:rPr>
        <w:t>AETR </w:t>
      </w:r>
      <w:r>
        <w:rPr/>
        <w:t>judgement shaped an initial notion of communitarian external action. However, the real face of the coupling was formed only after every other system gained the internal significance. Completing the common market and introducing more or less coherent political organization demanded certain uniformity in relations with the third parties. The Maastricht, Amsterdam and Lisbon Treaties gradually institutionalized the external</w:t>
      </w:r>
      <w:r>
        <w:rPr>
          <w:spacing w:val="-2"/>
        </w:rPr>
        <w:t> </w:t>
      </w:r>
      <w:r>
        <w:rPr/>
        <w:t>governance.</w:t>
      </w:r>
      <w:r>
        <w:rPr>
          <w:spacing w:val="-2"/>
        </w:rPr>
        <w:t> </w:t>
      </w:r>
      <w:r>
        <w:rPr/>
        <w:t>The</w:t>
      </w:r>
      <w:r>
        <w:rPr>
          <w:spacing w:val="-4"/>
        </w:rPr>
        <w:t> </w:t>
      </w:r>
      <w:r>
        <w:rPr/>
        <w:t>institutionalization did not form the ‘one size fits all’ foreign policy; modern European Union External Action Service (EEAS) is an extremely complex planner institute. The role of the EEAS is to find a proper balance between the intergovernmental demands and the supranational goals. This condition shaped a practice of the external governance that “varies across countries, regions, and also</w:t>
      </w:r>
      <w:r>
        <w:rPr>
          <w:spacing w:val="-5"/>
        </w:rPr>
        <w:t> </w:t>
      </w:r>
      <w:r>
        <w:rPr/>
        <w:t>policy</w:t>
      </w:r>
      <w:r>
        <w:rPr>
          <w:spacing w:val="-3"/>
        </w:rPr>
        <w:t> </w:t>
      </w:r>
      <w:r>
        <w:rPr/>
        <w:t>ﬁelds. It</w:t>
      </w:r>
      <w:r>
        <w:rPr>
          <w:spacing w:val="-2"/>
        </w:rPr>
        <w:t> </w:t>
      </w:r>
      <w:r>
        <w:rPr/>
        <w:t>is sometimes</w:t>
      </w:r>
      <w:r>
        <w:rPr>
          <w:spacing w:val="-4"/>
        </w:rPr>
        <w:t> </w:t>
      </w:r>
      <w:r>
        <w:rPr/>
        <w:t>part</w:t>
      </w:r>
      <w:r>
        <w:rPr>
          <w:spacing w:val="-2"/>
        </w:rPr>
        <w:t> </w:t>
      </w:r>
      <w:r>
        <w:rPr/>
        <w:t>of</w:t>
      </w:r>
      <w:r>
        <w:rPr>
          <w:spacing w:val="-3"/>
        </w:rPr>
        <w:t> </w:t>
      </w:r>
      <w:r>
        <w:rPr/>
        <w:t>an overarching</w:t>
      </w:r>
      <w:r>
        <w:rPr>
          <w:spacing w:val="-2"/>
        </w:rPr>
        <w:t> </w:t>
      </w:r>
      <w:r>
        <w:rPr/>
        <w:t>foreign policy initiative, such as the European Economic Area (EEA) or the European neighbourhood policy (ENP). It may be based on bilateral cooperation agreements such as with Switzerland.” (</w:t>
      </w:r>
      <w:hyperlink w:history="true" w:anchor="_bookmark256">
        <w:r>
          <w:rPr/>
          <w:t>Lavenex &amp;</w:t>
        </w:r>
      </w:hyperlink>
      <w:r>
        <w:rPr/>
        <w:t> </w:t>
      </w:r>
      <w:hyperlink w:history="true" w:anchor="_bookmark256">
        <w:r>
          <w:rPr/>
          <w:t>Schimmelfennig, 2009, p. 792</w:t>
        </w:r>
      </w:hyperlink>
      <w:r>
        <w:rPr/>
        <w:t>)</w:t>
      </w:r>
    </w:p>
    <w:p>
      <w:pPr>
        <w:pStyle w:val="BodyText"/>
        <w:spacing w:line="327" w:lineRule="exact"/>
        <w:ind w:left="1700"/>
      </w:pPr>
      <w:r>
        <w:rPr/>
        <w:t>In</w:t>
      </w:r>
      <w:r>
        <w:rPr>
          <w:spacing w:val="-5"/>
        </w:rPr>
        <w:t> </w:t>
      </w:r>
      <w:r>
        <w:rPr/>
        <w:t>a</w:t>
      </w:r>
      <w:r>
        <w:rPr>
          <w:spacing w:val="-5"/>
        </w:rPr>
        <w:t> </w:t>
      </w:r>
      <w:r>
        <w:rPr/>
        <w:t>classical</w:t>
      </w:r>
      <w:r>
        <w:rPr>
          <w:spacing w:val="-3"/>
        </w:rPr>
        <w:t> </w:t>
      </w:r>
      <w:r>
        <w:rPr/>
        <w:t>state</w:t>
      </w:r>
      <w:r>
        <w:rPr>
          <w:spacing w:val="-5"/>
        </w:rPr>
        <w:t> </w:t>
      </w:r>
      <w:r>
        <w:rPr/>
        <w:t>to</w:t>
      </w:r>
      <w:r>
        <w:rPr>
          <w:spacing w:val="-8"/>
        </w:rPr>
        <w:t> </w:t>
      </w:r>
      <w:r>
        <w:rPr/>
        <w:t>state</w:t>
      </w:r>
      <w:r>
        <w:rPr>
          <w:spacing w:val="-5"/>
        </w:rPr>
        <w:t> </w:t>
      </w:r>
      <w:r>
        <w:rPr/>
        <w:t>foreign</w:t>
      </w:r>
      <w:r>
        <w:rPr>
          <w:spacing w:val="-4"/>
        </w:rPr>
        <w:t> </w:t>
      </w:r>
      <w:r>
        <w:rPr/>
        <w:t>relations,</w:t>
      </w:r>
      <w:r>
        <w:rPr>
          <w:spacing w:val="-4"/>
        </w:rPr>
        <w:t> </w:t>
      </w:r>
      <w:r>
        <w:rPr/>
        <w:t>the</w:t>
      </w:r>
      <w:r>
        <w:rPr>
          <w:spacing w:val="-5"/>
        </w:rPr>
        <w:t> </w:t>
      </w:r>
      <w:r>
        <w:rPr/>
        <w:t>parties</w:t>
      </w:r>
      <w:r>
        <w:rPr>
          <w:spacing w:val="-7"/>
        </w:rPr>
        <w:t> </w:t>
      </w:r>
      <w:r>
        <w:rPr/>
        <w:t>are</w:t>
      </w:r>
      <w:r>
        <w:rPr>
          <w:spacing w:val="-5"/>
        </w:rPr>
        <w:t> </w:t>
      </w:r>
      <w:r>
        <w:rPr>
          <w:spacing w:val="-2"/>
        </w:rPr>
        <w:t>considered</w:t>
      </w:r>
    </w:p>
    <w:p>
      <w:pPr>
        <w:pStyle w:val="BodyText"/>
        <w:spacing w:line="271" w:lineRule="auto" w:before="51"/>
        <w:ind w:right="1905"/>
      </w:pPr>
      <w:r>
        <w:rPr/>
        <w:t>to be equal. When the European Union interacts with the environmental entity, in the most cases, the latter acknowledges the supremacy of the former. The EU regional policies are exemplary cases of the </w:t>
      </w:r>
      <w:r>
        <w:rPr>
          <w:sz w:val="27"/>
        </w:rPr>
        <w:t>other-other adaptation, </w:t>
      </w:r>
      <w:r>
        <w:rPr/>
        <w:t>the system reacts to the external changes by modifying the environment. To modify the environment, the EU uses the </w:t>
      </w:r>
      <w:r>
        <w:rPr>
          <w:sz w:val="27"/>
        </w:rPr>
        <w:t>conditionality policy</w:t>
      </w:r>
      <w:r>
        <w:rPr/>
        <w:t>. The package combines the economic, normative and political elements. The scope and effectiveness of the policy largely depend on the status of the environmental actor; for example, for the EFTA states there were no democracy and market economy conditions, while for others these conditions are essential to join the EU. (</w:t>
      </w:r>
      <w:hyperlink w:history="true" w:anchor="_bookmark200">
        <w:r>
          <w:rPr/>
          <w:t>Grabbe, 2002, p. 251</w:t>
        </w:r>
      </w:hyperlink>
      <w:r>
        <w:rPr/>
        <w:t>) The modern structure of conditionality was designed at the Copenhagen European Council</w:t>
      </w:r>
      <w:r>
        <w:rPr>
          <w:spacing w:val="-17"/>
        </w:rPr>
        <w:t> </w:t>
      </w:r>
      <w:r>
        <w:rPr/>
        <w:t>and</w:t>
      </w:r>
      <w:r>
        <w:rPr>
          <w:spacing w:val="-12"/>
        </w:rPr>
        <w:t> </w:t>
      </w:r>
      <w:r>
        <w:rPr/>
        <w:t>named</w:t>
      </w:r>
      <w:r>
        <w:rPr>
          <w:spacing w:val="-12"/>
        </w:rPr>
        <w:t> </w:t>
      </w:r>
      <w:r>
        <w:rPr/>
        <w:t>thereafter</w:t>
      </w:r>
      <w:r>
        <w:rPr>
          <w:spacing w:val="-13"/>
        </w:rPr>
        <w:t> </w:t>
      </w:r>
      <w:r>
        <w:rPr/>
        <w:t>the</w:t>
      </w:r>
      <w:r>
        <w:rPr>
          <w:spacing w:val="-8"/>
        </w:rPr>
        <w:t> </w:t>
      </w:r>
      <w:r>
        <w:rPr>
          <w:color w:val="000000"/>
          <w:sz w:val="27"/>
          <w:shd w:fill="FEFE8B" w:color="auto" w:val="clear"/>
        </w:rPr>
        <w:t>Copenhagen</w:t>
      </w:r>
      <w:r>
        <w:rPr>
          <w:color w:val="000000"/>
          <w:spacing w:val="-15"/>
          <w:sz w:val="27"/>
          <w:shd w:fill="FEFE8B" w:color="auto" w:val="clear"/>
        </w:rPr>
        <w:t> </w:t>
      </w:r>
      <w:r>
        <w:rPr>
          <w:color w:val="000000"/>
          <w:sz w:val="27"/>
          <w:shd w:fill="FEFE8B" w:color="auto" w:val="clear"/>
        </w:rPr>
        <w:t>Criteri</w:t>
      </w:r>
      <w:r>
        <w:rPr>
          <w:color w:val="000000"/>
          <w:sz w:val="27"/>
        </w:rPr>
        <w:t>a</w:t>
      </w:r>
      <w:r>
        <w:rPr>
          <w:color w:val="000000"/>
        </w:rPr>
        <w:t>.</w:t>
      </w:r>
      <w:r>
        <w:rPr>
          <w:color w:val="000000"/>
          <w:spacing w:val="-13"/>
        </w:rPr>
        <w:t> </w:t>
      </w:r>
      <w:r>
        <w:rPr>
          <w:color w:val="000000"/>
        </w:rPr>
        <w:t>The</w:t>
      </w:r>
      <w:r>
        <w:rPr>
          <w:color w:val="000000"/>
          <w:spacing w:val="-14"/>
        </w:rPr>
        <w:t> </w:t>
      </w:r>
      <w:r>
        <w:rPr>
          <w:color w:val="000000"/>
        </w:rPr>
        <w:t>standards</w:t>
      </w:r>
      <w:r>
        <w:rPr>
          <w:color w:val="000000"/>
          <w:spacing w:val="-15"/>
        </w:rPr>
        <w:t> </w:t>
      </w:r>
      <w:r>
        <w:rPr>
          <w:color w:val="000000"/>
          <w:spacing w:val="-4"/>
        </w:rPr>
        <w:t>were</w:t>
      </w:r>
    </w:p>
    <w:p>
      <w:pPr>
        <w:pStyle w:val="BodyText"/>
        <w:spacing w:after="0" w:line="271" w:lineRule="auto"/>
        <w:sectPr>
          <w:pgSz w:w="12240" w:h="15840"/>
          <w:pgMar w:header="1046" w:footer="0" w:top="1360" w:bottom="280" w:left="720" w:right="360"/>
        </w:sectPr>
      </w:pPr>
    </w:p>
    <w:p>
      <w:pPr>
        <w:pStyle w:val="BodyText"/>
        <w:spacing w:line="276" w:lineRule="auto" w:before="276"/>
        <w:ind w:right="1919"/>
      </w:pPr>
      <w:r>
        <w:rPr/>
        <w:t>designed for those countries who were willing to join the Union. However, the principles work with other actors as well.</w:t>
      </w:r>
    </w:p>
    <w:p>
      <w:pPr>
        <w:pStyle w:val="BodyText"/>
        <w:spacing w:line="276" w:lineRule="auto"/>
        <w:ind w:right="1845" w:firstLine="720"/>
      </w:pPr>
      <w:r>
        <w:rPr/>
        <mc:AlternateContent>
          <mc:Choice Requires="wps">
            <w:drawing>
              <wp:anchor distT="0" distB="0" distL="0" distR="0" allowOverlap="1" layoutInCell="1" locked="0" behindDoc="1" simplePos="0" relativeHeight="487669248">
                <wp:simplePos x="0" y="0"/>
                <wp:positionH relativeFrom="page">
                  <wp:posOffset>1079296</wp:posOffset>
                </wp:positionH>
                <wp:positionV relativeFrom="paragraph">
                  <wp:posOffset>6048378</wp:posOffset>
                </wp:positionV>
                <wp:extent cx="4679315" cy="167640"/>
                <wp:effectExtent l="0" t="0" r="0" b="0"/>
                <wp:wrapTopAndBottom/>
                <wp:docPr id="197" name="Textbox 197"/>
                <wp:cNvGraphicFramePr>
                  <a:graphicFrameLocks/>
                </wp:cNvGraphicFramePr>
                <a:graphic>
                  <a:graphicData uri="http://schemas.microsoft.com/office/word/2010/wordprocessingShape">
                    <wps:wsp>
                      <wps:cNvPr id="197" name="Textbox 197"/>
                      <wps:cNvSpPr txBox="1"/>
                      <wps:spPr>
                        <a:xfrm>
                          <a:off x="0" y="0"/>
                          <a:ext cx="4679315" cy="167640"/>
                        </a:xfrm>
                        <a:prstGeom prst="rect">
                          <a:avLst/>
                        </a:prstGeom>
                        <a:solidFill>
                          <a:srgbClr val="FFFF3F">
                            <a:alpha val="59999"/>
                          </a:srgbClr>
                        </a:solidFill>
                      </wps:spPr>
                      <wps:txbx>
                        <w:txbxContent>
                          <w:p>
                            <w:pPr>
                              <w:pStyle w:val="BodyText"/>
                              <w:spacing w:line="264" w:lineRule="exact"/>
                              <w:ind w:left="0"/>
                              <w:jc w:val="left"/>
                              <w:rPr>
                                <w:color w:val="000000"/>
                              </w:rPr>
                            </w:pPr>
                            <w:r>
                              <w:rPr>
                                <w:color w:val="000000"/>
                              </w:rPr>
                              <w:t>change</w:t>
                            </w:r>
                            <w:r>
                              <w:rPr>
                                <w:color w:val="000000"/>
                                <w:spacing w:val="33"/>
                              </w:rPr>
                              <w:t> </w:t>
                            </w:r>
                            <w:r>
                              <w:rPr>
                                <w:color w:val="000000"/>
                              </w:rPr>
                              <w:t>the</w:t>
                            </w:r>
                            <w:r>
                              <w:rPr>
                                <w:color w:val="000000"/>
                                <w:spacing w:val="33"/>
                              </w:rPr>
                              <w:t> </w:t>
                            </w:r>
                            <w:r>
                              <w:rPr>
                                <w:color w:val="000000"/>
                              </w:rPr>
                              <w:t>direction.</w:t>
                            </w:r>
                            <w:r>
                              <w:rPr>
                                <w:color w:val="000000"/>
                                <w:spacing w:val="35"/>
                              </w:rPr>
                              <w:t> </w:t>
                            </w:r>
                            <w:r>
                              <w:rPr>
                                <w:color w:val="000000"/>
                              </w:rPr>
                              <w:t>Those</w:t>
                            </w:r>
                            <w:r>
                              <w:rPr>
                                <w:color w:val="000000"/>
                                <w:spacing w:val="33"/>
                              </w:rPr>
                              <w:t> </w:t>
                            </w:r>
                            <w:r>
                              <w:rPr>
                                <w:color w:val="000000"/>
                              </w:rPr>
                              <w:t>societies</w:t>
                            </w:r>
                            <w:r>
                              <w:rPr>
                                <w:color w:val="000000"/>
                                <w:spacing w:val="31"/>
                              </w:rPr>
                              <w:t> </w:t>
                            </w:r>
                            <w:r>
                              <w:rPr>
                                <w:color w:val="000000"/>
                              </w:rPr>
                              <w:t>that</w:t>
                            </w:r>
                            <w:r>
                              <w:rPr>
                                <w:color w:val="000000"/>
                                <w:spacing w:val="38"/>
                              </w:rPr>
                              <w:t> </w:t>
                            </w:r>
                            <w:r>
                              <w:rPr>
                                <w:color w:val="000000"/>
                              </w:rPr>
                              <w:t>started</w:t>
                            </w:r>
                            <w:r>
                              <w:rPr>
                                <w:color w:val="000000"/>
                                <w:spacing w:val="34"/>
                              </w:rPr>
                              <w:t> </w:t>
                            </w:r>
                            <w:r>
                              <w:rPr>
                                <w:color w:val="000000"/>
                              </w:rPr>
                              <w:t>to</w:t>
                            </w:r>
                            <w:r>
                              <w:rPr>
                                <w:color w:val="000000"/>
                                <w:spacing w:val="31"/>
                              </w:rPr>
                              <w:t> </w:t>
                            </w:r>
                            <w:r>
                              <w:rPr>
                                <w:color w:val="000000"/>
                              </w:rPr>
                              <w:t>accept</w:t>
                            </w:r>
                            <w:r>
                              <w:rPr>
                                <w:color w:val="000000"/>
                                <w:spacing w:val="33"/>
                              </w:rPr>
                              <w:t> </w:t>
                            </w:r>
                            <w:r>
                              <w:rPr>
                                <w:color w:val="000000"/>
                              </w:rPr>
                              <w:t>the</w:t>
                            </w:r>
                            <w:r>
                              <w:rPr>
                                <w:color w:val="000000"/>
                                <w:spacing w:val="34"/>
                              </w:rPr>
                              <w:t> </w:t>
                            </w:r>
                            <w:r>
                              <w:rPr>
                                <w:color w:val="000000"/>
                                <w:spacing w:val="-10"/>
                              </w:rPr>
                              <w:t>E</w:t>
                            </w:r>
                          </w:p>
                        </w:txbxContent>
                      </wps:txbx>
                      <wps:bodyPr wrap="square" lIns="0" tIns="0" rIns="0" bIns="0" rtlCol="0">
                        <a:noAutofit/>
                      </wps:bodyPr>
                    </wps:wsp>
                  </a:graphicData>
                </a:graphic>
              </wp:anchor>
            </w:drawing>
          </mc:Choice>
          <mc:Fallback>
            <w:pict>
              <v:shape style="position:absolute;margin-left:84.984001pt;margin-top:476.250275pt;width:368.45pt;height:13.2pt;mso-position-horizontal-relative:page;mso-position-vertical-relative:paragraph;z-index:-15647232;mso-wrap-distance-left:0;mso-wrap-distance-right:0" type="#_x0000_t202" id="docshape184" filled="true" fillcolor="#ffff3f" stroked="false">
                <v:textbox inset="0,0,0,0">
                  <w:txbxContent>
                    <w:p>
                      <w:pPr>
                        <w:pStyle w:val="BodyText"/>
                        <w:spacing w:line="264" w:lineRule="exact"/>
                        <w:ind w:left="0"/>
                        <w:jc w:val="left"/>
                        <w:rPr>
                          <w:color w:val="000000"/>
                        </w:rPr>
                      </w:pPr>
                      <w:r>
                        <w:rPr>
                          <w:color w:val="000000"/>
                        </w:rPr>
                        <w:t>change</w:t>
                      </w:r>
                      <w:r>
                        <w:rPr>
                          <w:color w:val="000000"/>
                          <w:spacing w:val="33"/>
                        </w:rPr>
                        <w:t> </w:t>
                      </w:r>
                      <w:r>
                        <w:rPr>
                          <w:color w:val="000000"/>
                        </w:rPr>
                        <w:t>the</w:t>
                      </w:r>
                      <w:r>
                        <w:rPr>
                          <w:color w:val="000000"/>
                          <w:spacing w:val="33"/>
                        </w:rPr>
                        <w:t> </w:t>
                      </w:r>
                      <w:r>
                        <w:rPr>
                          <w:color w:val="000000"/>
                        </w:rPr>
                        <w:t>direction.</w:t>
                      </w:r>
                      <w:r>
                        <w:rPr>
                          <w:color w:val="000000"/>
                          <w:spacing w:val="35"/>
                        </w:rPr>
                        <w:t> </w:t>
                      </w:r>
                      <w:r>
                        <w:rPr>
                          <w:color w:val="000000"/>
                        </w:rPr>
                        <w:t>Those</w:t>
                      </w:r>
                      <w:r>
                        <w:rPr>
                          <w:color w:val="000000"/>
                          <w:spacing w:val="33"/>
                        </w:rPr>
                        <w:t> </w:t>
                      </w:r>
                      <w:r>
                        <w:rPr>
                          <w:color w:val="000000"/>
                        </w:rPr>
                        <w:t>societies</w:t>
                      </w:r>
                      <w:r>
                        <w:rPr>
                          <w:color w:val="000000"/>
                          <w:spacing w:val="31"/>
                        </w:rPr>
                        <w:t> </w:t>
                      </w:r>
                      <w:r>
                        <w:rPr>
                          <w:color w:val="000000"/>
                        </w:rPr>
                        <w:t>that</w:t>
                      </w:r>
                      <w:r>
                        <w:rPr>
                          <w:color w:val="000000"/>
                          <w:spacing w:val="38"/>
                        </w:rPr>
                        <w:t> </w:t>
                      </w:r>
                      <w:r>
                        <w:rPr>
                          <w:color w:val="000000"/>
                        </w:rPr>
                        <w:t>started</w:t>
                      </w:r>
                      <w:r>
                        <w:rPr>
                          <w:color w:val="000000"/>
                          <w:spacing w:val="34"/>
                        </w:rPr>
                        <w:t> </w:t>
                      </w:r>
                      <w:r>
                        <w:rPr>
                          <w:color w:val="000000"/>
                        </w:rPr>
                        <w:t>to</w:t>
                      </w:r>
                      <w:r>
                        <w:rPr>
                          <w:color w:val="000000"/>
                          <w:spacing w:val="31"/>
                        </w:rPr>
                        <w:t> </w:t>
                      </w:r>
                      <w:r>
                        <w:rPr>
                          <w:color w:val="000000"/>
                        </w:rPr>
                        <w:t>accept</w:t>
                      </w:r>
                      <w:r>
                        <w:rPr>
                          <w:color w:val="000000"/>
                          <w:spacing w:val="33"/>
                        </w:rPr>
                        <w:t> </w:t>
                      </w:r>
                      <w:r>
                        <w:rPr>
                          <w:color w:val="000000"/>
                        </w:rPr>
                        <w:t>the</w:t>
                      </w:r>
                      <w:r>
                        <w:rPr>
                          <w:color w:val="000000"/>
                          <w:spacing w:val="34"/>
                        </w:rPr>
                        <w:t> </w:t>
                      </w:r>
                      <w:r>
                        <w:rPr>
                          <w:color w:val="000000"/>
                          <w:spacing w:val="-10"/>
                        </w:rPr>
                        <w:t>E</w:t>
                      </w:r>
                    </w:p>
                  </w:txbxContent>
                </v:textbox>
                <v:fill opacity="39321f" type="solid"/>
                <w10:wrap type="topAndBottom"/>
              </v:shape>
            </w:pict>
          </mc:Fallback>
        </mc:AlternateContent>
      </w:r>
      <w:r>
        <w:rPr/>
        <mc:AlternateContent>
          <mc:Choice Requires="wps">
            <w:drawing>
              <wp:anchor distT="0" distB="0" distL="0" distR="0" allowOverlap="1" layoutInCell="1" locked="0" behindDoc="1" simplePos="0" relativeHeight="487669760">
                <wp:simplePos x="0" y="0"/>
                <wp:positionH relativeFrom="page">
                  <wp:posOffset>5768975</wp:posOffset>
                </wp:positionH>
                <wp:positionV relativeFrom="paragraph">
                  <wp:posOffset>6048378</wp:posOffset>
                </wp:positionV>
                <wp:extent cx="562610" cy="167640"/>
                <wp:effectExtent l="0" t="0" r="0" b="0"/>
                <wp:wrapTopAndBottom/>
                <wp:docPr id="198" name="Textbox 198"/>
                <wp:cNvGraphicFramePr>
                  <a:graphicFrameLocks/>
                </wp:cNvGraphicFramePr>
                <a:graphic>
                  <a:graphicData uri="http://schemas.microsoft.com/office/word/2010/wordprocessingShape">
                    <wps:wsp>
                      <wps:cNvPr id="198" name="Textbox 198"/>
                      <wps:cNvSpPr txBox="1"/>
                      <wps:spPr>
                        <a:xfrm>
                          <a:off x="0" y="0"/>
                          <a:ext cx="562610" cy="167640"/>
                        </a:xfrm>
                        <a:prstGeom prst="rect">
                          <a:avLst/>
                        </a:prstGeom>
                        <a:solidFill>
                          <a:srgbClr val="FFFF3F">
                            <a:alpha val="59999"/>
                          </a:srgbClr>
                        </a:solidFill>
                      </wps:spPr>
                      <wps:txbx>
                        <w:txbxContent>
                          <w:p>
                            <w:pPr>
                              <w:pStyle w:val="BodyText"/>
                              <w:spacing w:line="264" w:lineRule="exact"/>
                              <w:ind w:left="0"/>
                              <w:jc w:val="left"/>
                              <w:rPr>
                                <w:color w:val="000000"/>
                              </w:rPr>
                            </w:pPr>
                            <w:r>
                              <w:rPr>
                                <w:color w:val="000000"/>
                                <w:spacing w:val="-2"/>
                              </w:rPr>
                              <w:t>uropean</w:t>
                            </w:r>
                          </w:p>
                        </w:txbxContent>
                      </wps:txbx>
                      <wps:bodyPr wrap="square" lIns="0" tIns="0" rIns="0" bIns="0" rtlCol="0">
                        <a:noAutofit/>
                      </wps:bodyPr>
                    </wps:wsp>
                  </a:graphicData>
                </a:graphic>
              </wp:anchor>
            </w:drawing>
          </mc:Choice>
          <mc:Fallback>
            <w:pict>
              <v:shape style="position:absolute;margin-left:454.25pt;margin-top:476.250275pt;width:44.3pt;height:13.2pt;mso-position-horizontal-relative:page;mso-position-vertical-relative:paragraph;z-index:-15646720;mso-wrap-distance-left:0;mso-wrap-distance-right:0" type="#_x0000_t202" id="docshape185" filled="true" fillcolor="#ffff3f" stroked="false">
                <v:textbox inset="0,0,0,0">
                  <w:txbxContent>
                    <w:p>
                      <w:pPr>
                        <w:pStyle w:val="BodyText"/>
                        <w:spacing w:line="264" w:lineRule="exact"/>
                        <w:ind w:left="0"/>
                        <w:jc w:val="left"/>
                        <w:rPr>
                          <w:color w:val="000000"/>
                        </w:rPr>
                      </w:pPr>
                      <w:r>
                        <w:rPr>
                          <w:color w:val="000000"/>
                          <w:spacing w:val="-2"/>
                        </w:rPr>
                        <w:t>uropean</w:t>
                      </w:r>
                    </w:p>
                  </w:txbxContent>
                </v:textbox>
                <v:fill opacity="39321f" type="solid"/>
                <w10:wrap type="topAndBottom"/>
              </v:shape>
            </w:pict>
          </mc:Fallback>
        </mc:AlternateContent>
      </w:r>
      <w:r>
        <w:rPr/>
        <w:t>The enlargement is acknowledged as being the most successful</w:t>
      </w:r>
      <w:r>
        <w:rPr>
          <w:spacing w:val="40"/>
        </w:rPr>
        <w:t> </w:t>
      </w:r>
      <w:r>
        <w:rPr/>
        <w:t>foreign policy enacted by the Union. This success</w:t>
      </w:r>
      <w:r>
        <w:rPr>
          <w:spacing w:val="40"/>
        </w:rPr>
        <w:t> </w:t>
      </w:r>
      <w:r>
        <w:rPr/>
        <w:t>was largely determined</w:t>
      </w:r>
      <w:r>
        <w:rPr>
          <w:spacing w:val="80"/>
        </w:rPr>
        <w:t> </w:t>
      </w:r>
      <w:r>
        <w:rPr/>
        <w:t>by a clearly explained system of rewards. </w:t>
      </w:r>
      <w:r>
        <w:rPr>
          <w:color w:val="000000"/>
          <w:shd w:fill="FEFE8B" w:color="auto" w:val="clear"/>
        </w:rPr>
        <w:t>Those actors who voluntarily </w:t>
      </w:r>
      <w:r>
        <w:rPr>
          <w:color w:val="000000"/>
        </w:rPr>
        <w:t> </w:t>
      </w:r>
      <w:r>
        <w:rPr>
          <w:color w:val="000000"/>
          <w:shd w:fill="FEFE8B" w:color="auto" w:val="clear"/>
        </w:rPr>
        <w:t>accepted to comply with the EU rules knew that for doing so, they would </w:t>
      </w:r>
      <w:r>
        <w:rPr>
          <w:color w:val="000000"/>
        </w:rPr>
        <w:t> </w:t>
      </w:r>
      <w:r>
        <w:rPr>
          <w:color w:val="000000"/>
          <w:shd w:fill="FEFE8B" w:color="auto" w:val="clear"/>
        </w:rPr>
        <w:t>get</w:t>
      </w:r>
      <w:r>
        <w:rPr>
          <w:color w:val="000000"/>
          <w:spacing w:val="40"/>
          <w:shd w:fill="FEFE8B" w:color="auto" w:val="clear"/>
        </w:rPr>
        <w:t> </w:t>
      </w:r>
      <w:r>
        <w:rPr>
          <w:color w:val="000000"/>
          <w:shd w:fill="FEFE8B" w:color="auto" w:val="clear"/>
        </w:rPr>
        <w:t>membership of the Union and therefore, a whole package of rewards</w:t>
      </w:r>
      <w:r>
        <w:rPr>
          <w:color w:val="000000"/>
          <w:spacing w:val="-5"/>
          <w:shd w:fill="FEFE8B" w:color="auto" w:val="clear"/>
        </w:rPr>
        <w:t> </w:t>
      </w:r>
      <w:r>
        <w:rPr>
          <w:color w:val="000000"/>
          <w:spacing w:val="-5"/>
        </w:rPr>
        <w:t> </w:t>
      </w:r>
      <w:r>
        <w:rPr>
          <w:color w:val="000000"/>
          <w:shd w:fill="FEFE8B" w:color="auto" w:val="clear"/>
        </w:rPr>
        <w:t>with it. </w:t>
      </w:r>
      <w:r>
        <w:rPr>
          <w:color w:val="000000"/>
          <w:spacing w:val="-14"/>
        </w:rPr>
        <w:t> </w:t>
      </w:r>
      <w:r>
        <w:rPr>
          <w:color w:val="000000"/>
        </w:rPr>
        <w:t>The clarity of rewards is in direct correlation with the level of motivation of the third party.</w:t>
      </w:r>
      <w:r>
        <w:rPr>
          <w:color w:val="000000"/>
          <w:spacing w:val="80"/>
        </w:rPr>
        <w:t> </w:t>
      </w:r>
      <w:r>
        <w:rPr>
          <w:color w:val="000000"/>
          <w:shd w:fill="FEFE8B" w:color="auto" w:val="clear"/>
        </w:rPr>
        <w:t>Those states who do not have a real chance </w:t>
      </w:r>
      <w:r>
        <w:rPr>
          <w:color w:val="000000"/>
          <w:spacing w:val="40"/>
        </w:rPr>
        <w:t> </w:t>
      </w:r>
      <w:r>
        <w:rPr>
          <w:color w:val="000000"/>
          <w:shd w:fill="FEFE8B" w:color="auto" w:val="clear"/>
        </w:rPr>
        <w:t>to join the EU might still be willing to accept the Union rules if the </w:t>
      </w:r>
      <w:r>
        <w:rPr>
          <w:color w:val="000000"/>
        </w:rPr>
        <w:t> </w:t>
      </w:r>
      <w:r>
        <w:rPr>
          <w:color w:val="000000"/>
          <w:shd w:fill="FEFE8B" w:color="auto" w:val="clear"/>
        </w:rPr>
        <w:t>economic benefits</w:t>
      </w:r>
      <w:r>
        <w:rPr>
          <w:color w:val="000000"/>
          <w:spacing w:val="40"/>
          <w:shd w:fill="FEFE8B" w:color="auto" w:val="clear"/>
        </w:rPr>
        <w:t> </w:t>
      </w:r>
      <w:r>
        <w:rPr>
          <w:color w:val="000000"/>
          <w:shd w:fill="FEFE8B" w:color="auto" w:val="clear"/>
        </w:rPr>
        <w:t>are higher than the political costs</w:t>
      </w:r>
      <w:r>
        <w:rPr>
          <w:color w:val="000000"/>
        </w:rPr>
        <w:t>. We should keep in mind that the by complying with the EU rules, states take responsibility to domesticize the universal liberal values. Accordingly, if the governments</w:t>
      </w:r>
      <w:r>
        <w:rPr>
          <w:color w:val="000000"/>
          <w:spacing w:val="80"/>
        </w:rPr>
        <w:t> </w:t>
      </w:r>
      <w:r>
        <w:rPr>
          <w:color w:val="000000"/>
        </w:rPr>
        <w:t>are skeptical about the rewards, the process of westernization is lagging behind. For more clarity, we can compare two states: Georgia and Azerbaijan; they both are part of the ENP and the Eastern Partnership, however, the first is willing to comply with the EU rules, while the latter does not. There are serious structural differences between two countries; Georgia is a transitional democracy with serious economic and political problems, Azerbaijan is a soft hereditary autocracy, rich with oil resources.</w:t>
      </w:r>
      <w:r>
        <w:rPr>
          <w:color w:val="000000"/>
          <w:spacing w:val="40"/>
        </w:rPr>
        <w:t> </w:t>
      </w:r>
      <w:r>
        <w:rPr>
          <w:color w:val="000000"/>
          <w:shd w:fill="FEFE8B" w:color="auto" w:val="clear"/>
        </w:rPr>
        <w:t>It is obvious that democratization of the latter is the cost, that President</w:t>
      </w:r>
      <w:r>
        <w:rPr>
          <w:color w:val="000000"/>
          <w:spacing w:val="-6"/>
          <w:shd w:fill="FEFE8B" w:color="auto" w:val="clear"/>
        </w:rPr>
        <w:t> </w:t>
      </w:r>
      <w:r>
        <w:rPr>
          <w:color w:val="000000"/>
          <w:spacing w:val="-6"/>
        </w:rPr>
        <w:t> </w:t>
      </w:r>
      <w:r>
        <w:rPr>
          <w:color w:val="000000"/>
          <w:sz w:val="27"/>
          <w:shd w:fill="FEFE8B" w:color="auto" w:val="clear"/>
        </w:rPr>
        <w:t>Aliev </w:t>
      </w:r>
      <w:r>
        <w:rPr>
          <w:color w:val="000000"/>
          <w:shd w:fill="FEFE8B" w:color="auto" w:val="clear"/>
        </w:rPr>
        <w:t>is not willing to pay, especially when there are no real prospects for</w:t>
      </w:r>
      <w:r>
        <w:rPr>
          <w:color w:val="000000"/>
          <w:spacing w:val="-3"/>
          <w:shd w:fill="FEFE8B" w:color="auto" w:val="clear"/>
        </w:rPr>
        <w:t> </w:t>
      </w:r>
      <w:r>
        <w:rPr>
          <w:color w:val="000000"/>
          <w:spacing w:val="-3"/>
        </w:rPr>
        <w:t> </w:t>
      </w:r>
      <w:r>
        <w:rPr>
          <w:color w:val="000000"/>
          <w:shd w:fill="FEFE8B" w:color="auto" w:val="clear"/>
        </w:rPr>
        <w:t>the EU membership. </w:t>
      </w:r>
      <w:r>
        <w:rPr>
          <w:color w:val="000000"/>
        </w:rPr>
        <w:t>The situation is different in Georgia; the state tries to escape from the Russian influence at any cost and coming closer to Europe (both technically and ideologically) will increase the chances of it. The experience</w:t>
      </w:r>
      <w:r>
        <w:rPr>
          <w:color w:val="000000"/>
          <w:spacing w:val="-4"/>
        </w:rPr>
        <w:t> </w:t>
      </w:r>
      <w:r>
        <w:rPr>
          <w:color w:val="000000"/>
        </w:rPr>
        <w:t>has</w:t>
      </w:r>
      <w:r>
        <w:rPr>
          <w:color w:val="000000"/>
          <w:spacing w:val="-6"/>
        </w:rPr>
        <w:t> </w:t>
      </w:r>
      <w:r>
        <w:rPr>
          <w:color w:val="000000"/>
        </w:rPr>
        <w:t>shown</w:t>
      </w:r>
      <w:r>
        <w:rPr>
          <w:color w:val="000000"/>
          <w:spacing w:val="-3"/>
        </w:rPr>
        <w:t> </w:t>
      </w:r>
      <w:r>
        <w:rPr>
          <w:color w:val="000000"/>
        </w:rPr>
        <w:t>that</w:t>
      </w:r>
      <w:r>
        <w:rPr>
          <w:color w:val="000000"/>
          <w:spacing w:val="-4"/>
        </w:rPr>
        <w:t> </w:t>
      </w:r>
      <w:r>
        <w:rPr>
          <w:color w:val="000000"/>
        </w:rPr>
        <w:t>once</w:t>
      </w:r>
      <w:r>
        <w:rPr>
          <w:color w:val="000000"/>
          <w:spacing w:val="-4"/>
        </w:rPr>
        <w:t> </w:t>
      </w:r>
      <w:r>
        <w:rPr>
          <w:color w:val="000000"/>
        </w:rPr>
        <w:t>taking</w:t>
      </w:r>
      <w:r>
        <w:rPr>
          <w:color w:val="000000"/>
          <w:spacing w:val="-4"/>
        </w:rPr>
        <w:t> </w:t>
      </w:r>
      <w:r>
        <w:rPr>
          <w:color w:val="000000"/>
        </w:rPr>
        <w:t>the</w:t>
      </w:r>
      <w:r>
        <w:rPr>
          <w:color w:val="000000"/>
          <w:spacing w:val="-4"/>
        </w:rPr>
        <w:t> </w:t>
      </w:r>
      <w:r>
        <w:rPr>
          <w:color w:val="000000"/>
        </w:rPr>
        <w:t>path</w:t>
      </w:r>
      <w:r>
        <w:rPr>
          <w:color w:val="000000"/>
          <w:spacing w:val="-3"/>
        </w:rPr>
        <w:t> </w:t>
      </w:r>
      <w:r>
        <w:rPr>
          <w:color w:val="000000"/>
        </w:rPr>
        <w:t>towards</w:t>
      </w:r>
      <w:r>
        <w:rPr>
          <w:color w:val="000000"/>
          <w:spacing w:val="-6"/>
        </w:rPr>
        <w:t> </w:t>
      </w:r>
      <w:r>
        <w:rPr>
          <w:color w:val="000000"/>
        </w:rPr>
        <w:t>the</w:t>
      </w:r>
      <w:r>
        <w:rPr>
          <w:color w:val="000000"/>
          <w:spacing w:val="-4"/>
        </w:rPr>
        <w:t> </w:t>
      </w:r>
      <w:r>
        <w:rPr>
          <w:color w:val="000000"/>
        </w:rPr>
        <w:t>EU</w:t>
      </w:r>
      <w:r>
        <w:rPr>
          <w:color w:val="000000"/>
          <w:spacing w:val="-4"/>
        </w:rPr>
        <w:t> </w:t>
      </w:r>
      <w:r>
        <w:rPr>
          <w:color w:val="000000"/>
        </w:rPr>
        <w:t>it</w:t>
      </w:r>
      <w:r>
        <w:rPr>
          <w:color w:val="000000"/>
          <w:spacing w:val="-4"/>
        </w:rPr>
        <w:t> </w:t>
      </w:r>
      <w:r>
        <w:rPr>
          <w:color w:val="000000"/>
        </w:rPr>
        <w:t>is</w:t>
      </w:r>
      <w:r>
        <w:rPr>
          <w:color w:val="000000"/>
          <w:spacing w:val="-6"/>
        </w:rPr>
        <w:t> </w:t>
      </w:r>
      <w:r>
        <w:rPr>
          <w:color w:val="000000"/>
        </w:rPr>
        <w:t>hard</w:t>
      </w:r>
      <w:r>
        <w:rPr>
          <w:color w:val="000000"/>
          <w:spacing w:val="-2"/>
        </w:rPr>
        <w:t> </w:t>
      </w:r>
      <w:r>
        <w:rPr>
          <w:color w:val="000000"/>
          <w:spacing w:val="-5"/>
        </w:rPr>
        <w:t>to</w:t>
      </w:r>
    </w:p>
    <w:p>
      <w:pPr>
        <w:pStyle w:val="BodyText"/>
        <w:spacing w:line="276" w:lineRule="auto" w:before="59"/>
        <w:ind w:right="1909"/>
        <w:jc w:val="left"/>
      </w:pPr>
      <w:r>
        <w:rPr>
          <w:color w:val="000000"/>
          <w:shd w:fill="FEFE8B" w:color="auto" w:val="clear"/>
        </w:rPr>
        <w:t>values,</w:t>
      </w:r>
      <w:r>
        <w:rPr>
          <w:color w:val="000000"/>
          <w:spacing w:val="28"/>
          <w:shd w:fill="FEFE8B" w:color="auto" w:val="clear"/>
        </w:rPr>
        <w:t> </w:t>
      </w:r>
      <w:r>
        <w:rPr>
          <w:color w:val="000000"/>
          <w:shd w:fill="FEFE8B" w:color="auto" w:val="clear"/>
        </w:rPr>
        <w:t>find</w:t>
      </w:r>
      <w:r>
        <w:rPr>
          <w:color w:val="000000"/>
          <w:spacing w:val="28"/>
          <w:shd w:fill="FEFE8B" w:color="auto" w:val="clear"/>
        </w:rPr>
        <w:t> </w:t>
      </w:r>
      <w:r>
        <w:rPr>
          <w:color w:val="000000"/>
          <w:shd w:fill="FEFE8B" w:color="auto" w:val="clear"/>
        </w:rPr>
        <w:t>it</w:t>
      </w:r>
      <w:r>
        <w:rPr>
          <w:color w:val="000000"/>
          <w:spacing w:val="31"/>
          <w:shd w:fill="FEFE8B" w:color="auto" w:val="clear"/>
        </w:rPr>
        <w:t> </w:t>
      </w:r>
      <w:r>
        <w:rPr>
          <w:color w:val="000000"/>
          <w:shd w:fill="FEFE8B" w:color="auto" w:val="clear"/>
        </w:rPr>
        <w:t>difficult</w:t>
      </w:r>
      <w:r>
        <w:rPr>
          <w:color w:val="000000"/>
          <w:spacing w:val="31"/>
          <w:shd w:fill="FEFE8B" w:color="auto" w:val="clear"/>
        </w:rPr>
        <w:t> </w:t>
      </w:r>
      <w:r>
        <w:rPr>
          <w:color w:val="000000"/>
          <w:shd w:fill="FEFE8B" w:color="auto" w:val="clear"/>
        </w:rPr>
        <w:t>to</w:t>
      </w:r>
      <w:r>
        <w:rPr>
          <w:color w:val="000000"/>
          <w:spacing w:val="29"/>
          <w:shd w:fill="FEFE8B" w:color="auto" w:val="clear"/>
        </w:rPr>
        <w:t> </w:t>
      </w:r>
      <w:r>
        <w:rPr>
          <w:color w:val="000000"/>
          <w:shd w:fill="FEFE8B" w:color="auto" w:val="clear"/>
        </w:rPr>
        <w:t>give</w:t>
      </w:r>
      <w:r>
        <w:rPr>
          <w:color w:val="000000"/>
          <w:spacing w:val="31"/>
          <w:shd w:fill="FEFE8B" w:color="auto" w:val="clear"/>
        </w:rPr>
        <w:t> </w:t>
      </w:r>
      <w:r>
        <w:rPr>
          <w:color w:val="000000"/>
          <w:shd w:fill="FEFE8B" w:color="auto" w:val="clear"/>
        </w:rPr>
        <w:t>up</w:t>
      </w:r>
      <w:r>
        <w:rPr>
          <w:color w:val="000000"/>
          <w:spacing w:val="36"/>
          <w:shd w:fill="FEFE8B" w:color="auto" w:val="clear"/>
        </w:rPr>
        <w:t> </w:t>
      </w:r>
      <w:r>
        <w:rPr>
          <w:color w:val="000000"/>
          <w:shd w:fill="FEFE8B" w:color="auto" w:val="clear"/>
        </w:rPr>
        <w:t>the</w:t>
      </w:r>
      <w:r>
        <w:rPr>
          <w:color w:val="000000"/>
          <w:spacing w:val="27"/>
          <w:shd w:fill="FEFE8B" w:color="auto" w:val="clear"/>
        </w:rPr>
        <w:t> </w:t>
      </w:r>
      <w:r>
        <w:rPr>
          <w:color w:val="000000"/>
          <w:shd w:fill="FEFE8B" w:color="auto" w:val="clear"/>
        </w:rPr>
        <w:t>commitment,</w:t>
      </w:r>
      <w:r>
        <w:rPr>
          <w:color w:val="000000"/>
          <w:spacing w:val="28"/>
          <w:shd w:fill="FEFE8B" w:color="auto" w:val="clear"/>
        </w:rPr>
        <w:t> </w:t>
      </w:r>
      <w:r>
        <w:rPr>
          <w:color w:val="000000"/>
          <w:shd w:fill="FEFE8B" w:color="auto" w:val="clear"/>
        </w:rPr>
        <w:t>even</w:t>
      </w:r>
      <w:r>
        <w:rPr>
          <w:color w:val="000000"/>
          <w:spacing w:val="28"/>
          <w:shd w:fill="FEFE8B" w:color="auto" w:val="clear"/>
        </w:rPr>
        <w:t> </w:t>
      </w:r>
      <w:r>
        <w:rPr>
          <w:color w:val="000000"/>
          <w:shd w:fill="FEFE8B" w:color="auto" w:val="clear"/>
        </w:rPr>
        <w:t>if political elites</w:t>
      </w:r>
      <w:r>
        <w:rPr>
          <w:color w:val="000000"/>
        </w:rPr>
        <w:t> </w:t>
      </w:r>
      <w:r>
        <w:rPr>
          <w:color w:val="000000"/>
          <w:shd w:fill="FEFE8B" w:color="auto" w:val="clear"/>
        </w:rPr>
        <w:t>decide to do so. We saw an example of it in the Ukraine (Maidan protests).</w:t>
      </w:r>
      <w:r>
        <w:rPr>
          <w:color w:val="000000"/>
          <w:spacing w:val="40"/>
          <w:shd w:fill="FEFE8B" w:color="auto" w:val="clear"/>
        </w:rPr>
        <w:t> </w:t>
      </w:r>
    </w:p>
    <w:p>
      <w:pPr>
        <w:pStyle w:val="BodyText"/>
        <w:tabs>
          <w:tab w:pos="2466" w:val="left" w:leader="none"/>
          <w:tab w:pos="3828" w:val="left" w:leader="none"/>
          <w:tab w:pos="5282" w:val="left" w:leader="none"/>
          <w:tab w:pos="5728" w:val="left" w:leader="none"/>
          <w:tab w:pos="6759" w:val="left" w:leader="none"/>
          <w:tab w:pos="7200" w:val="left" w:leader="none"/>
          <w:tab w:pos="7770" w:val="left" w:leader="none"/>
        </w:tabs>
        <w:spacing w:line="276" w:lineRule="auto"/>
        <w:ind w:right="1908" w:firstLine="720"/>
        <w:jc w:val="left"/>
      </w:pPr>
      <w:r>
        <w:rPr/>
        <w:t>We</w:t>
      </w:r>
      <w:r>
        <w:rPr>
          <w:spacing w:val="40"/>
        </w:rPr>
        <w:t> </w:t>
      </w:r>
      <w:r>
        <w:rPr/>
        <w:t>have</w:t>
      </w:r>
      <w:r>
        <w:rPr>
          <w:spacing w:val="40"/>
        </w:rPr>
        <w:t> </w:t>
      </w:r>
      <w:r>
        <w:rPr/>
        <w:t>noted</w:t>
      </w:r>
      <w:r>
        <w:rPr>
          <w:spacing w:val="40"/>
        </w:rPr>
        <w:t> </w:t>
      </w:r>
      <w:r>
        <w:rPr/>
        <w:t>that</w:t>
      </w:r>
      <w:r>
        <w:rPr>
          <w:spacing w:val="40"/>
        </w:rPr>
        <w:t> </w:t>
      </w:r>
      <w:r>
        <w:rPr/>
        <w:t>in</w:t>
      </w:r>
      <w:r>
        <w:rPr>
          <w:spacing w:val="40"/>
        </w:rPr>
        <w:t> </w:t>
      </w:r>
      <w:r>
        <w:rPr/>
        <w:t>most</w:t>
      </w:r>
      <w:r>
        <w:rPr>
          <w:spacing w:val="40"/>
        </w:rPr>
        <w:t> </w:t>
      </w:r>
      <w:r>
        <w:rPr/>
        <w:t>cases</w:t>
      </w:r>
      <w:r>
        <w:rPr>
          <w:spacing w:val="40"/>
        </w:rPr>
        <w:t> </w:t>
      </w:r>
      <w:r>
        <w:rPr/>
        <w:t>the</w:t>
      </w:r>
      <w:r>
        <w:rPr>
          <w:spacing w:val="40"/>
        </w:rPr>
        <w:t> </w:t>
      </w:r>
      <w:r>
        <w:rPr/>
        <w:t>European</w:t>
      </w:r>
      <w:r>
        <w:rPr>
          <w:spacing w:val="40"/>
        </w:rPr>
        <w:t> </w:t>
      </w:r>
      <w:r>
        <w:rPr/>
        <w:t>Union</w:t>
      </w:r>
      <w:r>
        <w:rPr>
          <w:spacing w:val="40"/>
        </w:rPr>
        <w:t> </w:t>
      </w:r>
      <w:r>
        <w:rPr/>
        <w:t>uses</w:t>
      </w:r>
      <w:r>
        <w:rPr>
          <w:spacing w:val="40"/>
        </w:rPr>
        <w:t> </w:t>
      </w:r>
      <w:r>
        <w:rPr/>
        <w:t>the</w:t>
      </w:r>
      <w:r>
        <w:rPr>
          <w:spacing w:val="40"/>
        </w:rPr>
        <w:t> </w:t>
      </w:r>
      <w:r>
        <w:rPr>
          <w:spacing w:val="-2"/>
        </w:rPr>
        <w:t>other-other</w:t>
      </w:r>
      <w:r>
        <w:rPr/>
        <w:tab/>
      </w:r>
      <w:r>
        <w:rPr>
          <w:spacing w:val="-2"/>
        </w:rPr>
        <w:t>adaptation</w:t>
      </w:r>
      <w:r>
        <w:rPr/>
        <w:tab/>
      </w:r>
      <w:r>
        <w:rPr>
          <w:spacing w:val="-2"/>
        </w:rPr>
        <w:t>mechanism</w:t>
      </w:r>
      <w:r>
        <w:rPr/>
        <w:tab/>
      </w:r>
      <w:r>
        <w:rPr>
          <w:spacing w:val="-5"/>
        </w:rPr>
        <w:t>to</w:t>
      </w:r>
      <w:r>
        <w:rPr/>
        <w:tab/>
      </w:r>
      <w:r>
        <w:rPr>
          <w:spacing w:val="-2"/>
        </w:rPr>
        <w:t>operate</w:t>
      </w:r>
      <w:r>
        <w:rPr/>
        <w:tab/>
      </w:r>
      <w:r>
        <w:rPr>
          <w:spacing w:val="-5"/>
        </w:rPr>
        <w:t>in</w:t>
      </w:r>
      <w:r>
        <w:rPr/>
        <w:tab/>
      </w:r>
      <w:r>
        <w:rPr>
          <w:spacing w:val="-5"/>
        </w:rPr>
        <w:t>the</w:t>
      </w:r>
      <w:r>
        <w:rPr/>
        <w:tab/>
      </w:r>
      <w:r>
        <w:rPr>
          <w:spacing w:val="-2"/>
        </w:rPr>
        <w:t>environment.</w:t>
      </w:r>
    </w:p>
    <w:p>
      <w:pPr>
        <w:pStyle w:val="BodyText"/>
        <w:spacing w:after="0" w:line="276" w:lineRule="auto"/>
        <w:jc w:val="left"/>
        <w:sectPr>
          <w:pgSz w:w="12240" w:h="15840"/>
          <w:pgMar w:header="1046" w:footer="0" w:top="1360" w:bottom="280" w:left="720" w:right="360"/>
        </w:sectPr>
      </w:pPr>
    </w:p>
    <w:p>
      <w:pPr>
        <w:pStyle w:val="BodyText"/>
        <w:spacing w:line="276" w:lineRule="auto" w:before="276"/>
        <w:ind w:right="1924"/>
      </w:pPr>
      <w:r>
        <w:rPr/>
        <w:t>However, after the big enlargement in 2004, the EU undertook several structural changes (self-other adaptation).</w:t>
      </w:r>
    </w:p>
    <w:p>
      <w:pPr>
        <w:pStyle w:val="BodyText"/>
        <w:spacing w:line="276" w:lineRule="auto"/>
        <w:ind w:right="1910" w:firstLine="720"/>
      </w:pPr>
      <w:r>
        <w:rPr/>
        <w:t>Security is a latent function of the European Union. It has been broadly discussed that the system does not have capabilities to maintain peace, without getting a help from the NATO. This ‘narrow, military- oriented approach to the concept of security’ adheres a ‘rational’ or ‘realist’ logic of reasoning. (</w:t>
      </w:r>
      <w:hyperlink w:history="true" w:anchor="_bookmark447">
        <w:r>
          <w:rPr/>
          <w:t>Zwolski, 2009</w:t>
        </w:r>
      </w:hyperlink>
      <w:r>
        <w:rPr/>
        <w:t>) The dominance of realist views largely derives</w:t>
      </w:r>
      <w:r>
        <w:rPr>
          <w:spacing w:val="-3"/>
        </w:rPr>
        <w:t> </w:t>
      </w:r>
      <w:r>
        <w:rPr/>
        <w:t>from</w:t>
      </w:r>
      <w:r>
        <w:rPr>
          <w:spacing w:val="-3"/>
        </w:rPr>
        <w:t> </w:t>
      </w:r>
      <w:r>
        <w:rPr/>
        <w:t>the</w:t>
      </w:r>
      <w:r>
        <w:rPr>
          <w:spacing w:val="-2"/>
        </w:rPr>
        <w:t> </w:t>
      </w:r>
      <w:r>
        <w:rPr/>
        <w:t>90s,</w:t>
      </w:r>
      <w:r>
        <w:rPr>
          <w:spacing w:val="-1"/>
        </w:rPr>
        <w:t> </w:t>
      </w:r>
      <w:r>
        <w:rPr/>
        <w:t>when</w:t>
      </w:r>
      <w:r>
        <w:rPr>
          <w:spacing w:val="-1"/>
        </w:rPr>
        <w:t> </w:t>
      </w:r>
      <w:r>
        <w:rPr/>
        <w:t>the</w:t>
      </w:r>
      <w:r>
        <w:rPr>
          <w:spacing w:val="-6"/>
        </w:rPr>
        <w:t> </w:t>
      </w:r>
      <w:r>
        <w:rPr/>
        <w:t>EU</w:t>
      </w:r>
      <w:r>
        <w:rPr>
          <w:spacing w:val="-2"/>
        </w:rPr>
        <w:t> </w:t>
      </w:r>
      <w:r>
        <w:rPr/>
        <w:t>failed to</w:t>
      </w:r>
      <w:r>
        <w:rPr>
          <w:spacing w:val="-4"/>
        </w:rPr>
        <w:t> </w:t>
      </w:r>
      <w:r>
        <w:rPr/>
        <w:t>take</w:t>
      </w:r>
      <w:r>
        <w:rPr>
          <w:spacing w:val="-2"/>
        </w:rPr>
        <w:t> </w:t>
      </w:r>
      <w:r>
        <w:rPr/>
        <w:t>a</w:t>
      </w:r>
      <w:r>
        <w:rPr>
          <w:spacing w:val="-2"/>
        </w:rPr>
        <w:t> </w:t>
      </w:r>
      <w:r>
        <w:rPr/>
        <w:t>meaningful</w:t>
      </w:r>
      <w:r>
        <w:rPr>
          <w:spacing w:val="-4"/>
        </w:rPr>
        <w:t> </w:t>
      </w:r>
      <w:r>
        <w:rPr/>
        <w:t>action</w:t>
      </w:r>
      <w:r>
        <w:rPr>
          <w:spacing w:val="-1"/>
        </w:rPr>
        <w:t> </w:t>
      </w:r>
      <w:r>
        <w:rPr/>
        <w:t>to</w:t>
      </w:r>
      <w:r>
        <w:rPr>
          <w:spacing w:val="-4"/>
        </w:rPr>
        <w:t> </w:t>
      </w:r>
      <w:r>
        <w:rPr/>
        <w:t>stop the Balkan wars.</w:t>
      </w:r>
    </w:p>
    <w:p>
      <w:pPr>
        <w:pStyle w:val="BodyText"/>
        <w:spacing w:line="273" w:lineRule="auto"/>
        <w:ind w:right="1901" w:firstLine="720"/>
      </w:pPr>
      <w:r>
        <w:rPr/>
        <w:t>If we change a theoretical scope and move towards a ‘softer’ understanding of security, we can see the security identity of the EU differently. Firstly, constructivist approaches see a broader spectrum of threats than realist ones (we</w:t>
      </w:r>
      <w:r>
        <w:rPr>
          <w:spacing w:val="-1"/>
        </w:rPr>
        <w:t> </w:t>
      </w:r>
      <w:r>
        <w:rPr/>
        <w:t>can refer to sectorial approach proposed by the Copenhagen school). (</w:t>
      </w:r>
      <w:hyperlink w:history="true" w:anchor="_bookmark123">
        <w:r>
          <w:rPr/>
          <w:t>Buzan et al., 1998</w:t>
        </w:r>
      </w:hyperlink>
      <w:r>
        <w:rPr/>
        <w:t>)</w:t>
      </w:r>
      <w:r>
        <w:rPr>
          <w:position w:val="7"/>
          <w:sz w:val="15"/>
        </w:rPr>
        <w:t>42</w:t>
      </w:r>
      <w:r>
        <w:rPr>
          <w:spacing w:val="40"/>
          <w:position w:val="7"/>
          <w:sz w:val="15"/>
        </w:rPr>
        <w:t> </w:t>
      </w:r>
      <w:r>
        <w:rPr/>
        <w:t>Secondly, the context of the Balkan crisis include some factors that were far beyond the realist comprehension. Thirdly, if the first two statements hold, we can argue that in some areas the EU actions have been quite effective. </w:t>
      </w:r>
      <w:r>
        <w:rPr>
          <w:sz w:val="27"/>
        </w:rPr>
        <w:t>Thomas Risse and Gregor</w:t>
      </w:r>
      <w:r>
        <w:rPr>
          <w:spacing w:val="-13"/>
          <w:sz w:val="27"/>
        </w:rPr>
        <w:t> </w:t>
      </w:r>
      <w:r>
        <w:rPr>
          <w:sz w:val="27"/>
        </w:rPr>
        <w:t>Walter-Drop,</w:t>
      </w:r>
      <w:r>
        <w:rPr>
          <w:spacing w:val="-11"/>
          <w:sz w:val="27"/>
        </w:rPr>
        <w:t> </w:t>
      </w:r>
      <w:r>
        <w:rPr/>
        <w:t>for</w:t>
      </w:r>
      <w:r>
        <w:rPr>
          <w:spacing w:val="-10"/>
        </w:rPr>
        <w:t> </w:t>
      </w:r>
      <w:r>
        <w:rPr/>
        <w:t>instance,</w:t>
      </w:r>
      <w:r>
        <w:rPr>
          <w:spacing w:val="-9"/>
        </w:rPr>
        <w:t> </w:t>
      </w:r>
      <w:r>
        <w:rPr/>
        <w:t>argue</w:t>
      </w:r>
      <w:r>
        <w:rPr>
          <w:spacing w:val="-10"/>
        </w:rPr>
        <w:t> </w:t>
      </w:r>
      <w:r>
        <w:rPr/>
        <w:t>that</w:t>
      </w:r>
      <w:r>
        <w:rPr>
          <w:spacing w:val="-14"/>
        </w:rPr>
        <w:t> </w:t>
      </w:r>
      <w:r>
        <w:rPr/>
        <w:t>a)</w:t>
      </w:r>
      <w:r>
        <w:rPr>
          <w:spacing w:val="-10"/>
        </w:rPr>
        <w:t> </w:t>
      </w:r>
      <w:r>
        <w:rPr/>
        <w:t>an</w:t>
      </w:r>
      <w:r>
        <w:rPr>
          <w:spacing w:val="-13"/>
        </w:rPr>
        <w:t> </w:t>
      </w:r>
      <w:r>
        <w:rPr/>
        <w:t>assumption</w:t>
      </w:r>
      <w:r>
        <w:rPr>
          <w:spacing w:val="-10"/>
        </w:rPr>
        <w:t> </w:t>
      </w:r>
      <w:r>
        <w:rPr/>
        <w:t>about</w:t>
      </w:r>
      <w:r>
        <w:rPr>
          <w:spacing w:val="-10"/>
        </w:rPr>
        <w:t> </w:t>
      </w:r>
      <w:r>
        <w:rPr/>
        <w:t>the</w:t>
      </w:r>
      <w:r>
        <w:rPr>
          <w:spacing w:val="-10"/>
        </w:rPr>
        <w:t> </w:t>
      </w:r>
      <w:r>
        <w:rPr/>
        <w:t>EU inability to conduct foreign and security policy is misguided, b) like it is unconvincing to suggest that the system has troubles to achieve coordination on external action among the member states.</w:t>
      </w:r>
      <w:r>
        <w:rPr>
          <w:spacing w:val="80"/>
        </w:rPr>
        <w:t> </w:t>
      </w:r>
      <w:r>
        <w:rPr/>
        <w:t>According to</w:t>
      </w:r>
      <w:r>
        <w:rPr>
          <w:spacing w:val="40"/>
        </w:rPr>
        <w:t> </w:t>
      </w:r>
      <w:r>
        <w:rPr/>
        <w:t>the authors, a) the Union has an entire spectrum of institutional and technical capacities to be effective. b) “Foreign and security strategy of the European Union is remarkably consistent and coherent.” (</w:t>
      </w:r>
      <w:hyperlink w:history="true" w:anchor="_bookmark354">
        <w:r>
          <w:rPr/>
          <w:t>Risse &amp; Walter-</w:t>
        </w:r>
      </w:hyperlink>
      <w:r>
        <w:rPr/>
        <w:t> </w:t>
      </w:r>
      <w:hyperlink w:history="true" w:anchor="_bookmark354">
        <w:r>
          <w:rPr/>
          <w:t>Drop, 2009</w:t>
        </w:r>
      </w:hyperlink>
      <w:r>
        <w:rPr/>
        <w:t>)</w:t>
      </w:r>
    </w:p>
    <w:p>
      <w:pPr>
        <w:pStyle w:val="BodyText"/>
        <w:spacing w:line="276" w:lineRule="auto" w:before="29"/>
        <w:ind w:right="1903" w:firstLine="720"/>
      </w:pPr>
      <w:r>
        <w:rPr/>
        <w:t>The process of the European Integration has started during the Cold War. The Europe was divided into two parts. The western Europeans saw the military threat coming from the Soviet Union, but simultaneously, as the economic integration was moving forward, the EEC functionaries were taking</w:t>
      </w:r>
      <w:r>
        <w:rPr>
          <w:spacing w:val="22"/>
        </w:rPr>
        <w:t> </w:t>
      </w:r>
      <w:r>
        <w:rPr/>
        <w:t>a</w:t>
      </w:r>
      <w:r>
        <w:rPr>
          <w:spacing w:val="22"/>
        </w:rPr>
        <w:t> </w:t>
      </w:r>
      <w:r>
        <w:rPr/>
        <w:t>cautious</w:t>
      </w:r>
      <w:r>
        <w:rPr>
          <w:spacing w:val="20"/>
        </w:rPr>
        <w:t> </w:t>
      </w:r>
      <w:r>
        <w:rPr/>
        <w:t>position</w:t>
      </w:r>
      <w:r>
        <w:rPr>
          <w:spacing w:val="23"/>
        </w:rPr>
        <w:t> </w:t>
      </w:r>
      <w:r>
        <w:rPr/>
        <w:t>against</w:t>
      </w:r>
      <w:r>
        <w:rPr>
          <w:spacing w:val="23"/>
        </w:rPr>
        <w:t> </w:t>
      </w:r>
      <w:r>
        <w:rPr/>
        <w:t>the</w:t>
      </w:r>
      <w:r>
        <w:rPr>
          <w:spacing w:val="22"/>
        </w:rPr>
        <w:t> </w:t>
      </w:r>
      <w:r>
        <w:rPr/>
        <w:t>financial</w:t>
      </w:r>
      <w:r>
        <w:rPr>
          <w:spacing w:val="20"/>
        </w:rPr>
        <w:t> </w:t>
      </w:r>
      <w:r>
        <w:rPr/>
        <w:t>dependency</w:t>
      </w:r>
      <w:r>
        <w:rPr>
          <w:spacing w:val="21"/>
        </w:rPr>
        <w:t> </w:t>
      </w:r>
      <w:r>
        <w:rPr/>
        <w:t>on</w:t>
      </w:r>
      <w:r>
        <w:rPr>
          <w:spacing w:val="23"/>
        </w:rPr>
        <w:t> </w:t>
      </w:r>
      <w:r>
        <w:rPr/>
        <w:t>the</w:t>
      </w:r>
      <w:r>
        <w:rPr>
          <w:spacing w:val="31"/>
        </w:rPr>
        <w:t> </w:t>
      </w:r>
      <w:r>
        <w:rPr>
          <w:spacing w:val="-2"/>
        </w:rPr>
        <w:t>United</w:t>
      </w:r>
    </w:p>
    <w:p>
      <w:pPr>
        <w:pStyle w:val="BodyText"/>
        <w:ind w:left="0"/>
        <w:jc w:val="left"/>
        <w:rPr>
          <w:sz w:val="20"/>
        </w:rPr>
      </w:pPr>
    </w:p>
    <w:p>
      <w:pPr>
        <w:pStyle w:val="BodyText"/>
        <w:spacing w:before="22"/>
        <w:ind w:left="0"/>
        <w:jc w:val="left"/>
        <w:rPr>
          <w:sz w:val="20"/>
        </w:rPr>
      </w:pPr>
      <w:r>
        <w:rPr>
          <w:sz w:val="20"/>
        </w:rPr>
        <mc:AlternateContent>
          <mc:Choice Requires="wps">
            <w:drawing>
              <wp:anchor distT="0" distB="0" distL="0" distR="0" allowOverlap="1" layoutInCell="1" locked="0" behindDoc="1" simplePos="0" relativeHeight="487670272">
                <wp:simplePos x="0" y="0"/>
                <wp:positionH relativeFrom="page">
                  <wp:posOffset>1079296</wp:posOffset>
                </wp:positionH>
                <wp:positionV relativeFrom="paragraph">
                  <wp:posOffset>196991</wp:posOffset>
                </wp:positionV>
                <wp:extent cx="1830070" cy="9525"/>
                <wp:effectExtent l="0" t="0" r="0" b="0"/>
                <wp:wrapTopAndBottom/>
                <wp:docPr id="199" name="Graphic 199"/>
                <wp:cNvGraphicFramePr>
                  <a:graphicFrameLocks/>
                </wp:cNvGraphicFramePr>
                <a:graphic>
                  <a:graphicData uri="http://schemas.microsoft.com/office/word/2010/wordprocessingShape">
                    <wps:wsp>
                      <wps:cNvPr id="199" name="Graphic 199"/>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15.51113pt;width:144.07pt;height:.72003pt;mso-position-horizontal-relative:page;mso-position-vertical-relative:paragraph;z-index:-15646208;mso-wrap-distance-left:0;mso-wrap-distance-right:0" id="docshape186" filled="true" fillcolor="#000000" stroked="false">
                <v:fill type="solid"/>
                <w10:wrap type="topAndBottom"/>
              </v:rect>
            </w:pict>
          </mc:Fallback>
        </mc:AlternateContent>
      </w:r>
    </w:p>
    <w:p>
      <w:pPr>
        <w:spacing w:before="103"/>
        <w:ind w:left="979" w:right="0" w:firstLine="0"/>
        <w:jc w:val="left"/>
        <w:rPr>
          <w:rFonts w:ascii="Calibri" w:hAnsi="Calibri"/>
          <w:sz w:val="20"/>
        </w:rPr>
      </w:pPr>
      <w:r>
        <w:rPr>
          <w:rFonts w:ascii="Calibri" w:hAnsi="Calibri"/>
          <w:sz w:val="20"/>
          <w:vertAlign w:val="superscript"/>
        </w:rPr>
        <w:t>42</w:t>
      </w:r>
      <w:r>
        <w:rPr>
          <w:rFonts w:ascii="Calibri" w:hAnsi="Calibri"/>
          <w:spacing w:val="-1"/>
          <w:sz w:val="20"/>
          <w:vertAlign w:val="baseline"/>
        </w:rPr>
        <w:t> </w:t>
      </w:r>
      <w:r>
        <w:rPr>
          <w:rFonts w:ascii="Calibri" w:hAnsi="Calibri"/>
          <w:sz w:val="20"/>
          <w:vertAlign w:val="baseline"/>
        </w:rPr>
        <w:t>For</w:t>
      </w:r>
      <w:r>
        <w:rPr>
          <w:rFonts w:ascii="Calibri" w:hAnsi="Calibri"/>
          <w:spacing w:val="-6"/>
          <w:sz w:val="20"/>
          <w:vertAlign w:val="baseline"/>
        </w:rPr>
        <w:t> </w:t>
      </w:r>
      <w:r>
        <w:rPr>
          <w:rFonts w:ascii="Calibri" w:hAnsi="Calibri"/>
          <w:sz w:val="20"/>
          <w:vertAlign w:val="baseline"/>
        </w:rPr>
        <w:t>sectorial</w:t>
      </w:r>
      <w:r>
        <w:rPr>
          <w:rFonts w:ascii="Calibri" w:hAnsi="Calibri"/>
          <w:spacing w:val="-6"/>
          <w:sz w:val="20"/>
          <w:vertAlign w:val="baseline"/>
        </w:rPr>
        <w:t> </w:t>
      </w:r>
      <w:r>
        <w:rPr>
          <w:rFonts w:ascii="Calibri" w:hAnsi="Calibri"/>
          <w:sz w:val="20"/>
          <w:vertAlign w:val="baseline"/>
        </w:rPr>
        <w:t>approach,</w:t>
      </w:r>
      <w:r>
        <w:rPr>
          <w:rFonts w:ascii="Calibri" w:hAnsi="Calibri"/>
          <w:spacing w:val="-4"/>
          <w:sz w:val="20"/>
          <w:vertAlign w:val="baseline"/>
        </w:rPr>
        <w:t> </w:t>
      </w:r>
      <w:r>
        <w:rPr>
          <w:rFonts w:ascii="Calibri" w:hAnsi="Calibri"/>
          <w:sz w:val="20"/>
          <w:vertAlign w:val="baseline"/>
        </w:rPr>
        <w:t>see</w:t>
      </w:r>
      <w:r>
        <w:rPr>
          <w:rFonts w:ascii="Calibri" w:hAnsi="Calibri"/>
          <w:spacing w:val="-2"/>
          <w:sz w:val="20"/>
          <w:vertAlign w:val="baseline"/>
        </w:rPr>
        <w:t> </w:t>
      </w:r>
      <w:r>
        <w:rPr>
          <w:rFonts w:ascii="Calibri" w:hAnsi="Calibri"/>
          <w:sz w:val="20"/>
          <w:vertAlign w:val="baseline"/>
        </w:rPr>
        <w:t>second</w:t>
      </w:r>
      <w:r>
        <w:rPr>
          <w:rFonts w:ascii="Calibri" w:hAnsi="Calibri"/>
          <w:spacing w:val="-7"/>
          <w:sz w:val="20"/>
          <w:vertAlign w:val="baseline"/>
        </w:rPr>
        <w:t> </w:t>
      </w:r>
      <w:r>
        <w:rPr>
          <w:rFonts w:ascii="Calibri" w:hAnsi="Calibri"/>
          <w:sz w:val="20"/>
          <w:vertAlign w:val="baseline"/>
        </w:rPr>
        <w:t>chapter</w:t>
      </w:r>
      <w:r>
        <w:rPr>
          <w:rFonts w:ascii="Calibri" w:hAnsi="Calibri"/>
          <w:spacing w:val="-5"/>
          <w:sz w:val="20"/>
          <w:vertAlign w:val="baseline"/>
        </w:rPr>
        <w:t> </w:t>
      </w:r>
      <w:r>
        <w:rPr>
          <w:rFonts w:ascii="Calibri" w:hAnsi="Calibri"/>
          <w:sz w:val="20"/>
          <w:vertAlign w:val="baseline"/>
        </w:rPr>
        <w:t>of</w:t>
      </w:r>
      <w:r>
        <w:rPr>
          <w:rFonts w:ascii="Calibri" w:hAnsi="Calibri"/>
          <w:spacing w:val="-2"/>
          <w:sz w:val="20"/>
          <w:vertAlign w:val="baseline"/>
        </w:rPr>
        <w:t> </w:t>
      </w:r>
      <w:r>
        <w:rPr>
          <w:rFonts w:ascii="Calibri" w:hAnsi="Calibri"/>
          <w:sz w:val="20"/>
          <w:vertAlign w:val="baseline"/>
        </w:rPr>
        <w:t>this</w:t>
      </w:r>
      <w:r>
        <w:rPr>
          <w:rFonts w:ascii="Calibri" w:hAnsi="Calibri"/>
          <w:spacing w:val="-9"/>
          <w:sz w:val="20"/>
          <w:vertAlign w:val="baseline"/>
        </w:rPr>
        <w:t> </w:t>
      </w:r>
      <w:r>
        <w:rPr>
          <w:rFonts w:ascii="Calibri" w:hAnsi="Calibri"/>
          <w:sz w:val="20"/>
          <w:vertAlign w:val="baseline"/>
        </w:rPr>
        <w:t>work</w:t>
      </w:r>
      <w:r>
        <w:rPr>
          <w:rFonts w:ascii="Calibri" w:hAnsi="Calibri"/>
          <w:spacing w:val="-4"/>
          <w:sz w:val="20"/>
          <w:vertAlign w:val="baseline"/>
        </w:rPr>
        <w:t> </w:t>
      </w:r>
      <w:r>
        <w:rPr>
          <w:rFonts w:ascii="Calibri" w:hAnsi="Calibri"/>
          <w:sz w:val="20"/>
          <w:vertAlign w:val="baseline"/>
        </w:rPr>
        <w:t>–</w:t>
      </w:r>
      <w:r>
        <w:rPr>
          <w:rFonts w:ascii="Calibri" w:hAnsi="Calibri"/>
          <w:spacing w:val="-6"/>
          <w:sz w:val="20"/>
          <w:vertAlign w:val="baseline"/>
        </w:rPr>
        <w:t> </w:t>
      </w:r>
      <w:r>
        <w:rPr>
          <w:rFonts w:ascii="Calibri" w:hAnsi="Calibri"/>
          <w:spacing w:val="-2"/>
          <w:sz w:val="20"/>
          <w:vertAlign w:val="baseline"/>
        </w:rPr>
        <w:t>constructivism</w:t>
      </w:r>
    </w:p>
    <w:p>
      <w:pPr>
        <w:spacing w:after="0"/>
        <w:jc w:val="left"/>
        <w:rPr>
          <w:rFonts w:ascii="Calibri" w:hAnsi="Calibri"/>
          <w:sz w:val="20"/>
        </w:rPr>
        <w:sectPr>
          <w:pgSz w:w="12240" w:h="15840"/>
          <w:pgMar w:header="1046" w:footer="0" w:top="1360" w:bottom="280" w:left="720" w:right="360"/>
        </w:sectPr>
      </w:pPr>
    </w:p>
    <w:p>
      <w:pPr>
        <w:pStyle w:val="BodyText"/>
        <w:spacing w:line="276" w:lineRule="auto" w:before="276"/>
        <w:ind w:right="1922"/>
      </w:pPr>
      <w:r>
        <w:rPr/>
        <w:t>States. These conditions had determined a general nature of the European security over time.</w:t>
      </w:r>
    </w:p>
    <w:p>
      <w:pPr>
        <w:pStyle w:val="BodyText"/>
        <w:spacing w:line="276" w:lineRule="auto"/>
        <w:ind w:right="1901" w:firstLine="720"/>
      </w:pPr>
      <w:r>
        <w:rPr/>
        <w:t>We</w:t>
      </w:r>
      <w:r>
        <w:rPr>
          <w:spacing w:val="-6"/>
        </w:rPr>
        <w:t> </w:t>
      </w:r>
      <w:r>
        <w:rPr/>
        <w:t>should</w:t>
      </w:r>
      <w:r>
        <w:rPr>
          <w:spacing w:val="-5"/>
        </w:rPr>
        <w:t> </w:t>
      </w:r>
      <w:r>
        <w:rPr/>
        <w:t>keep</w:t>
      </w:r>
      <w:r>
        <w:rPr>
          <w:spacing w:val="-7"/>
        </w:rPr>
        <w:t> </w:t>
      </w:r>
      <w:r>
        <w:rPr/>
        <w:t>in</w:t>
      </w:r>
      <w:r>
        <w:rPr>
          <w:spacing w:val="-6"/>
        </w:rPr>
        <w:t> </w:t>
      </w:r>
      <w:r>
        <w:rPr/>
        <w:t>mind</w:t>
      </w:r>
      <w:r>
        <w:rPr>
          <w:spacing w:val="-5"/>
        </w:rPr>
        <w:t> </w:t>
      </w:r>
      <w:r>
        <w:rPr/>
        <w:t>that</w:t>
      </w:r>
      <w:r>
        <w:rPr>
          <w:spacing w:val="-6"/>
        </w:rPr>
        <w:t> </w:t>
      </w:r>
      <w:r>
        <w:rPr/>
        <w:t>a</w:t>
      </w:r>
      <w:r>
        <w:rPr>
          <w:spacing w:val="-6"/>
        </w:rPr>
        <w:t> </w:t>
      </w:r>
      <w:r>
        <w:rPr/>
        <w:t>primary</w:t>
      </w:r>
      <w:r>
        <w:rPr>
          <w:spacing w:val="-6"/>
        </w:rPr>
        <w:t> </w:t>
      </w:r>
      <w:r>
        <w:rPr/>
        <w:t>task</w:t>
      </w:r>
      <w:r>
        <w:rPr>
          <w:spacing w:val="-9"/>
        </w:rPr>
        <w:t> </w:t>
      </w:r>
      <w:r>
        <w:rPr/>
        <w:t>of</w:t>
      </w:r>
      <w:r>
        <w:rPr>
          <w:spacing w:val="-7"/>
        </w:rPr>
        <w:t> </w:t>
      </w:r>
      <w:r>
        <w:rPr/>
        <w:t>the </w:t>
      </w:r>
      <w:r>
        <w:rPr>
          <w:sz w:val="27"/>
        </w:rPr>
        <w:t>Founding</w:t>
      </w:r>
      <w:r>
        <w:rPr>
          <w:spacing w:val="-9"/>
          <w:sz w:val="27"/>
        </w:rPr>
        <w:t> </w:t>
      </w:r>
      <w:r>
        <w:rPr>
          <w:sz w:val="27"/>
        </w:rPr>
        <w:t>Six,</w:t>
      </w:r>
      <w:r>
        <w:rPr>
          <w:spacing w:val="-5"/>
          <w:sz w:val="27"/>
        </w:rPr>
        <w:t> </w:t>
      </w:r>
      <w:r>
        <w:rPr/>
        <w:t>was to maintain peace among each other. Securing against the external threats, at that time, was a secondary assignment. The internal stability was protected using the functional model, externally the community had to</w:t>
      </w:r>
      <w:r>
        <w:rPr>
          <w:spacing w:val="40"/>
        </w:rPr>
        <w:t> </w:t>
      </w:r>
      <w:r>
        <w:rPr/>
        <w:t>keep a fragile balance between the two world powers. (</w:t>
      </w:r>
      <w:hyperlink w:history="true" w:anchor="_bookmark399">
        <w:r>
          <w:rPr/>
          <w:t>Stefanova, 2005</w:t>
        </w:r>
      </w:hyperlink>
      <w:r>
        <w:rPr/>
        <w:t>) This balance at times was hard to maintain. For instance, the Korean War became a real challenge for the communities. The event was a reminder for the</w:t>
      </w:r>
      <w:r>
        <w:rPr>
          <w:spacing w:val="-1"/>
        </w:rPr>
        <w:t> </w:t>
      </w:r>
      <w:r>
        <w:rPr/>
        <w:t>Europeans</w:t>
      </w:r>
      <w:r>
        <w:rPr>
          <w:spacing w:val="-3"/>
        </w:rPr>
        <w:t> </w:t>
      </w:r>
      <w:r>
        <w:rPr/>
        <w:t>about a</w:t>
      </w:r>
      <w:r>
        <w:rPr>
          <w:spacing w:val="-1"/>
        </w:rPr>
        <w:t> </w:t>
      </w:r>
      <w:r>
        <w:rPr/>
        <w:t>need to</w:t>
      </w:r>
      <w:r>
        <w:rPr>
          <w:spacing w:val="-4"/>
        </w:rPr>
        <w:t> </w:t>
      </w:r>
      <w:r>
        <w:rPr/>
        <w:t>have</w:t>
      </w:r>
      <w:r>
        <w:rPr>
          <w:spacing w:val="-1"/>
        </w:rPr>
        <w:t> </w:t>
      </w:r>
      <w:r>
        <w:rPr/>
        <w:t>a</w:t>
      </w:r>
      <w:r>
        <w:rPr>
          <w:spacing w:val="-1"/>
        </w:rPr>
        <w:t> </w:t>
      </w:r>
      <w:r>
        <w:rPr/>
        <w:t>well-organized defense</w:t>
      </w:r>
      <w:r>
        <w:rPr>
          <w:spacing w:val="-1"/>
        </w:rPr>
        <w:t> </w:t>
      </w:r>
      <w:r>
        <w:rPr/>
        <w:t>structure</w:t>
      </w:r>
      <w:r>
        <w:rPr>
          <w:spacing w:val="-1"/>
        </w:rPr>
        <w:t> </w:t>
      </w:r>
      <w:r>
        <w:rPr/>
        <w:t>with an appropriate common security strategy. Additionally, the United States did not believe that it was possible for Europe to maintain the power balance vis-à-vis the Soviet Union without involving the German troops. (</w:t>
      </w:r>
      <w:hyperlink w:history="true" w:anchor="_bookmark329">
        <w:r>
          <w:rPr/>
          <w:t>Papeians De Morchoven, 1951</w:t>
        </w:r>
      </w:hyperlink>
      <w:r>
        <w:rPr/>
        <w:t>)</w:t>
      </w:r>
    </w:p>
    <w:p>
      <w:pPr>
        <w:pStyle w:val="BodyText"/>
        <w:spacing w:line="276" w:lineRule="auto"/>
        <w:ind w:right="1907" w:firstLine="720"/>
      </w:pPr>
      <w:r>
        <w:rPr/>
        <w:t>The idea of the German rearmament was not only an outcome of the American pressure. Some politicians assumed that Germany would eventually move towards the rearmament process with or without external permission to do so. Those politicians, especially the ones in France were agnostic about the long term effectiveness of the functionalist ‘working peace’ method without a deeper political cooperation. The French government, together with the United Kingdom opposed a possibility of bringing back the German army. The outcomes from the given situation were three: 1) to leave the issue unresolved; 2) to organize the European defense as suggested in the form of an alliance on a national basis (as</w:t>
      </w:r>
      <w:r>
        <w:rPr>
          <w:spacing w:val="40"/>
        </w:rPr>
        <w:t> </w:t>
      </w:r>
      <w:r>
        <w:rPr/>
        <w:t>advised by</w:t>
      </w:r>
      <w:r>
        <w:rPr>
          <w:spacing w:val="-2"/>
        </w:rPr>
        <w:t> </w:t>
      </w:r>
      <w:r>
        <w:rPr/>
        <w:t>the</w:t>
      </w:r>
      <w:r>
        <w:rPr>
          <w:spacing w:val="-2"/>
        </w:rPr>
        <w:t> </w:t>
      </w:r>
      <w:r>
        <w:rPr/>
        <w:t>USA);</w:t>
      </w:r>
      <w:r>
        <w:rPr>
          <w:spacing w:val="-1"/>
        </w:rPr>
        <w:t> </w:t>
      </w:r>
      <w:r>
        <w:rPr/>
        <w:t>or</w:t>
      </w:r>
      <w:r>
        <w:rPr>
          <w:spacing w:val="-1"/>
        </w:rPr>
        <w:t> </w:t>
      </w:r>
      <w:r>
        <w:rPr/>
        <w:t>3)</w:t>
      </w:r>
      <w:r>
        <w:rPr>
          <w:spacing w:val="-1"/>
        </w:rPr>
        <w:t> </w:t>
      </w:r>
      <w:r>
        <w:rPr/>
        <w:t>to</w:t>
      </w:r>
      <w:r>
        <w:rPr>
          <w:spacing w:val="-5"/>
        </w:rPr>
        <w:t> </w:t>
      </w:r>
      <w:r>
        <w:rPr/>
        <w:t>create</w:t>
      </w:r>
      <w:r>
        <w:rPr>
          <w:spacing w:val="-2"/>
        </w:rPr>
        <w:t> </w:t>
      </w:r>
      <w:r>
        <w:rPr/>
        <w:t>the</w:t>
      </w:r>
      <w:r>
        <w:rPr>
          <w:spacing w:val="-2"/>
        </w:rPr>
        <w:t> </w:t>
      </w:r>
      <w:r>
        <w:rPr/>
        <w:t>supranational</w:t>
      </w:r>
      <w:r>
        <w:rPr>
          <w:spacing w:val="-4"/>
        </w:rPr>
        <w:t> </w:t>
      </w:r>
      <w:r>
        <w:rPr/>
        <w:t>structure.</w:t>
      </w:r>
      <w:r>
        <w:rPr>
          <w:spacing w:val="-1"/>
        </w:rPr>
        <w:t> </w:t>
      </w:r>
      <w:r>
        <w:rPr/>
        <w:t>The</w:t>
      </w:r>
      <w:r>
        <w:rPr>
          <w:spacing w:val="-2"/>
        </w:rPr>
        <w:t> </w:t>
      </w:r>
      <w:r>
        <w:rPr/>
        <w:t>French had a well-formulated choice. In the Memorandum to the President, the French Council of Ministers presented their position on the matter.</w:t>
      </w:r>
      <w:r>
        <w:rPr>
          <w:spacing w:val="40"/>
        </w:rPr>
        <w:t> </w:t>
      </w:r>
      <w:r>
        <w:rPr/>
        <w:t>The document maintained that the Western European security seemed hard to achieve without the German material input (1), however, the authors fully understood that in case of a military crisis, the French would not take the Arms to defend the neighbors while the “Germans looked on and, when push</w:t>
      </w:r>
      <w:r>
        <w:rPr>
          <w:spacing w:val="40"/>
        </w:rPr>
        <w:t> </w:t>
      </w:r>
      <w:r>
        <w:rPr/>
        <w:t>came</w:t>
      </w:r>
      <w:r>
        <w:rPr>
          <w:spacing w:val="40"/>
        </w:rPr>
        <w:t> </w:t>
      </w:r>
      <w:r>
        <w:rPr/>
        <w:t>to</w:t>
      </w:r>
      <w:r>
        <w:rPr>
          <w:spacing w:val="40"/>
        </w:rPr>
        <w:t> </w:t>
      </w:r>
      <w:r>
        <w:rPr/>
        <w:t>shove,</w:t>
      </w:r>
      <w:r>
        <w:rPr>
          <w:spacing w:val="40"/>
        </w:rPr>
        <w:t> </w:t>
      </w:r>
      <w:r>
        <w:rPr/>
        <w:t>remained</w:t>
      </w:r>
      <w:r>
        <w:rPr>
          <w:spacing w:val="40"/>
        </w:rPr>
        <w:t> </w:t>
      </w:r>
      <w:r>
        <w:rPr/>
        <w:t>at</w:t>
      </w:r>
      <w:r>
        <w:rPr>
          <w:spacing w:val="40"/>
        </w:rPr>
        <w:t> </w:t>
      </w:r>
      <w:r>
        <w:rPr/>
        <w:t>home.”</w:t>
      </w:r>
      <w:r>
        <w:rPr>
          <w:spacing w:val="36"/>
        </w:rPr>
        <w:t> </w:t>
      </w:r>
      <w:r>
        <w:rPr/>
        <w:t>(2)</w:t>
      </w:r>
      <w:r>
        <w:rPr>
          <w:spacing w:val="40"/>
        </w:rPr>
        <w:t> </w:t>
      </w:r>
      <w:r>
        <w:rPr/>
        <w:t>A</w:t>
      </w:r>
      <w:r>
        <w:rPr>
          <w:spacing w:val="38"/>
        </w:rPr>
        <w:t> </w:t>
      </w:r>
      <w:r>
        <w:rPr/>
        <w:t>traditional-style</w:t>
      </w:r>
      <w:r>
        <w:rPr>
          <w:spacing w:val="40"/>
        </w:rPr>
        <w:t> </w:t>
      </w:r>
      <w:r>
        <w:rPr/>
        <w:t>coalition</w:t>
      </w:r>
    </w:p>
    <w:p>
      <w:pPr>
        <w:pStyle w:val="BodyText"/>
        <w:spacing w:after="0" w:line="276" w:lineRule="auto"/>
        <w:sectPr>
          <w:pgSz w:w="12240" w:h="15840"/>
          <w:pgMar w:header="1046" w:footer="0" w:top="1360" w:bottom="280" w:left="720" w:right="360"/>
        </w:sectPr>
      </w:pPr>
    </w:p>
    <w:p>
      <w:pPr>
        <w:pStyle w:val="BodyText"/>
        <w:spacing w:line="276" w:lineRule="auto" w:before="276"/>
        <w:ind w:right="1901"/>
      </w:pPr>
      <w:r>
        <w:rPr/>
        <w:t>that was adviced by the United States, according to the document, was not the best idea either: “we have clear memories</w:t>
      </w:r>
      <w:r>
        <w:rPr>
          <w:spacing w:val="-2"/>
        </w:rPr>
        <w:t> </w:t>
      </w:r>
      <w:r>
        <w:rPr/>
        <w:t>of how, when national</w:t>
      </w:r>
      <w:r>
        <w:rPr>
          <w:spacing w:val="-2"/>
        </w:rPr>
        <w:t> </w:t>
      </w:r>
      <w:r>
        <w:rPr/>
        <w:t>armies work side by side, changes in military techniques and historical situations have given rise to instability and threats.” Therefore, German rearmament instead of securing the peace would cause “suspicion and concern.” (3) The outcome proposed was to keep up with the </w:t>
      </w:r>
      <w:r>
        <w:rPr>
          <w:sz w:val="27"/>
        </w:rPr>
        <w:t>Schuman Plan </w:t>
      </w:r>
      <w:r>
        <w:rPr/>
        <w:t>and merge the German units with the Western and the Atlantic</w:t>
      </w:r>
      <w:r>
        <w:rPr>
          <w:spacing w:val="-1"/>
        </w:rPr>
        <w:t> </w:t>
      </w:r>
      <w:r>
        <w:rPr/>
        <w:t>alliance so that they could not detach. This implied creation of the supranational high authority</w:t>
      </w:r>
      <w:r>
        <w:rPr>
          <w:spacing w:val="40"/>
        </w:rPr>
        <w:t> </w:t>
      </w:r>
      <w:r>
        <w:rPr/>
        <w:t>similar to the ECSC, that would have the power to manage and direct the common military forces. (Memorandum, 1950, pp.1-4)</w:t>
      </w:r>
    </w:p>
    <w:p>
      <w:pPr>
        <w:pStyle w:val="BodyText"/>
        <w:spacing w:line="327" w:lineRule="exact"/>
        <w:ind w:left="1700"/>
      </w:pPr>
      <w:r>
        <w:rPr/>
        <w:t>There</w:t>
      </w:r>
      <w:r>
        <w:rPr>
          <w:spacing w:val="62"/>
        </w:rPr>
        <w:t> </w:t>
      </w:r>
      <w:r>
        <w:rPr/>
        <w:t>was</w:t>
      </w:r>
      <w:r>
        <w:rPr>
          <w:spacing w:val="64"/>
        </w:rPr>
        <w:t> </w:t>
      </w:r>
      <w:r>
        <w:rPr/>
        <w:t>a</w:t>
      </w:r>
      <w:r>
        <w:rPr>
          <w:spacing w:val="66"/>
        </w:rPr>
        <w:t> </w:t>
      </w:r>
      <w:r>
        <w:rPr/>
        <w:t>certain</w:t>
      </w:r>
      <w:r>
        <w:rPr>
          <w:spacing w:val="63"/>
        </w:rPr>
        <w:t> </w:t>
      </w:r>
      <w:r>
        <w:rPr/>
        <w:t>conditionality</w:t>
      </w:r>
      <w:r>
        <w:rPr>
          <w:spacing w:val="66"/>
        </w:rPr>
        <w:t> </w:t>
      </w:r>
      <w:r>
        <w:rPr/>
        <w:t>involved</w:t>
      </w:r>
      <w:r>
        <w:rPr>
          <w:spacing w:val="68"/>
        </w:rPr>
        <w:t> </w:t>
      </w:r>
      <w:r>
        <w:rPr/>
        <w:t>in</w:t>
      </w:r>
      <w:r>
        <w:rPr>
          <w:spacing w:val="67"/>
        </w:rPr>
        <w:t> </w:t>
      </w:r>
      <w:r>
        <w:rPr/>
        <w:t>the</w:t>
      </w:r>
      <w:r>
        <w:rPr>
          <w:spacing w:val="66"/>
        </w:rPr>
        <w:t> </w:t>
      </w:r>
      <w:r>
        <w:rPr>
          <w:spacing w:val="-2"/>
        </w:rPr>
        <w:t>supranational</w:t>
      </w:r>
    </w:p>
    <w:p>
      <w:pPr>
        <w:pStyle w:val="BodyText"/>
        <w:spacing w:line="276" w:lineRule="auto" w:before="52"/>
        <w:ind w:right="1900"/>
      </w:pPr>
      <w:r>
        <w:rPr/>
        <w:t>resolution of the issue. The French who were eager to see German forces under the command of the common European and Atlantic structures, simultaneously were against</w:t>
      </w:r>
      <w:r>
        <w:rPr>
          <w:spacing w:val="40"/>
        </w:rPr>
        <w:t> </w:t>
      </w:r>
      <w:r>
        <w:rPr/>
        <w:t>a full German membership in the NATO. ‘Order</w:t>
      </w:r>
      <w:r>
        <w:rPr>
          <w:spacing w:val="-1"/>
        </w:rPr>
        <w:t> </w:t>
      </w:r>
      <w:r>
        <w:rPr/>
        <w:t>of</w:t>
      </w:r>
      <w:r>
        <w:rPr>
          <w:spacing w:val="-3"/>
        </w:rPr>
        <w:t> </w:t>
      </w:r>
      <w:r>
        <w:rPr/>
        <w:t>the</w:t>
      </w:r>
      <w:r>
        <w:rPr>
          <w:spacing w:val="-2"/>
        </w:rPr>
        <w:t> </w:t>
      </w:r>
      <w:r>
        <w:rPr/>
        <w:t>Day’</w:t>
      </w:r>
      <w:r>
        <w:rPr>
          <w:spacing w:val="-4"/>
        </w:rPr>
        <w:t> </w:t>
      </w:r>
      <w:r>
        <w:rPr/>
        <w:t>adapted by</w:t>
      </w:r>
      <w:r>
        <w:rPr>
          <w:spacing w:val="-2"/>
        </w:rPr>
        <w:t> </w:t>
      </w:r>
      <w:r>
        <w:rPr/>
        <w:t>the National Assembly ‘explicitly</w:t>
      </w:r>
      <w:r>
        <w:rPr>
          <w:spacing w:val="-2"/>
        </w:rPr>
        <w:t> </w:t>
      </w:r>
      <w:r>
        <w:rPr/>
        <w:t>rejected the entrance into the Atlantic Pact of any state that might have territorial claims.” (</w:t>
      </w:r>
      <w:hyperlink w:history="true" w:anchor="_bookmark366">
        <w:r>
          <w:rPr/>
          <w:t>Ruane, 2000, p. 17</w:t>
        </w:r>
      </w:hyperlink>
      <w:r>
        <w:rPr/>
        <w:t>) The parliamentary opinion as explained by </w:t>
      </w:r>
      <w:r>
        <w:rPr>
          <w:sz w:val="27"/>
        </w:rPr>
        <w:t>Robert Schuman</w:t>
      </w:r>
      <w:r>
        <w:rPr/>
        <w:t>, had been rested on the fact that inviting the Federal Republic of Germany, which had an unresolved territorial issues with the East Germany, could endanger the status quo in the NATO.</w:t>
      </w:r>
      <w:r>
        <w:rPr>
          <w:position w:val="7"/>
          <w:sz w:val="15"/>
        </w:rPr>
        <w:t>43</w:t>
      </w:r>
      <w:r>
        <w:rPr>
          <w:spacing w:val="35"/>
          <w:position w:val="7"/>
          <w:sz w:val="15"/>
        </w:rPr>
        <w:t> </w:t>
      </w:r>
      <w:r>
        <w:rPr/>
        <w:t>(</w:t>
      </w:r>
      <w:hyperlink w:history="true" w:anchor="_bookmark366">
        <w:r>
          <w:rPr/>
          <w:t>Ruane, 2000</w:t>
        </w:r>
      </w:hyperlink>
      <w:r>
        <w:rPr/>
        <w:t>) The explanations the French side had outlined the fact that the decision</w:t>
      </w:r>
      <w:r>
        <w:rPr>
          <w:spacing w:val="80"/>
        </w:rPr>
        <w:t> </w:t>
      </w:r>
      <w:r>
        <w:rPr/>
        <w:t>was made not against Germans but for the sake of peace; However, politicians in Bonn were not particularily happy about it. The Korean War had caused the</w:t>
      </w:r>
      <w:r>
        <w:rPr>
          <w:spacing w:val="-1"/>
        </w:rPr>
        <w:t> </w:t>
      </w:r>
      <w:r>
        <w:rPr/>
        <w:t>biggest anxiety in the</w:t>
      </w:r>
      <w:r>
        <w:rPr>
          <w:spacing w:val="-1"/>
        </w:rPr>
        <w:t> </w:t>
      </w:r>
      <w:r>
        <w:rPr/>
        <w:t>FRG. As there were</w:t>
      </w:r>
      <w:r>
        <w:rPr>
          <w:spacing w:val="-1"/>
        </w:rPr>
        <w:t> </w:t>
      </w:r>
      <w:r>
        <w:rPr/>
        <w:t>nor a</w:t>
      </w:r>
      <w:r>
        <w:rPr>
          <w:spacing w:val="-1"/>
        </w:rPr>
        <w:t> </w:t>
      </w:r>
      <w:r>
        <w:rPr/>
        <w:t>known plan how to defend the state in case of the threat from the USSR, neither</w:t>
      </w:r>
      <w:r>
        <w:rPr>
          <w:spacing w:val="40"/>
        </w:rPr>
        <w:t> </w:t>
      </w:r>
      <w:r>
        <w:rPr/>
        <w:t>‘any specific security guarantee from the West’ Germans were becoming dependent on</w:t>
      </w:r>
      <w:r>
        <w:rPr>
          <w:spacing w:val="40"/>
        </w:rPr>
        <w:t> </w:t>
      </w:r>
      <w:r>
        <w:rPr/>
        <w:t>a common European security project. (</w:t>
      </w:r>
      <w:hyperlink w:history="true" w:anchor="_bookmark190">
        <w:r>
          <w:rPr/>
          <w:t>Fursdon, 1980, p. 68</w:t>
        </w:r>
      </w:hyperlink>
      <w:r>
        <w:rPr/>
        <w:t>) For </w:t>
      </w:r>
      <w:r>
        <w:rPr>
          <w:sz w:val="27"/>
        </w:rPr>
        <w:t>Konrad Adenauer </w:t>
      </w:r>
      <w:r>
        <w:rPr/>
        <w:t>who was an ‘ideological-pal’ of </w:t>
      </w:r>
      <w:r>
        <w:rPr>
          <w:sz w:val="27"/>
        </w:rPr>
        <w:t>Robert Schuman,</w:t>
      </w:r>
      <w:r>
        <w:rPr>
          <w:position w:val="7"/>
          <w:sz w:val="15"/>
        </w:rPr>
        <w:t>44</w:t>
      </w:r>
      <w:r>
        <w:rPr>
          <w:spacing w:val="40"/>
          <w:position w:val="7"/>
          <w:sz w:val="15"/>
        </w:rPr>
        <w:t> </w:t>
      </w:r>
      <w:r>
        <w:rPr/>
        <w:t>the</w:t>
      </w:r>
      <w:r>
        <w:rPr>
          <w:spacing w:val="5"/>
        </w:rPr>
        <w:t> </w:t>
      </w:r>
      <w:r>
        <w:rPr/>
        <w:t>idea</w:t>
      </w:r>
      <w:r>
        <w:rPr>
          <w:spacing w:val="6"/>
        </w:rPr>
        <w:t> </w:t>
      </w:r>
      <w:r>
        <w:rPr/>
        <w:t>of</w:t>
      </w:r>
      <w:r>
        <w:rPr>
          <w:spacing w:val="4"/>
        </w:rPr>
        <w:t> </w:t>
      </w:r>
      <w:r>
        <w:rPr/>
        <w:t>using</w:t>
      </w:r>
      <w:r>
        <w:rPr>
          <w:spacing w:val="6"/>
        </w:rPr>
        <w:t> </w:t>
      </w:r>
      <w:r>
        <w:rPr/>
        <w:t>the</w:t>
      </w:r>
      <w:r>
        <w:rPr>
          <w:spacing w:val="6"/>
        </w:rPr>
        <w:t> </w:t>
      </w:r>
      <w:r>
        <w:rPr/>
        <w:t>German</w:t>
      </w:r>
      <w:r>
        <w:rPr>
          <w:spacing w:val="6"/>
        </w:rPr>
        <w:t> </w:t>
      </w:r>
      <w:r>
        <w:rPr/>
        <w:t>solders</w:t>
      </w:r>
      <w:r>
        <w:rPr>
          <w:spacing w:val="3"/>
        </w:rPr>
        <w:t> </w:t>
      </w:r>
      <w:r>
        <w:rPr/>
        <w:t>as</w:t>
      </w:r>
      <w:r>
        <w:rPr>
          <w:spacing w:val="3"/>
        </w:rPr>
        <w:t> </w:t>
      </w:r>
      <w:r>
        <w:rPr/>
        <w:t>mercenaries</w:t>
      </w:r>
      <w:r>
        <w:rPr>
          <w:spacing w:val="3"/>
        </w:rPr>
        <w:t> </w:t>
      </w:r>
      <w:r>
        <w:rPr/>
        <w:t>in</w:t>
      </w:r>
      <w:r>
        <w:rPr>
          <w:spacing w:val="7"/>
        </w:rPr>
        <w:t> </w:t>
      </w:r>
      <w:r>
        <w:rPr/>
        <w:t>the</w:t>
      </w:r>
      <w:r>
        <w:rPr>
          <w:spacing w:val="6"/>
        </w:rPr>
        <w:t> </w:t>
      </w:r>
      <w:r>
        <w:rPr/>
        <w:t>European</w:t>
      </w:r>
      <w:r>
        <w:rPr>
          <w:spacing w:val="6"/>
        </w:rPr>
        <w:t> </w:t>
      </w:r>
      <w:r>
        <w:rPr>
          <w:spacing w:val="-2"/>
        </w:rPr>
        <w:t>army,</w:t>
      </w:r>
    </w:p>
    <w:p>
      <w:pPr>
        <w:pStyle w:val="BodyText"/>
        <w:spacing w:before="3"/>
        <w:ind w:left="0"/>
        <w:jc w:val="left"/>
        <w:rPr>
          <w:sz w:val="14"/>
        </w:rPr>
      </w:pPr>
      <w:r>
        <w:rPr>
          <w:sz w:val="14"/>
        </w:rPr>
        <mc:AlternateContent>
          <mc:Choice Requires="wps">
            <w:drawing>
              <wp:anchor distT="0" distB="0" distL="0" distR="0" allowOverlap="1" layoutInCell="1" locked="0" behindDoc="1" simplePos="0" relativeHeight="487670784">
                <wp:simplePos x="0" y="0"/>
                <wp:positionH relativeFrom="page">
                  <wp:posOffset>1079296</wp:posOffset>
                </wp:positionH>
                <wp:positionV relativeFrom="paragraph">
                  <wp:posOffset>134328</wp:posOffset>
                </wp:positionV>
                <wp:extent cx="1830070" cy="9525"/>
                <wp:effectExtent l="0" t="0" r="0" b="0"/>
                <wp:wrapTopAndBottom/>
                <wp:docPr id="200" name="Graphic 200"/>
                <wp:cNvGraphicFramePr>
                  <a:graphicFrameLocks/>
                </wp:cNvGraphicFramePr>
                <a:graphic>
                  <a:graphicData uri="http://schemas.microsoft.com/office/word/2010/wordprocessingShape">
                    <wps:wsp>
                      <wps:cNvPr id="200" name="Graphic 200"/>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10.57704pt;width:144.07pt;height:.71997pt;mso-position-horizontal-relative:page;mso-position-vertical-relative:paragraph;z-index:-15645696;mso-wrap-distance-left:0;mso-wrap-distance-right:0" id="docshape187" filled="true" fillcolor="#000000" stroked="false">
                <v:fill type="solid"/>
                <w10:wrap type="topAndBottom"/>
              </v:rect>
            </w:pict>
          </mc:Fallback>
        </mc:AlternateContent>
      </w:r>
    </w:p>
    <w:p>
      <w:pPr>
        <w:spacing w:line="235" w:lineRule="auto" w:before="106"/>
        <w:ind w:left="979" w:right="1909" w:firstLine="0"/>
        <w:jc w:val="left"/>
        <w:rPr>
          <w:rFonts w:ascii="Calibri" w:hAnsi="Calibri"/>
          <w:sz w:val="20"/>
        </w:rPr>
      </w:pPr>
      <w:r>
        <w:rPr>
          <w:rFonts w:ascii="Calibri" w:hAnsi="Calibri"/>
          <w:sz w:val="20"/>
          <w:vertAlign w:val="superscript"/>
        </w:rPr>
        <w:t>43</w:t>
      </w:r>
      <w:r>
        <w:rPr>
          <w:rFonts w:ascii="Calibri" w:hAnsi="Calibri"/>
          <w:spacing w:val="21"/>
          <w:sz w:val="20"/>
          <w:vertAlign w:val="baseline"/>
        </w:rPr>
        <w:t> </w:t>
      </w:r>
      <w:r>
        <w:rPr>
          <w:rFonts w:ascii="Calibri" w:hAnsi="Calibri"/>
          <w:sz w:val="20"/>
          <w:vertAlign w:val="baseline"/>
        </w:rPr>
        <w:t>“In other words, German membership of NATO could turn a defensive alliance into a potentially</w:t>
      </w:r>
      <w:r>
        <w:rPr>
          <w:rFonts w:ascii="Calibri" w:hAnsi="Calibri"/>
          <w:spacing w:val="80"/>
          <w:sz w:val="20"/>
          <w:vertAlign w:val="baseline"/>
        </w:rPr>
        <w:t> </w:t>
      </w:r>
      <w:r>
        <w:rPr>
          <w:rFonts w:ascii="Calibri" w:hAnsi="Calibri"/>
          <w:sz w:val="20"/>
          <w:vertAlign w:val="baseline"/>
        </w:rPr>
        <w:t>offensive coalition of forces, provoke and alarm the Kremlin”</w:t>
      </w:r>
    </w:p>
    <w:p>
      <w:pPr>
        <w:spacing w:before="2"/>
        <w:ind w:left="979" w:right="1909" w:firstLine="0"/>
        <w:jc w:val="left"/>
        <w:rPr>
          <w:rFonts w:ascii="Calibri"/>
          <w:sz w:val="20"/>
        </w:rPr>
      </w:pPr>
      <w:r>
        <w:rPr>
          <w:rFonts w:ascii="Calibri"/>
          <w:sz w:val="20"/>
          <w:vertAlign w:val="superscript"/>
        </w:rPr>
        <w:t>44</w:t>
      </w:r>
      <w:r>
        <w:rPr>
          <w:rFonts w:ascii="Calibri"/>
          <w:spacing w:val="27"/>
          <w:sz w:val="20"/>
          <w:vertAlign w:val="baseline"/>
        </w:rPr>
        <w:t> </w:t>
      </w:r>
      <w:r>
        <w:rPr>
          <w:rFonts w:ascii="Calibri"/>
          <w:sz w:val="20"/>
          <w:vertAlign w:val="baseline"/>
        </w:rPr>
        <w:t>Both</w:t>
      </w:r>
      <w:r>
        <w:rPr>
          <w:rFonts w:ascii="Calibri"/>
          <w:spacing w:val="24"/>
          <w:sz w:val="20"/>
          <w:vertAlign w:val="baseline"/>
        </w:rPr>
        <w:t> </w:t>
      </w:r>
      <w:r>
        <w:rPr>
          <w:rFonts w:ascii="Calibri"/>
          <w:sz w:val="20"/>
          <w:vertAlign w:val="baseline"/>
        </w:rPr>
        <w:t>Christian-Democrats,</w:t>
      </w:r>
      <w:r>
        <w:rPr>
          <w:rFonts w:ascii="Calibri"/>
          <w:spacing w:val="23"/>
          <w:sz w:val="20"/>
          <w:vertAlign w:val="baseline"/>
        </w:rPr>
        <w:t> </w:t>
      </w:r>
      <w:r>
        <w:rPr>
          <w:rFonts w:ascii="Calibri"/>
          <w:sz w:val="20"/>
          <w:vertAlign w:val="baseline"/>
        </w:rPr>
        <w:t>were</w:t>
      </w:r>
      <w:r>
        <w:rPr>
          <w:rFonts w:ascii="Calibri"/>
          <w:spacing w:val="21"/>
          <w:sz w:val="20"/>
          <w:vertAlign w:val="baseline"/>
        </w:rPr>
        <w:t> </w:t>
      </w:r>
      <w:r>
        <w:rPr>
          <w:rFonts w:ascii="Calibri"/>
          <w:sz w:val="20"/>
          <w:vertAlign w:val="baseline"/>
        </w:rPr>
        <w:t>great admires</w:t>
      </w:r>
      <w:r>
        <w:rPr>
          <w:rFonts w:ascii="Calibri"/>
          <w:spacing w:val="23"/>
          <w:sz w:val="20"/>
          <w:vertAlign w:val="baseline"/>
        </w:rPr>
        <w:t> </w:t>
      </w:r>
      <w:r>
        <w:rPr>
          <w:rFonts w:ascii="Calibri"/>
          <w:sz w:val="20"/>
          <w:vertAlign w:val="baseline"/>
        </w:rPr>
        <w:t>of</w:t>
      </w:r>
      <w:r>
        <w:rPr>
          <w:rFonts w:ascii="Calibri"/>
          <w:spacing w:val="21"/>
          <w:sz w:val="20"/>
          <w:vertAlign w:val="baseline"/>
        </w:rPr>
        <w:t> </w:t>
      </w:r>
      <w:r>
        <w:rPr>
          <w:rFonts w:ascii="Calibri"/>
          <w:sz w:val="20"/>
          <w:vertAlign w:val="baseline"/>
        </w:rPr>
        <w:t>the European</w:t>
      </w:r>
      <w:r>
        <w:rPr>
          <w:rFonts w:ascii="Calibri"/>
          <w:spacing w:val="24"/>
          <w:sz w:val="20"/>
          <w:vertAlign w:val="baseline"/>
        </w:rPr>
        <w:t> </w:t>
      </w:r>
      <w:r>
        <w:rPr>
          <w:rFonts w:ascii="Calibri"/>
          <w:sz w:val="20"/>
          <w:vertAlign w:val="baseline"/>
        </w:rPr>
        <w:t>Ideals enacted</w:t>
      </w:r>
      <w:r>
        <w:rPr>
          <w:rFonts w:ascii="Calibri"/>
          <w:spacing w:val="25"/>
          <w:sz w:val="20"/>
          <w:vertAlign w:val="baseline"/>
        </w:rPr>
        <w:t> </w:t>
      </w:r>
      <w:r>
        <w:rPr>
          <w:rFonts w:ascii="Calibri"/>
          <w:sz w:val="20"/>
          <w:vertAlign w:val="baseline"/>
        </w:rPr>
        <w:t>in the process</w:t>
      </w:r>
      <w:r>
        <w:rPr>
          <w:rFonts w:ascii="Calibri"/>
          <w:spacing w:val="23"/>
          <w:sz w:val="20"/>
          <w:vertAlign w:val="baseline"/>
        </w:rPr>
        <w:t> </w:t>
      </w:r>
      <w:r>
        <w:rPr>
          <w:rFonts w:ascii="Calibri"/>
          <w:sz w:val="20"/>
          <w:vertAlign w:val="baseline"/>
        </w:rPr>
        <w:t>of </w:t>
      </w:r>
      <w:r>
        <w:rPr>
          <w:rFonts w:ascii="Calibri"/>
          <w:spacing w:val="-2"/>
          <w:sz w:val="20"/>
          <w:vertAlign w:val="baseline"/>
        </w:rPr>
        <w:t>integration</w:t>
      </w:r>
    </w:p>
    <w:p>
      <w:pPr>
        <w:spacing w:after="0"/>
        <w:jc w:val="left"/>
        <w:rPr>
          <w:rFonts w:ascii="Calibri"/>
          <w:sz w:val="20"/>
        </w:rPr>
        <w:sectPr>
          <w:pgSz w:w="12240" w:h="15840"/>
          <w:pgMar w:header="1046" w:footer="0" w:top="1360" w:bottom="280" w:left="720" w:right="360"/>
        </w:sectPr>
      </w:pPr>
    </w:p>
    <w:p>
      <w:pPr>
        <w:pStyle w:val="BodyText"/>
        <w:spacing w:line="276" w:lineRule="auto" w:before="276"/>
        <w:ind w:right="1906"/>
      </w:pPr>
      <w:r>
        <w:rPr/>
        <w:t>or any other form-of de-nationalized inclusion of German individuals in foreign armies was unnecaptable. The Chancellor was in favor not “an independent Wehrmacht</w:t>
      </w:r>
      <w:r>
        <w:rPr>
          <w:spacing w:val="-1"/>
        </w:rPr>
        <w:t> </w:t>
      </w:r>
      <w:r>
        <w:rPr/>
        <w:t>but</w:t>
      </w:r>
      <w:r>
        <w:rPr>
          <w:spacing w:val="-2"/>
        </w:rPr>
        <w:t> </w:t>
      </w:r>
      <w:r>
        <w:rPr/>
        <w:t>of</w:t>
      </w:r>
      <w:r>
        <w:rPr>
          <w:spacing w:val="40"/>
        </w:rPr>
        <w:t> </w:t>
      </w:r>
      <w:r>
        <w:rPr/>
        <w:t>a</w:t>
      </w:r>
      <w:r>
        <w:rPr>
          <w:spacing w:val="-2"/>
        </w:rPr>
        <w:t> </w:t>
      </w:r>
      <w:r>
        <w:rPr/>
        <w:t>German contingent</w:t>
      </w:r>
      <w:r>
        <w:rPr>
          <w:spacing w:val="-2"/>
        </w:rPr>
        <w:t> </w:t>
      </w:r>
      <w:r>
        <w:rPr/>
        <w:t>in</w:t>
      </w:r>
      <w:r>
        <w:rPr>
          <w:spacing w:val="-1"/>
        </w:rPr>
        <w:t> </w:t>
      </w:r>
      <w:r>
        <w:rPr/>
        <w:t>a</w:t>
      </w:r>
      <w:r>
        <w:rPr>
          <w:spacing w:val="-2"/>
        </w:rPr>
        <w:t> </w:t>
      </w:r>
      <w:r>
        <w:rPr/>
        <w:t>European force.” (</w:t>
      </w:r>
      <w:hyperlink w:history="true" w:anchor="_bookmark190">
        <w:r>
          <w:rPr/>
          <w:t>Fursdon, 1980, p. 64</w:t>
        </w:r>
      </w:hyperlink>
      <w:r>
        <w:rPr/>
        <w:t>)</w:t>
      </w:r>
    </w:p>
    <w:p>
      <w:pPr>
        <w:pStyle w:val="BodyText"/>
        <w:spacing w:line="276" w:lineRule="auto"/>
        <w:ind w:right="1905" w:firstLine="720"/>
      </w:pPr>
      <w:r>
        <w:rPr>
          <w:sz w:val="27"/>
        </w:rPr>
        <w:t>René Pleven </w:t>
      </w:r>
      <w:r>
        <w:rPr/>
        <w:t>thereupon</w:t>
      </w:r>
      <w:r>
        <w:rPr>
          <w:sz w:val="27"/>
        </w:rPr>
        <w:t>, </w:t>
      </w:r>
      <w:r>
        <w:rPr/>
        <w:t>considering the wide variety of opinions, had prepared a plan that aimed to establish a common European defense system. The system included 100 000 soldiers gathered proportionally from the member states. The forces had to have a common military center that would act under a supreme command of the NATO.</w:t>
      </w:r>
      <w:r>
        <w:rPr>
          <w:spacing w:val="40"/>
        </w:rPr>
        <w:t> </w:t>
      </w:r>
      <w:r>
        <w:rPr/>
        <w:t>The proposal aimed to solve the German problem once and for all and envisaged enhancing of the military effectiveness in individual member states by bringing them </w:t>
      </w:r>
      <w:r>
        <w:rPr>
          <w:spacing w:val="-2"/>
        </w:rPr>
        <w:t>together.</w:t>
      </w:r>
    </w:p>
    <w:p>
      <w:pPr>
        <w:pStyle w:val="BodyText"/>
        <w:spacing w:line="273" w:lineRule="auto"/>
        <w:ind w:right="1898" w:firstLine="720"/>
      </w:pPr>
      <w:r>
        <w:rPr/>
        <w:t>The plan with some adjustments was agreed and sign by the ECSC. </w:t>
      </w:r>
      <w:r>
        <w:rPr>
          <w:spacing w:val="-2"/>
        </w:rPr>
        <w:t>However,</w:t>
      </w:r>
      <w:r>
        <w:rPr>
          <w:spacing w:val="-10"/>
        </w:rPr>
        <w:t> </w:t>
      </w:r>
      <w:r>
        <w:rPr>
          <w:spacing w:val="-2"/>
        </w:rPr>
        <w:t>the</w:t>
      </w:r>
      <w:r>
        <w:rPr>
          <w:spacing w:val="-8"/>
        </w:rPr>
        <w:t> </w:t>
      </w:r>
      <w:r>
        <w:rPr>
          <w:spacing w:val="-2"/>
          <w:sz w:val="27"/>
        </w:rPr>
        <w:t>Treaty</w:t>
      </w:r>
      <w:r>
        <w:rPr>
          <w:spacing w:val="-14"/>
          <w:sz w:val="27"/>
        </w:rPr>
        <w:t> </w:t>
      </w:r>
      <w:r>
        <w:rPr>
          <w:spacing w:val="-2"/>
          <w:sz w:val="27"/>
        </w:rPr>
        <w:t>establishing</w:t>
      </w:r>
      <w:r>
        <w:rPr>
          <w:spacing w:val="-13"/>
          <w:sz w:val="27"/>
        </w:rPr>
        <w:t> </w:t>
      </w:r>
      <w:r>
        <w:rPr>
          <w:spacing w:val="-2"/>
          <w:sz w:val="27"/>
        </w:rPr>
        <w:t>the</w:t>
      </w:r>
      <w:r>
        <w:rPr>
          <w:spacing w:val="-13"/>
          <w:sz w:val="27"/>
        </w:rPr>
        <w:t> </w:t>
      </w:r>
      <w:r>
        <w:rPr>
          <w:spacing w:val="-2"/>
          <w:sz w:val="27"/>
        </w:rPr>
        <w:t>European</w:t>
      </w:r>
      <w:r>
        <w:rPr>
          <w:spacing w:val="-12"/>
          <w:sz w:val="27"/>
        </w:rPr>
        <w:t> </w:t>
      </w:r>
      <w:r>
        <w:rPr>
          <w:spacing w:val="-2"/>
          <w:sz w:val="27"/>
        </w:rPr>
        <w:t>Defense</w:t>
      </w:r>
      <w:r>
        <w:rPr>
          <w:spacing w:val="-13"/>
          <w:sz w:val="27"/>
        </w:rPr>
        <w:t> </w:t>
      </w:r>
      <w:r>
        <w:rPr>
          <w:spacing w:val="-2"/>
          <w:sz w:val="27"/>
        </w:rPr>
        <w:t>Community</w:t>
      </w:r>
      <w:r>
        <w:rPr>
          <w:spacing w:val="-11"/>
          <w:sz w:val="27"/>
        </w:rPr>
        <w:t> </w:t>
      </w:r>
      <w:r>
        <w:rPr>
          <w:spacing w:val="-2"/>
          <w:sz w:val="27"/>
        </w:rPr>
        <w:t>(1952) </w:t>
      </w:r>
      <w:r>
        <w:rPr/>
        <w:t>failed to pass the ratification process in the French National Assembly in 1954. The decision was a paradoxical one, as the French rejected their own idea. However, the decisions, even the paradoxical ones, have reasons; 1)</w:t>
      </w:r>
      <w:r>
        <w:rPr>
          <w:spacing w:val="40"/>
        </w:rPr>
        <w:t> </w:t>
      </w:r>
      <w:r>
        <w:rPr/>
        <w:t>the French government was trying to “make an honorable withdrawal”</w:t>
      </w:r>
      <w:r>
        <w:rPr>
          <w:spacing w:val="40"/>
        </w:rPr>
        <w:t> </w:t>
      </w:r>
      <w:r>
        <w:rPr/>
        <w:t>from the global commitments, the most notably from the processes in Indochina. By the time of the EDC talks the foreign minister </w:t>
      </w:r>
      <w:r>
        <w:rPr>
          <w:sz w:val="27"/>
        </w:rPr>
        <w:t>Georges Bidault </w:t>
      </w:r>
      <w:r>
        <w:rPr/>
        <w:t>was in active negotiations with the USSR and the China, who ‘regarded the EDC as a milirary alliance directed against the East’ and finalizing the ratification process could ‘destroy his chances of reaching the agreement;’ (</w:t>
      </w:r>
      <w:hyperlink w:history="true" w:anchor="_bookmark71">
        <w:r>
          <w:rPr/>
          <w:t>Ahlers, 1954</w:t>
        </w:r>
      </w:hyperlink>
      <w:r>
        <w:rPr/>
        <w:t>) 2) </w:t>
      </w:r>
      <w:r>
        <w:rPr>
          <w:sz w:val="27"/>
        </w:rPr>
        <w:t>Stalin’s </w:t>
      </w:r>
      <w:r>
        <w:rPr/>
        <w:t>death and the subsequent end of the Korean War gave some room for postponing with the EDC; 3) the active anti-ratification campaign by General </w:t>
      </w:r>
      <w:r>
        <w:rPr>
          <w:sz w:val="27"/>
        </w:rPr>
        <w:t>De Gaulle </w:t>
      </w:r>
      <w:r>
        <w:rPr/>
        <w:t>and others had a serious impact on the Assembly. This big shift in political determination can be seen in the words of </w:t>
      </w:r>
      <w:r>
        <w:rPr>
          <w:sz w:val="27"/>
        </w:rPr>
        <w:t>Édouard Herriot</w:t>
      </w:r>
      <w:r>
        <w:rPr>
          <w:position w:val="7"/>
          <w:sz w:val="15"/>
        </w:rPr>
        <w:t>45</w:t>
      </w:r>
      <w:r>
        <w:rPr>
          <w:sz w:val="27"/>
        </w:rPr>
        <w:t>, </w:t>
      </w:r>
      <w:r>
        <w:rPr/>
        <w:t>who exclaimed “that he hoped there would never be another situation in which the sons of France had to be called to arms, but, if that situation were</w:t>
      </w:r>
      <w:r>
        <w:rPr>
          <w:spacing w:val="-1"/>
        </w:rPr>
        <w:t> </w:t>
      </w:r>
      <w:r>
        <w:rPr/>
        <w:t>to arise one day, they would be ready to die for France but not for the EDC or Europe.”(</w:t>
      </w:r>
      <w:hyperlink w:history="true" w:anchor="_bookmark84">
        <w:r>
          <w:rPr/>
          <w:t>Bahr, 2006</w:t>
        </w:r>
      </w:hyperlink>
      <w:r>
        <w:rPr/>
        <w:t>)</w:t>
      </w:r>
    </w:p>
    <w:p>
      <w:pPr>
        <w:pStyle w:val="BodyText"/>
        <w:spacing w:before="1"/>
        <w:ind w:left="0"/>
        <w:jc w:val="left"/>
        <w:rPr>
          <w:sz w:val="9"/>
        </w:rPr>
      </w:pPr>
      <w:r>
        <w:rPr>
          <w:sz w:val="9"/>
        </w:rPr>
        <mc:AlternateContent>
          <mc:Choice Requires="wps">
            <w:drawing>
              <wp:anchor distT="0" distB="0" distL="0" distR="0" allowOverlap="1" layoutInCell="1" locked="0" behindDoc="1" simplePos="0" relativeHeight="487671296">
                <wp:simplePos x="0" y="0"/>
                <wp:positionH relativeFrom="page">
                  <wp:posOffset>1079296</wp:posOffset>
                </wp:positionH>
                <wp:positionV relativeFrom="paragraph">
                  <wp:posOffset>91393</wp:posOffset>
                </wp:positionV>
                <wp:extent cx="1830070" cy="9525"/>
                <wp:effectExtent l="0" t="0" r="0" b="0"/>
                <wp:wrapTopAndBottom/>
                <wp:docPr id="201" name="Graphic 201"/>
                <wp:cNvGraphicFramePr>
                  <a:graphicFrameLocks/>
                </wp:cNvGraphicFramePr>
                <a:graphic>
                  <a:graphicData uri="http://schemas.microsoft.com/office/word/2010/wordprocessingShape">
                    <wps:wsp>
                      <wps:cNvPr id="201" name="Graphic 201"/>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7.196357pt;width:144.07pt;height:.72003pt;mso-position-horizontal-relative:page;mso-position-vertical-relative:paragraph;z-index:-15645184;mso-wrap-distance-left:0;mso-wrap-distance-right:0" id="docshape188" filled="true" fillcolor="#000000" stroked="false">
                <v:fill type="solid"/>
                <w10:wrap type="topAndBottom"/>
              </v:rect>
            </w:pict>
          </mc:Fallback>
        </mc:AlternateContent>
      </w:r>
    </w:p>
    <w:p>
      <w:pPr>
        <w:spacing w:before="103"/>
        <w:ind w:left="979" w:right="0" w:firstLine="0"/>
        <w:jc w:val="left"/>
        <w:rPr>
          <w:rFonts w:ascii="Calibri" w:hAnsi="Calibri"/>
          <w:sz w:val="20"/>
        </w:rPr>
      </w:pPr>
      <w:r>
        <w:rPr>
          <w:rFonts w:ascii="Calibri" w:hAnsi="Calibri"/>
          <w:sz w:val="20"/>
          <w:vertAlign w:val="superscript"/>
        </w:rPr>
        <w:t>45</w:t>
      </w:r>
      <w:r>
        <w:rPr>
          <w:rFonts w:ascii="Calibri" w:hAnsi="Calibri"/>
          <w:spacing w:val="-1"/>
          <w:sz w:val="20"/>
          <w:vertAlign w:val="baseline"/>
        </w:rPr>
        <w:t> </w:t>
      </w:r>
      <w:r>
        <w:rPr>
          <w:rFonts w:ascii="Calibri" w:hAnsi="Calibri"/>
          <w:sz w:val="20"/>
          <w:vertAlign w:val="baseline"/>
        </w:rPr>
        <w:t>President</w:t>
      </w:r>
      <w:r>
        <w:rPr>
          <w:rFonts w:ascii="Calibri" w:hAnsi="Calibri"/>
          <w:spacing w:val="-6"/>
          <w:sz w:val="20"/>
          <w:vertAlign w:val="baseline"/>
        </w:rPr>
        <w:t> </w:t>
      </w:r>
      <w:r>
        <w:rPr>
          <w:rFonts w:ascii="Calibri" w:hAnsi="Calibri"/>
          <w:sz w:val="20"/>
          <w:vertAlign w:val="baseline"/>
        </w:rPr>
        <w:t>of</w:t>
      </w:r>
      <w:r>
        <w:rPr>
          <w:rFonts w:ascii="Calibri" w:hAnsi="Calibri"/>
          <w:spacing w:val="-6"/>
          <w:sz w:val="20"/>
          <w:vertAlign w:val="baseline"/>
        </w:rPr>
        <w:t> </w:t>
      </w:r>
      <w:r>
        <w:rPr>
          <w:rFonts w:ascii="Calibri" w:hAnsi="Calibri"/>
          <w:sz w:val="20"/>
          <w:vertAlign w:val="baseline"/>
        </w:rPr>
        <w:t>the</w:t>
      </w:r>
      <w:r>
        <w:rPr>
          <w:rFonts w:ascii="Calibri" w:hAnsi="Calibri"/>
          <w:spacing w:val="-7"/>
          <w:sz w:val="20"/>
          <w:vertAlign w:val="baseline"/>
        </w:rPr>
        <w:t> </w:t>
      </w:r>
      <w:r>
        <w:rPr>
          <w:rFonts w:ascii="Calibri" w:hAnsi="Calibri"/>
          <w:sz w:val="20"/>
          <w:vertAlign w:val="baseline"/>
        </w:rPr>
        <w:t>National</w:t>
      </w:r>
      <w:r>
        <w:rPr>
          <w:rFonts w:ascii="Calibri" w:hAnsi="Calibri"/>
          <w:spacing w:val="-5"/>
          <w:sz w:val="20"/>
          <w:vertAlign w:val="baseline"/>
        </w:rPr>
        <w:t> </w:t>
      </w:r>
      <w:r>
        <w:rPr>
          <w:rFonts w:ascii="Calibri" w:hAnsi="Calibri"/>
          <w:sz w:val="20"/>
          <w:vertAlign w:val="baseline"/>
        </w:rPr>
        <w:t>Assembly</w:t>
      </w:r>
      <w:r>
        <w:rPr>
          <w:rFonts w:ascii="Calibri" w:hAnsi="Calibri"/>
          <w:spacing w:val="-3"/>
          <w:sz w:val="20"/>
          <w:vertAlign w:val="baseline"/>
        </w:rPr>
        <w:t> </w:t>
      </w:r>
      <w:r>
        <w:rPr>
          <w:rFonts w:ascii="Calibri" w:hAnsi="Calibri"/>
          <w:sz w:val="20"/>
          <w:vertAlign w:val="baseline"/>
        </w:rPr>
        <w:t>of</w:t>
      </w:r>
      <w:r>
        <w:rPr>
          <w:rFonts w:ascii="Calibri" w:hAnsi="Calibri"/>
          <w:spacing w:val="-1"/>
          <w:sz w:val="20"/>
          <w:vertAlign w:val="baseline"/>
        </w:rPr>
        <w:t> </w:t>
      </w:r>
      <w:r>
        <w:rPr>
          <w:rFonts w:ascii="Calibri" w:hAnsi="Calibri"/>
          <w:sz w:val="20"/>
          <w:vertAlign w:val="baseline"/>
        </w:rPr>
        <w:t>France</w:t>
      </w:r>
      <w:r>
        <w:rPr>
          <w:rFonts w:ascii="Calibri" w:hAnsi="Calibri"/>
          <w:spacing w:val="-3"/>
          <w:sz w:val="20"/>
          <w:vertAlign w:val="baseline"/>
        </w:rPr>
        <w:t> </w:t>
      </w:r>
      <w:r>
        <w:rPr>
          <w:rFonts w:ascii="Calibri" w:hAnsi="Calibri"/>
          <w:sz w:val="20"/>
          <w:vertAlign w:val="baseline"/>
        </w:rPr>
        <w:t>:</w:t>
      </w:r>
      <w:r>
        <w:rPr>
          <w:rFonts w:ascii="Calibri" w:hAnsi="Calibri"/>
          <w:spacing w:val="-4"/>
          <w:sz w:val="20"/>
          <w:vertAlign w:val="baseline"/>
        </w:rPr>
        <w:t> </w:t>
      </w:r>
      <w:r>
        <w:rPr>
          <w:rFonts w:ascii="Calibri" w:hAnsi="Calibri"/>
          <w:spacing w:val="-2"/>
          <w:sz w:val="20"/>
          <w:vertAlign w:val="baseline"/>
        </w:rPr>
        <w:t>1947–1954</w:t>
      </w:r>
    </w:p>
    <w:p>
      <w:pPr>
        <w:spacing w:after="0"/>
        <w:jc w:val="left"/>
        <w:rPr>
          <w:rFonts w:ascii="Calibri" w:hAnsi="Calibri"/>
          <w:sz w:val="20"/>
        </w:rPr>
        <w:sectPr>
          <w:pgSz w:w="12240" w:h="15840"/>
          <w:pgMar w:header="1046" w:footer="0" w:top="1360" w:bottom="280" w:left="720" w:right="360"/>
        </w:sectPr>
      </w:pPr>
    </w:p>
    <w:p>
      <w:pPr>
        <w:pStyle w:val="BodyText"/>
        <w:spacing w:line="276" w:lineRule="auto" w:before="276"/>
        <w:ind w:right="1904" w:firstLine="720"/>
      </w:pPr>
      <w:r>
        <w:rPr/>
        <w:t>As the time passed, the worries started to disappear. It seemed that the Western Europe was following </w:t>
      </w:r>
      <w:r>
        <w:rPr>
          <w:sz w:val="27"/>
        </w:rPr>
        <w:t>Walter Hallstein</w:t>
      </w:r>
      <w:r>
        <w:rPr/>
        <w:t>’s warning: “Don’t waste time talking about defense. In the ﬁrst place we don’t understand it. In the second place we’ll all disagree.”(</w:t>
      </w:r>
      <w:hyperlink w:history="true" w:anchor="_bookmark410">
        <w:r>
          <w:rPr/>
          <w:t>in Toje, 2008, p. 25</w:t>
        </w:r>
      </w:hyperlink>
      <w:r>
        <w:rPr/>
        <w:t>) The only consolation, in that situation was a modified Western European Union (WEU). Between the 1954 – 1984 the WEU was used as a platform for the security dialogue among the member states.</w:t>
      </w:r>
      <w:r>
        <w:rPr>
          <w:position w:val="7"/>
          <w:sz w:val="15"/>
        </w:rPr>
        <w:t>46</w:t>
      </w:r>
      <w:r>
        <w:rPr>
          <w:spacing w:val="40"/>
          <w:position w:val="7"/>
          <w:sz w:val="15"/>
        </w:rPr>
        <w:t> </w:t>
      </w:r>
      <w:r>
        <w:rPr/>
        <w:t>Even if the forum possesed merely informative function, it had certainly helped to keep the idea of common defense alive. (</w:t>
      </w:r>
      <w:hyperlink w:history="true" w:anchor="_bookmark175">
        <w:r>
          <w:rPr/>
          <w:t>EEAS, 2016</w:t>
        </w:r>
      </w:hyperlink>
      <w:r>
        <w:rPr/>
        <w:t>)</w:t>
      </w:r>
      <w:r>
        <w:rPr>
          <w:spacing w:val="80"/>
        </w:rPr>
        <w:t> </w:t>
      </w:r>
      <w:r>
        <w:rPr/>
        <w:t>The Paris Agreement was greeted with a great enthusiasm in the United States: establishing of the WEU meant that France would “release Germany without waiting for the verdict of the various parliaments on the rebuilding of its army.” (</w:t>
      </w:r>
      <w:hyperlink w:history="true" w:anchor="_bookmark391">
        <w:r>
          <w:rPr/>
          <w:t>Silvercruy, 1954</w:t>
        </w:r>
      </w:hyperlink>
      <w:r>
        <w:rPr/>
        <w:t>) On May, 09, 1955 the FRG joined the NATO.</w:t>
      </w:r>
    </w:p>
    <w:p>
      <w:pPr>
        <w:pStyle w:val="BodyText"/>
        <w:spacing w:line="327" w:lineRule="exact"/>
        <w:ind w:left="1700"/>
      </w:pPr>
      <w:r>
        <w:rPr/>
        <w:t>After</w:t>
      </w:r>
      <w:r>
        <w:rPr>
          <w:spacing w:val="25"/>
        </w:rPr>
        <w:t> </w:t>
      </w:r>
      <w:r>
        <w:rPr/>
        <w:t>1984</w:t>
      </w:r>
      <w:r>
        <w:rPr>
          <w:spacing w:val="24"/>
        </w:rPr>
        <w:t> </w:t>
      </w:r>
      <w:r>
        <w:rPr/>
        <w:t>the</w:t>
      </w:r>
      <w:r>
        <w:rPr>
          <w:spacing w:val="25"/>
        </w:rPr>
        <w:t> </w:t>
      </w:r>
      <w:r>
        <w:rPr/>
        <w:t>WEU</w:t>
      </w:r>
      <w:r>
        <w:rPr>
          <w:spacing w:val="25"/>
        </w:rPr>
        <w:t> </w:t>
      </w:r>
      <w:r>
        <w:rPr/>
        <w:t>has</w:t>
      </w:r>
      <w:r>
        <w:rPr>
          <w:spacing w:val="23"/>
        </w:rPr>
        <w:t> </w:t>
      </w:r>
      <w:r>
        <w:rPr/>
        <w:t>expanded</w:t>
      </w:r>
      <w:r>
        <w:rPr>
          <w:spacing w:val="26"/>
        </w:rPr>
        <w:t> </w:t>
      </w:r>
      <w:r>
        <w:rPr/>
        <w:t>by</w:t>
      </w:r>
      <w:r>
        <w:rPr>
          <w:spacing w:val="24"/>
        </w:rPr>
        <w:t> </w:t>
      </w:r>
      <w:r>
        <w:rPr/>
        <w:t>adding</w:t>
      </w:r>
      <w:r>
        <w:rPr>
          <w:spacing w:val="26"/>
        </w:rPr>
        <w:t> </w:t>
      </w:r>
      <w:r>
        <w:rPr/>
        <w:t>new</w:t>
      </w:r>
      <w:r>
        <w:rPr>
          <w:spacing w:val="26"/>
        </w:rPr>
        <w:t> </w:t>
      </w:r>
      <w:r>
        <w:rPr/>
        <w:t>members</w:t>
      </w:r>
      <w:r>
        <w:rPr>
          <w:spacing w:val="22"/>
        </w:rPr>
        <w:t> </w:t>
      </w:r>
      <w:r>
        <w:rPr/>
        <w:t>to</w:t>
      </w:r>
      <w:r>
        <w:rPr>
          <w:spacing w:val="22"/>
        </w:rPr>
        <w:t> </w:t>
      </w:r>
      <w:r>
        <w:rPr>
          <w:spacing w:val="-5"/>
        </w:rPr>
        <w:t>the</w:t>
      </w:r>
    </w:p>
    <w:p>
      <w:pPr>
        <w:pStyle w:val="BodyText"/>
        <w:spacing w:line="276" w:lineRule="auto" w:before="51"/>
        <w:ind w:right="1911"/>
      </w:pPr>
      <w:r>
        <w:rPr/>
        <w:t>organization. Subsequently few operations were launched and executed (mostly ‘soft’ missions). Hovewer, the effect of the actions hardly met the initial expectations. The WEU was dominated by the NATO and its intergovernmental</w:t>
      </w:r>
      <w:r>
        <w:rPr>
          <w:spacing w:val="-2"/>
        </w:rPr>
        <w:t> </w:t>
      </w:r>
      <w:r>
        <w:rPr/>
        <w:t>organization was</w:t>
      </w:r>
      <w:r>
        <w:rPr>
          <w:spacing w:val="-2"/>
        </w:rPr>
        <w:t> </w:t>
      </w:r>
      <w:r>
        <w:rPr/>
        <w:t>competing with the EU. It was</w:t>
      </w:r>
      <w:r>
        <w:rPr>
          <w:spacing w:val="-2"/>
        </w:rPr>
        <w:t> </w:t>
      </w:r>
      <w:r>
        <w:rPr/>
        <w:t>obvious that this “strictly European political and military structure could not be made into a substitute for the political integration which had for so long been lacking.”</w:t>
      </w:r>
      <w:r>
        <w:rPr>
          <w:spacing w:val="40"/>
        </w:rPr>
        <w:t> </w:t>
      </w:r>
      <w:r>
        <w:rPr/>
        <w:t>(</w:t>
      </w:r>
      <w:hyperlink w:history="true" w:anchor="_bookmark166">
        <w:r>
          <w:rPr/>
          <w:t>Dumoulin, 2015</w:t>
        </w:r>
      </w:hyperlink>
      <w:r>
        <w:rPr/>
        <w:t>)</w:t>
      </w:r>
    </w:p>
    <w:p>
      <w:pPr>
        <w:pStyle w:val="BodyText"/>
        <w:spacing w:line="273" w:lineRule="auto"/>
        <w:ind w:right="1842" w:firstLine="720"/>
      </w:pPr>
      <w:r>
        <w:rPr/>
        <w:t>Usually the political units – states (or security alliances) include a </w:t>
      </w:r>
      <w:r>
        <w:rPr>
          <w:color w:val="000000"/>
          <w:sz w:val="27"/>
          <w:shd w:fill="FEFE8B" w:color="auto" w:val="clear"/>
        </w:rPr>
        <w:t>reflexive </w:t>
      </w:r>
      <w:r>
        <w:rPr>
          <w:color w:val="000000"/>
          <w:shd w:fill="FEFE8B" w:color="auto" w:val="clear"/>
        </w:rPr>
        <w:t>security element within the systemic organization. It means that</w:t>
      </w:r>
      <w:r>
        <w:rPr>
          <w:color w:val="000000"/>
          <w:spacing w:val="-1"/>
          <w:shd w:fill="FEFE8B" w:color="auto" w:val="clear"/>
        </w:rPr>
        <w:t> </w:t>
      </w:r>
      <w:r>
        <w:rPr>
          <w:color w:val="000000"/>
          <w:spacing w:val="-1"/>
        </w:rPr>
        <w:t> </w:t>
      </w:r>
      <w:r>
        <w:rPr>
          <w:color w:val="000000"/>
          <w:shd w:fill="FEFE8B" w:color="auto" w:val="clear"/>
        </w:rPr>
        <w:t>the ways in which the entity manages the security is an intrinsic part of its</w:t>
      </w:r>
      <w:r>
        <w:rPr>
          <w:color w:val="000000"/>
          <w:spacing w:val="-1"/>
          <w:shd w:fill="FEFE8B" w:color="auto" w:val="clear"/>
        </w:rPr>
        <w:t> </w:t>
      </w:r>
      <w:r>
        <w:rPr>
          <w:color w:val="000000"/>
          <w:spacing w:val="-1"/>
        </w:rPr>
        <w:t> </w:t>
      </w:r>
      <w:r>
        <w:rPr>
          <w:color w:val="000000"/>
          <w:shd w:fill="FEFE8B" w:color="auto" w:val="clear"/>
        </w:rPr>
        <w:t>identity</w:t>
      </w:r>
      <w:r>
        <w:rPr>
          <w:color w:val="000000"/>
        </w:rPr>
        <w:t>. The European Community, however, was a different sort of the entity. The unpredictability of the political integration made it hard to acquire a security identity as the process went by. The economic integration was quite successful and the functional model of cooperation worked well.</w:t>
      </w:r>
    </w:p>
    <w:p>
      <w:pPr>
        <w:pStyle w:val="BodyText"/>
        <w:spacing w:line="276" w:lineRule="auto" w:before="14"/>
        <w:ind w:right="1910" w:firstLine="787"/>
      </w:pPr>
      <w:r>
        <w:rPr/>
        <w:t>The community was gradually becoming a value-driven liberal organization.</w:t>
      </w:r>
      <w:r>
        <w:rPr>
          <w:spacing w:val="31"/>
        </w:rPr>
        <w:t> </w:t>
      </w:r>
      <w:r>
        <w:rPr/>
        <w:t>In</w:t>
      </w:r>
      <w:r>
        <w:rPr>
          <w:spacing w:val="31"/>
        </w:rPr>
        <w:t> </w:t>
      </w:r>
      <w:r>
        <w:rPr/>
        <w:t>this</w:t>
      </w:r>
      <w:r>
        <w:rPr>
          <w:spacing w:val="28"/>
        </w:rPr>
        <w:t> </w:t>
      </w:r>
      <w:r>
        <w:rPr/>
        <w:t>condition</w:t>
      </w:r>
      <w:r>
        <w:rPr>
          <w:spacing w:val="32"/>
        </w:rPr>
        <w:t> </w:t>
      </w:r>
      <w:r>
        <w:rPr/>
        <w:t>a</w:t>
      </w:r>
      <w:r>
        <w:rPr>
          <w:spacing w:val="30"/>
        </w:rPr>
        <w:t> </w:t>
      </w:r>
      <w:r>
        <w:rPr/>
        <w:t>need</w:t>
      </w:r>
      <w:r>
        <w:rPr>
          <w:spacing w:val="31"/>
        </w:rPr>
        <w:t> </w:t>
      </w:r>
      <w:r>
        <w:rPr/>
        <w:t>for</w:t>
      </w:r>
      <w:r>
        <w:rPr>
          <w:spacing w:val="31"/>
        </w:rPr>
        <w:t> </w:t>
      </w:r>
      <w:r>
        <w:rPr/>
        <w:t>common</w:t>
      </w:r>
      <w:r>
        <w:rPr>
          <w:spacing w:val="32"/>
        </w:rPr>
        <w:t> </w:t>
      </w:r>
      <w:r>
        <w:rPr/>
        <w:t>defense</w:t>
      </w:r>
      <w:r>
        <w:rPr>
          <w:spacing w:val="31"/>
        </w:rPr>
        <w:t> </w:t>
      </w:r>
      <w:r>
        <w:rPr/>
        <w:t>structure</w:t>
      </w:r>
      <w:r>
        <w:rPr>
          <w:spacing w:val="30"/>
        </w:rPr>
        <w:t> </w:t>
      </w:r>
      <w:r>
        <w:rPr>
          <w:spacing w:val="-5"/>
        </w:rPr>
        <w:t>was</w:t>
      </w:r>
    </w:p>
    <w:p>
      <w:pPr>
        <w:pStyle w:val="BodyText"/>
        <w:spacing w:before="70"/>
        <w:ind w:left="0"/>
        <w:jc w:val="left"/>
        <w:rPr>
          <w:sz w:val="20"/>
        </w:rPr>
      </w:pPr>
      <w:r>
        <w:rPr>
          <w:sz w:val="20"/>
        </w:rPr>
        <mc:AlternateContent>
          <mc:Choice Requires="wps">
            <w:drawing>
              <wp:anchor distT="0" distB="0" distL="0" distR="0" allowOverlap="1" layoutInCell="1" locked="0" behindDoc="1" simplePos="0" relativeHeight="487671808">
                <wp:simplePos x="0" y="0"/>
                <wp:positionH relativeFrom="page">
                  <wp:posOffset>1079296</wp:posOffset>
                </wp:positionH>
                <wp:positionV relativeFrom="paragraph">
                  <wp:posOffset>227004</wp:posOffset>
                </wp:positionV>
                <wp:extent cx="1830070" cy="9525"/>
                <wp:effectExtent l="0" t="0" r="0" b="0"/>
                <wp:wrapTopAndBottom/>
                <wp:docPr id="202" name="Graphic 202"/>
                <wp:cNvGraphicFramePr>
                  <a:graphicFrameLocks/>
                </wp:cNvGraphicFramePr>
                <a:graphic>
                  <a:graphicData uri="http://schemas.microsoft.com/office/word/2010/wordprocessingShape">
                    <wps:wsp>
                      <wps:cNvPr id="202" name="Graphic 202"/>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17.874382pt;width:144.07pt;height:.71997pt;mso-position-horizontal-relative:page;mso-position-vertical-relative:paragraph;z-index:-15644672;mso-wrap-distance-left:0;mso-wrap-distance-right:0" id="docshape189" filled="true" fillcolor="#000000" stroked="false">
                <v:fill type="solid"/>
                <w10:wrap type="topAndBottom"/>
              </v:rect>
            </w:pict>
          </mc:Fallback>
        </mc:AlternateContent>
      </w:r>
    </w:p>
    <w:p>
      <w:pPr>
        <w:spacing w:before="112"/>
        <w:ind w:left="979" w:right="1909" w:firstLine="0"/>
        <w:jc w:val="left"/>
        <w:rPr>
          <w:rFonts w:ascii="Verdana"/>
          <w:sz w:val="18"/>
        </w:rPr>
      </w:pPr>
      <w:r>
        <w:rPr>
          <w:rFonts w:ascii="Calibri"/>
          <w:sz w:val="18"/>
          <w:vertAlign w:val="superscript"/>
        </w:rPr>
        <w:t>46</w:t>
      </w:r>
      <w:r>
        <w:rPr>
          <w:rFonts w:ascii="Calibri"/>
          <w:spacing w:val="40"/>
          <w:sz w:val="18"/>
          <w:vertAlign w:val="baseline"/>
        </w:rPr>
        <w:t> </w:t>
      </w:r>
      <w:r>
        <w:rPr>
          <w:rFonts w:ascii="Verdana"/>
          <w:sz w:val="18"/>
          <w:vertAlign w:val="baseline"/>
        </w:rPr>
        <w:t>The</w:t>
      </w:r>
      <w:r>
        <w:rPr>
          <w:rFonts w:ascii="Verdana"/>
          <w:spacing w:val="40"/>
          <w:sz w:val="18"/>
          <w:vertAlign w:val="baseline"/>
        </w:rPr>
        <w:t> </w:t>
      </w:r>
      <w:r>
        <w:rPr>
          <w:rFonts w:ascii="Verdana"/>
          <w:sz w:val="18"/>
          <w:vertAlign w:val="baseline"/>
        </w:rPr>
        <w:t>modified</w:t>
      </w:r>
      <w:r>
        <w:rPr>
          <w:rFonts w:ascii="Verdana"/>
          <w:spacing w:val="40"/>
          <w:sz w:val="18"/>
          <w:vertAlign w:val="baseline"/>
        </w:rPr>
        <w:t> </w:t>
      </w:r>
      <w:r>
        <w:rPr>
          <w:rFonts w:ascii="Verdana"/>
          <w:sz w:val="18"/>
          <w:vertAlign w:val="baseline"/>
        </w:rPr>
        <w:t>Treaty</w:t>
      </w:r>
      <w:r>
        <w:rPr>
          <w:rFonts w:ascii="Verdana"/>
          <w:spacing w:val="40"/>
          <w:sz w:val="18"/>
          <w:vertAlign w:val="baseline"/>
        </w:rPr>
        <w:t> </w:t>
      </w:r>
      <w:r>
        <w:rPr>
          <w:rFonts w:ascii="Verdana"/>
          <w:sz w:val="18"/>
          <w:vertAlign w:val="baseline"/>
        </w:rPr>
        <w:t>of</w:t>
      </w:r>
      <w:r>
        <w:rPr>
          <w:rFonts w:ascii="Verdana"/>
          <w:spacing w:val="39"/>
          <w:sz w:val="18"/>
          <w:vertAlign w:val="baseline"/>
        </w:rPr>
        <w:t> </w:t>
      </w:r>
      <w:r>
        <w:rPr>
          <w:rFonts w:ascii="Verdana"/>
          <w:sz w:val="18"/>
          <w:vertAlign w:val="baseline"/>
        </w:rPr>
        <w:t>Brussels</w:t>
      </w:r>
      <w:r>
        <w:rPr>
          <w:rFonts w:ascii="Verdana"/>
          <w:spacing w:val="40"/>
          <w:sz w:val="18"/>
          <w:vertAlign w:val="baseline"/>
        </w:rPr>
        <w:t> </w:t>
      </w:r>
      <w:r>
        <w:rPr>
          <w:rFonts w:ascii="Verdana"/>
          <w:sz w:val="18"/>
          <w:vertAlign w:val="baseline"/>
        </w:rPr>
        <w:t>in</w:t>
      </w:r>
      <w:r>
        <w:rPr>
          <w:rFonts w:ascii="Verdana"/>
          <w:spacing w:val="40"/>
          <w:sz w:val="18"/>
          <w:vertAlign w:val="baseline"/>
        </w:rPr>
        <w:t> </w:t>
      </w:r>
      <w:r>
        <w:rPr>
          <w:rFonts w:ascii="Verdana"/>
          <w:sz w:val="18"/>
          <w:vertAlign w:val="baseline"/>
        </w:rPr>
        <w:t>October</w:t>
      </w:r>
      <w:r>
        <w:rPr>
          <w:rFonts w:ascii="Verdana"/>
          <w:spacing w:val="40"/>
          <w:sz w:val="18"/>
          <w:vertAlign w:val="baseline"/>
        </w:rPr>
        <w:t> </w:t>
      </w:r>
      <w:r>
        <w:rPr>
          <w:rFonts w:ascii="Verdana"/>
          <w:sz w:val="18"/>
          <w:vertAlign w:val="baseline"/>
        </w:rPr>
        <w:t>1954</w:t>
      </w:r>
      <w:r>
        <w:rPr>
          <w:rFonts w:ascii="Verdana"/>
          <w:spacing w:val="36"/>
          <w:sz w:val="18"/>
          <w:vertAlign w:val="baseline"/>
        </w:rPr>
        <w:t> </w:t>
      </w:r>
      <w:r>
        <w:rPr>
          <w:rFonts w:ascii="Verdana"/>
          <w:sz w:val="18"/>
          <w:vertAlign w:val="baseline"/>
        </w:rPr>
        <w:t>(Paris</w:t>
      </w:r>
      <w:r>
        <w:rPr>
          <w:rFonts w:ascii="Verdana"/>
          <w:spacing w:val="40"/>
          <w:sz w:val="18"/>
          <w:vertAlign w:val="baseline"/>
        </w:rPr>
        <w:t> </w:t>
      </w:r>
      <w:r>
        <w:rPr>
          <w:rFonts w:ascii="Verdana"/>
          <w:sz w:val="18"/>
          <w:vertAlign w:val="baseline"/>
        </w:rPr>
        <w:t>agreement),</w:t>
      </w:r>
      <w:r>
        <w:rPr>
          <w:rFonts w:ascii="Verdana"/>
          <w:spacing w:val="40"/>
          <w:sz w:val="18"/>
          <w:vertAlign w:val="baseline"/>
        </w:rPr>
        <w:t> </w:t>
      </w:r>
      <w:r>
        <w:rPr>
          <w:rFonts w:ascii="Verdana"/>
          <w:sz w:val="18"/>
          <w:vertAlign w:val="baseline"/>
        </w:rPr>
        <w:t>created</w:t>
      </w:r>
      <w:r>
        <w:rPr>
          <w:rFonts w:ascii="Verdana"/>
          <w:spacing w:val="40"/>
          <w:sz w:val="18"/>
          <w:vertAlign w:val="baseline"/>
        </w:rPr>
        <w:t> </w:t>
      </w:r>
      <w:r>
        <w:rPr>
          <w:rFonts w:ascii="Verdana"/>
          <w:sz w:val="18"/>
          <w:vertAlign w:val="baseline"/>
        </w:rPr>
        <w:t>a</w:t>
      </w:r>
      <w:r>
        <w:rPr>
          <w:rFonts w:ascii="Verdana"/>
          <w:spacing w:val="40"/>
          <w:sz w:val="18"/>
          <w:vertAlign w:val="baseline"/>
        </w:rPr>
        <w:t> </w:t>
      </w:r>
      <w:r>
        <w:rPr>
          <w:rFonts w:ascii="Verdana"/>
          <w:sz w:val="18"/>
          <w:vertAlign w:val="baseline"/>
        </w:rPr>
        <w:t>new organisation that was able to incorporate also Italy and Germany in the WEU.</w:t>
      </w:r>
    </w:p>
    <w:p>
      <w:pPr>
        <w:spacing w:after="0"/>
        <w:jc w:val="left"/>
        <w:rPr>
          <w:rFonts w:ascii="Verdana"/>
          <w:sz w:val="18"/>
        </w:rPr>
        <w:sectPr>
          <w:pgSz w:w="12240" w:h="15840"/>
          <w:pgMar w:header="1046" w:footer="0" w:top="1360" w:bottom="280" w:left="720" w:right="360"/>
        </w:sectPr>
      </w:pPr>
    </w:p>
    <w:p>
      <w:pPr>
        <w:pStyle w:val="BodyText"/>
        <w:spacing w:before="276"/>
        <w:jc w:val="left"/>
      </w:pPr>
      <w:r>
        <w:rPr/>
        <w:t>highly</w:t>
      </w:r>
      <w:r>
        <w:rPr>
          <w:spacing w:val="37"/>
        </w:rPr>
        <w:t> </w:t>
      </w:r>
      <w:r>
        <w:rPr/>
        <w:t>questionable.</w:t>
      </w:r>
      <w:r>
        <w:rPr>
          <w:spacing w:val="4"/>
        </w:rPr>
        <w:t> </w:t>
      </w:r>
      <w:r>
        <w:rPr>
          <w:color w:val="000000"/>
          <w:spacing w:val="-25"/>
          <w:shd w:fill="FEFE8B" w:color="auto" w:val="clear"/>
        </w:rPr>
        <w:t> </w:t>
      </w:r>
      <w:r>
        <w:rPr>
          <w:color w:val="000000"/>
          <w:shd w:fill="FEFE8B" w:color="auto" w:val="clear"/>
        </w:rPr>
        <w:t>Especially,</w:t>
      </w:r>
      <w:r>
        <w:rPr>
          <w:color w:val="000000"/>
          <w:spacing w:val="42"/>
          <w:shd w:fill="FEFE8B" w:color="auto" w:val="clear"/>
        </w:rPr>
        <w:t> </w:t>
      </w:r>
      <w:r>
        <w:rPr>
          <w:color w:val="000000"/>
          <w:shd w:fill="FEFE8B" w:color="auto" w:val="clear"/>
        </w:rPr>
        <w:t>if</w:t>
      </w:r>
      <w:r>
        <w:rPr>
          <w:color w:val="000000"/>
          <w:spacing w:val="40"/>
          <w:shd w:fill="FEFE8B" w:color="auto" w:val="clear"/>
        </w:rPr>
        <w:t> </w:t>
      </w:r>
      <w:r>
        <w:rPr>
          <w:color w:val="000000"/>
          <w:shd w:fill="FEFE8B" w:color="auto" w:val="clear"/>
        </w:rPr>
        <w:t>we</w:t>
      </w:r>
      <w:r>
        <w:rPr>
          <w:color w:val="000000"/>
          <w:spacing w:val="40"/>
          <w:shd w:fill="FEFE8B" w:color="auto" w:val="clear"/>
        </w:rPr>
        <w:t> </w:t>
      </w:r>
      <w:r>
        <w:rPr>
          <w:color w:val="000000"/>
          <w:shd w:fill="FEFE8B" w:color="auto" w:val="clear"/>
        </w:rPr>
        <w:t>acknowledge</w:t>
      </w:r>
      <w:r>
        <w:rPr>
          <w:color w:val="000000"/>
          <w:spacing w:val="41"/>
          <w:shd w:fill="FEFE8B" w:color="auto" w:val="clear"/>
        </w:rPr>
        <w:t> </w:t>
      </w:r>
      <w:r>
        <w:rPr>
          <w:color w:val="000000"/>
          <w:shd w:fill="FEFE8B" w:color="auto" w:val="clear"/>
        </w:rPr>
        <w:t>the</w:t>
      </w:r>
      <w:r>
        <w:rPr>
          <w:color w:val="000000"/>
          <w:spacing w:val="40"/>
          <w:shd w:fill="FEFE8B" w:color="auto" w:val="clear"/>
        </w:rPr>
        <w:t> </w:t>
      </w:r>
      <w:r>
        <w:rPr>
          <w:color w:val="000000"/>
          <w:shd w:fill="FEFE8B" w:color="auto" w:val="clear"/>
        </w:rPr>
        <w:t>fact</w:t>
      </w:r>
      <w:r>
        <w:rPr>
          <w:color w:val="000000"/>
          <w:spacing w:val="36"/>
          <w:shd w:fill="FEFE8B" w:color="auto" w:val="clear"/>
        </w:rPr>
        <w:t> </w:t>
      </w:r>
      <w:r>
        <w:rPr>
          <w:color w:val="000000"/>
          <w:shd w:fill="FEFE8B" w:color="auto" w:val="clear"/>
        </w:rPr>
        <w:t>that</w:t>
      </w:r>
      <w:r>
        <w:rPr>
          <w:color w:val="000000"/>
          <w:spacing w:val="41"/>
          <w:shd w:fill="FEFE8B" w:color="auto" w:val="clear"/>
        </w:rPr>
        <w:t> </w:t>
      </w:r>
      <w:r>
        <w:rPr>
          <w:color w:val="000000"/>
          <w:shd w:fill="FEFE8B" w:color="auto" w:val="clear"/>
        </w:rPr>
        <w:t>at</w:t>
      </w:r>
      <w:r>
        <w:rPr>
          <w:color w:val="000000"/>
          <w:spacing w:val="40"/>
          <w:shd w:fill="FEFE8B" w:color="auto" w:val="clear"/>
        </w:rPr>
        <w:t> </w:t>
      </w:r>
      <w:r>
        <w:rPr>
          <w:color w:val="000000"/>
          <w:spacing w:val="-4"/>
          <w:shd w:fill="FEFE8B" w:color="auto" w:val="clear"/>
        </w:rPr>
        <w:t>some</w:t>
      </w:r>
      <w:r>
        <w:rPr>
          <w:color w:val="000000"/>
          <w:spacing w:val="80"/>
          <w:shd w:fill="FEFE8B" w:color="auto" w:val="clear"/>
        </w:rPr>
        <w:t> </w:t>
      </w:r>
    </w:p>
    <w:p>
      <w:pPr>
        <w:pStyle w:val="BodyText"/>
        <w:spacing w:before="51"/>
        <w:ind w:left="939"/>
        <w:jc w:val="left"/>
      </w:pPr>
      <w:r>
        <w:rPr>
          <w:color w:val="000000"/>
          <w:spacing w:val="-26"/>
          <w:shd w:fill="FEFE8B" w:color="auto" w:val="clear"/>
        </w:rPr>
        <w:t> </w:t>
      </w:r>
      <w:r>
        <w:rPr>
          <w:color w:val="000000"/>
          <w:shd w:fill="FEFE8B" w:color="auto" w:val="clear"/>
        </w:rPr>
        <w:t>point</w:t>
      </w:r>
      <w:r>
        <w:rPr>
          <w:color w:val="000000"/>
          <w:spacing w:val="-8"/>
          <w:shd w:fill="FEFE8B" w:color="auto" w:val="clear"/>
        </w:rPr>
        <w:t> </w:t>
      </w:r>
      <w:r>
        <w:rPr>
          <w:color w:val="000000"/>
          <w:shd w:fill="FEFE8B" w:color="auto" w:val="clear"/>
        </w:rPr>
        <w:t>the</w:t>
      </w:r>
      <w:r>
        <w:rPr>
          <w:color w:val="000000"/>
          <w:spacing w:val="-3"/>
          <w:shd w:fill="FEFE8B" w:color="auto" w:val="clear"/>
        </w:rPr>
        <w:t> </w:t>
      </w:r>
      <w:r>
        <w:rPr>
          <w:color w:val="000000"/>
          <w:shd w:fill="FEFE8B" w:color="auto" w:val="clear"/>
        </w:rPr>
        <w:t>economic</w:t>
      </w:r>
      <w:r>
        <w:rPr>
          <w:color w:val="000000"/>
          <w:spacing w:val="-4"/>
          <w:shd w:fill="FEFE8B" w:color="auto" w:val="clear"/>
        </w:rPr>
        <w:t> </w:t>
      </w:r>
      <w:r>
        <w:rPr>
          <w:color w:val="000000"/>
          <w:shd w:fill="FEFE8B" w:color="auto" w:val="clear"/>
        </w:rPr>
        <w:t>success</w:t>
      </w:r>
      <w:r>
        <w:rPr>
          <w:color w:val="000000"/>
          <w:spacing w:val="-4"/>
          <w:shd w:fill="FEFE8B" w:color="auto" w:val="clear"/>
        </w:rPr>
        <w:t> </w:t>
      </w:r>
      <w:r>
        <w:rPr>
          <w:color w:val="000000"/>
          <w:shd w:fill="FEFE8B" w:color="auto" w:val="clear"/>
        </w:rPr>
        <w:t>of</w:t>
      </w:r>
      <w:r>
        <w:rPr>
          <w:color w:val="000000"/>
          <w:spacing w:val="-4"/>
          <w:shd w:fill="FEFE8B" w:color="auto" w:val="clear"/>
        </w:rPr>
        <w:t> </w:t>
      </w:r>
      <w:r>
        <w:rPr>
          <w:color w:val="000000"/>
          <w:shd w:fill="FEFE8B" w:color="auto" w:val="clear"/>
        </w:rPr>
        <w:t>the</w:t>
      </w:r>
      <w:r>
        <w:rPr>
          <w:color w:val="000000"/>
          <w:spacing w:val="-3"/>
          <w:shd w:fill="FEFE8B" w:color="auto" w:val="clear"/>
        </w:rPr>
        <w:t> </w:t>
      </w:r>
      <w:r>
        <w:rPr>
          <w:color w:val="000000"/>
          <w:shd w:fill="FEFE8B" w:color="auto" w:val="clear"/>
        </w:rPr>
        <w:t>Western</w:t>
      </w:r>
      <w:r>
        <w:rPr>
          <w:color w:val="000000"/>
          <w:spacing w:val="-6"/>
          <w:shd w:fill="FEFE8B" w:color="auto" w:val="clear"/>
        </w:rPr>
        <w:t> </w:t>
      </w:r>
      <w:r>
        <w:rPr>
          <w:color w:val="000000"/>
          <w:shd w:fill="FEFE8B" w:color="auto" w:val="clear"/>
        </w:rPr>
        <w:t>Europe</w:t>
      </w:r>
      <w:r>
        <w:rPr>
          <w:color w:val="000000"/>
          <w:spacing w:val="-3"/>
          <w:shd w:fill="FEFE8B" w:color="auto" w:val="clear"/>
        </w:rPr>
        <w:t> </w:t>
      </w:r>
      <w:r>
        <w:rPr>
          <w:color w:val="000000"/>
          <w:shd w:fill="FEFE8B" w:color="auto" w:val="clear"/>
        </w:rPr>
        <w:t>rested</w:t>
      </w:r>
      <w:r>
        <w:rPr>
          <w:color w:val="000000"/>
          <w:spacing w:val="-2"/>
          <w:shd w:fill="FEFE8B" w:color="auto" w:val="clear"/>
        </w:rPr>
        <w:t> </w:t>
      </w:r>
      <w:r>
        <w:rPr>
          <w:color w:val="000000"/>
          <w:shd w:fill="FEFE8B" w:color="auto" w:val="clear"/>
        </w:rPr>
        <w:t>on</w:t>
      </w:r>
      <w:r>
        <w:rPr>
          <w:color w:val="000000"/>
          <w:spacing w:val="-1"/>
          <w:shd w:fill="FEFE8B" w:color="auto" w:val="clear"/>
        </w:rPr>
        <w:t> </w:t>
      </w:r>
      <w:r>
        <w:rPr>
          <w:color w:val="000000"/>
          <w:shd w:fill="FEFE8B" w:color="auto" w:val="clear"/>
        </w:rPr>
        <w:t>“relatively</w:t>
      </w:r>
      <w:r>
        <w:rPr>
          <w:color w:val="000000"/>
          <w:spacing w:val="-4"/>
          <w:shd w:fill="FEFE8B" w:color="auto" w:val="clear"/>
        </w:rPr>
        <w:t> </w:t>
      </w:r>
      <w:r>
        <w:rPr>
          <w:color w:val="000000"/>
          <w:spacing w:val="-5"/>
          <w:shd w:fill="FEFE8B" w:color="auto" w:val="clear"/>
        </w:rPr>
        <w:t>low</w:t>
      </w:r>
      <w:r>
        <w:rPr>
          <w:color w:val="000000"/>
          <w:spacing w:val="80"/>
          <w:shd w:fill="FEFE8B" w:color="auto" w:val="clear"/>
        </w:rPr>
        <w:t> </w:t>
      </w:r>
    </w:p>
    <w:p>
      <w:pPr>
        <w:pStyle w:val="BodyText"/>
        <w:spacing w:line="276" w:lineRule="auto" w:before="52"/>
        <w:ind w:right="1909" w:hanging="40"/>
        <w:jc w:val="left"/>
      </w:pPr>
      <w:r>
        <w:rPr>
          <w:color w:val="000000"/>
          <w:spacing w:val="-26"/>
          <w:shd w:fill="FEFE8B" w:color="auto" w:val="clear"/>
        </w:rPr>
        <w:t> </w:t>
      </w:r>
      <w:r>
        <w:rPr>
          <w:color w:val="000000"/>
          <w:shd w:fill="FEFE8B" w:color="auto" w:val="clear"/>
        </w:rPr>
        <w:t>military</w:t>
      </w:r>
      <w:r>
        <w:rPr>
          <w:color w:val="000000"/>
          <w:spacing w:val="40"/>
          <w:shd w:fill="FEFE8B" w:color="auto" w:val="clear"/>
        </w:rPr>
        <w:t> </w:t>
      </w:r>
      <w:r>
        <w:rPr>
          <w:color w:val="000000"/>
          <w:shd w:fill="FEFE8B" w:color="auto" w:val="clear"/>
        </w:rPr>
        <w:t>spending,”</w:t>
      </w:r>
      <w:r>
        <w:rPr>
          <w:color w:val="000000"/>
          <w:spacing w:val="40"/>
          <w:shd w:fill="FEFE8B" w:color="auto" w:val="clear"/>
        </w:rPr>
        <w:t> </w:t>
      </w:r>
      <w:r>
        <w:rPr>
          <w:color w:val="000000"/>
          <w:shd w:fill="FEFE8B" w:color="auto" w:val="clear"/>
        </w:rPr>
        <w:t>because</w:t>
      </w:r>
      <w:r>
        <w:rPr>
          <w:color w:val="000000"/>
          <w:spacing w:val="40"/>
          <w:shd w:fill="FEFE8B" w:color="auto" w:val="clear"/>
        </w:rPr>
        <w:t> </w:t>
      </w:r>
      <w:r>
        <w:rPr>
          <w:color w:val="000000"/>
          <w:shd w:fill="FEFE8B" w:color="auto" w:val="clear"/>
        </w:rPr>
        <w:t>its</w:t>
      </w:r>
      <w:r>
        <w:rPr>
          <w:color w:val="000000"/>
          <w:spacing w:val="40"/>
          <w:shd w:fill="FEFE8B" w:color="auto" w:val="clear"/>
        </w:rPr>
        <w:t> </w:t>
      </w:r>
      <w:r>
        <w:rPr>
          <w:color w:val="000000"/>
          <w:shd w:fill="FEFE8B" w:color="auto" w:val="clear"/>
        </w:rPr>
        <w:t>security</w:t>
      </w:r>
      <w:r>
        <w:rPr>
          <w:color w:val="000000"/>
          <w:spacing w:val="40"/>
          <w:shd w:fill="FEFE8B" w:color="auto" w:val="clear"/>
        </w:rPr>
        <w:t> </w:t>
      </w:r>
      <w:r>
        <w:rPr>
          <w:color w:val="000000"/>
          <w:shd w:fill="FEFE8B" w:color="auto" w:val="clear"/>
        </w:rPr>
        <w:t>was</w:t>
      </w:r>
      <w:r>
        <w:rPr>
          <w:color w:val="000000"/>
          <w:spacing w:val="40"/>
          <w:shd w:fill="FEFE8B" w:color="auto" w:val="clear"/>
        </w:rPr>
        <w:t> </w:t>
      </w:r>
      <w:r>
        <w:rPr>
          <w:color w:val="000000"/>
          <w:shd w:fill="FEFE8B" w:color="auto" w:val="clear"/>
        </w:rPr>
        <w:t>in</w:t>
      </w:r>
      <w:r>
        <w:rPr>
          <w:color w:val="000000"/>
          <w:spacing w:val="40"/>
          <w:shd w:fill="FEFE8B" w:color="auto" w:val="clear"/>
        </w:rPr>
        <w:t> </w:t>
      </w:r>
      <w:r>
        <w:rPr>
          <w:color w:val="000000"/>
          <w:shd w:fill="FEFE8B" w:color="auto" w:val="clear"/>
        </w:rPr>
        <w:t>hands</w:t>
      </w:r>
      <w:r>
        <w:rPr>
          <w:color w:val="000000"/>
          <w:spacing w:val="40"/>
          <w:shd w:fill="FEFE8B" w:color="auto" w:val="clear"/>
        </w:rPr>
        <w:t> </w:t>
      </w:r>
      <w:r>
        <w:rPr>
          <w:color w:val="000000"/>
          <w:shd w:fill="FEFE8B" w:color="auto" w:val="clear"/>
        </w:rPr>
        <w:t>of</w:t>
      </w:r>
      <w:r>
        <w:rPr>
          <w:color w:val="000000"/>
          <w:spacing w:val="40"/>
          <w:shd w:fill="FEFE8B" w:color="auto" w:val="clear"/>
        </w:rPr>
        <w:t> </w:t>
      </w:r>
      <w:r>
        <w:rPr>
          <w:color w:val="000000"/>
          <w:shd w:fill="FEFE8B" w:color="auto" w:val="clear"/>
        </w:rPr>
        <w:t>“the</w:t>
      </w:r>
      <w:r>
        <w:rPr>
          <w:color w:val="000000"/>
          <w:spacing w:val="40"/>
          <w:shd w:fill="FEFE8B" w:color="auto" w:val="clear"/>
        </w:rPr>
        <w:t> </w:t>
      </w:r>
      <w:r>
        <w:rPr>
          <w:color w:val="000000"/>
          <w:shd w:fill="FEFE8B" w:color="auto" w:val="clear"/>
        </w:rPr>
        <w:t>NATO</w:t>
      </w:r>
      <w:r>
        <w:rPr>
          <w:color w:val="000000"/>
          <w:spacing w:val="80"/>
          <w:shd w:fill="FEFE8B" w:color="auto" w:val="clear"/>
        </w:rPr>
        <w:t> </w:t>
      </w:r>
      <w:r>
        <w:rPr>
          <w:color w:val="000000"/>
          <w:shd w:fill="FEFE8B" w:color="auto" w:val="clear"/>
        </w:rPr>
        <w:t>–</w:t>
      </w:r>
      <w:r>
        <w:rPr>
          <w:color w:val="000000"/>
          <w:spacing w:val="40"/>
          <w:shd w:fill="FEFE8B" w:color="auto" w:val="clear"/>
        </w:rPr>
        <w:t> </w:t>
      </w:r>
      <w:r>
        <w:rPr>
          <w:color w:val="000000"/>
          <w:spacing w:val="40"/>
        </w:rPr>
        <w:t> </w:t>
      </w:r>
      <w:r>
        <w:rPr>
          <w:color w:val="000000"/>
          <w:shd w:fill="FEFE8B" w:color="auto" w:val="clear"/>
        </w:rPr>
        <w:t>meaning the US.” </w:t>
      </w:r>
      <w:r>
        <w:rPr>
          <w:color w:val="000000"/>
        </w:rPr>
        <w:t>(</w:t>
      </w:r>
      <w:hyperlink w:history="true" w:anchor="_bookmark410">
        <w:r>
          <w:rPr>
            <w:color w:val="000000"/>
          </w:rPr>
          <w:t>Toje, 2008, p. 25</w:t>
        </w:r>
      </w:hyperlink>
      <w:r>
        <w:rPr>
          <w:color w:val="000000"/>
        </w:rPr>
        <w:t>) The major event was dissmanteling of the Soviet Union.</w:t>
      </w:r>
    </w:p>
    <w:p>
      <w:pPr>
        <w:pStyle w:val="BodyText"/>
        <w:spacing w:line="276" w:lineRule="auto"/>
        <w:ind w:right="1908" w:firstLine="787"/>
      </w:pPr>
      <w:r>
        <w:rPr/>
        <w:t>For several years since the Cold War ended, the ‘end of history’ thesis had been dominating in the Western political circles. Democratic peace theory gained the strength. The market-oriented liberal world had acknowledged the</w:t>
      </w:r>
      <w:r>
        <w:rPr>
          <w:spacing w:val="-2"/>
        </w:rPr>
        <w:t> </w:t>
      </w:r>
      <w:r>
        <w:rPr/>
        <w:t>fact</w:t>
      </w:r>
      <w:r>
        <w:rPr>
          <w:spacing w:val="-2"/>
        </w:rPr>
        <w:t> </w:t>
      </w:r>
      <w:r>
        <w:rPr/>
        <w:t>that</w:t>
      </w:r>
      <w:r>
        <w:rPr>
          <w:spacing w:val="-2"/>
        </w:rPr>
        <w:t> </w:t>
      </w:r>
      <w:r>
        <w:rPr/>
        <w:t>the</w:t>
      </w:r>
      <w:r>
        <w:rPr>
          <w:spacing w:val="-2"/>
        </w:rPr>
        <w:t> </w:t>
      </w:r>
      <w:r>
        <w:rPr/>
        <w:t>military</w:t>
      </w:r>
      <w:r>
        <w:rPr>
          <w:spacing w:val="-2"/>
        </w:rPr>
        <w:t> </w:t>
      </w:r>
      <w:r>
        <w:rPr/>
        <w:t>instruments</w:t>
      </w:r>
      <w:r>
        <w:rPr>
          <w:spacing w:val="-4"/>
        </w:rPr>
        <w:t> </w:t>
      </w:r>
      <w:r>
        <w:rPr/>
        <w:t>could be substituted by more effective economic mechanisms of international relations. (</w:t>
      </w:r>
      <w:hyperlink w:history="true" w:anchor="_bookmark122">
        <w:r>
          <w:rPr/>
          <w:t>Buzan &amp;</w:t>
        </w:r>
      </w:hyperlink>
      <w:r>
        <w:rPr/>
        <w:t> </w:t>
      </w:r>
      <w:hyperlink w:history="true" w:anchor="_bookmark122">
        <w:r>
          <w:rPr/>
          <w:t>Hansen, 2007, p. 6</w:t>
        </w:r>
      </w:hyperlink>
      <w:r>
        <w:rPr/>
        <w:t>) The former communist states were going through the democratic transitions. The Eastern European states were eager to rejoice with the Western liberal ideals. It was obvious that the European Union could use a soft power to attract former communist states. The community was acquiring a status of the Civilian Power.</w:t>
      </w:r>
    </w:p>
    <w:p>
      <w:pPr>
        <w:pStyle w:val="BodyText"/>
        <w:spacing w:line="276" w:lineRule="auto"/>
        <w:ind w:right="1920" w:firstLine="720"/>
      </w:pPr>
      <w:r>
        <w:rPr/>
        <w:t>However, as soon as the first military tensions appeared, the officials in Brussels started acknowledging that a basic military coordination was necessary to be ready for the unforseen challenges.</w:t>
      </w:r>
    </w:p>
    <w:p>
      <w:pPr>
        <w:pStyle w:val="BodyText"/>
        <w:spacing w:line="273" w:lineRule="auto"/>
        <w:ind w:right="1903" w:firstLine="787"/>
      </w:pPr>
      <w:r>
        <w:rPr/>
        <w:t>Simultaneously, the NATO was facing an organizational challenge. Primarily, as the USSR was no longer a threat, the signatory states had to revisit the purpose of the initial treaty. (</w:t>
      </w:r>
      <w:hyperlink w:history="true" w:anchor="_bookmark298">
        <w:r>
          <w:rPr/>
          <w:t>Moon, 2013, p. 19</w:t>
        </w:r>
      </w:hyperlink>
      <w:r>
        <w:rPr/>
        <w:t>) Secondly, the alliance had to deal with the uncertainties introduced by the new, post- communist world. (</w:t>
      </w:r>
      <w:hyperlink w:history="true" w:anchor="_bookmark91">
        <w:r>
          <w:rPr/>
          <w:t>Behnke, 2013, p. 80</w:t>
        </w:r>
      </w:hyperlink>
      <w:r>
        <w:rPr/>
        <w:t>) “</w:t>
      </w:r>
      <w:r>
        <w:rPr>
          <w:sz w:val="27"/>
        </w:rPr>
        <w:t>monolithic </w:t>
      </w:r>
      <w:r>
        <w:rPr/>
        <w:t>security problem was quickly</w:t>
      </w:r>
      <w:r>
        <w:rPr>
          <w:spacing w:val="-4"/>
        </w:rPr>
        <w:t> </w:t>
      </w:r>
      <w:r>
        <w:rPr/>
        <w:t>replaced</w:t>
      </w:r>
      <w:r>
        <w:rPr>
          <w:spacing w:val="-2"/>
        </w:rPr>
        <w:t> </w:t>
      </w:r>
      <w:r>
        <w:rPr/>
        <w:t>by many</w:t>
      </w:r>
      <w:r>
        <w:rPr>
          <w:spacing w:val="-4"/>
        </w:rPr>
        <w:t> </w:t>
      </w:r>
      <w:r>
        <w:rPr/>
        <w:t>smaller</w:t>
      </w:r>
      <w:r>
        <w:rPr>
          <w:spacing w:val="-3"/>
        </w:rPr>
        <w:t> </w:t>
      </w:r>
      <w:r>
        <w:rPr/>
        <w:t>security</w:t>
      </w:r>
      <w:r>
        <w:rPr>
          <w:spacing w:val="-4"/>
        </w:rPr>
        <w:t> </w:t>
      </w:r>
      <w:r>
        <w:rPr/>
        <w:t>problems in</w:t>
      </w:r>
      <w:r>
        <w:rPr>
          <w:spacing w:val="-3"/>
        </w:rPr>
        <w:t> </w:t>
      </w:r>
      <w:r>
        <w:rPr/>
        <w:t>and</w:t>
      </w:r>
      <w:r>
        <w:rPr>
          <w:spacing w:val="-2"/>
        </w:rPr>
        <w:t> </w:t>
      </w:r>
      <w:r>
        <w:rPr/>
        <w:t>around</w:t>
      </w:r>
      <w:r>
        <w:rPr>
          <w:spacing w:val="-2"/>
        </w:rPr>
        <w:t> </w:t>
      </w:r>
      <w:r>
        <w:rPr/>
        <w:t>Europe.” (</w:t>
      </w:r>
      <w:hyperlink w:history="true" w:anchor="_bookmark235">
        <w:r>
          <w:rPr/>
          <w:t>Jones, 1999, p. 2</w:t>
        </w:r>
      </w:hyperlink>
      <w:r>
        <w:rPr/>
        <w:t>)</w:t>
      </w:r>
    </w:p>
    <w:p>
      <w:pPr>
        <w:pStyle w:val="BodyText"/>
        <w:spacing w:line="276" w:lineRule="auto" w:before="13"/>
        <w:ind w:right="1902" w:firstLine="720"/>
      </w:pPr>
      <w:r>
        <w:rPr/>
        <w:t>After the period of uncertainty the EU and the NATO started a process for finding the ways of establishing the efficient links between the organizations. This was not the easiest task, as the European Union undertook</w:t>
      </w:r>
      <w:r>
        <w:rPr>
          <w:spacing w:val="-2"/>
        </w:rPr>
        <w:t> </w:t>
      </w:r>
      <w:r>
        <w:rPr/>
        <w:t>a</w:t>
      </w:r>
      <w:r>
        <w:rPr>
          <w:spacing w:val="-3"/>
        </w:rPr>
        <w:t> </w:t>
      </w:r>
      <w:r>
        <w:rPr/>
        <w:t>major</w:t>
      </w:r>
      <w:r>
        <w:rPr>
          <w:spacing w:val="-2"/>
        </w:rPr>
        <w:t> </w:t>
      </w:r>
      <w:r>
        <w:rPr/>
        <w:t>change</w:t>
      </w:r>
      <w:r>
        <w:rPr>
          <w:spacing w:val="-3"/>
        </w:rPr>
        <w:t> </w:t>
      </w:r>
      <w:r>
        <w:rPr/>
        <w:t>by</w:t>
      </w:r>
      <w:r>
        <w:rPr>
          <w:spacing w:val="-3"/>
        </w:rPr>
        <w:t> </w:t>
      </w:r>
      <w:r>
        <w:rPr/>
        <w:t>introducing a new</w:t>
      </w:r>
      <w:r>
        <w:rPr>
          <w:spacing w:val="-2"/>
        </w:rPr>
        <w:t> </w:t>
      </w:r>
      <w:r>
        <w:rPr/>
        <w:t>framework for</w:t>
      </w:r>
      <w:r>
        <w:rPr>
          <w:spacing w:val="-2"/>
        </w:rPr>
        <w:t> </w:t>
      </w:r>
      <w:r>
        <w:rPr/>
        <w:t>the</w:t>
      </w:r>
      <w:r>
        <w:rPr>
          <w:spacing w:val="-3"/>
        </w:rPr>
        <w:t> </w:t>
      </w:r>
      <w:r>
        <w:rPr/>
        <w:t>external </w:t>
      </w:r>
      <w:r>
        <w:rPr>
          <w:spacing w:val="-2"/>
        </w:rPr>
        <w:t>relations.</w:t>
      </w:r>
    </w:p>
    <w:p>
      <w:pPr>
        <w:pStyle w:val="BodyText"/>
        <w:spacing w:line="276" w:lineRule="auto"/>
        <w:ind w:right="1902" w:firstLine="720"/>
      </w:pPr>
      <w:r>
        <w:rPr/>
        <w:t>After the Maastricht Treaty the European Political Cooperation was replaced</w:t>
      </w:r>
      <w:r>
        <w:rPr>
          <w:spacing w:val="19"/>
        </w:rPr>
        <w:t> </w:t>
      </w:r>
      <w:r>
        <w:rPr/>
        <w:t>with</w:t>
      </w:r>
      <w:r>
        <w:rPr>
          <w:spacing w:val="19"/>
        </w:rPr>
        <w:t> </w:t>
      </w:r>
      <w:r>
        <w:rPr/>
        <w:t>common</w:t>
      </w:r>
      <w:r>
        <w:rPr>
          <w:spacing w:val="19"/>
        </w:rPr>
        <w:t> </w:t>
      </w:r>
      <w:r>
        <w:rPr/>
        <w:t>foreign</w:t>
      </w:r>
      <w:r>
        <w:rPr>
          <w:spacing w:val="19"/>
        </w:rPr>
        <w:t> </w:t>
      </w:r>
      <w:r>
        <w:rPr/>
        <w:t>and</w:t>
      </w:r>
      <w:r>
        <w:rPr>
          <w:spacing w:val="19"/>
        </w:rPr>
        <w:t> </w:t>
      </w:r>
      <w:r>
        <w:rPr/>
        <w:t>security</w:t>
      </w:r>
      <w:r>
        <w:rPr>
          <w:spacing w:val="18"/>
        </w:rPr>
        <w:t> </w:t>
      </w:r>
      <w:r>
        <w:rPr/>
        <w:t>policy.</w:t>
      </w:r>
      <w:r>
        <w:rPr>
          <w:spacing w:val="20"/>
        </w:rPr>
        <w:t> </w:t>
      </w:r>
      <w:r>
        <w:rPr/>
        <w:t>(1992)</w:t>
      </w:r>
      <w:r>
        <w:rPr>
          <w:spacing w:val="71"/>
          <w:w w:val="150"/>
        </w:rPr>
        <w:t> </w:t>
      </w:r>
      <w:r>
        <w:rPr/>
        <w:t>The</w:t>
      </w:r>
      <w:r>
        <w:rPr>
          <w:spacing w:val="20"/>
        </w:rPr>
        <w:t> </w:t>
      </w:r>
      <w:r>
        <w:rPr/>
        <w:t>same</w:t>
      </w:r>
      <w:r>
        <w:rPr>
          <w:spacing w:val="18"/>
        </w:rPr>
        <w:t> </w:t>
      </w:r>
      <w:r>
        <w:rPr>
          <w:spacing w:val="-4"/>
        </w:rPr>
        <w:t>year</w:t>
      </w:r>
    </w:p>
    <w:p>
      <w:pPr>
        <w:pStyle w:val="BodyText"/>
        <w:spacing w:after="0" w:line="276" w:lineRule="auto"/>
        <w:sectPr>
          <w:pgSz w:w="12240" w:h="15840"/>
          <w:pgMar w:header="1046" w:footer="0" w:top="1360" w:bottom="280" w:left="720" w:right="360"/>
        </w:sectPr>
      </w:pPr>
    </w:p>
    <w:p>
      <w:pPr>
        <w:pStyle w:val="BodyText"/>
        <w:spacing w:line="273" w:lineRule="auto" w:before="266"/>
        <w:ind w:right="1808"/>
      </w:pPr>
      <w:r>
        <w:rPr>
          <w:sz w:val="27"/>
        </w:rPr>
        <w:t>Petersberg Declaration </w:t>
      </w:r>
      <w:r>
        <w:rPr/>
        <w:t>was approved and the WEU acquired a capacity to get involved in humanitarian, peacekeeping and crisis management operations.</w:t>
      </w:r>
      <w:r>
        <w:rPr>
          <w:spacing w:val="-36"/>
        </w:rPr>
        <w:t> </w:t>
      </w:r>
      <w:r>
        <w:rPr>
          <w:color w:val="000000"/>
          <w:spacing w:val="-26"/>
          <w:shd w:fill="FEFE8B" w:color="auto" w:val="clear"/>
        </w:rPr>
        <w:t> </w:t>
      </w:r>
      <w:r>
        <w:rPr>
          <w:color w:val="000000"/>
          <w:shd w:fill="FEFE8B" w:color="auto" w:val="clear"/>
        </w:rPr>
        <w:t>In</w:t>
      </w:r>
      <w:r>
        <w:rPr>
          <w:color w:val="000000"/>
          <w:spacing w:val="-8"/>
          <w:shd w:fill="FEFE8B" w:color="auto" w:val="clear"/>
        </w:rPr>
        <w:t> </w:t>
      </w:r>
      <w:r>
        <w:rPr>
          <w:color w:val="000000"/>
          <w:shd w:fill="FEFE8B" w:color="auto" w:val="clear"/>
        </w:rPr>
        <w:t>1994</w:t>
      </w:r>
      <w:r>
        <w:rPr>
          <w:color w:val="000000"/>
          <w:spacing w:val="-4"/>
          <w:shd w:fill="FEFE8B" w:color="auto" w:val="clear"/>
        </w:rPr>
        <w:t> </w:t>
      </w:r>
      <w:r>
        <w:rPr>
          <w:color w:val="000000"/>
          <w:shd w:fill="FEFE8B" w:color="auto" w:val="clear"/>
        </w:rPr>
        <w:t>the</w:t>
      </w:r>
      <w:r>
        <w:rPr>
          <w:color w:val="000000"/>
          <w:spacing w:val="-4"/>
          <w:shd w:fill="FEFE8B" w:color="auto" w:val="clear"/>
        </w:rPr>
        <w:t> </w:t>
      </w:r>
      <w:r>
        <w:rPr>
          <w:color w:val="000000"/>
          <w:shd w:fill="FEFE8B" w:color="auto" w:val="clear"/>
        </w:rPr>
        <w:t>NATO</w:t>
      </w:r>
      <w:r>
        <w:rPr>
          <w:color w:val="000000"/>
          <w:spacing w:val="-3"/>
          <w:shd w:fill="FEFE8B" w:color="auto" w:val="clear"/>
        </w:rPr>
        <w:t> </w:t>
      </w:r>
      <w:r>
        <w:rPr>
          <w:color w:val="000000"/>
          <w:shd w:fill="FEFE8B" w:color="auto" w:val="clear"/>
        </w:rPr>
        <w:t>summit</w:t>
      </w:r>
      <w:r>
        <w:rPr>
          <w:color w:val="000000"/>
          <w:spacing w:val="-4"/>
          <w:shd w:fill="FEFE8B" w:color="auto" w:val="clear"/>
        </w:rPr>
        <w:t> </w:t>
      </w:r>
      <w:r>
        <w:rPr>
          <w:color w:val="000000"/>
          <w:shd w:fill="FEFE8B" w:color="auto" w:val="clear"/>
        </w:rPr>
        <w:t>agreed</w:t>
      </w:r>
      <w:r>
        <w:rPr>
          <w:color w:val="000000"/>
          <w:spacing w:val="-1"/>
          <w:shd w:fill="FEFE8B" w:color="auto" w:val="clear"/>
        </w:rPr>
        <w:t> </w:t>
      </w:r>
      <w:r>
        <w:rPr>
          <w:color w:val="000000"/>
          <w:shd w:fill="FEFE8B" w:color="auto" w:val="clear"/>
        </w:rPr>
        <w:t>to</w:t>
      </w:r>
      <w:r>
        <w:rPr>
          <w:color w:val="000000"/>
          <w:spacing w:val="-6"/>
          <w:shd w:fill="FEFE8B" w:color="auto" w:val="clear"/>
        </w:rPr>
        <w:t> </w:t>
      </w:r>
      <w:r>
        <w:rPr>
          <w:color w:val="000000"/>
          <w:shd w:fill="FEFE8B" w:color="auto" w:val="clear"/>
        </w:rPr>
        <w:t>provide</w:t>
      </w:r>
      <w:r>
        <w:rPr>
          <w:color w:val="000000"/>
          <w:spacing w:val="-4"/>
          <w:shd w:fill="FEFE8B" w:color="auto" w:val="clear"/>
        </w:rPr>
        <w:t> </w:t>
      </w:r>
      <w:r>
        <w:rPr>
          <w:color w:val="000000"/>
          <w:shd w:fill="FEFE8B" w:color="auto" w:val="clear"/>
        </w:rPr>
        <w:t>the</w:t>
      </w:r>
      <w:r>
        <w:rPr>
          <w:color w:val="000000"/>
          <w:spacing w:val="-3"/>
          <w:shd w:fill="FEFE8B" w:color="auto" w:val="clear"/>
        </w:rPr>
        <w:t> </w:t>
      </w:r>
      <w:r>
        <w:rPr>
          <w:color w:val="000000"/>
          <w:shd w:fill="FEFE8B" w:color="auto" w:val="clear"/>
        </w:rPr>
        <w:t>WEU</w:t>
      </w:r>
      <w:r>
        <w:rPr>
          <w:color w:val="000000"/>
          <w:spacing w:val="-4"/>
          <w:shd w:fill="FEFE8B" w:color="auto" w:val="clear"/>
        </w:rPr>
        <w:t> </w:t>
      </w:r>
      <w:r>
        <w:rPr>
          <w:color w:val="000000"/>
          <w:shd w:fill="FEFE8B" w:color="auto" w:val="clear"/>
        </w:rPr>
        <w:t>with</w:t>
      </w:r>
      <w:r>
        <w:rPr>
          <w:color w:val="000000"/>
          <w:spacing w:val="-3"/>
          <w:shd w:fill="FEFE8B" w:color="auto" w:val="clear"/>
        </w:rPr>
        <w:t> </w:t>
      </w:r>
      <w:r>
        <w:rPr>
          <w:color w:val="000000"/>
          <w:spacing w:val="-5"/>
          <w:shd w:fill="FEFE8B" w:color="auto" w:val="clear"/>
        </w:rPr>
        <w:t>the</w:t>
      </w:r>
      <w:r>
        <w:rPr>
          <w:color w:val="000000"/>
          <w:spacing w:val="80"/>
          <w:shd w:fill="FEFE8B" w:color="auto" w:val="clear"/>
        </w:rPr>
        <w:t> </w:t>
      </w:r>
    </w:p>
    <w:p>
      <w:pPr>
        <w:pStyle w:val="BodyText"/>
        <w:spacing w:before="13"/>
        <w:ind w:left="0"/>
        <w:jc w:val="left"/>
        <w:rPr>
          <w:sz w:val="3"/>
        </w:rPr>
      </w:pPr>
      <w:r>
        <w:rPr>
          <w:sz w:val="3"/>
        </w:rPr>
        <mc:AlternateContent>
          <mc:Choice Requires="wps">
            <w:drawing>
              <wp:anchor distT="0" distB="0" distL="0" distR="0" allowOverlap="1" layoutInCell="1" locked="0" behindDoc="1" simplePos="0" relativeHeight="487672320">
                <wp:simplePos x="0" y="0"/>
                <wp:positionH relativeFrom="page">
                  <wp:posOffset>1053896</wp:posOffset>
                </wp:positionH>
                <wp:positionV relativeFrom="paragraph">
                  <wp:posOffset>48585</wp:posOffset>
                </wp:positionV>
                <wp:extent cx="5326380" cy="167640"/>
                <wp:effectExtent l="0" t="0" r="0" b="0"/>
                <wp:wrapTopAndBottom/>
                <wp:docPr id="203" name="Group 203"/>
                <wp:cNvGraphicFramePr>
                  <a:graphicFrameLocks/>
                </wp:cNvGraphicFramePr>
                <a:graphic>
                  <a:graphicData uri="http://schemas.microsoft.com/office/word/2010/wordprocessingGroup">
                    <wpg:wgp>
                      <wpg:cNvPr id="203" name="Group 203"/>
                      <wpg:cNvGrpSpPr/>
                      <wpg:grpSpPr>
                        <a:xfrm>
                          <a:off x="0" y="0"/>
                          <a:ext cx="5326380" cy="167640"/>
                          <a:chExt cx="5326380" cy="167640"/>
                        </a:xfrm>
                      </wpg:grpSpPr>
                      <wps:wsp>
                        <wps:cNvPr id="204" name="Graphic 204"/>
                        <wps:cNvSpPr/>
                        <wps:spPr>
                          <a:xfrm>
                            <a:off x="0" y="0"/>
                            <a:ext cx="5326380" cy="167640"/>
                          </a:xfrm>
                          <a:custGeom>
                            <a:avLst/>
                            <a:gdLst/>
                            <a:ahLst/>
                            <a:cxnLst/>
                            <a:rect l="l" t="t" r="r" b="b"/>
                            <a:pathLst>
                              <a:path w="5326380" h="167640">
                                <a:moveTo>
                                  <a:pt x="5326304" y="102146"/>
                                </a:moveTo>
                                <a:lnTo>
                                  <a:pt x="5294236" y="5956"/>
                                </a:lnTo>
                                <a:lnTo>
                                  <a:pt x="5192115" y="5956"/>
                                </a:lnTo>
                                <a:lnTo>
                                  <a:pt x="5190134" y="0"/>
                                </a:lnTo>
                                <a:lnTo>
                                  <a:pt x="0" y="0"/>
                                </a:lnTo>
                                <a:lnTo>
                                  <a:pt x="0" y="167563"/>
                                </a:lnTo>
                                <a:lnTo>
                                  <a:pt x="2610561" y="167563"/>
                                </a:lnTo>
                                <a:lnTo>
                                  <a:pt x="2610561" y="130073"/>
                                </a:lnTo>
                                <a:lnTo>
                                  <a:pt x="2623058" y="167563"/>
                                </a:lnTo>
                                <a:lnTo>
                                  <a:pt x="4632579" y="167563"/>
                                </a:lnTo>
                                <a:lnTo>
                                  <a:pt x="4680890" y="167563"/>
                                </a:lnTo>
                                <a:lnTo>
                                  <a:pt x="5245989" y="167563"/>
                                </a:lnTo>
                                <a:lnTo>
                                  <a:pt x="5224183" y="102146"/>
                                </a:lnTo>
                                <a:lnTo>
                                  <a:pt x="5326304" y="102146"/>
                                </a:lnTo>
                                <a:close/>
                              </a:path>
                            </a:pathLst>
                          </a:custGeom>
                          <a:solidFill>
                            <a:srgbClr val="FFFF3F">
                              <a:alpha val="59999"/>
                            </a:srgbClr>
                          </a:solidFill>
                        </wps:spPr>
                        <wps:bodyPr wrap="square" lIns="0" tIns="0" rIns="0" bIns="0" rtlCol="0">
                          <a:prstTxWarp prst="textNoShape">
                            <a:avLst/>
                          </a:prstTxWarp>
                          <a:noAutofit/>
                        </wps:bodyPr>
                      </wps:wsp>
                      <wps:wsp>
                        <wps:cNvPr id="205" name="Textbox 205"/>
                        <wps:cNvSpPr txBox="1"/>
                        <wps:spPr>
                          <a:xfrm>
                            <a:off x="0" y="0"/>
                            <a:ext cx="5326380" cy="167640"/>
                          </a:xfrm>
                          <a:prstGeom prst="rect">
                            <a:avLst/>
                          </a:prstGeom>
                        </wps:spPr>
                        <wps:txbx>
                          <w:txbxContent>
                            <w:p>
                              <w:pPr>
                                <w:spacing w:line="264" w:lineRule="exact" w:before="0"/>
                                <w:ind w:left="40" w:right="0" w:firstLine="0"/>
                                <w:jc w:val="left"/>
                                <w:rPr>
                                  <w:position w:val="7"/>
                                  <w:sz w:val="15"/>
                                </w:rPr>
                              </w:pPr>
                              <w:r>
                                <w:rPr>
                                  <w:sz w:val="26"/>
                                </w:rPr>
                                <w:t>assets</w:t>
                              </w:r>
                              <w:r>
                                <w:rPr>
                                  <w:spacing w:val="19"/>
                                  <w:sz w:val="26"/>
                                </w:rPr>
                                <w:t> </w:t>
                              </w:r>
                              <w:r>
                                <w:rPr>
                                  <w:sz w:val="26"/>
                                </w:rPr>
                                <w:t>and</w:t>
                              </w:r>
                              <w:r>
                                <w:rPr>
                                  <w:spacing w:val="24"/>
                                  <w:sz w:val="26"/>
                                </w:rPr>
                                <w:t> </w:t>
                              </w:r>
                              <w:r>
                                <w:rPr>
                                  <w:sz w:val="26"/>
                                </w:rPr>
                                <w:t>endorsed</w:t>
                              </w:r>
                              <w:r>
                                <w:rPr>
                                  <w:spacing w:val="22"/>
                                  <w:sz w:val="26"/>
                                </w:rPr>
                                <w:t> </w:t>
                              </w:r>
                              <w:r>
                                <w:rPr>
                                  <w:sz w:val="26"/>
                                </w:rPr>
                                <w:t>the</w:t>
                              </w:r>
                              <w:r>
                                <w:rPr>
                                  <w:spacing w:val="22"/>
                                  <w:sz w:val="26"/>
                                </w:rPr>
                                <w:t> </w:t>
                              </w:r>
                              <w:r>
                                <w:rPr>
                                  <w:sz w:val="26"/>
                                </w:rPr>
                                <w:t>idea</w:t>
                              </w:r>
                              <w:r>
                                <w:rPr>
                                  <w:spacing w:val="25"/>
                                  <w:sz w:val="26"/>
                                </w:rPr>
                                <w:t> </w:t>
                              </w:r>
                              <w:r>
                                <w:rPr>
                                  <w:sz w:val="26"/>
                                </w:rPr>
                                <w:t>of</w:t>
                              </w:r>
                              <w:r>
                                <w:rPr>
                                  <w:spacing w:val="20"/>
                                  <w:sz w:val="26"/>
                                </w:rPr>
                                <w:t> </w:t>
                              </w:r>
                              <w:r>
                                <w:rPr>
                                  <w:sz w:val="26"/>
                                </w:rPr>
                                <w:t>the</w:t>
                              </w:r>
                              <w:r>
                                <w:rPr>
                                  <w:spacing w:val="27"/>
                                  <w:sz w:val="26"/>
                                </w:rPr>
                                <w:t> </w:t>
                              </w:r>
                              <w:r>
                                <w:rPr>
                                  <w:sz w:val="27"/>
                                </w:rPr>
                                <w:t>Combined</w:t>
                              </w:r>
                              <w:r>
                                <w:rPr>
                                  <w:spacing w:val="20"/>
                                  <w:sz w:val="27"/>
                                </w:rPr>
                                <w:t> </w:t>
                              </w:r>
                              <w:r>
                                <w:rPr>
                                  <w:sz w:val="27"/>
                                </w:rPr>
                                <w:t>Joint</w:t>
                              </w:r>
                              <w:r>
                                <w:rPr>
                                  <w:spacing w:val="18"/>
                                  <w:sz w:val="27"/>
                                </w:rPr>
                                <w:t> </w:t>
                              </w:r>
                              <w:r>
                                <w:rPr>
                                  <w:sz w:val="27"/>
                                </w:rPr>
                                <w:t>Task</w:t>
                              </w:r>
                              <w:r>
                                <w:rPr>
                                  <w:spacing w:val="20"/>
                                  <w:sz w:val="27"/>
                                </w:rPr>
                                <w:t> </w:t>
                              </w:r>
                              <w:r>
                                <w:rPr>
                                  <w:sz w:val="27"/>
                                </w:rPr>
                                <w:t>Forces</w:t>
                              </w:r>
                              <w:r>
                                <w:rPr>
                                  <w:spacing w:val="21"/>
                                  <w:sz w:val="27"/>
                                </w:rPr>
                                <w:t> </w:t>
                              </w:r>
                              <w:r>
                                <w:rPr>
                                  <w:spacing w:val="-2"/>
                                  <w:sz w:val="27"/>
                                </w:rPr>
                                <w:t>(CJTF).</w:t>
                              </w:r>
                              <w:r>
                                <w:rPr>
                                  <w:spacing w:val="-2"/>
                                  <w:position w:val="7"/>
                                  <w:sz w:val="15"/>
                                </w:rPr>
                                <w:t>47</w:t>
                              </w:r>
                            </w:p>
                          </w:txbxContent>
                        </wps:txbx>
                        <wps:bodyPr wrap="square" lIns="0" tIns="0" rIns="0" bIns="0" rtlCol="0">
                          <a:noAutofit/>
                        </wps:bodyPr>
                      </wps:wsp>
                    </wpg:wgp>
                  </a:graphicData>
                </a:graphic>
              </wp:anchor>
            </w:drawing>
          </mc:Choice>
          <mc:Fallback>
            <w:pict>
              <v:group style="position:absolute;margin-left:82.984001pt;margin-top:3.825661pt;width:419.4pt;height:13.2pt;mso-position-horizontal-relative:page;mso-position-vertical-relative:paragraph;z-index:-15644160;mso-wrap-distance-left:0;mso-wrap-distance-right:0" id="docshapegroup190" coordorigin="1660,77" coordsize="8388,264">
                <v:shape style="position:absolute;left:1659;top:76;width:8388;height:264" id="docshape191" coordorigin="1660,77" coordsize="8388,264" path="m10048,237l9997,86,9836,86,9833,77,1660,77,1660,340,5771,340,5771,281,5790,340,8955,340,9031,340,9921,340,9887,237,10048,237xe" filled="true" fillcolor="#ffff3f" stroked="false">
                  <v:path arrowok="t"/>
                  <v:fill opacity="39321f" type="solid"/>
                </v:shape>
                <v:shape style="position:absolute;left:1659;top:76;width:8388;height:264" type="#_x0000_t202" id="docshape192" filled="false" stroked="false">
                  <v:textbox inset="0,0,0,0">
                    <w:txbxContent>
                      <w:p>
                        <w:pPr>
                          <w:spacing w:line="264" w:lineRule="exact" w:before="0"/>
                          <w:ind w:left="40" w:right="0" w:firstLine="0"/>
                          <w:jc w:val="left"/>
                          <w:rPr>
                            <w:position w:val="7"/>
                            <w:sz w:val="15"/>
                          </w:rPr>
                        </w:pPr>
                        <w:r>
                          <w:rPr>
                            <w:sz w:val="26"/>
                          </w:rPr>
                          <w:t>assets</w:t>
                        </w:r>
                        <w:r>
                          <w:rPr>
                            <w:spacing w:val="19"/>
                            <w:sz w:val="26"/>
                          </w:rPr>
                          <w:t> </w:t>
                        </w:r>
                        <w:r>
                          <w:rPr>
                            <w:sz w:val="26"/>
                          </w:rPr>
                          <w:t>and</w:t>
                        </w:r>
                        <w:r>
                          <w:rPr>
                            <w:spacing w:val="24"/>
                            <w:sz w:val="26"/>
                          </w:rPr>
                          <w:t> </w:t>
                        </w:r>
                        <w:r>
                          <w:rPr>
                            <w:sz w:val="26"/>
                          </w:rPr>
                          <w:t>endorsed</w:t>
                        </w:r>
                        <w:r>
                          <w:rPr>
                            <w:spacing w:val="22"/>
                            <w:sz w:val="26"/>
                          </w:rPr>
                          <w:t> </w:t>
                        </w:r>
                        <w:r>
                          <w:rPr>
                            <w:sz w:val="26"/>
                          </w:rPr>
                          <w:t>the</w:t>
                        </w:r>
                        <w:r>
                          <w:rPr>
                            <w:spacing w:val="22"/>
                            <w:sz w:val="26"/>
                          </w:rPr>
                          <w:t> </w:t>
                        </w:r>
                        <w:r>
                          <w:rPr>
                            <w:sz w:val="26"/>
                          </w:rPr>
                          <w:t>idea</w:t>
                        </w:r>
                        <w:r>
                          <w:rPr>
                            <w:spacing w:val="25"/>
                            <w:sz w:val="26"/>
                          </w:rPr>
                          <w:t> </w:t>
                        </w:r>
                        <w:r>
                          <w:rPr>
                            <w:sz w:val="26"/>
                          </w:rPr>
                          <w:t>of</w:t>
                        </w:r>
                        <w:r>
                          <w:rPr>
                            <w:spacing w:val="20"/>
                            <w:sz w:val="26"/>
                          </w:rPr>
                          <w:t> </w:t>
                        </w:r>
                        <w:r>
                          <w:rPr>
                            <w:sz w:val="26"/>
                          </w:rPr>
                          <w:t>the</w:t>
                        </w:r>
                        <w:r>
                          <w:rPr>
                            <w:spacing w:val="27"/>
                            <w:sz w:val="26"/>
                          </w:rPr>
                          <w:t> </w:t>
                        </w:r>
                        <w:r>
                          <w:rPr>
                            <w:sz w:val="27"/>
                          </w:rPr>
                          <w:t>Combined</w:t>
                        </w:r>
                        <w:r>
                          <w:rPr>
                            <w:spacing w:val="20"/>
                            <w:sz w:val="27"/>
                          </w:rPr>
                          <w:t> </w:t>
                        </w:r>
                        <w:r>
                          <w:rPr>
                            <w:sz w:val="27"/>
                          </w:rPr>
                          <w:t>Joint</w:t>
                        </w:r>
                        <w:r>
                          <w:rPr>
                            <w:spacing w:val="18"/>
                            <w:sz w:val="27"/>
                          </w:rPr>
                          <w:t> </w:t>
                        </w:r>
                        <w:r>
                          <w:rPr>
                            <w:sz w:val="27"/>
                          </w:rPr>
                          <w:t>Task</w:t>
                        </w:r>
                        <w:r>
                          <w:rPr>
                            <w:spacing w:val="20"/>
                            <w:sz w:val="27"/>
                          </w:rPr>
                          <w:t> </w:t>
                        </w:r>
                        <w:r>
                          <w:rPr>
                            <w:sz w:val="27"/>
                          </w:rPr>
                          <w:t>Forces</w:t>
                        </w:r>
                        <w:r>
                          <w:rPr>
                            <w:spacing w:val="21"/>
                            <w:sz w:val="27"/>
                          </w:rPr>
                          <w:t> </w:t>
                        </w:r>
                        <w:r>
                          <w:rPr>
                            <w:spacing w:val="-2"/>
                            <w:sz w:val="27"/>
                          </w:rPr>
                          <w:t>(CJTF).</w:t>
                        </w:r>
                        <w:r>
                          <w:rPr>
                            <w:spacing w:val="-2"/>
                            <w:position w:val="7"/>
                            <w:sz w:val="15"/>
                          </w:rPr>
                          <w:t>47</w:t>
                        </w:r>
                      </w:p>
                    </w:txbxContent>
                  </v:textbox>
                  <w10:wrap type="none"/>
                </v:shape>
                <w10:wrap type="topAndBottom"/>
              </v:group>
            </w:pict>
          </mc:Fallback>
        </mc:AlternateContent>
      </w:r>
    </w:p>
    <w:p>
      <w:pPr>
        <w:pStyle w:val="BodyText"/>
        <w:spacing w:line="276" w:lineRule="auto" w:before="59"/>
        <w:ind w:right="1913"/>
      </w:pPr>
      <w:r>
        <w:rPr/>
        <w:t>The CJTF was viewed as a “a genuine European military capability that was ‘separable, but not separate’ from NATO's existing military structure.” (</w:t>
      </w:r>
      <w:hyperlink w:history="true" w:anchor="_bookmark235">
        <w:r>
          <w:rPr/>
          <w:t>Jones, 1999, p. 3</w:t>
        </w:r>
      </w:hyperlink>
      <w:r>
        <w:rPr/>
        <w:t>)</w:t>
      </w:r>
    </w:p>
    <w:p>
      <w:pPr>
        <w:pStyle w:val="BodyText"/>
        <w:spacing w:line="276" w:lineRule="auto"/>
        <w:ind w:right="1853" w:firstLine="720"/>
      </w:pPr>
      <w:r>
        <w:rPr>
          <w:color w:val="000000"/>
          <w:shd w:fill="FEFE8B" w:color="auto" w:val="clear"/>
        </w:rPr>
        <w:t>Simultaneously, the process of transferring the WEU tasks to the</w:t>
      </w:r>
      <w:r>
        <w:rPr>
          <w:color w:val="000000"/>
          <w:spacing w:val="-3"/>
          <w:shd w:fill="FEFE8B" w:color="auto" w:val="clear"/>
        </w:rPr>
        <w:t> </w:t>
      </w:r>
      <w:r>
        <w:rPr>
          <w:color w:val="000000"/>
          <w:spacing w:val="-3"/>
        </w:rPr>
        <w:t> </w:t>
      </w:r>
      <w:r>
        <w:rPr>
          <w:color w:val="000000"/>
          <w:shd w:fill="FEFE8B" w:color="auto" w:val="clear"/>
        </w:rPr>
        <w:t>CSDP was underway.</w:t>
      </w:r>
      <w:r>
        <w:rPr>
          <w:color w:val="000000"/>
        </w:rPr>
        <w:t> The Amsterdam Treaty included the objectives</w:t>
      </w:r>
      <w:r>
        <w:rPr>
          <w:color w:val="000000"/>
          <w:spacing w:val="80"/>
        </w:rPr>
        <w:t> </w:t>
      </w:r>
      <w:r>
        <w:rPr>
          <w:color w:val="000000"/>
        </w:rPr>
        <w:t>similar to those described in the Petersberg Declaration. The event that served as an impetus for a greater change in the European security system (treaty based), was the British-French Summit at </w:t>
      </w:r>
      <w:r>
        <w:rPr>
          <w:color w:val="000000"/>
          <w:sz w:val="27"/>
        </w:rPr>
        <w:t>St. Malo </w:t>
      </w:r>
      <w:r>
        <w:rPr>
          <w:color w:val="000000"/>
        </w:rPr>
        <w:t>on December 1998. The heads of the State and the Government of France and the United Kingdom have agreed about a need to enhance the common defense policy as it had been envisaged by the Treaty of Amsterdam under the Common Foreign and Security Policy. Creating the common defense system would mean fulfilling the EU potential for playing an independent role on the world stage. (St.Malo Declaration, 1998)</w:t>
      </w:r>
    </w:p>
    <w:p>
      <w:pPr>
        <w:pStyle w:val="BodyText"/>
        <w:spacing w:line="327" w:lineRule="exact"/>
        <w:ind w:left="1700"/>
      </w:pPr>
      <w:r>
        <w:rPr/>
        <w:t>At</w:t>
      </w:r>
      <w:r>
        <w:rPr>
          <w:spacing w:val="33"/>
        </w:rPr>
        <w:t> </w:t>
      </w:r>
      <w:r>
        <w:rPr/>
        <w:t>that</w:t>
      </w:r>
      <w:r>
        <w:rPr>
          <w:spacing w:val="34"/>
        </w:rPr>
        <w:t> </w:t>
      </w:r>
      <w:r>
        <w:rPr/>
        <w:t>point</w:t>
      </w:r>
      <w:r>
        <w:rPr>
          <w:spacing w:val="34"/>
        </w:rPr>
        <w:t> </w:t>
      </w:r>
      <w:r>
        <w:rPr/>
        <w:t>it</w:t>
      </w:r>
      <w:r>
        <w:rPr>
          <w:spacing w:val="38"/>
        </w:rPr>
        <w:t> </w:t>
      </w:r>
      <w:r>
        <w:rPr/>
        <w:t>became</w:t>
      </w:r>
      <w:r>
        <w:rPr>
          <w:spacing w:val="38"/>
        </w:rPr>
        <w:t> </w:t>
      </w:r>
      <w:r>
        <w:rPr/>
        <w:t>obvious</w:t>
      </w:r>
      <w:r>
        <w:rPr>
          <w:spacing w:val="32"/>
        </w:rPr>
        <w:t> </w:t>
      </w:r>
      <w:r>
        <w:rPr/>
        <w:t>that</w:t>
      </w:r>
      <w:r>
        <w:rPr>
          <w:spacing w:val="34"/>
        </w:rPr>
        <w:t> </w:t>
      </w:r>
      <w:r>
        <w:rPr/>
        <w:t>the</w:t>
      </w:r>
      <w:r>
        <w:rPr>
          <w:spacing w:val="34"/>
        </w:rPr>
        <w:t> </w:t>
      </w:r>
      <w:r>
        <w:rPr/>
        <w:t>European</w:t>
      </w:r>
      <w:r>
        <w:rPr>
          <w:spacing w:val="36"/>
        </w:rPr>
        <w:t> </w:t>
      </w:r>
      <w:r>
        <w:rPr/>
        <w:t>Union</w:t>
      </w:r>
      <w:r>
        <w:rPr>
          <w:spacing w:val="35"/>
        </w:rPr>
        <w:t> </w:t>
      </w:r>
      <w:r>
        <w:rPr/>
        <w:t>and</w:t>
      </w:r>
      <w:r>
        <w:rPr>
          <w:spacing w:val="35"/>
        </w:rPr>
        <w:t> </w:t>
      </w:r>
      <w:r>
        <w:rPr>
          <w:spacing w:val="-5"/>
        </w:rPr>
        <w:t>the</w:t>
      </w:r>
    </w:p>
    <w:p>
      <w:pPr>
        <w:pStyle w:val="BodyText"/>
        <w:spacing w:line="276" w:lineRule="auto" w:before="51"/>
        <w:ind w:right="1908"/>
      </w:pPr>
      <w:r>
        <w:rPr/>
        <w:t>NATO needed to institutionalize their relations as the capabilities of the ESDP and the NATO crisis management tools had similar objectives and “both organizations relied on the same sets of national forces.” (Hofmann &amp; Reynolds, 2007, p. 1)</w:t>
      </w:r>
    </w:p>
    <w:p>
      <w:pPr>
        <w:pStyle w:val="BodyText"/>
        <w:spacing w:line="276" w:lineRule="auto"/>
        <w:ind w:right="1912" w:firstLine="720"/>
      </w:pPr>
      <w:r>
        <w:rPr/>
        <w:t>Consequently, on European Council in Cologne (June 1999), the states agreed to initiate a process to build a full scale crisis management capacity within the framework of the Amsterdam Treaty. The members aimed to develop the structure that could absorb the WEU by the year</w:t>
      </w:r>
      <w:r>
        <w:rPr>
          <w:spacing w:val="40"/>
        </w:rPr>
        <w:t> </w:t>
      </w:r>
      <w:r>
        <w:rPr/>
        <w:t>2000. (Council in Cologne, 1999)</w:t>
      </w:r>
    </w:p>
    <w:p>
      <w:pPr>
        <w:pStyle w:val="BodyText"/>
        <w:ind w:left="0"/>
        <w:jc w:val="left"/>
        <w:rPr>
          <w:sz w:val="20"/>
        </w:rPr>
      </w:pPr>
    </w:p>
    <w:p>
      <w:pPr>
        <w:pStyle w:val="BodyText"/>
        <w:ind w:left="0"/>
        <w:jc w:val="left"/>
        <w:rPr>
          <w:sz w:val="20"/>
        </w:rPr>
      </w:pPr>
    </w:p>
    <w:p>
      <w:pPr>
        <w:pStyle w:val="BodyText"/>
        <w:spacing w:before="62"/>
        <w:ind w:left="0"/>
        <w:jc w:val="left"/>
        <w:rPr>
          <w:sz w:val="20"/>
        </w:rPr>
      </w:pPr>
      <w:r>
        <w:rPr>
          <w:sz w:val="20"/>
        </w:rPr>
        <mc:AlternateContent>
          <mc:Choice Requires="wps">
            <w:drawing>
              <wp:anchor distT="0" distB="0" distL="0" distR="0" allowOverlap="1" layoutInCell="1" locked="0" behindDoc="1" simplePos="0" relativeHeight="487672832">
                <wp:simplePos x="0" y="0"/>
                <wp:positionH relativeFrom="page">
                  <wp:posOffset>1079296</wp:posOffset>
                </wp:positionH>
                <wp:positionV relativeFrom="paragraph">
                  <wp:posOffset>221990</wp:posOffset>
                </wp:positionV>
                <wp:extent cx="1830070" cy="9525"/>
                <wp:effectExtent l="0" t="0" r="0" b="0"/>
                <wp:wrapTopAndBottom/>
                <wp:docPr id="206" name="Graphic 206"/>
                <wp:cNvGraphicFramePr>
                  <a:graphicFrameLocks/>
                </wp:cNvGraphicFramePr>
                <a:graphic>
                  <a:graphicData uri="http://schemas.microsoft.com/office/word/2010/wordprocessingShape">
                    <wps:wsp>
                      <wps:cNvPr id="206" name="Graphic 206"/>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17.479603pt;width:144.07pt;height:.71997pt;mso-position-horizontal-relative:page;mso-position-vertical-relative:paragraph;z-index:-15643648;mso-wrap-distance-left:0;mso-wrap-distance-right:0" id="docshape193" filled="true" fillcolor="#000000" stroked="false">
                <v:fill type="solid"/>
                <w10:wrap type="topAndBottom"/>
              </v:rect>
            </w:pict>
          </mc:Fallback>
        </mc:AlternateContent>
      </w:r>
    </w:p>
    <w:p>
      <w:pPr>
        <w:spacing w:before="102"/>
        <w:ind w:left="979" w:right="1902" w:firstLine="0"/>
        <w:jc w:val="both"/>
        <w:rPr>
          <w:rFonts w:ascii="Calibri" w:hAnsi="Calibri"/>
          <w:sz w:val="20"/>
        </w:rPr>
      </w:pPr>
      <w:r>
        <w:rPr>
          <w:rFonts w:ascii="Calibri" w:hAnsi="Calibri"/>
          <w:sz w:val="20"/>
          <w:vertAlign w:val="superscript"/>
        </w:rPr>
        <w:t>47</w:t>
      </w:r>
      <w:r>
        <w:rPr>
          <w:rFonts w:ascii="Calibri" w:hAnsi="Calibri"/>
          <w:sz w:val="20"/>
          <w:vertAlign w:val="baseline"/>
        </w:rPr>
        <w:t> “The concept of Combined Joint Task Forces (CJTF) provides flexible and efficient means to enable the Alliance to generate forces at short notice, providing rapidly deployable, multi-national, multiservice task forces with appropriate command and control arrangements.”</w:t>
      </w:r>
    </w:p>
    <w:p>
      <w:pPr>
        <w:spacing w:after="0"/>
        <w:jc w:val="both"/>
        <w:rPr>
          <w:rFonts w:ascii="Calibri" w:hAnsi="Calibri"/>
          <w:sz w:val="20"/>
        </w:rPr>
        <w:sectPr>
          <w:pgSz w:w="12240" w:h="15840"/>
          <w:pgMar w:header="1046" w:footer="0" w:top="1360" w:bottom="280" w:left="720" w:right="360"/>
        </w:sectPr>
      </w:pPr>
    </w:p>
    <w:p>
      <w:pPr>
        <w:pStyle w:val="BodyText"/>
        <w:spacing w:line="276" w:lineRule="auto" w:before="276"/>
        <w:ind w:right="1906" w:firstLine="720"/>
      </w:pPr>
      <w:r>
        <w:rPr/>
        <w:t>The council in Cologne was followed by the Helsinki European Council (1999). The conclusions expressed a strong determination to develop</w:t>
      </w:r>
      <w:r>
        <w:rPr>
          <w:spacing w:val="-4"/>
        </w:rPr>
        <w:t> </w:t>
      </w:r>
      <w:r>
        <w:rPr/>
        <w:t>an</w:t>
      </w:r>
      <w:r>
        <w:rPr>
          <w:spacing w:val="-2"/>
        </w:rPr>
        <w:t> </w:t>
      </w:r>
      <w:r>
        <w:rPr/>
        <w:t>autonomous</w:t>
      </w:r>
      <w:r>
        <w:rPr>
          <w:spacing w:val="-5"/>
        </w:rPr>
        <w:t> </w:t>
      </w:r>
      <w:r>
        <w:rPr/>
        <w:t>capability</w:t>
      </w:r>
      <w:r>
        <w:rPr>
          <w:spacing w:val="-3"/>
        </w:rPr>
        <w:t> </w:t>
      </w:r>
      <w:r>
        <w:rPr/>
        <w:t>for</w:t>
      </w:r>
      <w:r>
        <w:rPr>
          <w:spacing w:val="-3"/>
        </w:rPr>
        <w:t> </w:t>
      </w:r>
      <w:r>
        <w:rPr/>
        <w:t>the</w:t>
      </w:r>
      <w:r>
        <w:rPr>
          <w:spacing w:val="-3"/>
        </w:rPr>
        <w:t> </w:t>
      </w:r>
      <w:r>
        <w:rPr/>
        <w:t>effective</w:t>
      </w:r>
      <w:r>
        <w:rPr>
          <w:spacing w:val="-4"/>
        </w:rPr>
        <w:t> </w:t>
      </w:r>
      <w:r>
        <w:rPr/>
        <w:t>response</w:t>
      </w:r>
      <w:r>
        <w:rPr>
          <w:spacing w:val="-3"/>
        </w:rPr>
        <w:t> </w:t>
      </w:r>
      <w:r>
        <w:rPr/>
        <w:t>to</w:t>
      </w:r>
      <w:r>
        <w:rPr>
          <w:spacing w:val="-6"/>
        </w:rPr>
        <w:t> </w:t>
      </w:r>
      <w:r>
        <w:rPr/>
        <w:t>international crises; especially in the situations where NATO had not</w:t>
      </w:r>
      <w:r>
        <w:rPr>
          <w:spacing w:val="80"/>
        </w:rPr>
        <w:t> </w:t>
      </w:r>
      <w:r>
        <w:rPr/>
        <w:t>been fully</w:t>
      </w:r>
      <w:r>
        <w:rPr>
          <w:spacing w:val="40"/>
        </w:rPr>
        <w:t> </w:t>
      </w:r>
      <w:r>
        <w:rPr/>
        <w:t>engaged. The idea implied building a structure of the institutional bodies that would manage the military force around 60,000 persons, by the year 2003. (</w:t>
      </w:r>
      <w:hyperlink w:history="true" w:anchor="_bookmark141">
        <w:r>
          <w:rPr/>
          <w:t>Council, 1999</w:t>
        </w:r>
      </w:hyperlink>
      <w:r>
        <w:rPr/>
        <w:t>)</w:t>
      </w:r>
    </w:p>
    <w:p>
      <w:pPr>
        <w:pStyle w:val="BodyText"/>
        <w:spacing w:line="276" w:lineRule="auto"/>
        <w:ind w:right="1841" w:firstLine="720"/>
      </w:pPr>
      <w:r>
        <w:rPr/>
        <w:t>The European Council in Nice in 2000 summarized the numerous consultations and negotiations held in the 90s. The presidential conclusions highlighted the role of the ESDP as being a crucial link between the EU – Atlantic security cooperation. Based on these developments, and the EU- NATO joint declaration of 16 December. “</w:t>
      </w:r>
      <w:r>
        <w:rPr>
          <w:color w:val="000000"/>
          <w:shd w:fill="FEFE8B" w:color="auto" w:val="clear"/>
        </w:rPr>
        <w:t>The EU has established adequate</w:t>
      </w:r>
      <w:r>
        <w:rPr>
          <w:color w:val="000000"/>
        </w:rPr>
        <w:t> </w:t>
      </w:r>
      <w:r>
        <w:rPr>
          <w:color w:val="000000"/>
          <w:shd w:fill="FEFE8B" w:color="auto" w:val="clear"/>
        </w:rPr>
        <w:t>modalities to involve closely in EU-led operations the non-EU European </w:t>
      </w:r>
      <w:r>
        <w:rPr>
          <w:color w:val="000000"/>
        </w:rPr>
        <w:t> </w:t>
      </w:r>
      <w:r>
        <w:rPr>
          <w:color w:val="000000"/>
          <w:shd w:fill="FEFE8B" w:color="auto" w:val="clear"/>
        </w:rPr>
        <w:t>NATO members.”</w:t>
      </w:r>
      <w:r>
        <w:rPr>
          <w:color w:val="000000"/>
        </w:rPr>
        <w:t> The next step was to agree the framework for permanent </w:t>
      </w:r>
      <w:r>
        <w:rPr>
          <w:color w:val="000000"/>
          <w:spacing w:val="-2"/>
        </w:rPr>
        <w:t>relations.</w:t>
      </w:r>
    </w:p>
    <w:p>
      <w:pPr>
        <w:pStyle w:val="BodyText"/>
        <w:spacing w:line="273" w:lineRule="auto"/>
        <w:ind w:right="1904" w:firstLine="720"/>
      </w:pPr>
      <w:r>
        <w:rPr/>
        <w:t>The relations were institutionalized on the basis of </w:t>
      </w:r>
      <w:r>
        <w:rPr>
          <w:sz w:val="27"/>
        </w:rPr>
        <w:t>Berlin Plus Arrangements</w:t>
      </w:r>
      <w:r>
        <w:rPr/>
        <w:t>. The agreement aimed to reduce inter-institutional uncertainty by creating a clear procedural rules to follow. Three main elements were covered by the signed document: 1) EU access to NATO planning, 2) NATO - European command options and 3) use of NATO</w:t>
      </w:r>
      <w:r>
        <w:rPr>
          <w:spacing w:val="80"/>
        </w:rPr>
        <w:t> </w:t>
      </w:r>
      <w:r>
        <w:rPr/>
        <w:t>assets and capabilities. (</w:t>
      </w:r>
      <w:hyperlink w:history="true" w:anchor="_bookmark142">
        <w:r>
          <w:rPr/>
          <w:t>COUNCIL, 2003</w:t>
        </w:r>
      </w:hyperlink>
      <w:r>
        <w:rPr/>
        <w:t>) This means that: A) NATO guarantees that the EU has </w:t>
      </w:r>
      <w:r>
        <w:rPr>
          <w:sz w:val="27"/>
        </w:rPr>
        <w:t>access to NATO planning</w:t>
      </w:r>
      <w:r>
        <w:rPr/>
        <w:t>, B) the EU may request that NATO makes</w:t>
      </w:r>
      <w:r>
        <w:rPr>
          <w:spacing w:val="-1"/>
        </w:rPr>
        <w:t> </w:t>
      </w:r>
      <w:r>
        <w:rPr/>
        <w:t>available a NATO European command option for an EU-led military operation, C) the EU may request the use of NATO</w:t>
      </w:r>
      <w:r>
        <w:rPr>
          <w:spacing w:val="40"/>
        </w:rPr>
        <w:t> </w:t>
      </w:r>
      <w:r>
        <w:rPr/>
        <w:t>assets and capabilities, and finally, D)</w:t>
      </w:r>
      <w:r>
        <w:rPr>
          <w:spacing w:val="40"/>
        </w:rPr>
        <w:t> </w:t>
      </w:r>
      <w:r>
        <w:rPr/>
        <w:t>it presupposes to build the ways for developing the military capabilities they need for crisis management. (COUNCIL, 2003)</w:t>
      </w:r>
    </w:p>
    <w:p>
      <w:pPr>
        <w:pStyle w:val="BodyText"/>
        <w:spacing w:line="276" w:lineRule="auto"/>
        <w:ind w:right="1907" w:firstLine="720"/>
      </w:pPr>
      <w:r>
        <w:rPr/>
        <w:t>The Berlin Plus Arrangement was intended to bring more clarity in EU -</w:t>
      </w:r>
      <w:r>
        <w:rPr>
          <w:spacing w:val="-3"/>
        </w:rPr>
        <w:t> </w:t>
      </w:r>
      <w:r>
        <w:rPr/>
        <w:t>NATO relations; however, it has</w:t>
      </w:r>
      <w:r>
        <w:rPr>
          <w:spacing w:val="-2"/>
        </w:rPr>
        <w:t> </w:t>
      </w:r>
      <w:r>
        <w:rPr/>
        <w:t>introduced new uncertainties</w:t>
      </w:r>
      <w:r>
        <w:rPr>
          <w:spacing w:val="-2"/>
        </w:rPr>
        <w:t> </w:t>
      </w:r>
      <w:r>
        <w:rPr/>
        <w:t>as</w:t>
      </w:r>
      <w:r>
        <w:rPr>
          <w:spacing w:val="-2"/>
        </w:rPr>
        <w:t> </w:t>
      </w:r>
      <w:r>
        <w:rPr/>
        <w:t>well. The problems derived from the ambiguity formed due to the subjective- institutional interpretations of the agreement provisions.</w:t>
      </w:r>
    </w:p>
    <w:p>
      <w:pPr>
        <w:pStyle w:val="BodyText"/>
        <w:spacing w:after="0" w:line="276" w:lineRule="auto"/>
        <w:sectPr>
          <w:pgSz w:w="12240" w:h="15840"/>
          <w:pgMar w:header="1046" w:footer="0" w:top="1360" w:bottom="280" w:left="720" w:right="360"/>
        </w:sectPr>
      </w:pPr>
    </w:p>
    <w:p>
      <w:pPr>
        <w:pStyle w:val="BodyText"/>
        <w:spacing w:line="276" w:lineRule="auto" w:before="276"/>
        <w:ind w:right="1904" w:firstLine="720"/>
      </w:pPr>
      <w:r>
        <w:rPr/>
        <w:t>The first immediate challenge appeared soon after the reaching the agreement. The problem was a division of labor among the organizations. The ‘Europeanist’ states like Germany,</w:t>
      </w:r>
      <w:r>
        <w:rPr>
          <w:spacing w:val="40"/>
        </w:rPr>
        <w:t> </w:t>
      </w:r>
      <w:r>
        <w:rPr/>
        <w:t>France,</w:t>
      </w:r>
      <w:r>
        <w:rPr>
          <w:spacing w:val="40"/>
        </w:rPr>
        <w:t> </w:t>
      </w:r>
      <w:r>
        <w:rPr/>
        <w:t>Belgium and Luxemburg were</w:t>
      </w:r>
      <w:r>
        <w:rPr>
          <w:spacing w:val="-1"/>
        </w:rPr>
        <w:t> </w:t>
      </w:r>
      <w:r>
        <w:rPr/>
        <w:t>in favor of</w:t>
      </w:r>
      <w:r>
        <w:rPr>
          <w:spacing w:val="-2"/>
        </w:rPr>
        <w:t> </w:t>
      </w:r>
      <w:r>
        <w:rPr/>
        <w:t>the</w:t>
      </w:r>
      <w:r>
        <w:rPr>
          <w:spacing w:val="-1"/>
        </w:rPr>
        <w:t> </w:t>
      </w:r>
      <w:r>
        <w:rPr/>
        <w:t>EU</w:t>
      </w:r>
      <w:r>
        <w:rPr>
          <w:spacing w:val="-1"/>
        </w:rPr>
        <w:t> </w:t>
      </w:r>
      <w:r>
        <w:rPr/>
        <w:t>to gain more</w:t>
      </w:r>
      <w:r>
        <w:rPr>
          <w:spacing w:val="-1"/>
        </w:rPr>
        <w:t> </w:t>
      </w:r>
      <w:r>
        <w:rPr/>
        <w:t>autonomous</w:t>
      </w:r>
      <w:r>
        <w:rPr>
          <w:spacing w:val="-2"/>
        </w:rPr>
        <w:t> </w:t>
      </w:r>
      <w:r>
        <w:rPr/>
        <w:t>power.</w:t>
      </w:r>
      <w:r>
        <w:rPr>
          <w:spacing w:val="40"/>
        </w:rPr>
        <w:t> </w:t>
      </w:r>
      <w:r>
        <w:rPr/>
        <w:t>Some others,</w:t>
      </w:r>
      <w:r>
        <w:rPr>
          <w:spacing w:val="40"/>
        </w:rPr>
        <w:t> </w:t>
      </w:r>
      <w:r>
        <w:rPr/>
        <w:t>the most notably the UK, were worried about the possible organizational overlapping and emphasized the importance of clearly defined roles among the institutions. The latter group of states suggested to give complex</w:t>
      </w:r>
      <w:r>
        <w:rPr>
          <w:spacing w:val="40"/>
        </w:rPr>
        <w:t> </w:t>
      </w:r>
      <w:r>
        <w:rPr/>
        <w:t>military tasks exclusively to</w:t>
      </w:r>
      <w:r>
        <w:rPr>
          <w:spacing w:val="40"/>
        </w:rPr>
        <w:t> </w:t>
      </w:r>
      <w:r>
        <w:rPr/>
        <w:t>NATO, leave low intensity crisis management role to the EU. (Hofmann &amp; Reynolds, 2007, p. 3)</w:t>
      </w:r>
    </w:p>
    <w:p>
      <w:pPr>
        <w:pStyle w:val="BodyText"/>
        <w:spacing w:line="276" w:lineRule="auto"/>
        <w:ind w:right="1901" w:firstLine="854"/>
      </w:pPr>
      <w:r>
        <w:rPr/>
        <w:t>The Europeanists have been significantly weakened since the 2008, the reasons for this were few: first, France often been accused of being hotile to the NATO, has rejoined the Security Council. Second, the economic crisis put all the emphasis of the governments on internal economic challenges,</w:t>
      </w:r>
      <w:r>
        <w:rPr>
          <w:spacing w:val="40"/>
        </w:rPr>
        <w:t> </w:t>
      </w:r>
      <w:r>
        <w:rPr/>
        <w:t>accordingly strengthening the CSDP became of a secondary concern. Third, the positive policies of the Obama's administration made it politically safer to say 'leave it all to NATO'. (</w:t>
      </w:r>
      <w:hyperlink w:history="true" w:anchor="_bookmark197">
        <w:r>
          <w:rPr/>
          <w:t>Gnesotto, 2010, p. 10</w:t>
        </w:r>
      </w:hyperlink>
      <w:r>
        <w:rPr/>
        <w:t>)</w:t>
      </w:r>
    </w:p>
    <w:p>
      <w:pPr>
        <w:pStyle w:val="BodyText"/>
        <w:spacing w:line="276" w:lineRule="auto"/>
        <w:ind w:right="1905" w:firstLine="720"/>
      </w:pPr>
      <w:r>
        <w:rPr/>
        <w:t>The second problem is especially important because it has a wider systemic consequences.</w:t>
      </w:r>
      <w:r>
        <w:rPr>
          <w:spacing w:val="40"/>
        </w:rPr>
        <w:t> </w:t>
      </w:r>
      <w:r>
        <w:rPr/>
        <w:t>We have already noted that the functioning of the economic system determines success of the union as a purposeful organization. We have also maintained that the economic system is among the security sectors. This logic is followed by a general assumption that the EU as a soft power actor relies on economic attractiveness, therefore any disturbance of the economy can jeopardize its status.</w:t>
      </w:r>
    </w:p>
    <w:p>
      <w:pPr>
        <w:pStyle w:val="BodyText"/>
        <w:spacing w:after="0" w:line="276" w:lineRule="auto"/>
        <w:sectPr>
          <w:pgSz w:w="12240" w:h="15840"/>
          <w:pgMar w:header="1046" w:footer="0" w:top="1360" w:bottom="280" w:left="720" w:right="360"/>
        </w:sectPr>
      </w:pPr>
    </w:p>
    <w:p>
      <w:pPr>
        <w:pStyle w:val="BodyText"/>
        <w:spacing w:before="33"/>
        <w:ind w:left="0"/>
        <w:jc w:val="left"/>
        <w:rPr>
          <w:sz w:val="18"/>
        </w:rPr>
      </w:pPr>
    </w:p>
    <w:p>
      <w:pPr>
        <w:spacing w:before="0"/>
        <w:ind w:left="979" w:right="0" w:firstLine="0"/>
        <w:jc w:val="left"/>
        <w:rPr>
          <w:rFonts w:ascii="Calibri"/>
          <w:b/>
          <w:sz w:val="18"/>
        </w:rPr>
      </w:pPr>
      <w:bookmarkStart w:name="_bookmark57" w:id="58"/>
      <w:bookmarkEnd w:id="58"/>
      <w:r>
        <w:rPr/>
      </w:r>
      <w:r>
        <w:rPr>
          <w:rFonts w:ascii="Calibri"/>
          <w:b/>
          <w:color w:val="4F81BC"/>
          <w:sz w:val="18"/>
        </w:rPr>
        <w:t>Figure</w:t>
      </w:r>
      <w:r>
        <w:rPr>
          <w:rFonts w:ascii="Calibri"/>
          <w:b/>
          <w:color w:val="4F81BC"/>
          <w:spacing w:val="-1"/>
          <w:sz w:val="18"/>
        </w:rPr>
        <w:t> </w:t>
      </w:r>
      <w:r>
        <w:rPr>
          <w:rFonts w:ascii="Calibri"/>
          <w:b/>
          <w:color w:val="4F81BC"/>
          <w:sz w:val="18"/>
        </w:rPr>
        <w:t>18.</w:t>
      </w:r>
      <w:r>
        <w:rPr>
          <w:rFonts w:ascii="Calibri"/>
          <w:b/>
          <w:color w:val="4F81BC"/>
          <w:spacing w:val="-6"/>
          <w:sz w:val="18"/>
        </w:rPr>
        <w:t> </w:t>
      </w:r>
      <w:r>
        <w:rPr>
          <w:rFonts w:ascii="Calibri"/>
          <w:b/>
          <w:color w:val="4F81BC"/>
          <w:sz w:val="18"/>
        </w:rPr>
        <w:t>Membership</w:t>
      </w:r>
      <w:r>
        <w:rPr>
          <w:rFonts w:ascii="Calibri"/>
          <w:b/>
          <w:color w:val="4F81BC"/>
          <w:spacing w:val="-7"/>
          <w:sz w:val="18"/>
        </w:rPr>
        <w:t> </w:t>
      </w:r>
      <w:r>
        <w:rPr>
          <w:rFonts w:ascii="Calibri"/>
          <w:b/>
          <w:color w:val="4F81BC"/>
          <w:sz w:val="18"/>
        </w:rPr>
        <w:t>Overlap</w:t>
      </w:r>
      <w:r>
        <w:rPr>
          <w:rFonts w:ascii="Calibri"/>
          <w:b/>
          <w:color w:val="4F81BC"/>
          <w:spacing w:val="-7"/>
          <w:sz w:val="18"/>
        </w:rPr>
        <w:t> </w:t>
      </w:r>
      <w:r>
        <w:rPr>
          <w:rFonts w:ascii="Calibri"/>
          <w:b/>
          <w:color w:val="4F81BC"/>
          <w:sz w:val="18"/>
        </w:rPr>
        <w:t>(Hodmann,</w:t>
      </w:r>
      <w:r>
        <w:rPr>
          <w:rFonts w:ascii="Calibri"/>
          <w:b/>
          <w:color w:val="4F81BC"/>
          <w:spacing w:val="-5"/>
          <w:sz w:val="18"/>
        </w:rPr>
        <w:t> </w:t>
      </w:r>
      <w:r>
        <w:rPr>
          <w:rFonts w:ascii="Calibri"/>
          <w:b/>
          <w:color w:val="4F81BC"/>
          <w:spacing w:val="-2"/>
          <w:sz w:val="18"/>
        </w:rPr>
        <w:t>2009)</w:t>
      </w:r>
    </w:p>
    <w:p>
      <w:pPr>
        <w:pStyle w:val="BodyText"/>
        <w:spacing w:before="7"/>
        <w:ind w:left="0"/>
        <w:jc w:val="left"/>
        <w:rPr>
          <w:rFonts w:ascii="Calibri"/>
          <w:b/>
          <w:sz w:val="14"/>
        </w:rPr>
      </w:pPr>
      <w:r>
        <w:rPr>
          <w:rFonts w:ascii="Calibri"/>
          <w:b/>
          <w:sz w:val="14"/>
        </w:rPr>
        <w:drawing>
          <wp:anchor distT="0" distB="0" distL="0" distR="0" allowOverlap="1" layoutInCell="1" locked="0" behindDoc="1" simplePos="0" relativeHeight="487673344">
            <wp:simplePos x="0" y="0"/>
            <wp:positionH relativeFrom="page">
              <wp:posOffset>1080135</wp:posOffset>
            </wp:positionH>
            <wp:positionV relativeFrom="paragraph">
              <wp:posOffset>128511</wp:posOffset>
            </wp:positionV>
            <wp:extent cx="3109593" cy="2035587"/>
            <wp:effectExtent l="0" t="0" r="0" b="0"/>
            <wp:wrapTopAndBottom/>
            <wp:docPr id="207" name="Image 207" descr="C:\Users\user\Desktop\diagrams\overlap 2016.jpg"/>
            <wp:cNvGraphicFramePr>
              <a:graphicFrameLocks/>
            </wp:cNvGraphicFramePr>
            <a:graphic>
              <a:graphicData uri="http://schemas.openxmlformats.org/drawingml/2006/picture">
                <pic:pic>
                  <pic:nvPicPr>
                    <pic:cNvPr id="207" name="Image 207" descr="C:\Users\user\Desktop\diagrams\overlap 2016.jpg"/>
                    <pic:cNvPicPr/>
                  </pic:nvPicPr>
                  <pic:blipFill>
                    <a:blip r:embed="rId40" cstate="print"/>
                    <a:stretch>
                      <a:fillRect/>
                    </a:stretch>
                  </pic:blipFill>
                  <pic:spPr>
                    <a:xfrm>
                      <a:off x="0" y="0"/>
                      <a:ext cx="3109593" cy="2035587"/>
                    </a:xfrm>
                    <a:prstGeom prst="rect">
                      <a:avLst/>
                    </a:prstGeom>
                  </pic:spPr>
                </pic:pic>
              </a:graphicData>
            </a:graphic>
          </wp:anchor>
        </w:drawing>
      </w:r>
    </w:p>
    <w:p>
      <w:pPr>
        <w:pStyle w:val="BodyText"/>
        <w:spacing w:line="276" w:lineRule="auto" w:before="90"/>
        <w:ind w:right="1909" w:firstLine="720"/>
      </w:pPr>
      <w:r>
        <w:rPr/>
        <w:t>A peculiar aspect of the EU-NATO relations to manage the conflict and cooperation among those members,</w:t>
      </w:r>
      <w:r>
        <w:rPr>
          <w:spacing w:val="40"/>
        </w:rPr>
        <w:t> </w:t>
      </w:r>
      <w:r>
        <w:rPr/>
        <w:t>which consist only in one of the organizations. "The eleven that are members of one institution and not the other can maneuver within a single institution to undermine the interests</w:t>
      </w:r>
      <w:r>
        <w:rPr>
          <w:spacing w:val="40"/>
        </w:rPr>
        <w:t> </w:t>
      </w:r>
      <w:r>
        <w:rPr/>
        <w:t>of the states in the other institution. (</w:t>
      </w:r>
      <w:hyperlink w:history="true" w:anchor="_bookmark224">
        <w:r>
          <w:rPr/>
          <w:t>Hofmann, 2009, p. 46</w:t>
        </w:r>
      </w:hyperlink>
      <w:r>
        <w:rPr/>
        <w:t>)</w:t>
      </w:r>
    </w:p>
    <w:p>
      <w:pPr>
        <w:pStyle w:val="BodyText"/>
        <w:ind w:left="1660"/>
      </w:pPr>
      <w:r>
        <w:rPr>
          <w:color w:val="000000"/>
          <w:spacing w:val="-26"/>
          <w:shd w:fill="FEFE8B" w:color="auto" w:val="clear"/>
        </w:rPr>
        <w:t> </w:t>
      </w:r>
      <w:r>
        <w:rPr>
          <w:color w:val="000000"/>
          <w:shd w:fill="FEFE8B" w:color="auto" w:val="clear"/>
        </w:rPr>
        <w:t>For</w:t>
      </w:r>
      <w:r>
        <w:rPr>
          <w:color w:val="000000"/>
          <w:spacing w:val="-4"/>
          <w:shd w:fill="FEFE8B" w:color="auto" w:val="clear"/>
        </w:rPr>
        <w:t> </w:t>
      </w:r>
      <w:r>
        <w:rPr>
          <w:color w:val="000000"/>
          <w:shd w:fill="FEFE8B" w:color="auto" w:val="clear"/>
        </w:rPr>
        <w:t>instance,</w:t>
      </w:r>
      <w:r>
        <w:rPr>
          <w:color w:val="000000"/>
          <w:spacing w:val="1"/>
          <w:shd w:fill="FEFE8B" w:color="auto" w:val="clear"/>
        </w:rPr>
        <w:t> </w:t>
      </w:r>
      <w:r>
        <w:rPr>
          <w:color w:val="000000"/>
          <w:shd w:fill="FEFE8B" w:color="auto" w:val="clear"/>
        </w:rPr>
        <w:t>Turkey</w:t>
      </w:r>
      <w:r>
        <w:rPr>
          <w:color w:val="000000"/>
          <w:spacing w:val="-1"/>
          <w:shd w:fill="FEFE8B" w:color="auto" w:val="clear"/>
        </w:rPr>
        <w:t> </w:t>
      </w:r>
      <w:r>
        <w:rPr>
          <w:color w:val="000000"/>
          <w:shd w:fill="FEFE8B" w:color="auto" w:val="clear"/>
        </w:rPr>
        <w:t>in its</w:t>
      </w:r>
      <w:r>
        <w:rPr>
          <w:color w:val="000000"/>
          <w:spacing w:val="-2"/>
          <w:shd w:fill="FEFE8B" w:color="auto" w:val="clear"/>
        </w:rPr>
        <w:t> </w:t>
      </w:r>
      <w:r>
        <w:rPr>
          <w:color w:val="000000"/>
          <w:shd w:fill="FEFE8B" w:color="auto" w:val="clear"/>
        </w:rPr>
        <w:t>capacity</w:t>
      </w:r>
      <w:r>
        <w:rPr>
          <w:color w:val="000000"/>
          <w:spacing w:val="-1"/>
          <w:shd w:fill="FEFE8B" w:color="auto" w:val="clear"/>
        </w:rPr>
        <w:t> </w:t>
      </w:r>
      <w:r>
        <w:rPr>
          <w:color w:val="000000"/>
          <w:shd w:fill="FEFE8B" w:color="auto" w:val="clear"/>
        </w:rPr>
        <w:t>as</w:t>
      </w:r>
      <w:r>
        <w:rPr>
          <w:color w:val="000000"/>
          <w:spacing w:val="-3"/>
          <w:shd w:fill="FEFE8B" w:color="auto" w:val="clear"/>
        </w:rPr>
        <w:t> </w:t>
      </w:r>
      <w:r>
        <w:rPr>
          <w:color w:val="000000"/>
          <w:shd w:fill="FEFE8B" w:color="auto" w:val="clear"/>
        </w:rPr>
        <w:t>the NATO</w:t>
      </w:r>
      <w:r>
        <w:rPr>
          <w:color w:val="000000"/>
          <w:spacing w:val="-1"/>
          <w:shd w:fill="FEFE8B" w:color="auto" w:val="clear"/>
        </w:rPr>
        <w:t> </w:t>
      </w:r>
      <w:r>
        <w:rPr>
          <w:color w:val="000000"/>
          <w:shd w:fill="FEFE8B" w:color="auto" w:val="clear"/>
        </w:rPr>
        <w:t>member blocks</w:t>
      </w:r>
      <w:r>
        <w:rPr>
          <w:color w:val="000000"/>
          <w:spacing w:val="-2"/>
          <w:shd w:fill="FEFE8B" w:color="auto" w:val="clear"/>
        </w:rPr>
        <w:t> </w:t>
      </w:r>
      <w:r>
        <w:rPr>
          <w:color w:val="000000"/>
          <w:spacing w:val="-5"/>
          <w:shd w:fill="FEFE8B" w:color="auto" w:val="clear"/>
        </w:rPr>
        <w:t>any</w:t>
      </w:r>
      <w:r>
        <w:rPr>
          <w:color w:val="000000"/>
          <w:spacing w:val="80"/>
          <w:shd w:fill="FEFE8B" w:color="auto" w:val="clear"/>
        </w:rPr>
        <w:t> </w:t>
      </w:r>
    </w:p>
    <w:p>
      <w:pPr>
        <w:pStyle w:val="BodyText"/>
        <w:spacing w:before="5"/>
        <w:ind w:left="0"/>
        <w:jc w:val="left"/>
        <w:rPr>
          <w:sz w:val="7"/>
        </w:rPr>
      </w:pPr>
      <w:r>
        <w:rPr>
          <w:sz w:val="7"/>
        </w:rPr>
        <mc:AlternateContent>
          <mc:Choice Requires="wps">
            <w:drawing>
              <wp:anchor distT="0" distB="0" distL="0" distR="0" allowOverlap="1" layoutInCell="1" locked="0" behindDoc="1" simplePos="0" relativeHeight="487673856">
                <wp:simplePos x="0" y="0"/>
                <wp:positionH relativeFrom="page">
                  <wp:posOffset>1053896</wp:posOffset>
                </wp:positionH>
                <wp:positionV relativeFrom="paragraph">
                  <wp:posOffset>77571</wp:posOffset>
                </wp:positionV>
                <wp:extent cx="5342255" cy="167640"/>
                <wp:effectExtent l="0" t="0" r="0" b="0"/>
                <wp:wrapTopAndBottom/>
                <wp:docPr id="208" name="Group 208"/>
                <wp:cNvGraphicFramePr>
                  <a:graphicFrameLocks/>
                </wp:cNvGraphicFramePr>
                <a:graphic>
                  <a:graphicData uri="http://schemas.microsoft.com/office/word/2010/wordprocessingGroup">
                    <wpg:wgp>
                      <wpg:cNvPr id="208" name="Group 208"/>
                      <wpg:cNvGrpSpPr/>
                      <wpg:grpSpPr>
                        <a:xfrm>
                          <a:off x="0" y="0"/>
                          <a:ext cx="5342255" cy="167640"/>
                          <a:chExt cx="5342255" cy="167640"/>
                        </a:xfrm>
                      </wpg:grpSpPr>
                      <wps:wsp>
                        <wps:cNvPr id="209" name="Graphic 209"/>
                        <wps:cNvSpPr/>
                        <wps:spPr>
                          <a:xfrm>
                            <a:off x="0" y="0"/>
                            <a:ext cx="5342255" cy="167640"/>
                          </a:xfrm>
                          <a:custGeom>
                            <a:avLst/>
                            <a:gdLst/>
                            <a:ahLst/>
                            <a:cxnLst/>
                            <a:rect l="l" t="t" r="r" b="b"/>
                            <a:pathLst>
                              <a:path w="5342255" h="167640">
                                <a:moveTo>
                                  <a:pt x="5341874" y="0"/>
                                </a:moveTo>
                                <a:lnTo>
                                  <a:pt x="2747975" y="0"/>
                                </a:lnTo>
                                <a:lnTo>
                                  <a:pt x="2747467" y="0"/>
                                </a:lnTo>
                                <a:lnTo>
                                  <a:pt x="2656027" y="0"/>
                                </a:lnTo>
                                <a:lnTo>
                                  <a:pt x="2656027" y="5956"/>
                                </a:lnTo>
                                <a:lnTo>
                                  <a:pt x="2606078" y="5956"/>
                                </a:lnTo>
                                <a:lnTo>
                                  <a:pt x="2606078" y="0"/>
                                </a:lnTo>
                                <a:lnTo>
                                  <a:pt x="1513852" y="0"/>
                                </a:lnTo>
                                <a:lnTo>
                                  <a:pt x="1466672" y="0"/>
                                </a:lnTo>
                                <a:lnTo>
                                  <a:pt x="0" y="0"/>
                                </a:lnTo>
                                <a:lnTo>
                                  <a:pt x="0" y="167563"/>
                                </a:lnTo>
                                <a:lnTo>
                                  <a:pt x="1466672" y="167563"/>
                                </a:lnTo>
                                <a:lnTo>
                                  <a:pt x="1513852" y="167563"/>
                                </a:lnTo>
                                <a:lnTo>
                                  <a:pt x="2606078" y="167563"/>
                                </a:lnTo>
                                <a:lnTo>
                                  <a:pt x="2606078" y="102146"/>
                                </a:lnTo>
                                <a:lnTo>
                                  <a:pt x="2656027" y="102146"/>
                                </a:lnTo>
                                <a:lnTo>
                                  <a:pt x="2656027" y="167563"/>
                                </a:lnTo>
                                <a:lnTo>
                                  <a:pt x="2747467" y="167563"/>
                                </a:lnTo>
                                <a:lnTo>
                                  <a:pt x="2747975" y="167563"/>
                                </a:lnTo>
                                <a:lnTo>
                                  <a:pt x="5341874" y="167563"/>
                                </a:lnTo>
                                <a:lnTo>
                                  <a:pt x="5341874" y="0"/>
                                </a:lnTo>
                                <a:close/>
                              </a:path>
                            </a:pathLst>
                          </a:custGeom>
                          <a:solidFill>
                            <a:srgbClr val="FFFF3F">
                              <a:alpha val="59999"/>
                            </a:srgbClr>
                          </a:solidFill>
                        </wps:spPr>
                        <wps:bodyPr wrap="square" lIns="0" tIns="0" rIns="0" bIns="0" rtlCol="0">
                          <a:prstTxWarp prst="textNoShape">
                            <a:avLst/>
                          </a:prstTxWarp>
                          <a:noAutofit/>
                        </wps:bodyPr>
                      </wps:wsp>
                      <wps:wsp>
                        <wps:cNvPr id="210" name="Textbox 210"/>
                        <wps:cNvSpPr txBox="1"/>
                        <wps:spPr>
                          <a:xfrm>
                            <a:off x="0" y="0"/>
                            <a:ext cx="5317490" cy="167640"/>
                          </a:xfrm>
                          <a:prstGeom prst="rect">
                            <a:avLst/>
                          </a:prstGeom>
                        </wps:spPr>
                        <wps:txbx>
                          <w:txbxContent>
                            <w:p>
                              <w:pPr>
                                <w:spacing w:line="264" w:lineRule="exact" w:before="0"/>
                                <w:ind w:left="40" w:right="0" w:firstLine="0"/>
                                <w:jc w:val="left"/>
                                <w:rPr>
                                  <w:sz w:val="26"/>
                                </w:rPr>
                              </w:pPr>
                              <w:r>
                                <w:rPr>
                                  <w:sz w:val="26"/>
                                </w:rPr>
                                <w:t>security</w:t>
                              </w:r>
                              <w:r>
                                <w:rPr>
                                  <w:spacing w:val="70"/>
                                  <w:sz w:val="26"/>
                                </w:rPr>
                                <w:t> </w:t>
                              </w:r>
                              <w:r>
                                <w:rPr>
                                  <w:sz w:val="26"/>
                                </w:rPr>
                                <w:t>arrangement</w:t>
                              </w:r>
                              <w:r>
                                <w:rPr>
                                  <w:spacing w:val="72"/>
                                  <w:sz w:val="26"/>
                                </w:rPr>
                                <w:t> </w:t>
                              </w:r>
                              <w:r>
                                <w:rPr>
                                  <w:sz w:val="26"/>
                                </w:rPr>
                                <w:t>with</w:t>
                              </w:r>
                              <w:r>
                                <w:rPr>
                                  <w:spacing w:val="72"/>
                                  <w:sz w:val="26"/>
                                </w:rPr>
                                <w:t> </w:t>
                              </w:r>
                              <w:r>
                                <w:rPr>
                                  <w:sz w:val="26"/>
                                </w:rPr>
                                <w:t>Cyprus.</w:t>
                              </w:r>
                              <w:r>
                                <w:rPr>
                                  <w:position w:val="7"/>
                                  <w:sz w:val="15"/>
                                </w:rPr>
                                <w:t>48</w:t>
                              </w:r>
                              <w:r>
                                <w:rPr>
                                  <w:spacing w:val="31"/>
                                  <w:position w:val="7"/>
                                  <w:sz w:val="15"/>
                                </w:rPr>
                                <w:t>  </w:t>
                              </w:r>
                              <w:r>
                                <w:rPr>
                                  <w:sz w:val="26"/>
                                </w:rPr>
                                <w:t>However,</w:t>
                              </w:r>
                              <w:r>
                                <w:rPr>
                                  <w:spacing w:val="74"/>
                                  <w:sz w:val="26"/>
                                </w:rPr>
                                <w:t> </w:t>
                              </w:r>
                              <w:r>
                                <w:rPr>
                                  <w:sz w:val="26"/>
                                </w:rPr>
                                <w:t>Cyprus</w:t>
                              </w:r>
                              <w:r>
                                <w:rPr>
                                  <w:spacing w:val="69"/>
                                  <w:sz w:val="26"/>
                                </w:rPr>
                                <w:t> </w:t>
                              </w:r>
                              <w:r>
                                <w:rPr>
                                  <w:sz w:val="26"/>
                                </w:rPr>
                                <w:t>tries</w:t>
                              </w:r>
                              <w:r>
                                <w:rPr>
                                  <w:spacing w:val="74"/>
                                  <w:sz w:val="26"/>
                                </w:rPr>
                                <w:t> </w:t>
                              </w:r>
                              <w:r>
                                <w:rPr>
                                  <w:sz w:val="26"/>
                                </w:rPr>
                                <w:t>to</w:t>
                              </w:r>
                              <w:r>
                                <w:rPr>
                                  <w:spacing w:val="69"/>
                                  <w:sz w:val="26"/>
                                </w:rPr>
                                <w:t> </w:t>
                              </w:r>
                              <w:r>
                                <w:rPr>
                                  <w:sz w:val="26"/>
                                </w:rPr>
                                <w:t>use</w:t>
                              </w:r>
                              <w:r>
                                <w:rPr>
                                  <w:spacing w:val="72"/>
                                  <w:sz w:val="26"/>
                                </w:rPr>
                                <w:t> </w:t>
                              </w:r>
                              <w:r>
                                <w:rPr>
                                  <w:spacing w:val="-5"/>
                                  <w:sz w:val="26"/>
                                </w:rPr>
                                <w:t>EU</w:t>
                              </w:r>
                            </w:p>
                          </w:txbxContent>
                        </wps:txbx>
                        <wps:bodyPr wrap="square" lIns="0" tIns="0" rIns="0" bIns="0" rtlCol="0">
                          <a:noAutofit/>
                        </wps:bodyPr>
                      </wps:wsp>
                    </wpg:wgp>
                  </a:graphicData>
                </a:graphic>
              </wp:anchor>
            </w:drawing>
          </mc:Choice>
          <mc:Fallback>
            <w:pict>
              <v:group style="position:absolute;margin-left:82.984001pt;margin-top:6.108005pt;width:420.65pt;height:13.2pt;mso-position-horizontal-relative:page;mso-position-vertical-relative:paragraph;z-index:-15642624;mso-wrap-distance-left:0;mso-wrap-distance-right:0" id="docshapegroup194" coordorigin="1660,122" coordsize="8413,264">
                <v:shape style="position:absolute;left:1659;top:122;width:8413;height:264" id="docshape195" coordorigin="1660,122" coordsize="8413,264" path="m10072,122l5987,122,5986,122,5842,122,5842,132,5764,132,5764,122,4044,122,3969,122,1660,122,1660,386,3969,386,4044,386,5764,386,5764,283,5842,283,5842,386,5986,386,5987,386,10072,386,10072,122xe" filled="true" fillcolor="#ffff3f" stroked="false">
                  <v:path arrowok="t"/>
                  <v:fill opacity="39321f" type="solid"/>
                </v:shape>
                <v:shape style="position:absolute;left:1659;top:122;width:8374;height:264" type="#_x0000_t202" id="docshape196" filled="false" stroked="false">
                  <v:textbox inset="0,0,0,0">
                    <w:txbxContent>
                      <w:p>
                        <w:pPr>
                          <w:spacing w:line="264" w:lineRule="exact" w:before="0"/>
                          <w:ind w:left="40" w:right="0" w:firstLine="0"/>
                          <w:jc w:val="left"/>
                          <w:rPr>
                            <w:sz w:val="26"/>
                          </w:rPr>
                        </w:pPr>
                        <w:r>
                          <w:rPr>
                            <w:sz w:val="26"/>
                          </w:rPr>
                          <w:t>security</w:t>
                        </w:r>
                        <w:r>
                          <w:rPr>
                            <w:spacing w:val="70"/>
                            <w:sz w:val="26"/>
                          </w:rPr>
                          <w:t> </w:t>
                        </w:r>
                        <w:r>
                          <w:rPr>
                            <w:sz w:val="26"/>
                          </w:rPr>
                          <w:t>arrangement</w:t>
                        </w:r>
                        <w:r>
                          <w:rPr>
                            <w:spacing w:val="72"/>
                            <w:sz w:val="26"/>
                          </w:rPr>
                          <w:t> </w:t>
                        </w:r>
                        <w:r>
                          <w:rPr>
                            <w:sz w:val="26"/>
                          </w:rPr>
                          <w:t>with</w:t>
                        </w:r>
                        <w:r>
                          <w:rPr>
                            <w:spacing w:val="72"/>
                            <w:sz w:val="26"/>
                          </w:rPr>
                          <w:t> </w:t>
                        </w:r>
                        <w:r>
                          <w:rPr>
                            <w:sz w:val="26"/>
                          </w:rPr>
                          <w:t>Cyprus.</w:t>
                        </w:r>
                        <w:r>
                          <w:rPr>
                            <w:position w:val="7"/>
                            <w:sz w:val="15"/>
                          </w:rPr>
                          <w:t>48</w:t>
                        </w:r>
                        <w:r>
                          <w:rPr>
                            <w:spacing w:val="31"/>
                            <w:position w:val="7"/>
                            <w:sz w:val="15"/>
                          </w:rPr>
                          <w:t>  </w:t>
                        </w:r>
                        <w:r>
                          <w:rPr>
                            <w:sz w:val="26"/>
                          </w:rPr>
                          <w:t>However,</w:t>
                        </w:r>
                        <w:r>
                          <w:rPr>
                            <w:spacing w:val="74"/>
                            <w:sz w:val="26"/>
                          </w:rPr>
                          <w:t> </w:t>
                        </w:r>
                        <w:r>
                          <w:rPr>
                            <w:sz w:val="26"/>
                          </w:rPr>
                          <w:t>Cyprus</w:t>
                        </w:r>
                        <w:r>
                          <w:rPr>
                            <w:spacing w:val="69"/>
                            <w:sz w:val="26"/>
                          </w:rPr>
                          <w:t> </w:t>
                        </w:r>
                        <w:r>
                          <w:rPr>
                            <w:sz w:val="26"/>
                          </w:rPr>
                          <w:t>tries</w:t>
                        </w:r>
                        <w:r>
                          <w:rPr>
                            <w:spacing w:val="74"/>
                            <w:sz w:val="26"/>
                          </w:rPr>
                          <w:t> </w:t>
                        </w:r>
                        <w:r>
                          <w:rPr>
                            <w:sz w:val="26"/>
                          </w:rPr>
                          <w:t>to</w:t>
                        </w:r>
                        <w:r>
                          <w:rPr>
                            <w:spacing w:val="69"/>
                            <w:sz w:val="26"/>
                          </w:rPr>
                          <w:t> </w:t>
                        </w:r>
                        <w:r>
                          <w:rPr>
                            <w:sz w:val="26"/>
                          </w:rPr>
                          <w:t>use</w:t>
                        </w:r>
                        <w:r>
                          <w:rPr>
                            <w:spacing w:val="72"/>
                            <w:sz w:val="26"/>
                          </w:rPr>
                          <w:t> </w:t>
                        </w:r>
                        <w:r>
                          <w:rPr>
                            <w:spacing w:val="-5"/>
                            <w:sz w:val="26"/>
                          </w:rPr>
                          <w:t>EU</w:t>
                        </w:r>
                      </w:p>
                    </w:txbxContent>
                  </v:textbox>
                  <w10:wrap type="none"/>
                </v:shape>
                <w10:wrap type="topAndBottom"/>
              </v:group>
            </w:pict>
          </mc:Fallback>
        </mc:AlternateContent>
      </w:r>
    </w:p>
    <w:p>
      <w:pPr>
        <w:pStyle w:val="BodyText"/>
        <w:spacing w:line="273" w:lineRule="auto" w:before="59"/>
        <w:ind w:right="1906" w:hanging="40"/>
      </w:pPr>
      <w:r>
        <w:rPr>
          <w:color w:val="000000"/>
          <w:spacing w:val="-17"/>
          <w:shd w:fill="FEFE8B" w:color="auto" w:val="clear"/>
        </w:rPr>
        <w:t> </w:t>
      </w:r>
      <w:r>
        <w:rPr>
          <w:color w:val="000000"/>
          <w:shd w:fill="FEFE8B" w:color="auto" w:val="clear"/>
        </w:rPr>
        <w:t>membership against Turkey. </w:t>
      </w:r>
      <w:r>
        <w:rPr>
          <w:color w:val="000000"/>
        </w:rPr>
        <w:t>As a result the NATO and EU have to find alternative solutions to the problems, if both Turkey and Cyprus are involved. One option is organizing informal meetings without an agreed framework, but recently France has taken a firm position against such arrangements. (</w:t>
      </w:r>
      <w:hyperlink w:history="true" w:anchor="_bookmark225">
        <w:r>
          <w:rPr>
            <w:color w:val="000000"/>
          </w:rPr>
          <w:t>Hofmann &amp;</w:t>
        </w:r>
        <w:r>
          <w:rPr>
            <w:color w:val="000000"/>
            <w:spacing w:val="-2"/>
          </w:rPr>
          <w:t> </w:t>
        </w:r>
        <w:r>
          <w:rPr>
            <w:color w:val="000000"/>
          </w:rPr>
          <w:t>Reynolds, 2007</w:t>
        </w:r>
      </w:hyperlink>
      <w:r>
        <w:rPr>
          <w:color w:val="000000"/>
        </w:rPr>
        <w:t>) We have already observed that the French political elites are in favor of the stronger role of the EU in the NATO, simultaneously, especially during the presidency of </w:t>
      </w:r>
      <w:r>
        <w:rPr>
          <w:color w:val="000000"/>
          <w:sz w:val="27"/>
        </w:rPr>
        <w:t>Nicholas Sarkozy</w:t>
      </w:r>
      <w:r>
        <w:rPr>
          <w:color w:val="000000"/>
        </w:rPr>
        <w:t>, the French government had openly opposed the possible membership of Turkey in the EU. Therefore, it is not surprising that Paris did not like accepting the Turkish rules on the EU ground.</w:t>
      </w:r>
    </w:p>
    <w:p>
      <w:pPr>
        <w:pStyle w:val="BodyText"/>
        <w:spacing w:line="276" w:lineRule="auto" w:before="3"/>
        <w:ind w:right="1901" w:firstLine="720"/>
      </w:pPr>
      <w:r>
        <w:rPr/>
        <w:t>Worth</w:t>
      </w:r>
      <w:r>
        <w:rPr>
          <w:spacing w:val="-1"/>
        </w:rPr>
        <w:t> </w:t>
      </w:r>
      <w:r>
        <w:rPr/>
        <w:t>mentioning</w:t>
      </w:r>
      <w:r>
        <w:rPr>
          <w:spacing w:val="-1"/>
        </w:rPr>
        <w:t> </w:t>
      </w:r>
      <w:r>
        <w:rPr/>
        <w:t>the</w:t>
      </w:r>
      <w:r>
        <w:rPr>
          <w:spacing w:val="-1"/>
        </w:rPr>
        <w:t> </w:t>
      </w:r>
      <w:r>
        <w:rPr/>
        <w:t>fact</w:t>
      </w:r>
      <w:r>
        <w:rPr>
          <w:spacing w:val="-1"/>
        </w:rPr>
        <w:t> </w:t>
      </w:r>
      <w:r>
        <w:rPr/>
        <w:t>that</w:t>
      </w:r>
      <w:r>
        <w:rPr>
          <w:spacing w:val="-1"/>
        </w:rPr>
        <w:t> </w:t>
      </w:r>
      <w:r>
        <w:rPr/>
        <w:t>even those</w:t>
      </w:r>
      <w:r>
        <w:rPr>
          <w:spacing w:val="-1"/>
        </w:rPr>
        <w:t> </w:t>
      </w:r>
      <w:r>
        <w:rPr/>
        <w:t>member states</w:t>
      </w:r>
      <w:r>
        <w:rPr>
          <w:spacing w:val="-3"/>
        </w:rPr>
        <w:t> </w:t>
      </w:r>
      <w:r>
        <w:rPr/>
        <w:t>who</w:t>
      </w:r>
      <w:r>
        <w:rPr>
          <w:spacing w:val="-4"/>
        </w:rPr>
        <w:t> </w:t>
      </w:r>
      <w:r>
        <w:rPr/>
        <w:t>are</w:t>
      </w:r>
      <w:r>
        <w:rPr>
          <w:spacing w:val="-1"/>
        </w:rPr>
        <w:t> </w:t>
      </w:r>
      <w:r>
        <w:rPr/>
        <w:t>in both organizations might have different security concerns, therefore their position in common defense planning can vary. For example, the Eastern European and Baltic states felt more threatened by the Russian agression in</w:t>
      </w:r>
    </w:p>
    <w:p>
      <w:pPr>
        <w:pStyle w:val="BodyText"/>
        <w:spacing w:before="123"/>
        <w:ind w:left="0"/>
        <w:jc w:val="left"/>
        <w:rPr>
          <w:sz w:val="20"/>
        </w:rPr>
      </w:pPr>
      <w:r>
        <w:rPr>
          <w:sz w:val="20"/>
        </w:rPr>
        <mc:AlternateContent>
          <mc:Choice Requires="wps">
            <w:drawing>
              <wp:anchor distT="0" distB="0" distL="0" distR="0" allowOverlap="1" layoutInCell="1" locked="0" behindDoc="1" simplePos="0" relativeHeight="487674368">
                <wp:simplePos x="0" y="0"/>
                <wp:positionH relativeFrom="page">
                  <wp:posOffset>1079296</wp:posOffset>
                </wp:positionH>
                <wp:positionV relativeFrom="paragraph">
                  <wp:posOffset>261044</wp:posOffset>
                </wp:positionV>
                <wp:extent cx="1830070" cy="9525"/>
                <wp:effectExtent l="0" t="0" r="0" b="0"/>
                <wp:wrapTopAndBottom/>
                <wp:docPr id="211" name="Graphic 211"/>
                <wp:cNvGraphicFramePr>
                  <a:graphicFrameLocks/>
                </wp:cNvGraphicFramePr>
                <a:graphic>
                  <a:graphicData uri="http://schemas.microsoft.com/office/word/2010/wordprocessingShape">
                    <wps:wsp>
                      <wps:cNvPr id="211" name="Graphic 211"/>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20.554647pt;width:144.07pt;height:.72003pt;mso-position-horizontal-relative:page;mso-position-vertical-relative:paragraph;z-index:-15642112;mso-wrap-distance-left:0;mso-wrap-distance-right:0" id="docshape197" filled="true" fillcolor="#000000" stroked="false">
                <v:fill type="solid"/>
                <w10:wrap type="topAndBottom"/>
              </v:rect>
            </w:pict>
          </mc:Fallback>
        </mc:AlternateContent>
      </w:r>
    </w:p>
    <w:p>
      <w:pPr>
        <w:spacing w:before="103"/>
        <w:ind w:left="979" w:right="0" w:firstLine="0"/>
        <w:jc w:val="left"/>
        <w:rPr>
          <w:rFonts w:ascii="Calibri"/>
          <w:sz w:val="20"/>
        </w:rPr>
      </w:pPr>
      <w:r>
        <w:rPr>
          <w:rFonts w:ascii="Calibri"/>
          <w:sz w:val="20"/>
          <w:vertAlign w:val="superscript"/>
        </w:rPr>
        <w:t>48</w:t>
      </w:r>
      <w:r>
        <w:rPr>
          <w:rFonts w:ascii="Calibri"/>
          <w:spacing w:val="-1"/>
          <w:sz w:val="20"/>
          <w:vertAlign w:val="baseline"/>
        </w:rPr>
        <w:t> </w:t>
      </w:r>
      <w:r>
        <w:rPr>
          <w:rFonts w:ascii="Calibri"/>
          <w:sz w:val="20"/>
          <w:vertAlign w:val="baseline"/>
        </w:rPr>
        <w:t>Turkey</w:t>
      </w:r>
      <w:r>
        <w:rPr>
          <w:rFonts w:ascii="Calibri"/>
          <w:spacing w:val="-6"/>
          <w:sz w:val="20"/>
          <w:vertAlign w:val="baseline"/>
        </w:rPr>
        <w:t> </w:t>
      </w:r>
      <w:r>
        <w:rPr>
          <w:rFonts w:ascii="Calibri"/>
          <w:sz w:val="20"/>
          <w:vertAlign w:val="baseline"/>
        </w:rPr>
        <w:t>NATO</w:t>
      </w:r>
      <w:r>
        <w:rPr>
          <w:rFonts w:ascii="Calibri"/>
          <w:spacing w:val="-6"/>
          <w:sz w:val="20"/>
          <w:vertAlign w:val="baseline"/>
        </w:rPr>
        <w:t> </w:t>
      </w:r>
      <w:r>
        <w:rPr>
          <w:rFonts w:ascii="Calibri"/>
          <w:sz w:val="20"/>
          <w:vertAlign w:val="baseline"/>
        </w:rPr>
        <w:t>member</w:t>
      </w:r>
      <w:r>
        <w:rPr>
          <w:rFonts w:ascii="Calibri"/>
          <w:spacing w:val="-5"/>
          <w:sz w:val="20"/>
          <w:vertAlign w:val="baseline"/>
        </w:rPr>
        <w:t> </w:t>
      </w:r>
      <w:r>
        <w:rPr>
          <w:rFonts w:ascii="Calibri"/>
          <w:sz w:val="20"/>
          <w:vertAlign w:val="baseline"/>
        </w:rPr>
        <w:t>EU</w:t>
      </w:r>
      <w:r>
        <w:rPr>
          <w:rFonts w:ascii="Calibri"/>
          <w:spacing w:val="-6"/>
          <w:sz w:val="20"/>
          <w:vertAlign w:val="baseline"/>
        </w:rPr>
        <w:t> </w:t>
      </w:r>
      <w:r>
        <w:rPr>
          <w:rFonts w:ascii="Calibri"/>
          <w:sz w:val="20"/>
          <w:vertAlign w:val="baseline"/>
        </w:rPr>
        <w:t>candidate,</w:t>
      </w:r>
      <w:r>
        <w:rPr>
          <w:rFonts w:ascii="Calibri"/>
          <w:spacing w:val="-4"/>
          <w:sz w:val="20"/>
          <w:vertAlign w:val="baseline"/>
        </w:rPr>
        <w:t> </w:t>
      </w:r>
      <w:r>
        <w:rPr>
          <w:rFonts w:ascii="Calibri"/>
          <w:sz w:val="20"/>
          <w:vertAlign w:val="baseline"/>
        </w:rPr>
        <w:t>Cyprus</w:t>
      </w:r>
      <w:r>
        <w:rPr>
          <w:rFonts w:ascii="Calibri"/>
          <w:spacing w:val="-8"/>
          <w:sz w:val="20"/>
          <w:vertAlign w:val="baseline"/>
        </w:rPr>
        <w:t> </w:t>
      </w:r>
      <w:r>
        <w:rPr>
          <w:rFonts w:ascii="Calibri"/>
          <w:sz w:val="20"/>
          <w:vertAlign w:val="baseline"/>
        </w:rPr>
        <w:t>EU</w:t>
      </w:r>
      <w:r>
        <w:rPr>
          <w:rFonts w:ascii="Calibri"/>
          <w:spacing w:val="-6"/>
          <w:sz w:val="20"/>
          <w:vertAlign w:val="baseline"/>
        </w:rPr>
        <w:t> </w:t>
      </w:r>
      <w:r>
        <w:rPr>
          <w:rFonts w:ascii="Calibri"/>
          <w:spacing w:val="-2"/>
          <w:sz w:val="20"/>
          <w:vertAlign w:val="baseline"/>
        </w:rPr>
        <w:t>member</w:t>
      </w:r>
    </w:p>
    <w:p>
      <w:pPr>
        <w:spacing w:after="0"/>
        <w:jc w:val="left"/>
        <w:rPr>
          <w:rFonts w:ascii="Calibri"/>
          <w:sz w:val="20"/>
        </w:rPr>
        <w:sectPr>
          <w:pgSz w:w="12240" w:h="15840"/>
          <w:pgMar w:header="1046" w:footer="0" w:top="1360" w:bottom="280" w:left="720" w:right="360"/>
        </w:sectPr>
      </w:pPr>
    </w:p>
    <w:p>
      <w:pPr>
        <w:pStyle w:val="BodyText"/>
        <w:spacing w:line="276" w:lineRule="auto" w:before="266"/>
        <w:ind w:right="1904"/>
      </w:pPr>
      <w:r>
        <w:rPr/>
        <w:t>Georgia and Ukraine, than the western Europeans. </w:t>
      </w:r>
      <w:r>
        <w:rPr>
          <w:sz w:val="27"/>
        </w:rPr>
        <w:t>Jolyon Howorth </w:t>
      </w:r>
      <w:r>
        <w:rPr/>
        <w:t>argues that “for the Baltics, Poland and Norway, a shared border with Russia made article 5 the alpha and omega of NATO membership, a sensitivity only accentuated by the 2008 Georgia war.” (</w:t>
      </w:r>
      <w:hyperlink w:history="true" w:anchor="_bookmark228">
        <w:r>
          <w:rPr/>
          <w:t>2010, p. 13</w:t>
        </w:r>
      </w:hyperlink>
      <w:r>
        <w:rPr/>
        <w:t>)</w:t>
      </w:r>
    </w:p>
    <w:p>
      <w:pPr>
        <w:pStyle w:val="BodyText"/>
        <w:spacing w:line="276" w:lineRule="auto"/>
        <w:ind w:right="1913" w:firstLine="720"/>
      </w:pPr>
      <w:r>
        <w:rPr/>
        <w:t>This section has to answer a commonly asked question, can the EU</w:t>
      </w:r>
      <w:r>
        <w:rPr>
          <w:spacing w:val="40"/>
        </w:rPr>
        <w:t> </w:t>
      </w:r>
      <w:r>
        <w:rPr/>
        <w:t>be considered as an independent security actor, and if so, what kind of power it has? To say it otherwise, what are the mechanisms that the European Union as a system maintaines security relationships with the </w:t>
      </w:r>
      <w:r>
        <w:rPr>
          <w:spacing w:val="-2"/>
        </w:rPr>
        <w:t>environment?</w:t>
      </w:r>
    </w:p>
    <w:p>
      <w:pPr>
        <w:pStyle w:val="BodyText"/>
        <w:spacing w:line="273" w:lineRule="auto"/>
        <w:ind w:right="1908" w:firstLine="720"/>
      </w:pPr>
      <w:r>
        <w:rPr/>
        <w:t>We have already indicated above that some scholars ascribe a notion of</w:t>
      </w:r>
      <w:r>
        <w:rPr>
          <w:spacing w:val="-6"/>
        </w:rPr>
        <w:t> </w:t>
      </w:r>
      <w:r>
        <w:rPr>
          <w:sz w:val="27"/>
        </w:rPr>
        <w:t>civilian</w:t>
      </w:r>
      <w:r>
        <w:rPr>
          <w:spacing w:val="-6"/>
          <w:sz w:val="27"/>
        </w:rPr>
        <w:t> </w:t>
      </w:r>
      <w:r>
        <w:rPr>
          <w:sz w:val="27"/>
        </w:rPr>
        <w:t>power</w:t>
      </w:r>
      <w:r>
        <w:rPr>
          <w:spacing w:val="-6"/>
          <w:sz w:val="27"/>
        </w:rPr>
        <w:t> </w:t>
      </w:r>
      <w:r>
        <w:rPr/>
        <w:t>to</w:t>
      </w:r>
      <w:r>
        <w:rPr>
          <w:spacing w:val="-8"/>
        </w:rPr>
        <w:t> </w:t>
      </w:r>
      <w:r>
        <w:rPr/>
        <w:t>the</w:t>
      </w:r>
      <w:r>
        <w:rPr>
          <w:spacing w:val="-5"/>
        </w:rPr>
        <w:t> </w:t>
      </w:r>
      <w:r>
        <w:rPr/>
        <w:t>EU.</w:t>
      </w:r>
      <w:r>
        <w:rPr>
          <w:spacing w:val="-4"/>
        </w:rPr>
        <w:t> </w:t>
      </w:r>
      <w:r>
        <w:rPr/>
        <w:t>According</w:t>
      </w:r>
      <w:r>
        <w:rPr>
          <w:spacing w:val="-5"/>
        </w:rPr>
        <w:t> </w:t>
      </w:r>
      <w:r>
        <w:rPr/>
        <w:t>to</w:t>
      </w:r>
      <w:r>
        <w:rPr>
          <w:spacing w:val="-3"/>
        </w:rPr>
        <w:t> </w:t>
      </w:r>
      <w:r>
        <w:rPr>
          <w:sz w:val="27"/>
        </w:rPr>
        <w:t>Duchêne</w:t>
      </w:r>
      <w:r>
        <w:rPr>
          <w:spacing w:val="-6"/>
          <w:sz w:val="27"/>
        </w:rPr>
        <w:t> </w:t>
      </w:r>
      <w:r>
        <w:rPr/>
        <w:t>EC</w:t>
      </w:r>
      <w:r>
        <w:rPr>
          <w:spacing w:val="-5"/>
        </w:rPr>
        <w:t> </w:t>
      </w:r>
      <w:r>
        <w:rPr/>
        <w:t>was</w:t>
      </w:r>
      <w:r>
        <w:rPr>
          <w:spacing w:val="-7"/>
        </w:rPr>
        <w:t> </w:t>
      </w:r>
      <w:r>
        <w:rPr/>
        <w:t>a</w:t>
      </w:r>
      <w:r>
        <w:rPr>
          <w:spacing w:val="-5"/>
        </w:rPr>
        <w:t> </w:t>
      </w:r>
      <w:r>
        <w:rPr/>
        <w:t>civilian</w:t>
      </w:r>
      <w:r>
        <w:rPr>
          <w:spacing w:val="-4"/>
        </w:rPr>
        <w:t> </w:t>
      </w:r>
      <w:r>
        <w:rPr/>
        <w:t>power ‘long on economic power and relatively short on armed force.’ Civilian powers</w:t>
      </w:r>
      <w:r>
        <w:rPr>
          <w:spacing w:val="-7"/>
        </w:rPr>
        <w:t> </w:t>
      </w:r>
      <w:r>
        <w:rPr/>
        <w:t>have</w:t>
      </w:r>
      <w:r>
        <w:rPr>
          <w:spacing w:val="-1"/>
        </w:rPr>
        <w:t> </w:t>
      </w:r>
      <w:r>
        <w:rPr/>
        <w:t>role</w:t>
      </w:r>
      <w:r>
        <w:rPr>
          <w:spacing w:val="-1"/>
        </w:rPr>
        <w:t> </w:t>
      </w:r>
      <w:r>
        <w:rPr/>
        <w:t>to</w:t>
      </w:r>
      <w:r>
        <w:rPr>
          <w:spacing w:val="-4"/>
        </w:rPr>
        <w:t> </w:t>
      </w:r>
      <w:r>
        <w:rPr/>
        <w:t>‘civilize’</w:t>
      </w:r>
      <w:r>
        <w:rPr>
          <w:spacing w:val="-7"/>
        </w:rPr>
        <w:t> </w:t>
      </w:r>
      <w:r>
        <w:rPr/>
        <w:t>the</w:t>
      </w:r>
      <w:r>
        <w:rPr>
          <w:spacing w:val="-6"/>
        </w:rPr>
        <w:t> </w:t>
      </w:r>
      <w:r>
        <w:rPr/>
        <w:t>third</w:t>
      </w:r>
      <w:r>
        <w:rPr>
          <w:spacing w:val="-4"/>
        </w:rPr>
        <w:t> </w:t>
      </w:r>
      <w:r>
        <w:rPr/>
        <w:t>party</w:t>
      </w:r>
      <w:r>
        <w:rPr>
          <w:spacing w:val="-2"/>
        </w:rPr>
        <w:t> </w:t>
      </w:r>
      <w:r>
        <w:rPr/>
        <w:t>they</w:t>
      </w:r>
      <w:r>
        <w:rPr>
          <w:spacing w:val="-6"/>
        </w:rPr>
        <w:t> </w:t>
      </w:r>
      <w:r>
        <w:rPr/>
        <w:t>interact</w:t>
      </w:r>
      <w:r>
        <w:rPr>
          <w:spacing w:val="-6"/>
        </w:rPr>
        <w:t> </w:t>
      </w:r>
      <w:r>
        <w:rPr/>
        <w:t>with. </w:t>
      </w:r>
      <w:r>
        <w:rPr>
          <w:sz w:val="27"/>
        </w:rPr>
        <w:t>Hedley</w:t>
      </w:r>
      <w:r>
        <w:rPr>
          <w:spacing w:val="-9"/>
          <w:sz w:val="27"/>
        </w:rPr>
        <w:t> </w:t>
      </w:r>
      <w:r>
        <w:rPr>
          <w:sz w:val="27"/>
        </w:rPr>
        <w:t>Bull </w:t>
      </w:r>
      <w:r>
        <w:rPr/>
        <w:t>had accepted this status of the EC, however, criticized it as ineffective</w:t>
      </w:r>
      <w:r>
        <w:rPr>
          <w:spacing w:val="40"/>
        </w:rPr>
        <w:t> </w:t>
      </w:r>
      <w:r>
        <w:rPr/>
        <w:t>and potentially dangerous for the future of the community. He suggested, that the unity had to move towards militarization in order to be ready for the challenges. (</w:t>
      </w:r>
      <w:hyperlink w:history="true" w:anchor="_bookmark119">
        <w:r>
          <w:rPr/>
          <w:t>Bull, 1982</w:t>
        </w:r>
      </w:hyperlink>
      <w:r>
        <w:rPr/>
        <w:t>)</w:t>
      </w:r>
    </w:p>
    <w:p>
      <w:pPr>
        <w:pStyle w:val="BodyText"/>
        <w:spacing w:line="271" w:lineRule="auto"/>
        <w:ind w:right="1904" w:firstLine="720"/>
        <w:rPr>
          <w:sz w:val="27"/>
        </w:rPr>
      </w:pPr>
      <w:r>
        <w:rPr/>
        <w:t>As we have seen above, Europe was not able to build a full scale defense system. For some scholars even the attempts to create some sort of military identity were a dangerous as it weakened a long established ‘soft’ image of the European Union. The threat to lose the value-based identity is important for the </w:t>
      </w:r>
      <w:r>
        <w:rPr>
          <w:sz w:val="27"/>
        </w:rPr>
        <w:t>Normative Power </w:t>
      </w:r>
      <w:r>
        <w:rPr/>
        <w:t>approach. (</w:t>
      </w:r>
      <w:hyperlink w:history="true" w:anchor="_bookmark274">
        <w:r>
          <w:rPr/>
          <w:t>Manners, 2002</w:t>
        </w:r>
      </w:hyperlink>
      <w:r>
        <w:rPr/>
        <w:t>) According to </w:t>
      </w:r>
      <w:r>
        <w:rPr>
          <w:sz w:val="27"/>
        </w:rPr>
        <w:t>Manners, </w:t>
      </w:r>
      <w:r>
        <w:rPr/>
        <w:t>there are five ‘core’ norms that can be pointed out from the </w:t>
      </w:r>
      <w:r>
        <w:rPr>
          <w:sz w:val="27"/>
        </w:rPr>
        <w:t>acquis communautaire </w:t>
      </w:r>
      <w:r>
        <w:rPr/>
        <w:t>and </w:t>
      </w:r>
      <w:r>
        <w:rPr>
          <w:sz w:val="27"/>
        </w:rPr>
        <w:t>acquis politique </w:t>
      </w:r>
      <w:r>
        <w:rPr/>
        <w:t>: liberty, human rights, peace, democracy and the rule of law.</w:t>
      </w:r>
      <w:r>
        <w:rPr>
          <w:spacing w:val="40"/>
        </w:rPr>
        <w:t> </w:t>
      </w:r>
      <w:r>
        <w:rPr/>
        <w:t>In accordance with these norms were developed four ‘minor’ norms: social solidarity, anti-discrimination, sustainable developmend and</w:t>
      </w:r>
      <w:r>
        <w:rPr>
          <w:spacing w:val="-2"/>
        </w:rPr>
        <w:t> </w:t>
      </w:r>
      <w:r>
        <w:rPr/>
        <w:t>good governance. (</w:t>
      </w:r>
      <w:hyperlink w:history="true" w:anchor="_bookmark274">
        <w:r>
          <w:rPr/>
          <w:t>2002,</w:t>
        </w:r>
        <w:r>
          <w:rPr>
            <w:spacing w:val="-2"/>
          </w:rPr>
          <w:t> </w:t>
        </w:r>
        <w:r>
          <w:rPr/>
          <w:t>p. 242</w:t>
        </w:r>
      </w:hyperlink>
      <w:r>
        <w:rPr/>
        <w:t>)</w:t>
      </w:r>
      <w:r>
        <w:rPr>
          <w:spacing w:val="40"/>
        </w:rPr>
        <w:t> </w:t>
      </w:r>
      <w:r>
        <w:rPr/>
        <w:t>These norms are</w:t>
      </w:r>
      <w:r>
        <w:rPr>
          <w:spacing w:val="-15"/>
        </w:rPr>
        <w:t> </w:t>
      </w:r>
      <w:r>
        <w:rPr/>
        <w:t>spread</w:t>
      </w:r>
      <w:r>
        <w:rPr>
          <w:spacing w:val="-13"/>
        </w:rPr>
        <w:t> </w:t>
      </w:r>
      <w:r>
        <w:rPr/>
        <w:t>via:</w:t>
      </w:r>
      <w:r>
        <w:rPr>
          <w:spacing w:val="-11"/>
        </w:rPr>
        <w:t> </w:t>
      </w:r>
      <w:r>
        <w:rPr>
          <w:sz w:val="27"/>
        </w:rPr>
        <w:t>contagation</w:t>
      </w:r>
      <w:r>
        <w:rPr>
          <w:spacing w:val="-15"/>
          <w:sz w:val="27"/>
        </w:rPr>
        <w:t> </w:t>
      </w:r>
      <w:r>
        <w:rPr/>
        <w:t>–</w:t>
      </w:r>
      <w:r>
        <w:rPr>
          <w:spacing w:val="-11"/>
        </w:rPr>
        <w:t> </w:t>
      </w:r>
      <w:r>
        <w:rPr/>
        <w:t>an</w:t>
      </w:r>
      <w:r>
        <w:rPr>
          <w:spacing w:val="-13"/>
        </w:rPr>
        <w:t> </w:t>
      </w:r>
      <w:r>
        <w:rPr/>
        <w:t>unintentional</w:t>
      </w:r>
      <w:r>
        <w:rPr>
          <w:spacing w:val="-16"/>
        </w:rPr>
        <w:t> </w:t>
      </w:r>
      <w:r>
        <w:rPr/>
        <w:t>diffusion</w:t>
      </w:r>
      <w:r>
        <w:rPr>
          <w:spacing w:val="-14"/>
        </w:rPr>
        <w:t> </w:t>
      </w:r>
      <w:r>
        <w:rPr/>
        <w:t>ideas,</w:t>
      </w:r>
      <w:r>
        <w:rPr>
          <w:spacing w:val="-9"/>
        </w:rPr>
        <w:t> </w:t>
      </w:r>
      <w:r>
        <w:rPr>
          <w:sz w:val="27"/>
        </w:rPr>
        <w:t>Informational </w:t>
      </w:r>
      <w:r>
        <w:rPr/>
        <w:t>diffusion that emerges</w:t>
      </w:r>
      <w:r>
        <w:rPr>
          <w:spacing w:val="-2"/>
        </w:rPr>
        <w:t> </w:t>
      </w:r>
      <w:r>
        <w:rPr/>
        <w:t>on the basis</w:t>
      </w:r>
      <w:r>
        <w:rPr>
          <w:spacing w:val="-2"/>
        </w:rPr>
        <w:t> </w:t>
      </w:r>
      <w:r>
        <w:rPr/>
        <w:t>of</w:t>
      </w:r>
      <w:r>
        <w:rPr>
          <w:spacing w:val="-1"/>
        </w:rPr>
        <w:t> </w:t>
      </w:r>
      <w:r>
        <w:rPr/>
        <w:t>strategic</w:t>
      </w:r>
      <w:r>
        <w:rPr>
          <w:spacing w:val="-1"/>
        </w:rPr>
        <w:t> </w:t>
      </w:r>
      <w:r>
        <w:rPr/>
        <w:t>communications, </w:t>
      </w:r>
      <w:r>
        <w:rPr>
          <w:sz w:val="27"/>
        </w:rPr>
        <w:t>procedural </w:t>
      </w:r>
      <w:r>
        <w:rPr/>
        <w:t>diffusion involving the institutionalization of relations with the third parties,</w:t>
      </w:r>
      <w:r>
        <w:rPr>
          <w:spacing w:val="38"/>
        </w:rPr>
        <w:t> </w:t>
      </w:r>
      <w:r>
        <w:rPr>
          <w:sz w:val="27"/>
        </w:rPr>
        <w:t>transference</w:t>
      </w:r>
      <w:r>
        <w:rPr>
          <w:spacing w:val="30"/>
          <w:sz w:val="27"/>
        </w:rPr>
        <w:t> </w:t>
      </w:r>
      <w:r>
        <w:rPr/>
        <w:t>–</w:t>
      </w:r>
      <w:r>
        <w:rPr>
          <w:spacing w:val="36"/>
        </w:rPr>
        <w:t> </w:t>
      </w:r>
      <w:r>
        <w:rPr/>
        <w:t>diffusion</w:t>
      </w:r>
      <w:r>
        <w:rPr>
          <w:spacing w:val="36"/>
        </w:rPr>
        <w:t> </w:t>
      </w:r>
      <w:r>
        <w:rPr/>
        <w:t>by</w:t>
      </w:r>
      <w:r>
        <w:rPr>
          <w:spacing w:val="36"/>
        </w:rPr>
        <w:t> </w:t>
      </w:r>
      <w:r>
        <w:rPr/>
        <w:t>economic</w:t>
      </w:r>
      <w:r>
        <w:rPr>
          <w:spacing w:val="34"/>
        </w:rPr>
        <w:t> </w:t>
      </w:r>
      <w:r>
        <w:rPr/>
        <w:t>means</w:t>
      </w:r>
      <w:r>
        <w:rPr>
          <w:spacing w:val="34"/>
        </w:rPr>
        <w:t> </w:t>
      </w:r>
      <w:r>
        <w:rPr/>
        <w:t>and</w:t>
      </w:r>
      <w:r>
        <w:rPr>
          <w:spacing w:val="37"/>
        </w:rPr>
        <w:t> </w:t>
      </w:r>
      <w:r>
        <w:rPr/>
        <w:t>finally,</w:t>
      </w:r>
      <w:r>
        <w:rPr>
          <w:spacing w:val="42"/>
        </w:rPr>
        <w:t> </w:t>
      </w:r>
      <w:r>
        <w:rPr>
          <w:spacing w:val="-2"/>
          <w:sz w:val="27"/>
        </w:rPr>
        <w:t>cultural</w:t>
      </w:r>
    </w:p>
    <w:p>
      <w:pPr>
        <w:pStyle w:val="BodyText"/>
        <w:spacing w:after="0" w:line="271" w:lineRule="auto"/>
        <w:rPr>
          <w:sz w:val="27"/>
        </w:rPr>
        <w:sectPr>
          <w:pgSz w:w="12240" w:h="15840"/>
          <w:pgMar w:header="1046" w:footer="0" w:top="1360" w:bottom="280" w:left="720" w:right="360"/>
        </w:sectPr>
      </w:pPr>
    </w:p>
    <w:p>
      <w:pPr>
        <w:pStyle w:val="BodyText"/>
        <w:spacing w:line="273" w:lineRule="auto" w:before="266"/>
        <w:ind w:right="1903"/>
      </w:pPr>
      <w:r>
        <w:rPr>
          <w:sz w:val="27"/>
        </w:rPr>
        <w:t>filter</w:t>
      </w:r>
      <w:r>
        <w:rPr>
          <w:spacing w:val="-3"/>
          <w:sz w:val="27"/>
        </w:rPr>
        <w:t> </w:t>
      </w:r>
      <w:r>
        <w:rPr/>
        <w:t>involving</w:t>
      </w:r>
      <w:r>
        <w:rPr>
          <w:spacing w:val="-2"/>
        </w:rPr>
        <w:t> </w:t>
      </w:r>
      <w:r>
        <w:rPr/>
        <w:t>learning,</w:t>
      </w:r>
      <w:r>
        <w:rPr>
          <w:spacing w:val="-2"/>
        </w:rPr>
        <w:t> </w:t>
      </w:r>
      <w:r>
        <w:rPr/>
        <w:t>adaptation</w:t>
      </w:r>
      <w:r>
        <w:rPr>
          <w:spacing w:val="-2"/>
        </w:rPr>
        <w:t> </w:t>
      </w:r>
      <w:r>
        <w:rPr/>
        <w:t>or</w:t>
      </w:r>
      <w:r>
        <w:rPr>
          <w:spacing w:val="-2"/>
        </w:rPr>
        <w:t> </w:t>
      </w:r>
      <w:r>
        <w:rPr/>
        <w:t>rejection</w:t>
      </w:r>
      <w:r>
        <w:rPr>
          <w:spacing w:val="-2"/>
        </w:rPr>
        <w:t> </w:t>
      </w:r>
      <w:r>
        <w:rPr/>
        <w:t>of</w:t>
      </w:r>
      <w:r>
        <w:rPr>
          <w:spacing w:val="-3"/>
        </w:rPr>
        <w:t> </w:t>
      </w:r>
      <w:r>
        <w:rPr/>
        <w:t>certain</w:t>
      </w:r>
      <w:r>
        <w:rPr>
          <w:spacing w:val="-2"/>
        </w:rPr>
        <w:t> </w:t>
      </w:r>
      <w:r>
        <w:rPr/>
        <w:t>norms (</w:t>
      </w:r>
      <w:hyperlink w:history="true" w:anchor="_bookmark274">
        <w:r>
          <w:rPr/>
          <w:t>Manners,</w:t>
        </w:r>
      </w:hyperlink>
      <w:r>
        <w:rPr/>
        <w:t> </w:t>
      </w:r>
      <w:hyperlink w:history="true" w:anchor="_bookmark274">
        <w:r>
          <w:rPr/>
          <w:t>2002, p. 245</w:t>
        </w:r>
      </w:hyperlink>
      <w:r>
        <w:rPr/>
        <w:t>).</w:t>
      </w:r>
    </w:p>
    <w:p>
      <w:pPr>
        <w:pStyle w:val="BodyText"/>
        <w:spacing w:line="276" w:lineRule="auto" w:before="2"/>
        <w:ind w:right="1907" w:firstLine="720"/>
      </w:pPr>
      <w:r>
        <w:rPr/>
        <w:t>The normative power is about influencing conceptions of what ‘is normal in world politics.’ (</w:t>
      </w:r>
      <w:hyperlink w:history="true" w:anchor="_bookmark358">
        <w:r>
          <w:rPr/>
          <w:t>Rosamond, 2014</w:t>
        </w:r>
      </w:hyperlink>
      <w:r>
        <w:rPr/>
        <w:t>) The norms of the European Union are innately liberal, therefore, the EU is a liberal-normative actor. This statement could be further analyzed if drawn a distinction between normative</w:t>
      </w:r>
      <w:r>
        <w:rPr>
          <w:spacing w:val="-6"/>
        </w:rPr>
        <w:t> </w:t>
      </w:r>
      <w:r>
        <w:rPr/>
        <w:t>and</w:t>
      </w:r>
      <w:r>
        <w:rPr>
          <w:spacing w:val="-5"/>
        </w:rPr>
        <w:t> </w:t>
      </w:r>
      <w:r>
        <w:rPr/>
        <w:t>strategic</w:t>
      </w:r>
      <w:r>
        <w:rPr>
          <w:spacing w:val="-7"/>
        </w:rPr>
        <w:t> </w:t>
      </w:r>
      <w:r>
        <w:rPr/>
        <w:t>action.</w:t>
      </w:r>
      <w:r>
        <w:rPr>
          <w:spacing w:val="-3"/>
        </w:rPr>
        <w:t> </w:t>
      </w:r>
      <w:r>
        <w:rPr>
          <w:sz w:val="27"/>
        </w:rPr>
        <w:t>Ben</w:t>
      </w:r>
      <w:r>
        <w:rPr>
          <w:spacing w:val="-7"/>
          <w:sz w:val="27"/>
        </w:rPr>
        <w:t> </w:t>
      </w:r>
      <w:r>
        <w:rPr>
          <w:sz w:val="27"/>
        </w:rPr>
        <w:t>Rosamond</w:t>
      </w:r>
      <w:r>
        <w:rPr>
          <w:spacing w:val="-6"/>
          <w:sz w:val="27"/>
        </w:rPr>
        <w:t> </w:t>
      </w:r>
      <w:r>
        <w:rPr/>
        <w:t>suggested</w:t>
      </w:r>
      <w:r>
        <w:rPr>
          <w:spacing w:val="-5"/>
        </w:rPr>
        <w:t> </w:t>
      </w:r>
      <w:r>
        <w:rPr/>
        <w:t>that</w:t>
      </w:r>
      <w:r>
        <w:rPr>
          <w:spacing w:val="-6"/>
        </w:rPr>
        <w:t> </w:t>
      </w:r>
      <w:r>
        <w:rPr/>
        <w:t>“value-driven foreign policy is the only possible vehicle for liberal foreign policy.”(</w:t>
      </w:r>
      <w:hyperlink w:history="true" w:anchor="_bookmark358">
        <w:r>
          <w:rPr/>
          <w:t>2014,</w:t>
        </w:r>
      </w:hyperlink>
      <w:r>
        <w:rPr>
          <w:spacing w:val="40"/>
        </w:rPr>
        <w:t> </w:t>
      </w:r>
      <w:hyperlink w:history="true" w:anchor="_bookmark358">
        <w:r>
          <w:rPr/>
          <w:t>p. 135</w:t>
        </w:r>
      </w:hyperlink>
      <w:r>
        <w:rPr/>
        <w:t>)</w:t>
      </w:r>
      <w:r>
        <w:rPr>
          <w:spacing w:val="80"/>
        </w:rPr>
        <w:t> </w:t>
      </w:r>
      <w:r>
        <w:rPr/>
        <w:t>It is worthwhile to point out that the liberal approach (normative) to the external relations is based on the synthesis of domestic and foreign policies, whereas the realists (strategic action) treat them separately. This line of reasoning maintains that the EU foreign policy is motivated by own norms, not by interest. However, some scholars argue that it is almost impossible to empirically differentiate, which action is normative and which strategic. </w:t>
      </w:r>
      <w:r>
        <w:rPr>
          <w:position w:val="7"/>
          <w:sz w:val="15"/>
        </w:rPr>
        <w:t>49</w:t>
      </w:r>
      <w:r>
        <w:rPr/>
        <w:t>(</w:t>
      </w:r>
      <w:hyperlink w:history="true" w:anchor="_bookmark161">
        <w:r>
          <w:rPr/>
          <w:t>Diez, 2013</w:t>
        </w:r>
      </w:hyperlink>
      <w:r>
        <w:rPr/>
        <w:t>)</w:t>
      </w:r>
    </w:p>
    <w:p>
      <w:pPr>
        <w:spacing w:line="330" w:lineRule="exact" w:before="0"/>
        <w:ind w:left="1700" w:right="0" w:firstLine="0"/>
        <w:jc w:val="both"/>
        <w:rPr>
          <w:sz w:val="26"/>
        </w:rPr>
      </w:pPr>
      <w:r>
        <w:rPr>
          <w:sz w:val="26"/>
        </w:rPr>
        <w:t>In</w:t>
      </w:r>
      <w:r>
        <w:rPr>
          <w:spacing w:val="35"/>
          <w:sz w:val="26"/>
        </w:rPr>
        <w:t> </w:t>
      </w:r>
      <w:r>
        <w:rPr>
          <w:sz w:val="26"/>
        </w:rPr>
        <w:t>the</w:t>
      </w:r>
      <w:r>
        <w:rPr>
          <w:spacing w:val="34"/>
          <w:sz w:val="26"/>
        </w:rPr>
        <w:t> </w:t>
      </w:r>
      <w:r>
        <w:rPr>
          <w:sz w:val="26"/>
        </w:rPr>
        <w:t>above</w:t>
      </w:r>
      <w:r>
        <w:rPr>
          <w:spacing w:val="34"/>
          <w:sz w:val="26"/>
        </w:rPr>
        <w:t> </w:t>
      </w:r>
      <w:r>
        <w:rPr>
          <w:sz w:val="26"/>
        </w:rPr>
        <w:t>referred</w:t>
      </w:r>
      <w:r>
        <w:rPr>
          <w:spacing w:val="36"/>
          <w:sz w:val="26"/>
        </w:rPr>
        <w:t> </w:t>
      </w:r>
      <w:r>
        <w:rPr>
          <w:sz w:val="26"/>
        </w:rPr>
        <w:t>work</w:t>
      </w:r>
      <w:r>
        <w:rPr>
          <w:spacing w:val="41"/>
          <w:sz w:val="26"/>
        </w:rPr>
        <w:t> </w:t>
      </w:r>
      <w:r>
        <w:rPr>
          <w:sz w:val="27"/>
        </w:rPr>
        <w:t>Thomas</w:t>
      </w:r>
      <w:r>
        <w:rPr>
          <w:spacing w:val="34"/>
          <w:sz w:val="27"/>
        </w:rPr>
        <w:t> </w:t>
      </w:r>
      <w:r>
        <w:rPr>
          <w:sz w:val="27"/>
        </w:rPr>
        <w:t>Diez</w:t>
      </w:r>
      <w:r>
        <w:rPr>
          <w:spacing w:val="36"/>
          <w:sz w:val="27"/>
        </w:rPr>
        <w:t>  </w:t>
      </w:r>
      <w:r>
        <w:rPr>
          <w:sz w:val="26"/>
        </w:rPr>
        <w:t>adopted</w:t>
      </w:r>
      <w:r>
        <w:rPr>
          <w:spacing w:val="37"/>
          <w:sz w:val="26"/>
        </w:rPr>
        <w:t> </w:t>
      </w:r>
      <w:r>
        <w:rPr>
          <w:sz w:val="26"/>
        </w:rPr>
        <w:t>the</w:t>
      </w:r>
      <w:r>
        <w:rPr>
          <w:spacing w:val="34"/>
          <w:sz w:val="26"/>
        </w:rPr>
        <w:t> </w:t>
      </w:r>
      <w:r>
        <w:rPr>
          <w:sz w:val="26"/>
        </w:rPr>
        <w:t>concept</w:t>
      </w:r>
      <w:r>
        <w:rPr>
          <w:spacing w:val="39"/>
          <w:sz w:val="26"/>
        </w:rPr>
        <w:t> </w:t>
      </w:r>
      <w:r>
        <w:rPr>
          <w:spacing w:val="-5"/>
          <w:sz w:val="26"/>
        </w:rPr>
        <w:t>of</w:t>
      </w:r>
    </w:p>
    <w:p>
      <w:pPr>
        <w:pStyle w:val="BodyText"/>
        <w:spacing w:line="273" w:lineRule="auto" w:before="38"/>
        <w:ind w:right="1903"/>
      </w:pPr>
      <w:r>
        <w:rPr/>
        <w:t>hegemony by </w:t>
      </w:r>
      <w:r>
        <w:rPr>
          <w:sz w:val="27"/>
        </w:rPr>
        <w:t>Atonio Gramsci</w:t>
      </w:r>
      <w:r>
        <w:rPr/>
        <w:t>. According to approach hegemony is not a fixed condition, but rather a process of attainment of the consent ‘by means of political and ideological leadership.’ (</w:t>
      </w:r>
      <w:hyperlink w:history="true" w:anchor="_bookmark161">
        <w:r>
          <w:rPr/>
          <w:t>Diez, 2013</w:t>
        </w:r>
      </w:hyperlink>
      <w:r>
        <w:rPr/>
        <w:t>) It combines material and discursive elements and relies on the social forces. By combining both norms and interests, as </w:t>
      </w:r>
      <w:r>
        <w:rPr>
          <w:sz w:val="27"/>
        </w:rPr>
        <w:t>Diez </w:t>
      </w:r>
      <w:r>
        <w:rPr/>
        <w:t>maintains, the </w:t>
      </w:r>
      <w:r>
        <w:rPr>
          <w:sz w:val="27"/>
        </w:rPr>
        <w:t>Gramscian </w:t>
      </w:r>
      <w:r>
        <w:rPr/>
        <w:t>theory resolves the empirical problem mentioned with the normative turn. The hegemony expands</w:t>
      </w:r>
      <w:r>
        <w:rPr>
          <w:spacing w:val="-3"/>
        </w:rPr>
        <w:t> </w:t>
      </w:r>
      <w:r>
        <w:rPr/>
        <w:t>the</w:t>
      </w:r>
      <w:r>
        <w:rPr>
          <w:spacing w:val="-1"/>
        </w:rPr>
        <w:t> </w:t>
      </w:r>
      <w:r>
        <w:rPr/>
        <w:t>scope</w:t>
      </w:r>
      <w:r>
        <w:rPr>
          <w:spacing w:val="-1"/>
        </w:rPr>
        <w:t> </w:t>
      </w:r>
      <w:r>
        <w:rPr/>
        <w:t>of</w:t>
      </w:r>
      <w:r>
        <w:rPr>
          <w:spacing w:val="-2"/>
        </w:rPr>
        <w:t> </w:t>
      </w:r>
      <w:r>
        <w:rPr/>
        <w:t>normative</w:t>
      </w:r>
      <w:r>
        <w:rPr>
          <w:spacing w:val="-1"/>
        </w:rPr>
        <w:t> </w:t>
      </w:r>
      <w:r>
        <w:rPr/>
        <w:t>theory</w:t>
      </w:r>
      <w:r>
        <w:rPr>
          <w:spacing w:val="-1"/>
        </w:rPr>
        <w:t> </w:t>
      </w:r>
      <w:r>
        <w:rPr/>
        <w:t>by bringing</w:t>
      </w:r>
      <w:r>
        <w:rPr>
          <w:spacing w:val="-1"/>
        </w:rPr>
        <w:t> </w:t>
      </w:r>
      <w:r>
        <w:rPr/>
        <w:t>“not</w:t>
      </w:r>
      <w:r>
        <w:rPr>
          <w:spacing w:val="-1"/>
        </w:rPr>
        <w:t> </w:t>
      </w:r>
      <w:r>
        <w:rPr/>
        <w:t>only</w:t>
      </w:r>
      <w:r>
        <w:rPr>
          <w:spacing w:val="-1"/>
        </w:rPr>
        <w:t> </w:t>
      </w:r>
      <w:r>
        <w:rPr/>
        <w:t>member states but also social forces in a much more broader sense into the picture.” (</w:t>
      </w:r>
      <w:hyperlink w:history="true" w:anchor="_bookmark161">
        <w:r>
          <w:rPr/>
          <w:t>Diez,</w:t>
        </w:r>
      </w:hyperlink>
      <w:r>
        <w:rPr/>
        <w:t> </w:t>
      </w:r>
      <w:hyperlink w:history="true" w:anchor="_bookmark161">
        <w:r>
          <w:rPr/>
          <w:t>2013, p. 206</w:t>
        </w:r>
      </w:hyperlink>
      <w:r>
        <w:rPr/>
        <w:t>)</w:t>
      </w:r>
    </w:p>
    <w:p>
      <w:pPr>
        <w:pStyle w:val="BodyText"/>
        <w:spacing w:line="271" w:lineRule="auto" w:before="5"/>
        <w:ind w:right="1911" w:firstLine="720"/>
      </w:pPr>
      <w:r>
        <w:rPr/>
        <w:t>In other instances we can describe the EU as a </w:t>
      </w:r>
      <w:r>
        <w:rPr>
          <w:sz w:val="27"/>
        </w:rPr>
        <w:t>soft power actor</w:t>
      </w:r>
      <w:r>
        <w:rPr/>
        <w:t>, or even as a </w:t>
      </w:r>
      <w:r>
        <w:rPr>
          <w:sz w:val="27"/>
        </w:rPr>
        <w:t>smart power player</w:t>
      </w:r>
      <w:r>
        <w:rPr/>
        <w:t>. Even though, </w:t>
      </w:r>
      <w:r>
        <w:rPr>
          <w:sz w:val="27"/>
        </w:rPr>
        <w:t>Joseph Nye’s </w:t>
      </w:r>
      <w:r>
        <w:rPr/>
        <w:t>approach is a state-centric, we could still identify the basic elements of it in the organization</w:t>
      </w:r>
      <w:r>
        <w:rPr>
          <w:spacing w:val="38"/>
        </w:rPr>
        <w:t> </w:t>
      </w:r>
      <w:r>
        <w:rPr/>
        <w:t>of</w:t>
      </w:r>
      <w:r>
        <w:rPr>
          <w:spacing w:val="30"/>
        </w:rPr>
        <w:t> </w:t>
      </w:r>
      <w:r>
        <w:rPr/>
        <w:t>the</w:t>
      </w:r>
      <w:r>
        <w:rPr>
          <w:spacing w:val="32"/>
        </w:rPr>
        <w:t> </w:t>
      </w:r>
      <w:r>
        <w:rPr/>
        <w:t>EU.</w:t>
      </w:r>
      <w:r>
        <w:rPr>
          <w:spacing w:val="33"/>
        </w:rPr>
        <w:t> </w:t>
      </w:r>
      <w:r>
        <w:rPr/>
        <w:t>According</w:t>
      </w:r>
      <w:r>
        <w:rPr>
          <w:spacing w:val="32"/>
        </w:rPr>
        <w:t> </w:t>
      </w:r>
      <w:r>
        <w:rPr/>
        <w:t>to</w:t>
      </w:r>
      <w:r>
        <w:rPr>
          <w:spacing w:val="29"/>
        </w:rPr>
        <w:t> </w:t>
      </w:r>
      <w:r>
        <w:rPr/>
        <w:t>definition,</w:t>
      </w:r>
      <w:r>
        <w:rPr>
          <w:spacing w:val="33"/>
        </w:rPr>
        <w:t> </w:t>
      </w:r>
      <w:r>
        <w:rPr/>
        <w:t>Soft</w:t>
      </w:r>
      <w:r>
        <w:rPr>
          <w:spacing w:val="32"/>
        </w:rPr>
        <w:t> </w:t>
      </w:r>
      <w:r>
        <w:rPr/>
        <w:t>power</w:t>
      </w:r>
      <w:r>
        <w:rPr>
          <w:spacing w:val="32"/>
        </w:rPr>
        <w:t> </w:t>
      </w:r>
      <w:r>
        <w:rPr/>
        <w:t>occurs</w:t>
      </w:r>
      <w:r>
        <w:rPr>
          <w:spacing w:val="34"/>
        </w:rPr>
        <w:t> </w:t>
      </w:r>
      <w:r>
        <w:rPr/>
        <w:t>when</w:t>
      </w:r>
    </w:p>
    <w:p>
      <w:pPr>
        <w:pStyle w:val="BodyText"/>
        <w:spacing w:before="198"/>
        <w:ind w:left="0"/>
        <w:jc w:val="left"/>
        <w:rPr>
          <w:sz w:val="20"/>
        </w:rPr>
      </w:pPr>
      <w:r>
        <w:rPr>
          <w:sz w:val="20"/>
        </w:rPr>
        <mc:AlternateContent>
          <mc:Choice Requires="wps">
            <w:drawing>
              <wp:anchor distT="0" distB="0" distL="0" distR="0" allowOverlap="1" layoutInCell="1" locked="0" behindDoc="1" simplePos="0" relativeHeight="487674880">
                <wp:simplePos x="0" y="0"/>
                <wp:positionH relativeFrom="page">
                  <wp:posOffset>1079296</wp:posOffset>
                </wp:positionH>
                <wp:positionV relativeFrom="paragraph">
                  <wp:posOffset>308634</wp:posOffset>
                </wp:positionV>
                <wp:extent cx="1830070" cy="9525"/>
                <wp:effectExtent l="0" t="0" r="0" b="0"/>
                <wp:wrapTopAndBottom/>
                <wp:docPr id="212" name="Graphic 212"/>
                <wp:cNvGraphicFramePr>
                  <a:graphicFrameLocks/>
                </wp:cNvGraphicFramePr>
                <a:graphic>
                  <a:graphicData uri="http://schemas.microsoft.com/office/word/2010/wordprocessingShape">
                    <wps:wsp>
                      <wps:cNvPr id="212" name="Graphic 212"/>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24.301941pt;width:144.07pt;height:.71997pt;mso-position-horizontal-relative:page;mso-position-vertical-relative:paragraph;z-index:-15641600;mso-wrap-distance-left:0;mso-wrap-distance-right:0" id="docshape198" filled="true" fillcolor="#000000" stroked="false">
                <v:fill type="solid"/>
                <w10:wrap type="topAndBottom"/>
              </v:rect>
            </w:pict>
          </mc:Fallback>
        </mc:AlternateContent>
      </w:r>
    </w:p>
    <w:p>
      <w:pPr>
        <w:spacing w:before="102"/>
        <w:ind w:left="979" w:right="1906" w:firstLine="0"/>
        <w:jc w:val="both"/>
        <w:rPr>
          <w:rFonts w:ascii="Calibri"/>
          <w:sz w:val="20"/>
        </w:rPr>
      </w:pPr>
      <w:r>
        <w:rPr>
          <w:rFonts w:ascii="Calibri"/>
          <w:sz w:val="20"/>
          <w:vertAlign w:val="superscript"/>
        </w:rPr>
        <w:t>49</w:t>
      </w:r>
      <w:r>
        <w:rPr>
          <w:rFonts w:ascii="Calibri"/>
          <w:sz w:val="20"/>
          <w:vertAlign w:val="baseline"/>
        </w:rPr>
        <w:t> Among other examples Diez analyzes the double standards the EU had used, due to the energo dependency</w:t>
      </w:r>
      <w:r>
        <w:rPr>
          <w:rFonts w:ascii="Calibri"/>
          <w:spacing w:val="40"/>
          <w:sz w:val="20"/>
          <w:vertAlign w:val="baseline"/>
        </w:rPr>
        <w:t> </w:t>
      </w:r>
      <w:r>
        <w:rPr>
          <w:rFonts w:ascii="Calibri"/>
          <w:sz w:val="20"/>
          <w:vertAlign w:val="baseline"/>
        </w:rPr>
        <w:t>on the Russian Federation; supporting the authoritarian rulers in the Arab world to secure the oil supplies and holding back the migration.</w:t>
      </w:r>
    </w:p>
    <w:p>
      <w:pPr>
        <w:spacing w:after="0"/>
        <w:jc w:val="both"/>
        <w:rPr>
          <w:rFonts w:ascii="Calibri"/>
          <w:sz w:val="20"/>
        </w:rPr>
        <w:sectPr>
          <w:pgSz w:w="12240" w:h="15840"/>
          <w:pgMar w:header="1046" w:footer="0" w:top="1360" w:bottom="280" w:left="720" w:right="360"/>
        </w:sectPr>
      </w:pPr>
    </w:p>
    <w:p>
      <w:pPr>
        <w:pStyle w:val="BodyText"/>
        <w:spacing w:line="273" w:lineRule="auto" w:before="276"/>
        <w:ind w:right="1903"/>
      </w:pPr>
      <w:r>
        <w:rPr/>
        <w:t>“one country gets other countries to want what it wants” and the means to achieve this goal is “cooperation an attraction to shared values and the justness</w:t>
      </w:r>
      <w:r>
        <w:rPr>
          <w:spacing w:val="-1"/>
        </w:rPr>
        <w:t> </w:t>
      </w:r>
      <w:r>
        <w:rPr/>
        <w:t>and duty of contributing to</w:t>
      </w:r>
      <w:r>
        <w:rPr>
          <w:spacing w:val="-2"/>
        </w:rPr>
        <w:t> </w:t>
      </w:r>
      <w:r>
        <w:rPr/>
        <w:t>the</w:t>
      </w:r>
      <w:r>
        <w:rPr>
          <w:spacing w:val="-3"/>
        </w:rPr>
        <w:t> </w:t>
      </w:r>
      <w:r>
        <w:rPr/>
        <w:t>achievement of those values.” (</w:t>
      </w:r>
      <w:hyperlink w:history="true" w:anchor="_bookmark319">
        <w:r>
          <w:rPr/>
          <w:t>Nye,</w:t>
        </w:r>
      </w:hyperlink>
      <w:r>
        <w:rPr/>
        <w:t> </w:t>
      </w:r>
      <w:hyperlink w:history="true" w:anchor="_bookmark319">
        <w:r>
          <w:rPr/>
          <w:t>1990, pp. 166-167</w:t>
        </w:r>
      </w:hyperlink>
      <w:r>
        <w:rPr/>
        <w:t>) Later, </w:t>
      </w:r>
      <w:r>
        <w:rPr>
          <w:sz w:val="27"/>
        </w:rPr>
        <w:t>Nye</w:t>
      </w:r>
      <w:r>
        <w:rPr>
          <w:spacing w:val="40"/>
          <w:sz w:val="27"/>
        </w:rPr>
        <w:t> </w:t>
      </w:r>
      <w:r>
        <w:rPr/>
        <w:t>reformulated the </w:t>
      </w:r>
      <w:r>
        <w:rPr>
          <w:sz w:val="27"/>
        </w:rPr>
        <w:t>soft power </w:t>
      </w:r>
      <w:r>
        <w:rPr/>
        <w:t>approach by adding</w:t>
      </w:r>
      <w:r>
        <w:rPr>
          <w:spacing w:val="-7"/>
        </w:rPr>
        <w:t> </w:t>
      </w:r>
      <w:r>
        <w:rPr/>
        <w:t>some</w:t>
      </w:r>
      <w:r>
        <w:rPr>
          <w:spacing w:val="-7"/>
        </w:rPr>
        <w:t> </w:t>
      </w:r>
      <w:r>
        <w:rPr/>
        <w:t>military</w:t>
      </w:r>
      <w:r>
        <w:rPr>
          <w:spacing w:val="-7"/>
        </w:rPr>
        <w:t> </w:t>
      </w:r>
      <w:r>
        <w:rPr/>
        <w:t>component</w:t>
      </w:r>
      <w:r>
        <w:rPr>
          <w:spacing w:val="-7"/>
        </w:rPr>
        <w:t> </w:t>
      </w:r>
      <w:r>
        <w:rPr/>
        <w:t>to</w:t>
      </w:r>
      <w:r>
        <w:rPr>
          <w:spacing w:val="-10"/>
        </w:rPr>
        <w:t> </w:t>
      </w:r>
      <w:r>
        <w:rPr/>
        <w:t>it. </w:t>
      </w:r>
      <w:r>
        <w:rPr>
          <w:sz w:val="27"/>
        </w:rPr>
        <w:t>Smart</w:t>
      </w:r>
      <w:r>
        <w:rPr>
          <w:spacing w:val="-14"/>
          <w:sz w:val="27"/>
        </w:rPr>
        <w:t> </w:t>
      </w:r>
      <w:r>
        <w:rPr>
          <w:sz w:val="27"/>
        </w:rPr>
        <w:t>power</w:t>
      </w:r>
      <w:r>
        <w:rPr>
          <w:spacing w:val="40"/>
          <w:sz w:val="27"/>
        </w:rPr>
        <w:t> </w:t>
      </w:r>
      <w:r>
        <w:rPr/>
        <w:t>is</w:t>
      </w:r>
      <w:r>
        <w:rPr>
          <w:spacing w:val="-9"/>
        </w:rPr>
        <w:t> </w:t>
      </w:r>
      <w:r>
        <w:rPr/>
        <w:t>a</w:t>
      </w:r>
      <w:r>
        <w:rPr>
          <w:spacing w:val="-7"/>
        </w:rPr>
        <w:t> </w:t>
      </w:r>
      <w:r>
        <w:rPr/>
        <w:t>combination</w:t>
      </w:r>
      <w:r>
        <w:rPr>
          <w:spacing w:val="-6"/>
        </w:rPr>
        <w:t> </w:t>
      </w:r>
      <w:r>
        <w:rPr/>
        <w:t>of</w:t>
      </w:r>
      <w:r>
        <w:rPr>
          <w:spacing w:val="-8"/>
        </w:rPr>
        <w:t> </w:t>
      </w:r>
      <w:r>
        <w:rPr/>
        <w:t>soft and hard approaches, the ‘smart’ strategy is the most effective in the crisis management situations; the military operations should be accompanied by peace-building steps, without certain normative reach to the local communities the process can be painful and costly. The smart power can be a useful framework for analysis considering the basic nature of the ESDP (Petersberg tasks, Belin plus).</w:t>
      </w:r>
    </w:p>
    <w:p>
      <w:pPr>
        <w:pStyle w:val="BodyText"/>
        <w:ind w:left="0"/>
        <w:jc w:val="left"/>
      </w:pPr>
    </w:p>
    <w:p>
      <w:pPr>
        <w:pStyle w:val="BodyText"/>
        <w:ind w:left="0"/>
        <w:jc w:val="left"/>
      </w:pPr>
    </w:p>
    <w:p>
      <w:pPr>
        <w:pStyle w:val="BodyText"/>
        <w:spacing w:before="72"/>
        <w:ind w:left="0"/>
        <w:jc w:val="left"/>
      </w:pPr>
    </w:p>
    <w:p>
      <w:pPr>
        <w:pStyle w:val="Heading4"/>
        <w:numPr>
          <w:ilvl w:val="1"/>
          <w:numId w:val="16"/>
        </w:numPr>
        <w:tabs>
          <w:tab w:pos="1582" w:val="left" w:leader="none"/>
        </w:tabs>
        <w:spacing w:line="240" w:lineRule="auto" w:before="0" w:after="0"/>
        <w:ind w:left="1582" w:right="0" w:hanging="603"/>
        <w:jc w:val="left"/>
      </w:pPr>
      <w:bookmarkStart w:name="_bookmark58" w:id="59"/>
      <w:bookmarkEnd w:id="59"/>
      <w:r>
        <w:rPr>
          <w:b w:val="0"/>
        </w:rPr>
      </w:r>
      <w:r>
        <w:rPr>
          <w:spacing w:val="-6"/>
        </w:rPr>
        <w:t>Mapping</w:t>
      </w:r>
      <w:r>
        <w:rPr>
          <w:spacing w:val="-14"/>
        </w:rPr>
        <w:t> </w:t>
      </w:r>
      <w:r>
        <w:rPr>
          <w:spacing w:val="-6"/>
        </w:rPr>
        <w:t>the</w:t>
      </w:r>
      <w:r>
        <w:rPr>
          <w:spacing w:val="-12"/>
        </w:rPr>
        <w:t> </w:t>
      </w:r>
      <w:r>
        <w:rPr>
          <w:spacing w:val="-6"/>
        </w:rPr>
        <w:t>European</w:t>
      </w:r>
      <w:r>
        <w:rPr>
          <w:spacing w:val="-15"/>
        </w:rPr>
        <w:t> </w:t>
      </w:r>
      <w:r>
        <w:rPr>
          <w:spacing w:val="-6"/>
        </w:rPr>
        <w:t>Union</w:t>
      </w:r>
      <w:r>
        <w:rPr>
          <w:spacing w:val="-11"/>
        </w:rPr>
        <w:t> </w:t>
      </w:r>
      <w:r>
        <w:rPr>
          <w:spacing w:val="-6"/>
        </w:rPr>
        <w:t>Systems</w:t>
      </w:r>
    </w:p>
    <w:p>
      <w:pPr>
        <w:pStyle w:val="BodyText"/>
        <w:ind w:left="0"/>
        <w:jc w:val="left"/>
        <w:rPr>
          <w:rFonts w:ascii="Georgia"/>
          <w:b/>
          <w:sz w:val="20"/>
        </w:rPr>
      </w:pPr>
    </w:p>
    <w:p>
      <w:pPr>
        <w:pStyle w:val="BodyText"/>
        <w:spacing w:before="44"/>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75392">
                <wp:simplePos x="0" y="0"/>
                <wp:positionH relativeFrom="page">
                  <wp:posOffset>1078864</wp:posOffset>
                </wp:positionH>
                <wp:positionV relativeFrom="paragraph">
                  <wp:posOffset>187771</wp:posOffset>
                </wp:positionV>
                <wp:extent cx="5252085" cy="52069"/>
                <wp:effectExtent l="0" t="0" r="0" b="0"/>
                <wp:wrapTopAndBottom/>
                <wp:docPr id="213" name="Graphic 213"/>
                <wp:cNvGraphicFramePr>
                  <a:graphicFrameLocks/>
                </wp:cNvGraphicFramePr>
                <a:graphic>
                  <a:graphicData uri="http://schemas.microsoft.com/office/word/2010/wordprocessingShape">
                    <wps:wsp>
                      <wps:cNvPr id="213" name="Graphic 213"/>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4.785137pt;width:413.55pt;height:4.1pt;mso-position-horizontal-relative:page;mso-position-vertical-relative:paragraph;z-index:-15641088;mso-wrap-distance-left:0;mso-wrap-distance-right:0" id="docshape199"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spacing w:before="193"/>
        <w:ind w:left="0"/>
        <w:jc w:val="left"/>
        <w:rPr>
          <w:rFonts w:ascii="Georgia"/>
          <w:b/>
        </w:rPr>
      </w:pPr>
    </w:p>
    <w:p>
      <w:pPr>
        <w:pStyle w:val="BodyText"/>
        <w:spacing w:line="276" w:lineRule="auto"/>
        <w:ind w:right="1909" w:firstLine="720"/>
      </w:pPr>
      <w:r>
        <w:rPr>
          <w:sz w:val="27"/>
        </w:rPr>
        <w:t>Bart</w:t>
      </w:r>
      <w:r>
        <w:rPr>
          <w:spacing w:val="-2"/>
          <w:sz w:val="27"/>
        </w:rPr>
        <w:t> </w:t>
      </w:r>
      <w:r>
        <w:rPr>
          <w:sz w:val="27"/>
        </w:rPr>
        <w:t>Kosko</w:t>
      </w:r>
      <w:r>
        <w:rPr>
          <w:spacing w:val="-2"/>
          <w:sz w:val="27"/>
        </w:rPr>
        <w:t> </w:t>
      </w:r>
      <w:r>
        <w:rPr/>
        <w:t>argued that "the classes and causes</w:t>
      </w:r>
      <w:r>
        <w:rPr>
          <w:spacing w:val="-1"/>
        </w:rPr>
        <w:t> </w:t>
      </w:r>
      <w:r>
        <w:rPr/>
        <w:t>are uncertain,</w:t>
      </w:r>
      <w:r>
        <w:rPr>
          <w:spacing w:val="40"/>
        </w:rPr>
        <w:t> </w:t>
      </w:r>
      <w:r>
        <w:rPr/>
        <w:t>usually fuzzy"</w:t>
      </w:r>
      <w:r>
        <w:rPr>
          <w:spacing w:val="40"/>
        </w:rPr>
        <w:t> </w:t>
      </w:r>
      <w:r>
        <w:rPr/>
        <w:t>and this "fuzziness passes into knowledge representations and on into knowledge bases." (</w:t>
      </w:r>
      <w:hyperlink w:history="true" w:anchor="_bookmark244">
        <w:r>
          <w:rPr/>
          <w:t>Kosko, 1986, p. 65</w:t>
        </w:r>
      </w:hyperlink>
      <w:r>
        <w:rPr/>
        <w:t>) The social systems are fluid and constantly produce the uncertainties. Accordingly, those theories that gather the uncertain information produce fuzzy structures.</w:t>
      </w:r>
    </w:p>
    <w:p>
      <w:pPr>
        <w:pStyle w:val="BodyText"/>
        <w:spacing w:line="276" w:lineRule="auto"/>
        <w:ind w:right="1902" w:firstLine="720"/>
      </w:pPr>
      <w:r>
        <w:rPr/>
        <w:t>The reductionist researches require structural precision, as they</w:t>
      </w:r>
      <w:r>
        <w:rPr>
          <w:spacing w:val="80"/>
        </w:rPr>
        <w:t> </w:t>
      </w:r>
      <w:r>
        <w:rPr/>
        <w:t>study the systems by examining its individual components. On the</w:t>
      </w:r>
      <w:r>
        <w:rPr>
          <w:spacing w:val="80"/>
        </w:rPr>
        <w:t> </w:t>
      </w:r>
      <w:r>
        <w:rPr/>
        <w:t>contrary,</w:t>
      </w:r>
      <w:r>
        <w:rPr>
          <w:spacing w:val="40"/>
        </w:rPr>
        <w:t> </w:t>
      </w:r>
      <w:r>
        <w:rPr/>
        <w:t>the systemic approaches, study the</w:t>
      </w:r>
      <w:r>
        <w:rPr>
          <w:spacing w:val="40"/>
        </w:rPr>
        <w:t> </w:t>
      </w:r>
      <w:r>
        <w:rPr/>
        <w:t>observable relations among the organizational variables.</w:t>
      </w:r>
    </w:p>
    <w:p>
      <w:pPr>
        <w:pStyle w:val="BodyText"/>
        <w:spacing w:line="273" w:lineRule="auto"/>
        <w:ind w:right="1907" w:firstLine="720"/>
      </w:pPr>
      <w:r>
        <w:rPr/>
        <w:t>We have referred to </w:t>
      </w:r>
      <w:r>
        <w:rPr>
          <w:sz w:val="27"/>
        </w:rPr>
        <w:t>Ross</w:t>
      </w:r>
      <w:r>
        <w:rPr>
          <w:spacing w:val="-1"/>
          <w:sz w:val="27"/>
        </w:rPr>
        <w:t> </w:t>
      </w:r>
      <w:r>
        <w:rPr>
          <w:sz w:val="27"/>
        </w:rPr>
        <w:t>Ashby </w:t>
      </w:r>
      <w:r>
        <w:rPr/>
        <w:t>before to argue that the causality of the relations between the system A and the system B might be irrelevant if they</w:t>
      </w:r>
      <w:r>
        <w:rPr>
          <w:spacing w:val="-5"/>
        </w:rPr>
        <w:t> </w:t>
      </w:r>
      <w:r>
        <w:rPr/>
        <w:t>are</w:t>
      </w:r>
      <w:r>
        <w:rPr>
          <w:spacing w:val="-5"/>
        </w:rPr>
        <w:t> </w:t>
      </w:r>
      <w:r>
        <w:rPr/>
        <w:t>joined</w:t>
      </w:r>
      <w:r>
        <w:rPr>
          <w:spacing w:val="-2"/>
        </w:rPr>
        <w:t> </w:t>
      </w:r>
      <w:r>
        <w:rPr/>
        <w:t>to</w:t>
      </w:r>
      <w:r>
        <w:rPr>
          <w:spacing w:val="-7"/>
        </w:rPr>
        <w:t> </w:t>
      </w:r>
      <w:r>
        <w:rPr/>
        <w:t>form</w:t>
      </w:r>
      <w:r>
        <w:rPr>
          <w:spacing w:val="-7"/>
        </w:rPr>
        <w:t> </w:t>
      </w:r>
      <w:r>
        <w:rPr/>
        <w:t>the</w:t>
      </w:r>
      <w:r>
        <w:rPr>
          <w:spacing w:val="-4"/>
        </w:rPr>
        <w:t> </w:t>
      </w:r>
      <w:r>
        <w:rPr/>
        <w:t>whole</w:t>
      </w:r>
      <w:r>
        <w:rPr>
          <w:spacing w:val="-5"/>
        </w:rPr>
        <w:t> </w:t>
      </w:r>
      <w:r>
        <w:rPr/>
        <w:t>C.</w:t>
      </w:r>
      <w:r>
        <w:rPr>
          <w:spacing w:val="-2"/>
        </w:rPr>
        <w:t> </w:t>
      </w:r>
      <w:r>
        <w:rPr/>
        <w:t>Therefore,</w:t>
      </w:r>
      <w:r>
        <w:rPr>
          <w:spacing w:val="-3"/>
        </w:rPr>
        <w:t> </w:t>
      </w:r>
      <w:r>
        <w:rPr/>
        <w:t>the</w:t>
      </w:r>
      <w:r>
        <w:rPr>
          <w:spacing w:val="-4"/>
        </w:rPr>
        <w:t> </w:t>
      </w:r>
      <w:r>
        <w:rPr/>
        <w:t>reductionist</w:t>
      </w:r>
      <w:r>
        <w:rPr>
          <w:spacing w:val="-2"/>
        </w:rPr>
        <w:t> </w:t>
      </w:r>
      <w:r>
        <w:rPr/>
        <w:t>attempts</w:t>
      </w:r>
      <w:r>
        <w:rPr>
          <w:spacing w:val="-6"/>
        </w:rPr>
        <w:t> </w:t>
      </w:r>
      <w:r>
        <w:rPr>
          <w:spacing w:val="-5"/>
        </w:rPr>
        <w:t>to</w:t>
      </w:r>
    </w:p>
    <w:p>
      <w:pPr>
        <w:pStyle w:val="BodyText"/>
        <w:spacing w:after="0" w:line="273" w:lineRule="auto"/>
        <w:sectPr>
          <w:pgSz w:w="12240" w:h="15840"/>
          <w:pgMar w:header="1046" w:footer="0" w:top="1360" w:bottom="280" w:left="720" w:right="360"/>
        </w:sectPr>
      </w:pPr>
    </w:p>
    <w:p>
      <w:pPr>
        <w:pStyle w:val="BodyText"/>
        <w:spacing w:line="276" w:lineRule="auto" w:before="276"/>
        <w:ind w:right="1911"/>
      </w:pPr>
      <w:r>
        <w:rPr/>
        <w:t>examine the A-C and generalize from the sum of their qualities might distort the systemic reality.</w:t>
      </w:r>
    </w:p>
    <w:p>
      <w:pPr>
        <w:pStyle w:val="BodyText"/>
        <w:spacing w:line="276" w:lineRule="auto"/>
        <w:ind w:right="1909" w:firstLine="720"/>
      </w:pPr>
      <w:r>
        <w:rPr/>
        <w:t>This condition follows that only the pattern of relations (A+B)+ (meaning+C) can give systemic explanations.</w:t>
      </w:r>
    </w:p>
    <w:p>
      <w:pPr>
        <w:pStyle w:val="BodyText"/>
        <w:spacing w:line="276" w:lineRule="auto"/>
        <w:ind w:right="1905" w:firstLine="720"/>
      </w:pPr>
      <w:r>
        <w:rPr/>
        <w:t>The theorists of integration as </w:t>
      </w:r>
      <w:r>
        <w:rPr>
          <w:sz w:val="27"/>
        </w:rPr>
        <w:t>Leon Lindberg </w:t>
      </w:r>
      <w:r>
        <w:rPr/>
        <w:t>maintained, are busy with the type of generalizations explained above. The EU includes the subsystems that engage in heterarchic communications and by doing so fulfil the meaning of the whole. The systems affect each other and are affected by the transactions; the relations form the causal patterns and substantiate their place in the system.</w:t>
      </w:r>
    </w:p>
    <w:p>
      <w:pPr>
        <w:pStyle w:val="BodyText"/>
        <w:spacing w:line="273" w:lineRule="auto"/>
        <w:ind w:right="1907" w:firstLine="720"/>
      </w:pPr>
      <w:r>
        <w:rPr/>
        <w:t>The theoretical material presented in this work is sufficient to point out a wide variety of systemically interlinked causalities. To make the</w:t>
      </w:r>
      <w:r>
        <w:rPr>
          <w:spacing w:val="40"/>
        </w:rPr>
        <w:t> </w:t>
      </w:r>
      <w:r>
        <w:rPr/>
        <w:t>model more accessible we will use a fuzzy cognitive mapping method (FCM). The cognitive maps were created by </w:t>
      </w:r>
      <w:r>
        <w:rPr>
          <w:sz w:val="27"/>
        </w:rPr>
        <w:t>Edward Tolman </w:t>
      </w:r>
      <w:r>
        <w:rPr/>
        <w:t>in 1948, the word Fuzzy was added to the maps by </w:t>
      </w:r>
      <w:r>
        <w:rPr>
          <w:sz w:val="27"/>
        </w:rPr>
        <w:t>Bart Kosko</w:t>
      </w:r>
      <w:r>
        <w:rPr/>
        <w:t>.” </w:t>
      </w:r>
      <w:r>
        <w:rPr>
          <w:sz w:val="27"/>
        </w:rPr>
        <w:t>Kosko </w:t>
      </w:r>
      <w:r>
        <w:rPr/>
        <w:t>introduced the notion of a ‘fuzzy weight’ which in simple terms means that the</w:t>
      </w:r>
      <w:r>
        <w:rPr>
          <w:spacing w:val="40"/>
        </w:rPr>
        <w:t> </w:t>
      </w:r>
      <w:r>
        <w:rPr/>
        <w:t>relationship between two concepts, also called nodes, can take a value in</w:t>
      </w:r>
      <w:r>
        <w:rPr>
          <w:spacing w:val="40"/>
        </w:rPr>
        <w:t> </w:t>
      </w:r>
      <w:r>
        <w:rPr/>
        <w:t>the interval [-1,1]. Since then he is considered the ‘father’ of cognitive mapping.” (</w:t>
      </w:r>
      <w:hyperlink w:history="true" w:anchor="_bookmark196">
        <w:r>
          <w:rPr/>
          <w:t>Glykas, 2010</w:t>
        </w:r>
      </w:hyperlink>
      <w:r>
        <w:rPr/>
        <w:t>)</w:t>
      </w:r>
    </w:p>
    <w:p>
      <w:pPr>
        <w:pStyle w:val="BodyText"/>
        <w:spacing w:line="276" w:lineRule="auto"/>
        <w:ind w:right="1906" w:firstLine="720"/>
        <w:rPr>
          <w:position w:val="7"/>
          <w:sz w:val="15"/>
        </w:rPr>
      </w:pPr>
      <w:r>
        <w:rPr/>
        <w:t>The fuzzy maps are built on “defined variables and the causal relationships between those variables.” (</w:t>
      </w:r>
      <w:hyperlink w:history="true" w:anchor="_bookmark326">
        <w:r>
          <w:rPr/>
          <w:t>Özesmi &amp; Özesmi, 2004, p. 44</w:t>
        </w:r>
      </w:hyperlink>
      <w:r>
        <w:rPr/>
        <w:t>) The researcher selects those variables that affect the system. The relations between those variables are evaluated based on the level of certainty</w:t>
      </w:r>
      <w:r>
        <w:rPr>
          <w:spacing w:val="40"/>
        </w:rPr>
        <w:t> </w:t>
      </w:r>
      <w:r>
        <w:rPr/>
        <w:t>(lowest -1; highest +1). The method is often used when gathering the data about the complex relations is too expensive. Our case is different for two reasons: 1) as we noted, the qualitative knowledge generated in the field is sufficient to identify the variables, 2) the level of certainty in most cases is backed by the empirical evidence, 3) the prescribed values are [-1;1] are based on theoretical observations and show the level of argumentative </w:t>
      </w:r>
      <w:r>
        <w:rPr>
          <w:spacing w:val="-2"/>
        </w:rPr>
        <w:t>certainty.</w:t>
      </w:r>
      <w:r>
        <w:rPr>
          <w:spacing w:val="-2"/>
          <w:position w:val="7"/>
          <w:sz w:val="15"/>
        </w:rPr>
        <w:t>50</w:t>
      </w:r>
    </w:p>
    <w:p>
      <w:pPr>
        <w:pStyle w:val="BodyText"/>
        <w:spacing w:before="31"/>
        <w:ind w:left="0"/>
        <w:jc w:val="left"/>
        <w:rPr>
          <w:sz w:val="20"/>
        </w:rPr>
      </w:pPr>
      <w:r>
        <w:rPr>
          <w:sz w:val="20"/>
        </w:rPr>
        <mc:AlternateContent>
          <mc:Choice Requires="wps">
            <w:drawing>
              <wp:anchor distT="0" distB="0" distL="0" distR="0" allowOverlap="1" layoutInCell="1" locked="0" behindDoc="1" simplePos="0" relativeHeight="487675904">
                <wp:simplePos x="0" y="0"/>
                <wp:positionH relativeFrom="page">
                  <wp:posOffset>1079296</wp:posOffset>
                </wp:positionH>
                <wp:positionV relativeFrom="paragraph">
                  <wp:posOffset>202343</wp:posOffset>
                </wp:positionV>
                <wp:extent cx="1830070" cy="9525"/>
                <wp:effectExtent l="0" t="0" r="0" b="0"/>
                <wp:wrapTopAndBottom/>
                <wp:docPr id="214" name="Graphic 214"/>
                <wp:cNvGraphicFramePr>
                  <a:graphicFrameLocks/>
                </wp:cNvGraphicFramePr>
                <a:graphic>
                  <a:graphicData uri="http://schemas.microsoft.com/office/word/2010/wordprocessingShape">
                    <wps:wsp>
                      <wps:cNvPr id="214" name="Graphic 214"/>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15.932547pt;width:144.07pt;height:.71997pt;mso-position-horizontal-relative:page;mso-position-vertical-relative:paragraph;z-index:-15640576;mso-wrap-distance-left:0;mso-wrap-distance-right:0" id="docshape200" filled="true" fillcolor="#000000" stroked="false">
                <v:fill type="solid"/>
                <w10:wrap type="topAndBottom"/>
              </v:rect>
            </w:pict>
          </mc:Fallback>
        </mc:AlternateContent>
      </w:r>
    </w:p>
    <w:p>
      <w:pPr>
        <w:spacing w:before="102"/>
        <w:ind w:left="979" w:right="1909" w:firstLine="0"/>
        <w:jc w:val="left"/>
        <w:rPr>
          <w:rFonts w:ascii="Calibri" w:hAnsi="Calibri"/>
          <w:sz w:val="20"/>
        </w:rPr>
      </w:pPr>
      <w:r>
        <w:rPr>
          <w:rFonts w:ascii="Calibri" w:hAnsi="Calibri"/>
          <w:sz w:val="20"/>
          <w:vertAlign w:val="superscript"/>
        </w:rPr>
        <w:t>50</w:t>
      </w:r>
      <w:r>
        <w:rPr>
          <w:rFonts w:ascii="Calibri" w:hAnsi="Calibri"/>
          <w:sz w:val="20"/>
          <w:vertAlign w:val="baseline"/>
        </w:rPr>
        <w:t> A simple example: a) the sun sets</w:t>
      </w:r>
      <w:r>
        <w:rPr>
          <w:rFonts w:ascii="Calibri" w:hAnsi="Calibri"/>
          <w:spacing w:val="-1"/>
          <w:sz w:val="20"/>
          <w:vertAlign w:val="baseline"/>
        </w:rPr>
        <w:t> </w:t>
      </w:r>
      <w:r>
        <w:rPr>
          <w:rFonts w:ascii="Calibri" w:hAnsi="Calibri"/>
          <w:sz w:val="20"/>
          <w:vertAlign w:val="baseline"/>
        </w:rPr>
        <w:t>→night</w:t>
      </w:r>
      <w:r>
        <w:rPr>
          <w:rFonts w:ascii="Calibri" w:hAnsi="Calibri"/>
          <w:spacing w:val="-4"/>
          <w:sz w:val="20"/>
          <w:vertAlign w:val="baseline"/>
        </w:rPr>
        <w:t> </w:t>
      </w:r>
      <w:r>
        <w:rPr>
          <w:rFonts w:ascii="Calibri" w:hAnsi="Calibri"/>
          <w:sz w:val="20"/>
          <w:vertAlign w:val="baseline"/>
        </w:rPr>
        <w:t>comes</w:t>
      </w:r>
      <w:r>
        <w:rPr>
          <w:rFonts w:ascii="Calibri" w:hAnsi="Calibri"/>
          <w:spacing w:val="-1"/>
          <w:sz w:val="20"/>
          <w:vertAlign w:val="baseline"/>
        </w:rPr>
        <w:t> </w:t>
      </w:r>
      <w:r>
        <w:rPr>
          <w:rFonts w:ascii="Calibri" w:hAnsi="Calibri"/>
          <w:sz w:val="20"/>
          <w:vertAlign w:val="baseline"/>
        </w:rPr>
        <w:t>(+1)</w:t>
      </w:r>
      <w:r>
        <w:rPr>
          <w:rFonts w:ascii="Calibri" w:hAnsi="Calibri"/>
          <w:spacing w:val="-2"/>
          <w:sz w:val="20"/>
          <w:vertAlign w:val="baseline"/>
        </w:rPr>
        <w:t> </w:t>
      </w:r>
      <w:r>
        <w:rPr>
          <w:rFonts w:ascii="Calibri" w:hAnsi="Calibri"/>
          <w:sz w:val="20"/>
          <w:vertAlign w:val="baseline"/>
        </w:rPr>
        <w:t>= 100% certainty that</w:t>
      </w:r>
      <w:r>
        <w:rPr>
          <w:rFonts w:ascii="Calibri" w:hAnsi="Calibri"/>
          <w:spacing w:val="-4"/>
          <w:sz w:val="20"/>
          <w:vertAlign w:val="baseline"/>
        </w:rPr>
        <w:t> </w:t>
      </w:r>
      <w:r>
        <w:rPr>
          <w:rFonts w:ascii="Calibri" w:hAnsi="Calibri"/>
          <w:sz w:val="20"/>
          <w:vertAlign w:val="baseline"/>
        </w:rPr>
        <w:t>if the Sun sets</w:t>
      </w:r>
      <w:r>
        <w:rPr>
          <w:rFonts w:ascii="Calibri" w:hAnsi="Calibri"/>
          <w:spacing w:val="-1"/>
          <w:sz w:val="20"/>
          <w:vertAlign w:val="baseline"/>
        </w:rPr>
        <w:t> </w:t>
      </w:r>
      <w:r>
        <w:rPr>
          <w:rFonts w:ascii="Calibri" w:hAnsi="Calibri"/>
          <w:sz w:val="20"/>
          <w:vertAlign w:val="baseline"/>
        </w:rPr>
        <w:t>the night will</w:t>
      </w:r>
      <w:r>
        <w:rPr>
          <w:rFonts w:ascii="Calibri" w:hAnsi="Calibri"/>
          <w:spacing w:val="15"/>
          <w:sz w:val="20"/>
          <w:vertAlign w:val="baseline"/>
        </w:rPr>
        <w:t> </w:t>
      </w:r>
      <w:r>
        <w:rPr>
          <w:rFonts w:ascii="Calibri" w:hAnsi="Calibri"/>
          <w:sz w:val="20"/>
          <w:vertAlign w:val="baseline"/>
        </w:rPr>
        <w:t>come</w:t>
      </w:r>
      <w:r>
        <w:rPr>
          <w:rFonts w:ascii="Calibri" w:hAnsi="Calibri"/>
          <w:spacing w:val="9"/>
          <w:sz w:val="20"/>
          <w:vertAlign w:val="baseline"/>
        </w:rPr>
        <w:t> </w:t>
      </w:r>
      <w:r>
        <w:rPr>
          <w:rFonts w:ascii="Calibri" w:hAnsi="Calibri"/>
          <w:sz w:val="20"/>
          <w:vertAlign w:val="baseline"/>
        </w:rPr>
        <w:t>(increase)</w:t>
      </w:r>
      <w:r>
        <w:rPr>
          <w:rFonts w:ascii="Calibri" w:hAnsi="Calibri"/>
          <w:spacing w:val="15"/>
          <w:sz w:val="20"/>
          <w:vertAlign w:val="baseline"/>
        </w:rPr>
        <w:t> </w:t>
      </w:r>
      <w:r>
        <w:rPr>
          <w:rFonts w:ascii="Calibri" w:hAnsi="Calibri"/>
          <w:sz w:val="20"/>
          <w:vertAlign w:val="baseline"/>
        </w:rPr>
        <w:t>b)</w:t>
      </w:r>
      <w:r>
        <w:rPr>
          <w:rFonts w:ascii="Calibri" w:hAnsi="Calibri"/>
          <w:spacing w:val="10"/>
          <w:sz w:val="20"/>
          <w:vertAlign w:val="baseline"/>
        </w:rPr>
        <w:t> </w:t>
      </w:r>
      <w:r>
        <w:rPr>
          <w:rFonts w:ascii="Calibri" w:hAnsi="Calibri"/>
          <w:sz w:val="20"/>
          <w:vertAlign w:val="baseline"/>
        </w:rPr>
        <w:t>the</w:t>
      </w:r>
      <w:r>
        <w:rPr>
          <w:rFonts w:ascii="Calibri" w:hAnsi="Calibri"/>
          <w:spacing w:val="10"/>
          <w:sz w:val="20"/>
          <w:vertAlign w:val="baseline"/>
        </w:rPr>
        <w:t> </w:t>
      </w:r>
      <w:r>
        <w:rPr>
          <w:rFonts w:ascii="Calibri" w:hAnsi="Calibri"/>
          <w:sz w:val="20"/>
          <w:vertAlign w:val="baseline"/>
        </w:rPr>
        <w:t>coin</w:t>
      </w:r>
      <w:r>
        <w:rPr>
          <w:rFonts w:ascii="Calibri" w:hAnsi="Calibri"/>
          <w:spacing w:val="8"/>
          <w:sz w:val="20"/>
          <w:vertAlign w:val="baseline"/>
        </w:rPr>
        <w:t> </w:t>
      </w:r>
      <w:r>
        <w:rPr>
          <w:rFonts w:ascii="Calibri" w:hAnsi="Calibri"/>
          <w:sz w:val="20"/>
          <w:vertAlign w:val="baseline"/>
        </w:rPr>
        <w:t>toss</w:t>
      </w:r>
      <w:r>
        <w:rPr>
          <w:rFonts w:ascii="Calibri" w:hAnsi="Calibri"/>
          <w:spacing w:val="12"/>
          <w:sz w:val="20"/>
          <w:vertAlign w:val="baseline"/>
        </w:rPr>
        <w:t> </w:t>
      </w:r>
      <w:r>
        <w:rPr>
          <w:rFonts w:ascii="Calibri" w:hAnsi="Calibri"/>
          <w:sz w:val="20"/>
          <w:vertAlign w:val="baseline"/>
        </w:rPr>
        <w:t>→</w:t>
      </w:r>
      <w:r>
        <w:rPr>
          <w:rFonts w:ascii="Calibri" w:hAnsi="Calibri"/>
          <w:spacing w:val="14"/>
          <w:sz w:val="20"/>
          <w:vertAlign w:val="baseline"/>
        </w:rPr>
        <w:t> </w:t>
      </w:r>
      <w:r>
        <w:rPr>
          <w:rFonts w:ascii="Calibri" w:hAnsi="Calibri"/>
          <w:sz w:val="20"/>
          <w:vertAlign w:val="baseline"/>
        </w:rPr>
        <w:t>heads</w:t>
      </w:r>
      <w:r>
        <w:rPr>
          <w:rFonts w:ascii="Calibri" w:hAnsi="Calibri"/>
          <w:spacing w:val="7"/>
          <w:sz w:val="20"/>
          <w:vertAlign w:val="baseline"/>
        </w:rPr>
        <w:t> </w:t>
      </w:r>
      <w:r>
        <w:rPr>
          <w:rFonts w:ascii="Calibri" w:hAnsi="Calibri"/>
          <w:sz w:val="20"/>
          <w:vertAlign w:val="baseline"/>
        </w:rPr>
        <w:t>(+0.5)</w:t>
      </w:r>
      <w:r>
        <w:rPr>
          <w:rFonts w:ascii="Calibri" w:hAnsi="Calibri"/>
          <w:spacing w:val="10"/>
          <w:sz w:val="20"/>
          <w:vertAlign w:val="baseline"/>
        </w:rPr>
        <w:t> </w:t>
      </w:r>
      <w:r>
        <w:rPr>
          <w:rFonts w:ascii="Calibri" w:hAnsi="Calibri"/>
          <w:sz w:val="20"/>
          <w:vertAlign w:val="baseline"/>
        </w:rPr>
        <w:t>=</w:t>
      </w:r>
      <w:r>
        <w:rPr>
          <w:rFonts w:ascii="Calibri" w:hAnsi="Calibri"/>
          <w:spacing w:val="14"/>
          <w:sz w:val="20"/>
          <w:vertAlign w:val="baseline"/>
        </w:rPr>
        <w:t> </w:t>
      </w:r>
      <w:r>
        <w:rPr>
          <w:rFonts w:ascii="Calibri" w:hAnsi="Calibri"/>
          <w:sz w:val="20"/>
          <w:vertAlign w:val="baseline"/>
        </w:rPr>
        <w:t>50</w:t>
      </w:r>
      <w:r>
        <w:rPr>
          <w:rFonts w:ascii="Calibri" w:hAnsi="Calibri"/>
          <w:spacing w:val="8"/>
          <w:sz w:val="20"/>
          <w:vertAlign w:val="baseline"/>
        </w:rPr>
        <w:t> </w:t>
      </w:r>
      <w:r>
        <w:rPr>
          <w:rFonts w:ascii="Calibri" w:hAnsi="Calibri"/>
          <w:sz w:val="20"/>
          <w:vertAlign w:val="baseline"/>
        </w:rPr>
        <w:t>%.</w:t>
      </w:r>
      <w:r>
        <w:rPr>
          <w:rFonts w:ascii="Calibri" w:hAnsi="Calibri"/>
          <w:spacing w:val="15"/>
          <w:sz w:val="20"/>
          <w:vertAlign w:val="baseline"/>
        </w:rPr>
        <w:t> </w:t>
      </w:r>
      <w:r>
        <w:rPr>
          <w:rFonts w:ascii="Calibri" w:hAnsi="Calibri"/>
          <w:sz w:val="20"/>
          <w:vertAlign w:val="baseline"/>
        </w:rPr>
        <w:t>Similarily</w:t>
      </w:r>
      <w:r>
        <w:rPr>
          <w:rFonts w:ascii="Calibri" w:hAnsi="Calibri"/>
          <w:spacing w:val="9"/>
          <w:sz w:val="20"/>
          <w:vertAlign w:val="baseline"/>
        </w:rPr>
        <w:t> </w:t>
      </w:r>
      <w:r>
        <w:rPr>
          <w:rFonts w:ascii="Calibri" w:hAnsi="Calibri"/>
          <w:sz w:val="20"/>
          <w:vertAlign w:val="baseline"/>
        </w:rPr>
        <w:t>if</w:t>
      </w:r>
      <w:r>
        <w:rPr>
          <w:rFonts w:ascii="Calibri" w:hAnsi="Calibri"/>
          <w:spacing w:val="11"/>
          <w:sz w:val="20"/>
          <w:vertAlign w:val="baseline"/>
        </w:rPr>
        <w:t> </w:t>
      </w:r>
      <w:r>
        <w:rPr>
          <w:rFonts w:ascii="Calibri" w:hAnsi="Calibri"/>
          <w:sz w:val="20"/>
          <w:vertAlign w:val="baseline"/>
        </w:rPr>
        <w:t>we</w:t>
      </w:r>
      <w:r>
        <w:rPr>
          <w:rFonts w:ascii="Calibri" w:hAnsi="Calibri"/>
          <w:spacing w:val="14"/>
          <w:sz w:val="20"/>
          <w:vertAlign w:val="baseline"/>
        </w:rPr>
        <w:t> </w:t>
      </w:r>
      <w:r>
        <w:rPr>
          <w:rFonts w:ascii="Calibri" w:hAnsi="Calibri"/>
          <w:sz w:val="20"/>
          <w:vertAlign w:val="baseline"/>
        </w:rPr>
        <w:t>see</w:t>
      </w:r>
      <w:r>
        <w:rPr>
          <w:rFonts w:ascii="Calibri" w:hAnsi="Calibri"/>
          <w:spacing w:val="10"/>
          <w:sz w:val="20"/>
          <w:vertAlign w:val="baseline"/>
        </w:rPr>
        <w:t> </w:t>
      </w:r>
      <w:r>
        <w:rPr>
          <w:rFonts w:ascii="Calibri" w:hAnsi="Calibri"/>
          <w:sz w:val="20"/>
          <w:vertAlign w:val="baseline"/>
        </w:rPr>
        <w:t>that</w:t>
      </w:r>
      <w:r>
        <w:rPr>
          <w:rFonts w:ascii="Calibri" w:hAnsi="Calibri"/>
          <w:spacing w:val="13"/>
          <w:sz w:val="20"/>
          <w:vertAlign w:val="baseline"/>
        </w:rPr>
        <w:t> </w:t>
      </w:r>
      <w:r>
        <w:rPr>
          <w:rFonts w:ascii="Calibri" w:hAnsi="Calibri"/>
          <w:sz w:val="20"/>
          <w:vertAlign w:val="baseline"/>
        </w:rPr>
        <w:t>70%</w:t>
      </w:r>
      <w:r>
        <w:rPr>
          <w:rFonts w:ascii="Calibri" w:hAnsi="Calibri"/>
          <w:spacing w:val="13"/>
          <w:sz w:val="20"/>
          <w:vertAlign w:val="baseline"/>
        </w:rPr>
        <w:t> </w:t>
      </w:r>
      <w:r>
        <w:rPr>
          <w:rFonts w:ascii="Calibri" w:hAnsi="Calibri"/>
          <w:sz w:val="20"/>
          <w:vertAlign w:val="baseline"/>
        </w:rPr>
        <w:t>of</w:t>
      </w:r>
      <w:r>
        <w:rPr>
          <w:rFonts w:ascii="Calibri" w:hAnsi="Calibri"/>
          <w:spacing w:val="15"/>
          <w:sz w:val="20"/>
          <w:vertAlign w:val="baseline"/>
        </w:rPr>
        <w:t> </w:t>
      </w:r>
      <w:r>
        <w:rPr>
          <w:rFonts w:ascii="Calibri" w:hAnsi="Calibri"/>
          <w:spacing w:val="-2"/>
          <w:sz w:val="20"/>
          <w:vertAlign w:val="baseline"/>
        </w:rPr>
        <w:t>people</w:t>
      </w:r>
    </w:p>
    <w:p>
      <w:pPr>
        <w:spacing w:after="0"/>
        <w:jc w:val="left"/>
        <w:rPr>
          <w:rFonts w:ascii="Calibri" w:hAnsi="Calibri"/>
          <w:sz w:val="20"/>
        </w:rPr>
        <w:sectPr>
          <w:pgSz w:w="12240" w:h="15840"/>
          <w:pgMar w:header="1046" w:footer="0" w:top="1360" w:bottom="280" w:left="720" w:right="360"/>
        </w:sectPr>
      </w:pPr>
    </w:p>
    <w:p>
      <w:pPr>
        <w:pStyle w:val="BodyText"/>
        <w:spacing w:line="276" w:lineRule="auto" w:before="276"/>
        <w:ind w:right="1907" w:firstLine="720"/>
      </w:pPr>
      <w:r>
        <w:rPr/>
        <w:t>We have identified nine variables. Among those variables we have three meaning systems: 1) political system, 2) legal system and 3) economic system.</w:t>
      </w:r>
      <w:r>
        <w:rPr>
          <w:spacing w:val="-2"/>
        </w:rPr>
        <w:t> </w:t>
      </w:r>
      <w:r>
        <w:rPr/>
        <w:t>Three</w:t>
      </w:r>
      <w:r>
        <w:rPr>
          <w:spacing w:val="-3"/>
        </w:rPr>
        <w:t> </w:t>
      </w:r>
      <w:r>
        <w:rPr/>
        <w:t>variables</w:t>
      </w:r>
      <w:r>
        <w:rPr>
          <w:spacing w:val="-5"/>
        </w:rPr>
        <w:t> </w:t>
      </w:r>
      <w:r>
        <w:rPr/>
        <w:t>that</w:t>
      </w:r>
      <w:r>
        <w:rPr>
          <w:spacing w:val="-3"/>
        </w:rPr>
        <w:t> </w:t>
      </w:r>
      <w:r>
        <w:rPr/>
        <w:t>indicate</w:t>
      </w:r>
      <w:r>
        <w:rPr>
          <w:spacing w:val="-3"/>
        </w:rPr>
        <w:t> </w:t>
      </w:r>
      <w:r>
        <w:rPr/>
        <w:t>the</w:t>
      </w:r>
      <w:r>
        <w:rPr>
          <w:spacing w:val="-8"/>
        </w:rPr>
        <w:t> </w:t>
      </w:r>
      <w:r>
        <w:rPr/>
        <w:t>purpose</w:t>
      </w:r>
      <w:r>
        <w:rPr>
          <w:spacing w:val="-3"/>
        </w:rPr>
        <w:t> </w:t>
      </w:r>
      <w:r>
        <w:rPr/>
        <w:t>of</w:t>
      </w:r>
      <w:r>
        <w:rPr>
          <w:spacing w:val="-4"/>
        </w:rPr>
        <w:t> </w:t>
      </w:r>
      <w:r>
        <w:rPr/>
        <w:t>the</w:t>
      </w:r>
      <w:r>
        <w:rPr>
          <w:spacing w:val="-3"/>
        </w:rPr>
        <w:t> </w:t>
      </w:r>
      <w:r>
        <w:rPr/>
        <w:t>whole:</w:t>
      </w:r>
      <w:r>
        <w:rPr>
          <w:spacing w:val="-2"/>
        </w:rPr>
        <w:t> </w:t>
      </w:r>
      <w:r>
        <w:rPr/>
        <w:t>4)</w:t>
      </w:r>
      <w:r>
        <w:rPr>
          <w:spacing w:val="-2"/>
        </w:rPr>
        <w:t> </w:t>
      </w:r>
      <w:r>
        <w:rPr/>
        <w:t>prosperity and 5) security, 6) public support. Two variables that have a negative connotation: 7) economic crisis, 8) threats. One variable that is situated at the center of the system – 9) integration.</w:t>
      </w:r>
    </w:p>
    <w:p>
      <w:pPr>
        <w:pStyle w:val="BodyText"/>
        <w:spacing w:line="276" w:lineRule="auto"/>
        <w:ind w:right="1908" w:firstLine="720"/>
      </w:pPr>
      <w:r>
        <w:rPr/>
        <w:t>We need to clarify that under ‘public’ we presuppose the public clusters. Security is understood in its broader sectorial terms, however, by ‘threats’ we mean the existential</w:t>
      </w:r>
      <w:r>
        <w:rPr>
          <w:spacing w:val="-1"/>
        </w:rPr>
        <w:t> </w:t>
      </w:r>
      <w:r>
        <w:rPr/>
        <w:t>threats. The map (figure 19) designates the relations between the systemic variables of the EU. Considering the</w:t>
      </w:r>
      <w:r>
        <w:rPr>
          <w:spacing w:val="40"/>
        </w:rPr>
        <w:t> </w:t>
      </w:r>
      <w:r>
        <w:rPr/>
        <w:t>adjusted values we can propose few descriptive statements:</w:t>
      </w:r>
    </w:p>
    <w:p>
      <w:pPr>
        <w:spacing w:line="214" w:lineRule="exact" w:before="0"/>
        <w:ind w:left="979" w:right="0" w:firstLine="0"/>
        <w:jc w:val="left"/>
        <w:rPr>
          <w:rFonts w:ascii="Calibri"/>
          <w:b/>
          <w:sz w:val="18"/>
        </w:rPr>
      </w:pPr>
      <w:bookmarkStart w:name="_bookmark59" w:id="60"/>
      <w:bookmarkEnd w:id="60"/>
      <w:r>
        <w:rPr/>
      </w:r>
      <w:r>
        <w:rPr>
          <w:rFonts w:ascii="Calibri"/>
          <w:b/>
          <w:color w:val="4F81BC"/>
          <w:sz w:val="18"/>
        </w:rPr>
        <w:t>Figure</w:t>
      </w:r>
      <w:r>
        <w:rPr>
          <w:rFonts w:ascii="Calibri"/>
          <w:b/>
          <w:color w:val="4F81BC"/>
          <w:spacing w:val="-1"/>
          <w:sz w:val="18"/>
        </w:rPr>
        <w:t> </w:t>
      </w:r>
      <w:r>
        <w:rPr>
          <w:rFonts w:ascii="Calibri"/>
          <w:b/>
          <w:color w:val="4F81BC"/>
          <w:sz w:val="18"/>
        </w:rPr>
        <w:t>19.</w:t>
      </w:r>
      <w:r>
        <w:rPr>
          <w:rFonts w:ascii="Calibri"/>
          <w:b/>
          <w:color w:val="4F81BC"/>
          <w:spacing w:val="-5"/>
          <w:sz w:val="18"/>
        </w:rPr>
        <w:t> </w:t>
      </w:r>
      <w:r>
        <w:rPr>
          <w:rFonts w:ascii="Calibri"/>
          <w:b/>
          <w:color w:val="4F81BC"/>
          <w:sz w:val="18"/>
        </w:rPr>
        <w:t>Fuzzy System</w:t>
      </w:r>
      <w:r>
        <w:rPr>
          <w:rFonts w:ascii="Calibri"/>
          <w:b/>
          <w:color w:val="4F81BC"/>
          <w:spacing w:val="-5"/>
          <w:sz w:val="18"/>
        </w:rPr>
        <w:t> Map</w:t>
      </w:r>
    </w:p>
    <w:p>
      <w:pPr>
        <w:pStyle w:val="BodyText"/>
        <w:spacing w:before="9"/>
        <w:ind w:left="0"/>
        <w:jc w:val="left"/>
        <w:rPr>
          <w:rFonts w:ascii="Calibri"/>
          <w:b/>
          <w:sz w:val="14"/>
        </w:rPr>
      </w:pPr>
      <w:r>
        <w:rPr>
          <w:rFonts w:ascii="Calibri"/>
          <w:b/>
          <w:sz w:val="14"/>
        </w:rPr>
        <w:drawing>
          <wp:anchor distT="0" distB="0" distL="0" distR="0" allowOverlap="1" layoutInCell="1" locked="0" behindDoc="1" simplePos="0" relativeHeight="487676416">
            <wp:simplePos x="0" y="0"/>
            <wp:positionH relativeFrom="page">
              <wp:posOffset>1080135</wp:posOffset>
            </wp:positionH>
            <wp:positionV relativeFrom="paragraph">
              <wp:posOffset>129871</wp:posOffset>
            </wp:positionV>
            <wp:extent cx="3602743" cy="3362610"/>
            <wp:effectExtent l="0" t="0" r="0" b="0"/>
            <wp:wrapTopAndBottom/>
            <wp:docPr id="215" name="Image 215" descr="C:\Users\user\Desktop\diagrams\fuzzy777.jpg"/>
            <wp:cNvGraphicFramePr>
              <a:graphicFrameLocks/>
            </wp:cNvGraphicFramePr>
            <a:graphic>
              <a:graphicData uri="http://schemas.openxmlformats.org/drawingml/2006/picture">
                <pic:pic>
                  <pic:nvPicPr>
                    <pic:cNvPr id="215" name="Image 215" descr="C:\Users\user\Desktop\diagrams\fuzzy777.jpg"/>
                    <pic:cNvPicPr/>
                  </pic:nvPicPr>
                  <pic:blipFill>
                    <a:blip r:embed="rId41" cstate="print"/>
                    <a:stretch>
                      <a:fillRect/>
                    </a:stretch>
                  </pic:blipFill>
                  <pic:spPr>
                    <a:xfrm>
                      <a:off x="0" y="0"/>
                      <a:ext cx="3602743" cy="3362610"/>
                    </a:xfrm>
                    <a:prstGeom prst="rect">
                      <a:avLst/>
                    </a:prstGeom>
                  </pic:spPr>
                </pic:pic>
              </a:graphicData>
            </a:graphic>
          </wp:anchor>
        </w:drawing>
      </w:r>
    </w:p>
    <w:p>
      <w:pPr>
        <w:pStyle w:val="ListParagraph"/>
        <w:numPr>
          <w:ilvl w:val="0"/>
          <w:numId w:val="20"/>
        </w:numPr>
        <w:tabs>
          <w:tab w:pos="1270" w:val="left" w:leader="none"/>
        </w:tabs>
        <w:spacing w:line="271" w:lineRule="auto" w:before="177" w:after="0"/>
        <w:ind w:left="979" w:right="1916" w:firstLine="0"/>
        <w:jc w:val="both"/>
        <w:rPr>
          <w:sz w:val="26"/>
        </w:rPr>
      </w:pPr>
      <w:r>
        <w:rPr>
          <w:spacing w:val="-2"/>
          <w:sz w:val="27"/>
        </w:rPr>
        <w:t>When</w:t>
      </w:r>
      <w:r>
        <w:rPr>
          <w:spacing w:val="-11"/>
          <w:sz w:val="27"/>
        </w:rPr>
        <w:t> </w:t>
      </w:r>
      <w:r>
        <w:rPr>
          <w:spacing w:val="-2"/>
          <w:sz w:val="27"/>
        </w:rPr>
        <w:t>public</w:t>
      </w:r>
      <w:r>
        <w:rPr>
          <w:spacing w:val="-9"/>
          <w:sz w:val="27"/>
        </w:rPr>
        <w:t> </w:t>
      </w:r>
      <w:r>
        <w:rPr>
          <w:spacing w:val="-2"/>
          <w:sz w:val="27"/>
        </w:rPr>
        <w:t>support</w:t>
      </w:r>
      <w:r>
        <w:rPr>
          <w:spacing w:val="-11"/>
          <w:sz w:val="27"/>
        </w:rPr>
        <w:t> </w:t>
      </w:r>
      <w:r>
        <w:rPr>
          <w:spacing w:val="-2"/>
          <w:sz w:val="27"/>
        </w:rPr>
        <w:t>increases</w:t>
      </w:r>
      <w:r>
        <w:rPr>
          <w:spacing w:val="-13"/>
          <w:sz w:val="27"/>
        </w:rPr>
        <w:t> </w:t>
      </w:r>
      <w:r>
        <w:rPr>
          <w:spacing w:val="-2"/>
          <w:sz w:val="27"/>
        </w:rPr>
        <w:t>the</w:t>
      </w:r>
      <w:r>
        <w:rPr>
          <w:spacing w:val="-11"/>
          <w:sz w:val="27"/>
        </w:rPr>
        <w:t> </w:t>
      </w:r>
      <w:r>
        <w:rPr>
          <w:spacing w:val="-2"/>
          <w:sz w:val="27"/>
        </w:rPr>
        <w:t>systemic</w:t>
      </w:r>
      <w:r>
        <w:rPr>
          <w:spacing w:val="-12"/>
          <w:sz w:val="27"/>
        </w:rPr>
        <w:t> </w:t>
      </w:r>
      <w:r>
        <w:rPr>
          <w:spacing w:val="-2"/>
          <w:sz w:val="27"/>
        </w:rPr>
        <w:t>value</w:t>
      </w:r>
      <w:r>
        <w:rPr>
          <w:spacing w:val="-11"/>
          <w:sz w:val="27"/>
        </w:rPr>
        <w:t> </w:t>
      </w:r>
      <w:r>
        <w:rPr>
          <w:spacing w:val="-2"/>
          <w:sz w:val="27"/>
        </w:rPr>
        <w:t>of</w:t>
      </w:r>
      <w:r>
        <w:rPr>
          <w:spacing w:val="-12"/>
          <w:sz w:val="27"/>
        </w:rPr>
        <w:t> </w:t>
      </w:r>
      <w:r>
        <w:rPr>
          <w:spacing w:val="-2"/>
          <w:sz w:val="27"/>
        </w:rPr>
        <w:t>the</w:t>
      </w:r>
      <w:r>
        <w:rPr>
          <w:spacing w:val="-11"/>
          <w:sz w:val="27"/>
        </w:rPr>
        <w:t> </w:t>
      </w:r>
      <w:r>
        <w:rPr>
          <w:spacing w:val="-2"/>
          <w:sz w:val="27"/>
        </w:rPr>
        <w:t>political</w:t>
      </w:r>
      <w:r>
        <w:rPr>
          <w:spacing w:val="-14"/>
          <w:sz w:val="27"/>
        </w:rPr>
        <w:t> </w:t>
      </w:r>
      <w:r>
        <w:rPr>
          <w:spacing w:val="-2"/>
          <w:sz w:val="27"/>
        </w:rPr>
        <w:t>system </w:t>
      </w:r>
      <w:r>
        <w:rPr>
          <w:sz w:val="27"/>
        </w:rPr>
        <w:t>increases</w:t>
      </w:r>
      <w:r>
        <w:rPr>
          <w:spacing w:val="-5"/>
          <w:sz w:val="27"/>
        </w:rPr>
        <w:t> </w:t>
      </w:r>
      <w:r>
        <w:rPr>
          <w:sz w:val="27"/>
        </w:rPr>
        <w:t>too</w:t>
      </w:r>
      <w:r>
        <w:rPr>
          <w:sz w:val="26"/>
        </w:rPr>
        <w:t>.</w:t>
      </w:r>
      <w:r>
        <w:rPr>
          <w:spacing w:val="40"/>
          <w:sz w:val="26"/>
        </w:rPr>
        <w:t> </w:t>
      </w:r>
      <w:r>
        <w:rPr>
          <w:sz w:val="26"/>
        </w:rPr>
        <w:t>When the public supports the EU as</w:t>
      </w:r>
      <w:r>
        <w:rPr>
          <w:spacing w:val="-2"/>
          <w:sz w:val="26"/>
        </w:rPr>
        <w:t> </w:t>
      </w:r>
      <w:r>
        <w:rPr>
          <w:sz w:val="26"/>
        </w:rPr>
        <w:t>a system, this support is directed to the political system, because the latter, as we have noted elsewhere in this chapter is one that creates the image of the entity.</w:t>
      </w:r>
    </w:p>
    <w:p>
      <w:pPr>
        <w:pStyle w:val="BodyText"/>
        <w:spacing w:before="58"/>
        <w:ind w:left="0"/>
        <w:jc w:val="left"/>
        <w:rPr>
          <w:sz w:val="20"/>
        </w:rPr>
      </w:pPr>
      <w:r>
        <w:rPr>
          <w:sz w:val="20"/>
        </w:rPr>
        <mc:AlternateContent>
          <mc:Choice Requires="wps">
            <w:drawing>
              <wp:anchor distT="0" distB="0" distL="0" distR="0" allowOverlap="1" layoutInCell="1" locked="0" behindDoc="1" simplePos="0" relativeHeight="487676928">
                <wp:simplePos x="0" y="0"/>
                <wp:positionH relativeFrom="page">
                  <wp:posOffset>1079296</wp:posOffset>
                </wp:positionH>
                <wp:positionV relativeFrom="paragraph">
                  <wp:posOffset>219693</wp:posOffset>
                </wp:positionV>
                <wp:extent cx="5253990" cy="9525"/>
                <wp:effectExtent l="0" t="0" r="0" b="0"/>
                <wp:wrapTopAndBottom/>
                <wp:docPr id="216" name="Graphic 216"/>
                <wp:cNvGraphicFramePr>
                  <a:graphicFrameLocks/>
                </wp:cNvGraphicFramePr>
                <a:graphic>
                  <a:graphicData uri="http://schemas.microsoft.com/office/word/2010/wordprocessingShape">
                    <wps:wsp>
                      <wps:cNvPr id="216" name="Graphic 216"/>
                      <wps:cNvSpPr/>
                      <wps:spPr>
                        <a:xfrm>
                          <a:off x="0" y="0"/>
                          <a:ext cx="5253990" cy="9525"/>
                        </a:xfrm>
                        <a:custGeom>
                          <a:avLst/>
                          <a:gdLst/>
                          <a:ahLst/>
                          <a:cxnLst/>
                          <a:rect l="l" t="t" r="r" b="b"/>
                          <a:pathLst>
                            <a:path w="5253990" h="9525">
                              <a:moveTo>
                                <a:pt x="5253863" y="0"/>
                              </a:moveTo>
                              <a:lnTo>
                                <a:pt x="0" y="0"/>
                              </a:lnTo>
                              <a:lnTo>
                                <a:pt x="0" y="9143"/>
                              </a:lnTo>
                              <a:lnTo>
                                <a:pt x="5253863" y="9143"/>
                              </a:lnTo>
                              <a:lnTo>
                                <a:pt x="525386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84001pt;margin-top:17.298716pt;width:413.69pt;height:.71997pt;mso-position-horizontal-relative:page;mso-position-vertical-relative:paragraph;z-index:-15639552;mso-wrap-distance-left:0;mso-wrap-distance-right:0" id="docshape201" filled="true" fillcolor="#000000" stroked="false">
                <v:fill type="solid"/>
                <w10:wrap type="topAndBottom"/>
              </v:rect>
            </w:pict>
          </mc:Fallback>
        </mc:AlternateContent>
      </w:r>
    </w:p>
    <w:p>
      <w:pPr>
        <w:spacing w:before="102"/>
        <w:ind w:left="979" w:right="1909" w:firstLine="0"/>
        <w:jc w:val="left"/>
        <w:rPr>
          <w:rFonts w:ascii="Calibri" w:hAnsi="Calibri"/>
          <w:sz w:val="20"/>
        </w:rPr>
      </w:pPr>
      <w:r>
        <w:rPr>
          <w:rFonts w:ascii="Calibri" w:hAnsi="Calibri"/>
          <w:sz w:val="20"/>
        </w:rPr>
        <w:t>support</w:t>
      </w:r>
      <w:r>
        <w:rPr>
          <w:rFonts w:ascii="Calibri" w:hAnsi="Calibri"/>
          <w:spacing w:val="64"/>
          <w:sz w:val="20"/>
        </w:rPr>
        <w:t> </w:t>
      </w:r>
      <w:r>
        <w:rPr>
          <w:rFonts w:ascii="Calibri" w:hAnsi="Calibri"/>
          <w:sz w:val="20"/>
        </w:rPr>
        <w:t>common</w:t>
      </w:r>
      <w:r>
        <w:rPr>
          <w:rFonts w:ascii="Calibri" w:hAnsi="Calibri"/>
          <w:spacing w:val="40"/>
          <w:sz w:val="20"/>
        </w:rPr>
        <w:t> </w:t>
      </w:r>
      <w:r>
        <w:rPr>
          <w:rFonts w:ascii="Calibri" w:hAnsi="Calibri"/>
          <w:sz w:val="20"/>
        </w:rPr>
        <w:t>European</w:t>
      </w:r>
      <w:r>
        <w:rPr>
          <w:rFonts w:ascii="Calibri" w:hAnsi="Calibri"/>
          <w:spacing w:val="64"/>
          <w:sz w:val="20"/>
        </w:rPr>
        <w:t> </w:t>
      </w:r>
      <w:r>
        <w:rPr>
          <w:rFonts w:ascii="Calibri" w:hAnsi="Calibri"/>
          <w:sz w:val="20"/>
        </w:rPr>
        <w:t>security:</w:t>
      </w:r>
      <w:r>
        <w:rPr>
          <w:rFonts w:ascii="Calibri" w:hAnsi="Calibri"/>
          <w:spacing w:val="63"/>
          <w:sz w:val="20"/>
        </w:rPr>
        <w:t> </w:t>
      </w:r>
      <w:r>
        <w:rPr>
          <w:rFonts w:ascii="Calibri" w:hAnsi="Calibri"/>
          <w:sz w:val="20"/>
        </w:rPr>
        <w:t>public</w:t>
      </w:r>
      <w:r>
        <w:rPr>
          <w:rFonts w:ascii="Calibri" w:hAnsi="Calibri"/>
          <w:spacing w:val="65"/>
          <w:sz w:val="20"/>
        </w:rPr>
        <w:t> </w:t>
      </w:r>
      <w:r>
        <w:rPr>
          <w:rFonts w:ascii="Calibri" w:hAnsi="Calibri"/>
          <w:sz w:val="20"/>
        </w:rPr>
        <w:t>support</w:t>
      </w:r>
      <w:r>
        <w:rPr>
          <w:rFonts w:ascii="Calibri" w:hAnsi="Calibri"/>
          <w:spacing w:val="64"/>
          <w:sz w:val="20"/>
        </w:rPr>
        <w:t> </w:t>
      </w:r>
      <w:r>
        <w:rPr>
          <w:rFonts w:ascii="Calibri" w:hAnsi="Calibri"/>
          <w:sz w:val="20"/>
        </w:rPr>
        <w:t>→</w:t>
      </w:r>
      <w:r>
        <w:rPr>
          <w:rFonts w:ascii="Calibri" w:hAnsi="Calibri"/>
          <w:spacing w:val="40"/>
          <w:sz w:val="20"/>
        </w:rPr>
        <w:t> </w:t>
      </w:r>
      <w:r>
        <w:rPr>
          <w:rFonts w:ascii="Calibri" w:hAnsi="Calibri"/>
          <w:sz w:val="20"/>
        </w:rPr>
        <w:t>Security</w:t>
      </w:r>
      <w:r>
        <w:rPr>
          <w:rFonts w:ascii="Calibri" w:hAnsi="Calibri"/>
          <w:spacing w:val="64"/>
          <w:sz w:val="20"/>
        </w:rPr>
        <w:t> </w:t>
      </w:r>
      <w:r>
        <w:rPr>
          <w:rFonts w:ascii="Calibri" w:hAnsi="Calibri"/>
          <w:sz w:val="20"/>
        </w:rPr>
        <w:t>(+0.7);</w:t>
      </w:r>
      <w:r>
        <w:rPr>
          <w:rFonts w:ascii="Calibri" w:hAnsi="Calibri"/>
          <w:spacing w:val="63"/>
          <w:sz w:val="20"/>
        </w:rPr>
        <w:t> </w:t>
      </w:r>
      <w:r>
        <w:rPr>
          <w:rFonts w:ascii="Calibri" w:hAnsi="Calibri"/>
          <w:sz w:val="20"/>
        </w:rPr>
        <w:t>when</w:t>
      </w:r>
      <w:r>
        <w:rPr>
          <w:rFonts w:ascii="Calibri" w:hAnsi="Calibri"/>
          <w:spacing w:val="71"/>
          <w:sz w:val="20"/>
        </w:rPr>
        <w:t> </w:t>
      </w:r>
      <w:r>
        <w:rPr>
          <w:rFonts w:ascii="Calibri" w:hAnsi="Calibri"/>
          <w:sz w:val="20"/>
        </w:rPr>
        <w:t>we</w:t>
      </w:r>
      <w:r>
        <w:rPr>
          <w:rFonts w:ascii="Calibri" w:hAnsi="Calibri"/>
          <w:spacing w:val="65"/>
          <w:sz w:val="20"/>
        </w:rPr>
        <w:t> </w:t>
      </w:r>
      <w:r>
        <w:rPr>
          <w:rFonts w:ascii="Calibri" w:hAnsi="Calibri"/>
          <w:sz w:val="20"/>
        </w:rPr>
        <w:t>deal</w:t>
      </w:r>
      <w:r>
        <w:rPr>
          <w:rFonts w:ascii="Calibri" w:hAnsi="Calibri"/>
          <w:spacing w:val="66"/>
          <w:sz w:val="20"/>
        </w:rPr>
        <w:t> </w:t>
      </w:r>
      <w:r>
        <w:rPr>
          <w:rFonts w:ascii="Calibri" w:hAnsi="Calibri"/>
          <w:sz w:val="20"/>
        </w:rPr>
        <w:t>with</w:t>
      </w:r>
      <w:r>
        <w:rPr>
          <w:rFonts w:ascii="Calibri" w:hAnsi="Calibri"/>
          <w:spacing w:val="64"/>
          <w:sz w:val="20"/>
        </w:rPr>
        <w:t> </w:t>
      </w:r>
      <w:r>
        <w:rPr>
          <w:rFonts w:ascii="Calibri" w:hAnsi="Calibri"/>
          <w:sz w:val="20"/>
        </w:rPr>
        <w:t>a qualitative data we will rely on the strength of the arguments and determine median value number.</w:t>
      </w:r>
    </w:p>
    <w:p>
      <w:pPr>
        <w:spacing w:after="0"/>
        <w:jc w:val="left"/>
        <w:rPr>
          <w:rFonts w:ascii="Calibri" w:hAnsi="Calibri"/>
          <w:sz w:val="20"/>
        </w:rPr>
        <w:sectPr>
          <w:pgSz w:w="12240" w:h="15840"/>
          <w:pgMar w:header="1046" w:footer="0" w:top="1360" w:bottom="280" w:left="720" w:right="360"/>
        </w:sectPr>
      </w:pPr>
    </w:p>
    <w:p>
      <w:pPr>
        <w:pStyle w:val="ListParagraph"/>
        <w:numPr>
          <w:ilvl w:val="0"/>
          <w:numId w:val="20"/>
        </w:numPr>
        <w:tabs>
          <w:tab w:pos="1347" w:val="left" w:leader="none"/>
        </w:tabs>
        <w:spacing w:line="273" w:lineRule="auto" w:before="266" w:after="0"/>
        <w:ind w:left="979" w:right="1902" w:firstLine="0"/>
        <w:jc w:val="both"/>
        <w:rPr>
          <w:sz w:val="26"/>
        </w:rPr>
      </w:pPr>
      <w:r>
        <w:rPr>
          <w:sz w:val="27"/>
        </w:rPr>
        <w:t>Public</w:t>
      </w:r>
      <w:r>
        <w:rPr>
          <w:spacing w:val="-17"/>
          <w:sz w:val="27"/>
        </w:rPr>
        <w:t> </w:t>
      </w:r>
      <w:r>
        <w:rPr>
          <w:sz w:val="27"/>
        </w:rPr>
        <w:t>support</w:t>
      </w:r>
      <w:r>
        <w:rPr>
          <w:spacing w:val="-17"/>
          <w:sz w:val="27"/>
        </w:rPr>
        <w:t> </w:t>
      </w:r>
      <w:r>
        <w:rPr>
          <w:sz w:val="27"/>
        </w:rPr>
        <w:t>increases</w:t>
      </w:r>
      <w:r>
        <w:rPr>
          <w:spacing w:val="-17"/>
          <w:sz w:val="27"/>
        </w:rPr>
        <w:t> </w:t>
      </w:r>
      <w:r>
        <w:rPr>
          <w:sz w:val="27"/>
        </w:rPr>
        <w:t>when</w:t>
      </w:r>
      <w:r>
        <w:rPr>
          <w:spacing w:val="-17"/>
          <w:sz w:val="27"/>
        </w:rPr>
        <w:t> </w:t>
      </w:r>
      <w:r>
        <w:rPr>
          <w:sz w:val="27"/>
        </w:rPr>
        <w:t>the</w:t>
      </w:r>
      <w:r>
        <w:rPr>
          <w:spacing w:val="-17"/>
          <w:sz w:val="27"/>
        </w:rPr>
        <w:t> </w:t>
      </w:r>
      <w:r>
        <w:rPr>
          <w:sz w:val="27"/>
        </w:rPr>
        <w:t>system</w:t>
      </w:r>
      <w:r>
        <w:rPr>
          <w:spacing w:val="-17"/>
          <w:sz w:val="27"/>
        </w:rPr>
        <w:t> </w:t>
      </w:r>
      <w:r>
        <w:rPr>
          <w:sz w:val="27"/>
        </w:rPr>
        <w:t>is</w:t>
      </w:r>
      <w:r>
        <w:rPr>
          <w:spacing w:val="-17"/>
          <w:sz w:val="27"/>
        </w:rPr>
        <w:t> </w:t>
      </w:r>
      <w:r>
        <w:rPr>
          <w:sz w:val="27"/>
        </w:rPr>
        <w:t>prosperous.</w:t>
      </w:r>
      <w:r>
        <w:rPr>
          <w:spacing w:val="29"/>
          <w:sz w:val="27"/>
        </w:rPr>
        <w:t> </w:t>
      </w:r>
      <w:r>
        <w:rPr>
          <w:sz w:val="26"/>
        </w:rPr>
        <w:t>This</w:t>
      </w:r>
      <w:r>
        <w:rPr>
          <w:spacing w:val="-16"/>
          <w:sz w:val="26"/>
        </w:rPr>
        <w:t> </w:t>
      </w:r>
      <w:r>
        <w:rPr>
          <w:sz w:val="26"/>
        </w:rPr>
        <w:t>statement derives from the logic or reasoning followed by </w:t>
      </w:r>
      <w:r>
        <w:rPr>
          <w:sz w:val="27"/>
        </w:rPr>
        <w:t>Moravcsik</w:t>
      </w:r>
      <w:r>
        <w:rPr>
          <w:sz w:val="26"/>
        </w:rPr>
        <w:t>, </w:t>
      </w:r>
      <w:r>
        <w:rPr>
          <w:sz w:val="27"/>
        </w:rPr>
        <w:t>Majone </w:t>
      </w:r>
      <w:r>
        <w:rPr>
          <w:sz w:val="26"/>
        </w:rPr>
        <w:t>and others. According to them public support of the system is directly</w:t>
      </w:r>
      <w:r>
        <w:rPr>
          <w:spacing w:val="40"/>
          <w:sz w:val="26"/>
        </w:rPr>
        <w:t> </w:t>
      </w:r>
      <w:r>
        <w:rPr>
          <w:sz w:val="26"/>
        </w:rPr>
        <w:t>correlated with the economic effectiveness of the Union. (</w:t>
      </w:r>
      <w:hyperlink w:history="true" w:anchor="_bookmark271">
        <w:r>
          <w:rPr>
            <w:sz w:val="26"/>
          </w:rPr>
          <w:t>Majone, 1998</w:t>
        </w:r>
      </w:hyperlink>
      <w:r>
        <w:rPr>
          <w:sz w:val="26"/>
        </w:rPr>
        <w:t>; </w:t>
      </w:r>
      <w:hyperlink w:history="true" w:anchor="_bookmark305">
        <w:r>
          <w:rPr>
            <w:sz w:val="26"/>
          </w:rPr>
          <w:t>Moravcsik, 2008</w:t>
        </w:r>
      </w:hyperlink>
      <w:r>
        <w:rPr>
          <w:sz w:val="26"/>
        </w:rPr>
        <w:t>) The output legitimacy principle can be observed in a triangle</w:t>
      </w:r>
      <w:r>
        <w:rPr>
          <w:spacing w:val="-7"/>
          <w:sz w:val="26"/>
        </w:rPr>
        <w:t> </w:t>
      </w:r>
      <w:r>
        <w:rPr>
          <w:sz w:val="27"/>
        </w:rPr>
        <w:t>prosperity-public</w:t>
      </w:r>
      <w:r>
        <w:rPr>
          <w:spacing w:val="-8"/>
          <w:sz w:val="27"/>
        </w:rPr>
        <w:t> </w:t>
      </w:r>
      <w:r>
        <w:rPr>
          <w:sz w:val="27"/>
        </w:rPr>
        <w:t>support-political</w:t>
      </w:r>
      <w:r>
        <w:rPr>
          <w:spacing w:val="-9"/>
          <w:sz w:val="27"/>
        </w:rPr>
        <w:t> </w:t>
      </w:r>
      <w:r>
        <w:rPr>
          <w:sz w:val="27"/>
        </w:rPr>
        <w:t>system.</w:t>
      </w:r>
      <w:r>
        <w:rPr>
          <w:spacing w:val="-7"/>
          <w:sz w:val="27"/>
        </w:rPr>
        <w:t> </w:t>
      </w:r>
      <w:r>
        <w:rPr>
          <w:sz w:val="26"/>
        </w:rPr>
        <w:t>The</w:t>
      </w:r>
      <w:r>
        <w:rPr>
          <w:spacing w:val="-8"/>
          <w:sz w:val="26"/>
        </w:rPr>
        <w:t> </w:t>
      </w:r>
      <w:r>
        <w:rPr>
          <w:sz w:val="26"/>
        </w:rPr>
        <w:t>studies</w:t>
      </w:r>
      <w:r>
        <w:rPr>
          <w:spacing w:val="-7"/>
          <w:sz w:val="26"/>
        </w:rPr>
        <w:t> </w:t>
      </w:r>
      <w:r>
        <w:rPr>
          <w:sz w:val="26"/>
        </w:rPr>
        <w:t>have</w:t>
      </w:r>
      <w:r>
        <w:rPr>
          <w:spacing w:val="-8"/>
          <w:sz w:val="26"/>
        </w:rPr>
        <w:t> </w:t>
      </w:r>
      <w:r>
        <w:rPr>
          <w:sz w:val="26"/>
        </w:rPr>
        <w:t>found that the economic crisis has significantly lowered the public trust towards the EU system (-0.8). (</w:t>
      </w:r>
      <w:hyperlink w:history="true" w:anchor="_bookmark363">
        <w:r>
          <w:rPr>
            <w:sz w:val="26"/>
          </w:rPr>
          <w:t>Roth, 2009</w:t>
        </w:r>
      </w:hyperlink>
      <w:r>
        <w:rPr>
          <w:sz w:val="26"/>
        </w:rPr>
        <w:t>)</w:t>
      </w:r>
    </w:p>
    <w:p>
      <w:pPr>
        <w:pStyle w:val="Heading6"/>
        <w:numPr>
          <w:ilvl w:val="0"/>
          <w:numId w:val="20"/>
        </w:numPr>
        <w:tabs>
          <w:tab w:pos="1347" w:val="left" w:leader="none"/>
        </w:tabs>
        <w:spacing w:line="338" w:lineRule="exact" w:before="0" w:after="0"/>
        <w:ind w:left="1347" w:right="0" w:hanging="368"/>
        <w:jc w:val="both"/>
      </w:pPr>
      <w:r>
        <w:rPr/>
        <w:t>Public</w:t>
      </w:r>
      <w:r>
        <w:rPr>
          <w:spacing w:val="62"/>
        </w:rPr>
        <w:t> </w:t>
      </w:r>
      <w:r>
        <w:rPr/>
        <w:t>support</w:t>
      </w:r>
      <w:r>
        <w:rPr>
          <w:spacing w:val="63"/>
        </w:rPr>
        <w:t> </w:t>
      </w:r>
      <w:r>
        <w:rPr/>
        <w:t>of</w:t>
      </w:r>
      <w:r>
        <w:rPr>
          <w:spacing w:val="58"/>
        </w:rPr>
        <w:t> </w:t>
      </w:r>
      <w:r>
        <w:rPr/>
        <w:t>the</w:t>
      </w:r>
      <w:r>
        <w:rPr>
          <w:spacing w:val="63"/>
        </w:rPr>
        <w:t> </w:t>
      </w:r>
      <w:r>
        <w:rPr/>
        <w:t>system</w:t>
      </w:r>
      <w:r>
        <w:rPr>
          <w:spacing w:val="57"/>
        </w:rPr>
        <w:t> </w:t>
      </w:r>
      <w:r>
        <w:rPr/>
        <w:t>does</w:t>
      </w:r>
      <w:r>
        <w:rPr>
          <w:spacing w:val="57"/>
        </w:rPr>
        <w:t> </w:t>
      </w:r>
      <w:r>
        <w:rPr/>
        <w:t>presuppose</w:t>
      </w:r>
      <w:r>
        <w:rPr>
          <w:spacing w:val="60"/>
        </w:rPr>
        <w:t> </w:t>
      </w:r>
      <w:r>
        <w:rPr/>
        <w:t>a</w:t>
      </w:r>
      <w:r>
        <w:rPr>
          <w:spacing w:val="63"/>
        </w:rPr>
        <w:t> </w:t>
      </w:r>
      <w:r>
        <w:rPr/>
        <w:t>public</w:t>
      </w:r>
      <w:r>
        <w:rPr>
          <w:spacing w:val="62"/>
        </w:rPr>
        <w:t> </w:t>
      </w:r>
      <w:r>
        <w:rPr/>
        <w:t>support</w:t>
      </w:r>
      <w:r>
        <w:rPr>
          <w:spacing w:val="63"/>
        </w:rPr>
        <w:t> </w:t>
      </w:r>
      <w:r>
        <w:rPr>
          <w:spacing w:val="-5"/>
        </w:rPr>
        <w:t>of</w:t>
      </w:r>
    </w:p>
    <w:p>
      <w:pPr>
        <w:pStyle w:val="BodyText"/>
        <w:spacing w:line="271" w:lineRule="auto" w:before="38"/>
        <w:ind w:right="1912"/>
      </w:pPr>
      <w:r>
        <w:rPr>
          <w:sz w:val="27"/>
        </w:rPr>
        <w:t>integration</w:t>
      </w:r>
      <w:r>
        <w:rPr>
          <w:spacing w:val="-14"/>
          <w:sz w:val="27"/>
        </w:rPr>
        <w:t> </w:t>
      </w:r>
      <w:r>
        <w:rPr>
          <w:sz w:val="27"/>
        </w:rPr>
        <w:t>(+0.5).</w:t>
      </w:r>
      <w:r>
        <w:rPr>
          <w:spacing w:val="-14"/>
          <w:sz w:val="27"/>
        </w:rPr>
        <w:t> </w:t>
      </w:r>
      <w:r>
        <w:rPr/>
        <w:t>The</w:t>
      </w:r>
      <w:r>
        <w:rPr>
          <w:spacing w:val="-16"/>
        </w:rPr>
        <w:t> </w:t>
      </w:r>
      <w:r>
        <w:rPr/>
        <w:t>given</w:t>
      </w:r>
      <w:r>
        <w:rPr>
          <w:spacing w:val="-12"/>
        </w:rPr>
        <w:t> </w:t>
      </w:r>
      <w:r>
        <w:rPr/>
        <w:t>value</w:t>
      </w:r>
      <w:r>
        <w:rPr>
          <w:spacing w:val="-13"/>
        </w:rPr>
        <w:t> </w:t>
      </w:r>
      <w:r>
        <w:rPr/>
        <w:t>was</w:t>
      </w:r>
      <w:r>
        <w:rPr>
          <w:spacing w:val="-14"/>
        </w:rPr>
        <w:t> </w:t>
      </w:r>
      <w:r>
        <w:rPr/>
        <w:t>determined</w:t>
      </w:r>
      <w:r>
        <w:rPr>
          <w:spacing w:val="-11"/>
        </w:rPr>
        <w:t> </w:t>
      </w:r>
      <w:r>
        <w:rPr/>
        <w:t>considering</w:t>
      </w:r>
      <w:r>
        <w:rPr>
          <w:spacing w:val="-13"/>
        </w:rPr>
        <w:t> </w:t>
      </w:r>
      <w:r>
        <w:rPr/>
        <w:t>the</w:t>
      </w:r>
      <w:r>
        <w:rPr>
          <w:spacing w:val="-17"/>
        </w:rPr>
        <w:t> </w:t>
      </w:r>
      <w:r>
        <w:rPr/>
        <w:t>research done</w:t>
      </w:r>
      <w:r>
        <w:rPr>
          <w:spacing w:val="-13"/>
        </w:rPr>
        <w:t> </w:t>
      </w:r>
      <w:r>
        <w:rPr/>
        <w:t>by</w:t>
      </w:r>
      <w:r>
        <w:rPr>
          <w:spacing w:val="-12"/>
        </w:rPr>
        <w:t> </w:t>
      </w:r>
      <w:r>
        <w:rPr>
          <w:sz w:val="27"/>
        </w:rPr>
        <w:t>Richard</w:t>
      </w:r>
      <w:r>
        <w:rPr>
          <w:spacing w:val="-14"/>
          <w:sz w:val="27"/>
        </w:rPr>
        <w:t> </w:t>
      </w:r>
      <w:r>
        <w:rPr>
          <w:sz w:val="27"/>
        </w:rPr>
        <w:t>Rose</w:t>
      </w:r>
      <w:r>
        <w:rPr>
          <w:spacing w:val="-15"/>
          <w:sz w:val="27"/>
        </w:rPr>
        <w:t> </w:t>
      </w:r>
      <w:r>
        <w:rPr>
          <w:sz w:val="27"/>
        </w:rPr>
        <w:t>and</w:t>
      </w:r>
      <w:r>
        <w:rPr>
          <w:spacing w:val="-14"/>
          <w:sz w:val="27"/>
        </w:rPr>
        <w:t> </w:t>
      </w:r>
      <w:r>
        <w:rPr>
          <w:sz w:val="27"/>
        </w:rPr>
        <w:t>Gabriela</w:t>
      </w:r>
      <w:r>
        <w:rPr>
          <w:spacing w:val="-16"/>
          <w:sz w:val="27"/>
        </w:rPr>
        <w:t> </w:t>
      </w:r>
      <w:r>
        <w:rPr>
          <w:sz w:val="27"/>
        </w:rPr>
        <w:t>Borz</w:t>
      </w:r>
      <w:r>
        <w:rPr/>
        <w:t>;</w:t>
      </w:r>
      <w:r>
        <w:rPr>
          <w:spacing w:val="-12"/>
        </w:rPr>
        <w:t> </w:t>
      </w:r>
      <w:r>
        <w:rPr/>
        <w:t>the</w:t>
      </w:r>
      <w:r>
        <w:rPr>
          <w:spacing w:val="-13"/>
        </w:rPr>
        <w:t> </w:t>
      </w:r>
      <w:r>
        <w:rPr/>
        <w:t>authors</w:t>
      </w:r>
      <w:r>
        <w:rPr>
          <w:spacing w:val="-15"/>
        </w:rPr>
        <w:t> </w:t>
      </w:r>
      <w:r>
        <w:rPr/>
        <w:t>concluded</w:t>
      </w:r>
      <w:r>
        <w:rPr>
          <w:spacing w:val="-11"/>
        </w:rPr>
        <w:t> </w:t>
      </w:r>
      <w:r>
        <w:rPr/>
        <w:t>that</w:t>
      </w:r>
      <w:r>
        <w:rPr>
          <w:spacing w:val="-13"/>
        </w:rPr>
        <w:t> </w:t>
      </w:r>
      <w:r>
        <w:rPr/>
        <w:t>among those people who support the European Union, around half wants to keep the status quo against the integration. (</w:t>
      </w:r>
      <w:hyperlink w:history="true" w:anchor="_bookmark360">
        <w:r>
          <w:rPr/>
          <w:t>Rose &amp; Borz, 2016</w:t>
        </w:r>
      </w:hyperlink>
      <w:r>
        <w:rPr/>
        <w:t>)</w:t>
      </w:r>
    </w:p>
    <w:p>
      <w:pPr>
        <w:pStyle w:val="Heading6"/>
        <w:numPr>
          <w:ilvl w:val="0"/>
          <w:numId w:val="20"/>
        </w:numPr>
        <w:tabs>
          <w:tab w:pos="1422" w:val="left" w:leader="none"/>
        </w:tabs>
        <w:spacing w:line="266" w:lineRule="auto" w:before="0" w:after="0"/>
        <w:ind w:left="979" w:right="1907" w:firstLine="0"/>
        <w:jc w:val="both"/>
      </w:pPr>
      <w:r>
        <w:rPr>
          <w:sz w:val="26"/>
        </w:rPr>
        <w:t>The </w:t>
      </w:r>
      <w:r>
        <w:rPr/>
        <w:t>Political system has an uncertain influence on the legal system; </w:t>
      </w:r>
      <w:r>
        <w:rPr>
          <w:spacing w:val="-2"/>
        </w:rPr>
        <w:t>their</w:t>
      </w:r>
      <w:r>
        <w:rPr>
          <w:spacing w:val="-14"/>
        </w:rPr>
        <w:t> </w:t>
      </w:r>
      <w:r>
        <w:rPr>
          <w:spacing w:val="-2"/>
        </w:rPr>
        <w:t>disposition</w:t>
      </w:r>
      <w:r>
        <w:rPr>
          <w:spacing w:val="-13"/>
        </w:rPr>
        <w:t> </w:t>
      </w:r>
      <w:r>
        <w:rPr>
          <w:spacing w:val="-2"/>
        </w:rPr>
        <w:t>in</w:t>
      </w:r>
      <w:r>
        <w:rPr>
          <w:spacing w:val="-13"/>
        </w:rPr>
        <w:t> </w:t>
      </w:r>
      <w:r>
        <w:rPr>
          <w:spacing w:val="-2"/>
        </w:rPr>
        <w:t>the</w:t>
      </w:r>
      <w:r>
        <w:rPr>
          <w:spacing w:val="-13"/>
        </w:rPr>
        <w:t> </w:t>
      </w:r>
      <w:r>
        <w:rPr>
          <w:spacing w:val="-2"/>
        </w:rPr>
        <w:t>EU</w:t>
      </w:r>
      <w:r>
        <w:rPr>
          <w:spacing w:val="-13"/>
        </w:rPr>
        <w:t> </w:t>
      </w:r>
      <w:r>
        <w:rPr>
          <w:spacing w:val="-2"/>
        </w:rPr>
        <w:t>is</w:t>
      </w:r>
      <w:r>
        <w:rPr>
          <w:spacing w:val="-15"/>
        </w:rPr>
        <w:t> </w:t>
      </w:r>
      <w:r>
        <w:rPr>
          <w:spacing w:val="-2"/>
        </w:rPr>
        <w:t>determined</w:t>
      </w:r>
      <w:r>
        <w:rPr>
          <w:spacing w:val="-15"/>
        </w:rPr>
        <w:t> </w:t>
      </w:r>
      <w:r>
        <w:rPr>
          <w:spacing w:val="-2"/>
        </w:rPr>
        <w:t>by</w:t>
      </w:r>
      <w:r>
        <w:rPr>
          <w:spacing w:val="-14"/>
        </w:rPr>
        <w:t> </w:t>
      </w:r>
      <w:r>
        <w:rPr>
          <w:spacing w:val="-2"/>
        </w:rPr>
        <w:t>their</w:t>
      </w:r>
      <w:r>
        <w:rPr>
          <w:spacing w:val="-13"/>
        </w:rPr>
        <w:t> </w:t>
      </w:r>
      <w:r>
        <w:rPr>
          <w:spacing w:val="-2"/>
        </w:rPr>
        <w:t>impact</w:t>
      </w:r>
      <w:r>
        <w:rPr>
          <w:spacing w:val="-14"/>
        </w:rPr>
        <w:t> </w:t>
      </w:r>
      <w:r>
        <w:rPr>
          <w:spacing w:val="-2"/>
        </w:rPr>
        <w:t>on</w:t>
      </w:r>
      <w:r>
        <w:rPr>
          <w:spacing w:val="-4"/>
        </w:rPr>
        <w:t> </w:t>
      </w:r>
      <w:r>
        <w:rPr>
          <w:spacing w:val="-2"/>
        </w:rPr>
        <w:t>the</w:t>
      </w:r>
      <w:r>
        <w:rPr>
          <w:spacing w:val="-13"/>
        </w:rPr>
        <w:t> </w:t>
      </w:r>
      <w:r>
        <w:rPr>
          <w:spacing w:val="-2"/>
        </w:rPr>
        <w:t>integration</w:t>
      </w:r>
    </w:p>
    <w:p>
      <w:pPr>
        <w:pStyle w:val="BodyText"/>
        <w:spacing w:line="276" w:lineRule="auto"/>
        <w:ind w:right="1907"/>
      </w:pPr>
      <w:r>
        <w:rPr>
          <w:sz w:val="27"/>
        </w:rPr>
        <w:t>(0). </w:t>
      </w:r>
      <w:r>
        <w:rPr/>
        <w:t>The very nature of the legal system implies that its communication has to be locked and uncertain for the environmental entities. However, when the legal norms penetrate in the domain of politics, the political system has to respond to them positively or negatively. This response largely depends on the state of the political system at a particular time; we have seen above that</w:t>
      </w:r>
      <w:r>
        <w:rPr>
          <w:spacing w:val="-1"/>
        </w:rPr>
        <w:t> </w:t>
      </w:r>
      <w:r>
        <w:rPr/>
        <w:t>in the</w:t>
      </w:r>
      <w:r>
        <w:rPr>
          <w:spacing w:val="-1"/>
        </w:rPr>
        <w:t> </w:t>
      </w:r>
      <w:r>
        <w:rPr/>
        <w:t>times</w:t>
      </w:r>
      <w:r>
        <w:rPr>
          <w:spacing w:val="-3"/>
        </w:rPr>
        <w:t> </w:t>
      </w:r>
      <w:r>
        <w:rPr/>
        <w:t>of</w:t>
      </w:r>
      <w:r>
        <w:rPr>
          <w:spacing w:val="-2"/>
        </w:rPr>
        <w:t> </w:t>
      </w:r>
      <w:r>
        <w:rPr/>
        <w:t>political</w:t>
      </w:r>
      <w:r>
        <w:rPr>
          <w:spacing w:val="-4"/>
        </w:rPr>
        <w:t> </w:t>
      </w:r>
      <w:r>
        <w:rPr/>
        <w:t>deadlock</w:t>
      </w:r>
      <w:r>
        <w:rPr>
          <w:spacing w:val="-1"/>
        </w:rPr>
        <w:t> </w:t>
      </w:r>
      <w:r>
        <w:rPr/>
        <w:t>the</w:t>
      </w:r>
      <w:r>
        <w:rPr>
          <w:spacing w:val="-1"/>
        </w:rPr>
        <w:t> </w:t>
      </w:r>
      <w:r>
        <w:rPr/>
        <w:t>legal</w:t>
      </w:r>
      <w:r>
        <w:rPr>
          <w:spacing w:val="-3"/>
        </w:rPr>
        <w:t> </w:t>
      </w:r>
      <w:r>
        <w:rPr/>
        <w:t>system</w:t>
      </w:r>
      <w:r>
        <w:rPr>
          <w:spacing w:val="-3"/>
        </w:rPr>
        <w:t> </w:t>
      </w:r>
      <w:r>
        <w:rPr/>
        <w:t>was</w:t>
      </w:r>
      <w:r>
        <w:rPr>
          <w:spacing w:val="-3"/>
        </w:rPr>
        <w:t> </w:t>
      </w:r>
      <w:r>
        <w:rPr/>
        <w:t>a</w:t>
      </w:r>
      <w:r>
        <w:rPr>
          <w:spacing w:val="-1"/>
        </w:rPr>
        <w:t> </w:t>
      </w:r>
      <w:r>
        <w:rPr/>
        <w:t>driving</w:t>
      </w:r>
      <w:r>
        <w:rPr>
          <w:spacing w:val="-1"/>
        </w:rPr>
        <w:t> </w:t>
      </w:r>
      <w:r>
        <w:rPr/>
        <w:t>force</w:t>
      </w:r>
      <w:r>
        <w:rPr>
          <w:spacing w:val="-1"/>
        </w:rPr>
        <w:t> </w:t>
      </w:r>
      <w:r>
        <w:rPr/>
        <w:t>of the integration. In some cases the political entities were supporting rule- driven process, but in other cases they did not.</w:t>
      </w:r>
    </w:p>
    <w:p>
      <w:pPr>
        <w:pStyle w:val="ListParagraph"/>
        <w:numPr>
          <w:ilvl w:val="0"/>
          <w:numId w:val="20"/>
        </w:numPr>
        <w:tabs>
          <w:tab w:pos="1327" w:val="left" w:leader="none"/>
        </w:tabs>
        <w:spacing w:line="276" w:lineRule="auto" w:before="0" w:after="0"/>
        <w:ind w:left="979" w:right="1908" w:firstLine="0"/>
        <w:jc w:val="both"/>
        <w:rPr>
          <w:sz w:val="26"/>
        </w:rPr>
      </w:pPr>
      <w:r>
        <w:rPr>
          <w:sz w:val="26"/>
        </w:rPr>
        <w:t>Security</w:t>
      </w:r>
      <w:r>
        <w:rPr>
          <w:spacing w:val="-2"/>
          <w:sz w:val="26"/>
        </w:rPr>
        <w:t> </w:t>
      </w:r>
      <w:r>
        <w:rPr>
          <w:sz w:val="26"/>
        </w:rPr>
        <w:t>is</w:t>
      </w:r>
      <w:r>
        <w:rPr>
          <w:spacing w:val="-3"/>
          <w:sz w:val="26"/>
        </w:rPr>
        <w:t> </w:t>
      </w:r>
      <w:r>
        <w:rPr>
          <w:sz w:val="26"/>
        </w:rPr>
        <w:t>a</w:t>
      </w:r>
      <w:r>
        <w:rPr>
          <w:spacing w:val="-2"/>
          <w:sz w:val="26"/>
        </w:rPr>
        <w:t> </w:t>
      </w:r>
      <w:r>
        <w:rPr>
          <w:sz w:val="26"/>
        </w:rPr>
        <w:t>receiver</w:t>
      </w:r>
      <w:r>
        <w:rPr>
          <w:spacing w:val="-1"/>
          <w:sz w:val="26"/>
        </w:rPr>
        <w:t> </w:t>
      </w:r>
      <w:r>
        <w:rPr>
          <w:sz w:val="26"/>
        </w:rPr>
        <w:t>variable,</w:t>
      </w:r>
      <w:r>
        <w:rPr>
          <w:spacing w:val="-1"/>
          <w:sz w:val="26"/>
        </w:rPr>
        <w:t> </w:t>
      </w:r>
      <w:r>
        <w:rPr>
          <w:sz w:val="26"/>
        </w:rPr>
        <w:t>that</w:t>
      </w:r>
      <w:r>
        <w:rPr>
          <w:spacing w:val="-2"/>
          <w:sz w:val="26"/>
        </w:rPr>
        <w:t> </w:t>
      </w:r>
      <w:r>
        <w:rPr>
          <w:sz w:val="26"/>
        </w:rPr>
        <w:t>does</w:t>
      </w:r>
      <w:r>
        <w:rPr>
          <w:spacing w:val="-3"/>
          <w:sz w:val="26"/>
        </w:rPr>
        <w:t> </w:t>
      </w:r>
      <w:r>
        <w:rPr>
          <w:sz w:val="26"/>
        </w:rPr>
        <w:t>not</w:t>
      </w:r>
      <w:r>
        <w:rPr>
          <w:spacing w:val="-2"/>
          <w:sz w:val="26"/>
        </w:rPr>
        <w:t> </w:t>
      </w:r>
      <w:r>
        <w:rPr>
          <w:sz w:val="26"/>
        </w:rPr>
        <w:t>exist</w:t>
      </w:r>
      <w:r>
        <w:rPr>
          <w:spacing w:val="-2"/>
          <w:sz w:val="26"/>
        </w:rPr>
        <w:t> </w:t>
      </w:r>
      <w:r>
        <w:rPr>
          <w:sz w:val="26"/>
        </w:rPr>
        <w:t>without</w:t>
      </w:r>
      <w:r>
        <w:rPr>
          <w:spacing w:val="-2"/>
          <w:sz w:val="26"/>
        </w:rPr>
        <w:t> </w:t>
      </w:r>
      <w:r>
        <w:rPr>
          <w:sz w:val="26"/>
        </w:rPr>
        <w:t>an input,</w:t>
      </w:r>
      <w:r>
        <w:rPr>
          <w:spacing w:val="-1"/>
          <w:sz w:val="26"/>
        </w:rPr>
        <w:t> </w:t>
      </w:r>
      <w:r>
        <w:rPr>
          <w:sz w:val="26"/>
        </w:rPr>
        <w:t>it</w:t>
      </w:r>
      <w:r>
        <w:rPr>
          <w:spacing w:val="-2"/>
          <w:sz w:val="26"/>
        </w:rPr>
        <w:t> </w:t>
      </w:r>
      <w:r>
        <w:rPr>
          <w:sz w:val="26"/>
        </w:rPr>
        <w:t>is</w:t>
      </w:r>
      <w:r>
        <w:rPr>
          <w:spacing w:val="-3"/>
          <w:sz w:val="26"/>
        </w:rPr>
        <w:t> </w:t>
      </w:r>
      <w:r>
        <w:rPr>
          <w:sz w:val="26"/>
        </w:rPr>
        <w:t>a part</w:t>
      </w:r>
      <w:r>
        <w:rPr>
          <w:spacing w:val="-2"/>
          <w:sz w:val="26"/>
        </w:rPr>
        <w:t> </w:t>
      </w:r>
      <w:r>
        <w:rPr>
          <w:sz w:val="26"/>
        </w:rPr>
        <w:t>of</w:t>
      </w:r>
      <w:r>
        <w:rPr>
          <w:spacing w:val="-3"/>
          <w:sz w:val="26"/>
        </w:rPr>
        <w:t> </w:t>
      </w:r>
      <w:r>
        <w:rPr>
          <w:sz w:val="26"/>
        </w:rPr>
        <w:t>the</w:t>
      </w:r>
      <w:r>
        <w:rPr>
          <w:spacing w:val="-2"/>
          <w:sz w:val="26"/>
        </w:rPr>
        <w:t> </w:t>
      </w:r>
      <w:r>
        <w:rPr>
          <w:sz w:val="26"/>
        </w:rPr>
        <w:t>political</w:t>
      </w:r>
      <w:r>
        <w:rPr>
          <w:spacing w:val="-5"/>
          <w:sz w:val="26"/>
        </w:rPr>
        <w:t> </w:t>
      </w:r>
      <w:r>
        <w:rPr>
          <w:sz w:val="26"/>
        </w:rPr>
        <w:t>system</w:t>
      </w:r>
      <w:r>
        <w:rPr>
          <w:spacing w:val="-4"/>
          <w:sz w:val="26"/>
        </w:rPr>
        <w:t> </w:t>
      </w:r>
      <w:r>
        <w:rPr>
          <w:sz w:val="26"/>
        </w:rPr>
        <w:t>and usually</w:t>
      </w:r>
      <w:r>
        <w:rPr>
          <w:spacing w:val="-2"/>
          <w:sz w:val="26"/>
        </w:rPr>
        <w:t> </w:t>
      </w:r>
      <w:r>
        <w:rPr>
          <w:sz w:val="26"/>
        </w:rPr>
        <w:t>enacted via</w:t>
      </w:r>
      <w:r>
        <w:rPr>
          <w:spacing w:val="-2"/>
          <w:sz w:val="26"/>
        </w:rPr>
        <w:t> </w:t>
      </w:r>
      <w:r>
        <w:rPr>
          <w:sz w:val="26"/>
        </w:rPr>
        <w:t>structural</w:t>
      </w:r>
      <w:r>
        <w:rPr>
          <w:spacing w:val="-4"/>
          <w:sz w:val="26"/>
        </w:rPr>
        <w:t> </w:t>
      </w:r>
      <w:r>
        <w:rPr>
          <w:sz w:val="26"/>
        </w:rPr>
        <w:t>couplings.</w:t>
      </w:r>
      <w:r>
        <w:rPr>
          <w:spacing w:val="-1"/>
          <w:sz w:val="26"/>
        </w:rPr>
        <w:t> </w:t>
      </w:r>
      <w:r>
        <w:rPr>
          <w:sz w:val="26"/>
        </w:rPr>
        <w:t>The economic crisis can disturb security of the system, but not always (-0.5). (</w:t>
      </w:r>
      <w:hyperlink w:history="true" w:anchor="_bookmark123">
        <w:r>
          <w:rPr>
            <w:sz w:val="26"/>
          </w:rPr>
          <w:t>Buzan et al., 1998</w:t>
        </w:r>
      </w:hyperlink>
      <w:r>
        <w:rPr>
          <w:sz w:val="26"/>
        </w:rPr>
        <w:t>) Legal system is important for both, internal and the external security (+0.5).</w:t>
      </w:r>
    </w:p>
    <w:p>
      <w:pPr>
        <w:pStyle w:val="ListParagraph"/>
        <w:numPr>
          <w:ilvl w:val="0"/>
          <w:numId w:val="20"/>
        </w:numPr>
        <w:tabs>
          <w:tab w:pos="1362" w:val="left" w:leader="none"/>
        </w:tabs>
        <w:spacing w:line="268" w:lineRule="auto" w:before="0" w:after="0"/>
        <w:ind w:left="979" w:right="1907" w:firstLine="0"/>
        <w:jc w:val="both"/>
        <w:rPr>
          <w:sz w:val="26"/>
        </w:rPr>
      </w:pPr>
      <w:r>
        <w:rPr>
          <w:sz w:val="27"/>
        </w:rPr>
        <w:t>Economic crisis (+0.1) and the existential threats (+0.5) both can strengthen</w:t>
      </w:r>
      <w:r>
        <w:rPr>
          <w:spacing w:val="-2"/>
          <w:sz w:val="27"/>
        </w:rPr>
        <w:t> </w:t>
      </w:r>
      <w:r>
        <w:rPr>
          <w:sz w:val="27"/>
        </w:rPr>
        <w:t>the</w:t>
      </w:r>
      <w:r>
        <w:rPr>
          <w:spacing w:val="-4"/>
          <w:sz w:val="27"/>
        </w:rPr>
        <w:t> </w:t>
      </w:r>
      <w:r>
        <w:rPr>
          <w:sz w:val="27"/>
        </w:rPr>
        <w:t>process</w:t>
      </w:r>
      <w:r>
        <w:rPr>
          <w:spacing w:val="-6"/>
          <w:sz w:val="27"/>
        </w:rPr>
        <w:t> </w:t>
      </w:r>
      <w:r>
        <w:rPr>
          <w:sz w:val="27"/>
        </w:rPr>
        <w:t>of</w:t>
      </w:r>
      <w:r>
        <w:rPr>
          <w:spacing w:val="-2"/>
          <w:sz w:val="27"/>
        </w:rPr>
        <w:t> </w:t>
      </w:r>
      <w:r>
        <w:rPr>
          <w:sz w:val="27"/>
        </w:rPr>
        <w:t>integration,</w:t>
      </w:r>
      <w:r>
        <w:rPr>
          <w:spacing w:val="-4"/>
          <w:sz w:val="27"/>
        </w:rPr>
        <w:t> </w:t>
      </w:r>
      <w:r>
        <w:rPr>
          <w:sz w:val="27"/>
        </w:rPr>
        <w:t>however</w:t>
      </w:r>
      <w:r>
        <w:rPr>
          <w:spacing w:val="-4"/>
          <w:sz w:val="27"/>
        </w:rPr>
        <w:t> </w:t>
      </w:r>
      <w:r>
        <w:rPr>
          <w:sz w:val="27"/>
        </w:rPr>
        <w:t>the</w:t>
      </w:r>
      <w:r>
        <w:rPr>
          <w:spacing w:val="-4"/>
          <w:sz w:val="27"/>
        </w:rPr>
        <w:t> </w:t>
      </w:r>
      <w:r>
        <w:rPr>
          <w:sz w:val="27"/>
        </w:rPr>
        <w:t>latter</w:t>
      </w:r>
      <w:r>
        <w:rPr>
          <w:spacing w:val="-4"/>
          <w:sz w:val="27"/>
        </w:rPr>
        <w:t> </w:t>
      </w:r>
      <w:r>
        <w:rPr>
          <w:sz w:val="27"/>
        </w:rPr>
        <w:t>is</w:t>
      </w:r>
      <w:r>
        <w:rPr>
          <w:spacing w:val="-3"/>
          <w:sz w:val="27"/>
        </w:rPr>
        <w:t> </w:t>
      </w:r>
      <w:r>
        <w:rPr>
          <w:sz w:val="27"/>
        </w:rPr>
        <w:t>more</w:t>
      </w:r>
      <w:r>
        <w:rPr>
          <w:spacing w:val="-2"/>
          <w:sz w:val="27"/>
        </w:rPr>
        <w:t> </w:t>
      </w:r>
      <w:r>
        <w:rPr>
          <w:sz w:val="27"/>
        </w:rPr>
        <w:t>likely</w:t>
      </w:r>
      <w:r>
        <w:rPr>
          <w:spacing w:val="-2"/>
          <w:sz w:val="27"/>
        </w:rPr>
        <w:t> </w:t>
      </w:r>
      <w:r>
        <w:rPr>
          <w:sz w:val="27"/>
        </w:rPr>
        <w:t>to do</w:t>
      </w:r>
      <w:r>
        <w:rPr>
          <w:spacing w:val="-13"/>
          <w:sz w:val="27"/>
        </w:rPr>
        <w:t> </w:t>
      </w:r>
      <w:r>
        <w:rPr>
          <w:sz w:val="27"/>
        </w:rPr>
        <w:t>so,</w:t>
      </w:r>
      <w:r>
        <w:rPr>
          <w:spacing w:val="-10"/>
          <w:sz w:val="27"/>
        </w:rPr>
        <w:t> </w:t>
      </w:r>
      <w:r>
        <w:rPr>
          <w:sz w:val="27"/>
        </w:rPr>
        <w:t>than</w:t>
      </w:r>
      <w:r>
        <w:rPr>
          <w:spacing w:val="-10"/>
          <w:sz w:val="27"/>
        </w:rPr>
        <w:t> </w:t>
      </w:r>
      <w:r>
        <w:rPr>
          <w:sz w:val="27"/>
        </w:rPr>
        <w:t>the</w:t>
      </w:r>
      <w:r>
        <w:rPr>
          <w:spacing w:val="-10"/>
          <w:sz w:val="27"/>
        </w:rPr>
        <w:t> </w:t>
      </w:r>
      <w:r>
        <w:rPr>
          <w:sz w:val="27"/>
        </w:rPr>
        <w:t>former.</w:t>
      </w:r>
      <w:r>
        <w:rPr>
          <w:spacing w:val="40"/>
          <w:sz w:val="27"/>
        </w:rPr>
        <w:t> </w:t>
      </w:r>
      <w:r>
        <w:rPr>
          <w:sz w:val="26"/>
        </w:rPr>
        <w:t>System</w:t>
      </w:r>
      <w:r>
        <w:rPr>
          <w:spacing w:val="-10"/>
          <w:sz w:val="26"/>
        </w:rPr>
        <w:t> </w:t>
      </w:r>
      <w:r>
        <w:rPr>
          <w:sz w:val="26"/>
        </w:rPr>
        <w:t>has</w:t>
      </w:r>
      <w:r>
        <w:rPr>
          <w:spacing w:val="-10"/>
          <w:sz w:val="26"/>
        </w:rPr>
        <w:t> </w:t>
      </w:r>
      <w:r>
        <w:rPr>
          <w:sz w:val="26"/>
        </w:rPr>
        <w:t>to</w:t>
      </w:r>
      <w:r>
        <w:rPr>
          <w:spacing w:val="-11"/>
          <w:sz w:val="26"/>
        </w:rPr>
        <w:t> </w:t>
      </w:r>
      <w:r>
        <w:rPr>
          <w:sz w:val="26"/>
        </w:rPr>
        <w:t>respond</w:t>
      </w:r>
      <w:r>
        <w:rPr>
          <w:spacing w:val="-7"/>
          <w:sz w:val="26"/>
        </w:rPr>
        <w:t> </w:t>
      </w:r>
      <w:r>
        <w:rPr>
          <w:sz w:val="26"/>
        </w:rPr>
        <w:t>to</w:t>
      </w:r>
      <w:r>
        <w:rPr>
          <w:spacing w:val="-11"/>
          <w:sz w:val="26"/>
        </w:rPr>
        <w:t> </w:t>
      </w:r>
      <w:r>
        <w:rPr>
          <w:sz w:val="26"/>
        </w:rPr>
        <w:t>disturbances</w:t>
      </w:r>
      <w:r>
        <w:rPr>
          <w:spacing w:val="-10"/>
          <w:sz w:val="26"/>
        </w:rPr>
        <w:t> </w:t>
      </w:r>
      <w:r>
        <w:rPr>
          <w:sz w:val="26"/>
        </w:rPr>
        <w:t>the</w:t>
      </w:r>
      <w:r>
        <w:rPr>
          <w:spacing w:val="-8"/>
          <w:sz w:val="26"/>
        </w:rPr>
        <w:t> </w:t>
      </w:r>
      <w:r>
        <w:rPr>
          <w:sz w:val="26"/>
        </w:rPr>
        <w:t>economic crisis</w:t>
      </w:r>
      <w:r>
        <w:rPr>
          <w:spacing w:val="80"/>
          <w:sz w:val="26"/>
        </w:rPr>
        <w:t> </w:t>
      </w:r>
      <w:r>
        <w:rPr>
          <w:sz w:val="26"/>
        </w:rPr>
        <w:t>is</w:t>
      </w:r>
      <w:r>
        <w:rPr>
          <w:spacing w:val="80"/>
          <w:sz w:val="26"/>
        </w:rPr>
        <w:t> </w:t>
      </w:r>
      <w:r>
        <w:rPr>
          <w:sz w:val="26"/>
        </w:rPr>
        <w:t>a</w:t>
      </w:r>
      <w:r>
        <w:rPr>
          <w:spacing w:val="80"/>
          <w:sz w:val="26"/>
        </w:rPr>
        <w:t> </w:t>
      </w:r>
      <w:r>
        <w:rPr>
          <w:sz w:val="26"/>
        </w:rPr>
        <w:t>systemic</w:t>
      </w:r>
      <w:r>
        <w:rPr>
          <w:spacing w:val="80"/>
          <w:sz w:val="26"/>
        </w:rPr>
        <w:t> </w:t>
      </w:r>
      <w:r>
        <w:rPr>
          <w:sz w:val="26"/>
        </w:rPr>
        <w:t>problem</w:t>
      </w:r>
      <w:r>
        <w:rPr>
          <w:spacing w:val="80"/>
          <w:sz w:val="26"/>
        </w:rPr>
        <w:t> </w:t>
      </w:r>
      <w:r>
        <w:rPr>
          <w:sz w:val="26"/>
        </w:rPr>
        <w:t>that</w:t>
      </w:r>
      <w:r>
        <w:rPr>
          <w:spacing w:val="80"/>
          <w:sz w:val="26"/>
        </w:rPr>
        <w:t> </w:t>
      </w:r>
      <w:r>
        <w:rPr>
          <w:sz w:val="26"/>
        </w:rPr>
        <w:t>can</w:t>
      </w:r>
      <w:r>
        <w:rPr>
          <w:spacing w:val="80"/>
          <w:sz w:val="26"/>
        </w:rPr>
        <w:t> </w:t>
      </w:r>
      <w:r>
        <w:rPr>
          <w:sz w:val="26"/>
        </w:rPr>
        <w:t>be</w:t>
      </w:r>
      <w:r>
        <w:rPr>
          <w:spacing w:val="80"/>
          <w:sz w:val="26"/>
        </w:rPr>
        <w:t> </w:t>
      </w:r>
      <w:r>
        <w:rPr>
          <w:sz w:val="26"/>
        </w:rPr>
        <w:t>addressed</w:t>
      </w:r>
      <w:r>
        <w:rPr>
          <w:spacing w:val="80"/>
          <w:sz w:val="26"/>
        </w:rPr>
        <w:t> </w:t>
      </w:r>
      <w:r>
        <w:rPr>
          <w:sz w:val="26"/>
        </w:rPr>
        <w:t>by</w:t>
      </w:r>
      <w:r>
        <w:rPr>
          <w:spacing w:val="80"/>
          <w:sz w:val="26"/>
        </w:rPr>
        <w:t> </w:t>
      </w:r>
      <w:r>
        <w:rPr>
          <w:sz w:val="26"/>
        </w:rPr>
        <w:t>modifying</w:t>
      </w:r>
      <w:r>
        <w:rPr>
          <w:spacing w:val="80"/>
          <w:sz w:val="26"/>
        </w:rPr>
        <w:t> </w:t>
      </w:r>
      <w:r>
        <w:rPr>
          <w:sz w:val="26"/>
        </w:rPr>
        <w:t>the</w:t>
      </w:r>
    </w:p>
    <w:p>
      <w:pPr>
        <w:pStyle w:val="ListParagraph"/>
        <w:spacing w:after="0" w:line="268" w:lineRule="auto"/>
        <w:jc w:val="both"/>
        <w:rPr>
          <w:sz w:val="26"/>
        </w:rPr>
        <w:sectPr>
          <w:pgSz w:w="12240" w:h="15840"/>
          <w:pgMar w:header="1046" w:footer="0" w:top="1360" w:bottom="280" w:left="720" w:right="360"/>
        </w:sectPr>
      </w:pPr>
    </w:p>
    <w:p>
      <w:pPr>
        <w:pStyle w:val="BodyText"/>
        <w:spacing w:line="276" w:lineRule="auto" w:before="276"/>
        <w:ind w:right="1910"/>
      </w:pPr>
      <w:r>
        <w:rPr/>
        <w:t>structure by introducing new institutions, regulations etc. The threats have boosted the process of integration before; (</w:t>
      </w:r>
      <w:hyperlink w:history="true" w:anchor="_bookmark359">
        <w:r>
          <w:rPr/>
          <w:t>Rosato, 2011</w:t>
        </w:r>
      </w:hyperlink>
      <w:r>
        <w:rPr/>
        <w:t>) It is a generally acknowledged fact that every step taken for enhancing the common security will find a reflection in a deeper political integration.</w:t>
      </w:r>
    </w:p>
    <w:p>
      <w:pPr>
        <w:pStyle w:val="BodyText"/>
        <w:spacing w:line="276" w:lineRule="auto"/>
        <w:ind w:right="1912" w:firstLine="720"/>
      </w:pPr>
      <w:r>
        <w:rPr/>
        <w:t>The results (table 5.9) show that the economic system includes the widest scope or systemic relations as it is responsible for the prosperity and is a subject of a crisis (2.69). As we have noted above, the most appreciated systemic value public support (4.7) is in direct correlation with prosperity that ranks the second (4.5). Similarly, the political system (2.1) should be combined with the security (1.7) and threats (1.4).</w:t>
      </w:r>
    </w:p>
    <w:p>
      <w:pPr>
        <w:pStyle w:val="BodyText"/>
        <w:spacing w:line="276" w:lineRule="auto"/>
        <w:ind w:right="1910" w:firstLine="720"/>
      </w:pPr>
      <w:r>
        <w:rPr/>
        <w:t>The low centrality value of the legal system (2) should not be treated as</w:t>
      </w:r>
      <w:r>
        <w:rPr>
          <w:spacing w:val="-4"/>
        </w:rPr>
        <w:t> </w:t>
      </w:r>
      <w:r>
        <w:rPr/>
        <w:t>a</w:t>
      </w:r>
      <w:r>
        <w:rPr>
          <w:spacing w:val="-2"/>
        </w:rPr>
        <w:t> </w:t>
      </w:r>
      <w:r>
        <w:rPr/>
        <w:t>surprise.</w:t>
      </w:r>
      <w:r>
        <w:rPr>
          <w:spacing w:val="-1"/>
        </w:rPr>
        <w:t> </w:t>
      </w:r>
      <w:r>
        <w:rPr/>
        <w:t>It</w:t>
      </w:r>
      <w:r>
        <w:rPr>
          <w:spacing w:val="-2"/>
        </w:rPr>
        <w:t> </w:t>
      </w:r>
      <w:r>
        <w:rPr/>
        <w:t>is</w:t>
      </w:r>
      <w:r>
        <w:rPr>
          <w:spacing w:val="-4"/>
        </w:rPr>
        <w:t> </w:t>
      </w:r>
      <w:r>
        <w:rPr/>
        <w:t>obvious</w:t>
      </w:r>
      <w:r>
        <w:rPr>
          <w:spacing w:val="-4"/>
        </w:rPr>
        <w:t> </w:t>
      </w:r>
      <w:r>
        <w:rPr/>
        <w:t>that</w:t>
      </w:r>
      <w:r>
        <w:rPr>
          <w:spacing w:val="-2"/>
        </w:rPr>
        <w:t> </w:t>
      </w:r>
      <w:r>
        <w:rPr/>
        <w:t>those</w:t>
      </w:r>
      <w:r>
        <w:rPr>
          <w:spacing w:val="-2"/>
        </w:rPr>
        <w:t> </w:t>
      </w:r>
      <w:r>
        <w:rPr/>
        <w:t>systems, which</w:t>
      </w:r>
      <w:r>
        <w:rPr>
          <w:spacing w:val="-2"/>
        </w:rPr>
        <w:t> </w:t>
      </w:r>
      <w:r>
        <w:rPr/>
        <w:t>have</w:t>
      </w:r>
      <w:r>
        <w:rPr>
          <w:spacing w:val="-2"/>
        </w:rPr>
        <w:t> </w:t>
      </w:r>
      <w:r>
        <w:rPr/>
        <w:t>wider</w:t>
      </w:r>
      <w:r>
        <w:rPr>
          <w:spacing w:val="-1"/>
        </w:rPr>
        <w:t> </w:t>
      </w:r>
      <w:r>
        <w:rPr/>
        <w:t>reach</w:t>
      </w:r>
      <w:r>
        <w:rPr>
          <w:spacing w:val="-2"/>
        </w:rPr>
        <w:t> </w:t>
      </w:r>
      <w:r>
        <w:rPr/>
        <w:t>to</w:t>
      </w:r>
      <w:r>
        <w:rPr>
          <w:spacing w:val="-5"/>
        </w:rPr>
        <w:t> </w:t>
      </w:r>
      <w:r>
        <w:rPr/>
        <w:t>the purpose of the system rank higher than those which perform low salient tasks. We have seen above that legal norms are often acknowledged as system-relevant when they change the direction of integration (3.1)</w:t>
      </w:r>
    </w:p>
    <w:p>
      <w:pPr>
        <w:pStyle w:val="BodyText"/>
        <w:spacing w:before="45"/>
        <w:ind w:left="0"/>
        <w:jc w:val="left"/>
      </w:pPr>
    </w:p>
    <w:p>
      <w:pPr>
        <w:spacing w:before="0"/>
        <w:ind w:left="979" w:right="0" w:firstLine="0"/>
        <w:jc w:val="both"/>
        <w:rPr>
          <w:rFonts w:ascii="Calibri"/>
          <w:b/>
          <w:sz w:val="18"/>
        </w:rPr>
      </w:pPr>
      <w:bookmarkStart w:name="_bookmark60" w:id="61"/>
      <w:bookmarkEnd w:id="61"/>
      <w:r>
        <w:rPr/>
      </w:r>
      <w:r>
        <w:rPr>
          <w:rFonts w:ascii="Calibri"/>
          <w:b/>
          <w:color w:val="4F81BC"/>
          <w:sz w:val="18"/>
        </w:rPr>
        <w:t>Figure 20.</w:t>
      </w:r>
      <w:r>
        <w:rPr>
          <w:rFonts w:ascii="Calibri"/>
          <w:b/>
          <w:color w:val="4F81BC"/>
          <w:spacing w:val="-6"/>
          <w:sz w:val="18"/>
        </w:rPr>
        <w:t> </w:t>
      </w:r>
      <w:r>
        <w:rPr>
          <w:rFonts w:ascii="Calibri"/>
          <w:b/>
          <w:color w:val="4F81BC"/>
          <w:sz w:val="18"/>
        </w:rPr>
        <w:t>Mapping</w:t>
      </w:r>
      <w:r>
        <w:rPr>
          <w:rFonts w:ascii="Calibri"/>
          <w:b/>
          <w:color w:val="4F81BC"/>
          <w:spacing w:val="-5"/>
          <w:sz w:val="18"/>
        </w:rPr>
        <w:t> </w:t>
      </w:r>
      <w:r>
        <w:rPr>
          <w:rFonts w:ascii="Calibri"/>
          <w:b/>
          <w:color w:val="4F81BC"/>
          <w:spacing w:val="-2"/>
          <w:sz w:val="18"/>
        </w:rPr>
        <w:t>results</w:t>
      </w:r>
    </w:p>
    <w:p>
      <w:pPr>
        <w:pStyle w:val="BodyText"/>
        <w:spacing w:before="11"/>
        <w:ind w:left="0"/>
        <w:jc w:val="left"/>
        <w:rPr>
          <w:rFonts w:ascii="Calibri"/>
          <w:b/>
          <w:sz w:val="16"/>
        </w:rPr>
      </w:pPr>
    </w:p>
    <w:tbl>
      <w:tblPr>
        <w:tblW w:w="0" w:type="auto"/>
        <w:jc w:val="left"/>
        <w:tblInd w:w="9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06"/>
        <w:gridCol w:w="1620"/>
        <w:gridCol w:w="1860"/>
        <w:gridCol w:w="2638"/>
      </w:tblGrid>
      <w:tr>
        <w:trPr>
          <w:trHeight w:val="306" w:hRule="atLeast"/>
        </w:trPr>
        <w:tc>
          <w:tcPr>
            <w:tcW w:w="2206" w:type="dxa"/>
            <w:tcBorders>
              <w:top w:val="single" w:sz="4" w:space="0" w:color="000000"/>
              <w:bottom w:val="single" w:sz="4" w:space="0" w:color="000000"/>
            </w:tcBorders>
          </w:tcPr>
          <w:p>
            <w:pPr>
              <w:pStyle w:val="TableParagraph"/>
              <w:spacing w:line="252" w:lineRule="exact" w:before="35"/>
              <w:ind w:left="110"/>
              <w:rPr>
                <w:rFonts w:ascii="Calibri"/>
                <w:b/>
                <w:sz w:val="22"/>
              </w:rPr>
            </w:pPr>
            <w:r>
              <w:rPr>
                <w:rFonts w:ascii="Calibri"/>
                <w:b/>
                <w:spacing w:val="-2"/>
                <w:sz w:val="22"/>
              </w:rPr>
              <w:t>Component</w:t>
            </w:r>
          </w:p>
        </w:tc>
        <w:tc>
          <w:tcPr>
            <w:tcW w:w="1620" w:type="dxa"/>
            <w:tcBorders>
              <w:top w:val="single" w:sz="4" w:space="0" w:color="000000"/>
              <w:bottom w:val="single" w:sz="4" w:space="0" w:color="000000"/>
            </w:tcBorders>
          </w:tcPr>
          <w:p>
            <w:pPr>
              <w:pStyle w:val="TableParagraph"/>
              <w:spacing w:line="252" w:lineRule="exact" w:before="35"/>
              <w:ind w:left="415"/>
              <w:rPr>
                <w:rFonts w:ascii="Calibri"/>
                <w:b/>
                <w:sz w:val="22"/>
              </w:rPr>
            </w:pPr>
            <w:r>
              <w:rPr>
                <w:rFonts w:ascii="Calibri"/>
                <w:b/>
                <w:spacing w:val="-2"/>
                <w:sz w:val="22"/>
              </w:rPr>
              <w:t>Indegree</w:t>
            </w:r>
          </w:p>
        </w:tc>
        <w:tc>
          <w:tcPr>
            <w:tcW w:w="1860" w:type="dxa"/>
            <w:tcBorders>
              <w:top w:val="single" w:sz="4" w:space="0" w:color="000000"/>
              <w:bottom w:val="single" w:sz="4" w:space="0" w:color="000000"/>
            </w:tcBorders>
          </w:tcPr>
          <w:p>
            <w:pPr>
              <w:pStyle w:val="TableParagraph"/>
              <w:spacing w:line="252" w:lineRule="exact" w:before="35"/>
              <w:ind w:left="395"/>
              <w:rPr>
                <w:rFonts w:ascii="Calibri"/>
                <w:b/>
                <w:sz w:val="22"/>
              </w:rPr>
            </w:pPr>
            <w:r>
              <w:rPr>
                <w:rFonts w:ascii="Calibri"/>
                <w:b/>
                <w:spacing w:val="-2"/>
                <w:sz w:val="22"/>
              </w:rPr>
              <w:t>Outdegree</w:t>
            </w:r>
          </w:p>
        </w:tc>
        <w:tc>
          <w:tcPr>
            <w:tcW w:w="2638" w:type="dxa"/>
            <w:tcBorders>
              <w:top w:val="single" w:sz="4" w:space="0" w:color="000000"/>
              <w:bottom w:val="single" w:sz="4" w:space="0" w:color="000000"/>
            </w:tcBorders>
          </w:tcPr>
          <w:p>
            <w:pPr>
              <w:pStyle w:val="TableParagraph"/>
              <w:spacing w:line="252" w:lineRule="exact" w:before="35"/>
              <w:ind w:left="489"/>
              <w:rPr>
                <w:rFonts w:ascii="Calibri"/>
                <w:b/>
                <w:sz w:val="22"/>
              </w:rPr>
            </w:pPr>
            <w:r>
              <w:rPr>
                <w:rFonts w:ascii="Calibri"/>
                <w:b/>
                <w:spacing w:val="-2"/>
                <w:sz w:val="22"/>
              </w:rPr>
              <w:t>Centrality</w:t>
            </w:r>
          </w:p>
        </w:tc>
      </w:tr>
      <w:tr>
        <w:trPr>
          <w:trHeight w:val="306" w:hRule="atLeast"/>
        </w:trPr>
        <w:tc>
          <w:tcPr>
            <w:tcW w:w="2206" w:type="dxa"/>
            <w:tcBorders>
              <w:top w:val="single" w:sz="4" w:space="0" w:color="000000"/>
            </w:tcBorders>
            <w:shd w:val="clear" w:color="auto" w:fill="D9D9D9"/>
          </w:tcPr>
          <w:p>
            <w:pPr>
              <w:pStyle w:val="TableParagraph"/>
              <w:spacing w:line="252" w:lineRule="exact" w:before="35"/>
              <w:ind w:left="110"/>
              <w:rPr>
                <w:rFonts w:ascii="Calibri"/>
                <w:b/>
                <w:sz w:val="22"/>
              </w:rPr>
            </w:pPr>
            <w:r>
              <w:rPr>
                <w:rFonts w:ascii="Calibri"/>
                <w:b/>
                <w:sz w:val="22"/>
              </w:rPr>
              <w:t>Public</w:t>
            </w:r>
            <w:r>
              <w:rPr>
                <w:rFonts w:ascii="Calibri"/>
                <w:b/>
                <w:spacing w:val="-9"/>
                <w:sz w:val="22"/>
              </w:rPr>
              <w:t> </w:t>
            </w:r>
            <w:r>
              <w:rPr>
                <w:rFonts w:ascii="Calibri"/>
                <w:b/>
                <w:spacing w:val="-2"/>
                <w:sz w:val="22"/>
              </w:rPr>
              <w:t>support</w:t>
            </w:r>
          </w:p>
        </w:tc>
        <w:tc>
          <w:tcPr>
            <w:tcW w:w="1620" w:type="dxa"/>
            <w:tcBorders>
              <w:top w:val="single" w:sz="4" w:space="0" w:color="000000"/>
            </w:tcBorders>
            <w:shd w:val="clear" w:color="auto" w:fill="D9D9D9"/>
          </w:tcPr>
          <w:p>
            <w:pPr>
              <w:pStyle w:val="TableParagraph"/>
              <w:spacing w:line="252" w:lineRule="exact" w:before="35"/>
              <w:ind w:left="415"/>
              <w:rPr>
                <w:rFonts w:ascii="Calibri"/>
                <w:sz w:val="22"/>
              </w:rPr>
            </w:pPr>
            <w:r>
              <w:rPr>
                <w:rFonts w:ascii="Calibri"/>
                <w:spacing w:val="-5"/>
                <w:sz w:val="22"/>
              </w:rPr>
              <w:t>1.8</w:t>
            </w:r>
          </w:p>
        </w:tc>
        <w:tc>
          <w:tcPr>
            <w:tcW w:w="1860" w:type="dxa"/>
            <w:tcBorders>
              <w:top w:val="single" w:sz="4" w:space="0" w:color="000000"/>
            </w:tcBorders>
            <w:shd w:val="clear" w:color="auto" w:fill="D9D9D9"/>
          </w:tcPr>
          <w:p>
            <w:pPr>
              <w:pStyle w:val="TableParagraph"/>
              <w:spacing w:line="252" w:lineRule="exact" w:before="35"/>
              <w:ind w:left="395"/>
              <w:rPr>
                <w:rFonts w:ascii="Calibri"/>
                <w:sz w:val="22"/>
              </w:rPr>
            </w:pPr>
            <w:r>
              <w:rPr>
                <w:rFonts w:ascii="Calibri"/>
                <w:spacing w:val="-5"/>
                <w:sz w:val="22"/>
              </w:rPr>
              <w:t>2.9</w:t>
            </w:r>
          </w:p>
        </w:tc>
        <w:tc>
          <w:tcPr>
            <w:tcW w:w="2638" w:type="dxa"/>
            <w:tcBorders>
              <w:top w:val="single" w:sz="4" w:space="0" w:color="000000"/>
            </w:tcBorders>
            <w:shd w:val="clear" w:color="auto" w:fill="D9D9D9"/>
          </w:tcPr>
          <w:p>
            <w:pPr>
              <w:pStyle w:val="TableParagraph"/>
              <w:spacing w:line="252" w:lineRule="exact" w:before="35"/>
              <w:ind w:left="489"/>
              <w:rPr>
                <w:rFonts w:ascii="Calibri"/>
                <w:sz w:val="22"/>
              </w:rPr>
            </w:pPr>
            <w:r>
              <w:rPr>
                <w:rFonts w:ascii="Calibri"/>
                <w:spacing w:val="-5"/>
                <w:sz w:val="22"/>
              </w:rPr>
              <w:t>4.7</w:t>
            </w:r>
          </w:p>
        </w:tc>
      </w:tr>
      <w:tr>
        <w:trPr>
          <w:trHeight w:val="307" w:hRule="atLeast"/>
        </w:trPr>
        <w:tc>
          <w:tcPr>
            <w:tcW w:w="2206" w:type="dxa"/>
          </w:tcPr>
          <w:p>
            <w:pPr>
              <w:pStyle w:val="TableParagraph"/>
              <w:spacing w:line="252" w:lineRule="exact" w:before="35"/>
              <w:ind w:left="110"/>
              <w:rPr>
                <w:rFonts w:ascii="Calibri"/>
                <w:b/>
                <w:sz w:val="22"/>
              </w:rPr>
            </w:pPr>
            <w:r>
              <w:rPr>
                <w:rFonts w:ascii="Calibri"/>
                <w:b/>
                <w:sz w:val="22"/>
              </w:rPr>
              <w:t>Legal</w:t>
            </w:r>
            <w:r>
              <w:rPr>
                <w:rFonts w:ascii="Calibri"/>
                <w:b/>
                <w:spacing w:val="-9"/>
                <w:sz w:val="22"/>
              </w:rPr>
              <w:t> </w:t>
            </w:r>
            <w:r>
              <w:rPr>
                <w:rFonts w:ascii="Calibri"/>
                <w:b/>
                <w:spacing w:val="-2"/>
                <w:sz w:val="22"/>
              </w:rPr>
              <w:t>system</w:t>
            </w:r>
          </w:p>
        </w:tc>
        <w:tc>
          <w:tcPr>
            <w:tcW w:w="1620" w:type="dxa"/>
          </w:tcPr>
          <w:p>
            <w:pPr>
              <w:pStyle w:val="TableParagraph"/>
              <w:spacing w:line="252" w:lineRule="exact" w:before="35"/>
              <w:ind w:left="415"/>
              <w:rPr>
                <w:rFonts w:ascii="Calibri"/>
                <w:sz w:val="22"/>
              </w:rPr>
            </w:pPr>
            <w:r>
              <w:rPr>
                <w:rFonts w:ascii="Calibri"/>
                <w:spacing w:val="-5"/>
                <w:sz w:val="22"/>
              </w:rPr>
              <w:t>0.7</w:t>
            </w:r>
          </w:p>
        </w:tc>
        <w:tc>
          <w:tcPr>
            <w:tcW w:w="1860" w:type="dxa"/>
          </w:tcPr>
          <w:p>
            <w:pPr>
              <w:pStyle w:val="TableParagraph"/>
              <w:spacing w:line="252" w:lineRule="exact" w:before="35"/>
              <w:ind w:left="395"/>
              <w:rPr>
                <w:rFonts w:ascii="Calibri"/>
                <w:sz w:val="22"/>
              </w:rPr>
            </w:pPr>
            <w:r>
              <w:rPr>
                <w:rFonts w:ascii="Calibri"/>
                <w:spacing w:val="-5"/>
                <w:sz w:val="22"/>
              </w:rPr>
              <w:t>1.3</w:t>
            </w:r>
          </w:p>
        </w:tc>
        <w:tc>
          <w:tcPr>
            <w:tcW w:w="2638" w:type="dxa"/>
          </w:tcPr>
          <w:p>
            <w:pPr>
              <w:pStyle w:val="TableParagraph"/>
              <w:spacing w:line="252" w:lineRule="exact" w:before="35"/>
              <w:ind w:left="489"/>
              <w:rPr>
                <w:rFonts w:ascii="Calibri"/>
                <w:sz w:val="22"/>
              </w:rPr>
            </w:pPr>
            <w:r>
              <w:rPr>
                <w:rFonts w:ascii="Calibri"/>
                <w:spacing w:val="-10"/>
                <w:sz w:val="22"/>
              </w:rPr>
              <w:t>2</w:t>
            </w:r>
          </w:p>
        </w:tc>
      </w:tr>
      <w:tr>
        <w:trPr>
          <w:trHeight w:val="307" w:hRule="atLeast"/>
        </w:trPr>
        <w:tc>
          <w:tcPr>
            <w:tcW w:w="2206" w:type="dxa"/>
            <w:shd w:val="clear" w:color="auto" w:fill="D9D9D9"/>
          </w:tcPr>
          <w:p>
            <w:pPr>
              <w:pStyle w:val="TableParagraph"/>
              <w:spacing w:line="252" w:lineRule="exact" w:before="35"/>
              <w:ind w:left="110"/>
              <w:rPr>
                <w:rFonts w:ascii="Calibri"/>
                <w:b/>
                <w:sz w:val="22"/>
              </w:rPr>
            </w:pPr>
            <w:r>
              <w:rPr>
                <w:rFonts w:ascii="Calibri"/>
                <w:b/>
                <w:spacing w:val="-2"/>
                <w:sz w:val="22"/>
              </w:rPr>
              <w:t>Integration</w:t>
            </w:r>
          </w:p>
        </w:tc>
        <w:tc>
          <w:tcPr>
            <w:tcW w:w="1620" w:type="dxa"/>
            <w:shd w:val="clear" w:color="auto" w:fill="D9D9D9"/>
          </w:tcPr>
          <w:p>
            <w:pPr>
              <w:pStyle w:val="TableParagraph"/>
              <w:spacing w:line="252" w:lineRule="exact" w:before="35"/>
              <w:ind w:left="415"/>
              <w:rPr>
                <w:rFonts w:ascii="Calibri"/>
                <w:sz w:val="22"/>
              </w:rPr>
            </w:pPr>
            <w:r>
              <w:rPr>
                <w:rFonts w:ascii="Calibri"/>
                <w:spacing w:val="-5"/>
                <w:sz w:val="22"/>
              </w:rPr>
              <w:t>2.6</w:t>
            </w:r>
          </w:p>
        </w:tc>
        <w:tc>
          <w:tcPr>
            <w:tcW w:w="1860" w:type="dxa"/>
            <w:shd w:val="clear" w:color="auto" w:fill="D9D9D9"/>
          </w:tcPr>
          <w:p>
            <w:pPr>
              <w:pStyle w:val="TableParagraph"/>
              <w:spacing w:line="252" w:lineRule="exact" w:before="35"/>
              <w:ind w:left="395"/>
              <w:rPr>
                <w:rFonts w:ascii="Calibri"/>
                <w:sz w:val="22"/>
              </w:rPr>
            </w:pPr>
            <w:r>
              <w:rPr>
                <w:rFonts w:ascii="Calibri"/>
                <w:spacing w:val="-5"/>
                <w:sz w:val="22"/>
              </w:rPr>
              <w:t>0.5</w:t>
            </w:r>
          </w:p>
        </w:tc>
        <w:tc>
          <w:tcPr>
            <w:tcW w:w="2638" w:type="dxa"/>
            <w:shd w:val="clear" w:color="auto" w:fill="D9D9D9"/>
          </w:tcPr>
          <w:p>
            <w:pPr>
              <w:pStyle w:val="TableParagraph"/>
              <w:spacing w:line="252" w:lineRule="exact" w:before="35"/>
              <w:ind w:left="489"/>
              <w:rPr>
                <w:rFonts w:ascii="Calibri"/>
                <w:sz w:val="22"/>
              </w:rPr>
            </w:pPr>
            <w:r>
              <w:rPr>
                <w:rFonts w:ascii="Calibri"/>
                <w:spacing w:val="-5"/>
                <w:sz w:val="22"/>
              </w:rPr>
              <w:t>3.1</w:t>
            </w:r>
          </w:p>
        </w:tc>
      </w:tr>
      <w:tr>
        <w:trPr>
          <w:trHeight w:val="307" w:hRule="atLeast"/>
        </w:trPr>
        <w:tc>
          <w:tcPr>
            <w:tcW w:w="2206" w:type="dxa"/>
          </w:tcPr>
          <w:p>
            <w:pPr>
              <w:pStyle w:val="TableParagraph"/>
              <w:spacing w:line="252" w:lineRule="exact" w:before="35"/>
              <w:ind w:left="110"/>
              <w:rPr>
                <w:rFonts w:ascii="Calibri"/>
                <w:b/>
                <w:sz w:val="22"/>
              </w:rPr>
            </w:pPr>
            <w:r>
              <w:rPr>
                <w:rFonts w:ascii="Calibri"/>
                <w:b/>
                <w:spacing w:val="-2"/>
                <w:sz w:val="22"/>
              </w:rPr>
              <w:t>Security</w:t>
            </w:r>
          </w:p>
        </w:tc>
        <w:tc>
          <w:tcPr>
            <w:tcW w:w="1620" w:type="dxa"/>
          </w:tcPr>
          <w:p>
            <w:pPr>
              <w:pStyle w:val="TableParagraph"/>
              <w:spacing w:line="252" w:lineRule="exact" w:before="35"/>
              <w:ind w:left="415"/>
              <w:rPr>
                <w:rFonts w:ascii="Calibri"/>
                <w:sz w:val="22"/>
              </w:rPr>
            </w:pPr>
            <w:r>
              <w:rPr>
                <w:rFonts w:ascii="Calibri"/>
                <w:spacing w:val="-5"/>
                <w:sz w:val="22"/>
              </w:rPr>
              <w:t>1.7</w:t>
            </w:r>
          </w:p>
        </w:tc>
        <w:tc>
          <w:tcPr>
            <w:tcW w:w="1860" w:type="dxa"/>
          </w:tcPr>
          <w:p>
            <w:pPr>
              <w:pStyle w:val="TableParagraph"/>
              <w:spacing w:line="252" w:lineRule="exact" w:before="35"/>
              <w:ind w:left="395"/>
              <w:rPr>
                <w:rFonts w:ascii="Calibri"/>
                <w:sz w:val="22"/>
              </w:rPr>
            </w:pPr>
            <w:r>
              <w:rPr>
                <w:rFonts w:ascii="Calibri"/>
                <w:spacing w:val="-10"/>
                <w:sz w:val="22"/>
              </w:rPr>
              <w:t>0</w:t>
            </w:r>
          </w:p>
        </w:tc>
        <w:tc>
          <w:tcPr>
            <w:tcW w:w="2638" w:type="dxa"/>
          </w:tcPr>
          <w:p>
            <w:pPr>
              <w:pStyle w:val="TableParagraph"/>
              <w:spacing w:line="252" w:lineRule="exact" w:before="35"/>
              <w:ind w:left="489"/>
              <w:rPr>
                <w:rFonts w:ascii="Calibri"/>
                <w:sz w:val="22"/>
              </w:rPr>
            </w:pPr>
            <w:r>
              <w:rPr>
                <w:rFonts w:ascii="Calibri"/>
                <w:spacing w:val="-5"/>
                <w:sz w:val="22"/>
              </w:rPr>
              <w:t>1.7</w:t>
            </w:r>
          </w:p>
        </w:tc>
      </w:tr>
      <w:tr>
        <w:trPr>
          <w:trHeight w:val="307" w:hRule="atLeast"/>
        </w:trPr>
        <w:tc>
          <w:tcPr>
            <w:tcW w:w="2206" w:type="dxa"/>
            <w:shd w:val="clear" w:color="auto" w:fill="D9D9D9"/>
          </w:tcPr>
          <w:p>
            <w:pPr>
              <w:pStyle w:val="TableParagraph"/>
              <w:spacing w:line="252" w:lineRule="exact" w:before="35"/>
              <w:ind w:left="110"/>
              <w:rPr>
                <w:rFonts w:ascii="Calibri"/>
                <w:b/>
                <w:sz w:val="22"/>
              </w:rPr>
            </w:pPr>
            <w:r>
              <w:rPr>
                <w:rFonts w:ascii="Calibri"/>
                <w:b/>
                <w:spacing w:val="-2"/>
                <w:sz w:val="22"/>
              </w:rPr>
              <w:t>Economic</w:t>
            </w:r>
            <w:r>
              <w:rPr>
                <w:rFonts w:ascii="Calibri"/>
                <w:b/>
                <w:spacing w:val="3"/>
                <w:sz w:val="22"/>
              </w:rPr>
              <w:t> </w:t>
            </w:r>
            <w:r>
              <w:rPr>
                <w:rFonts w:ascii="Calibri"/>
                <w:b/>
                <w:spacing w:val="-2"/>
                <w:sz w:val="22"/>
              </w:rPr>
              <w:t>crisis*</w:t>
            </w:r>
          </w:p>
        </w:tc>
        <w:tc>
          <w:tcPr>
            <w:tcW w:w="1620" w:type="dxa"/>
            <w:shd w:val="clear" w:color="auto" w:fill="D9D9D9"/>
          </w:tcPr>
          <w:p>
            <w:pPr>
              <w:pStyle w:val="TableParagraph"/>
              <w:spacing w:line="252" w:lineRule="exact" w:before="35"/>
              <w:ind w:left="415"/>
              <w:rPr>
                <w:rFonts w:ascii="Calibri"/>
                <w:sz w:val="22"/>
              </w:rPr>
            </w:pPr>
            <w:r>
              <w:rPr>
                <w:rFonts w:ascii="Calibri"/>
                <w:spacing w:val="-5"/>
                <w:sz w:val="22"/>
              </w:rPr>
              <w:t>0.3</w:t>
            </w:r>
          </w:p>
        </w:tc>
        <w:tc>
          <w:tcPr>
            <w:tcW w:w="1860" w:type="dxa"/>
            <w:shd w:val="clear" w:color="auto" w:fill="D9D9D9"/>
          </w:tcPr>
          <w:p>
            <w:pPr>
              <w:pStyle w:val="TableParagraph"/>
              <w:spacing w:line="252" w:lineRule="exact" w:before="35"/>
              <w:ind w:left="395"/>
              <w:rPr>
                <w:rFonts w:ascii="Calibri"/>
                <w:sz w:val="22"/>
              </w:rPr>
            </w:pPr>
            <w:r>
              <w:rPr>
                <w:rFonts w:ascii="Calibri"/>
                <w:spacing w:val="-5"/>
                <w:sz w:val="22"/>
              </w:rPr>
              <w:t>2.4</w:t>
            </w:r>
          </w:p>
        </w:tc>
        <w:tc>
          <w:tcPr>
            <w:tcW w:w="2638" w:type="dxa"/>
            <w:shd w:val="clear" w:color="auto" w:fill="D9D9D9"/>
          </w:tcPr>
          <w:p>
            <w:pPr>
              <w:pStyle w:val="TableParagraph"/>
              <w:spacing w:line="252" w:lineRule="exact" w:before="35"/>
              <w:ind w:left="489"/>
              <w:rPr>
                <w:rFonts w:ascii="Calibri"/>
                <w:sz w:val="22"/>
              </w:rPr>
            </w:pPr>
            <w:r>
              <w:rPr>
                <w:rFonts w:ascii="Calibri"/>
                <w:spacing w:val="-4"/>
                <w:sz w:val="22"/>
              </w:rPr>
              <w:t>2.69</w:t>
            </w:r>
          </w:p>
        </w:tc>
      </w:tr>
      <w:tr>
        <w:trPr>
          <w:trHeight w:val="307" w:hRule="atLeast"/>
        </w:trPr>
        <w:tc>
          <w:tcPr>
            <w:tcW w:w="2206" w:type="dxa"/>
          </w:tcPr>
          <w:p>
            <w:pPr>
              <w:pStyle w:val="TableParagraph"/>
              <w:spacing w:line="252" w:lineRule="exact" w:before="35"/>
              <w:ind w:left="110"/>
              <w:rPr>
                <w:rFonts w:ascii="Calibri"/>
                <w:b/>
                <w:sz w:val="22"/>
              </w:rPr>
            </w:pPr>
            <w:r>
              <w:rPr>
                <w:rFonts w:ascii="Calibri"/>
                <w:b/>
                <w:spacing w:val="-2"/>
                <w:sz w:val="22"/>
              </w:rPr>
              <w:t>Threats</w:t>
            </w:r>
          </w:p>
        </w:tc>
        <w:tc>
          <w:tcPr>
            <w:tcW w:w="1620" w:type="dxa"/>
          </w:tcPr>
          <w:p>
            <w:pPr>
              <w:pStyle w:val="TableParagraph"/>
              <w:spacing w:line="252" w:lineRule="exact" w:before="35"/>
              <w:ind w:left="415"/>
              <w:rPr>
                <w:rFonts w:ascii="Calibri"/>
                <w:sz w:val="22"/>
              </w:rPr>
            </w:pPr>
            <w:r>
              <w:rPr>
                <w:rFonts w:ascii="Calibri"/>
                <w:spacing w:val="-10"/>
                <w:sz w:val="22"/>
              </w:rPr>
              <w:t>0</w:t>
            </w:r>
          </w:p>
        </w:tc>
        <w:tc>
          <w:tcPr>
            <w:tcW w:w="1860" w:type="dxa"/>
          </w:tcPr>
          <w:p>
            <w:pPr>
              <w:pStyle w:val="TableParagraph"/>
              <w:spacing w:line="252" w:lineRule="exact" w:before="35"/>
              <w:ind w:left="395"/>
              <w:rPr>
                <w:rFonts w:ascii="Calibri"/>
                <w:sz w:val="22"/>
              </w:rPr>
            </w:pPr>
            <w:r>
              <w:rPr>
                <w:rFonts w:ascii="Calibri"/>
                <w:spacing w:val="-5"/>
                <w:sz w:val="22"/>
              </w:rPr>
              <w:t>1.4</w:t>
            </w:r>
          </w:p>
        </w:tc>
        <w:tc>
          <w:tcPr>
            <w:tcW w:w="2638" w:type="dxa"/>
          </w:tcPr>
          <w:p>
            <w:pPr>
              <w:pStyle w:val="TableParagraph"/>
              <w:spacing w:line="252" w:lineRule="exact" w:before="35"/>
              <w:ind w:left="489"/>
              <w:rPr>
                <w:rFonts w:ascii="Calibri"/>
                <w:sz w:val="22"/>
              </w:rPr>
            </w:pPr>
            <w:r>
              <w:rPr>
                <w:rFonts w:ascii="Calibri"/>
                <w:spacing w:val="-5"/>
                <w:sz w:val="22"/>
              </w:rPr>
              <w:t>1.4</w:t>
            </w:r>
          </w:p>
        </w:tc>
      </w:tr>
      <w:tr>
        <w:trPr>
          <w:trHeight w:val="307" w:hRule="atLeast"/>
        </w:trPr>
        <w:tc>
          <w:tcPr>
            <w:tcW w:w="2206" w:type="dxa"/>
            <w:shd w:val="clear" w:color="auto" w:fill="D9D9D9"/>
          </w:tcPr>
          <w:p>
            <w:pPr>
              <w:pStyle w:val="TableParagraph"/>
              <w:spacing w:line="252" w:lineRule="exact" w:before="35"/>
              <w:ind w:left="110"/>
              <w:rPr>
                <w:rFonts w:ascii="Calibri"/>
                <w:b/>
                <w:sz w:val="22"/>
              </w:rPr>
            </w:pPr>
            <w:r>
              <w:rPr>
                <w:rFonts w:ascii="Calibri"/>
                <w:b/>
                <w:spacing w:val="-2"/>
                <w:sz w:val="22"/>
              </w:rPr>
              <w:t>Economic</w:t>
            </w:r>
            <w:r>
              <w:rPr>
                <w:rFonts w:ascii="Calibri"/>
                <w:b/>
                <w:spacing w:val="3"/>
                <w:sz w:val="22"/>
              </w:rPr>
              <w:t> </w:t>
            </w:r>
            <w:r>
              <w:rPr>
                <w:rFonts w:ascii="Calibri"/>
                <w:b/>
                <w:spacing w:val="-2"/>
                <w:sz w:val="22"/>
              </w:rPr>
              <w:t>system*</w:t>
            </w:r>
          </w:p>
        </w:tc>
        <w:tc>
          <w:tcPr>
            <w:tcW w:w="1620" w:type="dxa"/>
            <w:shd w:val="clear" w:color="auto" w:fill="D9D9D9"/>
          </w:tcPr>
          <w:p>
            <w:pPr>
              <w:pStyle w:val="TableParagraph"/>
              <w:spacing w:line="252" w:lineRule="exact" w:before="35"/>
              <w:ind w:left="415"/>
              <w:rPr>
                <w:rFonts w:ascii="Calibri"/>
                <w:sz w:val="22"/>
              </w:rPr>
            </w:pPr>
            <w:r>
              <w:rPr>
                <w:rFonts w:ascii="Calibri"/>
                <w:spacing w:val="-5"/>
                <w:sz w:val="22"/>
              </w:rPr>
              <w:t>0.6</w:t>
            </w:r>
          </w:p>
        </w:tc>
        <w:tc>
          <w:tcPr>
            <w:tcW w:w="1860" w:type="dxa"/>
            <w:shd w:val="clear" w:color="auto" w:fill="D9D9D9"/>
          </w:tcPr>
          <w:p>
            <w:pPr>
              <w:pStyle w:val="TableParagraph"/>
              <w:spacing w:line="252" w:lineRule="exact" w:before="35"/>
              <w:ind w:left="395"/>
              <w:rPr>
                <w:rFonts w:ascii="Calibri"/>
                <w:sz w:val="22"/>
              </w:rPr>
            </w:pPr>
            <w:r>
              <w:rPr>
                <w:rFonts w:ascii="Calibri"/>
                <w:spacing w:val="-5"/>
                <w:sz w:val="22"/>
              </w:rPr>
              <w:t>1.5</w:t>
            </w:r>
          </w:p>
        </w:tc>
        <w:tc>
          <w:tcPr>
            <w:tcW w:w="2638" w:type="dxa"/>
            <w:shd w:val="clear" w:color="auto" w:fill="D9D9D9"/>
          </w:tcPr>
          <w:p>
            <w:pPr>
              <w:pStyle w:val="TableParagraph"/>
              <w:spacing w:line="252" w:lineRule="exact" w:before="35"/>
              <w:ind w:left="489"/>
              <w:rPr>
                <w:rFonts w:ascii="Calibri"/>
                <w:sz w:val="22"/>
              </w:rPr>
            </w:pPr>
            <w:r>
              <w:rPr>
                <w:rFonts w:ascii="Calibri"/>
                <w:spacing w:val="-5"/>
                <w:sz w:val="22"/>
              </w:rPr>
              <w:t>2.1</w:t>
            </w:r>
          </w:p>
        </w:tc>
      </w:tr>
      <w:tr>
        <w:trPr>
          <w:trHeight w:val="302" w:hRule="atLeast"/>
        </w:trPr>
        <w:tc>
          <w:tcPr>
            <w:tcW w:w="2206" w:type="dxa"/>
          </w:tcPr>
          <w:p>
            <w:pPr>
              <w:pStyle w:val="TableParagraph"/>
              <w:spacing w:line="247" w:lineRule="exact" w:before="36"/>
              <w:ind w:left="110"/>
              <w:rPr>
                <w:rFonts w:ascii="Calibri"/>
                <w:b/>
                <w:sz w:val="22"/>
              </w:rPr>
            </w:pPr>
            <w:r>
              <w:rPr>
                <w:rFonts w:ascii="Calibri"/>
                <w:b/>
                <w:spacing w:val="-2"/>
                <w:sz w:val="22"/>
              </w:rPr>
              <w:t>Political</w:t>
            </w:r>
            <w:r>
              <w:rPr>
                <w:rFonts w:ascii="Calibri"/>
                <w:b/>
                <w:spacing w:val="2"/>
                <w:sz w:val="22"/>
              </w:rPr>
              <w:t> </w:t>
            </w:r>
            <w:r>
              <w:rPr>
                <w:rFonts w:ascii="Calibri"/>
                <w:b/>
                <w:spacing w:val="-2"/>
                <w:sz w:val="22"/>
              </w:rPr>
              <w:t>system</w:t>
            </w:r>
          </w:p>
        </w:tc>
        <w:tc>
          <w:tcPr>
            <w:tcW w:w="1620" w:type="dxa"/>
          </w:tcPr>
          <w:p>
            <w:pPr>
              <w:pStyle w:val="TableParagraph"/>
              <w:spacing w:line="247" w:lineRule="exact" w:before="36"/>
              <w:ind w:left="415"/>
              <w:rPr>
                <w:rFonts w:ascii="Calibri"/>
                <w:sz w:val="22"/>
              </w:rPr>
            </w:pPr>
            <w:r>
              <w:rPr>
                <w:rFonts w:ascii="Calibri"/>
                <w:spacing w:val="-5"/>
                <w:sz w:val="22"/>
              </w:rPr>
              <w:t>2.3</w:t>
            </w:r>
          </w:p>
        </w:tc>
        <w:tc>
          <w:tcPr>
            <w:tcW w:w="1860" w:type="dxa"/>
          </w:tcPr>
          <w:p>
            <w:pPr>
              <w:pStyle w:val="TableParagraph"/>
              <w:spacing w:line="247" w:lineRule="exact" w:before="36"/>
              <w:ind w:left="395"/>
              <w:rPr>
                <w:rFonts w:ascii="Calibri"/>
                <w:sz w:val="22"/>
              </w:rPr>
            </w:pPr>
            <w:r>
              <w:rPr>
                <w:rFonts w:ascii="Calibri"/>
                <w:spacing w:val="-5"/>
                <w:sz w:val="22"/>
              </w:rPr>
              <w:t>0.5</w:t>
            </w:r>
          </w:p>
        </w:tc>
        <w:tc>
          <w:tcPr>
            <w:tcW w:w="2638" w:type="dxa"/>
          </w:tcPr>
          <w:p>
            <w:pPr>
              <w:pStyle w:val="TableParagraph"/>
              <w:spacing w:line="247" w:lineRule="exact" w:before="36"/>
              <w:ind w:left="489"/>
              <w:rPr>
                <w:rFonts w:ascii="Calibri"/>
                <w:sz w:val="22"/>
              </w:rPr>
            </w:pPr>
            <w:r>
              <w:rPr>
                <w:rFonts w:ascii="Calibri"/>
                <w:spacing w:val="-5"/>
                <w:sz w:val="22"/>
              </w:rPr>
              <w:t>2.8</w:t>
            </w:r>
          </w:p>
        </w:tc>
      </w:tr>
      <w:tr>
        <w:trPr>
          <w:trHeight w:val="311" w:hRule="atLeast"/>
        </w:trPr>
        <w:tc>
          <w:tcPr>
            <w:tcW w:w="2206" w:type="dxa"/>
            <w:tcBorders>
              <w:bottom w:val="single" w:sz="4" w:space="0" w:color="000000"/>
            </w:tcBorders>
            <w:shd w:val="clear" w:color="auto" w:fill="D9D9D9"/>
          </w:tcPr>
          <w:p>
            <w:pPr>
              <w:pStyle w:val="TableParagraph"/>
              <w:spacing w:line="256" w:lineRule="exact" w:before="35"/>
              <w:ind w:left="110"/>
              <w:rPr>
                <w:rFonts w:ascii="Calibri"/>
                <w:b/>
                <w:sz w:val="22"/>
              </w:rPr>
            </w:pPr>
            <w:r>
              <w:rPr>
                <w:rFonts w:ascii="Calibri"/>
                <w:b/>
                <w:spacing w:val="-2"/>
                <w:sz w:val="22"/>
              </w:rPr>
              <w:t>Prosperity*</w:t>
            </w:r>
          </w:p>
        </w:tc>
        <w:tc>
          <w:tcPr>
            <w:tcW w:w="1620" w:type="dxa"/>
            <w:tcBorders>
              <w:bottom w:val="single" w:sz="4" w:space="0" w:color="000000"/>
            </w:tcBorders>
            <w:shd w:val="clear" w:color="auto" w:fill="D9D9D9"/>
          </w:tcPr>
          <w:p>
            <w:pPr>
              <w:pStyle w:val="TableParagraph"/>
              <w:spacing w:line="256" w:lineRule="exact" w:before="35"/>
              <w:ind w:left="415"/>
              <w:rPr>
                <w:rFonts w:ascii="Calibri"/>
                <w:sz w:val="22"/>
              </w:rPr>
            </w:pPr>
            <w:r>
              <w:rPr>
                <w:rFonts w:ascii="Calibri"/>
                <w:spacing w:val="-5"/>
                <w:sz w:val="22"/>
              </w:rPr>
              <w:t>2.5</w:t>
            </w:r>
          </w:p>
        </w:tc>
        <w:tc>
          <w:tcPr>
            <w:tcW w:w="1860" w:type="dxa"/>
            <w:tcBorders>
              <w:bottom w:val="single" w:sz="4" w:space="0" w:color="000000"/>
            </w:tcBorders>
            <w:shd w:val="clear" w:color="auto" w:fill="D9D9D9"/>
          </w:tcPr>
          <w:p>
            <w:pPr>
              <w:pStyle w:val="TableParagraph"/>
              <w:spacing w:line="256" w:lineRule="exact" w:before="35"/>
              <w:ind w:left="395"/>
              <w:rPr>
                <w:rFonts w:ascii="Calibri"/>
                <w:sz w:val="22"/>
              </w:rPr>
            </w:pPr>
            <w:r>
              <w:rPr>
                <w:rFonts w:ascii="Calibri"/>
                <w:spacing w:val="-10"/>
                <w:sz w:val="22"/>
              </w:rPr>
              <w:t>2</w:t>
            </w:r>
          </w:p>
        </w:tc>
        <w:tc>
          <w:tcPr>
            <w:tcW w:w="2638" w:type="dxa"/>
            <w:tcBorders>
              <w:bottom w:val="single" w:sz="4" w:space="0" w:color="000000"/>
            </w:tcBorders>
            <w:shd w:val="clear" w:color="auto" w:fill="D9D9D9"/>
          </w:tcPr>
          <w:p>
            <w:pPr>
              <w:pStyle w:val="TableParagraph"/>
              <w:spacing w:line="256" w:lineRule="exact" w:before="35"/>
              <w:ind w:left="489"/>
              <w:rPr>
                <w:rFonts w:ascii="Calibri"/>
                <w:sz w:val="22"/>
              </w:rPr>
            </w:pPr>
            <w:r>
              <w:rPr>
                <w:rFonts w:ascii="Calibri"/>
                <w:spacing w:val="-5"/>
                <w:sz w:val="22"/>
              </w:rPr>
              <w:t>4.5</w:t>
            </w:r>
          </w:p>
        </w:tc>
      </w:tr>
    </w:tbl>
    <w:p>
      <w:pPr>
        <w:pStyle w:val="TableParagraph"/>
        <w:spacing w:after="0" w:line="256" w:lineRule="exact"/>
        <w:rPr>
          <w:rFonts w:ascii="Calibri"/>
          <w:sz w:val="22"/>
        </w:rPr>
        <w:sectPr>
          <w:pgSz w:w="12240" w:h="15840"/>
          <w:pgMar w:header="1046" w:footer="0" w:top="1360" w:bottom="280" w:left="720" w:right="360"/>
        </w:sectPr>
      </w:pPr>
    </w:p>
    <w:p>
      <w:pPr>
        <w:pStyle w:val="Heading4"/>
        <w:spacing w:before="292"/>
        <w:ind w:left="979" w:firstLine="0"/>
      </w:pPr>
      <w:bookmarkStart w:name="_bookmark61" w:id="62"/>
      <w:bookmarkEnd w:id="62"/>
      <w:r>
        <w:rPr>
          <w:b w:val="0"/>
        </w:rPr>
      </w:r>
      <w:r>
        <w:rPr>
          <w:spacing w:val="-6"/>
        </w:rPr>
        <w:t>Concluding</w:t>
      </w:r>
      <w:r>
        <w:rPr>
          <w:spacing w:val="-2"/>
        </w:rPr>
        <w:t> Points</w:t>
      </w:r>
    </w:p>
    <w:p>
      <w:pPr>
        <w:pStyle w:val="BodyText"/>
        <w:spacing w:before="192"/>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77440">
                <wp:simplePos x="0" y="0"/>
                <wp:positionH relativeFrom="page">
                  <wp:posOffset>1078864</wp:posOffset>
                </wp:positionH>
                <wp:positionV relativeFrom="paragraph">
                  <wp:posOffset>281784</wp:posOffset>
                </wp:positionV>
                <wp:extent cx="5252085" cy="52069"/>
                <wp:effectExtent l="0" t="0" r="0" b="0"/>
                <wp:wrapTopAndBottom/>
                <wp:docPr id="217" name="Graphic 217"/>
                <wp:cNvGraphicFramePr>
                  <a:graphicFrameLocks/>
                </wp:cNvGraphicFramePr>
                <a:graphic>
                  <a:graphicData uri="http://schemas.microsoft.com/office/word/2010/wordprocessingShape">
                    <wps:wsp>
                      <wps:cNvPr id="217" name="Graphic 217"/>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22.187735pt;width:413.55pt;height:4.1pt;mso-position-horizontal-relative:page;mso-position-vertical-relative:paragraph;z-index:-15639040;mso-wrap-distance-left:0;mso-wrap-distance-right:0" id="docshape202" filled="true" fillcolor="#000000" stroked="false">
                <v:fill type="solid"/>
                <w10:wrap type="topAndBottom"/>
              </v:rect>
            </w:pict>
          </mc:Fallback>
        </mc:AlternateContent>
      </w:r>
    </w:p>
    <w:p>
      <w:pPr>
        <w:pStyle w:val="BodyText"/>
        <w:ind w:left="0"/>
        <w:jc w:val="left"/>
        <w:rPr>
          <w:rFonts w:ascii="Georgia"/>
          <w:b/>
        </w:rPr>
      </w:pPr>
    </w:p>
    <w:p>
      <w:pPr>
        <w:pStyle w:val="BodyText"/>
        <w:ind w:left="0"/>
        <w:jc w:val="left"/>
        <w:rPr>
          <w:rFonts w:ascii="Georgia"/>
          <w:b/>
        </w:rPr>
      </w:pPr>
    </w:p>
    <w:p>
      <w:pPr>
        <w:pStyle w:val="BodyText"/>
        <w:spacing w:before="124"/>
        <w:ind w:left="0"/>
        <w:jc w:val="left"/>
        <w:rPr>
          <w:rFonts w:ascii="Georgia"/>
          <w:b/>
        </w:rPr>
      </w:pPr>
    </w:p>
    <w:p>
      <w:pPr>
        <w:pStyle w:val="BodyText"/>
        <w:spacing w:line="276" w:lineRule="auto"/>
        <w:ind w:right="1903" w:firstLine="720"/>
      </w:pPr>
      <w:r>
        <w:rPr/>
        <w:t>This study proposed a systemic look to European Union studies. We tried to identify the topical issues of the integration and place them within the boundaries of the unifying theoretical framework. The initial task was to determine a broad nature of the Union; we compared two types of entities: a) apolitical systems (business firm) and b) political systems (state). The comparison was beneficial as we observed that to a great extent these two types of entities shared many similarities. The differences were noted when we analyzed ways the each type interacts with the public; the political</w:t>
      </w:r>
      <w:r>
        <w:rPr>
          <w:spacing w:val="-5"/>
        </w:rPr>
        <w:t> </w:t>
      </w:r>
      <w:r>
        <w:rPr/>
        <w:t>organizations</w:t>
      </w:r>
      <w:r>
        <w:rPr>
          <w:spacing w:val="-5"/>
        </w:rPr>
        <w:t> </w:t>
      </w:r>
      <w:r>
        <w:rPr/>
        <w:t>show</w:t>
      </w:r>
      <w:r>
        <w:rPr>
          <w:spacing w:val="-2"/>
        </w:rPr>
        <w:t> </w:t>
      </w:r>
      <w:r>
        <w:rPr/>
        <w:t>more</w:t>
      </w:r>
      <w:r>
        <w:rPr>
          <w:spacing w:val="-3"/>
        </w:rPr>
        <w:t> </w:t>
      </w:r>
      <w:r>
        <w:rPr/>
        <w:t>sensitivity vis-à-vis</w:t>
      </w:r>
      <w:r>
        <w:rPr>
          <w:spacing w:val="-5"/>
        </w:rPr>
        <w:t> </w:t>
      </w:r>
      <w:r>
        <w:rPr/>
        <w:t>the</w:t>
      </w:r>
      <w:r>
        <w:rPr>
          <w:spacing w:val="-3"/>
        </w:rPr>
        <w:t> </w:t>
      </w:r>
      <w:r>
        <w:rPr/>
        <w:t>public</w:t>
      </w:r>
      <w:r>
        <w:rPr>
          <w:spacing w:val="-4"/>
        </w:rPr>
        <w:t> </w:t>
      </w:r>
      <w:r>
        <w:rPr/>
        <w:t>input</w:t>
      </w:r>
      <w:r>
        <w:rPr>
          <w:spacing w:val="40"/>
        </w:rPr>
        <w:t> </w:t>
      </w:r>
      <w:r>
        <w:rPr/>
        <w:t>than do the business firms. This difference affects their general structural disposition. Subsequently, the assessment was done to see, which out of these two</w:t>
      </w:r>
      <w:r>
        <w:rPr>
          <w:spacing w:val="-1"/>
        </w:rPr>
        <w:t> </w:t>
      </w:r>
      <w:r>
        <w:rPr/>
        <w:t>types is closer to</w:t>
      </w:r>
      <w:r>
        <w:rPr>
          <w:spacing w:val="-1"/>
        </w:rPr>
        <w:t> </w:t>
      </w:r>
      <w:r>
        <w:rPr/>
        <w:t>the European Union; we focused on problems of the</w:t>
      </w:r>
      <w:r>
        <w:rPr>
          <w:spacing w:val="-2"/>
        </w:rPr>
        <w:t> </w:t>
      </w:r>
      <w:r>
        <w:rPr/>
        <w:t>democratic</w:t>
      </w:r>
      <w:r>
        <w:rPr>
          <w:spacing w:val="-3"/>
        </w:rPr>
        <w:t> </w:t>
      </w:r>
      <w:r>
        <w:rPr/>
        <w:t>deficit and institutional</w:t>
      </w:r>
      <w:r>
        <w:rPr>
          <w:spacing w:val="-4"/>
        </w:rPr>
        <w:t> </w:t>
      </w:r>
      <w:r>
        <w:rPr/>
        <w:t>accountability. We</w:t>
      </w:r>
      <w:r>
        <w:rPr>
          <w:spacing w:val="-2"/>
        </w:rPr>
        <w:t> </w:t>
      </w:r>
      <w:r>
        <w:rPr/>
        <w:t>saw</w:t>
      </w:r>
      <w:r>
        <w:rPr>
          <w:spacing w:val="-1"/>
        </w:rPr>
        <w:t> </w:t>
      </w:r>
      <w:r>
        <w:rPr/>
        <w:t>a</w:t>
      </w:r>
      <w:r>
        <w:rPr>
          <w:spacing w:val="-2"/>
        </w:rPr>
        <w:t> </w:t>
      </w:r>
      <w:r>
        <w:rPr/>
        <w:t>reasonable advantage of those approaches that consider the EU as intrinsically non- majoritarian system. Simultaneously, a large portion of the literature suggested that for the last twenty years the inter-institutional</w:t>
      </w:r>
      <w:r>
        <w:rPr>
          <w:spacing w:val="40"/>
        </w:rPr>
        <w:t> </w:t>
      </w:r>
      <w:r>
        <w:rPr/>
        <w:t>accountability has been increasing steadily. These two qualities are quite common in the apolitical organizations; however, there are two other aspects that inject some politics into the EU system: the ideal and purpose. The ideal includes the values and ideology; by fulfilling its purpose the Union is addressing</w:t>
      </w:r>
      <w:r>
        <w:rPr>
          <w:spacing w:val="-1"/>
        </w:rPr>
        <w:t> </w:t>
      </w:r>
      <w:r>
        <w:rPr/>
        <w:t>the</w:t>
      </w:r>
      <w:r>
        <w:rPr>
          <w:spacing w:val="-1"/>
        </w:rPr>
        <w:t> </w:t>
      </w:r>
      <w:r>
        <w:rPr/>
        <w:t>political problems. By</w:t>
      </w:r>
      <w:r>
        <w:rPr>
          <w:spacing w:val="-1"/>
        </w:rPr>
        <w:t> </w:t>
      </w:r>
      <w:r>
        <w:rPr/>
        <w:t>synthesizing</w:t>
      </w:r>
      <w:r>
        <w:rPr>
          <w:spacing w:val="-1"/>
        </w:rPr>
        <w:t> </w:t>
      </w:r>
      <w:r>
        <w:rPr/>
        <w:t>the</w:t>
      </w:r>
      <w:r>
        <w:rPr>
          <w:spacing w:val="-1"/>
        </w:rPr>
        <w:t> </w:t>
      </w:r>
      <w:r>
        <w:rPr/>
        <w:t>political and apolitical qualities we would lock the study in a common paradox</w:t>
      </w:r>
      <w:r>
        <w:rPr>
          <w:spacing w:val="27"/>
        </w:rPr>
        <w:t> </w:t>
      </w:r>
      <w:r>
        <w:rPr/>
        <w:t>– a trap</w:t>
      </w:r>
      <w:r>
        <w:rPr>
          <w:spacing w:val="40"/>
        </w:rPr>
        <w:t> </w:t>
      </w:r>
      <w:r>
        <w:rPr/>
        <w:t>of </w:t>
      </w:r>
      <w:r>
        <w:rPr>
          <w:sz w:val="27"/>
        </w:rPr>
        <w:t>sui generis </w:t>
      </w:r>
      <w:r>
        <w:rPr/>
        <w:t>being</w:t>
      </w:r>
      <w:r>
        <w:rPr>
          <w:sz w:val="27"/>
        </w:rPr>
        <w:t>. </w:t>
      </w:r>
      <w:r>
        <w:rPr/>
        <w:t>Instead of doing so, we used </w:t>
      </w:r>
      <w:r>
        <w:rPr>
          <w:sz w:val="27"/>
        </w:rPr>
        <w:t>Luhmann’s </w:t>
      </w:r>
      <w:r>
        <w:rPr/>
        <w:t>model of autopoietic</w:t>
      </w:r>
      <w:r>
        <w:rPr>
          <w:spacing w:val="-3"/>
        </w:rPr>
        <w:t> </w:t>
      </w:r>
      <w:r>
        <w:rPr/>
        <w:t>communication</w:t>
      </w:r>
      <w:r>
        <w:rPr>
          <w:spacing w:val="-1"/>
        </w:rPr>
        <w:t> </w:t>
      </w:r>
      <w:r>
        <w:rPr/>
        <w:t>and divided the</w:t>
      </w:r>
      <w:r>
        <w:rPr>
          <w:spacing w:val="-6"/>
        </w:rPr>
        <w:t> </w:t>
      </w:r>
      <w:r>
        <w:rPr/>
        <w:t>EU</w:t>
      </w:r>
      <w:r>
        <w:rPr>
          <w:spacing w:val="-2"/>
        </w:rPr>
        <w:t> </w:t>
      </w:r>
      <w:r>
        <w:rPr/>
        <w:t>into</w:t>
      </w:r>
      <w:r>
        <w:rPr>
          <w:spacing w:val="-5"/>
        </w:rPr>
        <w:t> </w:t>
      </w:r>
      <w:r>
        <w:rPr/>
        <w:t>three</w:t>
      </w:r>
      <w:r>
        <w:rPr>
          <w:spacing w:val="-2"/>
        </w:rPr>
        <w:t> </w:t>
      </w:r>
      <w:r>
        <w:rPr/>
        <w:t>meaning</w:t>
      </w:r>
      <w:r>
        <w:rPr>
          <w:spacing w:val="-2"/>
        </w:rPr>
        <w:t> </w:t>
      </w:r>
      <w:r>
        <w:rPr/>
        <w:t>systems: political, legal and economic. The each system is involved in recursive communication</w:t>
      </w:r>
      <w:r>
        <w:rPr>
          <w:spacing w:val="71"/>
        </w:rPr>
        <w:t> </w:t>
      </w:r>
      <w:r>
        <w:rPr/>
        <w:t>and</w:t>
      </w:r>
      <w:r>
        <w:rPr>
          <w:spacing w:val="72"/>
        </w:rPr>
        <w:t> </w:t>
      </w:r>
      <w:r>
        <w:rPr/>
        <w:t>fulfills</w:t>
      </w:r>
      <w:r>
        <w:rPr>
          <w:spacing w:val="68"/>
        </w:rPr>
        <w:t> </w:t>
      </w:r>
      <w:r>
        <w:rPr/>
        <w:t>the</w:t>
      </w:r>
      <w:r>
        <w:rPr>
          <w:spacing w:val="70"/>
        </w:rPr>
        <w:t> </w:t>
      </w:r>
      <w:r>
        <w:rPr/>
        <w:t>essential</w:t>
      </w:r>
      <w:r>
        <w:rPr>
          <w:spacing w:val="67"/>
        </w:rPr>
        <w:t> </w:t>
      </w:r>
      <w:r>
        <w:rPr/>
        <w:t>functions;</w:t>
      </w:r>
      <w:r>
        <w:rPr>
          <w:spacing w:val="72"/>
        </w:rPr>
        <w:t> </w:t>
      </w:r>
      <w:r>
        <w:rPr/>
        <w:t>their</w:t>
      </w:r>
      <w:r>
        <w:rPr>
          <w:spacing w:val="71"/>
        </w:rPr>
        <w:t> </w:t>
      </w:r>
      <w:r>
        <w:rPr/>
        <w:t>operations</w:t>
      </w:r>
      <w:r>
        <w:rPr>
          <w:spacing w:val="68"/>
        </w:rPr>
        <w:t> </w:t>
      </w:r>
      <w:r>
        <w:rPr/>
        <w:t>are</w:t>
      </w:r>
    </w:p>
    <w:p>
      <w:pPr>
        <w:pStyle w:val="BodyText"/>
        <w:spacing w:after="0" w:line="276" w:lineRule="auto"/>
        <w:sectPr>
          <w:pgSz w:w="12240" w:h="15840"/>
          <w:pgMar w:header="1046" w:footer="0" w:top="1360" w:bottom="280" w:left="720" w:right="360"/>
        </w:sectPr>
      </w:pPr>
    </w:p>
    <w:p>
      <w:pPr>
        <w:pStyle w:val="BodyText"/>
        <w:spacing w:line="276" w:lineRule="auto" w:before="276"/>
        <w:ind w:right="1913"/>
      </w:pPr>
      <w:r>
        <w:rPr/>
        <w:t>enacted via the planners (institutions); the relations between the systems</w:t>
      </w:r>
      <w:r>
        <w:rPr>
          <w:spacing w:val="40"/>
        </w:rPr>
        <w:t> </w:t>
      </w:r>
      <w:r>
        <w:rPr/>
        <w:t>are regulated by a structural coupling mechanism.</w:t>
      </w:r>
    </w:p>
    <w:p>
      <w:pPr>
        <w:pStyle w:val="BodyText"/>
        <w:spacing w:line="276" w:lineRule="auto"/>
        <w:ind w:right="1908" w:firstLine="720"/>
      </w:pPr>
      <w:r>
        <w:rPr/>
        <w:t>The discursive meaning of the Union derives from the political communication. The political system produces and re-produces</w:t>
      </w:r>
      <w:r>
        <w:rPr>
          <w:spacing w:val="40"/>
        </w:rPr>
        <w:t> </w:t>
      </w:r>
      <w:r>
        <w:rPr/>
        <w:t>information, using the input of other systems; its essential role is to explain the state of the system. Based on the very information the political system takes the state-changing decisions, subsequent communications are dedicated to elucidating those decisions to the other systems. The explanatory function is very important as it reduces the uncertainties</w:t>
      </w:r>
      <w:r>
        <w:rPr>
          <w:spacing w:val="40"/>
        </w:rPr>
        <w:t> </w:t>
      </w:r>
      <w:r>
        <w:rPr/>
        <w:t>among the planner-institutions.</w:t>
      </w:r>
    </w:p>
    <w:p>
      <w:pPr>
        <w:pStyle w:val="BodyText"/>
        <w:spacing w:line="276" w:lineRule="auto"/>
        <w:ind w:right="1907" w:firstLine="720"/>
      </w:pPr>
      <w:r>
        <w:rPr/>
        <w:t>Political</w:t>
      </w:r>
      <w:r>
        <w:rPr>
          <w:spacing w:val="-2"/>
        </w:rPr>
        <w:t> </w:t>
      </w:r>
      <w:r>
        <w:rPr/>
        <w:t>system,</w:t>
      </w:r>
      <w:r>
        <w:rPr>
          <w:spacing w:val="-3"/>
        </w:rPr>
        <w:t> </w:t>
      </w:r>
      <w:r>
        <w:rPr/>
        <w:t>being</w:t>
      </w:r>
      <w:r>
        <w:rPr>
          <w:spacing w:val="-4"/>
        </w:rPr>
        <w:t> </w:t>
      </w:r>
      <w:r>
        <w:rPr/>
        <w:t>responsible</w:t>
      </w:r>
      <w:r>
        <w:rPr>
          <w:spacing w:val="-4"/>
        </w:rPr>
        <w:t> </w:t>
      </w:r>
      <w:r>
        <w:rPr/>
        <w:t>for</w:t>
      </w:r>
      <w:r>
        <w:rPr>
          <w:spacing w:val="-3"/>
        </w:rPr>
        <w:t> </w:t>
      </w:r>
      <w:r>
        <w:rPr/>
        <w:t>the</w:t>
      </w:r>
      <w:r>
        <w:rPr>
          <w:spacing w:val="-4"/>
        </w:rPr>
        <w:t> </w:t>
      </w:r>
      <w:r>
        <w:rPr/>
        <w:t>systemic</w:t>
      </w:r>
      <w:r>
        <w:rPr>
          <w:spacing w:val="-5"/>
        </w:rPr>
        <w:t> </w:t>
      </w:r>
      <w:r>
        <w:rPr/>
        <w:t>narrative</w:t>
      </w:r>
      <w:r>
        <w:rPr>
          <w:spacing w:val="-4"/>
        </w:rPr>
        <w:t> </w:t>
      </w:r>
      <w:r>
        <w:rPr/>
        <w:t>(theory- in-use), simultaneously produces the ideological identity of the EU; the norms and values combined with the economic attractiveness represent the main power of the Union as a global actor.</w:t>
      </w:r>
    </w:p>
    <w:p>
      <w:pPr>
        <w:pStyle w:val="BodyText"/>
        <w:spacing w:line="273" w:lineRule="auto"/>
        <w:ind w:right="1910" w:firstLine="720"/>
      </w:pPr>
      <w:r>
        <w:rPr/>
        <w:t>A significant part of this research was dedicated to the legal system and its role in the process of European Integration. The legal system is an </w:t>
      </w:r>
      <w:r>
        <w:rPr>
          <w:sz w:val="27"/>
        </w:rPr>
        <w:t>autopoietic </w:t>
      </w:r>
      <w:r>
        <w:rPr/>
        <w:t>system</w:t>
      </w:r>
      <w:r>
        <w:rPr>
          <w:spacing w:val="-3"/>
        </w:rPr>
        <w:t> </w:t>
      </w:r>
      <w:r>
        <w:rPr/>
        <w:t>that produces and re-produces</w:t>
      </w:r>
      <w:r>
        <w:rPr>
          <w:spacing w:val="-3"/>
        </w:rPr>
        <w:t> </w:t>
      </w:r>
      <w:r>
        <w:rPr/>
        <w:t>the</w:t>
      </w:r>
      <w:r>
        <w:rPr>
          <w:spacing w:val="-1"/>
        </w:rPr>
        <w:t> </w:t>
      </w:r>
      <w:r>
        <w:rPr/>
        <w:t>legal</w:t>
      </w:r>
      <w:r>
        <w:rPr>
          <w:spacing w:val="-3"/>
        </w:rPr>
        <w:t> </w:t>
      </w:r>
      <w:r>
        <w:rPr/>
        <w:t>norms using</w:t>
      </w:r>
      <w:r>
        <w:rPr>
          <w:spacing w:val="-1"/>
        </w:rPr>
        <w:t> </w:t>
      </w:r>
      <w:r>
        <w:rPr/>
        <w:t>the legal code. The legal code is clearer than the</w:t>
      </w:r>
      <w:r>
        <w:rPr>
          <w:spacing w:val="-1"/>
        </w:rPr>
        <w:t> </w:t>
      </w:r>
      <w:r>
        <w:rPr/>
        <w:t>political language, therefore in times of the crisis properly functioning legal system can pave the path for some political actors. When undecidable political decisions were to be decided, by narrowing</w:t>
      </w:r>
      <w:r>
        <w:rPr>
          <w:spacing w:val="-2"/>
        </w:rPr>
        <w:t> </w:t>
      </w:r>
      <w:r>
        <w:rPr/>
        <w:t>down the possible choices, the crucial judgements of the ECJ helped to </w:t>
      </w:r>
      <w:r>
        <w:rPr>
          <w:sz w:val="27"/>
        </w:rPr>
        <w:t>deparadoxify </w:t>
      </w:r>
      <w:r>
        <w:rPr/>
        <w:t>the political communication. The legal system is a system responsible for fixing the political decisions; the legal communication sets up the contracts and simultaneously produces the explanations for the decisions. The explanatory capacity was crucial for affecting the process of integration.</w:t>
      </w:r>
    </w:p>
    <w:p>
      <w:pPr>
        <w:pStyle w:val="BodyText"/>
        <w:spacing w:line="273" w:lineRule="auto" w:before="15"/>
        <w:ind w:right="1914" w:firstLine="720"/>
      </w:pPr>
      <w:r>
        <w:rPr/>
        <w:t>The</w:t>
      </w:r>
      <w:r>
        <w:rPr>
          <w:spacing w:val="-3"/>
        </w:rPr>
        <w:t> </w:t>
      </w:r>
      <w:r>
        <w:rPr/>
        <w:t>legal</w:t>
      </w:r>
      <w:r>
        <w:rPr>
          <w:spacing w:val="-5"/>
        </w:rPr>
        <w:t> </w:t>
      </w:r>
      <w:r>
        <w:rPr/>
        <w:t>system</w:t>
      </w:r>
      <w:r>
        <w:rPr>
          <w:spacing w:val="-5"/>
        </w:rPr>
        <w:t> </w:t>
      </w:r>
      <w:r>
        <w:rPr/>
        <w:t>combined</w:t>
      </w:r>
      <w:r>
        <w:rPr>
          <w:spacing w:val="-1"/>
        </w:rPr>
        <w:t> </w:t>
      </w:r>
      <w:r>
        <w:rPr/>
        <w:t>with</w:t>
      </w:r>
      <w:r>
        <w:rPr>
          <w:spacing w:val="-3"/>
        </w:rPr>
        <w:t> </w:t>
      </w:r>
      <w:r>
        <w:rPr/>
        <w:t>the</w:t>
      </w:r>
      <w:r>
        <w:rPr>
          <w:spacing w:val="-3"/>
        </w:rPr>
        <w:t> </w:t>
      </w:r>
      <w:r>
        <w:rPr/>
        <w:t>political</w:t>
      </w:r>
      <w:r>
        <w:rPr>
          <w:spacing w:val="-1"/>
        </w:rPr>
        <w:t> </w:t>
      </w:r>
      <w:r>
        <w:rPr/>
        <w:t>decisions is</w:t>
      </w:r>
      <w:r>
        <w:rPr>
          <w:spacing w:val="-5"/>
        </w:rPr>
        <w:t> </w:t>
      </w:r>
      <w:r>
        <w:rPr/>
        <w:t>essential</w:t>
      </w:r>
      <w:r>
        <w:rPr>
          <w:spacing w:val="-5"/>
        </w:rPr>
        <w:t> </w:t>
      </w:r>
      <w:r>
        <w:rPr/>
        <w:t>for the structural couplings with the environmental actors. The norm diffusion by externalizing the EU </w:t>
      </w:r>
      <w:r>
        <w:rPr>
          <w:sz w:val="27"/>
        </w:rPr>
        <w:t>Aquis</w:t>
      </w:r>
      <w:r>
        <w:rPr>
          <w:spacing w:val="40"/>
          <w:sz w:val="27"/>
        </w:rPr>
        <w:t> </w:t>
      </w:r>
      <w:r>
        <w:rPr/>
        <w:t>requires contracting the relations and establishing the code-guided procedures.</w:t>
      </w:r>
    </w:p>
    <w:p>
      <w:pPr>
        <w:pStyle w:val="BodyText"/>
        <w:spacing w:line="276" w:lineRule="auto"/>
        <w:ind w:right="1923" w:firstLine="720"/>
      </w:pPr>
      <w:r>
        <w:rPr/>
        <w:t>In this work we did not cover a wide range of economic relations in the</w:t>
      </w:r>
      <w:r>
        <w:rPr>
          <w:spacing w:val="35"/>
        </w:rPr>
        <w:t> </w:t>
      </w:r>
      <w:r>
        <w:rPr/>
        <w:t>EU;</w:t>
      </w:r>
      <w:r>
        <w:rPr>
          <w:spacing w:val="37"/>
        </w:rPr>
        <w:t> </w:t>
      </w:r>
      <w:r>
        <w:rPr/>
        <w:t>the</w:t>
      </w:r>
      <w:r>
        <w:rPr>
          <w:spacing w:val="35"/>
        </w:rPr>
        <w:t> </w:t>
      </w:r>
      <w:r>
        <w:rPr/>
        <w:t>scope</w:t>
      </w:r>
      <w:r>
        <w:rPr>
          <w:spacing w:val="36"/>
        </w:rPr>
        <w:t> </w:t>
      </w:r>
      <w:r>
        <w:rPr/>
        <w:t>of</w:t>
      </w:r>
      <w:r>
        <w:rPr>
          <w:spacing w:val="33"/>
        </w:rPr>
        <w:t> </w:t>
      </w:r>
      <w:r>
        <w:rPr/>
        <w:t>the</w:t>
      </w:r>
      <w:r>
        <w:rPr>
          <w:spacing w:val="36"/>
        </w:rPr>
        <w:t> </w:t>
      </w:r>
      <w:r>
        <w:rPr/>
        <w:t>research</w:t>
      </w:r>
      <w:r>
        <w:rPr>
          <w:spacing w:val="35"/>
        </w:rPr>
        <w:t> </w:t>
      </w:r>
      <w:r>
        <w:rPr/>
        <w:t>did</w:t>
      </w:r>
      <w:r>
        <w:rPr>
          <w:spacing w:val="36"/>
        </w:rPr>
        <w:t> </w:t>
      </w:r>
      <w:r>
        <w:rPr/>
        <w:t>not</w:t>
      </w:r>
      <w:r>
        <w:rPr>
          <w:spacing w:val="39"/>
        </w:rPr>
        <w:t> </w:t>
      </w:r>
      <w:r>
        <w:rPr/>
        <w:t>allow</w:t>
      </w:r>
      <w:r>
        <w:rPr>
          <w:spacing w:val="36"/>
        </w:rPr>
        <w:t> </w:t>
      </w:r>
      <w:r>
        <w:rPr/>
        <w:t>to</w:t>
      </w:r>
      <w:r>
        <w:rPr>
          <w:spacing w:val="33"/>
        </w:rPr>
        <w:t> </w:t>
      </w:r>
      <w:r>
        <w:rPr/>
        <w:t>go</w:t>
      </w:r>
      <w:r>
        <w:rPr>
          <w:spacing w:val="37"/>
        </w:rPr>
        <w:t> </w:t>
      </w:r>
      <w:r>
        <w:rPr/>
        <w:t>into</w:t>
      </w:r>
      <w:r>
        <w:rPr>
          <w:spacing w:val="33"/>
        </w:rPr>
        <w:t> </w:t>
      </w:r>
      <w:r>
        <w:rPr/>
        <w:t>the</w:t>
      </w:r>
      <w:r>
        <w:rPr>
          <w:spacing w:val="35"/>
        </w:rPr>
        <w:t> </w:t>
      </w:r>
      <w:r>
        <w:rPr/>
        <w:t>details</w:t>
      </w:r>
      <w:r>
        <w:rPr>
          <w:spacing w:val="37"/>
        </w:rPr>
        <w:t> </w:t>
      </w:r>
      <w:r>
        <w:rPr>
          <w:spacing w:val="-5"/>
        </w:rPr>
        <w:t>of</w:t>
      </w:r>
    </w:p>
    <w:p>
      <w:pPr>
        <w:pStyle w:val="BodyText"/>
        <w:spacing w:after="0" w:line="276" w:lineRule="auto"/>
        <w:sectPr>
          <w:pgSz w:w="12240" w:h="15840"/>
          <w:pgMar w:header="1046" w:footer="0" w:top="1360" w:bottom="280" w:left="720" w:right="360"/>
        </w:sectPr>
      </w:pPr>
    </w:p>
    <w:p>
      <w:pPr>
        <w:pStyle w:val="BodyText"/>
        <w:spacing w:line="276" w:lineRule="auto" w:before="276"/>
        <w:ind w:right="1908"/>
      </w:pPr>
      <w:r>
        <w:rPr/>
        <w:t>extremely complex and often ambiguous economic matters. Nevertheless, we tried to show the ways in which the economic system produces the input into political and legal systems. We argued that the asymmetric economic transactions shape the economic elites, which try to expand their influence on other systems as well. The elites played a great role in finalizing the common market, they encouraged the process of integration by pressuring the national and supranational officials, both directly and indirectly by legal means. The economic system has an innate structural power</w:t>
      </w:r>
      <w:r>
        <w:rPr>
          <w:spacing w:val="-1"/>
        </w:rPr>
        <w:t> </w:t>
      </w:r>
      <w:r>
        <w:rPr/>
        <w:t>in</w:t>
      </w:r>
      <w:r>
        <w:rPr>
          <w:spacing w:val="-1"/>
        </w:rPr>
        <w:t> </w:t>
      </w:r>
      <w:r>
        <w:rPr/>
        <w:t>the</w:t>
      </w:r>
      <w:r>
        <w:rPr>
          <w:spacing w:val="-2"/>
        </w:rPr>
        <w:t> </w:t>
      </w:r>
      <w:r>
        <w:rPr/>
        <w:t>EU</w:t>
      </w:r>
      <w:r>
        <w:rPr>
          <w:spacing w:val="-2"/>
        </w:rPr>
        <w:t> </w:t>
      </w:r>
      <w:r>
        <w:rPr/>
        <w:t>as</w:t>
      </w:r>
      <w:r>
        <w:rPr>
          <w:spacing w:val="-4"/>
        </w:rPr>
        <w:t> </w:t>
      </w:r>
      <w:r>
        <w:rPr/>
        <w:t>it</w:t>
      </w:r>
      <w:r>
        <w:rPr>
          <w:spacing w:val="-2"/>
        </w:rPr>
        <w:t> </w:t>
      </w:r>
      <w:r>
        <w:rPr/>
        <w:t>is</w:t>
      </w:r>
      <w:r>
        <w:rPr>
          <w:spacing w:val="-4"/>
        </w:rPr>
        <w:t> </w:t>
      </w:r>
      <w:r>
        <w:rPr/>
        <w:t>a</w:t>
      </w:r>
      <w:r>
        <w:rPr>
          <w:spacing w:val="-2"/>
        </w:rPr>
        <w:t> </w:t>
      </w:r>
      <w:r>
        <w:rPr/>
        <w:t>system</w:t>
      </w:r>
      <w:r>
        <w:rPr>
          <w:spacing w:val="-4"/>
        </w:rPr>
        <w:t> </w:t>
      </w:r>
      <w:r>
        <w:rPr/>
        <w:t>that</w:t>
      </w:r>
      <w:r>
        <w:rPr>
          <w:spacing w:val="-2"/>
        </w:rPr>
        <w:t> </w:t>
      </w:r>
      <w:r>
        <w:rPr/>
        <w:t>is</w:t>
      </w:r>
      <w:r>
        <w:rPr>
          <w:spacing w:val="-4"/>
        </w:rPr>
        <w:t> </w:t>
      </w:r>
      <w:r>
        <w:rPr/>
        <w:t>directly</w:t>
      </w:r>
      <w:r>
        <w:rPr>
          <w:spacing w:val="-2"/>
        </w:rPr>
        <w:t> </w:t>
      </w:r>
      <w:r>
        <w:rPr/>
        <w:t>responsible</w:t>
      </w:r>
      <w:r>
        <w:rPr>
          <w:spacing w:val="-2"/>
        </w:rPr>
        <w:t> </w:t>
      </w:r>
      <w:r>
        <w:rPr/>
        <w:t>for fulfilling</w:t>
      </w:r>
      <w:r>
        <w:rPr>
          <w:spacing w:val="-2"/>
        </w:rPr>
        <w:t> </w:t>
      </w:r>
      <w:r>
        <w:rPr/>
        <w:t>the purpose of the Union (prosperity). The legitimacy of the political system largely depends on the economic effectiveness of the system.</w:t>
      </w:r>
    </w:p>
    <w:p>
      <w:pPr>
        <w:pStyle w:val="BodyText"/>
        <w:spacing w:line="276" w:lineRule="auto"/>
        <w:ind w:right="1905" w:firstLine="720"/>
      </w:pPr>
      <w:r>
        <w:rPr/>
        <w:t>As</w:t>
      </w:r>
      <w:r>
        <w:rPr>
          <w:spacing w:val="-2"/>
        </w:rPr>
        <w:t> </w:t>
      </w:r>
      <w:r>
        <w:rPr/>
        <w:t>we can see, the systems</w:t>
      </w:r>
      <w:r>
        <w:rPr>
          <w:spacing w:val="-2"/>
        </w:rPr>
        <w:t> </w:t>
      </w:r>
      <w:r>
        <w:rPr/>
        <w:t>that communicate to</w:t>
      </w:r>
      <w:r>
        <w:rPr>
          <w:spacing w:val="-3"/>
        </w:rPr>
        <w:t> </w:t>
      </w:r>
      <w:r>
        <w:rPr/>
        <w:t>shape the identity of the EU are autonomous but dependent; it goes without saying that diminishing the role of</w:t>
      </w:r>
      <w:r>
        <w:rPr>
          <w:spacing w:val="40"/>
        </w:rPr>
        <w:t> </w:t>
      </w:r>
      <w:r>
        <w:rPr/>
        <w:t>any one system can cause</w:t>
      </w:r>
      <w:r>
        <w:rPr>
          <w:spacing w:val="40"/>
        </w:rPr>
        <w:t> </w:t>
      </w:r>
      <w:r>
        <w:rPr/>
        <w:t>major changes in the systemic distinctiveness</w:t>
      </w:r>
      <w:r>
        <w:rPr>
          <w:spacing w:val="-1"/>
        </w:rPr>
        <w:t> </w:t>
      </w:r>
      <w:r>
        <w:rPr/>
        <w:t>of the European Union. Accordingly, when</w:t>
      </w:r>
      <w:r>
        <w:rPr>
          <w:spacing w:val="-1"/>
        </w:rPr>
        <w:t> </w:t>
      </w:r>
      <w:r>
        <w:rPr/>
        <w:t>we talk about the EU as a system we have to mean a full cycle of communication that involves political, legal</w:t>
      </w:r>
      <w:r>
        <w:rPr>
          <w:spacing w:val="-1"/>
        </w:rPr>
        <w:t> </w:t>
      </w:r>
      <w:r>
        <w:rPr/>
        <w:t>and economic systems. Based on the theoretical explorations, we may argue that the theories of European integration have to work together by taking a common systemic reference point. The liberal intergovernmentalism has to pay a greater attention on developments that took place before the event-decisions, because the process from decision to decision has a self-contained value. By doing so, the theory would contain not only the domestic preference formation, but the decision formation at the EU level as well. On the contrary, the neo-functionalism, if it considered</w:t>
      </w:r>
      <w:r>
        <w:rPr>
          <w:spacing w:val="-1"/>
        </w:rPr>
        <w:t> </w:t>
      </w:r>
      <w:r>
        <w:rPr/>
        <w:t>the</w:t>
      </w:r>
      <w:r>
        <w:rPr>
          <w:spacing w:val="-3"/>
        </w:rPr>
        <w:t> </w:t>
      </w:r>
      <w:r>
        <w:rPr/>
        <w:t>peculiarities</w:t>
      </w:r>
      <w:r>
        <w:rPr>
          <w:spacing w:val="-5"/>
        </w:rPr>
        <w:t> </w:t>
      </w:r>
      <w:r>
        <w:rPr/>
        <w:t>of</w:t>
      </w:r>
      <w:r>
        <w:rPr>
          <w:spacing w:val="-4"/>
        </w:rPr>
        <w:t> </w:t>
      </w:r>
      <w:r>
        <w:rPr/>
        <w:t>the</w:t>
      </w:r>
      <w:r>
        <w:rPr>
          <w:spacing w:val="-3"/>
        </w:rPr>
        <w:t> </w:t>
      </w:r>
      <w:r>
        <w:rPr/>
        <w:t>political</w:t>
      </w:r>
      <w:r>
        <w:rPr>
          <w:spacing w:val="-6"/>
        </w:rPr>
        <w:t> </w:t>
      </w:r>
      <w:r>
        <w:rPr/>
        <w:t>system,</w:t>
      </w:r>
      <w:r>
        <w:rPr>
          <w:spacing w:val="-2"/>
        </w:rPr>
        <w:t> </w:t>
      </w:r>
      <w:r>
        <w:rPr/>
        <w:t>would</w:t>
      </w:r>
      <w:r>
        <w:rPr>
          <w:spacing w:val="-1"/>
        </w:rPr>
        <w:t> </w:t>
      </w:r>
      <w:r>
        <w:rPr/>
        <w:t>not</w:t>
      </w:r>
      <w:r>
        <w:rPr>
          <w:spacing w:val="-3"/>
        </w:rPr>
        <w:t> </w:t>
      </w:r>
      <w:r>
        <w:rPr/>
        <w:t>rely</w:t>
      </w:r>
      <w:r>
        <w:rPr>
          <w:spacing w:val="-3"/>
        </w:rPr>
        <w:t> </w:t>
      </w:r>
      <w:r>
        <w:rPr/>
        <w:t>too</w:t>
      </w:r>
      <w:r>
        <w:rPr>
          <w:spacing w:val="-6"/>
        </w:rPr>
        <w:t> </w:t>
      </w:r>
      <w:r>
        <w:rPr/>
        <w:t>much on one particular method of integration. The</w:t>
      </w:r>
      <w:r>
        <w:rPr>
          <w:spacing w:val="-2"/>
        </w:rPr>
        <w:t> </w:t>
      </w:r>
      <w:r>
        <w:rPr/>
        <w:t>latter studies have shown that the theory can certainly propose a wide array of the need based integration scenarios. Constructivism can be fruitfully used for the discursive practices of the political system, the theory can certainly tackle the problems of the value diffusion. The governance theories and the institutionalisms have a good position to grasp the structural changes of the system.</w:t>
      </w:r>
    </w:p>
    <w:p>
      <w:pPr>
        <w:pStyle w:val="BodyText"/>
        <w:spacing w:after="0" w:line="276" w:lineRule="auto"/>
        <w:sectPr>
          <w:pgSz w:w="12240" w:h="15840"/>
          <w:pgMar w:header="1046" w:footer="0" w:top="1360" w:bottom="280" w:left="720" w:right="360"/>
        </w:sectPr>
      </w:pPr>
    </w:p>
    <w:p>
      <w:pPr>
        <w:pStyle w:val="BodyText"/>
        <w:spacing w:line="276" w:lineRule="auto" w:before="276"/>
        <w:ind w:right="1914" w:firstLine="720"/>
      </w:pPr>
      <w:r>
        <w:rPr/>
        <w:t>All in all, this study has shown that the problem oriented systemic study can synthesize the theoretical tools produced in the field for better understanding the nature of the European Union.</w:t>
      </w: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spacing w:before="273"/>
        <w:ind w:left="0"/>
        <w:jc w:val="left"/>
      </w:pPr>
    </w:p>
    <w:p>
      <w:pPr>
        <w:pStyle w:val="Heading4"/>
        <w:spacing w:before="1"/>
        <w:ind w:left="979" w:firstLine="0"/>
      </w:pPr>
      <w:bookmarkStart w:name="_bookmark62" w:id="63"/>
      <w:bookmarkEnd w:id="63"/>
      <w:r>
        <w:rPr>
          <w:b w:val="0"/>
        </w:rPr>
      </w:r>
      <w:r>
        <w:rPr>
          <w:spacing w:val="-2"/>
        </w:rPr>
        <w:t>Bibliography</w:t>
      </w:r>
    </w:p>
    <w:p>
      <w:pPr>
        <w:pStyle w:val="BodyText"/>
        <w:spacing w:before="112"/>
        <w:ind w:left="0"/>
        <w:jc w:val="left"/>
        <w:rPr>
          <w:rFonts w:ascii="Georgia"/>
          <w:b/>
          <w:sz w:val="20"/>
        </w:rPr>
      </w:pPr>
      <w:r>
        <w:rPr>
          <w:rFonts w:ascii="Georgia"/>
          <w:b/>
          <w:sz w:val="20"/>
        </w:rPr>
        <mc:AlternateContent>
          <mc:Choice Requires="wps">
            <w:drawing>
              <wp:anchor distT="0" distB="0" distL="0" distR="0" allowOverlap="1" layoutInCell="1" locked="0" behindDoc="1" simplePos="0" relativeHeight="487677952">
                <wp:simplePos x="0" y="0"/>
                <wp:positionH relativeFrom="page">
                  <wp:posOffset>1078864</wp:posOffset>
                </wp:positionH>
                <wp:positionV relativeFrom="paragraph">
                  <wp:posOffset>231255</wp:posOffset>
                </wp:positionV>
                <wp:extent cx="5252085" cy="52069"/>
                <wp:effectExtent l="0" t="0" r="0" b="0"/>
                <wp:wrapTopAndBottom/>
                <wp:docPr id="218" name="Graphic 218"/>
                <wp:cNvGraphicFramePr>
                  <a:graphicFrameLocks/>
                </wp:cNvGraphicFramePr>
                <a:graphic>
                  <a:graphicData uri="http://schemas.microsoft.com/office/word/2010/wordprocessingShape">
                    <wps:wsp>
                      <wps:cNvPr id="218" name="Graphic 218"/>
                      <wps:cNvSpPr/>
                      <wps:spPr>
                        <a:xfrm>
                          <a:off x="0" y="0"/>
                          <a:ext cx="5252085" cy="52069"/>
                        </a:xfrm>
                        <a:custGeom>
                          <a:avLst/>
                          <a:gdLst/>
                          <a:ahLst/>
                          <a:cxnLst/>
                          <a:rect l="l" t="t" r="r" b="b"/>
                          <a:pathLst>
                            <a:path w="5252085" h="52069">
                              <a:moveTo>
                                <a:pt x="5252085" y="0"/>
                              </a:moveTo>
                              <a:lnTo>
                                <a:pt x="0" y="0"/>
                              </a:lnTo>
                              <a:lnTo>
                                <a:pt x="0" y="52070"/>
                              </a:lnTo>
                              <a:lnTo>
                                <a:pt x="5252085" y="52070"/>
                              </a:lnTo>
                              <a:lnTo>
                                <a:pt x="52520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949997pt;margin-top:18.209097pt;width:413.55pt;height:4.1pt;mso-position-horizontal-relative:page;mso-position-vertical-relative:paragraph;z-index:-15638528;mso-wrap-distance-left:0;mso-wrap-distance-right:0" id="docshape203" filled="true" fillcolor="#000000" stroked="false">
                <v:fill type="solid"/>
                <w10:wrap type="topAndBottom"/>
              </v:rect>
            </w:pict>
          </mc:Fallback>
        </mc:AlternateContent>
      </w:r>
    </w:p>
    <w:p>
      <w:pPr>
        <w:pStyle w:val="BodyText"/>
        <w:ind w:left="0"/>
        <w:jc w:val="left"/>
        <w:rPr>
          <w:rFonts w:ascii="Georgia"/>
          <w:b/>
          <w:sz w:val="22"/>
        </w:rPr>
      </w:pPr>
    </w:p>
    <w:p>
      <w:pPr>
        <w:pStyle w:val="BodyText"/>
        <w:spacing w:before="80"/>
        <w:ind w:left="0"/>
        <w:jc w:val="left"/>
        <w:rPr>
          <w:rFonts w:ascii="Georgia"/>
          <w:b/>
          <w:sz w:val="22"/>
        </w:rPr>
      </w:pPr>
    </w:p>
    <w:p>
      <w:pPr>
        <w:spacing w:before="0"/>
        <w:ind w:left="1700" w:right="1903" w:hanging="721"/>
        <w:jc w:val="both"/>
        <w:rPr>
          <w:rFonts w:ascii="Calibri"/>
          <w:sz w:val="22"/>
        </w:rPr>
      </w:pPr>
      <w:bookmarkStart w:name="_bookmark63" w:id="64"/>
      <w:bookmarkEnd w:id="64"/>
      <w:r>
        <w:rPr/>
      </w:r>
      <w:r>
        <w:rPr>
          <w:rFonts w:ascii="Calibri"/>
          <w:sz w:val="22"/>
        </w:rPr>
        <w:t>Aalberts, T. E. (2004). The Future of Sovereignty in Multilevel Governance Europe - A Constructivist Reading. </w:t>
      </w:r>
      <w:r>
        <w:rPr>
          <w:rFonts w:ascii="Calibri"/>
          <w:i/>
          <w:sz w:val="22"/>
        </w:rPr>
        <w:t>JCMS: Journal of Common Market Studies, 42</w:t>
      </w:r>
      <w:r>
        <w:rPr>
          <w:rFonts w:ascii="Calibri"/>
          <w:sz w:val="22"/>
        </w:rPr>
        <w:t>(1), 23-46. doi: </w:t>
      </w:r>
      <w:r>
        <w:rPr>
          <w:rFonts w:ascii="Calibri"/>
          <w:spacing w:val="-2"/>
          <w:sz w:val="22"/>
        </w:rPr>
        <w:t>10.1111/j.0021-9886.2004.00475.x</w:t>
      </w:r>
    </w:p>
    <w:p>
      <w:pPr>
        <w:spacing w:before="1"/>
        <w:ind w:left="1700" w:right="1901" w:hanging="721"/>
        <w:jc w:val="both"/>
        <w:rPr>
          <w:rFonts w:ascii="Calibri"/>
          <w:sz w:val="22"/>
        </w:rPr>
      </w:pPr>
      <w:bookmarkStart w:name="_bookmark64" w:id="65"/>
      <w:bookmarkEnd w:id="65"/>
      <w:r>
        <w:rPr/>
      </w:r>
      <w:r>
        <w:rPr>
          <w:rFonts w:ascii="Calibri"/>
          <w:sz w:val="22"/>
        </w:rPr>
        <w:t>Ackoff,</w:t>
      </w:r>
      <w:r>
        <w:rPr>
          <w:rFonts w:ascii="Calibri"/>
          <w:spacing w:val="-2"/>
          <w:sz w:val="22"/>
        </w:rPr>
        <w:t> </w:t>
      </w:r>
      <w:r>
        <w:rPr>
          <w:rFonts w:ascii="Calibri"/>
          <w:sz w:val="22"/>
        </w:rPr>
        <w:t>R. (1964). General System Theory and Systems Research:</w:t>
      </w:r>
      <w:r>
        <w:rPr>
          <w:rFonts w:ascii="Calibri"/>
          <w:spacing w:val="-1"/>
          <w:sz w:val="22"/>
        </w:rPr>
        <w:t> </w:t>
      </w:r>
      <w:r>
        <w:rPr>
          <w:rFonts w:ascii="Calibri"/>
          <w:sz w:val="22"/>
        </w:rPr>
        <w:t>Contrasting Conceptions of Systems Science In M. D. Mesarovic (Ed.), </w:t>
      </w:r>
      <w:r>
        <w:rPr>
          <w:rFonts w:ascii="Calibri"/>
          <w:i/>
          <w:sz w:val="22"/>
        </w:rPr>
        <w:t>Views on General Systems Theory </w:t>
      </w:r>
      <w:r>
        <w:rPr>
          <w:rFonts w:ascii="Calibri"/>
          <w:sz w:val="22"/>
        </w:rPr>
        <w:t>New York: John Wiley &amp; Sons,</w:t>
      </w:r>
      <w:r>
        <w:rPr>
          <w:rFonts w:ascii="Calibri"/>
          <w:spacing w:val="40"/>
          <w:sz w:val="22"/>
        </w:rPr>
        <w:t> </w:t>
      </w:r>
      <w:r>
        <w:rPr>
          <w:rFonts w:ascii="Calibri"/>
          <w:sz w:val="22"/>
        </w:rPr>
        <w:t>Inc.</w:t>
      </w:r>
    </w:p>
    <w:p>
      <w:pPr>
        <w:spacing w:before="1"/>
        <w:ind w:left="1700" w:right="1907" w:hanging="721"/>
        <w:jc w:val="both"/>
        <w:rPr>
          <w:rFonts w:ascii="Calibri"/>
          <w:sz w:val="22"/>
        </w:rPr>
      </w:pPr>
      <w:bookmarkStart w:name="_bookmark65" w:id="66"/>
      <w:bookmarkEnd w:id="66"/>
      <w:r>
        <w:rPr/>
      </w:r>
      <w:r>
        <w:rPr>
          <w:rFonts w:ascii="Calibri"/>
          <w:sz w:val="22"/>
        </w:rPr>
        <w:t>Ackoff, R. (1971). Towards a System of Systems Concepts. </w:t>
      </w:r>
      <w:r>
        <w:rPr>
          <w:rFonts w:ascii="Calibri"/>
          <w:i/>
          <w:sz w:val="22"/>
        </w:rPr>
        <w:t>Management Science, 17</w:t>
      </w:r>
      <w:r>
        <w:rPr>
          <w:rFonts w:ascii="Calibri"/>
          <w:sz w:val="22"/>
        </w:rPr>
        <w:t>(11),</w:t>
      </w:r>
      <w:r>
        <w:rPr>
          <w:rFonts w:ascii="Calibri"/>
          <w:spacing w:val="40"/>
          <w:sz w:val="22"/>
        </w:rPr>
        <w:t> </w:t>
      </w:r>
      <w:r>
        <w:rPr>
          <w:rFonts w:ascii="Calibri"/>
          <w:sz w:val="22"/>
        </w:rPr>
        <w:t>661-671. doi: doi:10.1287/mnsc.17.11.661</w:t>
      </w:r>
    </w:p>
    <w:p>
      <w:pPr>
        <w:spacing w:before="0"/>
        <w:ind w:left="979" w:right="0" w:firstLine="0"/>
        <w:jc w:val="both"/>
        <w:rPr>
          <w:rFonts w:ascii="Calibri"/>
          <w:sz w:val="22"/>
        </w:rPr>
      </w:pPr>
      <w:bookmarkStart w:name="_bookmark66" w:id="67"/>
      <w:bookmarkEnd w:id="67"/>
      <w:r>
        <w:rPr/>
      </w:r>
      <w:r>
        <w:rPr>
          <w:rFonts w:ascii="Calibri"/>
          <w:sz w:val="22"/>
        </w:rPr>
        <w:t>Ackoff,</w:t>
      </w:r>
      <w:r>
        <w:rPr>
          <w:rFonts w:ascii="Calibri"/>
          <w:spacing w:val="-10"/>
          <w:sz w:val="22"/>
        </w:rPr>
        <w:t> </w:t>
      </w:r>
      <w:r>
        <w:rPr>
          <w:rFonts w:ascii="Calibri"/>
          <w:sz w:val="22"/>
        </w:rPr>
        <w:t>R.</w:t>
      </w:r>
      <w:r>
        <w:rPr>
          <w:rFonts w:ascii="Calibri"/>
          <w:spacing w:val="-4"/>
          <w:sz w:val="22"/>
        </w:rPr>
        <w:t> </w:t>
      </w:r>
      <w:r>
        <w:rPr>
          <w:rFonts w:ascii="Calibri"/>
          <w:sz w:val="22"/>
        </w:rPr>
        <w:t>(1999a).</w:t>
      </w:r>
      <w:r>
        <w:rPr>
          <w:rFonts w:ascii="Calibri"/>
          <w:spacing w:val="-4"/>
          <w:sz w:val="22"/>
        </w:rPr>
        <w:t> </w:t>
      </w:r>
      <w:r>
        <w:rPr>
          <w:rFonts w:ascii="Calibri"/>
          <w:sz w:val="22"/>
        </w:rPr>
        <w:t>A</w:t>
      </w:r>
      <w:r>
        <w:rPr>
          <w:rFonts w:ascii="Calibri"/>
          <w:spacing w:val="-4"/>
          <w:sz w:val="22"/>
        </w:rPr>
        <w:t> </w:t>
      </w:r>
      <w:r>
        <w:rPr>
          <w:rFonts w:ascii="Calibri"/>
          <w:sz w:val="22"/>
        </w:rPr>
        <w:t>Lifetime</w:t>
      </w:r>
      <w:r>
        <w:rPr>
          <w:rFonts w:ascii="Calibri"/>
          <w:spacing w:val="-5"/>
          <w:sz w:val="22"/>
        </w:rPr>
        <w:t> </w:t>
      </w:r>
      <w:r>
        <w:rPr>
          <w:rFonts w:ascii="Calibri"/>
          <w:sz w:val="22"/>
        </w:rPr>
        <w:t>of</w:t>
      </w:r>
      <w:r>
        <w:rPr>
          <w:rFonts w:ascii="Calibri"/>
          <w:spacing w:val="-5"/>
          <w:sz w:val="22"/>
        </w:rPr>
        <w:t> </w:t>
      </w:r>
      <w:r>
        <w:rPr>
          <w:rFonts w:ascii="Calibri"/>
          <w:sz w:val="22"/>
        </w:rPr>
        <w:t>Systems</w:t>
      </w:r>
      <w:r>
        <w:rPr>
          <w:rFonts w:ascii="Calibri"/>
          <w:spacing w:val="-5"/>
          <w:sz w:val="22"/>
        </w:rPr>
        <w:t> </w:t>
      </w:r>
      <w:r>
        <w:rPr>
          <w:rFonts w:ascii="Calibri"/>
          <w:sz w:val="22"/>
        </w:rPr>
        <w:t>Thinking.</w:t>
      </w:r>
      <w:r>
        <w:rPr>
          <w:rFonts w:ascii="Calibri"/>
          <w:spacing w:val="2"/>
          <w:sz w:val="22"/>
        </w:rPr>
        <w:t> </w:t>
      </w:r>
      <w:r>
        <w:rPr>
          <w:rFonts w:ascii="Calibri"/>
          <w:i/>
          <w:sz w:val="22"/>
        </w:rPr>
        <w:t>The</w:t>
      </w:r>
      <w:r>
        <w:rPr>
          <w:rFonts w:ascii="Calibri"/>
          <w:i/>
          <w:spacing w:val="-10"/>
          <w:sz w:val="22"/>
        </w:rPr>
        <w:t> </w:t>
      </w:r>
      <w:r>
        <w:rPr>
          <w:rFonts w:ascii="Calibri"/>
          <w:i/>
          <w:sz w:val="22"/>
        </w:rPr>
        <w:t>Systems</w:t>
      </w:r>
      <w:r>
        <w:rPr>
          <w:rFonts w:ascii="Calibri"/>
          <w:i/>
          <w:spacing w:val="-5"/>
          <w:sz w:val="22"/>
        </w:rPr>
        <w:t> </w:t>
      </w:r>
      <w:r>
        <w:rPr>
          <w:rFonts w:ascii="Calibri"/>
          <w:i/>
          <w:sz w:val="22"/>
        </w:rPr>
        <w:t>Thinker,</w:t>
      </w:r>
      <w:r>
        <w:rPr>
          <w:rFonts w:ascii="Calibri"/>
          <w:i/>
          <w:spacing w:val="-7"/>
          <w:sz w:val="22"/>
        </w:rPr>
        <w:t> </w:t>
      </w:r>
      <w:r>
        <w:rPr>
          <w:rFonts w:ascii="Calibri"/>
          <w:i/>
          <w:spacing w:val="-2"/>
          <w:sz w:val="22"/>
        </w:rPr>
        <w:t>10</w:t>
      </w:r>
      <w:r>
        <w:rPr>
          <w:rFonts w:ascii="Calibri"/>
          <w:spacing w:val="-2"/>
          <w:sz w:val="22"/>
        </w:rPr>
        <w:t>(5).</w:t>
      </w:r>
    </w:p>
    <w:p>
      <w:pPr>
        <w:spacing w:before="1"/>
        <w:ind w:left="1700" w:right="1911" w:hanging="721"/>
        <w:jc w:val="both"/>
        <w:rPr>
          <w:rFonts w:ascii="Calibri"/>
          <w:sz w:val="22"/>
        </w:rPr>
      </w:pPr>
      <w:bookmarkStart w:name="_bookmark67" w:id="68"/>
      <w:bookmarkEnd w:id="68"/>
      <w:r>
        <w:rPr/>
      </w:r>
      <w:r>
        <w:rPr>
          <w:rFonts w:ascii="Calibri"/>
          <w:sz w:val="22"/>
        </w:rPr>
        <w:t>Ackoff, R. (1999b). </w:t>
      </w:r>
      <w:r>
        <w:rPr>
          <w:rFonts w:ascii="Calibri"/>
          <w:i/>
          <w:sz w:val="22"/>
        </w:rPr>
        <w:t>Re-creating the corporation : a design of organizations for the 21st century</w:t>
      </w:r>
      <w:r>
        <w:rPr>
          <w:rFonts w:ascii="Calibri"/>
          <w:sz w:val="22"/>
        </w:rPr>
        <w:t>. New York: Oxford University Press.</w:t>
      </w:r>
    </w:p>
    <w:p>
      <w:pPr>
        <w:spacing w:before="1"/>
        <w:ind w:left="1700" w:right="1907" w:hanging="721"/>
        <w:jc w:val="both"/>
        <w:rPr>
          <w:rFonts w:ascii="Calibri"/>
          <w:sz w:val="22"/>
        </w:rPr>
      </w:pPr>
      <w:bookmarkStart w:name="_bookmark68" w:id="69"/>
      <w:bookmarkEnd w:id="69"/>
      <w:r>
        <w:rPr/>
      </w:r>
      <w:r>
        <w:rPr>
          <w:rFonts w:ascii="Calibri"/>
          <w:sz w:val="22"/>
        </w:rPr>
        <w:t>Adler, E. (2002). Constructivism and International Relations. Handbook of International Relations. SAGE Publications Ltd. In W. Carlsnaes, T. Risse &amp; B. Simmons (Eds.), </w:t>
      </w:r>
      <w:r>
        <w:rPr>
          <w:rFonts w:ascii="Calibri"/>
          <w:i/>
          <w:sz w:val="22"/>
        </w:rPr>
        <w:t>Handbook of international relations </w:t>
      </w:r>
      <w:r>
        <w:rPr>
          <w:rFonts w:ascii="Calibri"/>
          <w:sz w:val="22"/>
        </w:rPr>
        <w:t>(pp. 95-119). London: SAGE Publications Ltd.</w:t>
      </w:r>
    </w:p>
    <w:p>
      <w:pPr>
        <w:spacing w:before="0"/>
        <w:ind w:left="1700" w:right="1913" w:hanging="721"/>
        <w:jc w:val="both"/>
        <w:rPr>
          <w:rFonts w:ascii="Calibri"/>
          <w:sz w:val="22"/>
        </w:rPr>
      </w:pPr>
      <w:bookmarkStart w:name="_bookmark69" w:id="70"/>
      <w:bookmarkEnd w:id="70"/>
      <w:r>
        <w:rPr/>
      </w:r>
      <w:r>
        <w:rPr>
          <w:rFonts w:ascii="Calibri"/>
          <w:sz w:val="22"/>
        </w:rPr>
        <w:t>AETR</w:t>
      </w:r>
      <w:r>
        <w:rPr>
          <w:rFonts w:ascii="Calibri"/>
          <w:spacing w:val="-5"/>
          <w:sz w:val="22"/>
        </w:rPr>
        <w:t> </w:t>
      </w:r>
      <w:r>
        <w:rPr>
          <w:rFonts w:ascii="Calibri"/>
          <w:sz w:val="22"/>
        </w:rPr>
        <w:t>case</w:t>
      </w:r>
      <w:r>
        <w:rPr>
          <w:rFonts w:ascii="Calibri"/>
          <w:spacing w:val="-5"/>
          <w:sz w:val="22"/>
        </w:rPr>
        <w:t> </w:t>
      </w:r>
      <w:r>
        <w:rPr>
          <w:rFonts w:ascii="Calibri"/>
          <w:sz w:val="22"/>
        </w:rPr>
        <w:t>the European</w:t>
      </w:r>
      <w:r>
        <w:rPr>
          <w:rFonts w:ascii="Calibri"/>
          <w:spacing w:val="-6"/>
          <w:sz w:val="22"/>
        </w:rPr>
        <w:t> </w:t>
      </w:r>
      <w:r>
        <w:rPr>
          <w:rFonts w:ascii="Calibri"/>
          <w:sz w:val="22"/>
        </w:rPr>
        <w:t>Court</w:t>
      </w:r>
      <w:r>
        <w:rPr>
          <w:rFonts w:ascii="Calibri"/>
          <w:spacing w:val="-3"/>
          <w:sz w:val="22"/>
        </w:rPr>
        <w:t> </w:t>
      </w:r>
      <w:r>
        <w:rPr>
          <w:rFonts w:ascii="Calibri"/>
          <w:sz w:val="22"/>
        </w:rPr>
        <w:t>of</w:t>
      </w:r>
      <w:r>
        <w:rPr>
          <w:rFonts w:ascii="Calibri"/>
          <w:spacing w:val="-5"/>
          <w:sz w:val="22"/>
        </w:rPr>
        <w:t> </w:t>
      </w:r>
      <w:r>
        <w:rPr>
          <w:rFonts w:ascii="Calibri"/>
          <w:sz w:val="22"/>
        </w:rPr>
        <w:t>Justice,</w:t>
      </w:r>
      <w:r>
        <w:rPr>
          <w:rFonts w:ascii="Calibri"/>
          <w:spacing w:val="-3"/>
          <w:sz w:val="22"/>
        </w:rPr>
        <w:t> </w:t>
      </w:r>
      <w:r>
        <w:rPr>
          <w:rFonts w:ascii="Calibri"/>
          <w:sz w:val="22"/>
        </w:rPr>
        <w:t>The European</w:t>
      </w:r>
      <w:r>
        <w:rPr>
          <w:rFonts w:ascii="Calibri"/>
          <w:spacing w:val="-6"/>
          <w:sz w:val="22"/>
        </w:rPr>
        <w:t> </w:t>
      </w:r>
      <w:r>
        <w:rPr>
          <w:rFonts w:ascii="Calibri"/>
          <w:sz w:val="22"/>
        </w:rPr>
        <w:t>Union,</w:t>
      </w:r>
      <w:r>
        <w:rPr>
          <w:rFonts w:ascii="Calibri"/>
          <w:spacing w:val="-8"/>
          <w:sz w:val="22"/>
        </w:rPr>
        <w:t> </w:t>
      </w:r>
      <w:r>
        <w:rPr>
          <w:rFonts w:ascii="Calibri"/>
          <w:sz w:val="22"/>
        </w:rPr>
        <w:t>Document</w:t>
      </w:r>
      <w:r>
        <w:rPr>
          <w:rFonts w:ascii="Calibri"/>
          <w:spacing w:val="-3"/>
          <w:sz w:val="22"/>
        </w:rPr>
        <w:t> </w:t>
      </w:r>
      <w:r>
        <w:rPr>
          <w:rFonts w:ascii="Calibri"/>
          <w:sz w:val="22"/>
        </w:rPr>
        <w:t>61970CJ0022</w:t>
      </w:r>
      <w:r>
        <w:rPr>
          <w:rFonts w:ascii="Calibri"/>
          <w:spacing w:val="-7"/>
          <w:sz w:val="22"/>
        </w:rPr>
        <w:t> </w:t>
      </w:r>
      <w:r>
        <w:rPr>
          <w:rFonts w:ascii="Calibri"/>
          <w:sz w:val="22"/>
        </w:rPr>
        <w:t>Stat. </w:t>
      </w:r>
      <w:r>
        <w:rPr>
          <w:rFonts w:ascii="Calibri"/>
          <w:spacing w:val="-2"/>
          <w:sz w:val="22"/>
        </w:rPr>
        <w:t>(1971).</w:t>
      </w:r>
    </w:p>
    <w:p>
      <w:pPr>
        <w:spacing w:line="240" w:lineRule="auto" w:before="0"/>
        <w:ind w:left="1700" w:right="1905" w:hanging="721"/>
        <w:jc w:val="both"/>
        <w:rPr>
          <w:rFonts w:ascii="Calibri"/>
          <w:sz w:val="22"/>
        </w:rPr>
      </w:pPr>
      <w:bookmarkStart w:name="_bookmark70" w:id="71"/>
      <w:bookmarkEnd w:id="71"/>
      <w:r>
        <w:rPr/>
      </w:r>
      <w:r>
        <w:rPr>
          <w:rFonts w:ascii="Calibri"/>
          <w:sz w:val="22"/>
        </w:rPr>
        <w:t>Aghion,</w:t>
      </w:r>
      <w:r>
        <w:rPr>
          <w:rFonts w:ascii="Calibri"/>
          <w:spacing w:val="-6"/>
          <w:sz w:val="22"/>
        </w:rPr>
        <w:t> </w:t>
      </w:r>
      <w:r>
        <w:rPr>
          <w:rFonts w:ascii="Calibri"/>
          <w:sz w:val="22"/>
        </w:rPr>
        <w:t>P.,</w:t>
      </w:r>
      <w:r>
        <w:rPr>
          <w:rFonts w:ascii="Calibri"/>
          <w:spacing w:val="-6"/>
          <w:sz w:val="22"/>
        </w:rPr>
        <w:t> </w:t>
      </w:r>
      <w:r>
        <w:rPr>
          <w:rFonts w:ascii="Calibri"/>
          <w:sz w:val="22"/>
        </w:rPr>
        <w:t>&amp;</w:t>
      </w:r>
      <w:r>
        <w:rPr>
          <w:rFonts w:ascii="Calibri"/>
          <w:spacing w:val="-5"/>
          <w:sz w:val="22"/>
        </w:rPr>
        <w:t> </w:t>
      </w:r>
      <w:r>
        <w:rPr>
          <w:rFonts w:ascii="Calibri"/>
          <w:sz w:val="22"/>
        </w:rPr>
        <w:t>Tirole,</w:t>
      </w:r>
      <w:r>
        <w:rPr>
          <w:rFonts w:ascii="Calibri"/>
          <w:spacing w:val="-5"/>
          <w:sz w:val="22"/>
        </w:rPr>
        <w:t> </w:t>
      </w:r>
      <w:r>
        <w:rPr>
          <w:rFonts w:ascii="Calibri"/>
          <w:sz w:val="22"/>
        </w:rPr>
        <w:t>J.</w:t>
      </w:r>
      <w:r>
        <w:rPr>
          <w:rFonts w:ascii="Calibri"/>
          <w:spacing w:val="-2"/>
          <w:sz w:val="22"/>
        </w:rPr>
        <w:t> </w:t>
      </w:r>
      <w:r>
        <w:rPr>
          <w:rFonts w:ascii="Calibri"/>
          <w:sz w:val="22"/>
        </w:rPr>
        <w:t>(1997).</w:t>
      </w:r>
      <w:r>
        <w:rPr>
          <w:rFonts w:ascii="Calibri"/>
          <w:spacing w:val="-2"/>
          <w:sz w:val="22"/>
        </w:rPr>
        <w:t> </w:t>
      </w:r>
      <w:r>
        <w:rPr>
          <w:rFonts w:ascii="Calibri"/>
          <w:sz w:val="22"/>
        </w:rPr>
        <w:t>Formal</w:t>
      </w:r>
      <w:r>
        <w:rPr>
          <w:rFonts w:ascii="Calibri"/>
          <w:spacing w:val="-2"/>
          <w:sz w:val="22"/>
        </w:rPr>
        <w:t> </w:t>
      </w:r>
      <w:r>
        <w:rPr>
          <w:rFonts w:ascii="Calibri"/>
          <w:sz w:val="22"/>
        </w:rPr>
        <w:t>and</w:t>
      </w:r>
      <w:r>
        <w:rPr>
          <w:rFonts w:ascii="Calibri"/>
          <w:spacing w:val="-4"/>
          <w:sz w:val="22"/>
        </w:rPr>
        <w:t> </w:t>
      </w:r>
      <w:r>
        <w:rPr>
          <w:rFonts w:ascii="Calibri"/>
          <w:sz w:val="22"/>
        </w:rPr>
        <w:t>Real</w:t>
      </w:r>
      <w:r>
        <w:rPr>
          <w:rFonts w:ascii="Calibri"/>
          <w:spacing w:val="-1"/>
          <w:sz w:val="22"/>
        </w:rPr>
        <w:t> </w:t>
      </w:r>
      <w:r>
        <w:rPr>
          <w:rFonts w:ascii="Calibri"/>
          <w:sz w:val="22"/>
        </w:rPr>
        <w:t>Authority</w:t>
      </w:r>
      <w:r>
        <w:rPr>
          <w:rFonts w:ascii="Calibri"/>
          <w:spacing w:val="-3"/>
          <w:sz w:val="22"/>
        </w:rPr>
        <w:t> </w:t>
      </w:r>
      <w:r>
        <w:rPr>
          <w:rFonts w:ascii="Calibri"/>
          <w:sz w:val="22"/>
        </w:rPr>
        <w:t>in</w:t>
      </w:r>
      <w:r>
        <w:rPr>
          <w:rFonts w:ascii="Calibri"/>
          <w:spacing w:val="-4"/>
          <w:sz w:val="22"/>
        </w:rPr>
        <w:t> </w:t>
      </w:r>
      <w:r>
        <w:rPr>
          <w:rFonts w:ascii="Calibri"/>
          <w:sz w:val="22"/>
        </w:rPr>
        <w:t>Organizations. </w:t>
      </w:r>
      <w:r>
        <w:rPr>
          <w:rFonts w:ascii="Calibri"/>
          <w:i/>
          <w:sz w:val="22"/>
        </w:rPr>
        <w:t>Journal</w:t>
      </w:r>
      <w:r>
        <w:rPr>
          <w:rFonts w:ascii="Calibri"/>
          <w:i/>
          <w:spacing w:val="-1"/>
          <w:sz w:val="22"/>
        </w:rPr>
        <w:t> </w:t>
      </w:r>
      <w:r>
        <w:rPr>
          <w:rFonts w:ascii="Calibri"/>
          <w:i/>
          <w:sz w:val="22"/>
        </w:rPr>
        <w:t>of</w:t>
      </w:r>
      <w:r>
        <w:rPr>
          <w:rFonts w:ascii="Calibri"/>
          <w:i/>
          <w:spacing w:val="-3"/>
          <w:sz w:val="22"/>
        </w:rPr>
        <w:t> </w:t>
      </w:r>
      <w:r>
        <w:rPr>
          <w:rFonts w:ascii="Calibri"/>
          <w:i/>
          <w:sz w:val="22"/>
        </w:rPr>
        <w:t>Political Economy, 105</w:t>
      </w:r>
      <w:r>
        <w:rPr>
          <w:rFonts w:ascii="Calibri"/>
          <w:sz w:val="22"/>
        </w:rPr>
        <w:t>(1), 1-29. doi: 10.2307/2138869</w:t>
      </w:r>
    </w:p>
    <w:p>
      <w:pPr>
        <w:spacing w:before="0"/>
        <w:ind w:left="979" w:right="0" w:firstLine="0"/>
        <w:jc w:val="both"/>
        <w:rPr>
          <w:rFonts w:ascii="Calibri"/>
          <w:sz w:val="22"/>
        </w:rPr>
      </w:pPr>
      <w:bookmarkStart w:name="_bookmark71" w:id="72"/>
      <w:bookmarkEnd w:id="72"/>
      <w:r>
        <w:rPr/>
      </w:r>
      <w:r>
        <w:rPr>
          <w:rFonts w:ascii="Calibri"/>
          <w:sz w:val="22"/>
        </w:rPr>
        <w:t>Ahlers,</w:t>
      </w:r>
      <w:r>
        <w:rPr>
          <w:rFonts w:ascii="Calibri"/>
          <w:spacing w:val="-6"/>
          <w:sz w:val="22"/>
        </w:rPr>
        <w:t> </w:t>
      </w:r>
      <w:r>
        <w:rPr>
          <w:rFonts w:ascii="Calibri"/>
          <w:sz w:val="22"/>
        </w:rPr>
        <w:t>C.</w:t>
      </w:r>
      <w:r>
        <w:rPr>
          <w:rFonts w:ascii="Calibri"/>
          <w:spacing w:val="-4"/>
          <w:sz w:val="22"/>
        </w:rPr>
        <w:t> </w:t>
      </w:r>
      <w:r>
        <w:rPr>
          <w:rFonts w:ascii="Calibri"/>
          <w:sz w:val="22"/>
        </w:rPr>
        <w:t>(1954).</w:t>
      </w:r>
      <w:r>
        <w:rPr>
          <w:rFonts w:ascii="Calibri"/>
          <w:spacing w:val="-2"/>
          <w:sz w:val="22"/>
        </w:rPr>
        <w:t> </w:t>
      </w:r>
      <w:r>
        <w:rPr>
          <w:rFonts w:ascii="Calibri"/>
          <w:sz w:val="22"/>
        </w:rPr>
        <w:t>The</w:t>
      </w:r>
      <w:r>
        <w:rPr>
          <w:rFonts w:ascii="Calibri"/>
          <w:spacing w:val="-4"/>
          <w:sz w:val="22"/>
        </w:rPr>
        <w:t> </w:t>
      </w:r>
      <w:r>
        <w:rPr>
          <w:rFonts w:ascii="Calibri"/>
          <w:sz w:val="22"/>
        </w:rPr>
        <w:t>lights</w:t>
      </w:r>
      <w:r>
        <w:rPr>
          <w:rFonts w:ascii="Calibri"/>
          <w:spacing w:val="-4"/>
          <w:sz w:val="22"/>
        </w:rPr>
        <w:t> </w:t>
      </w:r>
      <w:r>
        <w:rPr>
          <w:rFonts w:ascii="Calibri"/>
          <w:sz w:val="22"/>
        </w:rPr>
        <w:t>are</w:t>
      </w:r>
      <w:r>
        <w:rPr>
          <w:rFonts w:ascii="Calibri"/>
          <w:spacing w:val="-4"/>
          <w:sz w:val="22"/>
        </w:rPr>
        <w:t> </w:t>
      </w:r>
      <w:r>
        <w:rPr>
          <w:rFonts w:ascii="Calibri"/>
          <w:sz w:val="22"/>
        </w:rPr>
        <w:t>going</w:t>
      </w:r>
      <w:r>
        <w:rPr>
          <w:rFonts w:ascii="Calibri"/>
          <w:spacing w:val="-3"/>
          <w:sz w:val="22"/>
        </w:rPr>
        <w:t> </w:t>
      </w:r>
      <w:r>
        <w:rPr>
          <w:rFonts w:ascii="Calibri"/>
          <w:sz w:val="22"/>
        </w:rPr>
        <w:t>out</w:t>
      </w:r>
      <w:r>
        <w:rPr>
          <w:rFonts w:ascii="Calibri"/>
          <w:spacing w:val="-6"/>
          <w:sz w:val="22"/>
        </w:rPr>
        <w:t> </w:t>
      </w:r>
      <w:r>
        <w:rPr>
          <w:rFonts w:ascii="Calibri"/>
          <w:sz w:val="22"/>
        </w:rPr>
        <w:t>on the</w:t>
      </w:r>
      <w:r>
        <w:rPr>
          <w:rFonts w:ascii="Calibri"/>
          <w:spacing w:val="-4"/>
          <w:sz w:val="22"/>
        </w:rPr>
        <w:t> </w:t>
      </w:r>
      <w:r>
        <w:rPr>
          <w:rFonts w:ascii="Calibri"/>
          <w:sz w:val="22"/>
        </w:rPr>
        <w:t>EDC,</w:t>
      </w:r>
      <w:r>
        <w:rPr>
          <w:rFonts w:ascii="Calibri"/>
          <w:spacing w:val="4"/>
          <w:sz w:val="22"/>
        </w:rPr>
        <w:t> </w:t>
      </w:r>
      <w:r>
        <w:rPr>
          <w:rFonts w:ascii="Calibri"/>
          <w:i/>
          <w:sz w:val="22"/>
        </w:rPr>
        <w:t>Die</w:t>
      </w:r>
      <w:r>
        <w:rPr>
          <w:rFonts w:ascii="Calibri"/>
          <w:i/>
          <w:spacing w:val="-4"/>
          <w:sz w:val="22"/>
        </w:rPr>
        <w:t> </w:t>
      </w:r>
      <w:r>
        <w:rPr>
          <w:rFonts w:ascii="Calibri"/>
          <w:i/>
          <w:spacing w:val="-2"/>
          <w:sz w:val="22"/>
        </w:rPr>
        <w:t>Welt</w:t>
      </w:r>
      <w:r>
        <w:rPr>
          <w:rFonts w:ascii="Calibri"/>
          <w:spacing w:val="-2"/>
          <w:sz w:val="22"/>
        </w:rPr>
        <w:t>.</w:t>
      </w:r>
    </w:p>
    <w:p>
      <w:pPr>
        <w:spacing w:before="0"/>
        <w:ind w:left="1700" w:right="1903" w:hanging="721"/>
        <w:jc w:val="both"/>
        <w:rPr>
          <w:rFonts w:ascii="Calibri"/>
          <w:sz w:val="22"/>
        </w:rPr>
      </w:pPr>
      <w:bookmarkStart w:name="_bookmark72" w:id="73"/>
      <w:bookmarkEnd w:id="73"/>
      <w:r>
        <w:rPr/>
      </w:r>
      <w:r>
        <w:rPr>
          <w:rFonts w:ascii="Calibri"/>
          <w:sz w:val="22"/>
        </w:rPr>
        <w:t>Akerlof, G. A. (1970). The Market for "Lemons": Quality Uncertainty and the Market Mechanism. </w:t>
      </w:r>
      <w:r>
        <w:rPr>
          <w:rFonts w:ascii="Calibri"/>
          <w:i/>
          <w:sz w:val="22"/>
        </w:rPr>
        <w:t>The Quarterly Journal of Economics, 84</w:t>
      </w:r>
      <w:r>
        <w:rPr>
          <w:rFonts w:ascii="Calibri"/>
          <w:sz w:val="22"/>
        </w:rPr>
        <w:t>(3), 488-500. doi: </w:t>
      </w:r>
      <w:r>
        <w:rPr>
          <w:rFonts w:ascii="Calibri"/>
          <w:spacing w:val="-2"/>
          <w:sz w:val="22"/>
        </w:rPr>
        <w:t>10.2307/1879431</w:t>
      </w:r>
    </w:p>
    <w:p>
      <w:pPr>
        <w:spacing w:after="0"/>
        <w:jc w:val="both"/>
        <w:rPr>
          <w:rFonts w:asci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979" w:right="0" w:firstLine="0"/>
        <w:jc w:val="both"/>
        <w:rPr>
          <w:rFonts w:ascii="Calibri"/>
          <w:sz w:val="22"/>
        </w:rPr>
      </w:pPr>
      <w:bookmarkStart w:name="_bookmark73" w:id="74"/>
      <w:bookmarkEnd w:id="74"/>
      <w:r>
        <w:rPr/>
      </w:r>
      <w:r>
        <w:rPr>
          <w:rFonts w:ascii="Calibri"/>
          <w:sz w:val="22"/>
        </w:rPr>
        <w:t>Allison,</w:t>
      </w:r>
      <w:r>
        <w:rPr>
          <w:rFonts w:ascii="Calibri"/>
          <w:spacing w:val="-9"/>
          <w:sz w:val="22"/>
        </w:rPr>
        <w:t> </w:t>
      </w:r>
      <w:r>
        <w:rPr>
          <w:rFonts w:ascii="Calibri"/>
          <w:sz w:val="22"/>
        </w:rPr>
        <w:t>G.</w:t>
      </w:r>
      <w:r>
        <w:rPr>
          <w:rFonts w:ascii="Calibri"/>
          <w:spacing w:val="-5"/>
          <w:sz w:val="22"/>
        </w:rPr>
        <w:t> </w:t>
      </w:r>
      <w:r>
        <w:rPr>
          <w:rFonts w:ascii="Calibri"/>
          <w:sz w:val="22"/>
        </w:rPr>
        <w:t>(1971).</w:t>
      </w:r>
      <w:r>
        <w:rPr>
          <w:rFonts w:ascii="Calibri"/>
          <w:spacing w:val="-2"/>
          <w:sz w:val="22"/>
        </w:rPr>
        <w:t> </w:t>
      </w:r>
      <w:r>
        <w:rPr>
          <w:rFonts w:ascii="Calibri"/>
          <w:i/>
          <w:sz w:val="22"/>
        </w:rPr>
        <w:t>Essence</w:t>
      </w:r>
      <w:r>
        <w:rPr>
          <w:rFonts w:ascii="Calibri"/>
          <w:i/>
          <w:spacing w:val="-7"/>
          <w:sz w:val="22"/>
        </w:rPr>
        <w:t> </w:t>
      </w:r>
      <w:r>
        <w:rPr>
          <w:rFonts w:ascii="Calibri"/>
          <w:i/>
          <w:sz w:val="22"/>
        </w:rPr>
        <w:t>of</w:t>
      </w:r>
      <w:r>
        <w:rPr>
          <w:rFonts w:ascii="Calibri"/>
          <w:i/>
          <w:spacing w:val="-6"/>
          <w:sz w:val="22"/>
        </w:rPr>
        <w:t> </w:t>
      </w:r>
      <w:r>
        <w:rPr>
          <w:rFonts w:ascii="Calibri"/>
          <w:i/>
          <w:sz w:val="22"/>
        </w:rPr>
        <w:t>Decision:</w:t>
      </w:r>
      <w:r>
        <w:rPr>
          <w:rFonts w:ascii="Calibri"/>
          <w:i/>
          <w:spacing w:val="-8"/>
          <w:sz w:val="22"/>
        </w:rPr>
        <w:t> </w:t>
      </w:r>
      <w:r>
        <w:rPr>
          <w:rFonts w:ascii="Calibri"/>
          <w:i/>
          <w:sz w:val="22"/>
        </w:rPr>
        <w:t>Explaining</w:t>
      </w:r>
      <w:r>
        <w:rPr>
          <w:rFonts w:ascii="Calibri"/>
          <w:i/>
          <w:spacing w:val="-5"/>
          <w:sz w:val="22"/>
        </w:rPr>
        <w:t> </w:t>
      </w:r>
      <w:r>
        <w:rPr>
          <w:rFonts w:ascii="Calibri"/>
          <w:i/>
          <w:sz w:val="22"/>
        </w:rPr>
        <w:t>the</w:t>
      </w:r>
      <w:r>
        <w:rPr>
          <w:rFonts w:ascii="Calibri"/>
          <w:i/>
          <w:spacing w:val="-6"/>
          <w:sz w:val="22"/>
        </w:rPr>
        <w:t> </w:t>
      </w:r>
      <w:r>
        <w:rPr>
          <w:rFonts w:ascii="Calibri"/>
          <w:i/>
          <w:sz w:val="22"/>
        </w:rPr>
        <w:t>Cuban</w:t>
      </w:r>
      <w:r>
        <w:rPr>
          <w:rFonts w:ascii="Calibri"/>
          <w:i/>
          <w:spacing w:val="-5"/>
          <w:sz w:val="22"/>
        </w:rPr>
        <w:t> </w:t>
      </w:r>
      <w:r>
        <w:rPr>
          <w:rFonts w:ascii="Calibri"/>
          <w:i/>
          <w:sz w:val="22"/>
        </w:rPr>
        <w:t>Missile</w:t>
      </w:r>
      <w:r>
        <w:rPr>
          <w:rFonts w:ascii="Calibri"/>
          <w:i/>
          <w:spacing w:val="-6"/>
          <w:sz w:val="22"/>
        </w:rPr>
        <w:t> </w:t>
      </w:r>
      <w:r>
        <w:rPr>
          <w:rFonts w:ascii="Calibri"/>
          <w:i/>
          <w:sz w:val="22"/>
        </w:rPr>
        <w:t>Crisis</w:t>
      </w:r>
      <w:r>
        <w:rPr>
          <w:rFonts w:ascii="Calibri"/>
          <w:sz w:val="22"/>
        </w:rPr>
        <w:t>.</w:t>
      </w:r>
      <w:r>
        <w:rPr>
          <w:rFonts w:ascii="Calibri"/>
          <w:spacing w:val="-5"/>
          <w:sz w:val="22"/>
        </w:rPr>
        <w:t> </w:t>
      </w:r>
      <w:r>
        <w:rPr>
          <w:rFonts w:ascii="Calibri"/>
          <w:sz w:val="22"/>
        </w:rPr>
        <w:t>Boston,</w:t>
      </w:r>
      <w:r>
        <w:rPr>
          <w:rFonts w:ascii="Calibri"/>
          <w:spacing w:val="-8"/>
          <w:sz w:val="22"/>
        </w:rPr>
        <w:t> </w:t>
      </w:r>
      <w:r>
        <w:rPr>
          <w:rFonts w:ascii="Calibri"/>
          <w:spacing w:val="-5"/>
          <w:sz w:val="22"/>
        </w:rPr>
        <w:t>MA.</w:t>
      </w:r>
    </w:p>
    <w:p>
      <w:pPr>
        <w:spacing w:before="0"/>
        <w:ind w:left="1700" w:right="1910" w:hanging="721"/>
        <w:jc w:val="both"/>
        <w:rPr>
          <w:rFonts w:ascii="Calibri"/>
          <w:sz w:val="22"/>
        </w:rPr>
      </w:pPr>
      <w:bookmarkStart w:name="_bookmark74" w:id="75"/>
      <w:bookmarkEnd w:id="75"/>
      <w:r>
        <w:rPr/>
      </w:r>
      <w:r>
        <w:rPr>
          <w:rFonts w:ascii="Calibri"/>
          <w:sz w:val="22"/>
        </w:rPr>
        <w:t>Alter, K. (1998). Who are the 'masters of the Treaty'? European governments and the European Court of Justice. </w:t>
      </w:r>
      <w:r>
        <w:rPr>
          <w:rFonts w:ascii="Calibri"/>
          <w:i/>
          <w:sz w:val="22"/>
        </w:rPr>
        <w:t>International Organization, 51</w:t>
      </w:r>
      <w:r>
        <w:rPr>
          <w:rFonts w:ascii="Calibri"/>
          <w:sz w:val="22"/>
        </w:rPr>
        <w:t>(1), 121-147.</w:t>
      </w:r>
    </w:p>
    <w:p>
      <w:pPr>
        <w:spacing w:line="237" w:lineRule="auto" w:before="4"/>
        <w:ind w:left="1700" w:right="1906" w:hanging="721"/>
        <w:jc w:val="both"/>
        <w:rPr>
          <w:rFonts w:ascii="Calibri"/>
          <w:sz w:val="22"/>
        </w:rPr>
      </w:pPr>
      <w:bookmarkStart w:name="_bookmark75" w:id="76"/>
      <w:bookmarkEnd w:id="76"/>
      <w:r>
        <w:rPr/>
      </w:r>
      <w:r>
        <w:rPr>
          <w:rFonts w:ascii="Calibri"/>
          <w:sz w:val="22"/>
        </w:rPr>
        <w:t>Alter, K. (1999). </w:t>
      </w:r>
      <w:r>
        <w:rPr>
          <w:rFonts w:ascii="Calibri"/>
          <w:i/>
          <w:sz w:val="22"/>
        </w:rPr>
        <w:t>Where, when and how does the european legal system influence domestic policy? </w:t>
      </w:r>
      <w:r>
        <w:rPr>
          <w:rFonts w:ascii="Calibri"/>
          <w:sz w:val="22"/>
        </w:rPr>
        <w:t>Paper presented at the European Community Studies Association Pittsburgh </w:t>
      </w:r>
      <w:r>
        <w:rPr>
          <w:rFonts w:ascii="Calibri"/>
          <w:spacing w:val="-4"/>
          <w:sz w:val="22"/>
        </w:rPr>
        <w:t>PA.</w:t>
      </w:r>
    </w:p>
    <w:p>
      <w:pPr>
        <w:spacing w:before="2"/>
        <w:ind w:left="1700" w:right="1904" w:hanging="721"/>
        <w:jc w:val="both"/>
        <w:rPr>
          <w:rFonts w:ascii="Calibri"/>
          <w:sz w:val="22"/>
        </w:rPr>
      </w:pPr>
      <w:bookmarkStart w:name="_bookmark76" w:id="77"/>
      <w:bookmarkEnd w:id="77"/>
      <w:r>
        <w:rPr/>
      </w:r>
      <w:r>
        <w:rPr>
          <w:rFonts w:ascii="Calibri"/>
          <w:sz w:val="22"/>
        </w:rPr>
        <w:t>Alter, K. (2009a). </w:t>
      </w:r>
      <w:r>
        <w:rPr>
          <w:rFonts w:ascii="Calibri"/>
          <w:i/>
          <w:sz w:val="22"/>
        </w:rPr>
        <w:t>The European Court's Political Power : Selected Essays</w:t>
      </w:r>
      <w:r>
        <w:rPr>
          <w:rFonts w:ascii="Calibri"/>
          <w:sz w:val="22"/>
        </w:rPr>
        <w:t>. Oxford: Oxford University Press.</w:t>
      </w:r>
    </w:p>
    <w:p>
      <w:pPr>
        <w:spacing w:before="0"/>
        <w:ind w:left="1700" w:right="1902" w:hanging="721"/>
        <w:jc w:val="both"/>
        <w:rPr>
          <w:rFonts w:ascii="Calibri"/>
          <w:sz w:val="22"/>
        </w:rPr>
      </w:pPr>
      <w:r>
        <w:rPr>
          <w:rFonts w:ascii="Calibri"/>
          <w:sz w:val="22"/>
        </w:rPr>
        <w:t>Alter, K. (2009b). The European Court's Political Power Across Time and Space. </w:t>
      </w:r>
      <w:r>
        <w:rPr>
          <w:rFonts w:ascii="Calibri"/>
          <w:i/>
          <w:sz w:val="22"/>
        </w:rPr>
        <w:t>Faculty Working Papers, 175</w:t>
      </w:r>
      <w:r>
        <w:rPr>
          <w:rFonts w:ascii="Calibri"/>
          <w:sz w:val="22"/>
        </w:rPr>
        <w:t>.</w:t>
      </w:r>
    </w:p>
    <w:p>
      <w:pPr>
        <w:spacing w:before="1"/>
        <w:ind w:left="1700" w:right="1905" w:hanging="721"/>
        <w:jc w:val="both"/>
        <w:rPr>
          <w:rFonts w:ascii="Calibri"/>
          <w:sz w:val="22"/>
        </w:rPr>
      </w:pPr>
      <w:bookmarkStart w:name="_bookmark77" w:id="78"/>
      <w:bookmarkEnd w:id="78"/>
      <w:r>
        <w:rPr/>
      </w:r>
      <w:r>
        <w:rPr>
          <w:rFonts w:ascii="Calibri"/>
          <w:sz w:val="22"/>
        </w:rPr>
        <w:t>Alter, K., &amp; Meunier, S. (1994). Judicial Politics in the European Community: European Integration and the Pathbreaking Cassis de Dijon Decision. </w:t>
      </w:r>
      <w:r>
        <w:rPr>
          <w:rFonts w:ascii="Calibri"/>
          <w:i/>
          <w:sz w:val="22"/>
        </w:rPr>
        <w:t>Comparative Political Studies, 26</w:t>
      </w:r>
      <w:r>
        <w:rPr>
          <w:rFonts w:ascii="Calibri"/>
          <w:sz w:val="22"/>
        </w:rPr>
        <w:t>(4), 535-561. doi: 10.1177/0010414094026004007</w:t>
      </w:r>
    </w:p>
    <w:p>
      <w:pPr>
        <w:spacing w:before="1"/>
        <w:ind w:left="1700" w:right="1899" w:hanging="721"/>
        <w:jc w:val="both"/>
        <w:rPr>
          <w:rFonts w:ascii="Calibri" w:hAnsi="Calibri"/>
          <w:sz w:val="22"/>
        </w:rPr>
      </w:pPr>
      <w:bookmarkStart w:name="_bookmark78" w:id="79"/>
      <w:bookmarkEnd w:id="79"/>
      <w:r>
        <w:rPr/>
      </w:r>
      <w:r>
        <w:rPr>
          <w:rFonts w:ascii="Calibri" w:hAnsi="Calibri"/>
          <w:sz w:val="22"/>
        </w:rPr>
        <w:t>Andersen, N. Å. (2001). The Undecidability of Decision. </w:t>
      </w:r>
      <w:r>
        <w:rPr>
          <w:rFonts w:ascii="Calibri" w:hAnsi="Calibri"/>
          <w:i/>
          <w:sz w:val="22"/>
        </w:rPr>
        <w:t>Copenhagen Business School, Department of Management, Politics &amp; Philosophy</w:t>
      </w:r>
      <w:r>
        <w:rPr>
          <w:rFonts w:ascii="Calibri" w:hAnsi="Calibri"/>
          <w:sz w:val="22"/>
        </w:rPr>
        <w:t>.</w:t>
      </w:r>
    </w:p>
    <w:p>
      <w:pPr>
        <w:spacing w:before="1"/>
        <w:ind w:left="1700" w:right="1909" w:hanging="721"/>
        <w:jc w:val="both"/>
        <w:rPr>
          <w:rFonts w:ascii="Calibri"/>
          <w:sz w:val="22"/>
        </w:rPr>
      </w:pPr>
      <w:bookmarkStart w:name="_bookmark79" w:id="80"/>
      <w:bookmarkEnd w:id="80"/>
      <w:r>
        <w:rPr/>
      </w:r>
      <w:r>
        <w:rPr>
          <w:rFonts w:ascii="Calibri"/>
          <w:sz w:val="22"/>
        </w:rPr>
        <w:t>Anderson, R. E., Carter, I. E., &amp; Lowe, G. (1999).</w:t>
      </w:r>
      <w:r>
        <w:rPr>
          <w:rFonts w:ascii="Calibri"/>
          <w:spacing w:val="13"/>
          <w:sz w:val="22"/>
        </w:rPr>
        <w:t> </w:t>
      </w:r>
      <w:r>
        <w:rPr>
          <w:rFonts w:ascii="Calibri"/>
          <w:i/>
          <w:sz w:val="22"/>
        </w:rPr>
        <w:t>Human behavior in the social environment : a social systems approach </w:t>
      </w:r>
      <w:r>
        <w:rPr>
          <w:rFonts w:ascii="Calibri"/>
          <w:sz w:val="22"/>
        </w:rPr>
        <w:t>(5th ed.). New York: De Gruyter.</w:t>
      </w:r>
    </w:p>
    <w:p>
      <w:pPr>
        <w:spacing w:before="0"/>
        <w:ind w:left="1700" w:right="1901" w:hanging="721"/>
        <w:jc w:val="both"/>
        <w:rPr>
          <w:rFonts w:ascii="Calibri" w:hAnsi="Calibri"/>
          <w:sz w:val="22"/>
        </w:rPr>
      </w:pPr>
      <w:bookmarkStart w:name="_bookmark80" w:id="81"/>
      <w:bookmarkEnd w:id="81"/>
      <w:r>
        <w:rPr/>
      </w:r>
      <w:r>
        <w:rPr>
          <w:rFonts w:ascii="Calibri" w:hAnsi="Calibri"/>
          <w:sz w:val="22"/>
        </w:rPr>
        <w:t>Argyris, C., &amp; Schön, D. A. (1978). </w:t>
      </w:r>
      <w:r>
        <w:rPr>
          <w:rFonts w:ascii="Calibri" w:hAnsi="Calibri"/>
          <w:i/>
          <w:sz w:val="22"/>
        </w:rPr>
        <w:t>Organizational learning</w:t>
      </w:r>
      <w:r>
        <w:rPr>
          <w:rFonts w:ascii="Calibri" w:hAnsi="Calibri"/>
          <w:sz w:val="22"/>
        </w:rPr>
        <w:t>. Reading, Mass.: Addison-Wesley Pub. Co.</w:t>
      </w:r>
    </w:p>
    <w:p>
      <w:pPr>
        <w:spacing w:before="1"/>
        <w:ind w:left="979" w:right="0" w:firstLine="0"/>
        <w:jc w:val="both"/>
        <w:rPr>
          <w:rFonts w:ascii="Calibri"/>
          <w:sz w:val="22"/>
        </w:rPr>
      </w:pPr>
      <w:bookmarkStart w:name="_bookmark81" w:id="82"/>
      <w:bookmarkEnd w:id="82"/>
      <w:r>
        <w:rPr/>
      </w:r>
      <w:r>
        <w:rPr>
          <w:rFonts w:ascii="Calibri"/>
          <w:sz w:val="22"/>
        </w:rPr>
        <w:t>Ashby,</w:t>
      </w:r>
      <w:r>
        <w:rPr>
          <w:rFonts w:ascii="Calibri"/>
          <w:spacing w:val="-11"/>
          <w:sz w:val="22"/>
        </w:rPr>
        <w:t> </w:t>
      </w:r>
      <w:r>
        <w:rPr>
          <w:rFonts w:ascii="Calibri"/>
          <w:sz w:val="22"/>
        </w:rPr>
        <w:t>W.</w:t>
      </w:r>
      <w:r>
        <w:rPr>
          <w:rFonts w:ascii="Calibri"/>
          <w:spacing w:val="-4"/>
          <w:sz w:val="22"/>
        </w:rPr>
        <w:t> </w:t>
      </w:r>
      <w:r>
        <w:rPr>
          <w:rFonts w:ascii="Calibri"/>
          <w:sz w:val="22"/>
        </w:rPr>
        <w:t>R.</w:t>
      </w:r>
      <w:r>
        <w:rPr>
          <w:rFonts w:ascii="Calibri"/>
          <w:spacing w:val="-5"/>
          <w:sz w:val="22"/>
        </w:rPr>
        <w:t> </w:t>
      </w:r>
      <w:r>
        <w:rPr>
          <w:rFonts w:ascii="Calibri"/>
          <w:sz w:val="22"/>
        </w:rPr>
        <w:t>(1956).</w:t>
      </w:r>
      <w:r>
        <w:rPr>
          <w:rFonts w:ascii="Calibri"/>
          <w:spacing w:val="-2"/>
          <w:sz w:val="22"/>
        </w:rPr>
        <w:t> </w:t>
      </w:r>
      <w:r>
        <w:rPr>
          <w:rFonts w:ascii="Calibri"/>
          <w:i/>
          <w:sz w:val="22"/>
        </w:rPr>
        <w:t>An</w:t>
      </w:r>
      <w:r>
        <w:rPr>
          <w:rFonts w:ascii="Calibri"/>
          <w:i/>
          <w:spacing w:val="-5"/>
          <w:sz w:val="22"/>
        </w:rPr>
        <w:t> </w:t>
      </w:r>
      <w:r>
        <w:rPr>
          <w:rFonts w:ascii="Calibri"/>
          <w:i/>
          <w:sz w:val="22"/>
        </w:rPr>
        <w:t>introduction</w:t>
      </w:r>
      <w:r>
        <w:rPr>
          <w:rFonts w:ascii="Calibri"/>
          <w:i/>
          <w:spacing w:val="-5"/>
          <w:sz w:val="22"/>
        </w:rPr>
        <w:t> </w:t>
      </w:r>
      <w:r>
        <w:rPr>
          <w:rFonts w:ascii="Calibri"/>
          <w:i/>
          <w:sz w:val="22"/>
        </w:rPr>
        <w:t>to</w:t>
      </w:r>
      <w:r>
        <w:rPr>
          <w:rFonts w:ascii="Calibri"/>
          <w:i/>
          <w:spacing w:val="-5"/>
          <w:sz w:val="22"/>
        </w:rPr>
        <w:t> </w:t>
      </w:r>
      <w:r>
        <w:rPr>
          <w:rFonts w:ascii="Calibri"/>
          <w:i/>
          <w:sz w:val="22"/>
        </w:rPr>
        <w:t>cybernetics</w:t>
      </w:r>
      <w:r>
        <w:rPr>
          <w:rFonts w:ascii="Calibri"/>
          <w:sz w:val="22"/>
        </w:rPr>
        <w:t>.</w:t>
      </w:r>
      <w:r>
        <w:rPr>
          <w:rFonts w:ascii="Calibri"/>
          <w:spacing w:val="-5"/>
          <w:sz w:val="22"/>
        </w:rPr>
        <w:t> </w:t>
      </w:r>
      <w:r>
        <w:rPr>
          <w:rFonts w:ascii="Calibri"/>
          <w:sz w:val="22"/>
        </w:rPr>
        <w:t>New</w:t>
      </w:r>
      <w:r>
        <w:rPr>
          <w:rFonts w:ascii="Calibri"/>
          <w:spacing w:val="-6"/>
          <w:sz w:val="22"/>
        </w:rPr>
        <w:t> </w:t>
      </w:r>
      <w:r>
        <w:rPr>
          <w:rFonts w:ascii="Calibri"/>
          <w:sz w:val="22"/>
        </w:rPr>
        <w:t>York,:</w:t>
      </w:r>
      <w:r>
        <w:rPr>
          <w:rFonts w:ascii="Calibri"/>
          <w:spacing w:val="-8"/>
          <w:sz w:val="22"/>
        </w:rPr>
        <w:t> </w:t>
      </w:r>
      <w:r>
        <w:rPr>
          <w:rFonts w:ascii="Calibri"/>
          <w:sz w:val="22"/>
        </w:rPr>
        <w:t>J.</w:t>
      </w:r>
      <w:r>
        <w:rPr>
          <w:rFonts w:ascii="Calibri"/>
          <w:spacing w:val="-4"/>
          <w:sz w:val="22"/>
        </w:rPr>
        <w:t> </w:t>
      </w:r>
      <w:r>
        <w:rPr>
          <w:rFonts w:ascii="Calibri"/>
          <w:spacing w:val="-2"/>
          <w:sz w:val="22"/>
        </w:rPr>
        <w:t>Wiley.</w:t>
      </w:r>
    </w:p>
    <w:p>
      <w:pPr>
        <w:spacing w:before="0"/>
        <w:ind w:left="979" w:right="1913" w:firstLine="0"/>
        <w:jc w:val="both"/>
        <w:rPr>
          <w:rFonts w:ascii="Calibri"/>
          <w:sz w:val="22"/>
        </w:rPr>
      </w:pPr>
      <w:bookmarkStart w:name="_bookmark82" w:id="83"/>
      <w:bookmarkEnd w:id="83"/>
      <w:r>
        <w:rPr/>
      </w:r>
      <w:r>
        <w:rPr>
          <w:rFonts w:ascii="Calibri"/>
          <w:sz w:val="22"/>
        </w:rPr>
        <w:t>Ashby, W. R. (1960). </w:t>
      </w:r>
      <w:r>
        <w:rPr>
          <w:rFonts w:ascii="Calibri"/>
          <w:i/>
          <w:sz w:val="22"/>
        </w:rPr>
        <w:t>Design for a brain; the origin of adaptive behavior</w:t>
      </w:r>
      <w:r>
        <w:rPr>
          <w:rFonts w:ascii="Calibri"/>
          <w:sz w:val="22"/>
        </w:rPr>
        <w:t>. New York: Wiley. </w:t>
      </w:r>
      <w:bookmarkStart w:name="_bookmark83" w:id="84"/>
      <w:bookmarkEnd w:id="84"/>
      <w:r>
        <w:rPr>
          <w:rFonts w:ascii="Calibri"/>
          <w:sz w:val="22"/>
        </w:rPr>
        <w:t>A</w:t>
      </w:r>
      <w:r>
        <w:rPr>
          <w:rFonts w:ascii="Calibri"/>
          <w:sz w:val="22"/>
        </w:rPr>
        <w:t>ugustyn,</w:t>
      </w:r>
      <w:r>
        <w:rPr>
          <w:rFonts w:ascii="Calibri"/>
          <w:spacing w:val="14"/>
          <w:sz w:val="22"/>
        </w:rPr>
        <w:t> </w:t>
      </w:r>
      <w:r>
        <w:rPr>
          <w:rFonts w:ascii="Calibri"/>
          <w:sz w:val="22"/>
        </w:rPr>
        <w:t>M.,</w:t>
      </w:r>
      <w:r>
        <w:rPr>
          <w:rFonts w:ascii="Calibri"/>
          <w:spacing w:val="15"/>
          <w:sz w:val="22"/>
        </w:rPr>
        <w:t> </w:t>
      </w:r>
      <w:r>
        <w:rPr>
          <w:rFonts w:ascii="Calibri"/>
          <w:sz w:val="22"/>
        </w:rPr>
        <w:t>&amp;</w:t>
      </w:r>
      <w:r>
        <w:rPr>
          <w:rFonts w:ascii="Calibri"/>
          <w:spacing w:val="16"/>
          <w:sz w:val="22"/>
        </w:rPr>
        <w:t> </w:t>
      </w:r>
      <w:r>
        <w:rPr>
          <w:rFonts w:ascii="Calibri"/>
          <w:sz w:val="22"/>
        </w:rPr>
        <w:t>Monda,</w:t>
      </w:r>
      <w:r>
        <w:rPr>
          <w:rFonts w:ascii="Calibri"/>
          <w:spacing w:val="15"/>
          <w:sz w:val="22"/>
        </w:rPr>
        <w:t> </w:t>
      </w:r>
      <w:r>
        <w:rPr>
          <w:rFonts w:ascii="Calibri"/>
          <w:sz w:val="22"/>
        </w:rPr>
        <w:t>C.</w:t>
      </w:r>
      <w:r>
        <w:rPr>
          <w:rFonts w:ascii="Calibri"/>
          <w:spacing w:val="19"/>
          <w:sz w:val="22"/>
        </w:rPr>
        <w:t> </w:t>
      </w:r>
      <w:r>
        <w:rPr>
          <w:rFonts w:ascii="Calibri"/>
          <w:sz w:val="22"/>
        </w:rPr>
        <w:t>(2011).</w:t>
      </w:r>
      <w:r>
        <w:rPr>
          <w:rFonts w:ascii="Calibri"/>
          <w:spacing w:val="15"/>
          <w:sz w:val="22"/>
        </w:rPr>
        <w:t> </w:t>
      </w:r>
      <w:r>
        <w:rPr>
          <w:rFonts w:ascii="Calibri"/>
          <w:sz w:val="22"/>
        </w:rPr>
        <w:t>Transparency</w:t>
      </w:r>
      <w:r>
        <w:rPr>
          <w:rFonts w:ascii="Calibri"/>
          <w:spacing w:val="17"/>
          <w:sz w:val="22"/>
        </w:rPr>
        <w:t> </w:t>
      </w:r>
      <w:r>
        <w:rPr>
          <w:rFonts w:ascii="Calibri"/>
          <w:sz w:val="22"/>
        </w:rPr>
        <w:t>and</w:t>
      </w:r>
      <w:r>
        <w:rPr>
          <w:rFonts w:ascii="Calibri"/>
          <w:spacing w:val="12"/>
          <w:sz w:val="22"/>
        </w:rPr>
        <w:t> </w:t>
      </w:r>
      <w:r>
        <w:rPr>
          <w:rFonts w:ascii="Calibri"/>
          <w:sz w:val="22"/>
        </w:rPr>
        <w:t>Access</w:t>
      </w:r>
      <w:r>
        <w:rPr>
          <w:rFonts w:ascii="Calibri"/>
          <w:spacing w:val="18"/>
          <w:sz w:val="22"/>
        </w:rPr>
        <w:t> </w:t>
      </w:r>
      <w:r>
        <w:rPr>
          <w:rFonts w:ascii="Calibri"/>
          <w:sz w:val="22"/>
        </w:rPr>
        <w:t>to</w:t>
      </w:r>
      <w:r>
        <w:rPr>
          <w:rFonts w:ascii="Calibri"/>
          <w:spacing w:val="16"/>
          <w:sz w:val="22"/>
        </w:rPr>
        <w:t> </w:t>
      </w:r>
      <w:r>
        <w:rPr>
          <w:rFonts w:ascii="Calibri"/>
          <w:sz w:val="22"/>
        </w:rPr>
        <w:t>Documents</w:t>
      </w:r>
      <w:r>
        <w:rPr>
          <w:rFonts w:ascii="Calibri"/>
          <w:spacing w:val="18"/>
          <w:sz w:val="22"/>
        </w:rPr>
        <w:t> </w:t>
      </w:r>
      <w:r>
        <w:rPr>
          <w:rFonts w:ascii="Calibri"/>
          <w:sz w:val="22"/>
        </w:rPr>
        <w:t>in</w:t>
      </w:r>
      <w:r>
        <w:rPr>
          <w:rFonts w:ascii="Calibri"/>
          <w:spacing w:val="12"/>
          <w:sz w:val="22"/>
        </w:rPr>
        <w:t> </w:t>
      </w:r>
      <w:r>
        <w:rPr>
          <w:rFonts w:ascii="Calibri"/>
          <w:sz w:val="22"/>
        </w:rPr>
        <w:t>the</w:t>
      </w:r>
      <w:r>
        <w:rPr>
          <w:rFonts w:ascii="Calibri"/>
          <w:spacing w:val="17"/>
          <w:sz w:val="22"/>
        </w:rPr>
        <w:t> </w:t>
      </w:r>
      <w:r>
        <w:rPr>
          <w:rFonts w:ascii="Calibri"/>
          <w:sz w:val="22"/>
        </w:rPr>
        <w:t>EU:</w:t>
      </w:r>
      <w:r>
        <w:rPr>
          <w:rFonts w:ascii="Calibri"/>
          <w:spacing w:val="12"/>
          <w:sz w:val="22"/>
        </w:rPr>
        <w:t> </w:t>
      </w:r>
      <w:r>
        <w:rPr>
          <w:rFonts w:ascii="Calibri"/>
          <w:spacing w:val="-5"/>
          <w:sz w:val="22"/>
        </w:rPr>
        <w:t>Ten</w:t>
      </w:r>
    </w:p>
    <w:p>
      <w:pPr>
        <w:spacing w:before="1"/>
        <w:ind w:left="1700" w:right="0" w:firstLine="0"/>
        <w:jc w:val="both"/>
        <w:rPr>
          <w:rFonts w:ascii="Calibri"/>
          <w:sz w:val="22"/>
        </w:rPr>
      </w:pPr>
      <w:r>
        <w:rPr>
          <w:rFonts w:ascii="Calibri"/>
          <w:sz w:val="22"/>
        </w:rPr>
        <w:t>Years</w:t>
      </w:r>
      <w:r>
        <w:rPr>
          <w:rFonts w:ascii="Calibri"/>
          <w:spacing w:val="-9"/>
          <w:sz w:val="22"/>
        </w:rPr>
        <w:t> </w:t>
      </w:r>
      <w:r>
        <w:rPr>
          <w:rFonts w:ascii="Calibri"/>
          <w:sz w:val="22"/>
        </w:rPr>
        <w:t>on</w:t>
      </w:r>
      <w:r>
        <w:rPr>
          <w:rFonts w:ascii="Calibri"/>
          <w:spacing w:val="-7"/>
          <w:sz w:val="22"/>
        </w:rPr>
        <w:t> </w:t>
      </w:r>
      <w:r>
        <w:rPr>
          <w:rFonts w:ascii="Calibri"/>
          <w:sz w:val="22"/>
        </w:rPr>
        <w:t>from</w:t>
      </w:r>
      <w:r>
        <w:rPr>
          <w:rFonts w:ascii="Calibri"/>
          <w:spacing w:val="-5"/>
          <w:sz w:val="22"/>
        </w:rPr>
        <w:t> </w:t>
      </w:r>
      <w:r>
        <w:rPr>
          <w:rFonts w:ascii="Calibri"/>
          <w:sz w:val="22"/>
        </w:rPr>
        <w:t>the</w:t>
      </w:r>
      <w:r>
        <w:rPr>
          <w:rFonts w:ascii="Calibri"/>
          <w:spacing w:val="-1"/>
          <w:sz w:val="22"/>
        </w:rPr>
        <w:t> </w:t>
      </w:r>
      <w:r>
        <w:rPr>
          <w:rFonts w:ascii="Calibri"/>
          <w:sz w:val="22"/>
        </w:rPr>
        <w:t>Adoption</w:t>
      </w:r>
      <w:r>
        <w:rPr>
          <w:rFonts w:ascii="Calibri"/>
          <w:spacing w:val="-7"/>
          <w:sz w:val="22"/>
        </w:rPr>
        <w:t> </w:t>
      </w:r>
      <w:r>
        <w:rPr>
          <w:rFonts w:ascii="Calibri"/>
          <w:sz w:val="22"/>
        </w:rPr>
        <w:t>of</w:t>
      </w:r>
      <w:r>
        <w:rPr>
          <w:rFonts w:ascii="Calibri"/>
          <w:spacing w:val="-6"/>
          <w:sz w:val="22"/>
        </w:rPr>
        <w:t> </w:t>
      </w:r>
      <w:r>
        <w:rPr>
          <w:rFonts w:ascii="Calibri"/>
          <w:sz w:val="22"/>
        </w:rPr>
        <w:t>Regulation</w:t>
      </w:r>
      <w:r>
        <w:rPr>
          <w:rFonts w:ascii="Calibri"/>
          <w:spacing w:val="-7"/>
          <w:sz w:val="22"/>
        </w:rPr>
        <w:t> </w:t>
      </w:r>
      <w:r>
        <w:rPr>
          <w:rFonts w:ascii="Calibri"/>
          <w:sz w:val="22"/>
        </w:rPr>
        <w:t>1049/2001.</w:t>
      </w:r>
      <w:r>
        <w:rPr>
          <w:rFonts w:ascii="Calibri"/>
          <w:spacing w:val="3"/>
          <w:sz w:val="22"/>
        </w:rPr>
        <w:t> </w:t>
      </w:r>
      <w:r>
        <w:rPr>
          <w:rFonts w:ascii="Calibri"/>
          <w:i/>
          <w:sz w:val="22"/>
        </w:rPr>
        <w:t>EIPA</w:t>
      </w:r>
      <w:r>
        <w:rPr>
          <w:rFonts w:ascii="Calibri"/>
          <w:i/>
          <w:spacing w:val="-5"/>
          <w:sz w:val="22"/>
        </w:rPr>
        <w:t> </w:t>
      </w:r>
      <w:r>
        <w:rPr>
          <w:rFonts w:ascii="Calibri"/>
          <w:i/>
          <w:spacing w:val="-2"/>
          <w:sz w:val="22"/>
        </w:rPr>
        <w:t>Maastricht</w:t>
      </w:r>
      <w:r>
        <w:rPr>
          <w:rFonts w:ascii="Calibri"/>
          <w:spacing w:val="-2"/>
          <w:sz w:val="22"/>
        </w:rPr>
        <w:t>.</w:t>
      </w:r>
    </w:p>
    <w:p>
      <w:pPr>
        <w:spacing w:line="266" w:lineRule="exact" w:before="0"/>
        <w:ind w:left="979" w:right="0" w:firstLine="0"/>
        <w:jc w:val="both"/>
        <w:rPr>
          <w:rFonts w:ascii="Calibri" w:hAnsi="Calibri"/>
          <w:sz w:val="22"/>
        </w:rPr>
      </w:pPr>
      <w:bookmarkStart w:name="_bookmark84" w:id="85"/>
      <w:bookmarkEnd w:id="85"/>
      <w:r>
        <w:rPr/>
      </w:r>
      <w:r>
        <w:rPr>
          <w:rFonts w:ascii="Calibri" w:hAnsi="Calibri"/>
          <w:sz w:val="22"/>
        </w:rPr>
        <w:t>Bahr,</w:t>
      </w:r>
      <w:r>
        <w:rPr>
          <w:rFonts w:ascii="Calibri" w:hAnsi="Calibri"/>
          <w:spacing w:val="13"/>
          <w:sz w:val="22"/>
        </w:rPr>
        <w:t> </w:t>
      </w:r>
      <w:r>
        <w:rPr>
          <w:rFonts w:ascii="Calibri" w:hAnsi="Calibri"/>
          <w:sz w:val="22"/>
        </w:rPr>
        <w:t>E.</w:t>
      </w:r>
      <w:r>
        <w:rPr>
          <w:rFonts w:ascii="Calibri" w:hAnsi="Calibri"/>
          <w:spacing w:val="20"/>
          <w:sz w:val="22"/>
        </w:rPr>
        <w:t> </w:t>
      </w:r>
      <w:r>
        <w:rPr>
          <w:rFonts w:ascii="Calibri" w:hAnsi="Calibri"/>
          <w:sz w:val="22"/>
        </w:rPr>
        <w:t>(2006).</w:t>
      </w:r>
      <w:r>
        <w:rPr>
          <w:rFonts w:ascii="Calibri" w:hAnsi="Calibri"/>
          <w:spacing w:val="20"/>
          <w:sz w:val="22"/>
        </w:rPr>
        <w:t> </w:t>
      </w:r>
      <w:r>
        <w:rPr>
          <w:rFonts w:ascii="Calibri" w:hAnsi="Calibri"/>
          <w:sz w:val="22"/>
        </w:rPr>
        <w:t>the</w:t>
      </w:r>
      <w:r>
        <w:rPr>
          <w:rFonts w:ascii="Calibri" w:hAnsi="Calibri"/>
          <w:spacing w:val="22"/>
          <w:sz w:val="22"/>
        </w:rPr>
        <w:t> </w:t>
      </w:r>
      <w:r>
        <w:rPr>
          <w:rFonts w:ascii="Calibri" w:hAnsi="Calibri"/>
          <w:sz w:val="22"/>
        </w:rPr>
        <w:t>collapse</w:t>
      </w:r>
      <w:r>
        <w:rPr>
          <w:rFonts w:ascii="Calibri" w:hAnsi="Calibri"/>
          <w:spacing w:val="19"/>
          <w:sz w:val="22"/>
        </w:rPr>
        <w:t> </w:t>
      </w:r>
      <w:r>
        <w:rPr>
          <w:rFonts w:ascii="Calibri" w:hAnsi="Calibri"/>
          <w:sz w:val="22"/>
        </w:rPr>
        <w:t>of</w:t>
      </w:r>
      <w:r>
        <w:rPr>
          <w:rFonts w:ascii="Calibri" w:hAnsi="Calibri"/>
          <w:spacing w:val="17"/>
          <w:sz w:val="22"/>
        </w:rPr>
        <w:t> </w:t>
      </w:r>
      <w:r>
        <w:rPr>
          <w:rFonts w:ascii="Calibri" w:hAnsi="Calibri"/>
          <w:sz w:val="22"/>
        </w:rPr>
        <w:t>the</w:t>
      </w:r>
      <w:r>
        <w:rPr>
          <w:rFonts w:ascii="Calibri" w:hAnsi="Calibri"/>
          <w:spacing w:val="23"/>
          <w:sz w:val="22"/>
        </w:rPr>
        <w:t> </w:t>
      </w:r>
      <w:r>
        <w:rPr>
          <w:rFonts w:ascii="Calibri" w:hAnsi="Calibri"/>
          <w:sz w:val="22"/>
        </w:rPr>
        <w:t>European</w:t>
      </w:r>
      <w:r>
        <w:rPr>
          <w:rFonts w:ascii="Calibri" w:hAnsi="Calibri"/>
          <w:spacing w:val="22"/>
          <w:sz w:val="22"/>
        </w:rPr>
        <w:t> </w:t>
      </w:r>
      <w:r>
        <w:rPr>
          <w:rFonts w:ascii="Calibri" w:hAnsi="Calibri"/>
          <w:sz w:val="22"/>
        </w:rPr>
        <w:t>Defence</w:t>
      </w:r>
      <w:r>
        <w:rPr>
          <w:rFonts w:ascii="Calibri" w:hAnsi="Calibri"/>
          <w:spacing w:val="18"/>
          <w:sz w:val="22"/>
        </w:rPr>
        <w:t> </w:t>
      </w:r>
      <w:r>
        <w:rPr>
          <w:rFonts w:ascii="Calibri" w:hAnsi="Calibri"/>
          <w:sz w:val="22"/>
        </w:rPr>
        <w:t>Community.</w:t>
      </w:r>
      <w:r>
        <w:rPr>
          <w:rFonts w:ascii="Calibri" w:hAnsi="Calibri"/>
          <w:spacing w:val="20"/>
          <w:sz w:val="22"/>
        </w:rPr>
        <w:t> </w:t>
      </w:r>
      <w:r>
        <w:rPr>
          <w:rFonts w:ascii="Calibri" w:hAnsi="Calibri"/>
          <w:sz w:val="22"/>
        </w:rPr>
        <w:t>In</w:t>
      </w:r>
      <w:r>
        <w:rPr>
          <w:rFonts w:ascii="Calibri" w:hAnsi="Calibri"/>
          <w:spacing w:val="18"/>
          <w:sz w:val="22"/>
        </w:rPr>
        <w:t> </w:t>
      </w:r>
      <w:r>
        <w:rPr>
          <w:rFonts w:ascii="Calibri" w:hAnsi="Calibri"/>
          <w:sz w:val="22"/>
        </w:rPr>
        <w:t>J.</w:t>
      </w:r>
      <w:r>
        <w:rPr>
          <w:rFonts w:ascii="Calibri" w:hAnsi="Calibri"/>
          <w:spacing w:val="19"/>
          <w:sz w:val="22"/>
        </w:rPr>
        <w:t> </w:t>
      </w:r>
      <w:r>
        <w:rPr>
          <w:rFonts w:ascii="Calibri" w:hAnsi="Calibri"/>
          <w:sz w:val="22"/>
        </w:rPr>
        <w:t>d.</w:t>
      </w:r>
      <w:r>
        <w:rPr>
          <w:rFonts w:ascii="Calibri" w:hAnsi="Calibri"/>
          <w:spacing w:val="20"/>
          <w:sz w:val="22"/>
        </w:rPr>
        <w:t> </w:t>
      </w:r>
      <w:r>
        <w:rPr>
          <w:rFonts w:ascii="Calibri" w:hAnsi="Calibri"/>
          <w:sz w:val="22"/>
        </w:rPr>
        <w:t>Larosière</w:t>
      </w:r>
      <w:r>
        <w:rPr>
          <w:rFonts w:ascii="Calibri" w:hAnsi="Calibri"/>
          <w:spacing w:val="19"/>
          <w:sz w:val="22"/>
        </w:rPr>
        <w:t> </w:t>
      </w:r>
      <w:r>
        <w:rPr>
          <w:rFonts w:ascii="Calibri" w:hAnsi="Calibri"/>
          <w:spacing w:val="-2"/>
          <w:sz w:val="22"/>
        </w:rPr>
        <w:t>(Ed.).</w:t>
      </w:r>
    </w:p>
    <w:p>
      <w:pPr>
        <w:spacing w:line="266" w:lineRule="exact" w:before="0"/>
        <w:ind w:left="1700" w:right="0" w:firstLine="0"/>
        <w:jc w:val="left"/>
        <w:rPr>
          <w:rFonts w:ascii="Calibri"/>
          <w:sz w:val="22"/>
        </w:rPr>
      </w:pPr>
      <w:r>
        <w:rPr>
          <w:rFonts w:ascii="Calibri"/>
          <w:spacing w:val="-2"/>
          <w:sz w:val="22"/>
        </w:rPr>
        <w:t>Metz.</w:t>
      </w:r>
    </w:p>
    <w:p>
      <w:pPr>
        <w:spacing w:before="0"/>
        <w:ind w:left="1700" w:right="1909" w:hanging="721"/>
        <w:jc w:val="left"/>
        <w:rPr>
          <w:rFonts w:ascii="Calibri"/>
          <w:sz w:val="22"/>
        </w:rPr>
      </w:pPr>
      <w:bookmarkStart w:name="_bookmark85" w:id="86"/>
      <w:bookmarkEnd w:id="86"/>
      <w:r>
        <w:rPr/>
      </w:r>
      <w:r>
        <w:rPr>
          <w:rFonts w:ascii="Calibri"/>
          <w:sz w:val="22"/>
        </w:rPr>
        <w:t>Barbaresi,</w:t>
      </w:r>
      <w:r>
        <w:rPr>
          <w:rFonts w:ascii="Calibri"/>
          <w:spacing w:val="40"/>
          <w:sz w:val="22"/>
        </w:rPr>
        <w:t> </w:t>
      </w:r>
      <w:r>
        <w:rPr>
          <w:rFonts w:ascii="Calibri"/>
          <w:sz w:val="22"/>
        </w:rPr>
        <w:t>M.,</w:t>
      </w:r>
      <w:r>
        <w:rPr>
          <w:rFonts w:ascii="Calibri"/>
          <w:spacing w:val="40"/>
          <w:sz w:val="22"/>
        </w:rPr>
        <w:t> </w:t>
      </w:r>
      <w:r>
        <w:rPr>
          <w:rFonts w:ascii="Calibri"/>
          <w:sz w:val="22"/>
        </w:rPr>
        <w:t>L.</w:t>
      </w:r>
      <w:r>
        <w:rPr>
          <w:rFonts w:ascii="Calibri"/>
          <w:spacing w:val="40"/>
          <w:sz w:val="22"/>
        </w:rPr>
        <w:t> </w:t>
      </w:r>
      <w:r>
        <w:rPr>
          <w:rFonts w:ascii="Calibri"/>
          <w:sz w:val="22"/>
        </w:rPr>
        <w:t>(2004).</w:t>
      </w:r>
      <w:r>
        <w:rPr>
          <w:rFonts w:ascii="Calibri"/>
          <w:spacing w:val="40"/>
          <w:sz w:val="22"/>
        </w:rPr>
        <w:t> </w:t>
      </w:r>
      <w:r>
        <w:rPr>
          <w:rFonts w:ascii="Calibri"/>
          <w:sz w:val="22"/>
        </w:rPr>
        <w:t>A</w:t>
      </w:r>
      <w:r>
        <w:rPr>
          <w:rFonts w:ascii="Calibri"/>
          <w:spacing w:val="40"/>
          <w:sz w:val="22"/>
        </w:rPr>
        <w:t> </w:t>
      </w:r>
      <w:r>
        <w:rPr>
          <w:rFonts w:ascii="Calibri"/>
          <w:sz w:val="22"/>
        </w:rPr>
        <w:t>model</w:t>
      </w:r>
      <w:r>
        <w:rPr>
          <w:rFonts w:ascii="Calibri"/>
          <w:spacing w:val="40"/>
          <w:sz w:val="22"/>
        </w:rPr>
        <w:t> </w:t>
      </w:r>
      <w:r>
        <w:rPr>
          <w:rFonts w:ascii="Calibri"/>
          <w:sz w:val="22"/>
        </w:rPr>
        <w:t>for</w:t>
      </w:r>
      <w:r>
        <w:rPr>
          <w:rFonts w:ascii="Calibri"/>
          <w:spacing w:val="40"/>
          <w:sz w:val="22"/>
        </w:rPr>
        <w:t> </w:t>
      </w:r>
      <w:r>
        <w:rPr>
          <w:rFonts w:ascii="Calibri"/>
          <w:sz w:val="22"/>
        </w:rPr>
        <w:t>defining</w:t>
      </w:r>
      <w:r>
        <w:rPr>
          <w:rFonts w:ascii="Calibri"/>
          <w:spacing w:val="40"/>
          <w:sz w:val="22"/>
        </w:rPr>
        <w:t> </w:t>
      </w:r>
      <w:r>
        <w:rPr>
          <w:rFonts w:ascii="Calibri"/>
          <w:sz w:val="22"/>
        </w:rPr>
        <w:t>complexity</w:t>
      </w:r>
      <w:r>
        <w:rPr>
          <w:rFonts w:ascii="Calibri"/>
          <w:spacing w:val="40"/>
          <w:sz w:val="22"/>
        </w:rPr>
        <w:t> </w:t>
      </w:r>
      <w:r>
        <w:rPr>
          <w:rFonts w:ascii="Calibri"/>
          <w:sz w:val="22"/>
        </w:rPr>
        <w:t>in</w:t>
      </w:r>
      <w:r>
        <w:rPr>
          <w:rFonts w:ascii="Calibri"/>
          <w:spacing w:val="40"/>
          <w:sz w:val="22"/>
        </w:rPr>
        <w:t> </w:t>
      </w:r>
      <w:r>
        <w:rPr>
          <w:rFonts w:ascii="Calibri"/>
          <w:sz w:val="22"/>
        </w:rPr>
        <w:t>descriptive</w:t>
      </w:r>
      <w:r>
        <w:rPr>
          <w:rFonts w:ascii="Calibri"/>
          <w:spacing w:val="40"/>
          <w:sz w:val="22"/>
        </w:rPr>
        <w:t> </w:t>
      </w:r>
      <w:r>
        <w:rPr>
          <w:rFonts w:ascii="Calibri"/>
          <w:sz w:val="22"/>
        </w:rPr>
        <w:t>text</w:t>
      </w:r>
      <w:r>
        <w:rPr>
          <w:rFonts w:ascii="Calibri"/>
          <w:spacing w:val="40"/>
          <w:sz w:val="22"/>
        </w:rPr>
        <w:t> </w:t>
      </w:r>
      <w:r>
        <w:rPr>
          <w:rFonts w:ascii="Calibri"/>
          <w:sz w:val="22"/>
        </w:rPr>
        <w:t>type</w:t>
      </w:r>
      <w:r>
        <w:rPr>
          <w:rFonts w:ascii="Calibri"/>
          <w:spacing w:val="40"/>
          <w:sz w:val="22"/>
        </w:rPr>
        <w:t> </w:t>
      </w:r>
      <w:r>
        <w:rPr>
          <w:rFonts w:ascii="Calibri"/>
          <w:i/>
          <w:sz w:val="22"/>
        </w:rPr>
        <w:t>Folia Linguistica </w:t>
      </w:r>
      <w:r>
        <w:rPr>
          <w:rFonts w:ascii="Calibri"/>
          <w:sz w:val="22"/>
        </w:rPr>
        <w:t>(Vol. 38, pp. 355).</w:t>
      </w:r>
    </w:p>
    <w:p>
      <w:pPr>
        <w:spacing w:before="1"/>
        <w:ind w:left="979" w:right="0" w:firstLine="0"/>
        <w:jc w:val="left"/>
        <w:rPr>
          <w:rFonts w:ascii="Calibri"/>
          <w:sz w:val="22"/>
        </w:rPr>
      </w:pPr>
      <w:bookmarkStart w:name="_bookmark86" w:id="87"/>
      <w:bookmarkEnd w:id="87"/>
      <w:r>
        <w:rPr/>
      </w:r>
      <w:r>
        <w:rPr>
          <w:rFonts w:ascii="Calibri"/>
          <w:sz w:val="22"/>
        </w:rPr>
        <w:t>Barthes,</w:t>
      </w:r>
      <w:r>
        <w:rPr>
          <w:rFonts w:ascii="Calibri"/>
          <w:spacing w:val="-6"/>
          <w:sz w:val="22"/>
        </w:rPr>
        <w:t> </w:t>
      </w:r>
      <w:r>
        <w:rPr>
          <w:rFonts w:ascii="Calibri"/>
          <w:sz w:val="22"/>
        </w:rPr>
        <w:t>R.,</w:t>
      </w:r>
      <w:r>
        <w:rPr>
          <w:rFonts w:ascii="Calibri"/>
          <w:spacing w:val="-7"/>
          <w:sz w:val="22"/>
        </w:rPr>
        <w:t> </w:t>
      </w:r>
      <w:r>
        <w:rPr>
          <w:rFonts w:ascii="Calibri"/>
          <w:sz w:val="22"/>
        </w:rPr>
        <w:t>&amp; Heath,</w:t>
      </w:r>
      <w:r>
        <w:rPr>
          <w:rFonts w:ascii="Calibri"/>
          <w:spacing w:val="-7"/>
          <w:sz w:val="22"/>
        </w:rPr>
        <w:t> </w:t>
      </w:r>
      <w:r>
        <w:rPr>
          <w:rFonts w:ascii="Calibri"/>
          <w:sz w:val="22"/>
        </w:rPr>
        <w:t>S.</w:t>
      </w:r>
      <w:r>
        <w:rPr>
          <w:rFonts w:ascii="Calibri"/>
          <w:spacing w:val="-2"/>
          <w:sz w:val="22"/>
        </w:rPr>
        <w:t> </w:t>
      </w:r>
      <w:r>
        <w:rPr>
          <w:rFonts w:ascii="Calibri"/>
          <w:sz w:val="22"/>
        </w:rPr>
        <w:t>(1977).</w:t>
      </w:r>
      <w:r>
        <w:rPr>
          <w:rFonts w:ascii="Calibri"/>
          <w:spacing w:val="1"/>
          <w:sz w:val="22"/>
        </w:rPr>
        <w:t> </w:t>
      </w:r>
      <w:r>
        <w:rPr>
          <w:rFonts w:ascii="Calibri"/>
          <w:i/>
          <w:sz w:val="22"/>
        </w:rPr>
        <w:t>Image,</w:t>
      </w:r>
      <w:r>
        <w:rPr>
          <w:rFonts w:ascii="Calibri"/>
          <w:i/>
          <w:spacing w:val="-7"/>
          <w:sz w:val="22"/>
        </w:rPr>
        <w:t> </w:t>
      </w:r>
      <w:r>
        <w:rPr>
          <w:rFonts w:ascii="Calibri"/>
          <w:i/>
          <w:sz w:val="22"/>
        </w:rPr>
        <w:t>music,</w:t>
      </w:r>
      <w:r>
        <w:rPr>
          <w:rFonts w:ascii="Calibri"/>
          <w:i/>
          <w:spacing w:val="-6"/>
          <w:sz w:val="22"/>
        </w:rPr>
        <w:t> </w:t>
      </w:r>
      <w:r>
        <w:rPr>
          <w:rFonts w:ascii="Calibri"/>
          <w:i/>
          <w:sz w:val="22"/>
        </w:rPr>
        <w:t>text</w:t>
      </w:r>
      <w:r>
        <w:rPr>
          <w:rFonts w:ascii="Calibri"/>
          <w:sz w:val="22"/>
        </w:rPr>
        <w:t>.</w:t>
      </w:r>
      <w:r>
        <w:rPr>
          <w:rFonts w:ascii="Calibri"/>
          <w:spacing w:val="-3"/>
          <w:sz w:val="22"/>
        </w:rPr>
        <w:t> </w:t>
      </w:r>
      <w:r>
        <w:rPr>
          <w:rFonts w:ascii="Calibri"/>
          <w:sz w:val="22"/>
        </w:rPr>
        <w:t>London:</w:t>
      </w:r>
      <w:r>
        <w:rPr>
          <w:rFonts w:ascii="Calibri"/>
          <w:spacing w:val="-5"/>
          <w:sz w:val="22"/>
        </w:rPr>
        <w:t> </w:t>
      </w:r>
      <w:r>
        <w:rPr>
          <w:rFonts w:ascii="Calibri"/>
          <w:spacing w:val="-2"/>
          <w:sz w:val="22"/>
        </w:rPr>
        <w:t>Fontana.</w:t>
      </w:r>
    </w:p>
    <w:p>
      <w:pPr>
        <w:spacing w:before="1"/>
        <w:ind w:left="1700" w:right="1908" w:hanging="721"/>
        <w:jc w:val="both"/>
        <w:rPr>
          <w:rFonts w:ascii="Calibri"/>
          <w:sz w:val="22"/>
        </w:rPr>
      </w:pPr>
      <w:bookmarkStart w:name="_bookmark87" w:id="88"/>
      <w:bookmarkEnd w:id="88"/>
      <w:r>
        <w:rPr/>
      </w:r>
      <w:r>
        <w:rPr>
          <w:rFonts w:ascii="Calibri"/>
          <w:sz w:val="22"/>
        </w:rPr>
        <w:t>Baur, D., &amp; Arenas, D. (2012). The Value of Unregulated Business-NGO Interaction: A Deliberative Perspective. </w:t>
      </w:r>
      <w:r>
        <w:rPr>
          <w:rFonts w:ascii="Calibri"/>
          <w:i/>
          <w:sz w:val="22"/>
        </w:rPr>
        <w:t>Business &amp; Society</w:t>
      </w:r>
      <w:r>
        <w:rPr>
          <w:rFonts w:ascii="Calibri"/>
          <w:sz w:val="22"/>
        </w:rPr>
        <w:t>. doi: 10.1177/0007650312452868</w:t>
      </w:r>
    </w:p>
    <w:p>
      <w:pPr>
        <w:spacing w:before="0"/>
        <w:ind w:left="1700" w:right="1905" w:hanging="721"/>
        <w:jc w:val="both"/>
        <w:rPr>
          <w:rFonts w:ascii="Calibri"/>
          <w:sz w:val="22"/>
        </w:rPr>
      </w:pPr>
      <w:bookmarkStart w:name="_bookmark88" w:id="89"/>
      <w:bookmarkEnd w:id="89"/>
      <w:r>
        <w:rPr/>
      </w:r>
      <w:r>
        <w:rPr>
          <w:rFonts w:ascii="Calibri"/>
          <w:sz w:val="22"/>
        </w:rPr>
        <w:t>Beer, S. (1985). </w:t>
      </w:r>
      <w:r>
        <w:rPr>
          <w:rFonts w:ascii="Calibri"/>
          <w:i/>
          <w:sz w:val="22"/>
        </w:rPr>
        <w:t>Diagnosing the system for organizations</w:t>
      </w:r>
      <w:r>
        <w:rPr>
          <w:rFonts w:ascii="Calibri"/>
          <w:sz w:val="22"/>
        </w:rPr>
        <w:t>. Chichester West Sussex ; New</w:t>
      </w:r>
      <w:r>
        <w:rPr>
          <w:rFonts w:ascii="Calibri"/>
          <w:spacing w:val="40"/>
          <w:sz w:val="22"/>
        </w:rPr>
        <w:t> </w:t>
      </w:r>
      <w:r>
        <w:rPr>
          <w:rFonts w:ascii="Calibri"/>
          <w:sz w:val="22"/>
        </w:rPr>
        <w:t>York: Wiley.</w:t>
      </w:r>
    </w:p>
    <w:p>
      <w:pPr>
        <w:spacing w:before="0"/>
        <w:ind w:left="1700" w:right="1908" w:hanging="721"/>
        <w:jc w:val="both"/>
        <w:rPr>
          <w:rFonts w:ascii="Calibri"/>
          <w:sz w:val="22"/>
        </w:rPr>
      </w:pPr>
      <w:bookmarkStart w:name="_bookmark89" w:id="90"/>
      <w:bookmarkEnd w:id="90"/>
      <w:r>
        <w:rPr/>
      </w:r>
      <w:r>
        <w:rPr>
          <w:rFonts w:ascii="Calibri"/>
          <w:sz w:val="22"/>
        </w:rPr>
        <w:t>Beer, S. (2002). What is cybernetics? </w:t>
      </w:r>
      <w:r>
        <w:rPr>
          <w:rFonts w:ascii="Calibri"/>
          <w:i/>
          <w:sz w:val="22"/>
        </w:rPr>
        <w:t>Kybernetes, 31</w:t>
      </w:r>
      <w:r>
        <w:rPr>
          <w:rFonts w:ascii="Calibri"/>
          <w:sz w:val="22"/>
        </w:rPr>
        <w:t>(2), 209-219. doi: </w:t>
      </w:r>
      <w:r>
        <w:rPr>
          <w:rFonts w:ascii="Calibri"/>
          <w:spacing w:val="-2"/>
          <w:sz w:val="22"/>
        </w:rPr>
        <w:t>doi:10.1108/03684920210417283</w:t>
      </w:r>
    </w:p>
    <w:p>
      <w:pPr>
        <w:spacing w:before="2"/>
        <w:ind w:left="1700" w:right="1901" w:hanging="721"/>
        <w:jc w:val="both"/>
        <w:rPr>
          <w:rFonts w:ascii="Calibri"/>
          <w:sz w:val="22"/>
        </w:rPr>
      </w:pPr>
      <w:bookmarkStart w:name="_bookmark90" w:id="91"/>
      <w:bookmarkEnd w:id="91"/>
      <w:r>
        <w:rPr/>
      </w:r>
      <w:r>
        <w:rPr>
          <w:rFonts w:ascii="Calibri"/>
          <w:sz w:val="22"/>
        </w:rPr>
        <w:t>Beetz,</w:t>
      </w:r>
      <w:r>
        <w:rPr>
          <w:rFonts w:ascii="Calibri"/>
          <w:spacing w:val="-3"/>
          <w:sz w:val="22"/>
        </w:rPr>
        <w:t> </w:t>
      </w:r>
      <w:r>
        <w:rPr>
          <w:rFonts w:ascii="Calibri"/>
          <w:sz w:val="22"/>
        </w:rPr>
        <w:t>J.</w:t>
      </w:r>
      <w:r>
        <w:rPr>
          <w:rFonts w:ascii="Calibri"/>
          <w:spacing w:val="-4"/>
          <w:sz w:val="22"/>
        </w:rPr>
        <w:t> </w:t>
      </w:r>
      <w:r>
        <w:rPr>
          <w:rFonts w:ascii="Calibri"/>
          <w:sz w:val="22"/>
        </w:rPr>
        <w:t>P. (2015). Stuck on</w:t>
      </w:r>
      <w:r>
        <w:rPr>
          <w:rFonts w:ascii="Calibri"/>
          <w:spacing w:val="-1"/>
          <w:sz w:val="22"/>
        </w:rPr>
        <w:t> </w:t>
      </w:r>
      <w:r>
        <w:rPr>
          <w:rFonts w:ascii="Calibri"/>
          <w:sz w:val="22"/>
        </w:rPr>
        <w:t>the</w:t>
      </w:r>
      <w:r>
        <w:rPr>
          <w:rFonts w:ascii="Calibri"/>
          <w:spacing w:val="-4"/>
          <w:sz w:val="22"/>
        </w:rPr>
        <w:t> </w:t>
      </w:r>
      <w:r>
        <w:rPr>
          <w:rFonts w:ascii="Calibri"/>
          <w:sz w:val="22"/>
        </w:rPr>
        <w:t>Rubicon?</w:t>
      </w:r>
      <w:r>
        <w:rPr>
          <w:rFonts w:ascii="Calibri"/>
          <w:spacing w:val="-2"/>
          <w:sz w:val="22"/>
        </w:rPr>
        <w:t> </w:t>
      </w:r>
      <w:r>
        <w:rPr>
          <w:rFonts w:ascii="Calibri"/>
          <w:sz w:val="22"/>
        </w:rPr>
        <w:t>The resonance of</w:t>
      </w:r>
      <w:r>
        <w:rPr>
          <w:rFonts w:ascii="Calibri"/>
          <w:spacing w:val="-1"/>
          <w:sz w:val="22"/>
        </w:rPr>
        <w:t> </w:t>
      </w:r>
      <w:r>
        <w:rPr>
          <w:rFonts w:ascii="Calibri"/>
          <w:sz w:val="22"/>
        </w:rPr>
        <w:t>the idea</w:t>
      </w:r>
      <w:r>
        <w:rPr>
          <w:rFonts w:ascii="Calibri"/>
          <w:spacing w:val="-4"/>
          <w:sz w:val="22"/>
        </w:rPr>
        <w:t> </w:t>
      </w:r>
      <w:r>
        <w:rPr>
          <w:rFonts w:ascii="Calibri"/>
          <w:sz w:val="22"/>
        </w:rPr>
        <w:t>of</w:t>
      </w:r>
      <w:r>
        <w:rPr>
          <w:rFonts w:ascii="Calibri"/>
          <w:spacing w:val="-1"/>
          <w:sz w:val="22"/>
        </w:rPr>
        <w:t> </w:t>
      </w:r>
      <w:r>
        <w:rPr>
          <w:rFonts w:ascii="Calibri"/>
          <w:sz w:val="22"/>
        </w:rPr>
        <w:t>demoi-cracy in</w:t>
      </w:r>
      <w:r>
        <w:rPr>
          <w:rFonts w:ascii="Calibri"/>
          <w:spacing w:val="-5"/>
          <w:sz w:val="22"/>
        </w:rPr>
        <w:t> </w:t>
      </w:r>
      <w:r>
        <w:rPr>
          <w:rFonts w:ascii="Calibri"/>
          <w:sz w:val="22"/>
        </w:rPr>
        <w:t>media debates on the EU's legitimacy. </w:t>
      </w:r>
      <w:r>
        <w:rPr>
          <w:rFonts w:ascii="Calibri"/>
          <w:i/>
          <w:sz w:val="22"/>
        </w:rPr>
        <w:t>Journal of European Public Policy, 22</w:t>
      </w:r>
      <w:r>
        <w:rPr>
          <w:rFonts w:ascii="Calibri"/>
          <w:sz w:val="22"/>
        </w:rPr>
        <w:t>(1), 37-55. doi: </w:t>
      </w:r>
      <w:r>
        <w:rPr>
          <w:rFonts w:ascii="Calibri"/>
          <w:spacing w:val="-2"/>
          <w:sz w:val="22"/>
        </w:rPr>
        <w:t>10.1080/13501763.2014.881414</w:t>
      </w:r>
    </w:p>
    <w:p>
      <w:pPr>
        <w:spacing w:before="0"/>
        <w:ind w:left="979" w:right="0" w:firstLine="0"/>
        <w:jc w:val="both"/>
        <w:rPr>
          <w:rFonts w:ascii="Calibri"/>
          <w:sz w:val="22"/>
        </w:rPr>
      </w:pPr>
      <w:bookmarkStart w:name="_bookmark91" w:id="92"/>
      <w:bookmarkEnd w:id="92"/>
      <w:r>
        <w:rPr/>
      </w:r>
      <w:r>
        <w:rPr>
          <w:rFonts w:ascii="Calibri"/>
          <w:sz w:val="22"/>
        </w:rPr>
        <w:t>Behnke,</w:t>
      </w:r>
      <w:r>
        <w:rPr>
          <w:rFonts w:ascii="Calibri"/>
          <w:spacing w:val="23"/>
          <w:sz w:val="22"/>
        </w:rPr>
        <w:t> </w:t>
      </w:r>
      <w:r>
        <w:rPr>
          <w:rFonts w:ascii="Calibri"/>
          <w:sz w:val="22"/>
        </w:rPr>
        <w:t>A.</w:t>
      </w:r>
      <w:r>
        <w:rPr>
          <w:rFonts w:ascii="Calibri"/>
          <w:spacing w:val="27"/>
          <w:sz w:val="22"/>
        </w:rPr>
        <w:t> </w:t>
      </w:r>
      <w:r>
        <w:rPr>
          <w:rFonts w:ascii="Calibri"/>
          <w:sz w:val="22"/>
        </w:rPr>
        <w:t>(2013).</w:t>
      </w:r>
      <w:r>
        <w:rPr>
          <w:rFonts w:ascii="Calibri"/>
          <w:spacing w:val="25"/>
          <w:sz w:val="22"/>
        </w:rPr>
        <w:t> </w:t>
      </w:r>
      <w:r>
        <w:rPr>
          <w:rFonts w:ascii="Calibri"/>
          <w:i/>
          <w:sz w:val="22"/>
        </w:rPr>
        <w:t>NATO's</w:t>
      </w:r>
      <w:r>
        <w:rPr>
          <w:rFonts w:ascii="Calibri"/>
          <w:i/>
          <w:spacing w:val="26"/>
          <w:sz w:val="22"/>
        </w:rPr>
        <w:t> </w:t>
      </w:r>
      <w:r>
        <w:rPr>
          <w:rFonts w:ascii="Calibri"/>
          <w:i/>
          <w:sz w:val="22"/>
        </w:rPr>
        <w:t>security</w:t>
      </w:r>
      <w:r>
        <w:rPr>
          <w:rFonts w:ascii="Calibri"/>
          <w:i/>
          <w:spacing w:val="27"/>
          <w:sz w:val="22"/>
        </w:rPr>
        <w:t> </w:t>
      </w:r>
      <w:r>
        <w:rPr>
          <w:rFonts w:ascii="Calibri"/>
          <w:i/>
          <w:sz w:val="22"/>
        </w:rPr>
        <w:t>discourse</w:t>
      </w:r>
      <w:r>
        <w:rPr>
          <w:rFonts w:ascii="Calibri"/>
          <w:i/>
          <w:spacing w:val="22"/>
          <w:sz w:val="22"/>
        </w:rPr>
        <w:t> </w:t>
      </w:r>
      <w:r>
        <w:rPr>
          <w:rFonts w:ascii="Calibri"/>
          <w:i/>
          <w:sz w:val="22"/>
        </w:rPr>
        <w:t>after</w:t>
      </w:r>
      <w:r>
        <w:rPr>
          <w:rFonts w:ascii="Calibri"/>
          <w:i/>
          <w:spacing w:val="26"/>
          <w:sz w:val="22"/>
        </w:rPr>
        <w:t> </w:t>
      </w:r>
      <w:r>
        <w:rPr>
          <w:rFonts w:ascii="Calibri"/>
          <w:i/>
          <w:sz w:val="22"/>
        </w:rPr>
        <w:t>the</w:t>
      </w:r>
      <w:r>
        <w:rPr>
          <w:rFonts w:ascii="Calibri"/>
          <w:i/>
          <w:spacing w:val="26"/>
          <w:sz w:val="22"/>
        </w:rPr>
        <w:t> </w:t>
      </w:r>
      <w:r>
        <w:rPr>
          <w:rFonts w:ascii="Calibri"/>
          <w:i/>
          <w:sz w:val="22"/>
        </w:rPr>
        <w:t>Cold</w:t>
      </w:r>
      <w:r>
        <w:rPr>
          <w:rFonts w:ascii="Calibri"/>
          <w:i/>
          <w:spacing w:val="27"/>
          <w:sz w:val="22"/>
        </w:rPr>
        <w:t> </w:t>
      </w:r>
      <w:r>
        <w:rPr>
          <w:rFonts w:ascii="Calibri"/>
          <w:i/>
          <w:sz w:val="22"/>
        </w:rPr>
        <w:t>War</w:t>
      </w:r>
      <w:r>
        <w:rPr>
          <w:rFonts w:ascii="Calibri"/>
          <w:i/>
          <w:spacing w:val="26"/>
          <w:sz w:val="22"/>
        </w:rPr>
        <w:t> </w:t>
      </w:r>
      <w:r>
        <w:rPr>
          <w:rFonts w:ascii="Calibri"/>
          <w:i/>
          <w:sz w:val="22"/>
        </w:rPr>
        <w:t>:</w:t>
      </w:r>
      <w:r>
        <w:rPr>
          <w:rFonts w:ascii="Calibri"/>
          <w:i/>
          <w:spacing w:val="24"/>
          <w:sz w:val="22"/>
        </w:rPr>
        <w:t> </w:t>
      </w:r>
      <w:r>
        <w:rPr>
          <w:rFonts w:ascii="Calibri"/>
          <w:i/>
          <w:sz w:val="22"/>
        </w:rPr>
        <w:t>representing</w:t>
      </w:r>
      <w:r>
        <w:rPr>
          <w:rFonts w:ascii="Calibri"/>
          <w:i/>
          <w:spacing w:val="27"/>
          <w:sz w:val="22"/>
        </w:rPr>
        <w:t> </w:t>
      </w:r>
      <w:r>
        <w:rPr>
          <w:rFonts w:ascii="Calibri"/>
          <w:i/>
          <w:sz w:val="22"/>
        </w:rPr>
        <w:t>the</w:t>
      </w:r>
      <w:r>
        <w:rPr>
          <w:rFonts w:ascii="Calibri"/>
          <w:i/>
          <w:spacing w:val="22"/>
          <w:sz w:val="22"/>
        </w:rPr>
        <w:t> </w:t>
      </w:r>
      <w:r>
        <w:rPr>
          <w:rFonts w:ascii="Calibri"/>
          <w:i/>
          <w:spacing w:val="-2"/>
          <w:sz w:val="22"/>
        </w:rPr>
        <w:t>West</w:t>
      </w:r>
      <w:r>
        <w:rPr>
          <w:rFonts w:ascii="Calibri"/>
          <w:spacing w:val="-2"/>
          <w:sz w:val="22"/>
        </w:rPr>
        <w:t>.</w:t>
      </w:r>
    </w:p>
    <w:p>
      <w:pPr>
        <w:spacing w:before="1"/>
        <w:ind w:left="1700" w:right="0" w:firstLine="0"/>
        <w:jc w:val="both"/>
        <w:rPr>
          <w:rFonts w:ascii="Calibri"/>
          <w:sz w:val="22"/>
        </w:rPr>
      </w:pPr>
      <w:r>
        <w:rPr>
          <w:rFonts w:ascii="Calibri"/>
          <w:sz w:val="22"/>
        </w:rPr>
        <w:t>London</w:t>
      </w:r>
      <w:r>
        <w:rPr>
          <w:rFonts w:ascii="Calibri"/>
          <w:spacing w:val="-6"/>
          <w:sz w:val="22"/>
        </w:rPr>
        <w:t> </w:t>
      </w:r>
      <w:r>
        <w:rPr>
          <w:rFonts w:ascii="Calibri"/>
          <w:sz w:val="22"/>
        </w:rPr>
        <w:t>;</w:t>
      </w:r>
      <w:r>
        <w:rPr>
          <w:rFonts w:ascii="Calibri"/>
          <w:spacing w:val="-3"/>
          <w:sz w:val="22"/>
        </w:rPr>
        <w:t> </w:t>
      </w:r>
      <w:r>
        <w:rPr>
          <w:rFonts w:ascii="Calibri"/>
          <w:sz w:val="22"/>
        </w:rPr>
        <w:t>New</w:t>
      </w:r>
      <w:r>
        <w:rPr>
          <w:rFonts w:ascii="Calibri"/>
          <w:spacing w:val="-5"/>
          <w:sz w:val="22"/>
        </w:rPr>
        <w:t> </w:t>
      </w:r>
      <w:r>
        <w:rPr>
          <w:rFonts w:ascii="Calibri"/>
          <w:sz w:val="22"/>
        </w:rPr>
        <w:t>York:</w:t>
      </w:r>
      <w:r>
        <w:rPr>
          <w:rFonts w:ascii="Calibri"/>
          <w:spacing w:val="-6"/>
          <w:sz w:val="22"/>
        </w:rPr>
        <w:t> </w:t>
      </w:r>
      <w:r>
        <w:rPr>
          <w:rFonts w:ascii="Calibri"/>
          <w:spacing w:val="-2"/>
          <w:sz w:val="22"/>
        </w:rPr>
        <w:t>Routledge.</w:t>
      </w:r>
    </w:p>
    <w:p>
      <w:pPr>
        <w:spacing w:before="0"/>
        <w:ind w:left="1700" w:right="1902" w:hanging="721"/>
        <w:jc w:val="both"/>
        <w:rPr>
          <w:rFonts w:ascii="Calibri"/>
          <w:sz w:val="22"/>
        </w:rPr>
      </w:pPr>
      <w:bookmarkStart w:name="_bookmark92" w:id="93"/>
      <w:bookmarkEnd w:id="93"/>
      <w:r>
        <w:rPr/>
      </w:r>
      <w:r>
        <w:rPr>
          <w:rFonts w:ascii="Calibri"/>
          <w:sz w:val="22"/>
        </w:rPr>
        <w:t>Bellamy, R. (2006). Still in Deficit: Rights, Regulation, and Democracy in the EU. </w:t>
      </w:r>
      <w:r>
        <w:rPr>
          <w:rFonts w:ascii="Calibri"/>
          <w:i/>
          <w:sz w:val="22"/>
        </w:rPr>
        <w:t>European Law Journal, 12</w:t>
      </w:r>
      <w:r>
        <w:rPr>
          <w:rFonts w:ascii="Calibri"/>
          <w:sz w:val="22"/>
        </w:rPr>
        <w:t>(6), 725-742.</w:t>
      </w:r>
    </w:p>
    <w:p>
      <w:pPr>
        <w:spacing w:before="1"/>
        <w:ind w:left="1700" w:right="1901" w:hanging="721"/>
        <w:jc w:val="both"/>
        <w:rPr>
          <w:rFonts w:ascii="Calibri" w:hAnsi="Calibri"/>
          <w:sz w:val="22"/>
        </w:rPr>
      </w:pPr>
      <w:bookmarkStart w:name="_bookmark93" w:id="94"/>
      <w:bookmarkEnd w:id="94"/>
      <w:r>
        <w:rPr/>
      </w:r>
      <w:r>
        <w:rPr>
          <w:rFonts w:ascii="Calibri" w:hAnsi="Calibri"/>
          <w:sz w:val="22"/>
        </w:rPr>
        <w:t>Bellamy, R., &amp; Kröger, S. (2012). Domesticating the Democratic Deficit? The Role of National Parliaments and Parties in the EU's System of Governance. </w:t>
      </w:r>
      <w:r>
        <w:rPr>
          <w:rFonts w:ascii="Calibri" w:hAnsi="Calibri"/>
          <w:i/>
          <w:sz w:val="22"/>
        </w:rPr>
        <w:t>Parliamentary Affairs</w:t>
      </w:r>
      <w:r>
        <w:rPr>
          <w:rFonts w:ascii="Calibri" w:hAnsi="Calibri"/>
          <w:sz w:val="22"/>
        </w:rPr>
        <w:t>. doi: 10.1093/pa/gss045</w:t>
      </w:r>
    </w:p>
    <w:p>
      <w:pPr>
        <w:spacing w:line="264" w:lineRule="exact" w:before="0"/>
        <w:ind w:left="979" w:right="0" w:firstLine="0"/>
        <w:jc w:val="both"/>
        <w:rPr>
          <w:rFonts w:ascii="Calibri"/>
          <w:sz w:val="22"/>
        </w:rPr>
      </w:pPr>
      <w:bookmarkStart w:name="_bookmark94" w:id="95"/>
      <w:bookmarkEnd w:id="95"/>
      <w:r>
        <w:rPr/>
      </w:r>
      <w:r>
        <w:rPr>
          <w:rFonts w:ascii="Calibri"/>
          <w:sz w:val="22"/>
        </w:rPr>
        <w:t>Benz,</w:t>
      </w:r>
      <w:r>
        <w:rPr>
          <w:rFonts w:ascii="Calibri"/>
          <w:spacing w:val="4"/>
          <w:sz w:val="22"/>
        </w:rPr>
        <w:t> </w:t>
      </w:r>
      <w:r>
        <w:rPr>
          <w:rFonts w:ascii="Calibri"/>
          <w:sz w:val="22"/>
        </w:rPr>
        <w:t>A.</w:t>
      </w:r>
      <w:r>
        <w:rPr>
          <w:rFonts w:ascii="Calibri"/>
          <w:spacing w:val="9"/>
          <w:sz w:val="22"/>
        </w:rPr>
        <w:t> </w:t>
      </w:r>
      <w:r>
        <w:rPr>
          <w:rFonts w:ascii="Calibri"/>
          <w:sz w:val="22"/>
        </w:rPr>
        <w:t>(2007).</w:t>
      </w:r>
      <w:r>
        <w:rPr>
          <w:rFonts w:ascii="Calibri"/>
          <w:spacing w:val="10"/>
          <w:sz w:val="22"/>
        </w:rPr>
        <w:t> </w:t>
      </w:r>
      <w:r>
        <w:rPr>
          <w:rFonts w:ascii="Calibri"/>
          <w:sz w:val="22"/>
        </w:rPr>
        <w:t>Accountable</w:t>
      </w:r>
      <w:r>
        <w:rPr>
          <w:rFonts w:ascii="Calibri"/>
          <w:spacing w:val="9"/>
          <w:sz w:val="22"/>
        </w:rPr>
        <w:t> </w:t>
      </w:r>
      <w:r>
        <w:rPr>
          <w:rFonts w:ascii="Calibri"/>
          <w:sz w:val="22"/>
        </w:rPr>
        <w:t>Multilevel</w:t>
      </w:r>
      <w:r>
        <w:rPr>
          <w:rFonts w:ascii="Calibri"/>
          <w:spacing w:val="10"/>
          <w:sz w:val="22"/>
        </w:rPr>
        <w:t> </w:t>
      </w:r>
      <w:r>
        <w:rPr>
          <w:rFonts w:ascii="Calibri"/>
          <w:sz w:val="22"/>
        </w:rPr>
        <w:t>Governance</w:t>
      </w:r>
      <w:r>
        <w:rPr>
          <w:rFonts w:ascii="Calibri"/>
          <w:spacing w:val="9"/>
          <w:sz w:val="22"/>
        </w:rPr>
        <w:t> </w:t>
      </w:r>
      <w:r>
        <w:rPr>
          <w:rFonts w:ascii="Calibri"/>
          <w:sz w:val="22"/>
        </w:rPr>
        <w:t>by</w:t>
      </w:r>
      <w:r>
        <w:rPr>
          <w:rFonts w:ascii="Calibri"/>
          <w:spacing w:val="9"/>
          <w:sz w:val="22"/>
        </w:rPr>
        <w:t> </w:t>
      </w:r>
      <w:r>
        <w:rPr>
          <w:rFonts w:ascii="Calibri"/>
          <w:sz w:val="22"/>
        </w:rPr>
        <w:t>the</w:t>
      </w:r>
      <w:r>
        <w:rPr>
          <w:rFonts w:ascii="Calibri"/>
          <w:spacing w:val="9"/>
          <w:sz w:val="22"/>
        </w:rPr>
        <w:t> </w:t>
      </w:r>
      <w:r>
        <w:rPr>
          <w:rFonts w:ascii="Calibri"/>
          <w:sz w:val="22"/>
        </w:rPr>
        <w:t>Open</w:t>
      </w:r>
      <w:r>
        <w:rPr>
          <w:rFonts w:ascii="Calibri"/>
          <w:spacing w:val="8"/>
          <w:sz w:val="22"/>
        </w:rPr>
        <w:t> </w:t>
      </w:r>
      <w:r>
        <w:rPr>
          <w:rFonts w:ascii="Calibri"/>
          <w:sz w:val="22"/>
        </w:rPr>
        <w:t>Method</w:t>
      </w:r>
      <w:r>
        <w:rPr>
          <w:rFonts w:ascii="Calibri"/>
          <w:spacing w:val="7"/>
          <w:sz w:val="22"/>
        </w:rPr>
        <w:t> </w:t>
      </w:r>
      <w:r>
        <w:rPr>
          <w:rFonts w:ascii="Calibri"/>
          <w:sz w:val="22"/>
        </w:rPr>
        <w:t>of</w:t>
      </w:r>
      <w:r>
        <w:rPr>
          <w:rFonts w:ascii="Calibri"/>
          <w:spacing w:val="12"/>
          <w:sz w:val="22"/>
        </w:rPr>
        <w:t> </w:t>
      </w:r>
      <w:r>
        <w:rPr>
          <w:rFonts w:ascii="Calibri"/>
          <w:spacing w:val="-2"/>
          <w:sz w:val="22"/>
        </w:rPr>
        <w:t>Coordination?</w:t>
      </w:r>
    </w:p>
    <w:p>
      <w:pPr>
        <w:spacing w:before="0"/>
        <w:ind w:left="1700" w:right="0" w:firstLine="0"/>
        <w:jc w:val="both"/>
        <w:rPr>
          <w:rFonts w:ascii="Calibri"/>
          <w:sz w:val="22"/>
        </w:rPr>
      </w:pPr>
      <w:r>
        <w:rPr>
          <w:rFonts w:ascii="Calibri"/>
          <w:i/>
          <w:sz w:val="22"/>
        </w:rPr>
        <w:t>European</w:t>
      </w:r>
      <w:r>
        <w:rPr>
          <w:rFonts w:ascii="Calibri"/>
          <w:i/>
          <w:spacing w:val="-8"/>
          <w:sz w:val="22"/>
        </w:rPr>
        <w:t> </w:t>
      </w:r>
      <w:r>
        <w:rPr>
          <w:rFonts w:ascii="Calibri"/>
          <w:i/>
          <w:sz w:val="22"/>
        </w:rPr>
        <w:t>Law</w:t>
      </w:r>
      <w:r>
        <w:rPr>
          <w:rFonts w:ascii="Calibri"/>
          <w:i/>
          <w:spacing w:val="-7"/>
          <w:sz w:val="22"/>
        </w:rPr>
        <w:t> </w:t>
      </w:r>
      <w:r>
        <w:rPr>
          <w:rFonts w:ascii="Calibri"/>
          <w:i/>
          <w:sz w:val="22"/>
        </w:rPr>
        <w:t>Journal,</w:t>
      </w:r>
      <w:r>
        <w:rPr>
          <w:rFonts w:ascii="Calibri"/>
          <w:i/>
          <w:spacing w:val="-11"/>
          <w:sz w:val="22"/>
        </w:rPr>
        <w:t> </w:t>
      </w:r>
      <w:r>
        <w:rPr>
          <w:rFonts w:ascii="Calibri"/>
          <w:i/>
          <w:sz w:val="22"/>
        </w:rPr>
        <w:t>13</w:t>
      </w:r>
      <w:r>
        <w:rPr>
          <w:rFonts w:ascii="Calibri"/>
          <w:sz w:val="22"/>
        </w:rPr>
        <w:t>(4),</w:t>
      </w:r>
      <w:r>
        <w:rPr>
          <w:rFonts w:ascii="Calibri"/>
          <w:spacing w:val="-10"/>
          <w:sz w:val="22"/>
        </w:rPr>
        <w:t> </w:t>
      </w:r>
      <w:r>
        <w:rPr>
          <w:rFonts w:ascii="Calibri"/>
          <w:sz w:val="22"/>
        </w:rPr>
        <w:t>505-522.</w:t>
      </w:r>
      <w:r>
        <w:rPr>
          <w:rFonts w:ascii="Calibri"/>
          <w:spacing w:val="-7"/>
          <w:sz w:val="22"/>
        </w:rPr>
        <w:t> </w:t>
      </w:r>
      <w:r>
        <w:rPr>
          <w:rFonts w:ascii="Calibri"/>
          <w:sz w:val="22"/>
        </w:rPr>
        <w:t>doi:</w:t>
      </w:r>
      <w:r>
        <w:rPr>
          <w:rFonts w:ascii="Calibri"/>
          <w:spacing w:val="-9"/>
          <w:sz w:val="22"/>
        </w:rPr>
        <w:t> </w:t>
      </w:r>
      <w:r>
        <w:rPr>
          <w:rFonts w:ascii="Calibri"/>
          <w:sz w:val="22"/>
        </w:rPr>
        <w:t>10.1111/j.1468-</w:t>
      </w:r>
      <w:r>
        <w:rPr>
          <w:rFonts w:ascii="Calibri"/>
          <w:spacing w:val="-2"/>
          <w:sz w:val="22"/>
        </w:rPr>
        <w:t>0386.2007.00381.x</w:t>
      </w:r>
    </w:p>
    <w:p>
      <w:pPr>
        <w:spacing w:after="0"/>
        <w:jc w:val="both"/>
        <w:rPr>
          <w:rFonts w:asci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979" w:right="0" w:firstLine="0"/>
        <w:jc w:val="left"/>
        <w:rPr>
          <w:rFonts w:ascii="Calibri"/>
          <w:sz w:val="22"/>
        </w:rPr>
      </w:pPr>
      <w:bookmarkStart w:name="_bookmark95" w:id="96"/>
      <w:bookmarkEnd w:id="96"/>
      <w:r>
        <w:rPr/>
      </w:r>
      <w:r>
        <w:rPr>
          <w:rFonts w:ascii="Calibri"/>
          <w:sz w:val="22"/>
        </w:rPr>
        <w:t>Berghe,</w:t>
      </w:r>
      <w:r>
        <w:rPr>
          <w:rFonts w:ascii="Calibri"/>
          <w:spacing w:val="43"/>
          <w:sz w:val="22"/>
        </w:rPr>
        <w:t> </w:t>
      </w:r>
      <w:r>
        <w:rPr>
          <w:rFonts w:ascii="Calibri"/>
          <w:sz w:val="22"/>
        </w:rPr>
        <w:t>P.</w:t>
      </w:r>
      <w:r>
        <w:rPr>
          <w:rFonts w:ascii="Calibri"/>
          <w:spacing w:val="47"/>
          <w:sz w:val="22"/>
        </w:rPr>
        <w:t> </w:t>
      </w:r>
      <w:r>
        <w:rPr>
          <w:rFonts w:ascii="Calibri"/>
          <w:sz w:val="22"/>
        </w:rPr>
        <w:t>L.</w:t>
      </w:r>
      <w:r>
        <w:rPr>
          <w:rFonts w:ascii="Calibri"/>
          <w:spacing w:val="47"/>
          <w:sz w:val="22"/>
        </w:rPr>
        <w:t> </w:t>
      </w:r>
      <w:r>
        <w:rPr>
          <w:rFonts w:ascii="Calibri"/>
          <w:sz w:val="22"/>
        </w:rPr>
        <w:t>v.</w:t>
      </w:r>
      <w:r>
        <w:rPr>
          <w:rFonts w:ascii="Calibri"/>
          <w:spacing w:val="46"/>
          <w:sz w:val="22"/>
        </w:rPr>
        <w:t> </w:t>
      </w:r>
      <w:r>
        <w:rPr>
          <w:rFonts w:ascii="Calibri"/>
          <w:sz w:val="22"/>
        </w:rPr>
        <w:t>d.</w:t>
      </w:r>
      <w:r>
        <w:rPr>
          <w:rFonts w:ascii="Calibri"/>
          <w:spacing w:val="47"/>
          <w:sz w:val="22"/>
        </w:rPr>
        <w:t> </w:t>
      </w:r>
      <w:r>
        <w:rPr>
          <w:rFonts w:ascii="Calibri"/>
          <w:sz w:val="22"/>
        </w:rPr>
        <w:t>(1963).</w:t>
      </w:r>
      <w:r>
        <w:rPr>
          <w:rFonts w:ascii="Calibri"/>
          <w:spacing w:val="47"/>
          <w:sz w:val="22"/>
        </w:rPr>
        <w:t> </w:t>
      </w:r>
      <w:r>
        <w:rPr>
          <w:rFonts w:ascii="Calibri"/>
          <w:sz w:val="22"/>
        </w:rPr>
        <w:t>Dialectic</w:t>
      </w:r>
      <w:r>
        <w:rPr>
          <w:rFonts w:ascii="Calibri"/>
          <w:spacing w:val="44"/>
          <w:sz w:val="22"/>
        </w:rPr>
        <w:t> </w:t>
      </w:r>
      <w:r>
        <w:rPr>
          <w:rFonts w:ascii="Calibri"/>
          <w:sz w:val="22"/>
        </w:rPr>
        <w:t>and</w:t>
      </w:r>
      <w:r>
        <w:rPr>
          <w:rFonts w:ascii="Calibri"/>
          <w:spacing w:val="46"/>
          <w:sz w:val="22"/>
        </w:rPr>
        <w:t> </w:t>
      </w:r>
      <w:r>
        <w:rPr>
          <w:rFonts w:ascii="Calibri"/>
          <w:sz w:val="22"/>
        </w:rPr>
        <w:t>Functionalism:</w:t>
      </w:r>
      <w:r>
        <w:rPr>
          <w:rFonts w:ascii="Calibri"/>
          <w:spacing w:val="43"/>
          <w:sz w:val="22"/>
        </w:rPr>
        <w:t> </w:t>
      </w:r>
      <w:r>
        <w:rPr>
          <w:rFonts w:ascii="Calibri"/>
          <w:sz w:val="22"/>
        </w:rPr>
        <w:t>Toward</w:t>
      </w:r>
      <w:r>
        <w:rPr>
          <w:rFonts w:ascii="Calibri"/>
          <w:spacing w:val="46"/>
          <w:sz w:val="22"/>
        </w:rPr>
        <w:t> </w:t>
      </w:r>
      <w:r>
        <w:rPr>
          <w:rFonts w:ascii="Calibri"/>
          <w:sz w:val="22"/>
        </w:rPr>
        <w:t>a</w:t>
      </w:r>
      <w:r>
        <w:rPr>
          <w:rFonts w:ascii="Calibri"/>
          <w:spacing w:val="45"/>
          <w:sz w:val="22"/>
        </w:rPr>
        <w:t> </w:t>
      </w:r>
      <w:r>
        <w:rPr>
          <w:rFonts w:ascii="Calibri"/>
          <w:sz w:val="22"/>
        </w:rPr>
        <w:t>Theoretical</w:t>
      </w:r>
      <w:r>
        <w:rPr>
          <w:rFonts w:ascii="Calibri"/>
          <w:spacing w:val="47"/>
          <w:sz w:val="22"/>
        </w:rPr>
        <w:t> </w:t>
      </w:r>
      <w:r>
        <w:rPr>
          <w:rFonts w:ascii="Calibri"/>
          <w:spacing w:val="-2"/>
          <w:sz w:val="22"/>
        </w:rPr>
        <w:t>Synthesis.</w:t>
      </w:r>
    </w:p>
    <w:p>
      <w:pPr>
        <w:spacing w:before="0"/>
        <w:ind w:left="1700" w:right="0" w:firstLine="0"/>
        <w:jc w:val="left"/>
        <w:rPr>
          <w:rFonts w:ascii="Calibri"/>
          <w:sz w:val="22"/>
        </w:rPr>
      </w:pPr>
      <w:r>
        <w:rPr>
          <w:rFonts w:ascii="Calibri"/>
          <w:i/>
          <w:sz w:val="22"/>
        </w:rPr>
        <w:t>American</w:t>
      </w:r>
      <w:r>
        <w:rPr>
          <w:rFonts w:ascii="Calibri"/>
          <w:i/>
          <w:spacing w:val="-9"/>
          <w:sz w:val="22"/>
        </w:rPr>
        <w:t> </w:t>
      </w:r>
      <w:r>
        <w:rPr>
          <w:rFonts w:ascii="Calibri"/>
          <w:i/>
          <w:sz w:val="22"/>
        </w:rPr>
        <w:t>Sociological</w:t>
      </w:r>
      <w:r>
        <w:rPr>
          <w:rFonts w:ascii="Calibri"/>
          <w:i/>
          <w:spacing w:val="-8"/>
          <w:sz w:val="22"/>
        </w:rPr>
        <w:t> </w:t>
      </w:r>
      <w:r>
        <w:rPr>
          <w:rFonts w:ascii="Calibri"/>
          <w:i/>
          <w:sz w:val="22"/>
        </w:rPr>
        <w:t>Review</w:t>
      </w:r>
      <w:r>
        <w:rPr>
          <w:rFonts w:ascii="Calibri"/>
          <w:sz w:val="22"/>
        </w:rPr>
        <w:t>,</w:t>
      </w:r>
      <w:r>
        <w:rPr>
          <w:rFonts w:ascii="Calibri"/>
          <w:spacing w:val="-11"/>
          <w:sz w:val="22"/>
        </w:rPr>
        <w:t> </w:t>
      </w:r>
      <w:r>
        <w:rPr>
          <w:rFonts w:ascii="Calibri"/>
          <w:sz w:val="22"/>
        </w:rPr>
        <w:t>695-</w:t>
      </w:r>
      <w:r>
        <w:rPr>
          <w:rFonts w:ascii="Calibri"/>
          <w:spacing w:val="-4"/>
          <w:sz w:val="22"/>
        </w:rPr>
        <w:t>705.</w:t>
      </w:r>
    </w:p>
    <w:p>
      <w:pPr>
        <w:spacing w:before="1"/>
        <w:ind w:left="1700" w:right="1909" w:hanging="721"/>
        <w:jc w:val="left"/>
        <w:rPr>
          <w:rFonts w:ascii="Calibri"/>
          <w:sz w:val="22"/>
        </w:rPr>
      </w:pPr>
      <w:bookmarkStart w:name="_bookmark96" w:id="97"/>
      <w:bookmarkEnd w:id="97"/>
      <w:r>
        <w:rPr/>
      </w:r>
      <w:r>
        <w:rPr>
          <w:rFonts w:ascii="Calibri"/>
          <w:sz w:val="22"/>
        </w:rPr>
        <w:t>Bertalanffy,</w:t>
      </w:r>
      <w:r>
        <w:rPr>
          <w:rFonts w:ascii="Calibri"/>
          <w:spacing w:val="34"/>
          <w:sz w:val="22"/>
        </w:rPr>
        <w:t> </w:t>
      </w:r>
      <w:r>
        <w:rPr>
          <w:rFonts w:ascii="Calibri"/>
          <w:sz w:val="22"/>
        </w:rPr>
        <w:t>L.</w:t>
      </w:r>
      <w:r>
        <w:rPr>
          <w:rFonts w:ascii="Calibri"/>
          <w:spacing w:val="38"/>
          <w:sz w:val="22"/>
        </w:rPr>
        <w:t> </w:t>
      </w:r>
      <w:r>
        <w:rPr>
          <w:rFonts w:ascii="Calibri"/>
          <w:sz w:val="22"/>
        </w:rPr>
        <w:t>v.</w:t>
      </w:r>
      <w:r>
        <w:rPr>
          <w:rFonts w:ascii="Calibri"/>
          <w:spacing w:val="38"/>
          <w:sz w:val="22"/>
        </w:rPr>
        <w:t> </w:t>
      </w:r>
      <w:r>
        <w:rPr>
          <w:rFonts w:ascii="Calibri"/>
          <w:sz w:val="22"/>
        </w:rPr>
        <w:t>(1933).</w:t>
      </w:r>
      <w:r>
        <w:rPr>
          <w:rFonts w:ascii="Calibri"/>
          <w:spacing w:val="40"/>
          <w:sz w:val="22"/>
        </w:rPr>
        <w:t> </w:t>
      </w:r>
      <w:r>
        <w:rPr>
          <w:rFonts w:ascii="Calibri"/>
          <w:i/>
          <w:sz w:val="22"/>
        </w:rPr>
        <w:t>Modern</w:t>
      </w:r>
      <w:r>
        <w:rPr>
          <w:rFonts w:ascii="Calibri"/>
          <w:i/>
          <w:spacing w:val="38"/>
          <w:sz w:val="22"/>
        </w:rPr>
        <w:t> </w:t>
      </w:r>
      <w:r>
        <w:rPr>
          <w:rFonts w:ascii="Calibri"/>
          <w:i/>
          <w:sz w:val="22"/>
        </w:rPr>
        <w:t>theories</w:t>
      </w:r>
      <w:r>
        <w:rPr>
          <w:rFonts w:ascii="Calibri"/>
          <w:i/>
          <w:spacing w:val="32"/>
          <w:sz w:val="22"/>
        </w:rPr>
        <w:t> </w:t>
      </w:r>
      <w:r>
        <w:rPr>
          <w:rFonts w:ascii="Calibri"/>
          <w:i/>
          <w:sz w:val="22"/>
        </w:rPr>
        <w:t>of</w:t>
      </w:r>
      <w:r>
        <w:rPr>
          <w:rFonts w:ascii="Calibri"/>
          <w:i/>
          <w:spacing w:val="32"/>
          <w:sz w:val="22"/>
        </w:rPr>
        <w:t> </w:t>
      </w:r>
      <w:r>
        <w:rPr>
          <w:rFonts w:ascii="Calibri"/>
          <w:i/>
          <w:sz w:val="22"/>
        </w:rPr>
        <w:t>development;</w:t>
      </w:r>
      <w:r>
        <w:rPr>
          <w:rFonts w:ascii="Calibri"/>
          <w:i/>
          <w:spacing w:val="35"/>
          <w:sz w:val="22"/>
        </w:rPr>
        <w:t> </w:t>
      </w:r>
      <w:r>
        <w:rPr>
          <w:rFonts w:ascii="Calibri"/>
          <w:i/>
          <w:sz w:val="22"/>
        </w:rPr>
        <w:t>an</w:t>
      </w:r>
      <w:r>
        <w:rPr>
          <w:rFonts w:ascii="Calibri"/>
          <w:i/>
          <w:spacing w:val="33"/>
          <w:sz w:val="22"/>
        </w:rPr>
        <w:t> </w:t>
      </w:r>
      <w:r>
        <w:rPr>
          <w:rFonts w:ascii="Calibri"/>
          <w:i/>
          <w:sz w:val="22"/>
        </w:rPr>
        <w:t>introduction</w:t>
      </w:r>
      <w:r>
        <w:rPr>
          <w:rFonts w:ascii="Calibri"/>
          <w:i/>
          <w:spacing w:val="38"/>
          <w:sz w:val="22"/>
        </w:rPr>
        <w:t> </w:t>
      </w:r>
      <w:r>
        <w:rPr>
          <w:rFonts w:ascii="Calibri"/>
          <w:i/>
          <w:sz w:val="22"/>
        </w:rPr>
        <w:t>to</w:t>
      </w:r>
      <w:r>
        <w:rPr>
          <w:rFonts w:ascii="Calibri"/>
          <w:i/>
          <w:spacing w:val="33"/>
          <w:sz w:val="22"/>
        </w:rPr>
        <w:t> </w:t>
      </w:r>
      <w:r>
        <w:rPr>
          <w:rFonts w:ascii="Calibri"/>
          <w:i/>
          <w:sz w:val="22"/>
        </w:rPr>
        <w:t>theoretical biology</w:t>
      </w:r>
      <w:r>
        <w:rPr>
          <w:rFonts w:ascii="Calibri"/>
          <w:sz w:val="22"/>
        </w:rPr>
        <w:t>. London: Oxford University Press.</w:t>
      </w:r>
    </w:p>
    <w:p>
      <w:pPr>
        <w:spacing w:line="235" w:lineRule="auto" w:before="5"/>
        <w:ind w:left="1700" w:right="1909" w:hanging="721"/>
        <w:jc w:val="left"/>
        <w:rPr>
          <w:rFonts w:ascii="Calibri"/>
          <w:sz w:val="22"/>
        </w:rPr>
      </w:pPr>
      <w:bookmarkStart w:name="_bookmark97" w:id="98"/>
      <w:bookmarkEnd w:id="98"/>
      <w:r>
        <w:rPr/>
      </w:r>
      <w:r>
        <w:rPr>
          <w:rFonts w:ascii="Calibri"/>
          <w:sz w:val="22"/>
        </w:rPr>
        <w:t>Bertalanffy, L. V. (1950). The theory of open systems in physics and biology.</w:t>
      </w:r>
      <w:r>
        <w:rPr>
          <w:rFonts w:ascii="Calibri"/>
          <w:spacing w:val="28"/>
          <w:sz w:val="22"/>
        </w:rPr>
        <w:t> </w:t>
      </w:r>
      <w:r>
        <w:rPr>
          <w:rFonts w:ascii="Calibri"/>
          <w:i/>
          <w:sz w:val="22"/>
        </w:rPr>
        <w:t>Science (New</w:t>
      </w:r>
      <w:r>
        <w:rPr>
          <w:rFonts w:ascii="Calibri"/>
          <w:i/>
          <w:spacing w:val="40"/>
          <w:sz w:val="22"/>
        </w:rPr>
        <w:t> </w:t>
      </w:r>
      <w:r>
        <w:rPr>
          <w:rFonts w:ascii="Calibri"/>
          <w:i/>
          <w:sz w:val="22"/>
        </w:rPr>
        <w:t>York, N.Y.), 111</w:t>
      </w:r>
      <w:r>
        <w:rPr>
          <w:rFonts w:ascii="Calibri"/>
          <w:sz w:val="22"/>
        </w:rPr>
        <w:t>(2872), 23-29.</w:t>
      </w:r>
    </w:p>
    <w:p>
      <w:pPr>
        <w:spacing w:before="2"/>
        <w:ind w:left="979" w:right="0" w:firstLine="0"/>
        <w:jc w:val="left"/>
        <w:rPr>
          <w:rFonts w:ascii="Calibri"/>
          <w:sz w:val="22"/>
        </w:rPr>
      </w:pPr>
      <w:bookmarkStart w:name="_bookmark98" w:id="99"/>
      <w:bookmarkEnd w:id="99"/>
      <w:r>
        <w:rPr/>
      </w:r>
      <w:r>
        <w:rPr>
          <w:rFonts w:ascii="Calibri"/>
          <w:sz w:val="22"/>
        </w:rPr>
        <w:t>Bertalanffy,</w:t>
      </w:r>
      <w:r>
        <w:rPr>
          <w:rFonts w:ascii="Calibri"/>
          <w:spacing w:val="36"/>
          <w:sz w:val="22"/>
        </w:rPr>
        <w:t> </w:t>
      </w:r>
      <w:r>
        <w:rPr>
          <w:rFonts w:ascii="Calibri"/>
          <w:sz w:val="22"/>
        </w:rPr>
        <w:t>L.</w:t>
      </w:r>
      <w:r>
        <w:rPr>
          <w:rFonts w:ascii="Calibri"/>
          <w:spacing w:val="41"/>
          <w:sz w:val="22"/>
        </w:rPr>
        <w:t> </w:t>
      </w:r>
      <w:r>
        <w:rPr>
          <w:rFonts w:ascii="Calibri"/>
          <w:sz w:val="22"/>
        </w:rPr>
        <w:t>v.</w:t>
      </w:r>
      <w:r>
        <w:rPr>
          <w:rFonts w:ascii="Calibri"/>
          <w:spacing w:val="41"/>
          <w:sz w:val="22"/>
        </w:rPr>
        <w:t> </w:t>
      </w:r>
      <w:r>
        <w:rPr>
          <w:rFonts w:ascii="Calibri"/>
          <w:sz w:val="22"/>
        </w:rPr>
        <w:t>(1969).</w:t>
      </w:r>
      <w:r>
        <w:rPr>
          <w:rFonts w:ascii="Calibri"/>
          <w:spacing w:val="43"/>
          <w:sz w:val="22"/>
        </w:rPr>
        <w:t> </w:t>
      </w:r>
      <w:r>
        <w:rPr>
          <w:rFonts w:ascii="Calibri"/>
          <w:i/>
          <w:sz w:val="22"/>
        </w:rPr>
        <w:t>General</w:t>
      </w:r>
      <w:r>
        <w:rPr>
          <w:rFonts w:ascii="Calibri"/>
          <w:i/>
          <w:spacing w:val="36"/>
          <w:sz w:val="22"/>
        </w:rPr>
        <w:t> </w:t>
      </w:r>
      <w:r>
        <w:rPr>
          <w:rFonts w:ascii="Calibri"/>
          <w:i/>
          <w:sz w:val="22"/>
        </w:rPr>
        <w:t>system</w:t>
      </w:r>
      <w:r>
        <w:rPr>
          <w:rFonts w:ascii="Calibri"/>
          <w:i/>
          <w:spacing w:val="37"/>
          <w:sz w:val="22"/>
        </w:rPr>
        <w:t> </w:t>
      </w:r>
      <w:r>
        <w:rPr>
          <w:rFonts w:ascii="Calibri"/>
          <w:i/>
          <w:sz w:val="22"/>
        </w:rPr>
        <w:t>theory;</w:t>
      </w:r>
      <w:r>
        <w:rPr>
          <w:rFonts w:ascii="Calibri"/>
          <w:i/>
          <w:spacing w:val="37"/>
          <w:sz w:val="22"/>
        </w:rPr>
        <w:t> </w:t>
      </w:r>
      <w:r>
        <w:rPr>
          <w:rFonts w:ascii="Calibri"/>
          <w:i/>
          <w:sz w:val="22"/>
        </w:rPr>
        <w:t>foundations,</w:t>
      </w:r>
      <w:r>
        <w:rPr>
          <w:rFonts w:ascii="Calibri"/>
          <w:i/>
          <w:spacing w:val="37"/>
          <w:sz w:val="22"/>
        </w:rPr>
        <w:t> </w:t>
      </w:r>
      <w:r>
        <w:rPr>
          <w:rFonts w:ascii="Calibri"/>
          <w:i/>
          <w:sz w:val="22"/>
        </w:rPr>
        <w:t>development,</w:t>
      </w:r>
      <w:r>
        <w:rPr>
          <w:rFonts w:ascii="Calibri"/>
          <w:i/>
          <w:spacing w:val="37"/>
          <w:sz w:val="22"/>
        </w:rPr>
        <w:t> </w:t>
      </w:r>
      <w:r>
        <w:rPr>
          <w:rFonts w:ascii="Calibri"/>
          <w:i/>
          <w:spacing w:val="-2"/>
          <w:sz w:val="22"/>
        </w:rPr>
        <w:t>applications</w:t>
      </w:r>
      <w:r>
        <w:rPr>
          <w:rFonts w:ascii="Calibri"/>
          <w:spacing w:val="-2"/>
          <w:sz w:val="22"/>
        </w:rPr>
        <w:t>.</w:t>
      </w:r>
    </w:p>
    <w:p>
      <w:pPr>
        <w:spacing w:before="0"/>
        <w:ind w:left="1700" w:right="0" w:firstLine="0"/>
        <w:jc w:val="left"/>
        <w:rPr>
          <w:rFonts w:ascii="Calibri"/>
          <w:sz w:val="22"/>
        </w:rPr>
      </w:pPr>
      <w:r>
        <w:rPr>
          <w:rFonts w:ascii="Calibri"/>
          <w:sz w:val="22"/>
        </w:rPr>
        <w:t>New</w:t>
      </w:r>
      <w:r>
        <w:rPr>
          <w:rFonts w:ascii="Calibri"/>
          <w:spacing w:val="-5"/>
          <w:sz w:val="22"/>
        </w:rPr>
        <w:t> </w:t>
      </w:r>
      <w:r>
        <w:rPr>
          <w:rFonts w:ascii="Calibri"/>
          <w:sz w:val="22"/>
        </w:rPr>
        <w:t>York,:</w:t>
      </w:r>
      <w:r>
        <w:rPr>
          <w:rFonts w:ascii="Calibri"/>
          <w:spacing w:val="-7"/>
          <w:sz w:val="22"/>
        </w:rPr>
        <w:t> </w:t>
      </w:r>
      <w:r>
        <w:rPr>
          <w:rFonts w:ascii="Calibri"/>
          <w:sz w:val="22"/>
        </w:rPr>
        <w:t>G.</w:t>
      </w:r>
      <w:r>
        <w:rPr>
          <w:rFonts w:ascii="Calibri"/>
          <w:spacing w:val="-3"/>
          <w:sz w:val="22"/>
        </w:rPr>
        <w:t> </w:t>
      </w:r>
      <w:r>
        <w:rPr>
          <w:rFonts w:ascii="Calibri"/>
          <w:spacing w:val="-2"/>
          <w:sz w:val="22"/>
        </w:rPr>
        <w:t>Braziller.</w:t>
      </w:r>
    </w:p>
    <w:p>
      <w:pPr>
        <w:spacing w:before="1"/>
        <w:ind w:left="1700" w:right="1901" w:hanging="721"/>
        <w:jc w:val="both"/>
        <w:rPr>
          <w:rFonts w:ascii="Calibri"/>
          <w:sz w:val="22"/>
        </w:rPr>
      </w:pPr>
      <w:bookmarkStart w:name="_bookmark99" w:id="100"/>
      <w:bookmarkEnd w:id="100"/>
      <w:r>
        <w:rPr/>
      </w:r>
      <w:r>
        <w:rPr>
          <w:rFonts w:ascii="Calibri"/>
          <w:sz w:val="22"/>
        </w:rPr>
        <w:t>Bertalanffy,</w:t>
      </w:r>
      <w:r>
        <w:rPr>
          <w:rFonts w:ascii="Calibri"/>
          <w:spacing w:val="-2"/>
          <w:sz w:val="22"/>
        </w:rPr>
        <w:t> </w:t>
      </w:r>
      <w:r>
        <w:rPr>
          <w:rFonts w:ascii="Calibri"/>
          <w:sz w:val="22"/>
        </w:rPr>
        <w:t>L. V. (1972). The History and Status of General Systems Theory. </w:t>
      </w:r>
      <w:r>
        <w:rPr>
          <w:rFonts w:ascii="Calibri"/>
          <w:i/>
          <w:sz w:val="22"/>
        </w:rPr>
        <w:t>The Academy of Management Journal, 15</w:t>
      </w:r>
      <w:r>
        <w:rPr>
          <w:rFonts w:ascii="Calibri"/>
          <w:sz w:val="22"/>
        </w:rPr>
        <w:t>(4), 407-426. doi: 10.2307/255139</w:t>
      </w:r>
    </w:p>
    <w:p>
      <w:pPr>
        <w:spacing w:before="1"/>
        <w:ind w:left="1700" w:right="1907" w:hanging="721"/>
        <w:jc w:val="both"/>
        <w:rPr>
          <w:rFonts w:ascii="Calibri"/>
          <w:sz w:val="22"/>
        </w:rPr>
      </w:pPr>
      <w:bookmarkStart w:name="_bookmark100" w:id="101"/>
      <w:bookmarkEnd w:id="101"/>
      <w:r>
        <w:rPr/>
      </w:r>
      <w:r>
        <w:rPr>
          <w:rFonts w:ascii="Calibri"/>
          <w:sz w:val="22"/>
        </w:rPr>
        <w:t>Best,</w:t>
      </w:r>
      <w:r>
        <w:rPr>
          <w:rFonts w:ascii="Calibri"/>
          <w:spacing w:val="-2"/>
          <w:sz w:val="22"/>
        </w:rPr>
        <w:t> </w:t>
      </w:r>
      <w:r>
        <w:rPr>
          <w:rFonts w:ascii="Calibri"/>
          <w:sz w:val="22"/>
        </w:rPr>
        <w:t>H. (2012). Elites of Europe and the Europe of Elites:</w:t>
      </w:r>
      <w:r>
        <w:rPr>
          <w:rFonts w:ascii="Calibri"/>
          <w:spacing w:val="-1"/>
          <w:sz w:val="22"/>
        </w:rPr>
        <w:t> </w:t>
      </w:r>
      <w:r>
        <w:rPr>
          <w:rFonts w:ascii="Calibri"/>
          <w:sz w:val="22"/>
        </w:rPr>
        <w:t>a conclusion. In H. Best,</w:t>
      </w:r>
      <w:r>
        <w:rPr>
          <w:rFonts w:ascii="Calibri"/>
          <w:spacing w:val="-2"/>
          <w:sz w:val="22"/>
        </w:rPr>
        <w:t> </w:t>
      </w:r>
      <w:r>
        <w:rPr>
          <w:rFonts w:ascii="Calibri"/>
          <w:sz w:val="22"/>
        </w:rPr>
        <w:t>G. Lengyel &amp; L. Verzichelli (Eds.), </w:t>
      </w:r>
      <w:r>
        <w:rPr>
          <w:rFonts w:ascii="Calibri"/>
          <w:i/>
          <w:sz w:val="22"/>
        </w:rPr>
        <w:t>The Europe of Elites: a Study into Europeanness of Europe's Political and Economic Elites</w:t>
      </w:r>
      <w:r>
        <w:rPr>
          <w:rFonts w:ascii="Calibri"/>
          <w:sz w:val="22"/>
        </w:rPr>
        <w:t>. New York: Oxford University Press.</w:t>
      </w:r>
    </w:p>
    <w:p>
      <w:pPr>
        <w:spacing w:before="0"/>
        <w:ind w:left="1700" w:right="1902" w:hanging="721"/>
        <w:jc w:val="both"/>
        <w:rPr>
          <w:rFonts w:ascii="Calibri"/>
          <w:sz w:val="22"/>
        </w:rPr>
      </w:pPr>
      <w:bookmarkStart w:name="_bookmark101" w:id="102"/>
      <w:bookmarkEnd w:id="102"/>
      <w:r>
        <w:rPr/>
      </w:r>
      <w:r>
        <w:rPr>
          <w:rFonts w:ascii="Calibri"/>
          <w:sz w:val="22"/>
        </w:rPr>
        <w:t>Bickerton,</w:t>
      </w:r>
      <w:r>
        <w:rPr>
          <w:rFonts w:ascii="Calibri"/>
          <w:spacing w:val="-1"/>
          <w:sz w:val="22"/>
        </w:rPr>
        <w:t> </w:t>
      </w:r>
      <w:r>
        <w:rPr>
          <w:rFonts w:ascii="Calibri"/>
          <w:sz w:val="22"/>
        </w:rPr>
        <w:t>C. J.,</w:t>
      </w:r>
      <w:r>
        <w:rPr>
          <w:rFonts w:ascii="Calibri"/>
          <w:spacing w:val="-1"/>
          <w:sz w:val="22"/>
        </w:rPr>
        <w:t> </w:t>
      </w:r>
      <w:r>
        <w:rPr>
          <w:rFonts w:ascii="Calibri"/>
          <w:sz w:val="22"/>
        </w:rPr>
        <w:t>Hodson,</w:t>
      </w:r>
      <w:r>
        <w:rPr>
          <w:rFonts w:ascii="Calibri"/>
          <w:spacing w:val="-1"/>
          <w:sz w:val="22"/>
        </w:rPr>
        <w:t> </w:t>
      </w:r>
      <w:r>
        <w:rPr>
          <w:rFonts w:ascii="Calibri"/>
          <w:sz w:val="22"/>
        </w:rPr>
        <w:t>D., &amp; Puetter, U. (2015). The New Intergovernmentalism: European Integration in the Post-Maastricht Era. </w:t>
      </w:r>
      <w:r>
        <w:rPr>
          <w:rFonts w:ascii="Calibri"/>
          <w:i/>
          <w:sz w:val="22"/>
        </w:rPr>
        <w:t>JCMS: Journal of Common Market Studies, 53</w:t>
      </w:r>
      <w:r>
        <w:rPr>
          <w:rFonts w:ascii="Calibri"/>
          <w:sz w:val="22"/>
        </w:rPr>
        <w:t>(4), 703-722. doi: 10.1111/jcms.12212</w:t>
      </w:r>
    </w:p>
    <w:p>
      <w:pPr>
        <w:spacing w:before="2"/>
        <w:ind w:left="979" w:right="0" w:firstLine="0"/>
        <w:jc w:val="both"/>
        <w:rPr>
          <w:rFonts w:ascii="Calibri"/>
          <w:sz w:val="22"/>
        </w:rPr>
      </w:pPr>
      <w:r>
        <w:rPr>
          <w:rFonts w:ascii="Calibri"/>
          <w:sz w:val="22"/>
        </w:rPr>
        <w:t>Birmingham</w:t>
      </w:r>
      <w:r>
        <w:rPr>
          <w:rFonts w:ascii="Calibri"/>
          <w:spacing w:val="-8"/>
          <w:sz w:val="22"/>
        </w:rPr>
        <w:t> </w:t>
      </w:r>
      <w:r>
        <w:rPr>
          <w:rFonts w:ascii="Calibri"/>
          <w:sz w:val="22"/>
        </w:rPr>
        <w:t>Declaration,</w:t>
      </w:r>
      <w:r>
        <w:rPr>
          <w:rFonts w:ascii="Calibri"/>
          <w:spacing w:val="-12"/>
          <w:sz w:val="22"/>
        </w:rPr>
        <w:t> </w:t>
      </w:r>
      <w:r>
        <w:rPr>
          <w:rFonts w:ascii="Calibri"/>
          <w:sz w:val="22"/>
        </w:rPr>
        <w:t>European</w:t>
      </w:r>
      <w:r>
        <w:rPr>
          <w:rFonts w:ascii="Calibri"/>
          <w:spacing w:val="-9"/>
          <w:sz w:val="22"/>
        </w:rPr>
        <w:t> </w:t>
      </w:r>
      <w:r>
        <w:rPr>
          <w:rFonts w:ascii="Calibri"/>
          <w:sz w:val="22"/>
        </w:rPr>
        <w:t>Council</w:t>
      </w:r>
      <w:r>
        <w:rPr>
          <w:rFonts w:ascii="Calibri"/>
          <w:spacing w:val="-7"/>
          <w:sz w:val="22"/>
        </w:rPr>
        <w:t> </w:t>
      </w:r>
      <w:r>
        <w:rPr>
          <w:rFonts w:ascii="Calibri"/>
          <w:spacing w:val="-2"/>
          <w:sz w:val="22"/>
        </w:rPr>
        <w:t>(1992).</w:t>
      </w:r>
    </w:p>
    <w:p>
      <w:pPr>
        <w:spacing w:before="0"/>
        <w:ind w:left="1700" w:right="1909" w:hanging="721"/>
        <w:jc w:val="left"/>
        <w:rPr>
          <w:rFonts w:ascii="Calibri"/>
          <w:sz w:val="22"/>
        </w:rPr>
      </w:pPr>
      <w:bookmarkStart w:name="_bookmark102" w:id="103"/>
      <w:bookmarkEnd w:id="103"/>
      <w:r>
        <w:rPr/>
      </w:r>
      <w:r>
        <w:rPr>
          <w:rFonts w:ascii="Calibri"/>
          <w:sz w:val="22"/>
        </w:rPr>
        <w:t>Bogdanor,</w:t>
      </w:r>
      <w:r>
        <w:rPr>
          <w:rFonts w:ascii="Calibri"/>
          <w:spacing w:val="26"/>
          <w:sz w:val="22"/>
        </w:rPr>
        <w:t> </w:t>
      </w:r>
      <w:r>
        <w:rPr>
          <w:rFonts w:ascii="Calibri"/>
          <w:sz w:val="22"/>
        </w:rPr>
        <w:t>V.</w:t>
      </w:r>
      <w:r>
        <w:rPr>
          <w:rFonts w:ascii="Calibri"/>
          <w:spacing w:val="30"/>
          <w:sz w:val="22"/>
        </w:rPr>
        <w:t> </w:t>
      </w:r>
      <w:r>
        <w:rPr>
          <w:rFonts w:ascii="Calibri"/>
          <w:sz w:val="22"/>
        </w:rPr>
        <w:t>(2007).</w:t>
      </w:r>
      <w:r>
        <w:rPr>
          <w:rFonts w:ascii="Calibri"/>
          <w:spacing w:val="30"/>
          <w:sz w:val="22"/>
        </w:rPr>
        <w:t> </w:t>
      </w:r>
      <w:r>
        <w:rPr>
          <w:rFonts w:ascii="Calibri"/>
          <w:sz w:val="22"/>
        </w:rPr>
        <w:t>Legitimacy,</w:t>
      </w:r>
      <w:r>
        <w:rPr>
          <w:rFonts w:ascii="Calibri"/>
          <w:spacing w:val="26"/>
          <w:sz w:val="22"/>
        </w:rPr>
        <w:t> </w:t>
      </w:r>
      <w:r>
        <w:rPr>
          <w:rFonts w:ascii="Calibri"/>
          <w:sz w:val="22"/>
        </w:rPr>
        <w:t>accountability</w:t>
      </w:r>
      <w:r>
        <w:rPr>
          <w:rFonts w:ascii="Calibri"/>
          <w:spacing w:val="29"/>
          <w:sz w:val="22"/>
        </w:rPr>
        <w:t> </w:t>
      </w:r>
      <w:r>
        <w:rPr>
          <w:rFonts w:ascii="Calibri"/>
          <w:sz w:val="22"/>
        </w:rPr>
        <w:t>and democracy</w:t>
      </w:r>
      <w:r>
        <w:rPr>
          <w:rFonts w:ascii="Calibri"/>
          <w:spacing w:val="29"/>
          <w:sz w:val="22"/>
        </w:rPr>
        <w:t> </w:t>
      </w:r>
      <w:r>
        <w:rPr>
          <w:rFonts w:ascii="Calibri"/>
          <w:sz w:val="22"/>
        </w:rPr>
        <w:t>in</w:t>
      </w:r>
      <w:r>
        <w:rPr>
          <w:rFonts w:ascii="Calibri"/>
          <w:spacing w:val="28"/>
          <w:sz w:val="22"/>
        </w:rPr>
        <w:t> </w:t>
      </w:r>
      <w:r>
        <w:rPr>
          <w:rFonts w:ascii="Calibri"/>
          <w:sz w:val="22"/>
        </w:rPr>
        <w:t>the</w:t>
      </w:r>
      <w:r>
        <w:rPr>
          <w:rFonts w:ascii="Calibri"/>
          <w:spacing w:val="29"/>
          <w:sz w:val="22"/>
        </w:rPr>
        <w:t> </w:t>
      </w:r>
      <w:r>
        <w:rPr>
          <w:rFonts w:ascii="Calibri"/>
          <w:sz w:val="22"/>
        </w:rPr>
        <w:t>European</w:t>
      </w:r>
      <w:r>
        <w:rPr>
          <w:rFonts w:ascii="Calibri"/>
          <w:spacing w:val="28"/>
          <w:sz w:val="22"/>
        </w:rPr>
        <w:t> </w:t>
      </w:r>
      <w:r>
        <w:rPr>
          <w:rFonts w:ascii="Calibri"/>
          <w:sz w:val="22"/>
        </w:rPr>
        <w:t>Union.</w:t>
      </w:r>
      <w:r>
        <w:rPr>
          <w:rFonts w:ascii="Calibri"/>
          <w:spacing w:val="35"/>
          <w:sz w:val="22"/>
        </w:rPr>
        <w:t> </w:t>
      </w:r>
      <w:r>
        <w:rPr>
          <w:rFonts w:ascii="Calibri"/>
          <w:i/>
          <w:sz w:val="22"/>
        </w:rPr>
        <w:t>A Federal Trust Report</w:t>
      </w:r>
      <w:r>
        <w:rPr>
          <w:rFonts w:ascii="Calibri"/>
          <w:sz w:val="22"/>
        </w:rPr>
        <w:t>.</w:t>
      </w:r>
    </w:p>
    <w:p>
      <w:pPr>
        <w:spacing w:before="0"/>
        <w:ind w:left="1700" w:right="1909" w:hanging="721"/>
        <w:jc w:val="left"/>
        <w:rPr>
          <w:rFonts w:ascii="Calibri" w:hAnsi="Calibri"/>
          <w:sz w:val="22"/>
        </w:rPr>
      </w:pPr>
      <w:bookmarkStart w:name="_bookmark103" w:id="104"/>
      <w:bookmarkEnd w:id="104"/>
      <w:r>
        <w:rPr/>
      </w:r>
      <w:r>
        <w:rPr>
          <w:rFonts w:ascii="Calibri" w:hAnsi="Calibri"/>
          <w:sz w:val="22"/>
        </w:rPr>
        <w:t>Bóka, É. (2007). In Search of European Federalism A Historical Survey. </w:t>
      </w:r>
      <w:r>
        <w:rPr>
          <w:rFonts w:ascii="Calibri" w:hAnsi="Calibri"/>
          <w:i/>
          <w:sz w:val="22"/>
        </w:rPr>
        <w:t>Society and Economy in Central and Eastern Europe, 28</w:t>
      </w:r>
      <w:r>
        <w:rPr>
          <w:rFonts w:ascii="Calibri" w:hAnsi="Calibri"/>
          <w:sz w:val="22"/>
        </w:rPr>
        <w:t>(3), 309-331.</w:t>
      </w:r>
    </w:p>
    <w:p>
      <w:pPr>
        <w:spacing w:before="1"/>
        <w:ind w:left="1700" w:right="1909" w:hanging="721"/>
        <w:jc w:val="left"/>
        <w:rPr>
          <w:rFonts w:ascii="Calibri"/>
          <w:sz w:val="22"/>
        </w:rPr>
      </w:pPr>
      <w:bookmarkStart w:name="_bookmark104" w:id="105"/>
      <w:bookmarkEnd w:id="105"/>
      <w:r>
        <w:rPr/>
      </w:r>
      <w:r>
        <w:rPr>
          <w:rFonts w:ascii="Calibri"/>
          <w:sz w:val="22"/>
        </w:rPr>
        <w:t>Bonica, A. (2013). Avenues of Influence: On the Political Expenditures of Corporations and Their Directors and Executives. </w:t>
      </w:r>
      <w:r>
        <w:rPr>
          <w:rFonts w:ascii="Calibri"/>
          <w:i/>
          <w:sz w:val="22"/>
        </w:rPr>
        <w:t>Stanford University</w:t>
      </w:r>
      <w:r>
        <w:rPr>
          <w:rFonts w:ascii="Calibri"/>
          <w:sz w:val="22"/>
        </w:rPr>
        <w:t>.</w:t>
      </w:r>
    </w:p>
    <w:p>
      <w:pPr>
        <w:spacing w:line="235" w:lineRule="auto" w:before="5"/>
        <w:ind w:left="1700" w:right="1909" w:hanging="721"/>
        <w:jc w:val="left"/>
        <w:rPr>
          <w:rFonts w:ascii="Calibri"/>
          <w:sz w:val="22"/>
        </w:rPr>
      </w:pPr>
      <w:bookmarkStart w:name="_bookmark105" w:id="106"/>
      <w:bookmarkEnd w:id="106"/>
      <w:r>
        <w:rPr/>
      </w:r>
      <w:r>
        <w:rPr>
          <w:rFonts w:ascii="Calibri"/>
          <w:sz w:val="22"/>
        </w:rPr>
        <w:t>Bonica,</w:t>
      </w:r>
      <w:r>
        <w:rPr>
          <w:rFonts w:ascii="Calibri"/>
          <w:spacing w:val="40"/>
          <w:sz w:val="22"/>
        </w:rPr>
        <w:t> </w:t>
      </w:r>
      <w:r>
        <w:rPr>
          <w:rFonts w:ascii="Calibri"/>
          <w:sz w:val="22"/>
        </w:rPr>
        <w:t>A.</w:t>
      </w:r>
      <w:r>
        <w:rPr>
          <w:rFonts w:ascii="Calibri"/>
          <w:spacing w:val="40"/>
          <w:sz w:val="22"/>
        </w:rPr>
        <w:t> </w:t>
      </w:r>
      <w:r>
        <w:rPr>
          <w:rFonts w:ascii="Calibri"/>
          <w:sz w:val="22"/>
        </w:rPr>
        <w:t>(2014).</w:t>
      </w:r>
      <w:r>
        <w:rPr>
          <w:rFonts w:ascii="Calibri"/>
          <w:spacing w:val="40"/>
          <w:sz w:val="22"/>
        </w:rPr>
        <w:t> </w:t>
      </w:r>
      <w:r>
        <w:rPr>
          <w:rFonts w:ascii="Calibri"/>
          <w:sz w:val="22"/>
        </w:rPr>
        <w:t>Mapping</w:t>
      </w:r>
      <w:r>
        <w:rPr>
          <w:rFonts w:ascii="Calibri"/>
          <w:spacing w:val="40"/>
          <w:sz w:val="22"/>
        </w:rPr>
        <w:t> </w:t>
      </w:r>
      <w:r>
        <w:rPr>
          <w:rFonts w:ascii="Calibri"/>
          <w:sz w:val="22"/>
        </w:rPr>
        <w:t>the</w:t>
      </w:r>
      <w:r>
        <w:rPr>
          <w:rFonts w:ascii="Calibri"/>
          <w:spacing w:val="40"/>
          <w:sz w:val="22"/>
        </w:rPr>
        <w:t> </w:t>
      </w:r>
      <w:r>
        <w:rPr>
          <w:rFonts w:ascii="Calibri"/>
          <w:sz w:val="22"/>
        </w:rPr>
        <w:t>Ideological</w:t>
      </w:r>
      <w:r>
        <w:rPr>
          <w:rFonts w:ascii="Calibri"/>
          <w:spacing w:val="40"/>
          <w:sz w:val="22"/>
        </w:rPr>
        <w:t> </w:t>
      </w:r>
      <w:r>
        <w:rPr>
          <w:rFonts w:ascii="Calibri"/>
          <w:sz w:val="22"/>
        </w:rPr>
        <w:t>Marketplace.</w:t>
      </w:r>
      <w:r>
        <w:rPr>
          <w:rFonts w:ascii="Calibri"/>
          <w:spacing w:val="40"/>
          <w:sz w:val="22"/>
        </w:rPr>
        <w:t> </w:t>
      </w:r>
      <w:r>
        <w:rPr>
          <w:rFonts w:ascii="Calibri"/>
          <w:i/>
          <w:sz w:val="22"/>
        </w:rPr>
        <w:t>American</w:t>
      </w:r>
      <w:r>
        <w:rPr>
          <w:rFonts w:ascii="Calibri"/>
          <w:i/>
          <w:spacing w:val="40"/>
          <w:sz w:val="22"/>
        </w:rPr>
        <w:t> </w:t>
      </w:r>
      <w:r>
        <w:rPr>
          <w:rFonts w:ascii="Calibri"/>
          <w:i/>
          <w:sz w:val="22"/>
        </w:rPr>
        <w:t>Journal</w:t>
      </w:r>
      <w:r>
        <w:rPr>
          <w:rFonts w:ascii="Calibri"/>
          <w:i/>
          <w:spacing w:val="40"/>
          <w:sz w:val="22"/>
        </w:rPr>
        <w:t> </w:t>
      </w:r>
      <w:r>
        <w:rPr>
          <w:rFonts w:ascii="Calibri"/>
          <w:i/>
          <w:sz w:val="22"/>
        </w:rPr>
        <w:t>of</w:t>
      </w:r>
      <w:r>
        <w:rPr>
          <w:rFonts w:ascii="Calibri"/>
          <w:i/>
          <w:spacing w:val="40"/>
          <w:sz w:val="22"/>
        </w:rPr>
        <w:t> </w:t>
      </w:r>
      <w:r>
        <w:rPr>
          <w:rFonts w:ascii="Calibri"/>
          <w:i/>
          <w:sz w:val="22"/>
        </w:rPr>
        <w:t>Political</w:t>
      </w:r>
      <w:r>
        <w:rPr>
          <w:rFonts w:ascii="Calibri"/>
          <w:i/>
          <w:spacing w:val="40"/>
          <w:sz w:val="22"/>
        </w:rPr>
        <w:t> </w:t>
      </w:r>
      <w:r>
        <w:rPr>
          <w:rFonts w:ascii="Calibri"/>
          <w:i/>
          <w:sz w:val="22"/>
        </w:rPr>
        <w:t>Science, 58</w:t>
      </w:r>
      <w:r>
        <w:rPr>
          <w:rFonts w:ascii="Calibri"/>
          <w:sz w:val="22"/>
        </w:rPr>
        <w:t>(2), 367-386. doi: 10.1111/ajps.12062</w:t>
      </w:r>
    </w:p>
    <w:p>
      <w:pPr>
        <w:spacing w:before="2"/>
        <w:ind w:left="1700" w:right="1906" w:hanging="721"/>
        <w:jc w:val="both"/>
        <w:rPr>
          <w:rFonts w:ascii="Calibri"/>
          <w:sz w:val="22"/>
        </w:rPr>
      </w:pPr>
      <w:bookmarkStart w:name="_bookmark106" w:id="107"/>
      <w:bookmarkEnd w:id="107"/>
      <w:r>
        <w:rPr/>
      </w:r>
      <w:r>
        <w:rPr>
          <w:rFonts w:ascii="Calibri"/>
          <w:sz w:val="22"/>
        </w:rPr>
        <w:t>Borchardt, K.-D. (2011). Euro crisis: a bombshell for European Integration. </w:t>
      </w:r>
      <w:r>
        <w:rPr>
          <w:rFonts w:ascii="Calibri"/>
          <w:i/>
          <w:sz w:val="22"/>
        </w:rPr>
        <w:t>Lecture at the opening ceremony for the academic year</w:t>
      </w:r>
      <w:r>
        <w:rPr>
          <w:rFonts w:ascii="Calibri"/>
          <w:sz w:val="22"/>
        </w:rPr>
        <w:t>.</w:t>
      </w:r>
    </w:p>
    <w:p>
      <w:pPr>
        <w:spacing w:before="1"/>
        <w:ind w:left="1700" w:right="1904" w:hanging="721"/>
        <w:jc w:val="both"/>
        <w:rPr>
          <w:rFonts w:ascii="Calibri" w:hAnsi="Calibri"/>
          <w:sz w:val="22"/>
        </w:rPr>
      </w:pPr>
      <w:bookmarkStart w:name="_bookmark107" w:id="108"/>
      <w:bookmarkEnd w:id="108"/>
      <w:r>
        <w:rPr/>
      </w:r>
      <w:r>
        <w:rPr>
          <w:rFonts w:ascii="Calibri" w:hAnsi="Calibri"/>
          <w:sz w:val="22"/>
        </w:rPr>
        <w:t>Borońska-Hryniewiecka, K. (2015). The Black Box of European Legislation: The Motivation</w:t>
      </w:r>
      <w:r>
        <w:rPr>
          <w:rFonts w:ascii="Calibri" w:hAnsi="Calibri"/>
          <w:spacing w:val="40"/>
          <w:sz w:val="22"/>
        </w:rPr>
        <w:t> </w:t>
      </w:r>
      <w:r>
        <w:rPr>
          <w:rFonts w:ascii="Calibri" w:hAnsi="Calibri"/>
          <w:sz w:val="22"/>
        </w:rPr>
        <w:t>(or Lack of It) behind Transparency in EU Policymaking </w:t>
      </w:r>
      <w:r>
        <w:rPr>
          <w:rFonts w:ascii="Calibri" w:hAnsi="Calibri"/>
          <w:i/>
          <w:sz w:val="22"/>
        </w:rPr>
        <w:t>The Polish Institute for International Affairs, 4 </w:t>
      </w:r>
      <w:r>
        <w:rPr>
          <w:rFonts w:ascii="Calibri" w:hAnsi="Calibri"/>
          <w:sz w:val="22"/>
        </w:rPr>
        <w:t>(106).</w:t>
      </w:r>
    </w:p>
    <w:p>
      <w:pPr>
        <w:spacing w:before="1"/>
        <w:ind w:left="1700" w:right="1908" w:hanging="721"/>
        <w:jc w:val="both"/>
        <w:rPr>
          <w:rFonts w:ascii="Calibri" w:hAnsi="Calibri"/>
          <w:sz w:val="22"/>
        </w:rPr>
      </w:pPr>
      <w:bookmarkStart w:name="_bookmark108" w:id="109"/>
      <w:bookmarkEnd w:id="109"/>
      <w:r>
        <w:rPr/>
      </w:r>
      <w:r>
        <w:rPr>
          <w:rFonts w:ascii="Calibri" w:hAnsi="Calibri"/>
          <w:sz w:val="22"/>
        </w:rPr>
        <w:t>Borrás, S., &amp; Radaelli, C. M. (2015). Open method of co-ordination for demoi-cracy? Standards and purposes. </w:t>
      </w:r>
      <w:r>
        <w:rPr>
          <w:rFonts w:ascii="Calibri" w:hAnsi="Calibri"/>
          <w:i/>
          <w:sz w:val="22"/>
        </w:rPr>
        <w:t>Journal of European Public Policy, 22</w:t>
      </w:r>
      <w:r>
        <w:rPr>
          <w:rFonts w:ascii="Calibri" w:hAnsi="Calibri"/>
          <w:sz w:val="22"/>
        </w:rPr>
        <w:t>(1), 129-144. doi: </w:t>
      </w:r>
      <w:r>
        <w:rPr>
          <w:rFonts w:ascii="Calibri" w:hAnsi="Calibri"/>
          <w:spacing w:val="-2"/>
          <w:sz w:val="22"/>
        </w:rPr>
        <w:t>10.1080/13501763.2014.881412</w:t>
      </w:r>
    </w:p>
    <w:p>
      <w:pPr>
        <w:spacing w:before="1"/>
        <w:ind w:left="1700" w:right="1907" w:hanging="721"/>
        <w:jc w:val="both"/>
        <w:rPr>
          <w:rFonts w:ascii="Calibri" w:hAnsi="Calibri"/>
          <w:sz w:val="22"/>
        </w:rPr>
      </w:pPr>
      <w:bookmarkStart w:name="_bookmark109" w:id="110"/>
      <w:bookmarkEnd w:id="110"/>
      <w:r>
        <w:rPr/>
      </w:r>
      <w:r>
        <w:rPr>
          <w:rFonts w:ascii="Calibri" w:hAnsi="Calibri"/>
          <w:sz w:val="22"/>
        </w:rPr>
        <w:t>Börzel,</w:t>
      </w:r>
      <w:r>
        <w:rPr>
          <w:rFonts w:ascii="Calibri" w:hAnsi="Calibri"/>
          <w:spacing w:val="-3"/>
          <w:sz w:val="22"/>
        </w:rPr>
        <w:t> </w:t>
      </w:r>
      <w:r>
        <w:rPr>
          <w:rFonts w:ascii="Calibri" w:hAnsi="Calibri"/>
          <w:sz w:val="22"/>
        </w:rPr>
        <w:t>T. A.,</w:t>
      </w:r>
      <w:r>
        <w:rPr>
          <w:rFonts w:ascii="Calibri" w:hAnsi="Calibri"/>
          <w:spacing w:val="-3"/>
          <w:sz w:val="22"/>
        </w:rPr>
        <w:t> </w:t>
      </w:r>
      <w:r>
        <w:rPr>
          <w:rFonts w:ascii="Calibri" w:hAnsi="Calibri"/>
          <w:sz w:val="22"/>
        </w:rPr>
        <w:t>&amp;</w:t>
      </w:r>
      <w:r>
        <w:rPr>
          <w:rFonts w:ascii="Calibri" w:hAnsi="Calibri"/>
          <w:spacing w:val="-2"/>
          <w:sz w:val="22"/>
        </w:rPr>
        <w:t> </w:t>
      </w:r>
      <w:r>
        <w:rPr>
          <w:rFonts w:ascii="Calibri" w:hAnsi="Calibri"/>
          <w:sz w:val="22"/>
        </w:rPr>
        <w:t>Heard-Lauréote,</w:t>
      </w:r>
      <w:r>
        <w:rPr>
          <w:rFonts w:ascii="Calibri" w:hAnsi="Calibri"/>
          <w:spacing w:val="-3"/>
          <w:sz w:val="22"/>
        </w:rPr>
        <w:t> </w:t>
      </w:r>
      <w:r>
        <w:rPr>
          <w:rFonts w:ascii="Calibri" w:hAnsi="Calibri"/>
          <w:sz w:val="22"/>
        </w:rPr>
        <w:t>K. (2009). Networks in</w:t>
      </w:r>
      <w:r>
        <w:rPr>
          <w:rFonts w:ascii="Calibri" w:hAnsi="Calibri"/>
          <w:spacing w:val="-5"/>
          <w:sz w:val="22"/>
        </w:rPr>
        <w:t> </w:t>
      </w:r>
      <w:r>
        <w:rPr>
          <w:rFonts w:ascii="Calibri" w:hAnsi="Calibri"/>
          <w:sz w:val="22"/>
        </w:rPr>
        <w:t>EU Multi-level Governance:</w:t>
      </w:r>
      <w:r>
        <w:rPr>
          <w:rFonts w:ascii="Calibri" w:hAnsi="Calibri"/>
          <w:spacing w:val="-2"/>
          <w:sz w:val="22"/>
        </w:rPr>
        <w:t> </w:t>
      </w:r>
      <w:r>
        <w:rPr>
          <w:rFonts w:ascii="Calibri" w:hAnsi="Calibri"/>
          <w:sz w:val="22"/>
        </w:rPr>
        <w:t>Concepts and Contributions. </w:t>
      </w:r>
      <w:r>
        <w:rPr>
          <w:rFonts w:ascii="Calibri" w:hAnsi="Calibri"/>
          <w:i/>
          <w:sz w:val="22"/>
        </w:rPr>
        <w:t>Journal of Public Policy, 29</w:t>
      </w:r>
      <w:r>
        <w:rPr>
          <w:rFonts w:ascii="Calibri" w:hAnsi="Calibri"/>
          <w:sz w:val="22"/>
        </w:rPr>
        <w:t>(Special Issue 02), 135-151. doi: </w:t>
      </w:r>
      <w:r>
        <w:rPr>
          <w:rFonts w:ascii="Calibri" w:hAnsi="Calibri"/>
          <w:spacing w:val="-2"/>
          <w:sz w:val="22"/>
        </w:rPr>
        <w:t>doi:10.1017/S0143814X09001044</w:t>
      </w:r>
    </w:p>
    <w:p>
      <w:pPr>
        <w:spacing w:before="1"/>
        <w:ind w:left="1700" w:right="1904" w:hanging="721"/>
        <w:jc w:val="both"/>
        <w:rPr>
          <w:rFonts w:ascii="Calibri"/>
          <w:sz w:val="22"/>
        </w:rPr>
      </w:pPr>
      <w:bookmarkStart w:name="_bookmark110" w:id="111"/>
      <w:bookmarkEnd w:id="111"/>
      <w:r>
        <w:rPr/>
      </w:r>
      <w:r>
        <w:rPr>
          <w:rFonts w:ascii="Calibri"/>
          <w:sz w:val="22"/>
        </w:rPr>
        <w:t>Boulding,</w:t>
      </w:r>
      <w:r>
        <w:rPr>
          <w:rFonts w:ascii="Calibri"/>
          <w:spacing w:val="-4"/>
          <w:sz w:val="22"/>
        </w:rPr>
        <w:t> </w:t>
      </w:r>
      <w:r>
        <w:rPr>
          <w:rFonts w:ascii="Calibri"/>
          <w:sz w:val="22"/>
        </w:rPr>
        <w:t>K. (1953). Toward</w:t>
      </w:r>
      <w:r>
        <w:rPr>
          <w:rFonts w:ascii="Calibri"/>
          <w:spacing w:val="-6"/>
          <w:sz w:val="22"/>
        </w:rPr>
        <w:t> </w:t>
      </w:r>
      <w:r>
        <w:rPr>
          <w:rFonts w:ascii="Calibri"/>
          <w:sz w:val="22"/>
        </w:rPr>
        <w:t>a</w:t>
      </w:r>
      <w:r>
        <w:rPr>
          <w:rFonts w:ascii="Calibri"/>
          <w:spacing w:val="-2"/>
          <w:sz w:val="22"/>
        </w:rPr>
        <w:t> </w:t>
      </w:r>
      <w:r>
        <w:rPr>
          <w:rFonts w:ascii="Calibri"/>
          <w:sz w:val="22"/>
        </w:rPr>
        <w:t>General</w:t>
      </w:r>
      <w:r>
        <w:rPr>
          <w:rFonts w:ascii="Calibri"/>
          <w:spacing w:val="-4"/>
          <w:sz w:val="22"/>
        </w:rPr>
        <w:t> </w:t>
      </w:r>
      <w:r>
        <w:rPr>
          <w:rFonts w:ascii="Calibri"/>
          <w:sz w:val="22"/>
        </w:rPr>
        <w:t>Theory</w:t>
      </w:r>
      <w:r>
        <w:rPr>
          <w:rFonts w:ascii="Calibri"/>
          <w:spacing w:val="-1"/>
          <w:sz w:val="22"/>
        </w:rPr>
        <w:t> </w:t>
      </w:r>
      <w:r>
        <w:rPr>
          <w:rFonts w:ascii="Calibri"/>
          <w:sz w:val="22"/>
        </w:rPr>
        <w:t>of</w:t>
      </w:r>
      <w:r>
        <w:rPr>
          <w:rFonts w:ascii="Calibri"/>
          <w:spacing w:val="-2"/>
          <w:sz w:val="22"/>
        </w:rPr>
        <w:t> </w:t>
      </w:r>
      <w:r>
        <w:rPr>
          <w:rFonts w:ascii="Calibri"/>
          <w:sz w:val="22"/>
        </w:rPr>
        <w:t>Growth. </w:t>
      </w:r>
      <w:r>
        <w:rPr>
          <w:rFonts w:ascii="Calibri"/>
          <w:i/>
          <w:sz w:val="22"/>
        </w:rPr>
        <w:t>The</w:t>
      </w:r>
      <w:r>
        <w:rPr>
          <w:rFonts w:ascii="Calibri"/>
          <w:i/>
          <w:spacing w:val="-5"/>
          <w:sz w:val="22"/>
        </w:rPr>
        <w:t> </w:t>
      </w:r>
      <w:r>
        <w:rPr>
          <w:rFonts w:ascii="Calibri"/>
          <w:i/>
          <w:sz w:val="22"/>
        </w:rPr>
        <w:t>Canadian</w:t>
      </w:r>
      <w:r>
        <w:rPr>
          <w:rFonts w:ascii="Calibri"/>
          <w:i/>
          <w:spacing w:val="-5"/>
          <w:sz w:val="22"/>
        </w:rPr>
        <w:t> </w:t>
      </w:r>
      <w:r>
        <w:rPr>
          <w:rFonts w:ascii="Calibri"/>
          <w:i/>
          <w:sz w:val="22"/>
        </w:rPr>
        <w:t>Journal</w:t>
      </w:r>
      <w:r>
        <w:rPr>
          <w:rFonts w:ascii="Calibri"/>
          <w:i/>
          <w:spacing w:val="-4"/>
          <w:sz w:val="22"/>
        </w:rPr>
        <w:t> </w:t>
      </w:r>
      <w:r>
        <w:rPr>
          <w:rFonts w:ascii="Calibri"/>
          <w:i/>
          <w:sz w:val="22"/>
        </w:rPr>
        <w:t>of</w:t>
      </w:r>
      <w:r>
        <w:rPr>
          <w:rFonts w:ascii="Calibri"/>
          <w:i/>
          <w:spacing w:val="-6"/>
          <w:sz w:val="22"/>
        </w:rPr>
        <w:t> </w:t>
      </w:r>
      <w:r>
        <w:rPr>
          <w:rFonts w:ascii="Calibri"/>
          <w:i/>
          <w:sz w:val="22"/>
        </w:rPr>
        <w:t>Economics and Political Science / Revue canadienne d'Economique et de Science politique,</w:t>
      </w:r>
      <w:r>
        <w:rPr>
          <w:rFonts w:ascii="Calibri"/>
          <w:i/>
          <w:spacing w:val="40"/>
          <w:sz w:val="22"/>
        </w:rPr>
        <w:t> </w:t>
      </w:r>
      <w:r>
        <w:rPr>
          <w:rFonts w:ascii="Calibri"/>
          <w:i/>
          <w:sz w:val="22"/>
        </w:rPr>
        <w:t>19</w:t>
      </w:r>
      <w:r>
        <w:rPr>
          <w:rFonts w:ascii="Calibri"/>
          <w:sz w:val="22"/>
        </w:rPr>
        <w:t>(3), 326-340. doi: 10.2307/138345</w:t>
      </w:r>
    </w:p>
    <w:p>
      <w:pPr>
        <w:spacing w:before="1"/>
        <w:ind w:left="1700" w:right="1903" w:hanging="721"/>
        <w:jc w:val="both"/>
        <w:rPr>
          <w:rFonts w:ascii="Calibri" w:hAnsi="Calibri"/>
          <w:sz w:val="22"/>
        </w:rPr>
      </w:pPr>
      <w:bookmarkStart w:name="_bookmark111" w:id="112"/>
      <w:bookmarkEnd w:id="112"/>
      <w:r>
        <w:rPr/>
      </w:r>
      <w:r>
        <w:rPr>
          <w:rFonts w:ascii="Calibri" w:hAnsi="Calibri"/>
          <w:sz w:val="22"/>
        </w:rPr>
        <w:t>Boulding, K. (1956). General Systems Theory—The Skeleton of Science. </w:t>
      </w:r>
      <w:r>
        <w:rPr>
          <w:rFonts w:ascii="Calibri" w:hAnsi="Calibri"/>
          <w:i/>
          <w:sz w:val="22"/>
        </w:rPr>
        <w:t>Management Science, 2</w:t>
      </w:r>
      <w:r>
        <w:rPr>
          <w:rFonts w:ascii="Calibri" w:hAnsi="Calibri"/>
          <w:sz w:val="22"/>
        </w:rPr>
        <w:t>(3), 197-208. doi: doi:10.1287/mnsc.2.3.197</w:t>
      </w:r>
    </w:p>
    <w:p>
      <w:pPr>
        <w:spacing w:before="1"/>
        <w:ind w:left="1700" w:right="1902" w:hanging="721"/>
        <w:jc w:val="both"/>
        <w:rPr>
          <w:rFonts w:ascii="Calibri"/>
          <w:sz w:val="22"/>
        </w:rPr>
      </w:pPr>
      <w:r>
        <w:rPr>
          <w:rFonts w:ascii="Calibri"/>
          <w:sz w:val="22"/>
        </w:rPr>
        <w:t>Boulding, K. (1964). General Systems as a Point of View. In M. M. D. (Ed.), </w:t>
      </w:r>
      <w:r>
        <w:rPr>
          <w:rFonts w:ascii="Calibri"/>
          <w:i/>
          <w:sz w:val="22"/>
        </w:rPr>
        <w:t>Views on General Systems Theory</w:t>
      </w:r>
      <w:r>
        <w:rPr>
          <w:rFonts w:ascii="Calibri"/>
          <w:sz w:val="22"/>
        </w:rPr>
        <w:t>. New York John Wiley &amp; Sons, inc.</w:t>
      </w:r>
    </w:p>
    <w:p>
      <w:pPr>
        <w:spacing w:line="235" w:lineRule="auto" w:before="4"/>
        <w:ind w:left="1700" w:right="1911" w:hanging="721"/>
        <w:jc w:val="both"/>
        <w:rPr>
          <w:rFonts w:ascii="Calibri"/>
          <w:sz w:val="22"/>
        </w:rPr>
      </w:pPr>
      <w:bookmarkStart w:name="_bookmark112" w:id="113"/>
      <w:bookmarkEnd w:id="113"/>
      <w:r>
        <w:rPr/>
      </w:r>
      <w:r>
        <w:rPr>
          <w:rFonts w:ascii="Calibri"/>
          <w:sz w:val="22"/>
        </w:rPr>
        <w:t>Bourgine, P., &amp; Stewart, J. (2004). Autopoiesis and Cognition. </w:t>
      </w:r>
      <w:r>
        <w:rPr>
          <w:rFonts w:ascii="Calibri"/>
          <w:i/>
          <w:sz w:val="22"/>
        </w:rPr>
        <w:t>Artificial Life, 10</w:t>
      </w:r>
      <w:r>
        <w:rPr>
          <w:rFonts w:ascii="Calibri"/>
          <w:sz w:val="22"/>
        </w:rPr>
        <w:t>(3), 327-345. doi: 10.1162/1064546041255557</w:t>
      </w:r>
    </w:p>
    <w:p>
      <w:pPr>
        <w:spacing w:before="3"/>
        <w:ind w:left="979" w:right="0" w:firstLine="0"/>
        <w:jc w:val="both"/>
        <w:rPr>
          <w:rFonts w:ascii="Calibri"/>
          <w:sz w:val="22"/>
        </w:rPr>
      </w:pPr>
      <w:bookmarkStart w:name="_bookmark113" w:id="114"/>
      <w:bookmarkEnd w:id="114"/>
      <w:r>
        <w:rPr/>
      </w:r>
      <w:r>
        <w:rPr>
          <w:rFonts w:ascii="Calibri"/>
          <w:sz w:val="22"/>
        </w:rPr>
        <w:t>Bovens,</w:t>
      </w:r>
      <w:r>
        <w:rPr>
          <w:rFonts w:ascii="Calibri"/>
          <w:spacing w:val="49"/>
          <w:sz w:val="22"/>
        </w:rPr>
        <w:t> </w:t>
      </w:r>
      <w:r>
        <w:rPr>
          <w:rFonts w:ascii="Calibri"/>
          <w:sz w:val="22"/>
        </w:rPr>
        <w:t>M.</w:t>
      </w:r>
      <w:r>
        <w:rPr>
          <w:rFonts w:ascii="Calibri"/>
          <w:spacing w:val="55"/>
          <w:sz w:val="22"/>
        </w:rPr>
        <w:t> </w:t>
      </w:r>
      <w:r>
        <w:rPr>
          <w:rFonts w:ascii="Calibri"/>
          <w:sz w:val="22"/>
        </w:rPr>
        <w:t>(2007).</w:t>
      </w:r>
      <w:r>
        <w:rPr>
          <w:rFonts w:ascii="Calibri"/>
          <w:spacing w:val="54"/>
          <w:sz w:val="22"/>
        </w:rPr>
        <w:t> </w:t>
      </w:r>
      <w:r>
        <w:rPr>
          <w:rFonts w:ascii="Calibri"/>
          <w:sz w:val="22"/>
        </w:rPr>
        <w:t>Analysing</w:t>
      </w:r>
      <w:r>
        <w:rPr>
          <w:rFonts w:ascii="Calibri"/>
          <w:spacing w:val="55"/>
          <w:sz w:val="22"/>
        </w:rPr>
        <w:t> </w:t>
      </w:r>
      <w:r>
        <w:rPr>
          <w:rFonts w:ascii="Calibri"/>
          <w:sz w:val="22"/>
        </w:rPr>
        <w:t>and</w:t>
      </w:r>
      <w:r>
        <w:rPr>
          <w:rFonts w:ascii="Calibri"/>
          <w:spacing w:val="52"/>
          <w:sz w:val="22"/>
        </w:rPr>
        <w:t> </w:t>
      </w:r>
      <w:r>
        <w:rPr>
          <w:rFonts w:ascii="Calibri"/>
          <w:sz w:val="22"/>
        </w:rPr>
        <w:t>Assessing</w:t>
      </w:r>
      <w:r>
        <w:rPr>
          <w:rFonts w:ascii="Calibri"/>
          <w:spacing w:val="55"/>
          <w:sz w:val="22"/>
        </w:rPr>
        <w:t> </w:t>
      </w:r>
      <w:r>
        <w:rPr>
          <w:rFonts w:ascii="Calibri"/>
          <w:sz w:val="22"/>
        </w:rPr>
        <w:t>Accountability:</w:t>
      </w:r>
      <w:r>
        <w:rPr>
          <w:rFonts w:ascii="Calibri"/>
          <w:spacing w:val="52"/>
          <w:sz w:val="22"/>
        </w:rPr>
        <w:t> </w:t>
      </w:r>
      <w:r>
        <w:rPr>
          <w:rFonts w:ascii="Calibri"/>
          <w:sz w:val="22"/>
        </w:rPr>
        <w:t>A</w:t>
      </w:r>
      <w:r>
        <w:rPr>
          <w:rFonts w:ascii="Calibri"/>
          <w:spacing w:val="51"/>
          <w:sz w:val="22"/>
        </w:rPr>
        <w:t> </w:t>
      </w:r>
      <w:r>
        <w:rPr>
          <w:rFonts w:ascii="Calibri"/>
          <w:sz w:val="22"/>
        </w:rPr>
        <w:t>Conceptual</w:t>
      </w:r>
      <w:r>
        <w:rPr>
          <w:rFonts w:ascii="Calibri"/>
          <w:spacing w:val="55"/>
          <w:sz w:val="22"/>
        </w:rPr>
        <w:t> </w:t>
      </w:r>
      <w:r>
        <w:rPr>
          <w:rFonts w:ascii="Calibri"/>
          <w:spacing w:val="-2"/>
          <w:sz w:val="22"/>
        </w:rPr>
        <w:t>Framework1.</w:t>
      </w:r>
    </w:p>
    <w:p>
      <w:pPr>
        <w:spacing w:before="0"/>
        <w:ind w:left="1700" w:right="0" w:firstLine="0"/>
        <w:jc w:val="both"/>
        <w:rPr>
          <w:rFonts w:ascii="Calibri"/>
          <w:sz w:val="22"/>
        </w:rPr>
      </w:pPr>
      <w:r>
        <w:rPr>
          <w:rFonts w:ascii="Calibri"/>
          <w:i/>
          <w:sz w:val="22"/>
        </w:rPr>
        <w:t>European</w:t>
      </w:r>
      <w:r>
        <w:rPr>
          <w:rFonts w:ascii="Calibri"/>
          <w:i/>
          <w:spacing w:val="-8"/>
          <w:sz w:val="22"/>
        </w:rPr>
        <w:t> </w:t>
      </w:r>
      <w:r>
        <w:rPr>
          <w:rFonts w:ascii="Calibri"/>
          <w:i/>
          <w:sz w:val="22"/>
        </w:rPr>
        <w:t>Law</w:t>
      </w:r>
      <w:r>
        <w:rPr>
          <w:rFonts w:ascii="Calibri"/>
          <w:i/>
          <w:spacing w:val="-7"/>
          <w:sz w:val="22"/>
        </w:rPr>
        <w:t> </w:t>
      </w:r>
      <w:r>
        <w:rPr>
          <w:rFonts w:ascii="Calibri"/>
          <w:i/>
          <w:sz w:val="22"/>
        </w:rPr>
        <w:t>Journal,</w:t>
      </w:r>
      <w:r>
        <w:rPr>
          <w:rFonts w:ascii="Calibri"/>
          <w:i/>
          <w:spacing w:val="-11"/>
          <w:sz w:val="22"/>
        </w:rPr>
        <w:t> </w:t>
      </w:r>
      <w:r>
        <w:rPr>
          <w:rFonts w:ascii="Calibri"/>
          <w:i/>
          <w:sz w:val="22"/>
        </w:rPr>
        <w:t>13</w:t>
      </w:r>
      <w:r>
        <w:rPr>
          <w:rFonts w:ascii="Calibri"/>
          <w:sz w:val="22"/>
        </w:rPr>
        <w:t>(4),</w:t>
      </w:r>
      <w:r>
        <w:rPr>
          <w:rFonts w:ascii="Calibri"/>
          <w:spacing w:val="-10"/>
          <w:sz w:val="22"/>
        </w:rPr>
        <w:t> </w:t>
      </w:r>
      <w:r>
        <w:rPr>
          <w:rFonts w:ascii="Calibri"/>
          <w:sz w:val="22"/>
        </w:rPr>
        <w:t>447-468.</w:t>
      </w:r>
      <w:r>
        <w:rPr>
          <w:rFonts w:ascii="Calibri"/>
          <w:spacing w:val="-7"/>
          <w:sz w:val="22"/>
        </w:rPr>
        <w:t> </w:t>
      </w:r>
      <w:r>
        <w:rPr>
          <w:rFonts w:ascii="Calibri"/>
          <w:sz w:val="22"/>
        </w:rPr>
        <w:t>doi:</w:t>
      </w:r>
      <w:r>
        <w:rPr>
          <w:rFonts w:ascii="Calibri"/>
          <w:spacing w:val="-9"/>
          <w:sz w:val="22"/>
        </w:rPr>
        <w:t> </w:t>
      </w:r>
      <w:r>
        <w:rPr>
          <w:rFonts w:ascii="Calibri"/>
          <w:sz w:val="22"/>
        </w:rPr>
        <w:t>10.1111/j.1468-</w:t>
      </w:r>
      <w:r>
        <w:rPr>
          <w:rFonts w:ascii="Calibri"/>
          <w:spacing w:val="-2"/>
          <w:sz w:val="22"/>
        </w:rPr>
        <w:t>0386.2007.00378.x</w:t>
      </w:r>
    </w:p>
    <w:p>
      <w:pPr>
        <w:spacing w:after="0"/>
        <w:jc w:val="both"/>
        <w:rPr>
          <w:rFonts w:asci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1700" w:right="1904" w:hanging="721"/>
        <w:jc w:val="both"/>
        <w:rPr>
          <w:rFonts w:ascii="Calibri"/>
          <w:sz w:val="22"/>
        </w:rPr>
      </w:pPr>
      <w:bookmarkStart w:name="_bookmark114" w:id="115"/>
      <w:bookmarkEnd w:id="115"/>
      <w:r>
        <w:rPr/>
      </w:r>
      <w:r>
        <w:rPr>
          <w:rFonts w:ascii="Calibri"/>
          <w:sz w:val="22"/>
        </w:rPr>
        <w:t>Bowman, J. (2007). Challenging Habermas' response to the European Union democratic deficit. </w:t>
      </w:r>
      <w:r>
        <w:rPr>
          <w:rFonts w:ascii="Calibri"/>
          <w:i/>
          <w:sz w:val="22"/>
        </w:rPr>
        <w:t>Philosophy &amp; Social Criticism, 33</w:t>
      </w:r>
      <w:r>
        <w:rPr>
          <w:rFonts w:ascii="Calibri"/>
          <w:sz w:val="22"/>
        </w:rPr>
        <w:t>(6), 736-755. doi: </w:t>
      </w:r>
      <w:r>
        <w:rPr>
          <w:rFonts w:ascii="Calibri"/>
          <w:spacing w:val="-2"/>
          <w:sz w:val="22"/>
        </w:rPr>
        <w:t>10.1177/0191453707080592</w:t>
      </w:r>
    </w:p>
    <w:p>
      <w:pPr>
        <w:spacing w:line="237" w:lineRule="auto" w:before="4"/>
        <w:ind w:left="1700" w:right="1903" w:hanging="721"/>
        <w:jc w:val="both"/>
        <w:rPr>
          <w:rFonts w:ascii="Calibri"/>
          <w:sz w:val="22"/>
        </w:rPr>
      </w:pPr>
      <w:bookmarkStart w:name="_bookmark115" w:id="116"/>
      <w:bookmarkEnd w:id="116"/>
      <w:r>
        <w:rPr/>
      </w:r>
      <w:r>
        <w:rPr>
          <w:rFonts w:ascii="Calibri"/>
          <w:sz w:val="22"/>
        </w:rPr>
        <w:t>Branch, A. P., &amp; Ohrgaard, J. C. (1999). Trapped in the supranational-intergovernmental dichotomy: a response to Stone Sweet and Sandholtz. </w:t>
      </w:r>
      <w:r>
        <w:rPr>
          <w:rFonts w:ascii="Calibri"/>
          <w:i/>
          <w:sz w:val="22"/>
        </w:rPr>
        <w:t>Journal of European Public Policy, 6</w:t>
      </w:r>
      <w:r>
        <w:rPr>
          <w:rFonts w:ascii="Calibri"/>
          <w:sz w:val="22"/>
        </w:rPr>
        <w:t>(1), 123-143. doi: 10.1080/135017699343838</w:t>
      </w:r>
    </w:p>
    <w:p>
      <w:pPr>
        <w:spacing w:before="2"/>
        <w:ind w:left="1700" w:right="1912" w:hanging="721"/>
        <w:jc w:val="both"/>
        <w:rPr>
          <w:rFonts w:ascii="Calibri"/>
          <w:sz w:val="22"/>
        </w:rPr>
      </w:pPr>
      <w:bookmarkStart w:name="_bookmark116" w:id="117"/>
      <w:bookmarkEnd w:id="117"/>
      <w:r>
        <w:rPr/>
      </w:r>
      <w:r>
        <w:rPr>
          <w:rFonts w:ascii="Calibri"/>
          <w:sz w:val="22"/>
        </w:rPr>
        <w:t>Bryen, S. D. (1971). </w:t>
      </w:r>
      <w:r>
        <w:rPr>
          <w:rFonts w:ascii="Calibri"/>
          <w:i/>
          <w:sz w:val="22"/>
        </w:rPr>
        <w:t>The application of cybernetic analysis to the study of international politics</w:t>
      </w:r>
      <w:r>
        <w:rPr>
          <w:rFonts w:ascii="Calibri"/>
          <w:sz w:val="22"/>
        </w:rPr>
        <w:t>. The Hague,: Nijhoff.</w:t>
      </w:r>
    </w:p>
    <w:p>
      <w:pPr>
        <w:spacing w:before="0"/>
        <w:ind w:left="1700" w:right="1911" w:hanging="721"/>
        <w:jc w:val="both"/>
        <w:rPr>
          <w:rFonts w:ascii="Calibri" w:hAnsi="Calibri"/>
          <w:sz w:val="22"/>
        </w:rPr>
      </w:pPr>
      <w:bookmarkStart w:name="_bookmark117" w:id="118"/>
      <w:bookmarkEnd w:id="118"/>
      <w:r>
        <w:rPr/>
      </w:r>
      <w:r>
        <w:rPr>
          <w:rFonts w:ascii="Calibri" w:hAnsi="Calibri"/>
          <w:sz w:val="22"/>
        </w:rPr>
        <w:t>Buess, M. (2014). European</w:t>
      </w:r>
      <w:r>
        <w:rPr>
          <w:rFonts w:ascii="Calibri" w:hAnsi="Calibri"/>
          <w:spacing w:val="-2"/>
          <w:sz w:val="22"/>
        </w:rPr>
        <w:t> </w:t>
      </w:r>
      <w:r>
        <w:rPr>
          <w:rFonts w:ascii="Calibri" w:hAnsi="Calibri"/>
          <w:sz w:val="22"/>
        </w:rPr>
        <w:t>Union</w:t>
      </w:r>
      <w:r>
        <w:rPr>
          <w:rFonts w:ascii="Calibri" w:hAnsi="Calibri"/>
          <w:spacing w:val="-2"/>
          <w:sz w:val="22"/>
        </w:rPr>
        <w:t> </w:t>
      </w:r>
      <w:r>
        <w:rPr>
          <w:rFonts w:ascii="Calibri" w:hAnsi="Calibri"/>
          <w:sz w:val="22"/>
        </w:rPr>
        <w:t>Agencies’ Vertical Relationships</w:t>
      </w:r>
      <w:r>
        <w:rPr>
          <w:rFonts w:ascii="Calibri" w:hAnsi="Calibri"/>
          <w:spacing w:val="-2"/>
          <w:sz w:val="22"/>
        </w:rPr>
        <w:t> </w:t>
      </w:r>
      <w:r>
        <w:rPr>
          <w:rFonts w:ascii="Calibri" w:hAnsi="Calibri"/>
          <w:sz w:val="22"/>
        </w:rPr>
        <w:t>with the Member States: Domestic</w:t>
      </w:r>
      <w:r>
        <w:rPr>
          <w:rFonts w:ascii="Calibri" w:hAnsi="Calibri"/>
          <w:spacing w:val="31"/>
          <w:sz w:val="22"/>
        </w:rPr>
        <w:t> </w:t>
      </w:r>
      <w:r>
        <w:rPr>
          <w:rFonts w:ascii="Calibri" w:hAnsi="Calibri"/>
          <w:sz w:val="22"/>
        </w:rPr>
        <w:t>Sources</w:t>
      </w:r>
      <w:r>
        <w:rPr>
          <w:rFonts w:ascii="Calibri" w:hAnsi="Calibri"/>
          <w:spacing w:val="34"/>
          <w:sz w:val="22"/>
        </w:rPr>
        <w:t> </w:t>
      </w:r>
      <w:r>
        <w:rPr>
          <w:rFonts w:ascii="Calibri" w:hAnsi="Calibri"/>
          <w:sz w:val="22"/>
        </w:rPr>
        <w:t>of</w:t>
      </w:r>
      <w:r>
        <w:rPr>
          <w:rFonts w:ascii="Calibri" w:hAnsi="Calibri"/>
          <w:spacing w:val="33"/>
          <w:sz w:val="22"/>
        </w:rPr>
        <w:t> </w:t>
      </w:r>
      <w:r>
        <w:rPr>
          <w:rFonts w:ascii="Calibri" w:hAnsi="Calibri"/>
          <w:sz w:val="22"/>
        </w:rPr>
        <w:t>Accountability?</w:t>
      </w:r>
      <w:r>
        <w:rPr>
          <w:rFonts w:ascii="Calibri" w:hAnsi="Calibri"/>
          <w:spacing w:val="36"/>
          <w:sz w:val="22"/>
        </w:rPr>
        <w:t> </w:t>
      </w:r>
      <w:r>
        <w:rPr>
          <w:rFonts w:ascii="Calibri" w:hAnsi="Calibri"/>
          <w:i/>
          <w:sz w:val="22"/>
        </w:rPr>
        <w:t>Journal</w:t>
      </w:r>
      <w:r>
        <w:rPr>
          <w:rFonts w:ascii="Calibri" w:hAnsi="Calibri"/>
          <w:i/>
          <w:spacing w:val="35"/>
          <w:sz w:val="22"/>
        </w:rPr>
        <w:t> </w:t>
      </w:r>
      <w:r>
        <w:rPr>
          <w:rFonts w:ascii="Calibri" w:hAnsi="Calibri"/>
          <w:i/>
          <w:sz w:val="22"/>
        </w:rPr>
        <w:t>of</w:t>
      </w:r>
      <w:r>
        <w:rPr>
          <w:rFonts w:ascii="Calibri" w:hAnsi="Calibri"/>
          <w:i/>
          <w:spacing w:val="33"/>
          <w:sz w:val="22"/>
        </w:rPr>
        <w:t> </w:t>
      </w:r>
      <w:r>
        <w:rPr>
          <w:rFonts w:ascii="Calibri" w:hAnsi="Calibri"/>
          <w:i/>
          <w:sz w:val="22"/>
        </w:rPr>
        <w:t>European</w:t>
      </w:r>
      <w:r>
        <w:rPr>
          <w:rFonts w:ascii="Calibri" w:hAnsi="Calibri"/>
          <w:i/>
          <w:spacing w:val="30"/>
          <w:sz w:val="22"/>
        </w:rPr>
        <w:t> </w:t>
      </w:r>
      <w:r>
        <w:rPr>
          <w:rFonts w:ascii="Calibri" w:hAnsi="Calibri"/>
          <w:i/>
          <w:sz w:val="22"/>
        </w:rPr>
        <w:t>Integration,</w:t>
      </w:r>
      <w:r>
        <w:rPr>
          <w:rFonts w:ascii="Calibri" w:hAnsi="Calibri"/>
          <w:i/>
          <w:spacing w:val="31"/>
          <w:sz w:val="22"/>
        </w:rPr>
        <w:t> </w:t>
      </w:r>
      <w:r>
        <w:rPr>
          <w:rFonts w:ascii="Calibri" w:hAnsi="Calibri"/>
          <w:i/>
          <w:sz w:val="22"/>
        </w:rPr>
        <w:t>36</w:t>
      </w:r>
      <w:r>
        <w:rPr>
          <w:rFonts w:ascii="Calibri" w:hAnsi="Calibri"/>
          <w:sz w:val="22"/>
        </w:rPr>
        <w:t>(5),</w:t>
      </w:r>
      <w:r>
        <w:rPr>
          <w:rFonts w:ascii="Calibri" w:hAnsi="Calibri"/>
          <w:spacing w:val="31"/>
          <w:sz w:val="22"/>
        </w:rPr>
        <w:t> </w:t>
      </w:r>
      <w:r>
        <w:rPr>
          <w:rFonts w:ascii="Calibri" w:hAnsi="Calibri"/>
          <w:sz w:val="22"/>
        </w:rPr>
        <w:t>509-</w:t>
      </w:r>
    </w:p>
    <w:p>
      <w:pPr>
        <w:spacing w:before="1"/>
        <w:ind w:left="1700" w:right="0" w:firstLine="0"/>
        <w:jc w:val="both"/>
        <w:rPr>
          <w:rFonts w:ascii="Calibri"/>
          <w:sz w:val="22"/>
        </w:rPr>
      </w:pPr>
      <w:r>
        <w:rPr>
          <w:rFonts w:ascii="Calibri"/>
          <w:sz w:val="22"/>
        </w:rPr>
        <w:t>524.</w:t>
      </w:r>
      <w:r>
        <w:rPr>
          <w:rFonts w:ascii="Calibri"/>
          <w:spacing w:val="-5"/>
          <w:sz w:val="22"/>
        </w:rPr>
        <w:t> </w:t>
      </w:r>
      <w:r>
        <w:rPr>
          <w:rFonts w:ascii="Calibri"/>
          <w:sz w:val="22"/>
        </w:rPr>
        <w:t>doi:</w:t>
      </w:r>
      <w:r>
        <w:rPr>
          <w:rFonts w:ascii="Calibri"/>
          <w:spacing w:val="-7"/>
          <w:sz w:val="22"/>
        </w:rPr>
        <w:t> </w:t>
      </w:r>
      <w:r>
        <w:rPr>
          <w:rFonts w:ascii="Calibri"/>
          <w:spacing w:val="-2"/>
          <w:sz w:val="22"/>
        </w:rPr>
        <w:t>10.1080/07036337.2014.894035</w:t>
      </w:r>
    </w:p>
    <w:p>
      <w:pPr>
        <w:spacing w:before="0"/>
        <w:ind w:left="1700" w:right="1902" w:hanging="721"/>
        <w:jc w:val="both"/>
        <w:rPr>
          <w:rFonts w:ascii="Calibri"/>
          <w:sz w:val="22"/>
        </w:rPr>
      </w:pPr>
      <w:bookmarkStart w:name="_bookmark118" w:id="119"/>
      <w:bookmarkEnd w:id="119"/>
      <w:r>
        <w:rPr/>
      </w:r>
      <w:r>
        <w:rPr>
          <w:rFonts w:ascii="Calibri"/>
          <w:sz w:val="22"/>
        </w:rPr>
        <w:t>Buess, M. (2015). European Union agencies and their management boards: an assessment</w:t>
      </w:r>
      <w:r>
        <w:rPr>
          <w:rFonts w:ascii="Calibri"/>
          <w:spacing w:val="40"/>
          <w:sz w:val="22"/>
        </w:rPr>
        <w:t> </w:t>
      </w:r>
      <w:r>
        <w:rPr>
          <w:rFonts w:ascii="Calibri"/>
          <w:sz w:val="22"/>
        </w:rPr>
        <w:t>of accountability and demoi-cratic legitimacy. </w:t>
      </w:r>
      <w:r>
        <w:rPr>
          <w:rFonts w:ascii="Calibri"/>
          <w:i/>
          <w:sz w:val="22"/>
        </w:rPr>
        <w:t>Journal of European Public Policy, 22</w:t>
      </w:r>
      <w:r>
        <w:rPr>
          <w:rFonts w:ascii="Calibri"/>
          <w:sz w:val="22"/>
        </w:rPr>
        <w:t>(1), 94-111. doi: 10.1080/13501763.2014.881299</w:t>
      </w:r>
    </w:p>
    <w:p>
      <w:pPr>
        <w:spacing w:before="1"/>
        <w:ind w:left="1700" w:right="1906" w:hanging="721"/>
        <w:jc w:val="both"/>
        <w:rPr>
          <w:rFonts w:ascii="Calibri"/>
          <w:sz w:val="22"/>
        </w:rPr>
      </w:pPr>
      <w:bookmarkStart w:name="_bookmark119" w:id="120"/>
      <w:bookmarkEnd w:id="120"/>
      <w:r>
        <w:rPr/>
      </w:r>
      <w:r>
        <w:rPr>
          <w:rFonts w:ascii="Calibri"/>
          <w:sz w:val="22"/>
        </w:rPr>
        <w:t>Bull,</w:t>
      </w:r>
      <w:r>
        <w:rPr>
          <w:rFonts w:ascii="Calibri"/>
          <w:spacing w:val="-2"/>
          <w:sz w:val="22"/>
        </w:rPr>
        <w:t> </w:t>
      </w:r>
      <w:r>
        <w:rPr>
          <w:rFonts w:ascii="Calibri"/>
          <w:sz w:val="22"/>
        </w:rPr>
        <w:t>H.</w:t>
      </w:r>
      <w:r>
        <w:rPr>
          <w:rFonts w:ascii="Calibri"/>
          <w:spacing w:val="-4"/>
          <w:sz w:val="22"/>
        </w:rPr>
        <w:t> </w:t>
      </w:r>
      <w:r>
        <w:rPr>
          <w:rFonts w:ascii="Calibri"/>
          <w:sz w:val="22"/>
        </w:rPr>
        <w:t>(1982). Civilian</w:t>
      </w:r>
      <w:r>
        <w:rPr>
          <w:rFonts w:ascii="Calibri"/>
          <w:spacing w:val="-2"/>
          <w:sz w:val="22"/>
        </w:rPr>
        <w:t> </w:t>
      </w:r>
      <w:r>
        <w:rPr>
          <w:rFonts w:ascii="Calibri"/>
          <w:sz w:val="22"/>
        </w:rPr>
        <w:t>Power Europe:</w:t>
      </w:r>
      <w:r>
        <w:rPr>
          <w:rFonts w:ascii="Calibri"/>
          <w:spacing w:val="-2"/>
          <w:sz w:val="22"/>
        </w:rPr>
        <w:t> </w:t>
      </w:r>
      <w:r>
        <w:rPr>
          <w:rFonts w:ascii="Calibri"/>
          <w:sz w:val="22"/>
        </w:rPr>
        <w:t>A Contradiction</w:t>
      </w:r>
      <w:r>
        <w:rPr>
          <w:rFonts w:ascii="Calibri"/>
          <w:spacing w:val="-5"/>
          <w:sz w:val="22"/>
        </w:rPr>
        <w:t> </w:t>
      </w:r>
      <w:r>
        <w:rPr>
          <w:rFonts w:ascii="Calibri"/>
          <w:sz w:val="22"/>
        </w:rPr>
        <w:t>in</w:t>
      </w:r>
      <w:r>
        <w:rPr>
          <w:rFonts w:ascii="Calibri"/>
          <w:spacing w:val="-1"/>
          <w:sz w:val="22"/>
        </w:rPr>
        <w:t> </w:t>
      </w:r>
      <w:r>
        <w:rPr>
          <w:rFonts w:ascii="Calibri"/>
          <w:sz w:val="22"/>
        </w:rPr>
        <w:t>Terms? </w:t>
      </w:r>
      <w:r>
        <w:rPr>
          <w:rFonts w:ascii="Calibri"/>
          <w:i/>
          <w:sz w:val="22"/>
        </w:rPr>
        <w:t>Journal of</w:t>
      </w:r>
      <w:r>
        <w:rPr>
          <w:rFonts w:ascii="Calibri"/>
          <w:i/>
          <w:spacing w:val="-1"/>
          <w:sz w:val="22"/>
        </w:rPr>
        <w:t> </w:t>
      </w:r>
      <w:r>
        <w:rPr>
          <w:rFonts w:ascii="Calibri"/>
          <w:i/>
          <w:sz w:val="22"/>
        </w:rPr>
        <w:t>Common Market Studies, 21</w:t>
      </w:r>
      <w:r>
        <w:rPr>
          <w:rFonts w:ascii="Calibri"/>
          <w:sz w:val="22"/>
        </w:rPr>
        <w:t>(1/2), 149.</w:t>
      </w:r>
    </w:p>
    <w:p>
      <w:pPr>
        <w:spacing w:before="1"/>
        <w:ind w:left="1700" w:right="1909" w:hanging="721"/>
        <w:jc w:val="both"/>
        <w:rPr>
          <w:rFonts w:ascii="Calibri"/>
          <w:sz w:val="22"/>
        </w:rPr>
      </w:pPr>
      <w:bookmarkStart w:name="_bookmark120" w:id="121"/>
      <w:bookmarkEnd w:id="121"/>
      <w:r>
        <w:rPr/>
      </w:r>
      <w:r>
        <w:rPr>
          <w:rFonts w:ascii="Calibri"/>
          <w:sz w:val="22"/>
        </w:rPr>
        <w:t>Bunge, M. (1998). </w:t>
      </w:r>
      <w:r>
        <w:rPr>
          <w:rFonts w:ascii="Calibri"/>
          <w:i/>
          <w:sz w:val="22"/>
        </w:rPr>
        <w:t>Social science under debate : a philosophical perspective</w:t>
      </w:r>
      <w:r>
        <w:rPr>
          <w:rFonts w:ascii="Calibri"/>
          <w:sz w:val="22"/>
        </w:rPr>
        <w:t>. Toronto ; Buffalo: University of Toronto Press.</w:t>
      </w:r>
    </w:p>
    <w:p>
      <w:pPr>
        <w:spacing w:before="0"/>
        <w:ind w:left="1700" w:right="1906" w:hanging="721"/>
        <w:jc w:val="both"/>
        <w:rPr>
          <w:rFonts w:ascii="Calibri"/>
          <w:sz w:val="22"/>
        </w:rPr>
      </w:pPr>
      <w:bookmarkStart w:name="_bookmark121" w:id="122"/>
      <w:bookmarkEnd w:id="122"/>
      <w:r>
        <w:rPr/>
      </w:r>
      <w:r>
        <w:rPr>
          <w:rFonts w:ascii="Calibri"/>
          <w:sz w:val="22"/>
        </w:rPr>
        <w:t>Bunge, M. (2000). Systemism: the alternative to individualism and holism. </w:t>
      </w:r>
      <w:r>
        <w:rPr>
          <w:rFonts w:ascii="Calibri"/>
          <w:i/>
          <w:sz w:val="22"/>
        </w:rPr>
        <w:t>The Journal of Socio-Economics,</w:t>
      </w:r>
      <w:r>
        <w:rPr>
          <w:rFonts w:ascii="Calibri"/>
          <w:i/>
          <w:spacing w:val="59"/>
          <w:sz w:val="22"/>
        </w:rPr>
        <w:t>   </w:t>
      </w:r>
      <w:r>
        <w:rPr>
          <w:rFonts w:ascii="Calibri"/>
          <w:i/>
          <w:sz w:val="22"/>
        </w:rPr>
        <w:t>29</w:t>
      </w:r>
      <w:r>
        <w:rPr>
          <w:rFonts w:ascii="Calibri"/>
          <w:sz w:val="22"/>
        </w:rPr>
        <w:t>(2),</w:t>
      </w:r>
      <w:r>
        <w:rPr>
          <w:rFonts w:ascii="Calibri"/>
          <w:spacing w:val="59"/>
          <w:sz w:val="22"/>
        </w:rPr>
        <w:t>   </w:t>
      </w:r>
      <w:r>
        <w:rPr>
          <w:rFonts w:ascii="Calibri"/>
          <w:sz w:val="22"/>
        </w:rPr>
        <w:t>147-157.</w:t>
      </w:r>
      <w:r>
        <w:rPr>
          <w:rFonts w:ascii="Calibri"/>
          <w:spacing w:val="61"/>
          <w:sz w:val="22"/>
        </w:rPr>
        <w:t>   </w:t>
      </w:r>
      <w:r>
        <w:rPr>
          <w:rFonts w:ascii="Calibri"/>
          <w:sz w:val="22"/>
        </w:rPr>
        <w:t>doi:</w:t>
      </w:r>
      <w:r>
        <w:rPr>
          <w:rFonts w:ascii="Calibri"/>
          <w:spacing w:val="61"/>
          <w:sz w:val="22"/>
        </w:rPr>
        <w:t>   </w:t>
      </w:r>
      <w:hyperlink r:id="rId42">
        <w:r>
          <w:rPr>
            <w:rFonts w:ascii="Calibri"/>
            <w:color w:val="0000FF"/>
            <w:spacing w:val="-2"/>
            <w:sz w:val="22"/>
            <w:u w:val="single" w:color="0000FF"/>
          </w:rPr>
          <w:t>http://dx.doi.org/10.1016/S1053-</w:t>
        </w:r>
      </w:hyperlink>
    </w:p>
    <w:p>
      <w:pPr>
        <w:spacing w:before="1"/>
        <w:ind w:left="1700" w:right="0" w:firstLine="0"/>
        <w:jc w:val="left"/>
        <w:rPr>
          <w:rFonts w:ascii="Calibri"/>
          <w:sz w:val="22"/>
        </w:rPr>
      </w:pPr>
      <w:hyperlink r:id="rId42">
        <w:r>
          <w:rPr>
            <w:rFonts w:ascii="Calibri"/>
            <w:color w:val="0000FF"/>
            <w:spacing w:val="-2"/>
            <w:sz w:val="22"/>
            <w:u w:val="single" w:color="0000FF"/>
          </w:rPr>
          <w:t>5357(00)00058-</w:t>
        </w:r>
        <w:r>
          <w:rPr>
            <w:rFonts w:ascii="Calibri"/>
            <w:color w:val="0000FF"/>
            <w:spacing w:val="-10"/>
            <w:sz w:val="22"/>
            <w:u w:val="single" w:color="0000FF"/>
          </w:rPr>
          <w:t>5</w:t>
        </w:r>
      </w:hyperlink>
    </w:p>
    <w:p>
      <w:pPr>
        <w:spacing w:before="0"/>
        <w:ind w:left="979" w:right="0" w:firstLine="0"/>
        <w:jc w:val="left"/>
        <w:rPr>
          <w:rFonts w:ascii="Calibri"/>
          <w:sz w:val="22"/>
        </w:rPr>
      </w:pPr>
      <w:bookmarkStart w:name="_bookmark122" w:id="123"/>
      <w:bookmarkEnd w:id="123"/>
      <w:r>
        <w:rPr/>
      </w:r>
      <w:r>
        <w:rPr>
          <w:rFonts w:ascii="Calibri"/>
          <w:sz w:val="22"/>
        </w:rPr>
        <w:t>Buzan,</w:t>
      </w:r>
      <w:r>
        <w:rPr>
          <w:rFonts w:ascii="Calibri"/>
          <w:spacing w:val="-10"/>
          <w:sz w:val="22"/>
        </w:rPr>
        <w:t> </w:t>
      </w:r>
      <w:r>
        <w:rPr>
          <w:rFonts w:ascii="Calibri"/>
          <w:sz w:val="22"/>
        </w:rPr>
        <w:t>B.,</w:t>
      </w:r>
      <w:r>
        <w:rPr>
          <w:rFonts w:ascii="Calibri"/>
          <w:spacing w:val="-8"/>
          <w:sz w:val="22"/>
        </w:rPr>
        <w:t> </w:t>
      </w:r>
      <w:r>
        <w:rPr>
          <w:rFonts w:ascii="Calibri"/>
          <w:sz w:val="22"/>
        </w:rPr>
        <w:t>&amp;</w:t>
      </w:r>
      <w:r>
        <w:rPr>
          <w:rFonts w:ascii="Calibri"/>
          <w:spacing w:val="-2"/>
          <w:sz w:val="22"/>
        </w:rPr>
        <w:t> </w:t>
      </w:r>
      <w:r>
        <w:rPr>
          <w:rFonts w:ascii="Calibri"/>
          <w:sz w:val="22"/>
        </w:rPr>
        <w:t>Hansen,</w:t>
      </w:r>
      <w:r>
        <w:rPr>
          <w:rFonts w:ascii="Calibri"/>
          <w:spacing w:val="-8"/>
          <w:sz w:val="22"/>
        </w:rPr>
        <w:t> </w:t>
      </w:r>
      <w:r>
        <w:rPr>
          <w:rFonts w:ascii="Calibri"/>
          <w:sz w:val="22"/>
        </w:rPr>
        <w:t>L.</w:t>
      </w:r>
      <w:r>
        <w:rPr>
          <w:rFonts w:ascii="Calibri"/>
          <w:spacing w:val="-4"/>
          <w:sz w:val="22"/>
        </w:rPr>
        <w:t> </w:t>
      </w:r>
      <w:r>
        <w:rPr>
          <w:rFonts w:ascii="Calibri"/>
          <w:sz w:val="22"/>
        </w:rPr>
        <w:t>(2007).</w:t>
      </w:r>
      <w:r>
        <w:rPr>
          <w:rFonts w:ascii="Calibri"/>
          <w:spacing w:val="-1"/>
          <w:sz w:val="22"/>
        </w:rPr>
        <w:t> </w:t>
      </w:r>
      <w:r>
        <w:rPr>
          <w:rFonts w:ascii="Calibri"/>
          <w:i/>
          <w:sz w:val="22"/>
        </w:rPr>
        <w:t>International</w:t>
      </w:r>
      <w:r>
        <w:rPr>
          <w:rFonts w:ascii="Calibri"/>
          <w:i/>
          <w:spacing w:val="-3"/>
          <w:sz w:val="22"/>
        </w:rPr>
        <w:t> </w:t>
      </w:r>
      <w:r>
        <w:rPr>
          <w:rFonts w:ascii="Calibri"/>
          <w:i/>
          <w:sz w:val="22"/>
        </w:rPr>
        <w:t>security</w:t>
      </w:r>
      <w:r>
        <w:rPr>
          <w:rFonts w:ascii="Calibri"/>
          <w:sz w:val="22"/>
        </w:rPr>
        <w:t>.</w:t>
      </w:r>
      <w:r>
        <w:rPr>
          <w:rFonts w:ascii="Calibri"/>
          <w:spacing w:val="-4"/>
          <w:sz w:val="22"/>
        </w:rPr>
        <w:t> </w:t>
      </w:r>
      <w:r>
        <w:rPr>
          <w:rFonts w:ascii="Calibri"/>
          <w:sz w:val="22"/>
        </w:rPr>
        <w:t>Los</w:t>
      </w:r>
      <w:r>
        <w:rPr>
          <w:rFonts w:ascii="Calibri"/>
          <w:spacing w:val="-5"/>
          <w:sz w:val="22"/>
        </w:rPr>
        <w:t> </w:t>
      </w:r>
      <w:r>
        <w:rPr>
          <w:rFonts w:ascii="Calibri"/>
          <w:sz w:val="22"/>
        </w:rPr>
        <w:t>Angeles</w:t>
      </w:r>
      <w:r>
        <w:rPr>
          <w:rFonts w:ascii="Calibri"/>
          <w:spacing w:val="-5"/>
          <w:sz w:val="22"/>
        </w:rPr>
        <w:t> </w:t>
      </w:r>
      <w:r>
        <w:rPr>
          <w:rFonts w:ascii="Calibri"/>
          <w:sz w:val="22"/>
        </w:rPr>
        <w:t>;</w:t>
      </w:r>
      <w:r>
        <w:rPr>
          <w:rFonts w:ascii="Calibri"/>
          <w:spacing w:val="-7"/>
          <w:sz w:val="22"/>
        </w:rPr>
        <w:t> </w:t>
      </w:r>
      <w:r>
        <w:rPr>
          <w:rFonts w:ascii="Calibri"/>
          <w:sz w:val="22"/>
        </w:rPr>
        <w:t>London:</w:t>
      </w:r>
      <w:r>
        <w:rPr>
          <w:rFonts w:ascii="Calibri"/>
          <w:spacing w:val="-6"/>
          <w:sz w:val="22"/>
        </w:rPr>
        <w:t> </w:t>
      </w:r>
      <w:r>
        <w:rPr>
          <w:rFonts w:ascii="Calibri"/>
          <w:spacing w:val="-2"/>
          <w:sz w:val="22"/>
        </w:rPr>
        <w:t>SAGE.</w:t>
      </w:r>
    </w:p>
    <w:p>
      <w:pPr>
        <w:spacing w:before="1"/>
        <w:ind w:left="979" w:right="0" w:firstLine="0"/>
        <w:jc w:val="left"/>
        <w:rPr>
          <w:rFonts w:ascii="Calibri"/>
          <w:sz w:val="22"/>
        </w:rPr>
      </w:pPr>
      <w:bookmarkStart w:name="_bookmark123" w:id="124"/>
      <w:bookmarkEnd w:id="124"/>
      <w:r>
        <w:rPr/>
      </w:r>
      <w:r>
        <w:rPr>
          <w:rFonts w:ascii="Calibri"/>
          <w:sz w:val="22"/>
        </w:rPr>
        <w:t>Buzan,</w:t>
      </w:r>
      <w:r>
        <w:rPr>
          <w:rFonts w:ascii="Calibri"/>
          <w:spacing w:val="42"/>
          <w:sz w:val="22"/>
        </w:rPr>
        <w:t> </w:t>
      </w:r>
      <w:r>
        <w:rPr>
          <w:rFonts w:ascii="Calibri"/>
          <w:sz w:val="22"/>
        </w:rPr>
        <w:t>B.,</w:t>
      </w:r>
      <w:r>
        <w:rPr>
          <w:rFonts w:ascii="Calibri"/>
          <w:spacing w:val="45"/>
          <w:sz w:val="22"/>
        </w:rPr>
        <w:t> </w:t>
      </w:r>
      <w:r>
        <w:rPr>
          <w:rFonts w:ascii="Calibri"/>
          <w:sz w:val="22"/>
        </w:rPr>
        <w:t>Waever,</w:t>
      </w:r>
      <w:r>
        <w:rPr>
          <w:rFonts w:ascii="Calibri"/>
          <w:spacing w:val="46"/>
          <w:sz w:val="22"/>
        </w:rPr>
        <w:t> </w:t>
      </w:r>
      <w:r>
        <w:rPr>
          <w:rFonts w:ascii="Calibri"/>
          <w:sz w:val="22"/>
        </w:rPr>
        <w:t>O.,</w:t>
      </w:r>
      <w:r>
        <w:rPr>
          <w:rFonts w:ascii="Calibri"/>
          <w:spacing w:val="49"/>
          <w:sz w:val="22"/>
        </w:rPr>
        <w:t> </w:t>
      </w:r>
      <w:r>
        <w:rPr>
          <w:rFonts w:ascii="Calibri"/>
          <w:sz w:val="22"/>
        </w:rPr>
        <w:t>&amp;</w:t>
      </w:r>
      <w:r>
        <w:rPr>
          <w:rFonts w:ascii="Calibri"/>
          <w:spacing w:val="46"/>
          <w:sz w:val="22"/>
        </w:rPr>
        <w:t> </w:t>
      </w:r>
      <w:r>
        <w:rPr>
          <w:rFonts w:ascii="Calibri"/>
          <w:sz w:val="22"/>
        </w:rPr>
        <w:t>De</w:t>
      </w:r>
      <w:r>
        <w:rPr>
          <w:rFonts w:ascii="Calibri"/>
          <w:spacing w:val="48"/>
          <w:sz w:val="22"/>
        </w:rPr>
        <w:t> </w:t>
      </w:r>
      <w:r>
        <w:rPr>
          <w:rFonts w:ascii="Calibri"/>
          <w:sz w:val="22"/>
        </w:rPr>
        <w:t>Wilde,</w:t>
      </w:r>
      <w:r>
        <w:rPr>
          <w:rFonts w:ascii="Calibri"/>
          <w:spacing w:val="45"/>
          <w:sz w:val="22"/>
        </w:rPr>
        <w:t> </w:t>
      </w:r>
      <w:r>
        <w:rPr>
          <w:rFonts w:ascii="Calibri"/>
          <w:sz w:val="22"/>
        </w:rPr>
        <w:t>J.</w:t>
      </w:r>
      <w:r>
        <w:rPr>
          <w:rFonts w:ascii="Calibri"/>
          <w:spacing w:val="49"/>
          <w:sz w:val="22"/>
        </w:rPr>
        <w:t> </w:t>
      </w:r>
      <w:r>
        <w:rPr>
          <w:rFonts w:ascii="Calibri"/>
          <w:sz w:val="22"/>
        </w:rPr>
        <w:t>(1998).</w:t>
      </w:r>
      <w:r>
        <w:rPr>
          <w:rFonts w:ascii="Calibri"/>
          <w:spacing w:val="54"/>
          <w:sz w:val="22"/>
        </w:rPr>
        <w:t> </w:t>
      </w:r>
      <w:r>
        <w:rPr>
          <w:rFonts w:ascii="Calibri"/>
          <w:i/>
          <w:sz w:val="22"/>
        </w:rPr>
        <w:t>Security</w:t>
      </w:r>
      <w:r>
        <w:rPr>
          <w:rFonts w:ascii="Calibri"/>
          <w:i/>
          <w:spacing w:val="50"/>
          <w:sz w:val="22"/>
        </w:rPr>
        <w:t> </w:t>
      </w:r>
      <w:r>
        <w:rPr>
          <w:rFonts w:ascii="Calibri"/>
          <w:i/>
          <w:sz w:val="22"/>
        </w:rPr>
        <w:t>a</w:t>
      </w:r>
      <w:r>
        <w:rPr>
          <w:rFonts w:ascii="Calibri"/>
          <w:i/>
          <w:spacing w:val="49"/>
          <w:sz w:val="22"/>
        </w:rPr>
        <w:t> </w:t>
      </w:r>
      <w:r>
        <w:rPr>
          <w:rFonts w:ascii="Calibri"/>
          <w:i/>
          <w:sz w:val="22"/>
        </w:rPr>
        <w:t>New</w:t>
      </w:r>
      <w:r>
        <w:rPr>
          <w:rFonts w:ascii="Calibri"/>
          <w:i/>
          <w:spacing w:val="47"/>
          <w:sz w:val="22"/>
        </w:rPr>
        <w:t> </w:t>
      </w:r>
      <w:r>
        <w:rPr>
          <w:rFonts w:ascii="Calibri"/>
          <w:i/>
          <w:sz w:val="22"/>
        </w:rPr>
        <w:t>Framework</w:t>
      </w:r>
      <w:r>
        <w:rPr>
          <w:rFonts w:ascii="Calibri"/>
          <w:i/>
          <w:spacing w:val="48"/>
          <w:sz w:val="22"/>
        </w:rPr>
        <w:t> </w:t>
      </w:r>
      <w:r>
        <w:rPr>
          <w:rFonts w:ascii="Calibri"/>
          <w:i/>
          <w:sz w:val="22"/>
        </w:rPr>
        <w:t>for</w:t>
      </w:r>
      <w:r>
        <w:rPr>
          <w:rFonts w:ascii="Calibri"/>
          <w:i/>
          <w:spacing w:val="49"/>
          <w:sz w:val="22"/>
        </w:rPr>
        <w:t> </w:t>
      </w:r>
      <w:r>
        <w:rPr>
          <w:rFonts w:ascii="Calibri"/>
          <w:i/>
          <w:spacing w:val="-2"/>
          <w:sz w:val="22"/>
        </w:rPr>
        <w:t>Analysis</w:t>
      </w:r>
      <w:r>
        <w:rPr>
          <w:rFonts w:ascii="Calibri"/>
          <w:spacing w:val="-2"/>
          <w:sz w:val="22"/>
        </w:rPr>
        <w:t>.</w:t>
      </w:r>
    </w:p>
    <w:p>
      <w:pPr>
        <w:spacing w:line="266" w:lineRule="exact" w:before="0"/>
        <w:ind w:left="1700" w:right="0" w:firstLine="0"/>
        <w:jc w:val="left"/>
        <w:rPr>
          <w:rFonts w:ascii="Calibri"/>
          <w:sz w:val="22"/>
        </w:rPr>
      </w:pPr>
      <w:r>
        <w:rPr>
          <w:rFonts w:ascii="Calibri"/>
          <w:sz w:val="22"/>
        </w:rPr>
        <w:t>London:</w:t>
      </w:r>
      <w:r>
        <w:rPr>
          <w:rFonts w:ascii="Calibri"/>
          <w:spacing w:val="-5"/>
          <w:sz w:val="22"/>
        </w:rPr>
        <w:t> </w:t>
      </w:r>
      <w:r>
        <w:rPr>
          <w:rFonts w:ascii="Calibri"/>
          <w:sz w:val="22"/>
        </w:rPr>
        <w:t>Lynne</w:t>
      </w:r>
      <w:r>
        <w:rPr>
          <w:rFonts w:ascii="Calibri"/>
          <w:spacing w:val="-7"/>
          <w:sz w:val="22"/>
        </w:rPr>
        <w:t> </w:t>
      </w:r>
      <w:r>
        <w:rPr>
          <w:rFonts w:ascii="Calibri"/>
          <w:sz w:val="22"/>
        </w:rPr>
        <w:t>Rienner</w:t>
      </w:r>
      <w:r>
        <w:rPr>
          <w:rFonts w:ascii="Calibri"/>
          <w:spacing w:val="-6"/>
          <w:sz w:val="22"/>
        </w:rPr>
        <w:t> </w:t>
      </w:r>
      <w:r>
        <w:rPr>
          <w:rFonts w:ascii="Calibri"/>
          <w:spacing w:val="-2"/>
          <w:sz w:val="22"/>
        </w:rPr>
        <w:t>Publishers.</w:t>
      </w:r>
    </w:p>
    <w:p>
      <w:pPr>
        <w:spacing w:line="240" w:lineRule="auto" w:before="0"/>
        <w:ind w:left="1700" w:right="1905" w:hanging="721"/>
        <w:jc w:val="both"/>
        <w:rPr>
          <w:rFonts w:ascii="Calibri"/>
          <w:sz w:val="22"/>
        </w:rPr>
      </w:pPr>
      <w:bookmarkStart w:name="_bookmark124" w:id="125"/>
      <w:bookmarkEnd w:id="125"/>
      <w:r>
        <w:rPr/>
      </w:r>
      <w:r>
        <w:rPr>
          <w:rFonts w:ascii="Calibri"/>
          <w:sz w:val="22"/>
        </w:rPr>
        <w:t>Callender, A. K. (2007). The Mechanistic/Vitalistic Dualism of Chiropractic and General Systems Theory: Daniel D. Palmer and Ludwig von Bertalanffy. </w:t>
      </w:r>
      <w:r>
        <w:rPr>
          <w:rFonts w:ascii="Calibri"/>
          <w:i/>
          <w:sz w:val="22"/>
        </w:rPr>
        <w:t>Journal of Chiropractic Humanities, 14</w:t>
      </w:r>
      <w:r>
        <w:rPr>
          <w:rFonts w:ascii="Calibri"/>
          <w:sz w:val="22"/>
        </w:rPr>
        <w:t>, 1-21. doi: 10.1016/S1556-3499(13)60158-8</w:t>
      </w:r>
    </w:p>
    <w:p>
      <w:pPr>
        <w:spacing w:before="0"/>
        <w:ind w:left="979" w:right="0" w:firstLine="0"/>
        <w:jc w:val="both"/>
        <w:rPr>
          <w:rFonts w:ascii="Calibri" w:hAnsi="Calibri"/>
          <w:sz w:val="22"/>
        </w:rPr>
      </w:pPr>
      <w:bookmarkStart w:name="_bookmark125" w:id="126"/>
      <w:bookmarkEnd w:id="126"/>
      <w:r>
        <w:rPr/>
      </w:r>
      <w:r>
        <w:rPr>
          <w:rFonts w:ascii="Calibri" w:hAnsi="Calibri"/>
          <w:sz w:val="22"/>
        </w:rPr>
        <w:t>Carozza,</w:t>
      </w:r>
      <w:r>
        <w:rPr>
          <w:rFonts w:ascii="Calibri" w:hAnsi="Calibri"/>
          <w:spacing w:val="-10"/>
          <w:sz w:val="22"/>
        </w:rPr>
        <w:t> </w:t>
      </w:r>
      <w:r>
        <w:rPr>
          <w:rFonts w:ascii="Calibri" w:hAnsi="Calibri"/>
          <w:sz w:val="22"/>
        </w:rPr>
        <w:t>P.</w:t>
      </w:r>
      <w:r>
        <w:rPr>
          <w:rFonts w:ascii="Calibri" w:hAnsi="Calibri"/>
          <w:spacing w:val="-5"/>
          <w:sz w:val="22"/>
        </w:rPr>
        <w:t> </w:t>
      </w:r>
      <w:r>
        <w:rPr>
          <w:rFonts w:ascii="Calibri" w:hAnsi="Calibri"/>
          <w:sz w:val="22"/>
        </w:rPr>
        <w:t>(2016).</w:t>
      </w:r>
      <w:r>
        <w:rPr>
          <w:rFonts w:ascii="Calibri" w:hAnsi="Calibri"/>
          <w:spacing w:val="-5"/>
          <w:sz w:val="22"/>
        </w:rPr>
        <w:t> </w:t>
      </w:r>
      <w:r>
        <w:rPr>
          <w:rFonts w:ascii="Calibri" w:hAnsi="Calibri"/>
          <w:sz w:val="22"/>
        </w:rPr>
        <w:t>European</w:t>
      </w:r>
      <w:r>
        <w:rPr>
          <w:rFonts w:ascii="Calibri" w:hAnsi="Calibri"/>
          <w:spacing w:val="-3"/>
          <w:sz w:val="22"/>
        </w:rPr>
        <w:t> </w:t>
      </w:r>
      <w:r>
        <w:rPr>
          <w:rFonts w:ascii="Calibri" w:hAnsi="Calibri"/>
          <w:sz w:val="22"/>
        </w:rPr>
        <w:t>law</w:t>
      </w:r>
      <w:r>
        <w:rPr>
          <w:rFonts w:ascii="Calibri" w:hAnsi="Calibri"/>
          <w:spacing w:val="-3"/>
          <w:sz w:val="22"/>
        </w:rPr>
        <w:t> </w:t>
      </w:r>
      <w:r>
        <w:rPr>
          <w:rFonts w:ascii="Calibri" w:hAnsi="Calibri"/>
          <w:i/>
          <w:sz w:val="22"/>
        </w:rPr>
        <w:t>Encyclopædia</w:t>
      </w:r>
      <w:r>
        <w:rPr>
          <w:rFonts w:ascii="Calibri" w:hAnsi="Calibri"/>
          <w:i/>
          <w:spacing w:val="-5"/>
          <w:sz w:val="22"/>
        </w:rPr>
        <w:t> </w:t>
      </w:r>
      <w:r>
        <w:rPr>
          <w:rFonts w:ascii="Calibri" w:hAnsi="Calibri"/>
          <w:i/>
          <w:spacing w:val="-2"/>
          <w:sz w:val="22"/>
        </w:rPr>
        <w:t>Britannica</w:t>
      </w:r>
      <w:r>
        <w:rPr>
          <w:rFonts w:ascii="Calibri" w:hAnsi="Calibri"/>
          <w:spacing w:val="-2"/>
          <w:sz w:val="22"/>
        </w:rPr>
        <w:t>.</w:t>
      </w:r>
    </w:p>
    <w:p>
      <w:pPr>
        <w:spacing w:before="0"/>
        <w:ind w:left="979" w:right="0" w:firstLine="0"/>
        <w:jc w:val="both"/>
        <w:rPr>
          <w:rFonts w:ascii="Calibri"/>
          <w:sz w:val="22"/>
        </w:rPr>
      </w:pPr>
      <w:bookmarkStart w:name="_bookmark126" w:id="127"/>
      <w:bookmarkEnd w:id="127"/>
      <w:r>
        <w:rPr/>
      </w:r>
      <w:r>
        <w:rPr>
          <w:rFonts w:ascii="Calibri"/>
          <w:sz w:val="22"/>
        </w:rPr>
        <w:t>Castiglione,</w:t>
      </w:r>
      <w:r>
        <w:rPr>
          <w:rFonts w:ascii="Calibri"/>
          <w:spacing w:val="2"/>
          <w:sz w:val="22"/>
        </w:rPr>
        <w:t> </w:t>
      </w:r>
      <w:r>
        <w:rPr>
          <w:rFonts w:ascii="Calibri"/>
          <w:sz w:val="22"/>
        </w:rPr>
        <w:t>D.</w:t>
      </w:r>
      <w:r>
        <w:rPr>
          <w:rFonts w:ascii="Calibri"/>
          <w:spacing w:val="6"/>
          <w:sz w:val="22"/>
        </w:rPr>
        <w:t> </w:t>
      </w:r>
      <w:r>
        <w:rPr>
          <w:rFonts w:ascii="Calibri"/>
          <w:sz w:val="22"/>
        </w:rPr>
        <w:t>(2009).</w:t>
      </w:r>
      <w:r>
        <w:rPr>
          <w:rFonts w:ascii="Calibri"/>
          <w:spacing w:val="5"/>
          <w:sz w:val="22"/>
        </w:rPr>
        <w:t> </w:t>
      </w:r>
      <w:r>
        <w:rPr>
          <w:rFonts w:ascii="Calibri"/>
          <w:sz w:val="22"/>
        </w:rPr>
        <w:t>Political</w:t>
      </w:r>
      <w:r>
        <w:rPr>
          <w:rFonts w:ascii="Calibri"/>
          <w:spacing w:val="6"/>
          <w:sz w:val="22"/>
        </w:rPr>
        <w:t> </w:t>
      </w:r>
      <w:r>
        <w:rPr>
          <w:rFonts w:ascii="Calibri"/>
          <w:sz w:val="22"/>
        </w:rPr>
        <w:t>identity</w:t>
      </w:r>
      <w:r>
        <w:rPr>
          <w:rFonts w:ascii="Calibri"/>
          <w:spacing w:val="5"/>
          <w:sz w:val="22"/>
        </w:rPr>
        <w:t> </w:t>
      </w:r>
      <w:r>
        <w:rPr>
          <w:rFonts w:ascii="Calibri"/>
          <w:sz w:val="22"/>
        </w:rPr>
        <w:t>in</w:t>
      </w:r>
      <w:r>
        <w:rPr>
          <w:rFonts w:ascii="Calibri"/>
          <w:spacing w:val="3"/>
          <w:sz w:val="22"/>
        </w:rPr>
        <w:t> </w:t>
      </w:r>
      <w:r>
        <w:rPr>
          <w:rFonts w:ascii="Calibri"/>
          <w:sz w:val="22"/>
        </w:rPr>
        <w:t>a</w:t>
      </w:r>
      <w:r>
        <w:rPr>
          <w:rFonts w:ascii="Calibri"/>
          <w:spacing w:val="4"/>
          <w:sz w:val="22"/>
        </w:rPr>
        <w:t> </w:t>
      </w:r>
      <w:r>
        <w:rPr>
          <w:rFonts w:ascii="Calibri"/>
          <w:sz w:val="22"/>
        </w:rPr>
        <w:t>community</w:t>
      </w:r>
      <w:r>
        <w:rPr>
          <w:rFonts w:ascii="Calibri"/>
          <w:spacing w:val="5"/>
          <w:sz w:val="22"/>
        </w:rPr>
        <w:t> </w:t>
      </w:r>
      <w:r>
        <w:rPr>
          <w:rFonts w:ascii="Calibri"/>
          <w:sz w:val="22"/>
        </w:rPr>
        <w:t>of</w:t>
      </w:r>
      <w:r>
        <w:rPr>
          <w:rFonts w:ascii="Calibri"/>
          <w:spacing w:val="4"/>
          <w:sz w:val="22"/>
        </w:rPr>
        <w:t> </w:t>
      </w:r>
      <w:r>
        <w:rPr>
          <w:rFonts w:ascii="Calibri"/>
          <w:sz w:val="22"/>
        </w:rPr>
        <w:t>strangers.</w:t>
      </w:r>
      <w:r>
        <w:rPr>
          <w:rFonts w:ascii="Calibri"/>
          <w:spacing w:val="6"/>
          <w:sz w:val="22"/>
        </w:rPr>
        <w:t> </w:t>
      </w:r>
      <w:r>
        <w:rPr>
          <w:rFonts w:ascii="Calibri"/>
          <w:sz w:val="22"/>
        </w:rPr>
        <w:t>In</w:t>
      </w:r>
      <w:r>
        <w:rPr>
          <w:rFonts w:ascii="Calibri"/>
          <w:spacing w:val="3"/>
          <w:sz w:val="22"/>
        </w:rPr>
        <w:t> </w:t>
      </w:r>
      <w:r>
        <w:rPr>
          <w:rFonts w:ascii="Calibri"/>
          <w:sz w:val="22"/>
        </w:rPr>
        <w:t>P.</w:t>
      </w:r>
      <w:r>
        <w:rPr>
          <w:rFonts w:ascii="Calibri"/>
          <w:spacing w:val="1"/>
          <w:sz w:val="22"/>
        </w:rPr>
        <w:t> </w:t>
      </w:r>
      <w:r>
        <w:rPr>
          <w:rFonts w:ascii="Calibri"/>
          <w:sz w:val="22"/>
        </w:rPr>
        <w:t>J.</w:t>
      </w:r>
      <w:r>
        <w:rPr>
          <w:rFonts w:ascii="Calibri"/>
          <w:spacing w:val="6"/>
          <w:sz w:val="22"/>
        </w:rPr>
        <w:t> </w:t>
      </w:r>
      <w:r>
        <w:rPr>
          <w:rFonts w:ascii="Calibri"/>
          <w:sz w:val="22"/>
        </w:rPr>
        <w:t>Katzenstein</w:t>
      </w:r>
      <w:r>
        <w:rPr>
          <w:rFonts w:ascii="Calibri"/>
          <w:spacing w:val="3"/>
          <w:sz w:val="22"/>
        </w:rPr>
        <w:t> </w:t>
      </w:r>
      <w:r>
        <w:rPr>
          <w:rFonts w:ascii="Calibri"/>
          <w:sz w:val="22"/>
        </w:rPr>
        <w:t>&amp;</w:t>
      </w:r>
      <w:r>
        <w:rPr>
          <w:rFonts w:ascii="Calibri"/>
          <w:spacing w:val="3"/>
          <w:sz w:val="22"/>
        </w:rPr>
        <w:t> </w:t>
      </w:r>
      <w:r>
        <w:rPr>
          <w:rFonts w:ascii="Calibri"/>
          <w:spacing w:val="-5"/>
          <w:sz w:val="22"/>
        </w:rPr>
        <w:t>J.</w:t>
      </w:r>
    </w:p>
    <w:p>
      <w:pPr>
        <w:spacing w:before="0"/>
        <w:ind w:left="1700" w:right="0" w:firstLine="0"/>
        <w:jc w:val="both"/>
        <w:rPr>
          <w:rFonts w:ascii="Calibri"/>
          <w:sz w:val="22"/>
        </w:rPr>
      </w:pPr>
      <w:r>
        <w:rPr>
          <w:rFonts w:ascii="Calibri"/>
          <w:sz w:val="22"/>
        </w:rPr>
        <w:t>T.</w:t>
      </w:r>
      <w:r>
        <w:rPr>
          <w:rFonts w:ascii="Calibri"/>
          <w:spacing w:val="-6"/>
          <w:sz w:val="22"/>
        </w:rPr>
        <w:t> </w:t>
      </w:r>
      <w:r>
        <w:rPr>
          <w:rFonts w:ascii="Calibri"/>
          <w:sz w:val="22"/>
        </w:rPr>
        <w:t>Checkel</w:t>
      </w:r>
      <w:r>
        <w:rPr>
          <w:rFonts w:ascii="Calibri"/>
          <w:spacing w:val="-5"/>
          <w:sz w:val="22"/>
        </w:rPr>
        <w:t> </w:t>
      </w:r>
      <w:r>
        <w:rPr>
          <w:rFonts w:ascii="Calibri"/>
          <w:sz w:val="22"/>
        </w:rPr>
        <w:t>(Eds.),</w:t>
      </w:r>
      <w:r>
        <w:rPr>
          <w:rFonts w:ascii="Calibri"/>
          <w:spacing w:val="-7"/>
          <w:sz w:val="22"/>
        </w:rPr>
        <w:t> </w:t>
      </w:r>
      <w:r>
        <w:rPr>
          <w:rFonts w:ascii="Calibri"/>
          <w:i/>
          <w:sz w:val="22"/>
        </w:rPr>
        <w:t>European</w:t>
      </w:r>
      <w:r>
        <w:rPr>
          <w:rFonts w:ascii="Calibri"/>
          <w:i/>
          <w:spacing w:val="-6"/>
          <w:sz w:val="22"/>
        </w:rPr>
        <w:t> </w:t>
      </w:r>
      <w:r>
        <w:rPr>
          <w:rFonts w:ascii="Calibri"/>
          <w:i/>
          <w:sz w:val="22"/>
        </w:rPr>
        <w:t>Identity</w:t>
      </w:r>
      <w:r>
        <w:rPr>
          <w:rFonts w:ascii="Calibri"/>
          <w:sz w:val="22"/>
        </w:rPr>
        <w:t>:</w:t>
      </w:r>
      <w:r>
        <w:rPr>
          <w:rFonts w:ascii="Calibri"/>
          <w:spacing w:val="-8"/>
          <w:sz w:val="22"/>
        </w:rPr>
        <w:t> </w:t>
      </w:r>
      <w:r>
        <w:rPr>
          <w:rFonts w:ascii="Calibri"/>
          <w:sz w:val="22"/>
        </w:rPr>
        <w:t>Cambridge</w:t>
      </w:r>
      <w:r>
        <w:rPr>
          <w:rFonts w:ascii="Calibri"/>
          <w:spacing w:val="-7"/>
          <w:sz w:val="22"/>
        </w:rPr>
        <w:t> </w:t>
      </w:r>
      <w:r>
        <w:rPr>
          <w:rFonts w:ascii="Calibri"/>
          <w:sz w:val="22"/>
        </w:rPr>
        <w:t>University</w:t>
      </w:r>
      <w:r>
        <w:rPr>
          <w:rFonts w:ascii="Calibri"/>
          <w:spacing w:val="-6"/>
          <w:sz w:val="22"/>
        </w:rPr>
        <w:t> </w:t>
      </w:r>
      <w:r>
        <w:rPr>
          <w:rFonts w:ascii="Calibri"/>
          <w:spacing w:val="-2"/>
          <w:sz w:val="22"/>
        </w:rPr>
        <w:t>Press.</w:t>
      </w:r>
    </w:p>
    <w:p>
      <w:pPr>
        <w:spacing w:before="0"/>
        <w:ind w:left="1700" w:right="1908" w:hanging="721"/>
        <w:jc w:val="both"/>
        <w:rPr>
          <w:rFonts w:ascii="Calibri"/>
          <w:sz w:val="22"/>
        </w:rPr>
      </w:pPr>
      <w:bookmarkStart w:name="_bookmark127" w:id="128"/>
      <w:bookmarkEnd w:id="128"/>
      <w:r>
        <w:rPr/>
      </w:r>
      <w:r>
        <w:rPr>
          <w:rFonts w:ascii="Calibri"/>
          <w:sz w:val="22"/>
        </w:rPr>
        <w:t>Checkel, J. (2005). Constructivist approaches to European integration. </w:t>
      </w:r>
      <w:r>
        <w:rPr>
          <w:rFonts w:ascii="Calibri"/>
          <w:i/>
          <w:sz w:val="22"/>
        </w:rPr>
        <w:t>Centre for European Studies, Arena</w:t>
      </w:r>
      <w:r>
        <w:rPr>
          <w:rFonts w:ascii="Calibri"/>
          <w:sz w:val="22"/>
        </w:rPr>
        <w:t>.</w:t>
      </w:r>
    </w:p>
    <w:p>
      <w:pPr>
        <w:spacing w:before="0"/>
        <w:ind w:left="1700" w:right="1903" w:hanging="721"/>
        <w:jc w:val="both"/>
        <w:rPr>
          <w:rFonts w:ascii="Calibri"/>
          <w:sz w:val="22"/>
        </w:rPr>
      </w:pPr>
      <w:bookmarkStart w:name="_bookmark128" w:id="129"/>
      <w:bookmarkEnd w:id="129"/>
      <w:r>
        <w:rPr/>
      </w:r>
      <w:r>
        <w:rPr>
          <w:rFonts w:ascii="Calibri"/>
          <w:sz w:val="22"/>
        </w:rPr>
        <w:t>Checkel, J. T., &amp; Katzenstein, P. J. (2009). </w:t>
      </w:r>
      <w:r>
        <w:rPr>
          <w:rFonts w:ascii="Calibri"/>
          <w:i/>
          <w:sz w:val="22"/>
        </w:rPr>
        <w:t>European identity</w:t>
      </w:r>
      <w:r>
        <w:rPr>
          <w:rFonts w:ascii="Calibri"/>
          <w:sz w:val="22"/>
        </w:rPr>
        <w:t>. Cambridge: Cambridge University Press.</w:t>
      </w:r>
    </w:p>
    <w:p>
      <w:pPr>
        <w:spacing w:before="1"/>
        <w:ind w:left="1700" w:right="1909" w:hanging="721"/>
        <w:jc w:val="both"/>
        <w:rPr>
          <w:rFonts w:ascii="Calibri"/>
          <w:sz w:val="22"/>
        </w:rPr>
      </w:pPr>
      <w:bookmarkStart w:name="_bookmark129" w:id="130"/>
      <w:bookmarkEnd w:id="130"/>
      <w:r>
        <w:rPr/>
      </w:r>
      <w:r>
        <w:rPr>
          <w:rFonts w:ascii="Calibri"/>
          <w:sz w:val="22"/>
        </w:rPr>
        <w:t>Cheneval, F., Lavenex, S., &amp; Schimmelfennig, F. (2015). Demoi-cracy in the European Union: principles, institutions, policies. </w:t>
      </w:r>
      <w:r>
        <w:rPr>
          <w:rFonts w:ascii="Calibri"/>
          <w:i/>
          <w:sz w:val="22"/>
        </w:rPr>
        <w:t>Journal of European Public Policy, 22</w:t>
      </w:r>
      <w:r>
        <w:rPr>
          <w:rFonts w:ascii="Calibri"/>
          <w:sz w:val="22"/>
        </w:rPr>
        <w:t>(1), 1-18. doi: </w:t>
      </w:r>
      <w:r>
        <w:rPr>
          <w:rFonts w:ascii="Calibri"/>
          <w:spacing w:val="-2"/>
          <w:sz w:val="22"/>
        </w:rPr>
        <w:t>10.1080/13501763.2014.886902</w:t>
      </w:r>
    </w:p>
    <w:p>
      <w:pPr>
        <w:spacing w:before="1"/>
        <w:ind w:left="1700" w:right="1909" w:hanging="721"/>
        <w:jc w:val="both"/>
        <w:rPr>
          <w:rFonts w:ascii="Calibri"/>
          <w:sz w:val="22"/>
        </w:rPr>
      </w:pPr>
      <w:bookmarkStart w:name="_bookmark130" w:id="131"/>
      <w:bookmarkEnd w:id="131"/>
      <w:r>
        <w:rPr/>
      </w:r>
      <w:r>
        <w:rPr>
          <w:rFonts w:ascii="Calibri"/>
          <w:sz w:val="22"/>
        </w:rPr>
        <w:t>Cheneval,</w:t>
      </w:r>
      <w:r>
        <w:rPr>
          <w:rFonts w:ascii="Calibri"/>
          <w:spacing w:val="-3"/>
          <w:sz w:val="22"/>
        </w:rPr>
        <w:t> </w:t>
      </w:r>
      <w:r>
        <w:rPr>
          <w:rFonts w:ascii="Calibri"/>
          <w:sz w:val="22"/>
        </w:rPr>
        <w:t>F.,</w:t>
      </w:r>
      <w:r>
        <w:rPr>
          <w:rFonts w:ascii="Calibri"/>
          <w:spacing w:val="-3"/>
          <w:sz w:val="22"/>
        </w:rPr>
        <w:t> </w:t>
      </w:r>
      <w:r>
        <w:rPr>
          <w:rFonts w:ascii="Calibri"/>
          <w:sz w:val="22"/>
        </w:rPr>
        <w:t>&amp;</w:t>
      </w:r>
      <w:r>
        <w:rPr>
          <w:rFonts w:ascii="Calibri"/>
          <w:spacing w:val="-2"/>
          <w:sz w:val="22"/>
        </w:rPr>
        <w:t> </w:t>
      </w:r>
      <w:r>
        <w:rPr>
          <w:rFonts w:ascii="Calibri"/>
          <w:sz w:val="22"/>
        </w:rPr>
        <w:t>Schimmelfennig,</w:t>
      </w:r>
      <w:r>
        <w:rPr>
          <w:rFonts w:ascii="Calibri"/>
          <w:spacing w:val="-3"/>
          <w:sz w:val="22"/>
        </w:rPr>
        <w:t> </w:t>
      </w:r>
      <w:r>
        <w:rPr>
          <w:rFonts w:ascii="Calibri"/>
          <w:sz w:val="22"/>
        </w:rPr>
        <w:t>F.</w:t>
      </w:r>
      <w:r>
        <w:rPr>
          <w:rFonts w:ascii="Calibri"/>
          <w:spacing w:val="-4"/>
          <w:sz w:val="22"/>
        </w:rPr>
        <w:t> </w:t>
      </w:r>
      <w:r>
        <w:rPr>
          <w:rFonts w:ascii="Calibri"/>
          <w:sz w:val="22"/>
        </w:rPr>
        <w:t>(2013). The</w:t>
      </w:r>
      <w:r>
        <w:rPr>
          <w:rFonts w:ascii="Calibri"/>
          <w:spacing w:val="-5"/>
          <w:sz w:val="22"/>
        </w:rPr>
        <w:t> </w:t>
      </w:r>
      <w:r>
        <w:rPr>
          <w:rFonts w:ascii="Calibri"/>
          <w:sz w:val="22"/>
        </w:rPr>
        <w:t>Case</w:t>
      </w:r>
      <w:r>
        <w:rPr>
          <w:rFonts w:ascii="Calibri"/>
          <w:spacing w:val="-5"/>
          <w:sz w:val="22"/>
        </w:rPr>
        <w:t> </w:t>
      </w:r>
      <w:r>
        <w:rPr>
          <w:rFonts w:ascii="Calibri"/>
          <w:sz w:val="22"/>
        </w:rPr>
        <w:t>for</w:t>
      </w:r>
      <w:r>
        <w:rPr>
          <w:rFonts w:ascii="Calibri"/>
          <w:spacing w:val="-1"/>
          <w:sz w:val="22"/>
        </w:rPr>
        <w:t> </w:t>
      </w:r>
      <w:r>
        <w:rPr>
          <w:rFonts w:ascii="Calibri"/>
          <w:sz w:val="22"/>
        </w:rPr>
        <w:t>Demoicracy</w:t>
      </w:r>
      <w:r>
        <w:rPr>
          <w:rFonts w:ascii="Calibri"/>
          <w:spacing w:val="-5"/>
          <w:sz w:val="22"/>
        </w:rPr>
        <w:t> </w:t>
      </w:r>
      <w:r>
        <w:rPr>
          <w:rFonts w:ascii="Calibri"/>
          <w:sz w:val="22"/>
        </w:rPr>
        <w:t>in</w:t>
      </w:r>
      <w:r>
        <w:rPr>
          <w:rFonts w:ascii="Calibri"/>
          <w:spacing w:val="-1"/>
          <w:sz w:val="22"/>
        </w:rPr>
        <w:t> </w:t>
      </w:r>
      <w:r>
        <w:rPr>
          <w:rFonts w:ascii="Calibri"/>
          <w:sz w:val="22"/>
        </w:rPr>
        <w:t>the European</w:t>
      </w:r>
      <w:r>
        <w:rPr>
          <w:rFonts w:ascii="Calibri"/>
          <w:spacing w:val="-6"/>
          <w:sz w:val="22"/>
        </w:rPr>
        <w:t> </w:t>
      </w:r>
      <w:r>
        <w:rPr>
          <w:rFonts w:ascii="Calibri"/>
          <w:sz w:val="22"/>
        </w:rPr>
        <w:t>Union*. </w:t>
      </w:r>
      <w:r>
        <w:rPr>
          <w:rFonts w:ascii="Calibri"/>
          <w:i/>
          <w:sz w:val="22"/>
        </w:rPr>
        <w:t>JCMS: Journal of Common Market Studies, 51</w:t>
      </w:r>
      <w:r>
        <w:rPr>
          <w:rFonts w:ascii="Calibri"/>
          <w:sz w:val="22"/>
        </w:rPr>
        <w:t>(2), 334-350. doi: 10.1111/j.1468- </w:t>
      </w:r>
      <w:r>
        <w:rPr>
          <w:rFonts w:ascii="Calibri"/>
          <w:spacing w:val="-2"/>
          <w:sz w:val="22"/>
        </w:rPr>
        <w:t>5965.2012.02262.x</w:t>
      </w:r>
    </w:p>
    <w:p>
      <w:pPr>
        <w:spacing w:before="1"/>
        <w:ind w:left="1700" w:right="1905" w:hanging="721"/>
        <w:jc w:val="both"/>
        <w:rPr>
          <w:rFonts w:ascii="Calibri"/>
          <w:sz w:val="22"/>
        </w:rPr>
      </w:pPr>
      <w:bookmarkStart w:name="_bookmark131" w:id="132"/>
      <w:bookmarkEnd w:id="132"/>
      <w:r>
        <w:rPr/>
      </w:r>
      <w:r>
        <w:rPr>
          <w:rFonts w:ascii="Calibri"/>
          <w:sz w:val="22"/>
        </w:rPr>
        <w:t>Christiansen,</w:t>
      </w:r>
      <w:r>
        <w:rPr>
          <w:rFonts w:ascii="Calibri"/>
          <w:spacing w:val="-1"/>
          <w:sz w:val="22"/>
        </w:rPr>
        <w:t> </w:t>
      </w:r>
      <w:r>
        <w:rPr>
          <w:rFonts w:ascii="Calibri"/>
          <w:sz w:val="22"/>
        </w:rPr>
        <w:t>T.,</w:t>
      </w:r>
      <w:r>
        <w:rPr>
          <w:rFonts w:ascii="Calibri"/>
          <w:spacing w:val="-1"/>
          <w:sz w:val="22"/>
        </w:rPr>
        <w:t> </w:t>
      </w:r>
      <w:r>
        <w:rPr>
          <w:rFonts w:ascii="Calibri"/>
          <w:sz w:val="22"/>
        </w:rPr>
        <w:t>&amp; Gray,</w:t>
      </w:r>
      <w:r>
        <w:rPr>
          <w:rFonts w:ascii="Calibri"/>
          <w:spacing w:val="-1"/>
          <w:sz w:val="22"/>
        </w:rPr>
        <w:t> </w:t>
      </w:r>
      <w:r>
        <w:rPr>
          <w:rFonts w:ascii="Calibri"/>
          <w:sz w:val="22"/>
        </w:rPr>
        <w:t>M. (2004). The European Commission in a Period of Change: A New Administration for a New European Union? </w:t>
      </w:r>
      <w:r>
        <w:rPr>
          <w:rFonts w:ascii="Calibri"/>
          <w:i/>
          <w:sz w:val="22"/>
        </w:rPr>
        <w:t>Eipascope</w:t>
      </w:r>
      <w:r>
        <w:rPr>
          <w:rFonts w:ascii="Calibri"/>
          <w:sz w:val="22"/>
        </w:rPr>
        <w:t>(3).</w:t>
      </w:r>
    </w:p>
    <w:p>
      <w:pPr>
        <w:spacing w:before="1"/>
        <w:ind w:left="979" w:right="0" w:firstLine="0"/>
        <w:jc w:val="both"/>
        <w:rPr>
          <w:rFonts w:ascii="Calibri" w:hAnsi="Calibri"/>
          <w:sz w:val="22"/>
        </w:rPr>
      </w:pPr>
      <w:bookmarkStart w:name="_bookmark132" w:id="133"/>
      <w:bookmarkEnd w:id="133"/>
      <w:r>
        <w:rPr/>
      </w:r>
      <w:r>
        <w:rPr>
          <w:rFonts w:ascii="Calibri" w:hAnsi="Calibri"/>
          <w:sz w:val="22"/>
        </w:rPr>
        <w:t>Christiansen,</w:t>
      </w:r>
      <w:r>
        <w:rPr>
          <w:rFonts w:ascii="Calibri" w:hAnsi="Calibri"/>
          <w:spacing w:val="25"/>
          <w:sz w:val="22"/>
        </w:rPr>
        <w:t> </w:t>
      </w:r>
      <w:r>
        <w:rPr>
          <w:rFonts w:ascii="Calibri" w:hAnsi="Calibri"/>
          <w:sz w:val="22"/>
        </w:rPr>
        <w:t>T.,</w:t>
      </w:r>
      <w:r>
        <w:rPr>
          <w:rFonts w:ascii="Calibri" w:hAnsi="Calibri"/>
          <w:spacing w:val="26"/>
          <w:sz w:val="22"/>
        </w:rPr>
        <w:t> </w:t>
      </w:r>
      <w:r>
        <w:rPr>
          <w:rFonts w:ascii="Calibri" w:hAnsi="Calibri"/>
          <w:sz w:val="22"/>
        </w:rPr>
        <w:t>Jørgensen,</w:t>
      </w:r>
      <w:r>
        <w:rPr>
          <w:rFonts w:ascii="Calibri" w:hAnsi="Calibri"/>
          <w:spacing w:val="25"/>
          <w:sz w:val="22"/>
        </w:rPr>
        <w:t> </w:t>
      </w:r>
      <w:r>
        <w:rPr>
          <w:rFonts w:ascii="Calibri" w:hAnsi="Calibri"/>
          <w:sz w:val="22"/>
        </w:rPr>
        <w:t>K.</w:t>
      </w:r>
      <w:r>
        <w:rPr>
          <w:rFonts w:ascii="Calibri" w:hAnsi="Calibri"/>
          <w:spacing w:val="31"/>
          <w:sz w:val="22"/>
        </w:rPr>
        <w:t> </w:t>
      </w:r>
      <w:r>
        <w:rPr>
          <w:rFonts w:ascii="Calibri" w:hAnsi="Calibri"/>
          <w:sz w:val="22"/>
        </w:rPr>
        <w:t>E.,</w:t>
      </w:r>
      <w:r>
        <w:rPr>
          <w:rFonts w:ascii="Calibri" w:hAnsi="Calibri"/>
          <w:spacing w:val="25"/>
          <w:sz w:val="22"/>
        </w:rPr>
        <w:t> </w:t>
      </w:r>
      <w:r>
        <w:rPr>
          <w:rFonts w:ascii="Calibri" w:hAnsi="Calibri"/>
          <w:sz w:val="22"/>
        </w:rPr>
        <w:t>&amp;</w:t>
      </w:r>
      <w:r>
        <w:rPr>
          <w:rFonts w:ascii="Calibri" w:hAnsi="Calibri"/>
          <w:spacing w:val="27"/>
          <w:sz w:val="22"/>
        </w:rPr>
        <w:t> </w:t>
      </w:r>
      <w:r>
        <w:rPr>
          <w:rFonts w:ascii="Calibri" w:hAnsi="Calibri"/>
          <w:sz w:val="22"/>
        </w:rPr>
        <w:t>Wiener,</w:t>
      </w:r>
      <w:r>
        <w:rPr>
          <w:rFonts w:ascii="Calibri" w:hAnsi="Calibri"/>
          <w:spacing w:val="26"/>
          <w:sz w:val="22"/>
        </w:rPr>
        <w:t> </w:t>
      </w:r>
      <w:r>
        <w:rPr>
          <w:rFonts w:ascii="Calibri" w:hAnsi="Calibri"/>
          <w:sz w:val="22"/>
        </w:rPr>
        <w:t>A.</w:t>
      </w:r>
      <w:r>
        <w:rPr>
          <w:rFonts w:ascii="Calibri" w:hAnsi="Calibri"/>
          <w:spacing w:val="29"/>
          <w:sz w:val="22"/>
        </w:rPr>
        <w:t> </w:t>
      </w:r>
      <w:r>
        <w:rPr>
          <w:rFonts w:ascii="Calibri" w:hAnsi="Calibri"/>
          <w:sz w:val="22"/>
        </w:rPr>
        <w:t>(2001).</w:t>
      </w:r>
      <w:r>
        <w:rPr>
          <w:rFonts w:ascii="Calibri" w:hAnsi="Calibri"/>
          <w:spacing w:val="34"/>
          <w:sz w:val="22"/>
        </w:rPr>
        <w:t> </w:t>
      </w:r>
      <w:r>
        <w:rPr>
          <w:rFonts w:ascii="Calibri" w:hAnsi="Calibri"/>
          <w:i/>
          <w:sz w:val="22"/>
        </w:rPr>
        <w:t>The</w:t>
      </w:r>
      <w:r>
        <w:rPr>
          <w:rFonts w:ascii="Calibri" w:hAnsi="Calibri"/>
          <w:i/>
          <w:spacing w:val="29"/>
          <w:sz w:val="22"/>
        </w:rPr>
        <w:t> </w:t>
      </w:r>
      <w:r>
        <w:rPr>
          <w:rFonts w:ascii="Calibri" w:hAnsi="Calibri"/>
          <w:i/>
          <w:sz w:val="22"/>
        </w:rPr>
        <w:t>social</w:t>
      </w:r>
      <w:r>
        <w:rPr>
          <w:rFonts w:ascii="Calibri" w:hAnsi="Calibri"/>
          <w:i/>
          <w:spacing w:val="29"/>
          <w:sz w:val="22"/>
        </w:rPr>
        <w:t> </w:t>
      </w:r>
      <w:r>
        <w:rPr>
          <w:rFonts w:ascii="Calibri" w:hAnsi="Calibri"/>
          <w:i/>
          <w:sz w:val="22"/>
        </w:rPr>
        <w:t>construction</w:t>
      </w:r>
      <w:r>
        <w:rPr>
          <w:rFonts w:ascii="Calibri" w:hAnsi="Calibri"/>
          <w:i/>
          <w:spacing w:val="25"/>
          <w:sz w:val="22"/>
        </w:rPr>
        <w:t> </w:t>
      </w:r>
      <w:r>
        <w:rPr>
          <w:rFonts w:ascii="Calibri" w:hAnsi="Calibri"/>
          <w:i/>
          <w:sz w:val="22"/>
        </w:rPr>
        <w:t>of</w:t>
      </w:r>
      <w:r>
        <w:rPr>
          <w:rFonts w:ascii="Calibri" w:hAnsi="Calibri"/>
          <w:i/>
          <w:spacing w:val="28"/>
          <w:sz w:val="22"/>
        </w:rPr>
        <w:t> </w:t>
      </w:r>
      <w:r>
        <w:rPr>
          <w:rFonts w:ascii="Calibri" w:hAnsi="Calibri"/>
          <w:i/>
          <w:spacing w:val="-2"/>
          <w:sz w:val="22"/>
        </w:rPr>
        <w:t>Europe</w:t>
      </w:r>
      <w:r>
        <w:rPr>
          <w:rFonts w:ascii="Calibri" w:hAnsi="Calibri"/>
          <w:spacing w:val="-2"/>
          <w:sz w:val="22"/>
        </w:rPr>
        <w:t>.</w:t>
      </w:r>
    </w:p>
    <w:p>
      <w:pPr>
        <w:spacing w:line="266" w:lineRule="exact" w:before="0"/>
        <w:ind w:left="1700" w:right="0" w:firstLine="0"/>
        <w:jc w:val="left"/>
        <w:rPr>
          <w:rFonts w:ascii="Calibri"/>
          <w:sz w:val="22"/>
        </w:rPr>
      </w:pPr>
      <w:r>
        <w:rPr>
          <w:rFonts w:ascii="Calibri"/>
          <w:sz w:val="22"/>
        </w:rPr>
        <w:t>London:</w:t>
      </w:r>
      <w:r>
        <w:rPr>
          <w:rFonts w:ascii="Calibri"/>
          <w:spacing w:val="-8"/>
          <w:sz w:val="22"/>
        </w:rPr>
        <w:t> </w:t>
      </w:r>
      <w:r>
        <w:rPr>
          <w:rFonts w:ascii="Calibri"/>
          <w:spacing w:val="-2"/>
          <w:sz w:val="22"/>
        </w:rPr>
        <w:t>SAGE.</w:t>
      </w:r>
    </w:p>
    <w:p>
      <w:pPr>
        <w:spacing w:line="240" w:lineRule="auto" w:before="0"/>
        <w:ind w:left="1700" w:right="1903" w:hanging="721"/>
        <w:jc w:val="both"/>
        <w:rPr>
          <w:rFonts w:ascii="Calibri"/>
          <w:sz w:val="22"/>
        </w:rPr>
      </w:pPr>
      <w:bookmarkStart w:name="_bookmark133" w:id="134"/>
      <w:bookmarkEnd w:id="134"/>
      <w:r>
        <w:rPr/>
      </w:r>
      <w:r>
        <w:rPr>
          <w:rFonts w:ascii="Calibri"/>
          <w:sz w:val="22"/>
        </w:rPr>
        <w:t>Collier, J. (2004). Self-organization, Individuation and Identity. </w:t>
      </w:r>
      <w:r>
        <w:rPr>
          <w:rFonts w:ascii="Calibri"/>
          <w:i/>
          <w:sz w:val="22"/>
        </w:rPr>
        <w:t>Revenue Internationale de Philosophie, 59</w:t>
      </w:r>
      <w:r>
        <w:rPr>
          <w:rFonts w:ascii="Calibri"/>
          <w:sz w:val="22"/>
        </w:rPr>
        <w:t>, 151-172.</w:t>
      </w:r>
    </w:p>
    <w:p>
      <w:pPr>
        <w:spacing w:after="0" w:line="240" w:lineRule="auto"/>
        <w:jc w:val="both"/>
        <w:rPr>
          <w:rFonts w:asci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1700" w:right="1909" w:hanging="721"/>
        <w:jc w:val="left"/>
        <w:rPr>
          <w:rFonts w:ascii="Calibri"/>
          <w:sz w:val="22"/>
        </w:rPr>
      </w:pPr>
      <w:bookmarkStart w:name="_bookmark134" w:id="135"/>
      <w:bookmarkEnd w:id="135"/>
      <w:r>
        <w:rPr/>
      </w:r>
      <w:r>
        <w:rPr>
          <w:rFonts w:ascii="Calibri"/>
          <w:sz w:val="22"/>
        </w:rPr>
        <w:t>Collier, J., &amp; Cumming, S. G. (2005). Change and identity in complex systems.</w:t>
      </w:r>
      <w:r>
        <w:rPr>
          <w:rFonts w:ascii="Calibri"/>
          <w:spacing w:val="32"/>
          <w:sz w:val="22"/>
        </w:rPr>
        <w:t> </w:t>
      </w:r>
      <w:r>
        <w:rPr>
          <w:rFonts w:ascii="Calibri"/>
          <w:i/>
          <w:sz w:val="22"/>
        </w:rPr>
        <w:t>Ecology and</w:t>
      </w:r>
      <w:r>
        <w:rPr>
          <w:rFonts w:ascii="Calibri"/>
          <w:i/>
          <w:spacing w:val="40"/>
          <w:sz w:val="22"/>
        </w:rPr>
        <w:t> </w:t>
      </w:r>
      <w:r>
        <w:rPr>
          <w:rFonts w:ascii="Calibri"/>
          <w:i/>
          <w:sz w:val="22"/>
        </w:rPr>
        <w:t>Society,</w:t>
      </w:r>
      <w:r>
        <w:rPr>
          <w:rFonts w:ascii="Calibri"/>
          <w:i/>
          <w:spacing w:val="-1"/>
          <w:sz w:val="22"/>
        </w:rPr>
        <w:t> </w:t>
      </w:r>
      <w:r>
        <w:rPr>
          <w:rFonts w:ascii="Calibri"/>
          <w:i/>
          <w:sz w:val="22"/>
        </w:rPr>
        <w:t>10</w:t>
      </w:r>
      <w:r>
        <w:rPr>
          <w:rFonts w:ascii="Calibri"/>
          <w:sz w:val="22"/>
        </w:rPr>
        <w:t>(1).</w:t>
      </w:r>
    </w:p>
    <w:p>
      <w:pPr>
        <w:spacing w:before="1"/>
        <w:ind w:left="1700" w:right="1279" w:hanging="721"/>
        <w:jc w:val="left"/>
        <w:rPr>
          <w:rFonts w:ascii="Calibri"/>
          <w:sz w:val="22"/>
        </w:rPr>
      </w:pPr>
      <w:bookmarkStart w:name="_bookmark135" w:id="136"/>
      <w:bookmarkEnd w:id="136"/>
      <w:r>
        <w:rPr/>
      </w:r>
      <w:r>
        <w:rPr>
          <w:rFonts w:ascii="Calibri"/>
          <w:sz w:val="22"/>
        </w:rPr>
        <w:t>Comission,</w:t>
      </w:r>
      <w:r>
        <w:rPr>
          <w:rFonts w:ascii="Calibri"/>
          <w:spacing w:val="69"/>
          <w:sz w:val="22"/>
        </w:rPr>
        <w:t> </w:t>
      </w:r>
      <w:r>
        <w:rPr>
          <w:rFonts w:ascii="Calibri"/>
          <w:sz w:val="22"/>
        </w:rPr>
        <w:t>E.</w:t>
      </w:r>
      <w:r>
        <w:rPr>
          <w:rFonts w:ascii="Calibri"/>
          <w:spacing w:val="74"/>
          <w:sz w:val="22"/>
        </w:rPr>
        <w:t> </w:t>
      </w:r>
      <w:r>
        <w:rPr>
          <w:rFonts w:ascii="Calibri"/>
          <w:sz w:val="22"/>
        </w:rPr>
        <w:t>Tool</w:t>
      </w:r>
      <w:r>
        <w:rPr>
          <w:rFonts w:ascii="Calibri"/>
          <w:spacing w:val="74"/>
          <w:sz w:val="22"/>
        </w:rPr>
        <w:t> </w:t>
      </w:r>
      <w:r>
        <w:rPr>
          <w:rFonts w:ascii="Calibri"/>
          <w:sz w:val="22"/>
        </w:rPr>
        <w:t>#15:</w:t>
      </w:r>
      <w:r>
        <w:rPr>
          <w:rFonts w:ascii="Calibri"/>
          <w:spacing w:val="70"/>
          <w:sz w:val="22"/>
        </w:rPr>
        <w:t> </w:t>
      </w:r>
      <w:r>
        <w:rPr>
          <w:rFonts w:ascii="Calibri"/>
          <w:sz w:val="22"/>
        </w:rPr>
        <w:t>The</w:t>
      </w:r>
      <w:r>
        <w:rPr>
          <w:rFonts w:ascii="Calibri"/>
          <w:spacing w:val="72"/>
          <w:sz w:val="22"/>
        </w:rPr>
        <w:t> </w:t>
      </w:r>
      <w:r>
        <w:rPr>
          <w:rFonts w:ascii="Calibri"/>
          <w:sz w:val="22"/>
        </w:rPr>
        <w:t>choice</w:t>
      </w:r>
      <w:r>
        <w:rPr>
          <w:rFonts w:ascii="Calibri"/>
          <w:spacing w:val="72"/>
          <w:sz w:val="22"/>
        </w:rPr>
        <w:t> </w:t>
      </w:r>
      <w:r>
        <w:rPr>
          <w:rFonts w:ascii="Calibri"/>
          <w:sz w:val="22"/>
        </w:rPr>
        <w:t>of</w:t>
      </w:r>
      <w:r>
        <w:rPr>
          <w:rFonts w:ascii="Calibri"/>
          <w:spacing w:val="72"/>
          <w:sz w:val="22"/>
        </w:rPr>
        <w:t> </w:t>
      </w:r>
      <w:r>
        <w:rPr>
          <w:rFonts w:ascii="Calibri"/>
          <w:sz w:val="22"/>
        </w:rPr>
        <w:t>policy</w:t>
      </w:r>
      <w:r>
        <w:rPr>
          <w:rFonts w:ascii="Calibri"/>
          <w:spacing w:val="67"/>
          <w:sz w:val="22"/>
        </w:rPr>
        <w:t> </w:t>
      </w:r>
      <w:r>
        <w:rPr>
          <w:rFonts w:ascii="Calibri"/>
          <w:sz w:val="22"/>
        </w:rPr>
        <w:t>Instruments.</w:t>
      </w:r>
      <w:r>
        <w:rPr>
          <w:rFonts w:ascii="Calibri"/>
          <w:spacing w:val="80"/>
          <w:sz w:val="22"/>
        </w:rPr>
        <w:t> </w:t>
      </w:r>
      <w:r>
        <w:rPr>
          <w:rFonts w:ascii="Calibri"/>
          <w:i/>
          <w:sz w:val="22"/>
        </w:rPr>
        <w:t>3.4.</w:t>
      </w:r>
      <w:r>
        <w:rPr>
          <w:rFonts w:ascii="Calibri"/>
          <w:i/>
          <w:spacing w:val="74"/>
          <w:sz w:val="22"/>
        </w:rPr>
        <w:t> </w:t>
      </w:r>
      <w:r>
        <w:rPr>
          <w:rFonts w:ascii="Calibri"/>
          <w:i/>
          <w:sz w:val="22"/>
        </w:rPr>
        <w:t>Open</w:t>
      </w:r>
      <w:r>
        <w:rPr>
          <w:rFonts w:ascii="Calibri"/>
          <w:i/>
          <w:spacing w:val="68"/>
          <w:sz w:val="22"/>
        </w:rPr>
        <w:t> </w:t>
      </w:r>
      <w:r>
        <w:rPr>
          <w:rFonts w:ascii="Calibri"/>
          <w:i/>
          <w:sz w:val="22"/>
        </w:rPr>
        <w:t>Method</w:t>
      </w:r>
      <w:r>
        <w:rPr>
          <w:rFonts w:ascii="Calibri"/>
          <w:i/>
          <w:spacing w:val="73"/>
          <w:sz w:val="22"/>
        </w:rPr>
        <w:t> </w:t>
      </w:r>
      <w:r>
        <w:rPr>
          <w:rFonts w:ascii="Calibri"/>
          <w:i/>
          <w:sz w:val="22"/>
        </w:rPr>
        <w:t>of</w:t>
      </w:r>
      <w:r>
        <w:rPr>
          <w:rFonts w:ascii="Calibri"/>
          <w:i/>
          <w:spacing w:val="67"/>
          <w:sz w:val="22"/>
        </w:rPr>
        <w:t> </w:t>
      </w:r>
      <w:r>
        <w:rPr>
          <w:rFonts w:ascii="Calibri"/>
          <w:i/>
          <w:sz w:val="22"/>
        </w:rPr>
        <w:t>Co- ordination. </w:t>
      </w:r>
      <w:r>
        <w:rPr>
          <w:rFonts w:ascii="Calibri"/>
          <w:sz w:val="22"/>
        </w:rPr>
        <w:t>from </w:t>
      </w:r>
      <w:hyperlink r:id="rId43">
        <w:r>
          <w:rPr>
            <w:rFonts w:ascii="Calibri"/>
            <w:color w:val="0000FF"/>
            <w:sz w:val="22"/>
            <w:u w:val="single" w:color="0000FF"/>
          </w:rPr>
          <w:t>http://ec.europa.eu/smart-regulation/guidelines/tool_15_en.htm</w:t>
        </w:r>
      </w:hyperlink>
    </w:p>
    <w:p>
      <w:pPr>
        <w:spacing w:line="235" w:lineRule="auto" w:before="5"/>
        <w:ind w:left="1700" w:right="1909" w:hanging="721"/>
        <w:jc w:val="left"/>
        <w:rPr>
          <w:rFonts w:ascii="Calibri"/>
          <w:sz w:val="22"/>
        </w:rPr>
      </w:pPr>
      <w:bookmarkStart w:name="_bookmark136" w:id="137"/>
      <w:bookmarkEnd w:id="137"/>
      <w:r>
        <w:rPr/>
      </w:r>
      <w:r>
        <w:rPr>
          <w:rFonts w:ascii="Calibri"/>
          <w:sz w:val="22"/>
        </w:rPr>
        <w:t>Comission,</w:t>
      </w:r>
      <w:r>
        <w:rPr>
          <w:rFonts w:ascii="Calibri"/>
          <w:spacing w:val="-2"/>
          <w:sz w:val="22"/>
        </w:rPr>
        <w:t> </w:t>
      </w:r>
      <w:r>
        <w:rPr>
          <w:rFonts w:ascii="Calibri"/>
          <w:sz w:val="22"/>
        </w:rPr>
        <w:t>E. (2001). </w:t>
      </w:r>
      <w:r>
        <w:rPr>
          <w:rFonts w:ascii="Calibri"/>
          <w:i/>
          <w:sz w:val="22"/>
        </w:rPr>
        <w:t>European Governance -</w:t>
      </w:r>
      <w:r>
        <w:rPr>
          <w:rFonts w:ascii="Calibri"/>
          <w:i/>
          <w:spacing w:val="-1"/>
          <w:sz w:val="22"/>
        </w:rPr>
        <w:t> </w:t>
      </w:r>
      <w:r>
        <w:rPr>
          <w:rFonts w:ascii="Calibri"/>
          <w:i/>
          <w:sz w:val="22"/>
        </w:rPr>
        <w:t>a white</w:t>
      </w:r>
      <w:r>
        <w:rPr>
          <w:rFonts w:ascii="Calibri"/>
          <w:i/>
          <w:spacing w:val="-1"/>
          <w:sz w:val="22"/>
        </w:rPr>
        <w:t> </w:t>
      </w:r>
      <w:r>
        <w:rPr>
          <w:rFonts w:ascii="Calibri"/>
          <w:i/>
          <w:sz w:val="22"/>
        </w:rPr>
        <w:t>paper</w:t>
      </w:r>
      <w:r>
        <w:rPr>
          <w:rFonts w:ascii="Calibri"/>
          <w:sz w:val="22"/>
        </w:rPr>
        <w:t>. Official Journal of</w:t>
      </w:r>
      <w:r>
        <w:rPr>
          <w:rFonts w:ascii="Calibri"/>
          <w:spacing w:val="-1"/>
          <w:sz w:val="22"/>
        </w:rPr>
        <w:t> </w:t>
      </w:r>
      <w:r>
        <w:rPr>
          <w:rFonts w:ascii="Calibri"/>
          <w:sz w:val="22"/>
        </w:rPr>
        <w:t>the European </w:t>
      </w:r>
      <w:r>
        <w:rPr>
          <w:rFonts w:ascii="Calibri"/>
          <w:spacing w:val="-2"/>
          <w:sz w:val="22"/>
        </w:rPr>
        <w:t>Communities.</w:t>
      </w:r>
    </w:p>
    <w:p>
      <w:pPr>
        <w:spacing w:before="2"/>
        <w:ind w:left="979" w:right="0" w:firstLine="0"/>
        <w:jc w:val="left"/>
        <w:rPr>
          <w:rFonts w:ascii="Calibri" w:hAnsi="Calibri"/>
          <w:sz w:val="22"/>
        </w:rPr>
      </w:pPr>
      <w:bookmarkStart w:name="_bookmark137" w:id="138"/>
      <w:bookmarkEnd w:id="138"/>
      <w:r>
        <w:rPr/>
      </w:r>
      <w:r>
        <w:rPr>
          <w:rFonts w:ascii="Calibri" w:hAnsi="Calibri"/>
          <w:sz w:val="22"/>
        </w:rPr>
        <w:t>Commission.</w:t>
      </w:r>
      <w:r>
        <w:rPr>
          <w:rFonts w:ascii="Calibri" w:hAnsi="Calibri"/>
          <w:spacing w:val="-7"/>
          <w:sz w:val="22"/>
        </w:rPr>
        <w:t> </w:t>
      </w:r>
      <w:r>
        <w:rPr>
          <w:rFonts w:ascii="Calibri" w:hAnsi="Calibri"/>
          <w:sz w:val="22"/>
        </w:rPr>
        <w:t>(2001).</w:t>
      </w:r>
      <w:r>
        <w:rPr>
          <w:rFonts w:ascii="Calibri" w:hAnsi="Calibri"/>
          <w:spacing w:val="-3"/>
          <w:sz w:val="22"/>
        </w:rPr>
        <w:t> </w:t>
      </w:r>
      <w:r>
        <w:rPr>
          <w:rFonts w:ascii="Calibri" w:hAnsi="Calibri"/>
          <w:i/>
          <w:sz w:val="22"/>
        </w:rPr>
        <w:t>European</w:t>
      </w:r>
      <w:r>
        <w:rPr>
          <w:rFonts w:ascii="Calibri" w:hAnsi="Calibri"/>
          <w:i/>
          <w:spacing w:val="-5"/>
          <w:sz w:val="22"/>
        </w:rPr>
        <w:t> </w:t>
      </w:r>
      <w:r>
        <w:rPr>
          <w:rFonts w:ascii="Calibri" w:hAnsi="Calibri"/>
          <w:i/>
          <w:sz w:val="22"/>
        </w:rPr>
        <w:t>Governance</w:t>
      </w:r>
      <w:r>
        <w:rPr>
          <w:rFonts w:ascii="Calibri" w:hAnsi="Calibri"/>
          <w:i/>
          <w:spacing w:val="-4"/>
          <w:sz w:val="22"/>
        </w:rPr>
        <w:t> </w:t>
      </w:r>
      <w:r>
        <w:rPr>
          <w:rFonts w:ascii="Calibri" w:hAnsi="Calibri"/>
          <w:i/>
          <w:sz w:val="22"/>
        </w:rPr>
        <w:t>—</w:t>
      </w:r>
      <w:r>
        <w:rPr>
          <w:rFonts w:ascii="Calibri" w:hAnsi="Calibri"/>
          <w:i/>
          <w:spacing w:val="-8"/>
          <w:sz w:val="22"/>
        </w:rPr>
        <w:t> </w:t>
      </w:r>
      <w:r>
        <w:rPr>
          <w:rFonts w:ascii="Calibri" w:hAnsi="Calibri"/>
          <w:i/>
          <w:sz w:val="22"/>
        </w:rPr>
        <w:t>a</w:t>
      </w:r>
      <w:r>
        <w:rPr>
          <w:rFonts w:ascii="Calibri" w:hAnsi="Calibri"/>
          <w:i/>
          <w:spacing w:val="-5"/>
          <w:sz w:val="22"/>
        </w:rPr>
        <w:t> </w:t>
      </w:r>
      <w:r>
        <w:rPr>
          <w:rFonts w:ascii="Calibri" w:hAnsi="Calibri"/>
          <w:i/>
          <w:sz w:val="22"/>
        </w:rPr>
        <w:t>White</w:t>
      </w:r>
      <w:r>
        <w:rPr>
          <w:rFonts w:ascii="Calibri" w:hAnsi="Calibri"/>
          <w:i/>
          <w:spacing w:val="-11"/>
          <w:sz w:val="22"/>
        </w:rPr>
        <w:t> </w:t>
      </w:r>
      <w:r>
        <w:rPr>
          <w:rFonts w:ascii="Calibri" w:hAnsi="Calibri"/>
          <w:i/>
          <w:sz w:val="22"/>
        </w:rPr>
        <w:t>Paper</w:t>
      </w:r>
      <w:r>
        <w:rPr>
          <w:rFonts w:ascii="Calibri" w:hAnsi="Calibri"/>
          <w:sz w:val="22"/>
        </w:rPr>
        <w:t>.</w:t>
      </w:r>
      <w:r>
        <w:rPr>
          <w:rFonts w:ascii="Calibri" w:hAnsi="Calibri"/>
          <w:spacing w:val="40"/>
          <w:sz w:val="22"/>
        </w:rPr>
        <w:t> </w:t>
      </w:r>
      <w:r>
        <w:rPr>
          <w:rFonts w:ascii="Calibri" w:hAnsi="Calibri"/>
          <w:sz w:val="22"/>
        </w:rPr>
        <w:t>Brussels</w:t>
      </w:r>
      <w:r>
        <w:rPr>
          <w:rFonts w:ascii="Calibri" w:hAnsi="Calibri"/>
          <w:spacing w:val="-6"/>
          <w:sz w:val="22"/>
        </w:rPr>
        <w:t> </w:t>
      </w:r>
      <w:r>
        <w:rPr>
          <w:rFonts w:ascii="Calibri" w:hAnsi="Calibri"/>
          <w:sz w:val="22"/>
        </w:rPr>
        <w:t>European</w:t>
      </w:r>
      <w:r>
        <w:rPr>
          <w:rFonts w:ascii="Calibri" w:hAnsi="Calibri"/>
          <w:spacing w:val="-6"/>
          <w:sz w:val="22"/>
        </w:rPr>
        <w:t> </w:t>
      </w:r>
      <w:r>
        <w:rPr>
          <w:rFonts w:ascii="Calibri" w:hAnsi="Calibri"/>
          <w:spacing w:val="-2"/>
          <w:sz w:val="22"/>
        </w:rPr>
        <w:t>Union.</w:t>
      </w:r>
    </w:p>
    <w:p>
      <w:pPr>
        <w:spacing w:before="0"/>
        <w:ind w:left="979" w:right="0" w:firstLine="0"/>
        <w:jc w:val="left"/>
        <w:rPr>
          <w:rFonts w:ascii="Calibri"/>
          <w:sz w:val="22"/>
        </w:rPr>
      </w:pPr>
      <w:bookmarkStart w:name="_bookmark138" w:id="139"/>
      <w:bookmarkEnd w:id="139"/>
      <w:r>
        <w:rPr/>
      </w:r>
      <w:r>
        <w:rPr>
          <w:rFonts w:ascii="Calibri"/>
          <w:i/>
          <w:sz w:val="22"/>
        </w:rPr>
        <w:t>Competences</w:t>
      </w:r>
      <w:r>
        <w:rPr>
          <w:rFonts w:ascii="Calibri"/>
          <w:i/>
          <w:spacing w:val="-4"/>
          <w:sz w:val="22"/>
        </w:rPr>
        <w:t> </w:t>
      </w:r>
      <w:r>
        <w:rPr>
          <w:rFonts w:ascii="Calibri"/>
          <w:i/>
          <w:sz w:val="22"/>
        </w:rPr>
        <w:t>of</w:t>
      </w:r>
      <w:r>
        <w:rPr>
          <w:rFonts w:ascii="Calibri"/>
          <w:i/>
          <w:spacing w:val="-4"/>
          <w:sz w:val="22"/>
        </w:rPr>
        <w:t> </w:t>
      </w:r>
      <w:r>
        <w:rPr>
          <w:rFonts w:ascii="Calibri"/>
          <w:i/>
          <w:sz w:val="22"/>
        </w:rPr>
        <w:t>the</w:t>
      </w:r>
      <w:r>
        <w:rPr>
          <w:rFonts w:ascii="Calibri"/>
          <w:i/>
          <w:spacing w:val="-4"/>
          <w:sz w:val="22"/>
        </w:rPr>
        <w:t> </w:t>
      </w:r>
      <w:r>
        <w:rPr>
          <w:rFonts w:ascii="Calibri"/>
          <w:i/>
          <w:sz w:val="22"/>
        </w:rPr>
        <w:t>Court</w:t>
      </w:r>
      <w:r>
        <w:rPr>
          <w:rFonts w:ascii="Calibri"/>
          <w:i/>
          <w:spacing w:val="-5"/>
          <w:sz w:val="22"/>
        </w:rPr>
        <w:t> </w:t>
      </w:r>
      <w:r>
        <w:rPr>
          <w:rFonts w:ascii="Calibri"/>
          <w:i/>
          <w:sz w:val="22"/>
        </w:rPr>
        <w:t>of</w:t>
      </w:r>
      <w:r>
        <w:rPr>
          <w:rFonts w:ascii="Calibri"/>
          <w:i/>
          <w:spacing w:val="-4"/>
          <w:sz w:val="22"/>
        </w:rPr>
        <w:t> </w:t>
      </w:r>
      <w:r>
        <w:rPr>
          <w:rFonts w:ascii="Calibri"/>
          <w:i/>
          <w:sz w:val="22"/>
        </w:rPr>
        <w:t>Justice</w:t>
      </w:r>
      <w:r>
        <w:rPr>
          <w:rFonts w:ascii="Calibri"/>
          <w:i/>
          <w:spacing w:val="-5"/>
          <w:sz w:val="22"/>
        </w:rPr>
        <w:t> </w:t>
      </w:r>
      <w:r>
        <w:rPr>
          <w:rFonts w:ascii="Calibri"/>
          <w:i/>
          <w:sz w:val="22"/>
        </w:rPr>
        <w:t>of</w:t>
      </w:r>
      <w:r>
        <w:rPr>
          <w:rFonts w:ascii="Calibri"/>
          <w:i/>
          <w:spacing w:val="-3"/>
          <w:sz w:val="22"/>
        </w:rPr>
        <w:t> </w:t>
      </w:r>
      <w:r>
        <w:rPr>
          <w:rFonts w:ascii="Calibri"/>
          <w:i/>
          <w:sz w:val="22"/>
        </w:rPr>
        <w:t>the</w:t>
      </w:r>
      <w:r>
        <w:rPr>
          <w:rFonts w:ascii="Calibri"/>
          <w:i/>
          <w:spacing w:val="-4"/>
          <w:sz w:val="22"/>
        </w:rPr>
        <w:t> </w:t>
      </w:r>
      <w:r>
        <w:rPr>
          <w:rFonts w:ascii="Calibri"/>
          <w:i/>
          <w:sz w:val="22"/>
        </w:rPr>
        <w:t>European</w:t>
      </w:r>
      <w:r>
        <w:rPr>
          <w:rFonts w:ascii="Calibri"/>
          <w:i/>
          <w:spacing w:val="-3"/>
          <w:sz w:val="22"/>
        </w:rPr>
        <w:t> </w:t>
      </w:r>
      <w:r>
        <w:rPr>
          <w:rFonts w:ascii="Calibri"/>
          <w:i/>
          <w:sz w:val="22"/>
        </w:rPr>
        <w:t>Union</w:t>
      </w:r>
      <w:r>
        <w:rPr>
          <w:rFonts w:ascii="Calibri"/>
          <w:sz w:val="22"/>
        </w:rPr>
        <w:t>.</w:t>
      </w:r>
      <w:r>
        <w:rPr>
          <w:rFonts w:ascii="Calibri"/>
          <w:spacing w:val="-2"/>
          <w:sz w:val="22"/>
        </w:rPr>
        <w:t> (2016).</w:t>
      </w:r>
    </w:p>
    <w:p>
      <w:pPr>
        <w:spacing w:before="1"/>
        <w:ind w:left="1700" w:right="1909" w:hanging="721"/>
        <w:jc w:val="left"/>
        <w:rPr>
          <w:rFonts w:ascii="Calibri"/>
          <w:sz w:val="22"/>
        </w:rPr>
      </w:pPr>
      <w:bookmarkStart w:name="_bookmark139" w:id="140"/>
      <w:bookmarkEnd w:id="140"/>
      <w:r>
        <w:rPr/>
      </w:r>
      <w:r>
        <w:rPr>
          <w:rFonts w:ascii="Calibri"/>
          <w:sz w:val="22"/>
        </w:rPr>
        <w:t>Cooren, F., Kuhn, T., Cornelissen, J. P., &amp; Clark, T. (2011). INTRODUCTION TO THE SPECIAL</w:t>
      </w:r>
      <w:r>
        <w:rPr>
          <w:rFonts w:ascii="Calibri"/>
          <w:spacing w:val="40"/>
          <w:sz w:val="22"/>
        </w:rPr>
        <w:t> </w:t>
      </w:r>
      <w:r>
        <w:rPr>
          <w:rFonts w:ascii="Calibri"/>
          <w:sz w:val="22"/>
        </w:rPr>
        <w:t>ISSUE:</w:t>
      </w:r>
      <w:r>
        <w:rPr>
          <w:rFonts w:ascii="Calibri"/>
          <w:spacing w:val="69"/>
          <w:w w:val="150"/>
          <w:sz w:val="22"/>
        </w:rPr>
        <w:t> </w:t>
      </w:r>
      <w:r>
        <w:rPr>
          <w:rFonts w:ascii="Calibri"/>
          <w:sz w:val="22"/>
        </w:rPr>
        <w:t>COMMUNICATION,</w:t>
      </w:r>
      <w:r>
        <w:rPr>
          <w:rFonts w:ascii="Calibri"/>
          <w:spacing w:val="69"/>
          <w:w w:val="150"/>
          <w:sz w:val="22"/>
        </w:rPr>
        <w:t> </w:t>
      </w:r>
      <w:r>
        <w:rPr>
          <w:rFonts w:ascii="Calibri"/>
          <w:sz w:val="22"/>
        </w:rPr>
        <w:t>ORGANIZING</w:t>
      </w:r>
      <w:r>
        <w:rPr>
          <w:rFonts w:ascii="Calibri"/>
          <w:spacing w:val="67"/>
          <w:w w:val="150"/>
          <w:sz w:val="22"/>
        </w:rPr>
        <w:t> </w:t>
      </w:r>
      <w:r>
        <w:rPr>
          <w:rFonts w:ascii="Calibri"/>
          <w:sz w:val="22"/>
        </w:rPr>
        <w:t>AND</w:t>
      </w:r>
      <w:r>
        <w:rPr>
          <w:rFonts w:ascii="Calibri"/>
          <w:spacing w:val="69"/>
          <w:w w:val="150"/>
          <w:sz w:val="22"/>
        </w:rPr>
        <w:t> </w:t>
      </w:r>
      <w:r>
        <w:rPr>
          <w:rFonts w:ascii="Calibri"/>
          <w:sz w:val="22"/>
        </w:rPr>
        <w:t>ORGANIZATION:</w:t>
      </w:r>
      <w:r>
        <w:rPr>
          <w:rFonts w:ascii="Calibri"/>
          <w:spacing w:val="70"/>
          <w:w w:val="150"/>
          <w:sz w:val="22"/>
        </w:rPr>
        <w:t> </w:t>
      </w:r>
      <w:r>
        <w:rPr>
          <w:rFonts w:ascii="Calibri"/>
          <w:sz w:val="22"/>
        </w:rPr>
        <w:t>AN</w:t>
      </w:r>
      <w:r>
        <w:rPr>
          <w:rFonts w:ascii="Calibri"/>
          <w:spacing w:val="72"/>
          <w:w w:val="150"/>
          <w:sz w:val="22"/>
        </w:rPr>
        <w:t> </w:t>
      </w:r>
      <w:r>
        <w:rPr>
          <w:rFonts w:ascii="Calibri"/>
          <w:spacing w:val="-2"/>
          <w:sz w:val="22"/>
        </w:rPr>
        <w:t>OVERVIEW.</w:t>
      </w:r>
    </w:p>
    <w:p>
      <w:pPr>
        <w:spacing w:before="1"/>
        <w:ind w:left="979" w:right="3455" w:firstLine="720"/>
        <w:jc w:val="left"/>
        <w:rPr>
          <w:rFonts w:ascii="Calibri"/>
          <w:sz w:val="22"/>
        </w:rPr>
      </w:pPr>
      <w:r>
        <w:rPr>
          <w:rFonts w:ascii="Calibri"/>
          <w:i/>
          <w:sz w:val="22"/>
        </w:rPr>
        <w:t>Organization</w:t>
      </w:r>
      <w:r>
        <w:rPr>
          <w:rFonts w:ascii="Calibri"/>
          <w:i/>
          <w:spacing w:val="-13"/>
          <w:sz w:val="22"/>
        </w:rPr>
        <w:t> </w:t>
      </w:r>
      <w:r>
        <w:rPr>
          <w:rFonts w:ascii="Calibri"/>
          <w:i/>
          <w:sz w:val="22"/>
        </w:rPr>
        <w:t>Studies</w:t>
      </w:r>
      <w:r>
        <w:rPr>
          <w:rFonts w:ascii="Calibri"/>
          <w:sz w:val="22"/>
        </w:rPr>
        <w:t>.</w:t>
      </w:r>
      <w:r>
        <w:rPr>
          <w:rFonts w:ascii="Calibri"/>
          <w:spacing w:val="-12"/>
          <w:sz w:val="22"/>
        </w:rPr>
        <w:t> </w:t>
      </w:r>
      <w:r>
        <w:rPr>
          <w:rFonts w:ascii="Calibri"/>
          <w:sz w:val="22"/>
        </w:rPr>
        <w:t>doi:</w:t>
      </w:r>
      <w:r>
        <w:rPr>
          <w:rFonts w:ascii="Calibri"/>
          <w:spacing w:val="-12"/>
          <w:sz w:val="22"/>
        </w:rPr>
        <w:t> </w:t>
      </w:r>
      <w:r>
        <w:rPr>
          <w:rFonts w:ascii="Calibri"/>
          <w:sz w:val="22"/>
        </w:rPr>
        <w:t>10.1177/0170840611410836 Copenhagen European Council, European Council (1993).</w:t>
      </w:r>
    </w:p>
    <w:p>
      <w:pPr>
        <w:spacing w:before="0"/>
        <w:ind w:left="1700" w:right="1909" w:hanging="721"/>
        <w:jc w:val="left"/>
        <w:rPr>
          <w:rFonts w:ascii="Calibri"/>
          <w:sz w:val="22"/>
        </w:rPr>
      </w:pPr>
      <w:bookmarkStart w:name="_bookmark140" w:id="141"/>
      <w:bookmarkEnd w:id="141"/>
      <w:r>
        <w:rPr/>
      </w:r>
      <w:r>
        <w:rPr>
          <w:rFonts w:ascii="Calibri"/>
          <w:sz w:val="22"/>
        </w:rPr>
        <w:t>Coudenhove-Kalergi,</w:t>
      </w:r>
      <w:r>
        <w:rPr>
          <w:rFonts w:ascii="Calibri"/>
          <w:spacing w:val="40"/>
          <w:sz w:val="22"/>
        </w:rPr>
        <w:t> </w:t>
      </w:r>
      <w:r>
        <w:rPr>
          <w:rFonts w:ascii="Calibri"/>
          <w:sz w:val="22"/>
        </w:rPr>
        <w:t>R.</w:t>
      </w:r>
      <w:r>
        <w:rPr>
          <w:rFonts w:ascii="Calibri"/>
          <w:spacing w:val="40"/>
          <w:sz w:val="22"/>
        </w:rPr>
        <w:t> </w:t>
      </w:r>
      <w:r>
        <w:rPr>
          <w:rFonts w:ascii="Calibri"/>
          <w:sz w:val="22"/>
        </w:rPr>
        <w:t>(1931).</w:t>
      </w:r>
      <w:r>
        <w:rPr>
          <w:rFonts w:ascii="Calibri"/>
          <w:spacing w:val="40"/>
          <w:sz w:val="22"/>
        </w:rPr>
        <w:t> </w:t>
      </w:r>
      <w:r>
        <w:rPr>
          <w:rFonts w:ascii="Calibri"/>
          <w:sz w:val="22"/>
        </w:rPr>
        <w:t>The</w:t>
      </w:r>
      <w:r>
        <w:rPr>
          <w:rFonts w:ascii="Calibri"/>
          <w:spacing w:val="40"/>
          <w:sz w:val="22"/>
        </w:rPr>
        <w:t> </w:t>
      </w:r>
      <w:r>
        <w:rPr>
          <w:rFonts w:ascii="Calibri"/>
          <w:sz w:val="22"/>
        </w:rPr>
        <w:t>Pan-European</w:t>
      </w:r>
      <w:r>
        <w:rPr>
          <w:rFonts w:ascii="Calibri"/>
          <w:spacing w:val="40"/>
          <w:sz w:val="22"/>
        </w:rPr>
        <w:t> </w:t>
      </w:r>
      <w:r>
        <w:rPr>
          <w:rFonts w:ascii="Calibri"/>
          <w:sz w:val="22"/>
        </w:rPr>
        <w:t>Outlook.</w:t>
      </w:r>
      <w:r>
        <w:rPr>
          <w:rFonts w:ascii="Calibri"/>
          <w:spacing w:val="40"/>
          <w:sz w:val="22"/>
        </w:rPr>
        <w:t> </w:t>
      </w:r>
      <w:r>
        <w:rPr>
          <w:rFonts w:ascii="Calibri"/>
          <w:i/>
          <w:sz w:val="22"/>
        </w:rPr>
        <w:t>International</w:t>
      </w:r>
      <w:r>
        <w:rPr>
          <w:rFonts w:ascii="Calibri"/>
          <w:i/>
          <w:spacing w:val="40"/>
          <w:sz w:val="22"/>
        </w:rPr>
        <w:t> </w:t>
      </w:r>
      <w:r>
        <w:rPr>
          <w:rFonts w:ascii="Calibri"/>
          <w:i/>
          <w:sz w:val="22"/>
        </w:rPr>
        <w:t>Affairs</w:t>
      </w:r>
      <w:r>
        <w:rPr>
          <w:rFonts w:ascii="Calibri"/>
          <w:i/>
          <w:spacing w:val="40"/>
          <w:sz w:val="22"/>
        </w:rPr>
        <w:t> </w:t>
      </w:r>
      <w:r>
        <w:rPr>
          <w:rFonts w:ascii="Calibri"/>
          <w:i/>
          <w:sz w:val="22"/>
        </w:rPr>
        <w:t>(Royal Institute of International Affairs 1931-1939), 10</w:t>
      </w:r>
      <w:r>
        <w:rPr>
          <w:rFonts w:ascii="Calibri"/>
          <w:sz w:val="22"/>
        </w:rPr>
        <w:t>(5), 638-651. doi: 10.2307/3016059</w:t>
      </w:r>
    </w:p>
    <w:p>
      <w:pPr>
        <w:spacing w:before="1"/>
        <w:ind w:left="979" w:right="0" w:firstLine="0"/>
        <w:jc w:val="left"/>
        <w:rPr>
          <w:rFonts w:ascii="Calibri"/>
          <w:sz w:val="22"/>
        </w:rPr>
      </w:pPr>
      <w:bookmarkStart w:name="_bookmark141" w:id="142"/>
      <w:bookmarkEnd w:id="142"/>
      <w:r>
        <w:rPr/>
      </w:r>
      <w:r>
        <w:rPr>
          <w:rFonts w:ascii="Calibri"/>
          <w:sz w:val="22"/>
        </w:rPr>
        <w:t>Council.</w:t>
      </w:r>
      <w:r>
        <w:rPr>
          <w:rFonts w:ascii="Calibri"/>
          <w:spacing w:val="-10"/>
          <w:sz w:val="22"/>
        </w:rPr>
        <w:t> </w:t>
      </w:r>
      <w:r>
        <w:rPr>
          <w:rFonts w:ascii="Calibri"/>
          <w:sz w:val="22"/>
        </w:rPr>
        <w:t>(1999).</w:t>
      </w:r>
      <w:r>
        <w:rPr>
          <w:rFonts w:ascii="Calibri"/>
          <w:spacing w:val="-7"/>
          <w:sz w:val="22"/>
        </w:rPr>
        <w:t> </w:t>
      </w:r>
      <w:r>
        <w:rPr>
          <w:rFonts w:ascii="Calibri"/>
          <w:i/>
          <w:sz w:val="22"/>
        </w:rPr>
        <w:t>Presidency</w:t>
      </w:r>
      <w:r>
        <w:rPr>
          <w:rFonts w:ascii="Calibri"/>
          <w:i/>
          <w:spacing w:val="-9"/>
          <w:sz w:val="22"/>
        </w:rPr>
        <w:t> </w:t>
      </w:r>
      <w:r>
        <w:rPr>
          <w:rFonts w:ascii="Calibri"/>
          <w:i/>
          <w:sz w:val="22"/>
        </w:rPr>
        <w:t>Conclusions</w:t>
      </w:r>
      <w:r>
        <w:rPr>
          <w:rFonts w:ascii="Calibri"/>
          <w:sz w:val="22"/>
        </w:rPr>
        <w:t>.</w:t>
      </w:r>
      <w:r>
        <w:rPr>
          <w:rFonts w:ascii="Calibri"/>
          <w:spacing w:val="-10"/>
          <w:sz w:val="22"/>
        </w:rPr>
        <w:t> </w:t>
      </w:r>
      <w:r>
        <w:rPr>
          <w:rFonts w:ascii="Calibri"/>
          <w:sz w:val="22"/>
        </w:rPr>
        <w:t>European</w:t>
      </w:r>
      <w:r>
        <w:rPr>
          <w:rFonts w:ascii="Calibri"/>
          <w:spacing w:val="-10"/>
          <w:sz w:val="22"/>
        </w:rPr>
        <w:t> </w:t>
      </w:r>
      <w:r>
        <w:rPr>
          <w:rFonts w:ascii="Calibri"/>
          <w:spacing w:val="-2"/>
          <w:sz w:val="22"/>
        </w:rPr>
        <w:t>Council.</w:t>
      </w:r>
    </w:p>
    <w:p>
      <w:pPr>
        <w:spacing w:before="0"/>
        <w:ind w:left="979" w:right="0" w:firstLine="0"/>
        <w:jc w:val="left"/>
        <w:rPr>
          <w:rFonts w:ascii="Calibri"/>
          <w:sz w:val="22"/>
        </w:rPr>
      </w:pPr>
      <w:bookmarkStart w:name="_bookmark142" w:id="143"/>
      <w:bookmarkEnd w:id="143"/>
      <w:r>
        <w:rPr/>
      </w:r>
      <w:r>
        <w:rPr>
          <w:rFonts w:ascii="Calibri"/>
          <w:sz w:val="22"/>
        </w:rPr>
        <w:t>COUNCIL.</w:t>
      </w:r>
      <w:r>
        <w:rPr>
          <w:rFonts w:ascii="Calibri"/>
          <w:spacing w:val="60"/>
          <w:sz w:val="22"/>
        </w:rPr>
        <w:t> </w:t>
      </w:r>
      <w:r>
        <w:rPr>
          <w:rFonts w:ascii="Calibri"/>
          <w:sz w:val="22"/>
        </w:rPr>
        <w:t>(2003).</w:t>
      </w:r>
      <w:r>
        <w:rPr>
          <w:rFonts w:ascii="Calibri"/>
          <w:spacing w:val="68"/>
          <w:sz w:val="22"/>
        </w:rPr>
        <w:t> </w:t>
      </w:r>
      <w:r>
        <w:rPr>
          <w:rFonts w:ascii="Calibri"/>
          <w:i/>
          <w:sz w:val="22"/>
        </w:rPr>
        <w:t>EU-NATO:</w:t>
      </w:r>
      <w:r>
        <w:rPr>
          <w:rFonts w:ascii="Calibri"/>
          <w:i/>
          <w:spacing w:val="62"/>
          <w:sz w:val="22"/>
        </w:rPr>
        <w:t> </w:t>
      </w:r>
      <w:r>
        <w:rPr>
          <w:rFonts w:ascii="Calibri"/>
          <w:i/>
          <w:sz w:val="22"/>
        </w:rPr>
        <w:t>The</w:t>
      </w:r>
      <w:r>
        <w:rPr>
          <w:rFonts w:ascii="Calibri"/>
          <w:i/>
          <w:spacing w:val="63"/>
          <w:sz w:val="22"/>
        </w:rPr>
        <w:t> </w:t>
      </w:r>
      <w:r>
        <w:rPr>
          <w:rFonts w:ascii="Calibri"/>
          <w:i/>
          <w:sz w:val="22"/>
        </w:rPr>
        <w:t>Framework</w:t>
      </w:r>
      <w:r>
        <w:rPr>
          <w:rFonts w:ascii="Calibri"/>
          <w:i/>
          <w:spacing w:val="64"/>
          <w:sz w:val="22"/>
        </w:rPr>
        <w:t> </w:t>
      </w:r>
      <w:r>
        <w:rPr>
          <w:rFonts w:ascii="Calibri"/>
          <w:i/>
          <w:sz w:val="22"/>
        </w:rPr>
        <w:t>for</w:t>
      </w:r>
      <w:r>
        <w:rPr>
          <w:rFonts w:ascii="Calibri"/>
          <w:i/>
          <w:spacing w:val="64"/>
          <w:sz w:val="22"/>
        </w:rPr>
        <w:t> </w:t>
      </w:r>
      <w:r>
        <w:rPr>
          <w:rFonts w:ascii="Calibri"/>
          <w:i/>
          <w:sz w:val="22"/>
        </w:rPr>
        <w:t>Permanent</w:t>
      </w:r>
      <w:r>
        <w:rPr>
          <w:rFonts w:ascii="Calibri"/>
          <w:i/>
          <w:spacing w:val="61"/>
          <w:sz w:val="22"/>
        </w:rPr>
        <w:t> </w:t>
      </w:r>
      <w:r>
        <w:rPr>
          <w:rFonts w:ascii="Calibri"/>
          <w:i/>
          <w:sz w:val="22"/>
        </w:rPr>
        <w:t>Relations</w:t>
      </w:r>
      <w:r>
        <w:rPr>
          <w:rFonts w:ascii="Calibri"/>
          <w:i/>
          <w:spacing w:val="64"/>
          <w:sz w:val="22"/>
        </w:rPr>
        <w:t> </w:t>
      </w:r>
      <w:r>
        <w:rPr>
          <w:rFonts w:ascii="Calibri"/>
          <w:i/>
          <w:sz w:val="22"/>
        </w:rPr>
        <w:t>and</w:t>
      </w:r>
      <w:r>
        <w:rPr>
          <w:rFonts w:ascii="Calibri"/>
          <w:i/>
          <w:spacing w:val="64"/>
          <w:sz w:val="22"/>
        </w:rPr>
        <w:t> </w:t>
      </w:r>
      <w:r>
        <w:rPr>
          <w:rFonts w:ascii="Calibri"/>
          <w:i/>
          <w:sz w:val="22"/>
        </w:rPr>
        <w:t>Berlin</w:t>
      </w:r>
      <w:r>
        <w:rPr>
          <w:rFonts w:ascii="Calibri"/>
          <w:i/>
          <w:spacing w:val="65"/>
          <w:sz w:val="22"/>
        </w:rPr>
        <w:t> </w:t>
      </w:r>
      <w:r>
        <w:rPr>
          <w:rFonts w:ascii="Calibri"/>
          <w:i/>
          <w:spacing w:val="-2"/>
          <w:sz w:val="22"/>
        </w:rPr>
        <w:t>Plus</w:t>
      </w:r>
      <w:r>
        <w:rPr>
          <w:rFonts w:ascii="Calibri"/>
          <w:spacing w:val="-2"/>
          <w:sz w:val="22"/>
        </w:rPr>
        <w:t>.</w:t>
      </w:r>
    </w:p>
    <w:p>
      <w:pPr>
        <w:spacing w:before="1"/>
        <w:ind w:left="1700" w:right="0" w:firstLine="0"/>
        <w:jc w:val="left"/>
        <w:rPr>
          <w:rFonts w:ascii="Calibri"/>
          <w:sz w:val="22"/>
        </w:rPr>
      </w:pPr>
      <w:r>
        <w:rPr>
          <w:rFonts w:ascii="Calibri"/>
          <w:sz w:val="22"/>
        </w:rPr>
        <w:t>Brussels</w:t>
      </w:r>
      <w:r>
        <w:rPr>
          <w:rFonts w:ascii="Calibri"/>
          <w:spacing w:val="-9"/>
          <w:sz w:val="22"/>
        </w:rPr>
        <w:t> </w:t>
      </w:r>
      <w:r>
        <w:rPr>
          <w:rFonts w:ascii="Calibri"/>
          <w:sz w:val="22"/>
        </w:rPr>
        <w:t>European</w:t>
      </w:r>
      <w:r>
        <w:rPr>
          <w:rFonts w:ascii="Calibri"/>
          <w:spacing w:val="-8"/>
          <w:sz w:val="22"/>
        </w:rPr>
        <w:t> </w:t>
      </w:r>
      <w:r>
        <w:rPr>
          <w:rFonts w:ascii="Calibri"/>
          <w:spacing w:val="-2"/>
          <w:sz w:val="22"/>
        </w:rPr>
        <w:t>Union.</w:t>
      </w:r>
    </w:p>
    <w:p>
      <w:pPr>
        <w:spacing w:before="0"/>
        <w:ind w:left="1700" w:right="1908" w:hanging="721"/>
        <w:jc w:val="both"/>
        <w:rPr>
          <w:rFonts w:ascii="Calibri"/>
          <w:sz w:val="22"/>
        </w:rPr>
      </w:pPr>
      <w:bookmarkStart w:name="_bookmark143" w:id="144"/>
      <w:bookmarkEnd w:id="144"/>
      <w:r>
        <w:rPr/>
      </w:r>
      <w:r>
        <w:rPr>
          <w:rFonts w:ascii="Calibri"/>
          <w:sz w:val="22"/>
        </w:rPr>
        <w:t>Craig, P. P. (2003). The Community Political Order. </w:t>
      </w:r>
      <w:r>
        <w:rPr>
          <w:rFonts w:ascii="Calibri"/>
          <w:i/>
          <w:sz w:val="22"/>
        </w:rPr>
        <w:t>Indiana Journal of Global Legal Studies, Volume 10, Issue 1</w:t>
      </w:r>
      <w:r>
        <w:rPr>
          <w:rFonts w:ascii="Calibri"/>
          <w:sz w:val="22"/>
        </w:rPr>
        <w:t>, pp. 79-124.</w:t>
      </w:r>
    </w:p>
    <w:p>
      <w:pPr>
        <w:spacing w:before="0"/>
        <w:ind w:left="1700" w:right="1908" w:hanging="721"/>
        <w:jc w:val="both"/>
        <w:rPr>
          <w:rFonts w:ascii="Calibri"/>
          <w:sz w:val="22"/>
        </w:rPr>
      </w:pPr>
      <w:bookmarkStart w:name="_bookmark144" w:id="145"/>
      <w:bookmarkEnd w:id="145"/>
      <w:r>
        <w:rPr/>
      </w:r>
      <w:r>
        <w:rPr>
          <w:rFonts w:ascii="Calibri"/>
          <w:sz w:val="22"/>
        </w:rPr>
        <w:t>Crane, A., Matten, D., &amp; Moon, J. (2004). Stakeholders as Citizens? Rethinking Rights, Participation, and Democracy. </w:t>
      </w:r>
      <w:r>
        <w:rPr>
          <w:rFonts w:ascii="Calibri"/>
          <w:i/>
          <w:sz w:val="22"/>
        </w:rPr>
        <w:t>Journal of Business Ethics, 53</w:t>
      </w:r>
      <w:r>
        <w:rPr>
          <w:rFonts w:ascii="Calibri"/>
          <w:sz w:val="22"/>
        </w:rPr>
        <w:t>(1-2), 107-122. doi: </w:t>
      </w:r>
      <w:r>
        <w:rPr>
          <w:rFonts w:ascii="Calibri"/>
          <w:spacing w:val="-2"/>
          <w:sz w:val="22"/>
        </w:rPr>
        <w:t>10.1023/B:BUSI.0000039403.96150.b6</w:t>
      </w:r>
    </w:p>
    <w:p>
      <w:pPr>
        <w:spacing w:before="2"/>
        <w:ind w:left="1700" w:right="1906" w:hanging="721"/>
        <w:jc w:val="both"/>
        <w:rPr>
          <w:rFonts w:ascii="Calibri" w:hAnsi="Calibri"/>
          <w:sz w:val="22"/>
        </w:rPr>
      </w:pPr>
      <w:bookmarkStart w:name="_bookmark145" w:id="146"/>
      <w:bookmarkEnd w:id="146"/>
      <w:r>
        <w:rPr/>
      </w:r>
      <w:r>
        <w:rPr>
          <w:rFonts w:ascii="Calibri" w:hAnsi="Calibri"/>
          <w:sz w:val="22"/>
        </w:rPr>
        <w:t>Cremona, M. (2013). </w:t>
      </w:r>
      <w:r>
        <w:rPr>
          <w:rFonts w:ascii="Calibri" w:hAnsi="Calibri"/>
          <w:i/>
          <w:sz w:val="22"/>
        </w:rPr>
        <w:t>The Judgment – Framing the Argument. </w:t>
      </w:r>
      <w:r>
        <w:rPr>
          <w:rFonts w:ascii="Calibri" w:hAnsi="Calibri"/>
          <w:sz w:val="22"/>
        </w:rPr>
        <w:t>Paper presented at the 50th anniversary of the judgment in Van gend en Loos, Luxemburg.</w:t>
      </w:r>
    </w:p>
    <w:p>
      <w:pPr>
        <w:spacing w:line="240" w:lineRule="auto" w:before="0"/>
        <w:ind w:left="1700" w:right="1906" w:hanging="721"/>
        <w:jc w:val="both"/>
        <w:rPr>
          <w:rFonts w:ascii="Calibri"/>
          <w:sz w:val="22"/>
        </w:rPr>
      </w:pPr>
      <w:bookmarkStart w:name="_bookmark146" w:id="147"/>
      <w:bookmarkEnd w:id="147"/>
      <w:r>
        <w:rPr/>
      </w:r>
      <w:r>
        <w:rPr>
          <w:rFonts w:ascii="Calibri"/>
          <w:sz w:val="22"/>
        </w:rPr>
        <w:t>Culpepper,</w:t>
      </w:r>
      <w:r>
        <w:rPr>
          <w:rFonts w:ascii="Calibri"/>
          <w:spacing w:val="-3"/>
          <w:sz w:val="22"/>
        </w:rPr>
        <w:t> </w:t>
      </w:r>
      <w:r>
        <w:rPr>
          <w:rFonts w:ascii="Calibri"/>
          <w:sz w:val="22"/>
        </w:rPr>
        <w:t>P.,</w:t>
      </w:r>
      <w:r>
        <w:rPr>
          <w:rFonts w:ascii="Calibri"/>
          <w:spacing w:val="-3"/>
          <w:sz w:val="22"/>
        </w:rPr>
        <w:t> </w:t>
      </w:r>
      <w:r>
        <w:rPr>
          <w:rFonts w:ascii="Calibri"/>
          <w:sz w:val="22"/>
        </w:rPr>
        <w:t>D. (2015). Structural power</w:t>
      </w:r>
      <w:r>
        <w:rPr>
          <w:rFonts w:ascii="Calibri"/>
          <w:spacing w:val="-1"/>
          <w:sz w:val="22"/>
        </w:rPr>
        <w:t> </w:t>
      </w:r>
      <w:r>
        <w:rPr>
          <w:rFonts w:ascii="Calibri"/>
          <w:sz w:val="22"/>
        </w:rPr>
        <w:t>and</w:t>
      </w:r>
      <w:r>
        <w:rPr>
          <w:rFonts w:ascii="Calibri"/>
          <w:spacing w:val="-6"/>
          <w:sz w:val="22"/>
        </w:rPr>
        <w:t> </w:t>
      </w:r>
      <w:r>
        <w:rPr>
          <w:rFonts w:ascii="Calibri"/>
          <w:sz w:val="22"/>
        </w:rPr>
        <w:t>political</w:t>
      </w:r>
      <w:r>
        <w:rPr>
          <w:rFonts w:ascii="Calibri"/>
          <w:spacing w:val="-3"/>
          <w:sz w:val="22"/>
        </w:rPr>
        <w:t> </w:t>
      </w:r>
      <w:r>
        <w:rPr>
          <w:rFonts w:ascii="Calibri"/>
          <w:sz w:val="22"/>
        </w:rPr>
        <w:t>science in</w:t>
      </w:r>
      <w:r>
        <w:rPr>
          <w:rFonts w:ascii="Calibri"/>
          <w:spacing w:val="-1"/>
          <w:sz w:val="22"/>
        </w:rPr>
        <w:t> </w:t>
      </w:r>
      <w:r>
        <w:rPr>
          <w:rFonts w:ascii="Calibri"/>
          <w:sz w:val="22"/>
        </w:rPr>
        <w:t>the post-crisis</w:t>
      </w:r>
      <w:r>
        <w:rPr>
          <w:rFonts w:ascii="Calibri"/>
          <w:spacing w:val="-1"/>
          <w:sz w:val="22"/>
        </w:rPr>
        <w:t> </w:t>
      </w:r>
      <w:r>
        <w:rPr>
          <w:rFonts w:ascii="Calibri"/>
          <w:sz w:val="22"/>
        </w:rPr>
        <w:t>era</w:t>
      </w:r>
      <w:r>
        <w:rPr>
          <w:rFonts w:ascii="Calibri"/>
          <w:spacing w:val="-4"/>
          <w:sz w:val="22"/>
        </w:rPr>
        <w:t> </w:t>
      </w:r>
      <w:r>
        <w:rPr>
          <w:rFonts w:ascii="Calibri"/>
          <w:i/>
          <w:sz w:val="22"/>
        </w:rPr>
        <w:t>Business and Politics </w:t>
      </w:r>
      <w:r>
        <w:rPr>
          <w:rFonts w:ascii="Calibri"/>
          <w:sz w:val="22"/>
        </w:rPr>
        <w:t>(Vol. 17, pp. 391).</w:t>
      </w:r>
    </w:p>
    <w:p>
      <w:pPr>
        <w:spacing w:before="0"/>
        <w:ind w:left="1700" w:right="1909" w:hanging="721"/>
        <w:jc w:val="left"/>
        <w:rPr>
          <w:rFonts w:ascii="Calibri"/>
          <w:sz w:val="22"/>
        </w:rPr>
      </w:pPr>
      <w:bookmarkStart w:name="_bookmark147" w:id="148"/>
      <w:bookmarkEnd w:id="148"/>
      <w:r>
        <w:rPr/>
      </w:r>
      <w:r>
        <w:rPr>
          <w:rFonts w:ascii="Calibri"/>
          <w:sz w:val="22"/>
        </w:rPr>
        <w:t>CVCE.</w:t>
      </w:r>
      <w:r>
        <w:rPr>
          <w:rFonts w:ascii="Calibri"/>
          <w:spacing w:val="30"/>
          <w:sz w:val="22"/>
        </w:rPr>
        <w:t> </w:t>
      </w:r>
      <w:r>
        <w:rPr>
          <w:rFonts w:ascii="Calibri"/>
          <w:sz w:val="22"/>
        </w:rPr>
        <w:t>(2012).</w:t>
      </w:r>
      <w:r>
        <w:rPr>
          <w:rFonts w:ascii="Calibri"/>
          <w:spacing w:val="30"/>
          <w:sz w:val="22"/>
        </w:rPr>
        <w:t> </w:t>
      </w:r>
      <w:r>
        <w:rPr>
          <w:rFonts w:ascii="Calibri"/>
          <w:sz w:val="22"/>
        </w:rPr>
        <w:t>The</w:t>
      </w:r>
      <w:r>
        <w:rPr>
          <w:rFonts w:ascii="Calibri"/>
          <w:spacing w:val="29"/>
          <w:sz w:val="22"/>
        </w:rPr>
        <w:t> </w:t>
      </w:r>
      <w:r>
        <w:rPr>
          <w:rFonts w:ascii="Calibri"/>
          <w:sz w:val="22"/>
        </w:rPr>
        <w:t>crisis</w:t>
      </w:r>
      <w:r>
        <w:rPr>
          <w:rFonts w:ascii="Calibri"/>
          <w:spacing w:val="28"/>
          <w:sz w:val="22"/>
        </w:rPr>
        <w:t> </w:t>
      </w:r>
      <w:r>
        <w:rPr>
          <w:rFonts w:ascii="Calibri"/>
          <w:sz w:val="22"/>
        </w:rPr>
        <w:t>of</w:t>
      </w:r>
      <w:r>
        <w:rPr>
          <w:rFonts w:ascii="Calibri"/>
          <w:spacing w:val="28"/>
          <w:sz w:val="22"/>
        </w:rPr>
        <w:t> </w:t>
      </w:r>
      <w:r>
        <w:rPr>
          <w:rFonts w:ascii="Calibri"/>
          <w:sz w:val="22"/>
        </w:rPr>
        <w:t>the</w:t>
      </w:r>
      <w:r>
        <w:rPr>
          <w:rFonts w:ascii="Calibri"/>
          <w:spacing w:val="29"/>
          <w:sz w:val="22"/>
        </w:rPr>
        <w:t> </w:t>
      </w:r>
      <w:r>
        <w:rPr>
          <w:rFonts w:ascii="Calibri"/>
          <w:sz w:val="22"/>
        </w:rPr>
        <w:t>Santer</w:t>
      </w:r>
      <w:r>
        <w:rPr>
          <w:rFonts w:ascii="Calibri"/>
          <w:spacing w:val="24"/>
          <w:sz w:val="22"/>
        </w:rPr>
        <w:t> </w:t>
      </w:r>
      <w:r>
        <w:rPr>
          <w:rFonts w:ascii="Calibri"/>
          <w:sz w:val="22"/>
        </w:rPr>
        <w:t>Commission:</w:t>
      </w:r>
      <w:r>
        <w:rPr>
          <w:rFonts w:ascii="Calibri"/>
          <w:spacing w:val="27"/>
          <w:sz w:val="22"/>
        </w:rPr>
        <w:t> </w:t>
      </w:r>
      <w:r>
        <w:rPr>
          <w:rFonts w:ascii="Calibri"/>
          <w:sz w:val="22"/>
        </w:rPr>
        <w:t>Centre</w:t>
      </w:r>
      <w:r>
        <w:rPr>
          <w:rFonts w:ascii="Calibri"/>
          <w:spacing w:val="29"/>
          <w:sz w:val="22"/>
        </w:rPr>
        <w:t> </w:t>
      </w:r>
      <w:r>
        <w:rPr>
          <w:rFonts w:ascii="Calibri"/>
          <w:sz w:val="22"/>
        </w:rPr>
        <w:t>Virtuel</w:t>
      </w:r>
      <w:r>
        <w:rPr>
          <w:rFonts w:ascii="Calibri"/>
          <w:spacing w:val="31"/>
          <w:sz w:val="22"/>
        </w:rPr>
        <w:t> </w:t>
      </w:r>
      <w:r>
        <w:rPr>
          <w:rFonts w:ascii="Calibri"/>
          <w:sz w:val="22"/>
        </w:rPr>
        <w:t>de</w:t>
      </w:r>
      <w:r>
        <w:rPr>
          <w:rFonts w:ascii="Calibri"/>
          <w:spacing w:val="24"/>
          <w:sz w:val="22"/>
        </w:rPr>
        <w:t> </w:t>
      </w:r>
      <w:r>
        <w:rPr>
          <w:rFonts w:ascii="Calibri"/>
          <w:sz w:val="22"/>
        </w:rPr>
        <w:t>la</w:t>
      </w:r>
      <w:r>
        <w:rPr>
          <w:rFonts w:ascii="Calibri"/>
          <w:spacing w:val="23"/>
          <w:sz w:val="22"/>
        </w:rPr>
        <w:t> </w:t>
      </w:r>
      <w:r>
        <w:rPr>
          <w:rFonts w:ascii="Calibri"/>
          <w:sz w:val="22"/>
        </w:rPr>
        <w:t>Connaissance</w:t>
      </w:r>
      <w:r>
        <w:rPr>
          <w:rFonts w:ascii="Calibri"/>
          <w:spacing w:val="29"/>
          <w:sz w:val="22"/>
        </w:rPr>
        <w:t> </w:t>
      </w:r>
      <w:r>
        <w:rPr>
          <w:rFonts w:ascii="Calibri"/>
          <w:sz w:val="22"/>
        </w:rPr>
        <w:t>sur </w:t>
      </w:r>
      <w:r>
        <w:rPr>
          <w:rFonts w:ascii="Calibri"/>
          <w:spacing w:val="-2"/>
          <w:sz w:val="22"/>
        </w:rPr>
        <w:t>l'Europe.</w:t>
      </w:r>
    </w:p>
    <w:p>
      <w:pPr>
        <w:spacing w:before="0"/>
        <w:ind w:left="1700" w:right="0" w:hanging="721"/>
        <w:jc w:val="left"/>
        <w:rPr>
          <w:rFonts w:ascii="Calibri"/>
          <w:sz w:val="22"/>
        </w:rPr>
      </w:pPr>
      <w:bookmarkStart w:name="_bookmark148" w:id="149"/>
      <w:bookmarkEnd w:id="149"/>
      <w:r>
        <w:rPr/>
      </w:r>
      <w:r>
        <w:rPr>
          <w:rFonts w:ascii="Calibri"/>
          <w:sz w:val="22"/>
        </w:rPr>
        <w:t>Dahl,</w:t>
      </w:r>
      <w:r>
        <w:rPr>
          <w:rFonts w:ascii="Calibri"/>
          <w:spacing w:val="80"/>
          <w:sz w:val="22"/>
        </w:rPr>
        <w:t> </w:t>
      </w:r>
      <w:r>
        <w:rPr>
          <w:rFonts w:ascii="Calibri"/>
          <w:sz w:val="22"/>
        </w:rPr>
        <w:t>R.</w:t>
      </w:r>
      <w:r>
        <w:rPr>
          <w:rFonts w:ascii="Calibri"/>
          <w:spacing w:val="80"/>
          <w:sz w:val="22"/>
        </w:rPr>
        <w:t> </w:t>
      </w:r>
      <w:r>
        <w:rPr>
          <w:rFonts w:ascii="Calibri"/>
          <w:sz w:val="22"/>
        </w:rPr>
        <w:t>A.</w:t>
      </w:r>
      <w:r>
        <w:rPr>
          <w:rFonts w:ascii="Calibri"/>
          <w:spacing w:val="80"/>
          <w:sz w:val="22"/>
        </w:rPr>
        <w:t> </w:t>
      </w:r>
      <w:r>
        <w:rPr>
          <w:rFonts w:ascii="Calibri"/>
          <w:sz w:val="22"/>
        </w:rPr>
        <w:t>(1957).</w:t>
      </w:r>
      <w:r>
        <w:rPr>
          <w:rFonts w:ascii="Calibri"/>
          <w:spacing w:val="80"/>
          <w:sz w:val="22"/>
        </w:rPr>
        <w:t> </w:t>
      </w:r>
      <w:r>
        <w:rPr>
          <w:rFonts w:ascii="Calibri"/>
          <w:sz w:val="22"/>
        </w:rPr>
        <w:t>The</w:t>
      </w:r>
      <w:r>
        <w:rPr>
          <w:rFonts w:ascii="Calibri"/>
          <w:spacing w:val="80"/>
          <w:sz w:val="22"/>
        </w:rPr>
        <w:t> </w:t>
      </w:r>
      <w:r>
        <w:rPr>
          <w:rFonts w:ascii="Calibri"/>
          <w:sz w:val="22"/>
        </w:rPr>
        <w:t>concept</w:t>
      </w:r>
      <w:r>
        <w:rPr>
          <w:rFonts w:ascii="Calibri"/>
          <w:spacing w:val="80"/>
          <w:sz w:val="22"/>
        </w:rPr>
        <w:t> </w:t>
      </w:r>
      <w:r>
        <w:rPr>
          <w:rFonts w:ascii="Calibri"/>
          <w:sz w:val="22"/>
        </w:rPr>
        <w:t>of</w:t>
      </w:r>
      <w:r>
        <w:rPr>
          <w:rFonts w:ascii="Calibri"/>
          <w:spacing w:val="80"/>
          <w:sz w:val="22"/>
        </w:rPr>
        <w:t> </w:t>
      </w:r>
      <w:r>
        <w:rPr>
          <w:rFonts w:ascii="Calibri"/>
          <w:sz w:val="22"/>
        </w:rPr>
        <w:t>power.</w:t>
      </w:r>
      <w:r>
        <w:rPr>
          <w:rFonts w:ascii="Calibri"/>
          <w:spacing w:val="80"/>
          <w:sz w:val="22"/>
        </w:rPr>
        <w:t> </w:t>
      </w:r>
      <w:r>
        <w:rPr>
          <w:rFonts w:ascii="Calibri"/>
          <w:i/>
          <w:sz w:val="22"/>
        </w:rPr>
        <w:t>Behavioral</w:t>
      </w:r>
      <w:r>
        <w:rPr>
          <w:rFonts w:ascii="Calibri"/>
          <w:i/>
          <w:spacing w:val="80"/>
          <w:sz w:val="22"/>
        </w:rPr>
        <w:t> </w:t>
      </w:r>
      <w:r>
        <w:rPr>
          <w:rFonts w:ascii="Calibri"/>
          <w:i/>
          <w:sz w:val="22"/>
        </w:rPr>
        <w:t>Science,</w:t>
      </w:r>
      <w:r>
        <w:rPr>
          <w:rFonts w:ascii="Calibri"/>
          <w:i/>
          <w:spacing w:val="80"/>
          <w:sz w:val="22"/>
        </w:rPr>
        <w:t> </w:t>
      </w:r>
      <w:r>
        <w:rPr>
          <w:rFonts w:ascii="Calibri"/>
          <w:i/>
          <w:sz w:val="22"/>
        </w:rPr>
        <w:t>2</w:t>
      </w:r>
      <w:r>
        <w:rPr>
          <w:rFonts w:ascii="Calibri"/>
          <w:sz w:val="22"/>
        </w:rPr>
        <w:t>(3),</w:t>
      </w:r>
      <w:r>
        <w:rPr>
          <w:rFonts w:ascii="Calibri"/>
          <w:spacing w:val="80"/>
          <w:sz w:val="22"/>
        </w:rPr>
        <w:t> </w:t>
      </w:r>
      <w:r>
        <w:rPr>
          <w:rFonts w:ascii="Calibri"/>
          <w:sz w:val="22"/>
        </w:rPr>
        <w:t>201-215.</w:t>
      </w:r>
      <w:r>
        <w:rPr>
          <w:rFonts w:ascii="Calibri"/>
          <w:spacing w:val="80"/>
          <w:sz w:val="22"/>
        </w:rPr>
        <w:t> </w:t>
      </w:r>
      <w:r>
        <w:rPr>
          <w:rFonts w:ascii="Calibri"/>
          <w:sz w:val="22"/>
        </w:rPr>
        <w:t>doi: </w:t>
      </w:r>
      <w:r>
        <w:rPr>
          <w:rFonts w:ascii="Calibri"/>
          <w:spacing w:val="-2"/>
          <w:sz w:val="22"/>
        </w:rPr>
        <w:t>10.1002/bs.3830020303</w:t>
      </w:r>
    </w:p>
    <w:p>
      <w:pPr>
        <w:spacing w:before="0"/>
        <w:ind w:left="1700" w:right="1909" w:hanging="721"/>
        <w:jc w:val="left"/>
        <w:rPr>
          <w:rFonts w:ascii="Calibri"/>
          <w:sz w:val="22"/>
        </w:rPr>
      </w:pPr>
      <w:bookmarkStart w:name="_bookmark149" w:id="150"/>
      <w:bookmarkEnd w:id="150"/>
      <w:r>
        <w:rPr/>
      </w:r>
      <w:r>
        <w:rPr>
          <w:rFonts w:ascii="Calibri"/>
          <w:sz w:val="22"/>
        </w:rPr>
        <w:t>Dahl, R. A.</w:t>
      </w:r>
      <w:r>
        <w:rPr>
          <w:rFonts w:ascii="Calibri"/>
          <w:spacing w:val="24"/>
          <w:sz w:val="22"/>
        </w:rPr>
        <w:t> </w:t>
      </w:r>
      <w:r>
        <w:rPr>
          <w:rFonts w:ascii="Calibri"/>
          <w:sz w:val="22"/>
        </w:rPr>
        <w:t>(1959). Business and Politics: A Critical Appraisal</w:t>
      </w:r>
      <w:r>
        <w:rPr>
          <w:rFonts w:ascii="Calibri"/>
          <w:spacing w:val="25"/>
          <w:sz w:val="22"/>
        </w:rPr>
        <w:t> </w:t>
      </w:r>
      <w:r>
        <w:rPr>
          <w:rFonts w:ascii="Calibri"/>
          <w:sz w:val="22"/>
        </w:rPr>
        <w:t>of Political</w:t>
      </w:r>
      <w:r>
        <w:rPr>
          <w:rFonts w:ascii="Calibri"/>
          <w:spacing w:val="24"/>
          <w:sz w:val="22"/>
        </w:rPr>
        <w:t> </w:t>
      </w:r>
      <w:r>
        <w:rPr>
          <w:rFonts w:ascii="Calibri"/>
          <w:sz w:val="22"/>
        </w:rPr>
        <w:t>Science.</w:t>
      </w:r>
      <w:r>
        <w:rPr>
          <w:rFonts w:ascii="Calibri"/>
          <w:spacing w:val="30"/>
          <w:sz w:val="22"/>
        </w:rPr>
        <w:t> </w:t>
      </w:r>
      <w:r>
        <w:rPr>
          <w:rFonts w:ascii="Calibri"/>
          <w:i/>
          <w:sz w:val="22"/>
        </w:rPr>
        <w:t>American Political Science Review, 53</w:t>
      </w:r>
      <w:r>
        <w:rPr>
          <w:rFonts w:ascii="Calibri"/>
          <w:sz w:val="22"/>
        </w:rPr>
        <w:t>(01), 1-34. doi: doi:10.2307/1951728</w:t>
      </w:r>
    </w:p>
    <w:p>
      <w:pPr>
        <w:spacing w:before="0"/>
        <w:ind w:left="979" w:right="0" w:firstLine="0"/>
        <w:jc w:val="left"/>
        <w:rPr>
          <w:rFonts w:ascii="Calibri"/>
          <w:sz w:val="22"/>
        </w:rPr>
      </w:pPr>
      <w:bookmarkStart w:name="_bookmark150" w:id="151"/>
      <w:bookmarkEnd w:id="151"/>
      <w:r>
        <w:rPr/>
      </w:r>
      <w:r>
        <w:rPr>
          <w:rFonts w:ascii="Calibri"/>
          <w:sz w:val="22"/>
        </w:rPr>
        <w:t>Dahrendorf,</w:t>
      </w:r>
      <w:r>
        <w:rPr>
          <w:rFonts w:ascii="Calibri"/>
          <w:spacing w:val="-12"/>
          <w:sz w:val="22"/>
        </w:rPr>
        <w:t> </w:t>
      </w:r>
      <w:r>
        <w:rPr>
          <w:rFonts w:ascii="Calibri"/>
          <w:sz w:val="22"/>
        </w:rPr>
        <w:t>R.</w:t>
      </w:r>
      <w:r>
        <w:rPr>
          <w:rFonts w:ascii="Calibri"/>
          <w:spacing w:val="-6"/>
          <w:sz w:val="22"/>
        </w:rPr>
        <w:t> </w:t>
      </w:r>
      <w:r>
        <w:rPr>
          <w:rFonts w:ascii="Calibri"/>
          <w:sz w:val="22"/>
        </w:rPr>
        <w:t>(2003).</w:t>
      </w:r>
      <w:r>
        <w:rPr>
          <w:rFonts w:ascii="Calibri"/>
          <w:spacing w:val="-5"/>
          <w:sz w:val="22"/>
        </w:rPr>
        <w:t> </w:t>
      </w:r>
      <w:r>
        <w:rPr>
          <w:rFonts w:ascii="Calibri"/>
          <w:sz w:val="22"/>
        </w:rPr>
        <w:t>The</w:t>
      </w:r>
      <w:r>
        <w:rPr>
          <w:rFonts w:ascii="Calibri"/>
          <w:spacing w:val="-7"/>
          <w:sz w:val="22"/>
        </w:rPr>
        <w:t> </w:t>
      </w:r>
      <w:r>
        <w:rPr>
          <w:rFonts w:ascii="Calibri"/>
          <w:sz w:val="22"/>
        </w:rPr>
        <w:t>Challenge</w:t>
      </w:r>
      <w:r>
        <w:rPr>
          <w:rFonts w:ascii="Calibri"/>
          <w:spacing w:val="-7"/>
          <w:sz w:val="22"/>
        </w:rPr>
        <w:t> </w:t>
      </w:r>
      <w:r>
        <w:rPr>
          <w:rFonts w:ascii="Calibri"/>
          <w:sz w:val="22"/>
        </w:rPr>
        <w:t>for</w:t>
      </w:r>
      <w:r>
        <w:rPr>
          <w:rFonts w:ascii="Calibri"/>
          <w:spacing w:val="-7"/>
          <w:sz w:val="22"/>
        </w:rPr>
        <w:t> </w:t>
      </w:r>
      <w:r>
        <w:rPr>
          <w:rFonts w:ascii="Calibri"/>
          <w:sz w:val="22"/>
        </w:rPr>
        <w:t>Democracy.</w:t>
      </w:r>
      <w:r>
        <w:rPr>
          <w:rFonts w:ascii="Calibri"/>
          <w:spacing w:val="-2"/>
          <w:sz w:val="22"/>
        </w:rPr>
        <w:t> </w:t>
      </w:r>
      <w:r>
        <w:rPr>
          <w:rFonts w:ascii="Calibri"/>
          <w:i/>
          <w:sz w:val="22"/>
        </w:rPr>
        <w:t>Journal</w:t>
      </w:r>
      <w:r>
        <w:rPr>
          <w:rFonts w:ascii="Calibri"/>
          <w:i/>
          <w:spacing w:val="-5"/>
          <w:sz w:val="22"/>
        </w:rPr>
        <w:t> </w:t>
      </w:r>
      <w:r>
        <w:rPr>
          <w:rFonts w:ascii="Calibri"/>
          <w:i/>
          <w:sz w:val="22"/>
        </w:rPr>
        <w:t>of</w:t>
      </w:r>
      <w:r>
        <w:rPr>
          <w:rFonts w:ascii="Calibri"/>
          <w:i/>
          <w:spacing w:val="-7"/>
          <w:sz w:val="22"/>
        </w:rPr>
        <w:t> </w:t>
      </w:r>
      <w:r>
        <w:rPr>
          <w:rFonts w:ascii="Calibri"/>
          <w:i/>
          <w:sz w:val="22"/>
        </w:rPr>
        <w:t>Democracy</w:t>
      </w:r>
      <w:r>
        <w:rPr>
          <w:rFonts w:ascii="Calibri"/>
          <w:sz w:val="22"/>
        </w:rPr>
        <w:t>,</w:t>
      </w:r>
      <w:r>
        <w:rPr>
          <w:rFonts w:ascii="Calibri"/>
          <w:spacing w:val="-9"/>
          <w:sz w:val="22"/>
        </w:rPr>
        <w:t> </w:t>
      </w:r>
      <w:r>
        <w:rPr>
          <w:rFonts w:ascii="Calibri"/>
          <w:sz w:val="22"/>
        </w:rPr>
        <w:t>101-</w:t>
      </w:r>
      <w:r>
        <w:rPr>
          <w:rFonts w:ascii="Calibri"/>
          <w:spacing w:val="-4"/>
          <w:sz w:val="22"/>
        </w:rPr>
        <w:t>114.</w:t>
      </w:r>
    </w:p>
    <w:p>
      <w:pPr>
        <w:spacing w:before="0"/>
        <w:ind w:left="1700" w:right="1909" w:hanging="721"/>
        <w:jc w:val="left"/>
        <w:rPr>
          <w:rFonts w:ascii="Calibri"/>
          <w:sz w:val="22"/>
        </w:rPr>
      </w:pPr>
      <w:bookmarkStart w:name="_bookmark151" w:id="152"/>
      <w:bookmarkEnd w:id="152"/>
      <w:r>
        <w:rPr/>
      </w:r>
      <w:r>
        <w:rPr>
          <w:rFonts w:ascii="Calibri"/>
          <w:sz w:val="22"/>
        </w:rPr>
        <w:t>de Rougemont,</w:t>
      </w:r>
      <w:r>
        <w:rPr>
          <w:rFonts w:ascii="Calibri"/>
          <w:spacing w:val="-2"/>
          <w:sz w:val="22"/>
        </w:rPr>
        <w:t> </w:t>
      </w:r>
      <w:r>
        <w:rPr>
          <w:rFonts w:ascii="Calibri"/>
          <w:sz w:val="22"/>
        </w:rPr>
        <w:t>D. (1948). Lecture given by Denis de Rougemont</w:t>
      </w:r>
      <w:r>
        <w:rPr>
          <w:rFonts w:ascii="Calibri"/>
          <w:spacing w:val="-2"/>
          <w:sz w:val="22"/>
        </w:rPr>
        <w:t> </w:t>
      </w:r>
      <w:r>
        <w:rPr>
          <w:rFonts w:ascii="Calibri"/>
          <w:sz w:val="22"/>
        </w:rPr>
        <w:t>on the cultural implications of European unity. </w:t>
      </w:r>
      <w:r>
        <w:rPr>
          <w:rFonts w:ascii="Calibri"/>
          <w:i/>
          <w:sz w:val="22"/>
        </w:rPr>
        <w:t>Translation Centre Virtuel de la Connaissance sur l'Europe</w:t>
      </w:r>
      <w:r>
        <w:rPr>
          <w:rFonts w:ascii="Calibri"/>
          <w:sz w:val="22"/>
        </w:rPr>
        <w:t>.</w:t>
      </w:r>
    </w:p>
    <w:p>
      <w:pPr>
        <w:spacing w:before="0"/>
        <w:ind w:left="979" w:right="0" w:firstLine="0"/>
        <w:jc w:val="left"/>
        <w:rPr>
          <w:rFonts w:ascii="Calibri"/>
          <w:sz w:val="22"/>
        </w:rPr>
      </w:pPr>
      <w:bookmarkStart w:name="_bookmark152" w:id="153"/>
      <w:bookmarkEnd w:id="153"/>
      <w:r>
        <w:rPr/>
      </w:r>
      <w:r>
        <w:rPr>
          <w:rFonts w:ascii="Calibri"/>
          <w:sz w:val="22"/>
        </w:rPr>
        <w:t>de</w:t>
      </w:r>
      <w:r>
        <w:rPr>
          <w:rFonts w:ascii="Calibri"/>
          <w:spacing w:val="8"/>
          <w:sz w:val="22"/>
        </w:rPr>
        <w:t> </w:t>
      </w:r>
      <w:r>
        <w:rPr>
          <w:rFonts w:ascii="Calibri"/>
          <w:sz w:val="22"/>
        </w:rPr>
        <w:t>Rougemont,</w:t>
      </w:r>
      <w:r>
        <w:rPr>
          <w:rFonts w:ascii="Calibri"/>
          <w:spacing w:val="7"/>
          <w:sz w:val="22"/>
        </w:rPr>
        <w:t> </w:t>
      </w:r>
      <w:r>
        <w:rPr>
          <w:rFonts w:ascii="Calibri"/>
          <w:sz w:val="22"/>
        </w:rPr>
        <w:t>D.</w:t>
      </w:r>
      <w:r>
        <w:rPr>
          <w:rFonts w:ascii="Calibri"/>
          <w:spacing w:val="11"/>
          <w:sz w:val="22"/>
        </w:rPr>
        <w:t> </w:t>
      </w:r>
      <w:r>
        <w:rPr>
          <w:rFonts w:ascii="Calibri"/>
          <w:sz w:val="22"/>
        </w:rPr>
        <w:t>(1965).</w:t>
      </w:r>
      <w:r>
        <w:rPr>
          <w:rFonts w:ascii="Calibri"/>
          <w:spacing w:val="11"/>
          <w:sz w:val="22"/>
        </w:rPr>
        <w:t> </w:t>
      </w:r>
      <w:r>
        <w:rPr>
          <w:rFonts w:ascii="Calibri"/>
          <w:sz w:val="22"/>
        </w:rPr>
        <w:t>The</w:t>
      </w:r>
      <w:r>
        <w:rPr>
          <w:rFonts w:ascii="Calibri"/>
          <w:spacing w:val="10"/>
          <w:sz w:val="22"/>
        </w:rPr>
        <w:t> </w:t>
      </w:r>
      <w:r>
        <w:rPr>
          <w:rFonts w:ascii="Calibri"/>
          <w:sz w:val="22"/>
        </w:rPr>
        <w:t>History</w:t>
      </w:r>
      <w:r>
        <w:rPr>
          <w:rFonts w:ascii="Calibri"/>
          <w:spacing w:val="10"/>
          <w:sz w:val="22"/>
        </w:rPr>
        <w:t> </w:t>
      </w:r>
      <w:r>
        <w:rPr>
          <w:rFonts w:ascii="Calibri"/>
          <w:sz w:val="22"/>
        </w:rPr>
        <w:t>of</w:t>
      </w:r>
      <w:r>
        <w:rPr>
          <w:rFonts w:ascii="Calibri"/>
          <w:spacing w:val="10"/>
          <w:sz w:val="22"/>
        </w:rPr>
        <w:t> </w:t>
      </w:r>
      <w:r>
        <w:rPr>
          <w:rFonts w:ascii="Calibri"/>
          <w:sz w:val="22"/>
        </w:rPr>
        <w:t>the</w:t>
      </w:r>
      <w:r>
        <w:rPr>
          <w:rFonts w:ascii="Calibri"/>
          <w:spacing w:val="10"/>
          <w:sz w:val="22"/>
        </w:rPr>
        <w:t> </w:t>
      </w:r>
      <w:r>
        <w:rPr>
          <w:rFonts w:ascii="Calibri"/>
          <w:sz w:val="22"/>
        </w:rPr>
        <w:t>Ideal</w:t>
      </w:r>
      <w:r>
        <w:rPr>
          <w:rFonts w:ascii="Calibri"/>
          <w:spacing w:val="11"/>
          <w:sz w:val="22"/>
        </w:rPr>
        <w:t> </w:t>
      </w:r>
      <w:r>
        <w:rPr>
          <w:rFonts w:ascii="Calibri"/>
          <w:sz w:val="22"/>
        </w:rPr>
        <w:t>for</w:t>
      </w:r>
      <w:r>
        <w:rPr>
          <w:rFonts w:ascii="Calibri"/>
          <w:spacing w:val="14"/>
          <w:sz w:val="22"/>
        </w:rPr>
        <w:t> </w:t>
      </w:r>
      <w:r>
        <w:rPr>
          <w:rFonts w:ascii="Calibri"/>
          <w:sz w:val="22"/>
        </w:rPr>
        <w:t>a</w:t>
      </w:r>
      <w:r>
        <w:rPr>
          <w:rFonts w:ascii="Calibri"/>
          <w:spacing w:val="9"/>
          <w:sz w:val="22"/>
        </w:rPr>
        <w:t> </w:t>
      </w:r>
      <w:r>
        <w:rPr>
          <w:rFonts w:ascii="Calibri"/>
          <w:sz w:val="22"/>
        </w:rPr>
        <w:t>United</w:t>
      </w:r>
      <w:r>
        <w:rPr>
          <w:rFonts w:ascii="Calibri"/>
          <w:spacing w:val="9"/>
          <w:sz w:val="22"/>
        </w:rPr>
        <w:t> </w:t>
      </w:r>
      <w:r>
        <w:rPr>
          <w:rFonts w:ascii="Calibri"/>
          <w:sz w:val="22"/>
        </w:rPr>
        <w:t>Europe</w:t>
      </w:r>
      <w:r>
        <w:rPr>
          <w:rFonts w:ascii="Calibri"/>
          <w:spacing w:val="17"/>
          <w:sz w:val="22"/>
        </w:rPr>
        <w:t> </w:t>
      </w:r>
      <w:r>
        <w:rPr>
          <w:rFonts w:ascii="Calibri"/>
          <w:i/>
          <w:sz w:val="22"/>
        </w:rPr>
        <w:t>Sidgwick</w:t>
      </w:r>
      <w:r>
        <w:rPr>
          <w:rFonts w:ascii="Calibri"/>
          <w:i/>
          <w:spacing w:val="9"/>
          <w:sz w:val="22"/>
        </w:rPr>
        <w:t> </w:t>
      </w:r>
      <w:r>
        <w:rPr>
          <w:rFonts w:ascii="Calibri"/>
          <w:i/>
          <w:sz w:val="22"/>
        </w:rPr>
        <w:t>&amp;</w:t>
      </w:r>
      <w:r>
        <w:rPr>
          <w:rFonts w:ascii="Calibri"/>
          <w:i/>
          <w:spacing w:val="10"/>
          <w:sz w:val="22"/>
        </w:rPr>
        <w:t> </w:t>
      </w:r>
      <w:r>
        <w:rPr>
          <w:rFonts w:ascii="Calibri"/>
          <w:i/>
          <w:spacing w:val="-2"/>
          <w:sz w:val="22"/>
        </w:rPr>
        <w:t>Jackson</w:t>
      </w:r>
      <w:r>
        <w:rPr>
          <w:rFonts w:ascii="Calibri"/>
          <w:spacing w:val="-2"/>
          <w:sz w:val="22"/>
        </w:rPr>
        <w:t>.</w:t>
      </w:r>
    </w:p>
    <w:p>
      <w:pPr>
        <w:spacing w:before="0"/>
        <w:ind w:left="1700" w:right="0" w:firstLine="0"/>
        <w:jc w:val="left"/>
        <w:rPr>
          <w:rFonts w:ascii="Calibri"/>
          <w:sz w:val="22"/>
        </w:rPr>
      </w:pPr>
      <w:r>
        <w:rPr>
          <w:rFonts w:ascii="Calibri"/>
          <w:spacing w:val="-2"/>
          <w:sz w:val="22"/>
        </w:rPr>
        <w:t>London.</w:t>
      </w:r>
    </w:p>
    <w:p>
      <w:pPr>
        <w:spacing w:before="0"/>
        <w:ind w:left="1700" w:right="1911" w:hanging="721"/>
        <w:jc w:val="both"/>
        <w:rPr>
          <w:rFonts w:ascii="Calibri"/>
          <w:sz w:val="22"/>
        </w:rPr>
      </w:pPr>
      <w:bookmarkStart w:name="_bookmark153" w:id="154"/>
      <w:bookmarkEnd w:id="154"/>
      <w:r>
        <w:rPr/>
      </w:r>
      <w:r>
        <w:rPr>
          <w:rFonts w:ascii="Calibri"/>
          <w:sz w:val="22"/>
        </w:rPr>
        <w:t>de Waele,</w:t>
      </w:r>
      <w:r>
        <w:rPr>
          <w:rFonts w:ascii="Calibri"/>
          <w:spacing w:val="-2"/>
          <w:sz w:val="22"/>
        </w:rPr>
        <w:t> </w:t>
      </w:r>
      <w:r>
        <w:rPr>
          <w:rFonts w:ascii="Calibri"/>
          <w:sz w:val="22"/>
        </w:rPr>
        <w:t>H. (2010). The Role of the European Court of Justice in the Integration Process: A contemporary Normative Assessment. </w:t>
      </w:r>
      <w:r>
        <w:rPr>
          <w:rFonts w:ascii="Calibri"/>
          <w:i/>
          <w:sz w:val="22"/>
        </w:rPr>
        <w:t>Hanse Law Review, 6</w:t>
      </w:r>
      <w:r>
        <w:rPr>
          <w:rFonts w:ascii="Calibri"/>
          <w:sz w:val="22"/>
        </w:rPr>
        <w:t>(1).</w:t>
      </w:r>
    </w:p>
    <w:p>
      <w:pPr>
        <w:spacing w:before="0"/>
        <w:ind w:left="1700" w:right="1907" w:hanging="721"/>
        <w:jc w:val="both"/>
        <w:rPr>
          <w:rFonts w:ascii="Calibri"/>
          <w:sz w:val="22"/>
        </w:rPr>
      </w:pPr>
      <w:r>
        <w:rPr>
          <w:rFonts w:ascii="Calibri"/>
          <w:sz w:val="22"/>
        </w:rPr>
        <w:t>Declaration of the European Council on Strengthening the Common European Policy on Security and Defence (1999).</w:t>
      </w:r>
    </w:p>
    <w:p>
      <w:pPr>
        <w:spacing w:before="1"/>
        <w:ind w:left="1700" w:right="1907" w:hanging="721"/>
        <w:jc w:val="both"/>
        <w:rPr>
          <w:rFonts w:ascii="Calibri"/>
          <w:sz w:val="22"/>
        </w:rPr>
      </w:pPr>
      <w:bookmarkStart w:name="_bookmark154" w:id="155"/>
      <w:bookmarkEnd w:id="155"/>
      <w:r>
        <w:rPr/>
      </w:r>
      <w:r>
        <w:rPr>
          <w:rFonts w:ascii="Calibri"/>
          <w:sz w:val="22"/>
        </w:rPr>
        <w:t>Dedman, M. J. (2010). </w:t>
      </w:r>
      <w:r>
        <w:rPr>
          <w:rFonts w:ascii="Calibri"/>
          <w:i/>
          <w:sz w:val="22"/>
        </w:rPr>
        <w:t>The Origins and Development of the European Union 1945-2008, 2nd edition</w:t>
      </w:r>
      <w:r>
        <w:rPr>
          <w:rFonts w:ascii="Calibri"/>
          <w:sz w:val="22"/>
        </w:rPr>
        <w:t>. Routledge: London and New York.</w:t>
      </w:r>
    </w:p>
    <w:p>
      <w:pPr>
        <w:spacing w:line="237" w:lineRule="auto" w:before="2"/>
        <w:ind w:left="1700" w:right="1908" w:hanging="721"/>
        <w:jc w:val="both"/>
        <w:rPr>
          <w:rFonts w:ascii="Calibri"/>
          <w:sz w:val="22"/>
        </w:rPr>
      </w:pPr>
      <w:bookmarkStart w:name="_bookmark155" w:id="156"/>
      <w:bookmarkEnd w:id="156"/>
      <w:r>
        <w:rPr/>
      </w:r>
      <w:r>
        <w:rPr>
          <w:rFonts w:ascii="Calibri"/>
          <w:sz w:val="22"/>
        </w:rPr>
        <w:t>Deephouse, D. L., &amp; Suchman, M. </w:t>
      </w:r>
      <w:r>
        <w:rPr>
          <w:rFonts w:ascii="Calibri"/>
          <w:i/>
          <w:sz w:val="22"/>
        </w:rPr>
        <w:t>Legitimacy in Organizational Institutionalism. The SAGE Handbook of Organizational Institutionalism. SAGE Publications Ltd</w:t>
      </w:r>
      <w:r>
        <w:rPr>
          <w:rFonts w:ascii="Calibri"/>
          <w:sz w:val="22"/>
        </w:rPr>
        <w:t>. London: SAGE Publications Ltd.</w:t>
      </w:r>
    </w:p>
    <w:p>
      <w:pPr>
        <w:spacing w:after="0" w:line="237" w:lineRule="auto"/>
        <w:jc w:val="both"/>
        <w:rPr>
          <w:rFonts w:asci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1700" w:right="1902" w:hanging="721"/>
        <w:jc w:val="both"/>
        <w:rPr>
          <w:rFonts w:ascii="Calibri"/>
          <w:sz w:val="22"/>
        </w:rPr>
      </w:pPr>
      <w:bookmarkStart w:name="_bookmark156" w:id="157"/>
      <w:bookmarkEnd w:id="157"/>
      <w:r>
        <w:rPr/>
      </w:r>
      <w:r>
        <w:rPr>
          <w:rFonts w:ascii="Calibri"/>
          <w:sz w:val="22"/>
        </w:rPr>
        <w:t>Deetz, S. A. (1982). Critical interpretive research in organizational communication. </w:t>
      </w:r>
      <w:r>
        <w:rPr>
          <w:rFonts w:ascii="Calibri"/>
          <w:i/>
          <w:sz w:val="22"/>
        </w:rPr>
        <w:t>Western Journal of Speech Communication, 46</w:t>
      </w:r>
      <w:r>
        <w:rPr>
          <w:rFonts w:ascii="Calibri"/>
          <w:sz w:val="22"/>
        </w:rPr>
        <w:t>(2).</w:t>
      </w:r>
    </w:p>
    <w:p>
      <w:pPr>
        <w:spacing w:before="1"/>
        <w:ind w:left="1700" w:right="1903" w:hanging="721"/>
        <w:jc w:val="both"/>
        <w:rPr>
          <w:rFonts w:ascii="Calibri"/>
          <w:sz w:val="22"/>
        </w:rPr>
      </w:pPr>
      <w:bookmarkStart w:name="_bookmark157" w:id="158"/>
      <w:bookmarkEnd w:id="158"/>
      <w:r>
        <w:rPr/>
      </w:r>
      <w:r>
        <w:rPr>
          <w:rFonts w:ascii="Calibri"/>
          <w:sz w:val="22"/>
        </w:rPr>
        <w:t>Dessler, D. (1989). What's at Stake in the Agent-Structure Debate? </w:t>
      </w:r>
      <w:r>
        <w:rPr>
          <w:rFonts w:ascii="Calibri"/>
          <w:i/>
          <w:sz w:val="22"/>
        </w:rPr>
        <w:t>International Organization, 43</w:t>
      </w:r>
      <w:r>
        <w:rPr>
          <w:rFonts w:ascii="Calibri"/>
          <w:sz w:val="22"/>
        </w:rPr>
        <w:t>(3), 441-473. doi: 10.2307/2706654</w:t>
      </w:r>
    </w:p>
    <w:p>
      <w:pPr>
        <w:spacing w:line="235" w:lineRule="auto" w:before="5"/>
        <w:ind w:left="1700" w:right="1910" w:hanging="721"/>
        <w:jc w:val="both"/>
        <w:rPr>
          <w:rFonts w:ascii="Calibri"/>
          <w:sz w:val="22"/>
        </w:rPr>
      </w:pPr>
      <w:bookmarkStart w:name="_bookmark158" w:id="159"/>
      <w:bookmarkEnd w:id="159"/>
      <w:r>
        <w:rPr/>
      </w:r>
      <w:r>
        <w:rPr>
          <w:rFonts w:ascii="Calibri"/>
          <w:sz w:val="22"/>
        </w:rPr>
        <w:t>Deutsch, K. W. (1963). </w:t>
      </w:r>
      <w:r>
        <w:rPr>
          <w:rFonts w:ascii="Calibri"/>
          <w:i/>
          <w:sz w:val="22"/>
        </w:rPr>
        <w:t>The nerves of government; models of political communication and control</w:t>
      </w:r>
      <w:r>
        <w:rPr>
          <w:rFonts w:ascii="Calibri"/>
          <w:sz w:val="22"/>
        </w:rPr>
        <w:t>. London,: Free Press of Glencoe.</w:t>
      </w:r>
    </w:p>
    <w:p>
      <w:pPr>
        <w:spacing w:before="2"/>
        <w:ind w:left="1700" w:right="1909" w:hanging="721"/>
        <w:jc w:val="both"/>
        <w:rPr>
          <w:rFonts w:ascii="Calibri"/>
          <w:sz w:val="22"/>
        </w:rPr>
      </w:pPr>
      <w:bookmarkStart w:name="_bookmark159" w:id="160"/>
      <w:bookmarkEnd w:id="160"/>
      <w:r>
        <w:rPr/>
      </w:r>
      <w:r>
        <w:rPr>
          <w:rFonts w:ascii="Calibri"/>
          <w:sz w:val="22"/>
        </w:rPr>
        <w:t>Diez, T. (1999). Speaking 'Europe': the politics of integration discourse. </w:t>
      </w:r>
      <w:r>
        <w:rPr>
          <w:rFonts w:ascii="Calibri"/>
          <w:i/>
          <w:sz w:val="22"/>
        </w:rPr>
        <w:t>Journal of European Public Policy, 6</w:t>
      </w:r>
      <w:r>
        <w:rPr>
          <w:rFonts w:ascii="Calibri"/>
          <w:sz w:val="22"/>
        </w:rPr>
        <w:t>(4), 598-613. doi: 10.1080/135017699343496</w:t>
      </w:r>
    </w:p>
    <w:p>
      <w:pPr>
        <w:spacing w:before="1"/>
        <w:ind w:left="1700" w:right="1908" w:hanging="721"/>
        <w:jc w:val="both"/>
        <w:rPr>
          <w:rFonts w:ascii="Calibri"/>
          <w:sz w:val="22"/>
        </w:rPr>
      </w:pPr>
      <w:bookmarkStart w:name="_bookmark160" w:id="161"/>
      <w:bookmarkEnd w:id="161"/>
      <w:r>
        <w:rPr/>
      </w:r>
      <w:r>
        <w:rPr>
          <w:rFonts w:ascii="Calibri"/>
          <w:sz w:val="22"/>
        </w:rPr>
        <w:t>Diez, T. (2001). Europe as a Discursive Battleground: Discourse Analysis and European Integration Studies. </w:t>
      </w:r>
      <w:r>
        <w:rPr>
          <w:rFonts w:ascii="Calibri"/>
          <w:i/>
          <w:sz w:val="22"/>
        </w:rPr>
        <w:t>Cooperation and Conflict, 36</w:t>
      </w:r>
      <w:r>
        <w:rPr>
          <w:rFonts w:ascii="Calibri"/>
          <w:sz w:val="22"/>
        </w:rPr>
        <w:t>(1), 5-38. doi: </w:t>
      </w:r>
      <w:r>
        <w:rPr>
          <w:rFonts w:ascii="Calibri"/>
          <w:spacing w:val="-2"/>
          <w:sz w:val="22"/>
        </w:rPr>
        <w:t>10.1177/00108360121962245</w:t>
      </w:r>
    </w:p>
    <w:p>
      <w:pPr>
        <w:spacing w:before="1"/>
        <w:ind w:left="1700" w:right="1911" w:hanging="721"/>
        <w:jc w:val="both"/>
        <w:rPr>
          <w:rFonts w:ascii="Calibri"/>
          <w:sz w:val="22"/>
        </w:rPr>
      </w:pPr>
      <w:bookmarkStart w:name="_bookmark161" w:id="162"/>
      <w:bookmarkEnd w:id="162"/>
      <w:r>
        <w:rPr/>
      </w:r>
      <w:r>
        <w:rPr>
          <w:rFonts w:ascii="Calibri"/>
          <w:sz w:val="22"/>
        </w:rPr>
        <w:t>Diez, T. (2013). Normative power as hegemony. </w:t>
      </w:r>
      <w:r>
        <w:rPr>
          <w:rFonts w:ascii="Calibri"/>
          <w:i/>
          <w:sz w:val="22"/>
        </w:rPr>
        <w:t>Cooperation and Conflict, 48</w:t>
      </w:r>
      <w:r>
        <w:rPr>
          <w:rFonts w:ascii="Calibri"/>
          <w:sz w:val="22"/>
        </w:rPr>
        <w:t>(2), 194-210. doi: 10.1177/0010836713485387</w:t>
      </w:r>
    </w:p>
    <w:p>
      <w:pPr>
        <w:spacing w:before="0"/>
        <w:ind w:left="1700" w:right="1904" w:hanging="721"/>
        <w:jc w:val="both"/>
        <w:rPr>
          <w:rFonts w:ascii="Calibri"/>
          <w:sz w:val="22"/>
        </w:rPr>
      </w:pPr>
      <w:bookmarkStart w:name="_bookmark162" w:id="163"/>
      <w:bookmarkEnd w:id="163"/>
      <w:r>
        <w:rPr/>
      </w:r>
      <w:r>
        <w:rPr>
          <w:rFonts w:ascii="Calibri"/>
          <w:sz w:val="22"/>
        </w:rPr>
        <w:t>Drack, M. (2009). Ludwig von Bertalanffy's early system approach. </w:t>
      </w:r>
      <w:r>
        <w:rPr>
          <w:rFonts w:ascii="Calibri"/>
          <w:i/>
          <w:sz w:val="22"/>
        </w:rPr>
        <w:t>Systems Research and Behavioral Science, 26</w:t>
      </w:r>
      <w:r>
        <w:rPr>
          <w:rFonts w:ascii="Calibri"/>
          <w:sz w:val="22"/>
        </w:rPr>
        <w:t>(5), 563-572. doi: 10.1002/sres.992</w:t>
      </w:r>
    </w:p>
    <w:p>
      <w:pPr>
        <w:spacing w:before="1"/>
        <w:ind w:left="979" w:right="0" w:firstLine="0"/>
        <w:jc w:val="both"/>
        <w:rPr>
          <w:rFonts w:ascii="Calibri"/>
          <w:sz w:val="22"/>
        </w:rPr>
      </w:pPr>
      <w:bookmarkStart w:name="_bookmark163" w:id="164"/>
      <w:bookmarkEnd w:id="164"/>
      <w:r>
        <w:rPr/>
      </w:r>
      <w:r>
        <w:rPr>
          <w:rFonts w:ascii="Calibri"/>
          <w:sz w:val="22"/>
        </w:rPr>
        <w:t>Driessen,</w:t>
      </w:r>
      <w:r>
        <w:rPr>
          <w:rFonts w:ascii="Calibri"/>
          <w:spacing w:val="60"/>
          <w:sz w:val="22"/>
        </w:rPr>
        <w:t> </w:t>
      </w:r>
      <w:r>
        <w:rPr>
          <w:rFonts w:ascii="Calibri"/>
          <w:sz w:val="22"/>
        </w:rPr>
        <w:t>B.</w:t>
      </w:r>
      <w:r>
        <w:rPr>
          <w:rFonts w:ascii="Calibri"/>
          <w:spacing w:val="65"/>
          <w:sz w:val="22"/>
        </w:rPr>
        <w:t> </w:t>
      </w:r>
      <w:r>
        <w:rPr>
          <w:rFonts w:ascii="Calibri"/>
          <w:sz w:val="22"/>
        </w:rPr>
        <w:t>(2008).</w:t>
      </w:r>
      <w:r>
        <w:rPr>
          <w:rFonts w:ascii="Calibri"/>
          <w:spacing w:val="68"/>
          <w:sz w:val="22"/>
        </w:rPr>
        <w:t> </w:t>
      </w:r>
      <w:r>
        <w:rPr>
          <w:rFonts w:ascii="Calibri"/>
          <w:i/>
          <w:sz w:val="22"/>
        </w:rPr>
        <w:t>Transparency</w:t>
      </w:r>
      <w:r>
        <w:rPr>
          <w:rFonts w:ascii="Calibri"/>
          <w:i/>
          <w:spacing w:val="66"/>
          <w:sz w:val="22"/>
        </w:rPr>
        <w:t> </w:t>
      </w:r>
      <w:r>
        <w:rPr>
          <w:rFonts w:ascii="Calibri"/>
          <w:i/>
          <w:sz w:val="22"/>
        </w:rPr>
        <w:t>in</w:t>
      </w:r>
      <w:r>
        <w:rPr>
          <w:rFonts w:ascii="Calibri"/>
          <w:i/>
          <w:spacing w:val="64"/>
          <w:sz w:val="22"/>
        </w:rPr>
        <w:t> </w:t>
      </w:r>
      <w:r>
        <w:rPr>
          <w:rFonts w:ascii="Calibri"/>
          <w:i/>
          <w:sz w:val="22"/>
        </w:rPr>
        <w:t>EU</w:t>
      </w:r>
      <w:r>
        <w:rPr>
          <w:rFonts w:ascii="Calibri"/>
          <w:i/>
          <w:spacing w:val="61"/>
          <w:sz w:val="22"/>
        </w:rPr>
        <w:t> </w:t>
      </w:r>
      <w:r>
        <w:rPr>
          <w:rFonts w:ascii="Calibri"/>
          <w:i/>
          <w:sz w:val="22"/>
        </w:rPr>
        <w:t>institutional</w:t>
      </w:r>
      <w:r>
        <w:rPr>
          <w:rFonts w:ascii="Calibri"/>
          <w:i/>
          <w:spacing w:val="66"/>
          <w:sz w:val="22"/>
        </w:rPr>
        <w:t> </w:t>
      </w:r>
      <w:r>
        <w:rPr>
          <w:rFonts w:ascii="Calibri"/>
          <w:i/>
          <w:sz w:val="22"/>
        </w:rPr>
        <w:t>law</w:t>
      </w:r>
      <w:r>
        <w:rPr>
          <w:rFonts w:ascii="Calibri"/>
          <w:i/>
          <w:spacing w:val="64"/>
          <w:sz w:val="22"/>
        </w:rPr>
        <w:t> </w:t>
      </w:r>
      <w:r>
        <w:rPr>
          <w:rFonts w:ascii="Calibri"/>
          <w:i/>
          <w:sz w:val="22"/>
        </w:rPr>
        <w:t>:</w:t>
      </w:r>
      <w:r>
        <w:rPr>
          <w:rFonts w:ascii="Calibri"/>
          <w:i/>
          <w:spacing w:val="62"/>
          <w:sz w:val="22"/>
        </w:rPr>
        <w:t> </w:t>
      </w:r>
      <w:r>
        <w:rPr>
          <w:rFonts w:ascii="Calibri"/>
          <w:i/>
          <w:sz w:val="22"/>
        </w:rPr>
        <w:t>a</w:t>
      </w:r>
      <w:r>
        <w:rPr>
          <w:rFonts w:ascii="Calibri"/>
          <w:i/>
          <w:spacing w:val="65"/>
          <w:sz w:val="22"/>
        </w:rPr>
        <w:t> </w:t>
      </w:r>
      <w:r>
        <w:rPr>
          <w:rFonts w:ascii="Calibri"/>
          <w:i/>
          <w:sz w:val="22"/>
        </w:rPr>
        <w:t>practitioner's</w:t>
      </w:r>
      <w:r>
        <w:rPr>
          <w:rFonts w:ascii="Calibri"/>
          <w:i/>
          <w:spacing w:val="64"/>
          <w:sz w:val="22"/>
        </w:rPr>
        <w:t> </w:t>
      </w:r>
      <w:r>
        <w:rPr>
          <w:rFonts w:ascii="Calibri"/>
          <w:i/>
          <w:spacing w:val="-2"/>
          <w:sz w:val="22"/>
        </w:rPr>
        <w:t>handbook</w:t>
      </w:r>
      <w:r>
        <w:rPr>
          <w:rFonts w:ascii="Calibri"/>
          <w:spacing w:val="-2"/>
          <w:sz w:val="22"/>
        </w:rPr>
        <w:t>.</w:t>
      </w:r>
    </w:p>
    <w:p>
      <w:pPr>
        <w:spacing w:before="1"/>
        <w:ind w:left="1700" w:right="0" w:firstLine="0"/>
        <w:jc w:val="both"/>
        <w:rPr>
          <w:rFonts w:ascii="Calibri"/>
          <w:sz w:val="22"/>
        </w:rPr>
      </w:pPr>
      <w:r>
        <w:rPr>
          <w:rFonts w:ascii="Calibri"/>
          <w:sz w:val="22"/>
        </w:rPr>
        <w:t>London:</w:t>
      </w:r>
      <w:r>
        <w:rPr>
          <w:rFonts w:ascii="Calibri"/>
          <w:spacing w:val="-12"/>
          <w:sz w:val="22"/>
        </w:rPr>
        <w:t> </w:t>
      </w:r>
      <w:r>
        <w:rPr>
          <w:rFonts w:ascii="Calibri"/>
          <w:sz w:val="22"/>
        </w:rPr>
        <w:t>Cameron</w:t>
      </w:r>
      <w:r>
        <w:rPr>
          <w:rFonts w:ascii="Calibri"/>
          <w:spacing w:val="-8"/>
          <w:sz w:val="22"/>
        </w:rPr>
        <w:t> </w:t>
      </w:r>
      <w:r>
        <w:rPr>
          <w:rFonts w:ascii="Calibri"/>
          <w:spacing w:val="-4"/>
          <w:sz w:val="22"/>
        </w:rPr>
        <w:t>May.</w:t>
      </w:r>
    </w:p>
    <w:p>
      <w:pPr>
        <w:spacing w:before="0"/>
        <w:ind w:left="979" w:right="0" w:firstLine="0"/>
        <w:jc w:val="both"/>
        <w:rPr>
          <w:rFonts w:ascii="Calibri"/>
          <w:sz w:val="22"/>
        </w:rPr>
      </w:pPr>
      <w:bookmarkStart w:name="_bookmark164" w:id="165"/>
      <w:bookmarkEnd w:id="165"/>
      <w:r>
        <w:rPr/>
      </w:r>
      <w:r>
        <w:rPr>
          <w:rFonts w:ascii="Calibri"/>
          <w:sz w:val="22"/>
        </w:rPr>
        <w:t>Dror,</w:t>
      </w:r>
      <w:r>
        <w:rPr>
          <w:rFonts w:ascii="Calibri"/>
          <w:spacing w:val="-4"/>
          <w:sz w:val="22"/>
        </w:rPr>
        <w:t> </w:t>
      </w:r>
      <w:r>
        <w:rPr>
          <w:rFonts w:ascii="Calibri"/>
          <w:sz w:val="22"/>
        </w:rPr>
        <w:t>Y. (2001).</w:t>
      </w:r>
      <w:r>
        <w:rPr>
          <w:rFonts w:ascii="Calibri"/>
          <w:spacing w:val="2"/>
          <w:sz w:val="22"/>
        </w:rPr>
        <w:t> </w:t>
      </w:r>
      <w:r>
        <w:rPr>
          <w:rFonts w:ascii="Calibri"/>
          <w:i/>
          <w:sz w:val="22"/>
        </w:rPr>
        <w:t>The</w:t>
      </w:r>
      <w:r>
        <w:rPr>
          <w:rFonts w:ascii="Calibri"/>
          <w:i/>
          <w:spacing w:val="-1"/>
          <w:sz w:val="22"/>
        </w:rPr>
        <w:t> </w:t>
      </w:r>
      <w:r>
        <w:rPr>
          <w:rFonts w:ascii="Calibri"/>
          <w:i/>
          <w:sz w:val="22"/>
        </w:rPr>
        <w:t>capacity to</w:t>
      </w:r>
      <w:r>
        <w:rPr>
          <w:rFonts w:ascii="Calibri"/>
          <w:i/>
          <w:spacing w:val="-5"/>
          <w:sz w:val="22"/>
        </w:rPr>
        <w:t> </w:t>
      </w:r>
      <w:r>
        <w:rPr>
          <w:rFonts w:ascii="Calibri"/>
          <w:i/>
          <w:sz w:val="22"/>
        </w:rPr>
        <w:t>govern</w:t>
      </w:r>
      <w:r>
        <w:rPr>
          <w:rFonts w:ascii="Calibri"/>
          <w:i/>
          <w:spacing w:val="1"/>
          <w:sz w:val="22"/>
        </w:rPr>
        <w:t> </w:t>
      </w:r>
      <w:r>
        <w:rPr>
          <w:rFonts w:ascii="Calibri"/>
          <w:i/>
          <w:sz w:val="22"/>
        </w:rPr>
        <w:t>:</w:t>
      </w:r>
      <w:r>
        <w:rPr>
          <w:rFonts w:ascii="Calibri"/>
          <w:i/>
          <w:spacing w:val="-8"/>
          <w:sz w:val="22"/>
        </w:rPr>
        <w:t> </w:t>
      </w:r>
      <w:r>
        <w:rPr>
          <w:rFonts w:ascii="Calibri"/>
          <w:i/>
          <w:sz w:val="22"/>
        </w:rPr>
        <w:t>a</w:t>
      </w:r>
      <w:r>
        <w:rPr>
          <w:rFonts w:ascii="Calibri"/>
          <w:i/>
          <w:spacing w:val="1"/>
          <w:sz w:val="22"/>
        </w:rPr>
        <w:t> </w:t>
      </w:r>
      <w:r>
        <w:rPr>
          <w:rFonts w:ascii="Calibri"/>
          <w:i/>
          <w:sz w:val="22"/>
        </w:rPr>
        <w:t>report</w:t>
      </w:r>
      <w:r>
        <w:rPr>
          <w:rFonts w:ascii="Calibri"/>
          <w:i/>
          <w:spacing w:val="-4"/>
          <w:sz w:val="22"/>
        </w:rPr>
        <w:t> </w:t>
      </w:r>
      <w:r>
        <w:rPr>
          <w:rFonts w:ascii="Calibri"/>
          <w:i/>
          <w:sz w:val="22"/>
        </w:rPr>
        <w:t>to the</w:t>
      </w:r>
      <w:r>
        <w:rPr>
          <w:rFonts w:ascii="Calibri"/>
          <w:i/>
          <w:spacing w:val="-5"/>
          <w:sz w:val="22"/>
        </w:rPr>
        <w:t> </w:t>
      </w:r>
      <w:r>
        <w:rPr>
          <w:rFonts w:ascii="Calibri"/>
          <w:i/>
          <w:sz w:val="22"/>
        </w:rPr>
        <w:t>Club</w:t>
      </w:r>
      <w:r>
        <w:rPr>
          <w:rFonts w:ascii="Calibri"/>
          <w:i/>
          <w:spacing w:val="-4"/>
          <w:sz w:val="22"/>
        </w:rPr>
        <w:t> </w:t>
      </w:r>
      <w:r>
        <w:rPr>
          <w:rFonts w:ascii="Calibri"/>
          <w:i/>
          <w:sz w:val="22"/>
        </w:rPr>
        <w:t>of</w:t>
      </w:r>
      <w:r>
        <w:rPr>
          <w:rFonts w:ascii="Calibri"/>
          <w:i/>
          <w:spacing w:val="-2"/>
          <w:sz w:val="22"/>
        </w:rPr>
        <w:t> </w:t>
      </w:r>
      <w:r>
        <w:rPr>
          <w:rFonts w:ascii="Calibri"/>
          <w:i/>
          <w:sz w:val="22"/>
        </w:rPr>
        <w:t>Rome</w:t>
      </w:r>
      <w:r>
        <w:rPr>
          <w:rFonts w:ascii="Calibri"/>
          <w:sz w:val="22"/>
        </w:rPr>
        <w:t>. London</w:t>
      </w:r>
      <w:r>
        <w:rPr>
          <w:rFonts w:ascii="Calibri"/>
          <w:spacing w:val="-1"/>
          <w:sz w:val="22"/>
        </w:rPr>
        <w:t> </w:t>
      </w:r>
      <w:r>
        <w:rPr>
          <w:rFonts w:ascii="Calibri"/>
          <w:sz w:val="22"/>
        </w:rPr>
        <w:t>;</w:t>
      </w:r>
      <w:r>
        <w:rPr>
          <w:rFonts w:ascii="Calibri"/>
          <w:spacing w:val="-3"/>
          <w:sz w:val="22"/>
        </w:rPr>
        <w:t> </w:t>
      </w:r>
      <w:r>
        <w:rPr>
          <w:rFonts w:ascii="Calibri"/>
          <w:sz w:val="22"/>
        </w:rPr>
        <w:t>Portland,</w:t>
      </w:r>
      <w:r>
        <w:rPr>
          <w:rFonts w:ascii="Calibri"/>
          <w:spacing w:val="-3"/>
          <w:sz w:val="22"/>
        </w:rPr>
        <w:t> </w:t>
      </w:r>
      <w:r>
        <w:rPr>
          <w:rFonts w:ascii="Calibri"/>
          <w:spacing w:val="-5"/>
          <w:sz w:val="22"/>
        </w:rPr>
        <w:t>OR:</w:t>
      </w:r>
    </w:p>
    <w:p>
      <w:pPr>
        <w:spacing w:before="0"/>
        <w:ind w:left="1700" w:right="0" w:firstLine="0"/>
        <w:jc w:val="both"/>
        <w:rPr>
          <w:rFonts w:ascii="Calibri"/>
          <w:sz w:val="22"/>
        </w:rPr>
      </w:pPr>
      <w:r>
        <w:rPr>
          <w:rFonts w:ascii="Calibri"/>
          <w:sz w:val="22"/>
        </w:rPr>
        <w:t>F.</w:t>
      </w:r>
      <w:r>
        <w:rPr>
          <w:rFonts w:ascii="Calibri"/>
          <w:spacing w:val="-2"/>
          <w:sz w:val="22"/>
        </w:rPr>
        <w:t> Cass.</w:t>
      </w:r>
    </w:p>
    <w:p>
      <w:pPr>
        <w:spacing w:before="0"/>
        <w:ind w:left="1700" w:right="1907" w:hanging="721"/>
        <w:jc w:val="left"/>
        <w:rPr>
          <w:rFonts w:ascii="Calibri"/>
          <w:sz w:val="22"/>
        </w:rPr>
      </w:pPr>
      <w:bookmarkStart w:name="_bookmark165" w:id="166"/>
      <w:bookmarkEnd w:id="166"/>
      <w:r>
        <w:rPr/>
      </w:r>
      <w:r>
        <w:rPr>
          <w:rFonts w:ascii="Calibri"/>
          <w:sz w:val="22"/>
        </w:rPr>
        <w:t>Dubin, R. (1963). Power, Function, and Organization.</w:t>
      </w:r>
      <w:r>
        <w:rPr>
          <w:rFonts w:ascii="Calibri"/>
          <w:spacing w:val="28"/>
          <w:sz w:val="22"/>
        </w:rPr>
        <w:t> </w:t>
      </w:r>
      <w:r>
        <w:rPr>
          <w:rFonts w:ascii="Calibri"/>
          <w:i/>
          <w:sz w:val="22"/>
        </w:rPr>
        <w:t>The Pacific Sociological Review, 6</w:t>
      </w:r>
      <w:r>
        <w:rPr>
          <w:rFonts w:ascii="Calibri"/>
          <w:sz w:val="22"/>
        </w:rPr>
        <w:t>(1), 16-24. doi: 10.2307/1388295</w:t>
      </w:r>
    </w:p>
    <w:p>
      <w:pPr>
        <w:spacing w:before="1"/>
        <w:ind w:left="1700" w:right="1909" w:hanging="721"/>
        <w:jc w:val="left"/>
        <w:rPr>
          <w:rFonts w:ascii="Calibri"/>
          <w:sz w:val="22"/>
        </w:rPr>
      </w:pPr>
      <w:bookmarkStart w:name="_bookmark166" w:id="167"/>
      <w:bookmarkEnd w:id="167"/>
      <w:r>
        <w:rPr/>
      </w:r>
      <w:r>
        <w:rPr>
          <w:rFonts w:ascii="Calibri"/>
          <w:sz w:val="22"/>
        </w:rPr>
        <w:t>Dumoulin,</w:t>
      </w:r>
      <w:r>
        <w:rPr>
          <w:rFonts w:ascii="Calibri"/>
          <w:spacing w:val="80"/>
          <w:sz w:val="22"/>
        </w:rPr>
        <w:t> </w:t>
      </w:r>
      <w:r>
        <w:rPr>
          <w:rFonts w:ascii="Calibri"/>
          <w:sz w:val="22"/>
        </w:rPr>
        <w:t>A.</w:t>
      </w:r>
      <w:r>
        <w:rPr>
          <w:rFonts w:ascii="Calibri"/>
          <w:spacing w:val="80"/>
          <w:sz w:val="22"/>
        </w:rPr>
        <w:t> </w:t>
      </w:r>
      <w:r>
        <w:rPr>
          <w:rFonts w:ascii="Calibri"/>
          <w:sz w:val="22"/>
        </w:rPr>
        <w:t>(2015).</w:t>
      </w:r>
      <w:r>
        <w:rPr>
          <w:rFonts w:ascii="Calibri"/>
          <w:spacing w:val="80"/>
          <w:sz w:val="22"/>
        </w:rPr>
        <w:t> </w:t>
      </w:r>
      <w:r>
        <w:rPr>
          <w:rFonts w:ascii="Calibri"/>
          <w:sz w:val="22"/>
        </w:rPr>
        <w:t>The</w:t>
      </w:r>
      <w:r>
        <w:rPr>
          <w:rFonts w:ascii="Calibri"/>
          <w:spacing w:val="80"/>
          <w:sz w:val="22"/>
        </w:rPr>
        <w:t> </w:t>
      </w:r>
      <w:r>
        <w:rPr>
          <w:rFonts w:ascii="Calibri"/>
          <w:sz w:val="22"/>
        </w:rPr>
        <w:t>origins</w:t>
      </w:r>
      <w:r>
        <w:rPr>
          <w:rFonts w:ascii="Calibri"/>
          <w:spacing w:val="80"/>
          <w:sz w:val="22"/>
        </w:rPr>
        <w:t> </w:t>
      </w:r>
      <w:r>
        <w:rPr>
          <w:rFonts w:ascii="Calibri"/>
          <w:sz w:val="22"/>
        </w:rPr>
        <w:t>and</w:t>
      </w:r>
      <w:r>
        <w:rPr>
          <w:rFonts w:ascii="Calibri"/>
          <w:spacing w:val="80"/>
          <w:sz w:val="22"/>
        </w:rPr>
        <w:t> </w:t>
      </w:r>
      <w:r>
        <w:rPr>
          <w:rFonts w:ascii="Calibri"/>
          <w:sz w:val="22"/>
        </w:rPr>
        <w:t>development</w:t>
      </w:r>
      <w:r>
        <w:rPr>
          <w:rFonts w:ascii="Calibri"/>
          <w:spacing w:val="80"/>
          <w:sz w:val="22"/>
        </w:rPr>
        <w:t> </w:t>
      </w:r>
      <w:r>
        <w:rPr>
          <w:rFonts w:ascii="Calibri"/>
          <w:sz w:val="22"/>
        </w:rPr>
        <w:t>of</w:t>
      </w:r>
      <w:r>
        <w:rPr>
          <w:rFonts w:ascii="Calibri"/>
          <w:spacing w:val="80"/>
          <w:sz w:val="22"/>
        </w:rPr>
        <w:t> </w:t>
      </w:r>
      <w:r>
        <w:rPr>
          <w:rFonts w:ascii="Calibri"/>
          <w:sz w:val="22"/>
        </w:rPr>
        <w:t>WEU.</w:t>
      </w:r>
      <w:r>
        <w:rPr>
          <w:rFonts w:ascii="Calibri"/>
          <w:spacing w:val="80"/>
          <w:sz w:val="22"/>
        </w:rPr>
        <w:t> </w:t>
      </w:r>
      <w:r>
        <w:rPr>
          <w:rFonts w:ascii="Calibri"/>
          <w:i/>
          <w:sz w:val="22"/>
        </w:rPr>
        <w:t>Centre</w:t>
      </w:r>
      <w:r>
        <w:rPr>
          <w:rFonts w:ascii="Calibri"/>
          <w:i/>
          <w:spacing w:val="80"/>
          <w:sz w:val="22"/>
        </w:rPr>
        <w:t> </w:t>
      </w:r>
      <w:r>
        <w:rPr>
          <w:rFonts w:ascii="Calibri"/>
          <w:i/>
          <w:sz w:val="22"/>
        </w:rPr>
        <w:t>Virtuel</w:t>
      </w:r>
      <w:r>
        <w:rPr>
          <w:rFonts w:ascii="Calibri"/>
          <w:i/>
          <w:spacing w:val="80"/>
          <w:sz w:val="22"/>
        </w:rPr>
        <w:t> </w:t>
      </w:r>
      <w:r>
        <w:rPr>
          <w:rFonts w:ascii="Calibri"/>
          <w:i/>
          <w:sz w:val="22"/>
        </w:rPr>
        <w:t>de</w:t>
      </w:r>
      <w:r>
        <w:rPr>
          <w:rFonts w:ascii="Calibri"/>
          <w:i/>
          <w:spacing w:val="80"/>
          <w:sz w:val="22"/>
        </w:rPr>
        <w:t> </w:t>
      </w:r>
      <w:r>
        <w:rPr>
          <w:rFonts w:ascii="Calibri"/>
          <w:i/>
          <w:sz w:val="22"/>
        </w:rPr>
        <w:t>la</w:t>
      </w:r>
      <w:r>
        <w:rPr>
          <w:rFonts w:ascii="Calibri"/>
          <w:i/>
          <w:spacing w:val="40"/>
          <w:sz w:val="22"/>
        </w:rPr>
        <w:t> </w:t>
      </w:r>
      <w:r>
        <w:rPr>
          <w:rFonts w:ascii="Calibri"/>
          <w:i/>
          <w:sz w:val="22"/>
        </w:rPr>
        <w:t>Connaissance sur l'Europe</w:t>
      </w:r>
      <w:r>
        <w:rPr>
          <w:rFonts w:ascii="Calibri"/>
          <w:sz w:val="22"/>
        </w:rPr>
        <w:t>.</w:t>
      </w:r>
    </w:p>
    <w:p>
      <w:pPr>
        <w:spacing w:line="266" w:lineRule="exact" w:before="1"/>
        <w:ind w:left="979" w:right="0" w:firstLine="0"/>
        <w:jc w:val="left"/>
        <w:rPr>
          <w:rFonts w:ascii="Calibri"/>
          <w:sz w:val="22"/>
        </w:rPr>
      </w:pPr>
      <w:bookmarkStart w:name="_bookmark167" w:id="168"/>
      <w:bookmarkEnd w:id="168"/>
      <w:r>
        <w:rPr/>
      </w:r>
      <w:r>
        <w:rPr>
          <w:rFonts w:ascii="Calibri"/>
          <w:sz w:val="22"/>
        </w:rPr>
        <w:t>Easton,</w:t>
      </w:r>
      <w:r>
        <w:rPr>
          <w:rFonts w:ascii="Calibri"/>
          <w:spacing w:val="1"/>
          <w:sz w:val="22"/>
        </w:rPr>
        <w:t> </w:t>
      </w:r>
      <w:r>
        <w:rPr>
          <w:rFonts w:ascii="Calibri"/>
          <w:sz w:val="22"/>
        </w:rPr>
        <w:t>D. (1957). An</w:t>
      </w:r>
      <w:r>
        <w:rPr>
          <w:rFonts w:ascii="Calibri"/>
          <w:spacing w:val="-2"/>
          <w:sz w:val="22"/>
        </w:rPr>
        <w:t> </w:t>
      </w:r>
      <w:r>
        <w:rPr>
          <w:rFonts w:ascii="Calibri"/>
          <w:sz w:val="22"/>
        </w:rPr>
        <w:t>Approach</w:t>
      </w:r>
      <w:r>
        <w:rPr>
          <w:rFonts w:ascii="Calibri"/>
          <w:spacing w:val="-1"/>
          <w:sz w:val="22"/>
        </w:rPr>
        <w:t> </w:t>
      </w:r>
      <w:r>
        <w:rPr>
          <w:rFonts w:ascii="Calibri"/>
          <w:sz w:val="22"/>
        </w:rPr>
        <w:t>to</w:t>
      </w:r>
      <w:r>
        <w:rPr>
          <w:rFonts w:ascii="Calibri"/>
          <w:spacing w:val="2"/>
          <w:sz w:val="22"/>
        </w:rPr>
        <w:t> </w:t>
      </w:r>
      <w:r>
        <w:rPr>
          <w:rFonts w:ascii="Calibri"/>
          <w:sz w:val="22"/>
        </w:rPr>
        <w:t>the</w:t>
      </w:r>
      <w:r>
        <w:rPr>
          <w:rFonts w:ascii="Calibri"/>
          <w:spacing w:val="-1"/>
          <w:sz w:val="22"/>
        </w:rPr>
        <w:t> </w:t>
      </w:r>
      <w:r>
        <w:rPr>
          <w:rFonts w:ascii="Calibri"/>
          <w:sz w:val="22"/>
        </w:rPr>
        <w:t>Analysis</w:t>
      </w:r>
      <w:r>
        <w:rPr>
          <w:rFonts w:ascii="Calibri"/>
          <w:spacing w:val="-2"/>
          <w:sz w:val="22"/>
        </w:rPr>
        <w:t> </w:t>
      </w:r>
      <w:r>
        <w:rPr>
          <w:rFonts w:ascii="Calibri"/>
          <w:sz w:val="22"/>
        </w:rPr>
        <w:t>of</w:t>
      </w:r>
      <w:r>
        <w:rPr>
          <w:rFonts w:ascii="Calibri"/>
          <w:spacing w:val="-2"/>
          <w:sz w:val="22"/>
        </w:rPr>
        <w:t> </w:t>
      </w:r>
      <w:r>
        <w:rPr>
          <w:rFonts w:ascii="Calibri"/>
          <w:sz w:val="22"/>
        </w:rPr>
        <w:t>Political</w:t>
      </w:r>
      <w:r>
        <w:rPr>
          <w:rFonts w:ascii="Calibri"/>
          <w:spacing w:val="1"/>
          <w:sz w:val="22"/>
        </w:rPr>
        <w:t> </w:t>
      </w:r>
      <w:r>
        <w:rPr>
          <w:rFonts w:ascii="Calibri"/>
          <w:sz w:val="22"/>
        </w:rPr>
        <w:t>Systems.</w:t>
      </w:r>
      <w:r>
        <w:rPr>
          <w:rFonts w:ascii="Calibri"/>
          <w:spacing w:val="5"/>
          <w:sz w:val="22"/>
        </w:rPr>
        <w:t> </w:t>
      </w:r>
      <w:r>
        <w:rPr>
          <w:rFonts w:ascii="Calibri"/>
          <w:i/>
          <w:sz w:val="22"/>
        </w:rPr>
        <w:t>World</w:t>
      </w:r>
      <w:r>
        <w:rPr>
          <w:rFonts w:ascii="Calibri"/>
          <w:i/>
          <w:spacing w:val="1"/>
          <w:sz w:val="22"/>
        </w:rPr>
        <w:t> </w:t>
      </w:r>
      <w:r>
        <w:rPr>
          <w:rFonts w:ascii="Calibri"/>
          <w:i/>
          <w:sz w:val="22"/>
        </w:rPr>
        <w:t>Politics,</w:t>
      </w:r>
      <w:r>
        <w:rPr>
          <w:rFonts w:ascii="Calibri"/>
          <w:i/>
          <w:spacing w:val="-4"/>
          <w:sz w:val="22"/>
        </w:rPr>
        <w:t> </w:t>
      </w:r>
      <w:r>
        <w:rPr>
          <w:rFonts w:ascii="Calibri"/>
          <w:i/>
          <w:sz w:val="22"/>
        </w:rPr>
        <w:t>9</w:t>
      </w:r>
      <w:r>
        <w:rPr>
          <w:rFonts w:ascii="Calibri"/>
          <w:sz w:val="22"/>
        </w:rPr>
        <w:t>(3),</w:t>
      </w:r>
      <w:r>
        <w:rPr>
          <w:rFonts w:ascii="Calibri"/>
          <w:spacing w:val="-3"/>
          <w:sz w:val="22"/>
        </w:rPr>
        <w:t> </w:t>
      </w:r>
      <w:r>
        <w:rPr>
          <w:rFonts w:ascii="Calibri"/>
          <w:spacing w:val="-4"/>
          <w:sz w:val="22"/>
        </w:rPr>
        <w:t>383-</w:t>
      </w:r>
    </w:p>
    <w:p>
      <w:pPr>
        <w:spacing w:line="266" w:lineRule="exact" w:before="0"/>
        <w:ind w:left="1700" w:right="0" w:firstLine="0"/>
        <w:jc w:val="left"/>
        <w:rPr>
          <w:rFonts w:ascii="Calibri"/>
          <w:sz w:val="22"/>
        </w:rPr>
      </w:pPr>
      <w:r>
        <w:rPr>
          <w:rFonts w:ascii="Calibri"/>
          <w:sz w:val="22"/>
        </w:rPr>
        <w:t>400.</w:t>
      </w:r>
      <w:r>
        <w:rPr>
          <w:rFonts w:ascii="Calibri"/>
          <w:spacing w:val="-6"/>
          <w:sz w:val="22"/>
        </w:rPr>
        <w:t> </w:t>
      </w:r>
      <w:r>
        <w:rPr>
          <w:rFonts w:ascii="Calibri"/>
          <w:sz w:val="22"/>
        </w:rPr>
        <w:t>doi:</w:t>
      </w:r>
      <w:r>
        <w:rPr>
          <w:rFonts w:ascii="Calibri"/>
          <w:spacing w:val="-7"/>
          <w:sz w:val="22"/>
        </w:rPr>
        <w:t> </w:t>
      </w:r>
      <w:r>
        <w:rPr>
          <w:rFonts w:ascii="Calibri"/>
          <w:spacing w:val="-2"/>
          <w:sz w:val="22"/>
        </w:rPr>
        <w:t>10.2307/2008920</w:t>
      </w:r>
    </w:p>
    <w:p>
      <w:pPr>
        <w:spacing w:before="0"/>
        <w:ind w:left="979" w:right="0" w:firstLine="0"/>
        <w:jc w:val="left"/>
        <w:rPr>
          <w:rFonts w:ascii="Calibri"/>
          <w:sz w:val="22"/>
        </w:rPr>
      </w:pPr>
      <w:bookmarkStart w:name="_bookmark168" w:id="169"/>
      <w:bookmarkEnd w:id="169"/>
      <w:r>
        <w:rPr/>
      </w:r>
      <w:r>
        <w:rPr>
          <w:rFonts w:ascii="Calibri"/>
          <w:sz w:val="22"/>
        </w:rPr>
        <w:t>Easton,</w:t>
      </w:r>
      <w:r>
        <w:rPr>
          <w:rFonts w:ascii="Calibri"/>
          <w:spacing w:val="-4"/>
          <w:sz w:val="22"/>
        </w:rPr>
        <w:t> </w:t>
      </w:r>
      <w:r>
        <w:rPr>
          <w:rFonts w:ascii="Calibri"/>
          <w:sz w:val="22"/>
        </w:rPr>
        <w:t>D.</w:t>
      </w:r>
      <w:r>
        <w:rPr>
          <w:rFonts w:ascii="Calibri"/>
          <w:spacing w:val="-5"/>
          <w:sz w:val="22"/>
        </w:rPr>
        <w:t> </w:t>
      </w:r>
      <w:r>
        <w:rPr>
          <w:rFonts w:ascii="Calibri"/>
          <w:sz w:val="22"/>
        </w:rPr>
        <w:t>(1965).</w:t>
      </w:r>
      <w:r>
        <w:rPr>
          <w:rFonts w:ascii="Calibri"/>
          <w:spacing w:val="-3"/>
          <w:sz w:val="22"/>
        </w:rPr>
        <w:t> </w:t>
      </w:r>
      <w:r>
        <w:rPr>
          <w:rFonts w:ascii="Calibri"/>
          <w:i/>
          <w:sz w:val="22"/>
        </w:rPr>
        <w:t>A</w:t>
      </w:r>
      <w:r>
        <w:rPr>
          <w:rFonts w:ascii="Calibri"/>
          <w:i/>
          <w:spacing w:val="-5"/>
          <w:sz w:val="22"/>
        </w:rPr>
        <w:t> </w:t>
      </w:r>
      <w:r>
        <w:rPr>
          <w:rFonts w:ascii="Calibri"/>
          <w:i/>
          <w:sz w:val="22"/>
        </w:rPr>
        <w:t>systems</w:t>
      </w:r>
      <w:r>
        <w:rPr>
          <w:rFonts w:ascii="Calibri"/>
          <w:i/>
          <w:spacing w:val="-6"/>
          <w:sz w:val="22"/>
        </w:rPr>
        <w:t> </w:t>
      </w:r>
      <w:r>
        <w:rPr>
          <w:rFonts w:ascii="Calibri"/>
          <w:i/>
          <w:sz w:val="22"/>
        </w:rPr>
        <w:t>analysis</w:t>
      </w:r>
      <w:r>
        <w:rPr>
          <w:rFonts w:ascii="Calibri"/>
          <w:i/>
          <w:spacing w:val="-6"/>
          <w:sz w:val="22"/>
        </w:rPr>
        <w:t> </w:t>
      </w:r>
      <w:r>
        <w:rPr>
          <w:rFonts w:ascii="Calibri"/>
          <w:i/>
          <w:sz w:val="22"/>
        </w:rPr>
        <w:t>of</w:t>
      </w:r>
      <w:r>
        <w:rPr>
          <w:rFonts w:ascii="Calibri"/>
          <w:i/>
          <w:spacing w:val="-5"/>
          <w:sz w:val="22"/>
        </w:rPr>
        <w:t> </w:t>
      </w:r>
      <w:r>
        <w:rPr>
          <w:rFonts w:ascii="Calibri"/>
          <w:i/>
          <w:sz w:val="22"/>
        </w:rPr>
        <w:t>political</w:t>
      </w:r>
      <w:r>
        <w:rPr>
          <w:rFonts w:ascii="Calibri"/>
          <w:i/>
          <w:spacing w:val="-4"/>
          <w:sz w:val="22"/>
        </w:rPr>
        <w:t> </w:t>
      </w:r>
      <w:r>
        <w:rPr>
          <w:rFonts w:ascii="Calibri"/>
          <w:i/>
          <w:sz w:val="22"/>
        </w:rPr>
        <w:t>life</w:t>
      </w:r>
      <w:r>
        <w:rPr>
          <w:rFonts w:ascii="Calibri"/>
          <w:sz w:val="22"/>
        </w:rPr>
        <w:t>.</w:t>
      </w:r>
      <w:r>
        <w:rPr>
          <w:rFonts w:ascii="Calibri"/>
          <w:spacing w:val="-5"/>
          <w:sz w:val="22"/>
        </w:rPr>
        <w:t> </w:t>
      </w:r>
      <w:r>
        <w:rPr>
          <w:rFonts w:ascii="Calibri"/>
          <w:sz w:val="22"/>
        </w:rPr>
        <w:t>New</w:t>
      </w:r>
      <w:r>
        <w:rPr>
          <w:rFonts w:ascii="Calibri"/>
          <w:spacing w:val="-6"/>
          <w:sz w:val="22"/>
        </w:rPr>
        <w:t> </w:t>
      </w:r>
      <w:r>
        <w:rPr>
          <w:rFonts w:ascii="Calibri"/>
          <w:sz w:val="22"/>
        </w:rPr>
        <w:t>York,:</w:t>
      </w:r>
      <w:r>
        <w:rPr>
          <w:rFonts w:ascii="Calibri"/>
          <w:spacing w:val="-7"/>
          <w:sz w:val="22"/>
        </w:rPr>
        <w:t> </w:t>
      </w:r>
      <w:r>
        <w:rPr>
          <w:rFonts w:ascii="Calibri"/>
          <w:spacing w:val="-2"/>
          <w:sz w:val="22"/>
        </w:rPr>
        <w:t>Wiley.</w:t>
      </w:r>
    </w:p>
    <w:p>
      <w:pPr>
        <w:spacing w:before="0"/>
        <w:ind w:left="979" w:right="0" w:firstLine="0"/>
        <w:jc w:val="left"/>
        <w:rPr>
          <w:rFonts w:ascii="Calibri"/>
          <w:sz w:val="22"/>
        </w:rPr>
      </w:pPr>
      <w:bookmarkStart w:name="_bookmark169" w:id="170"/>
      <w:bookmarkEnd w:id="170"/>
      <w:r>
        <w:rPr/>
      </w:r>
      <w:r>
        <w:rPr>
          <w:rFonts w:ascii="Calibri"/>
          <w:sz w:val="22"/>
        </w:rPr>
        <w:t>Easton,</w:t>
      </w:r>
      <w:r>
        <w:rPr>
          <w:rFonts w:ascii="Calibri"/>
          <w:spacing w:val="65"/>
          <w:sz w:val="22"/>
        </w:rPr>
        <w:t> </w:t>
      </w:r>
      <w:r>
        <w:rPr>
          <w:rFonts w:ascii="Calibri"/>
          <w:sz w:val="22"/>
        </w:rPr>
        <w:t>D.</w:t>
      </w:r>
      <w:r>
        <w:rPr>
          <w:rFonts w:ascii="Calibri"/>
          <w:spacing w:val="64"/>
          <w:sz w:val="22"/>
        </w:rPr>
        <w:t> </w:t>
      </w:r>
      <w:r>
        <w:rPr>
          <w:rFonts w:ascii="Calibri"/>
          <w:sz w:val="22"/>
        </w:rPr>
        <w:t>(1966a).</w:t>
      </w:r>
      <w:r>
        <w:rPr>
          <w:rFonts w:ascii="Calibri"/>
          <w:spacing w:val="64"/>
          <w:sz w:val="22"/>
        </w:rPr>
        <w:t> </w:t>
      </w:r>
      <w:r>
        <w:rPr>
          <w:rFonts w:ascii="Calibri"/>
          <w:sz w:val="22"/>
        </w:rPr>
        <w:t>Alternative</w:t>
      </w:r>
      <w:r>
        <w:rPr>
          <w:rFonts w:ascii="Calibri"/>
          <w:spacing w:val="64"/>
          <w:sz w:val="22"/>
        </w:rPr>
        <w:t> </w:t>
      </w:r>
      <w:r>
        <w:rPr>
          <w:rFonts w:ascii="Calibri"/>
          <w:sz w:val="22"/>
        </w:rPr>
        <w:t>Strategies</w:t>
      </w:r>
      <w:r>
        <w:rPr>
          <w:rFonts w:ascii="Calibri"/>
          <w:spacing w:val="63"/>
          <w:sz w:val="22"/>
        </w:rPr>
        <w:t> </w:t>
      </w:r>
      <w:r>
        <w:rPr>
          <w:rFonts w:ascii="Calibri"/>
          <w:sz w:val="22"/>
        </w:rPr>
        <w:t>in</w:t>
      </w:r>
      <w:r>
        <w:rPr>
          <w:rFonts w:ascii="Calibri"/>
          <w:spacing w:val="63"/>
          <w:sz w:val="22"/>
        </w:rPr>
        <w:t> </w:t>
      </w:r>
      <w:r>
        <w:rPr>
          <w:rFonts w:ascii="Calibri"/>
          <w:sz w:val="22"/>
        </w:rPr>
        <w:t>Theoretical</w:t>
      </w:r>
      <w:r>
        <w:rPr>
          <w:rFonts w:ascii="Calibri"/>
          <w:spacing w:val="64"/>
          <w:sz w:val="22"/>
        </w:rPr>
        <w:t> </w:t>
      </w:r>
      <w:r>
        <w:rPr>
          <w:rFonts w:ascii="Calibri"/>
          <w:sz w:val="22"/>
        </w:rPr>
        <w:t>Research.</w:t>
      </w:r>
      <w:r>
        <w:rPr>
          <w:rFonts w:ascii="Calibri"/>
          <w:spacing w:val="64"/>
          <w:sz w:val="22"/>
        </w:rPr>
        <w:t> </w:t>
      </w:r>
      <w:r>
        <w:rPr>
          <w:rFonts w:ascii="Calibri"/>
          <w:sz w:val="22"/>
        </w:rPr>
        <w:t>In</w:t>
      </w:r>
      <w:r>
        <w:rPr>
          <w:rFonts w:ascii="Calibri"/>
          <w:spacing w:val="63"/>
          <w:sz w:val="22"/>
        </w:rPr>
        <w:t> </w:t>
      </w:r>
      <w:r>
        <w:rPr>
          <w:rFonts w:ascii="Calibri"/>
          <w:sz w:val="22"/>
        </w:rPr>
        <w:t>D.</w:t>
      </w:r>
      <w:r>
        <w:rPr>
          <w:rFonts w:ascii="Calibri"/>
          <w:spacing w:val="64"/>
          <w:sz w:val="22"/>
        </w:rPr>
        <w:t> </w:t>
      </w:r>
      <w:r>
        <w:rPr>
          <w:rFonts w:ascii="Calibri"/>
          <w:sz w:val="22"/>
        </w:rPr>
        <w:t>Easton</w:t>
      </w:r>
      <w:r>
        <w:rPr>
          <w:rFonts w:ascii="Calibri"/>
          <w:spacing w:val="63"/>
          <w:sz w:val="22"/>
        </w:rPr>
        <w:t> </w:t>
      </w:r>
      <w:r>
        <w:rPr>
          <w:rFonts w:ascii="Calibri"/>
          <w:spacing w:val="-2"/>
          <w:sz w:val="22"/>
        </w:rPr>
        <w:t>(Ed.),</w:t>
      </w:r>
    </w:p>
    <w:p>
      <w:pPr>
        <w:spacing w:before="1"/>
        <w:ind w:left="1700" w:right="0" w:firstLine="0"/>
        <w:jc w:val="left"/>
        <w:rPr>
          <w:rFonts w:ascii="Calibri"/>
          <w:sz w:val="22"/>
        </w:rPr>
      </w:pPr>
      <w:r>
        <w:rPr>
          <w:rFonts w:ascii="Calibri"/>
          <w:i/>
          <w:sz w:val="22"/>
        </w:rPr>
        <w:t>Varieties</w:t>
      </w:r>
      <w:r>
        <w:rPr>
          <w:rFonts w:ascii="Calibri"/>
          <w:i/>
          <w:spacing w:val="-10"/>
          <w:sz w:val="22"/>
        </w:rPr>
        <w:t> </w:t>
      </w:r>
      <w:r>
        <w:rPr>
          <w:rFonts w:ascii="Calibri"/>
          <w:i/>
          <w:sz w:val="22"/>
        </w:rPr>
        <w:t>of</w:t>
      </w:r>
      <w:r>
        <w:rPr>
          <w:rFonts w:ascii="Calibri"/>
          <w:i/>
          <w:spacing w:val="-7"/>
          <w:sz w:val="22"/>
        </w:rPr>
        <w:t> </w:t>
      </w:r>
      <w:r>
        <w:rPr>
          <w:rFonts w:ascii="Calibri"/>
          <w:i/>
          <w:sz w:val="22"/>
        </w:rPr>
        <w:t>Political</w:t>
      </w:r>
      <w:r>
        <w:rPr>
          <w:rFonts w:ascii="Calibri"/>
          <w:i/>
          <w:spacing w:val="-6"/>
          <w:sz w:val="22"/>
        </w:rPr>
        <w:t> </w:t>
      </w:r>
      <w:r>
        <w:rPr>
          <w:rFonts w:ascii="Calibri"/>
          <w:i/>
          <w:sz w:val="22"/>
        </w:rPr>
        <w:t>Theory</w:t>
      </w:r>
      <w:r>
        <w:rPr>
          <w:rFonts w:ascii="Calibri"/>
          <w:sz w:val="22"/>
        </w:rPr>
        <w:t>.</w:t>
      </w:r>
      <w:r>
        <w:rPr>
          <w:rFonts w:ascii="Calibri"/>
          <w:spacing w:val="-6"/>
          <w:sz w:val="22"/>
        </w:rPr>
        <w:t> </w:t>
      </w:r>
      <w:r>
        <w:rPr>
          <w:rFonts w:ascii="Calibri"/>
          <w:sz w:val="22"/>
        </w:rPr>
        <w:t>United</w:t>
      </w:r>
      <w:r>
        <w:rPr>
          <w:rFonts w:ascii="Calibri"/>
          <w:spacing w:val="-8"/>
          <w:sz w:val="22"/>
        </w:rPr>
        <w:t> </w:t>
      </w:r>
      <w:r>
        <w:rPr>
          <w:rFonts w:ascii="Calibri"/>
          <w:sz w:val="22"/>
        </w:rPr>
        <w:t>States:</w:t>
      </w:r>
      <w:r>
        <w:rPr>
          <w:rFonts w:ascii="Calibri"/>
          <w:spacing w:val="-8"/>
          <w:sz w:val="22"/>
        </w:rPr>
        <w:t> </w:t>
      </w:r>
      <w:r>
        <w:rPr>
          <w:rFonts w:ascii="Calibri"/>
          <w:sz w:val="22"/>
        </w:rPr>
        <w:t>Prentice-</w:t>
      </w:r>
      <w:r>
        <w:rPr>
          <w:rFonts w:ascii="Calibri"/>
          <w:spacing w:val="-4"/>
          <w:sz w:val="22"/>
        </w:rPr>
        <w:t>Hall.</w:t>
      </w:r>
    </w:p>
    <w:p>
      <w:pPr>
        <w:spacing w:before="0"/>
        <w:ind w:left="1700" w:right="1901" w:hanging="721"/>
        <w:jc w:val="both"/>
        <w:rPr>
          <w:rFonts w:ascii="Calibri"/>
          <w:sz w:val="22"/>
        </w:rPr>
      </w:pPr>
      <w:bookmarkStart w:name="_bookmark170" w:id="171"/>
      <w:bookmarkEnd w:id="171"/>
      <w:r>
        <w:rPr/>
      </w:r>
      <w:r>
        <w:rPr>
          <w:rFonts w:ascii="Calibri"/>
          <w:sz w:val="22"/>
        </w:rPr>
        <w:t>Easton,</w:t>
      </w:r>
      <w:r>
        <w:rPr>
          <w:rFonts w:ascii="Calibri"/>
          <w:spacing w:val="-3"/>
          <w:sz w:val="22"/>
        </w:rPr>
        <w:t> </w:t>
      </w:r>
      <w:r>
        <w:rPr>
          <w:rFonts w:ascii="Calibri"/>
          <w:sz w:val="22"/>
        </w:rPr>
        <w:t>D. (1966b). </w:t>
      </w:r>
      <w:r>
        <w:rPr>
          <w:rFonts w:ascii="Calibri"/>
          <w:i/>
          <w:sz w:val="22"/>
        </w:rPr>
        <w:t>Varieties</w:t>
      </w:r>
      <w:r>
        <w:rPr>
          <w:rFonts w:ascii="Calibri"/>
          <w:i/>
          <w:spacing w:val="-5"/>
          <w:sz w:val="22"/>
        </w:rPr>
        <w:t> </w:t>
      </w:r>
      <w:r>
        <w:rPr>
          <w:rFonts w:ascii="Calibri"/>
          <w:i/>
          <w:sz w:val="22"/>
        </w:rPr>
        <w:t>of</w:t>
      </w:r>
      <w:r>
        <w:rPr>
          <w:rFonts w:ascii="Calibri"/>
          <w:i/>
          <w:spacing w:val="-6"/>
          <w:sz w:val="22"/>
        </w:rPr>
        <w:t> </w:t>
      </w:r>
      <w:r>
        <w:rPr>
          <w:rFonts w:ascii="Calibri"/>
          <w:i/>
          <w:sz w:val="22"/>
        </w:rPr>
        <w:t>political theory. Edited</w:t>
      </w:r>
      <w:r>
        <w:rPr>
          <w:rFonts w:ascii="Calibri"/>
          <w:i/>
          <w:spacing w:val="-4"/>
          <w:sz w:val="22"/>
        </w:rPr>
        <w:t> </w:t>
      </w:r>
      <w:r>
        <w:rPr>
          <w:rFonts w:ascii="Calibri"/>
          <w:i/>
          <w:sz w:val="22"/>
        </w:rPr>
        <w:t>by David Easton</w:t>
      </w:r>
      <w:r>
        <w:rPr>
          <w:rFonts w:ascii="Calibri"/>
          <w:sz w:val="22"/>
        </w:rPr>
        <w:t>. Englewood</w:t>
      </w:r>
      <w:r>
        <w:rPr>
          <w:rFonts w:ascii="Calibri"/>
          <w:spacing w:val="-1"/>
          <w:sz w:val="22"/>
        </w:rPr>
        <w:t> </w:t>
      </w:r>
      <w:r>
        <w:rPr>
          <w:rFonts w:ascii="Calibri"/>
          <w:sz w:val="22"/>
        </w:rPr>
        <w:t>Cliffs,</w:t>
      </w:r>
      <w:r>
        <w:rPr>
          <w:rFonts w:ascii="Calibri"/>
          <w:spacing w:val="-8"/>
          <w:sz w:val="22"/>
        </w:rPr>
        <w:t> </w:t>
      </w:r>
      <w:r>
        <w:rPr>
          <w:rFonts w:ascii="Calibri"/>
          <w:sz w:val="22"/>
        </w:rPr>
        <w:t>NJ: </w:t>
      </w:r>
      <w:r>
        <w:rPr>
          <w:rFonts w:ascii="Calibri"/>
          <w:spacing w:val="-2"/>
          <w:sz w:val="22"/>
        </w:rPr>
        <w:t>Prentice-Hall.</w:t>
      </w:r>
    </w:p>
    <w:p>
      <w:pPr>
        <w:spacing w:before="1"/>
        <w:ind w:left="1700" w:right="1901" w:hanging="721"/>
        <w:jc w:val="both"/>
        <w:rPr>
          <w:rFonts w:ascii="Calibri"/>
          <w:sz w:val="22"/>
        </w:rPr>
      </w:pPr>
      <w:bookmarkStart w:name="_bookmark171" w:id="172"/>
      <w:bookmarkEnd w:id="172"/>
      <w:r>
        <w:rPr/>
      </w:r>
      <w:r>
        <w:rPr>
          <w:rFonts w:ascii="Calibri"/>
          <w:sz w:val="22"/>
        </w:rPr>
        <w:t>Easton, D. (1975). A Re-Assessment of the Concept of Political Support. </w:t>
      </w:r>
      <w:r>
        <w:rPr>
          <w:rFonts w:ascii="Calibri"/>
          <w:i/>
          <w:sz w:val="22"/>
        </w:rPr>
        <w:t>British Journal of Political Science, 5</w:t>
      </w:r>
      <w:r>
        <w:rPr>
          <w:rFonts w:ascii="Calibri"/>
          <w:sz w:val="22"/>
        </w:rPr>
        <w:t>(4), 435-457.</w:t>
      </w:r>
    </w:p>
    <w:p>
      <w:pPr>
        <w:spacing w:before="0"/>
        <w:ind w:left="1700" w:right="1901" w:hanging="721"/>
        <w:jc w:val="both"/>
        <w:rPr>
          <w:rFonts w:ascii="Calibri"/>
          <w:sz w:val="22"/>
        </w:rPr>
      </w:pPr>
      <w:bookmarkStart w:name="_bookmark172" w:id="173"/>
      <w:bookmarkEnd w:id="173"/>
      <w:r>
        <w:rPr/>
      </w:r>
      <w:r>
        <w:rPr>
          <w:rFonts w:ascii="Calibri"/>
          <w:sz w:val="22"/>
        </w:rPr>
        <w:t>Easton, D. (1991). The Division, Integration, and Transfer of Knowledge. In D. Easton &amp; C. Schelling, S. (Eds.), </w:t>
      </w:r>
      <w:r>
        <w:rPr>
          <w:rFonts w:ascii="Calibri"/>
          <w:i/>
          <w:sz w:val="22"/>
        </w:rPr>
        <w:t>Divided Knowledge Across Disciplines, Across Cultures</w:t>
      </w:r>
      <w:r>
        <w:rPr>
          <w:rFonts w:ascii="Calibri"/>
          <w:sz w:val="22"/>
        </w:rPr>
        <w:t>. United States: Sage Publications.</w:t>
      </w:r>
    </w:p>
    <w:p>
      <w:pPr>
        <w:spacing w:before="2"/>
        <w:ind w:left="1700" w:right="1901" w:hanging="721"/>
        <w:jc w:val="both"/>
        <w:rPr>
          <w:rFonts w:ascii="Calibri"/>
          <w:sz w:val="22"/>
        </w:rPr>
      </w:pPr>
      <w:bookmarkStart w:name="_bookmark173" w:id="174"/>
      <w:bookmarkEnd w:id="174"/>
      <w:r>
        <w:rPr/>
      </w:r>
      <w:r>
        <w:rPr>
          <w:rFonts w:ascii="Calibri"/>
          <w:sz w:val="22"/>
        </w:rPr>
        <w:t>Edelman, M. (1985). Political Language and political Reality. </w:t>
      </w:r>
      <w:r>
        <w:rPr>
          <w:rFonts w:ascii="Calibri"/>
          <w:i/>
          <w:sz w:val="22"/>
        </w:rPr>
        <w:t>Political Science and Politics, 18</w:t>
      </w:r>
      <w:r>
        <w:rPr>
          <w:rFonts w:ascii="Calibri"/>
          <w:sz w:val="22"/>
        </w:rPr>
        <w:t>(1), 10-19.</w:t>
      </w:r>
    </w:p>
    <w:p>
      <w:pPr>
        <w:spacing w:before="0"/>
        <w:ind w:left="1700" w:right="1911" w:hanging="721"/>
        <w:jc w:val="both"/>
        <w:rPr>
          <w:rFonts w:ascii="Calibri"/>
          <w:sz w:val="22"/>
        </w:rPr>
      </w:pPr>
      <w:bookmarkStart w:name="_bookmark174" w:id="175"/>
      <w:bookmarkEnd w:id="175"/>
      <w:r>
        <w:rPr/>
      </w:r>
      <w:r>
        <w:rPr>
          <w:rFonts w:ascii="Calibri"/>
          <w:sz w:val="22"/>
        </w:rPr>
        <w:t>Edwards, R. (1979). </w:t>
      </w:r>
      <w:r>
        <w:rPr>
          <w:rFonts w:ascii="Calibri"/>
          <w:i/>
          <w:sz w:val="22"/>
        </w:rPr>
        <w:t>Contested terrain : the transformation of the workplace</w:t>
      </w:r>
      <w:r>
        <w:rPr>
          <w:rFonts w:ascii="Calibri"/>
          <w:i/>
          <w:spacing w:val="-2"/>
          <w:sz w:val="22"/>
        </w:rPr>
        <w:t> </w:t>
      </w:r>
      <w:r>
        <w:rPr>
          <w:rFonts w:ascii="Calibri"/>
          <w:i/>
          <w:sz w:val="22"/>
        </w:rPr>
        <w:t>in the twentieth century</w:t>
      </w:r>
      <w:r>
        <w:rPr>
          <w:rFonts w:ascii="Calibri"/>
          <w:sz w:val="22"/>
        </w:rPr>
        <w:t>. New York: Basic Books.</w:t>
      </w:r>
    </w:p>
    <w:p>
      <w:pPr>
        <w:spacing w:before="0"/>
        <w:ind w:left="1700" w:right="1909" w:hanging="721"/>
        <w:jc w:val="both"/>
        <w:rPr>
          <w:rFonts w:ascii="Calibri"/>
          <w:sz w:val="22"/>
        </w:rPr>
      </w:pPr>
      <w:bookmarkStart w:name="_bookmark175" w:id="176"/>
      <w:bookmarkEnd w:id="176"/>
      <w:r>
        <w:rPr/>
      </w:r>
      <w:r>
        <w:rPr>
          <w:rFonts w:ascii="Calibri"/>
          <w:sz w:val="22"/>
        </w:rPr>
        <w:t>EEAS. (2016). The Western European Union. from European Union External Action </w:t>
      </w:r>
      <w:hyperlink r:id="rId44">
        <w:r>
          <w:rPr>
            <w:rFonts w:ascii="Calibri"/>
            <w:color w:val="0000FF"/>
            <w:spacing w:val="-2"/>
            <w:sz w:val="22"/>
            <w:u w:val="single" w:color="0000FF"/>
          </w:rPr>
          <w:t>http://eeas.europa.eu/csdp/about-csdp/weu/index_en.htm</w:t>
        </w:r>
      </w:hyperlink>
    </w:p>
    <w:p>
      <w:pPr>
        <w:spacing w:before="1"/>
        <w:ind w:left="1700" w:right="1902" w:hanging="721"/>
        <w:jc w:val="both"/>
        <w:rPr>
          <w:rFonts w:ascii="Calibri"/>
          <w:sz w:val="22"/>
        </w:rPr>
      </w:pPr>
      <w:bookmarkStart w:name="_bookmark176" w:id="177"/>
      <w:bookmarkEnd w:id="177"/>
      <w:r>
        <w:rPr/>
      </w:r>
      <w:r>
        <w:rPr>
          <w:rFonts w:ascii="Calibri"/>
          <w:sz w:val="22"/>
        </w:rPr>
        <w:t>Elazar, D. J. (1998). </w:t>
      </w:r>
      <w:r>
        <w:rPr>
          <w:rFonts w:ascii="Calibri"/>
          <w:i/>
          <w:sz w:val="22"/>
        </w:rPr>
        <w:t>Covenant and civil society : the constitutional matrix of modern democracy</w:t>
      </w:r>
      <w:r>
        <w:rPr>
          <w:rFonts w:ascii="Calibri"/>
          <w:sz w:val="22"/>
        </w:rPr>
        <w:t>. New Brunswick, N.J.: Transaction Publishers.</w:t>
      </w:r>
    </w:p>
    <w:p>
      <w:pPr>
        <w:spacing w:line="235" w:lineRule="auto" w:before="5"/>
        <w:ind w:left="1700" w:right="1907" w:hanging="721"/>
        <w:jc w:val="both"/>
        <w:rPr>
          <w:rFonts w:ascii="Calibri"/>
          <w:sz w:val="22"/>
        </w:rPr>
      </w:pPr>
      <w:bookmarkStart w:name="_bookmark177" w:id="178"/>
      <w:bookmarkEnd w:id="178"/>
      <w:r>
        <w:rPr/>
      </w:r>
      <w:r>
        <w:rPr>
          <w:rFonts w:ascii="Calibri"/>
          <w:sz w:val="22"/>
        </w:rPr>
        <w:t>EP. (1999a). </w:t>
      </w:r>
      <w:r>
        <w:rPr>
          <w:rFonts w:ascii="Calibri"/>
          <w:i/>
          <w:sz w:val="22"/>
        </w:rPr>
        <w:t>Committee of Independent Experts: First report on allegations regarding fraud, mismanagement and nepotism in the European Commission</w:t>
      </w:r>
      <w:r>
        <w:rPr>
          <w:rFonts w:ascii="Calibri"/>
          <w:sz w:val="22"/>
        </w:rPr>
        <w:t>. European Parliament.</w:t>
      </w:r>
    </w:p>
    <w:p>
      <w:pPr>
        <w:spacing w:before="2"/>
        <w:ind w:left="1700" w:right="1905" w:hanging="721"/>
        <w:jc w:val="both"/>
        <w:rPr>
          <w:rFonts w:ascii="Calibri"/>
          <w:sz w:val="22"/>
        </w:rPr>
      </w:pPr>
      <w:bookmarkStart w:name="_bookmark178" w:id="179"/>
      <w:bookmarkEnd w:id="179"/>
      <w:r>
        <w:rPr/>
      </w:r>
      <w:r>
        <w:rPr>
          <w:rFonts w:ascii="Calibri"/>
          <w:sz w:val="22"/>
        </w:rPr>
        <w:t>EP. (1999b). European Parliament Resolution on the resignation of the Commission [Press </w:t>
      </w:r>
      <w:r>
        <w:rPr>
          <w:rFonts w:ascii="Calibri"/>
          <w:spacing w:val="-2"/>
          <w:sz w:val="22"/>
        </w:rPr>
        <w:t>release]</w:t>
      </w:r>
    </w:p>
    <w:p>
      <w:pPr>
        <w:spacing w:after="0"/>
        <w:jc w:val="both"/>
        <w:rPr>
          <w:rFonts w:asci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1700" w:right="1904" w:hanging="721"/>
        <w:jc w:val="both"/>
        <w:rPr>
          <w:rFonts w:ascii="Calibri"/>
          <w:sz w:val="22"/>
        </w:rPr>
      </w:pPr>
      <w:bookmarkStart w:name="_bookmark179" w:id="180"/>
      <w:bookmarkEnd w:id="180"/>
      <w:r>
        <w:rPr/>
      </w:r>
      <w:r>
        <w:rPr>
          <w:rFonts w:ascii="Calibri"/>
          <w:sz w:val="22"/>
        </w:rPr>
        <w:t>Epstein,</w:t>
      </w:r>
      <w:r>
        <w:rPr>
          <w:rFonts w:ascii="Calibri"/>
          <w:spacing w:val="-1"/>
          <w:sz w:val="22"/>
        </w:rPr>
        <w:t> </w:t>
      </w:r>
      <w:r>
        <w:rPr>
          <w:rFonts w:ascii="Calibri"/>
          <w:sz w:val="22"/>
        </w:rPr>
        <w:t>D., &amp; O'Halloran,</w:t>
      </w:r>
      <w:r>
        <w:rPr>
          <w:rFonts w:ascii="Calibri"/>
          <w:spacing w:val="-1"/>
          <w:sz w:val="22"/>
        </w:rPr>
        <w:t> </w:t>
      </w:r>
      <w:r>
        <w:rPr>
          <w:rFonts w:ascii="Calibri"/>
          <w:sz w:val="22"/>
        </w:rPr>
        <w:t>S. (1999). </w:t>
      </w:r>
      <w:r>
        <w:rPr>
          <w:rFonts w:ascii="Calibri"/>
          <w:i/>
          <w:sz w:val="22"/>
        </w:rPr>
        <w:t>Delegating powers : a transaction cost politics approach to policy making under separate powers</w:t>
      </w:r>
      <w:r>
        <w:rPr>
          <w:rFonts w:ascii="Calibri"/>
          <w:sz w:val="22"/>
        </w:rPr>
        <w:t>. Cambridge, U.K. ; New York: Cambridge University Press.</w:t>
      </w:r>
    </w:p>
    <w:p>
      <w:pPr>
        <w:spacing w:before="2"/>
        <w:ind w:left="1700" w:right="1916" w:hanging="721"/>
        <w:jc w:val="both"/>
        <w:rPr>
          <w:rFonts w:ascii="Calibri"/>
          <w:sz w:val="22"/>
        </w:rPr>
      </w:pPr>
      <w:r>
        <w:rPr>
          <w:rFonts w:ascii="Calibri"/>
          <w:sz w:val="22"/>
        </w:rPr>
        <w:t>European Parliament resolution of 12 June 2013 on the deadlock on the revision of Regulation (EC) No 1049/2001 (2013/2637(RSP), The European Parliament (2013).</w:t>
      </w:r>
    </w:p>
    <w:p>
      <w:pPr>
        <w:spacing w:line="240" w:lineRule="auto" w:before="0"/>
        <w:ind w:left="1700" w:right="1918" w:hanging="721"/>
        <w:jc w:val="both"/>
        <w:rPr>
          <w:rFonts w:ascii="Calibri" w:hAnsi="Calibri"/>
          <w:sz w:val="22"/>
        </w:rPr>
      </w:pPr>
      <w:bookmarkStart w:name="_bookmark180" w:id="181"/>
      <w:bookmarkEnd w:id="181"/>
      <w:r>
        <w:rPr/>
      </w:r>
      <w:r>
        <w:rPr>
          <w:rFonts w:ascii="Calibri" w:hAnsi="Calibri"/>
          <w:sz w:val="22"/>
        </w:rPr>
        <w:t>Farrell, H., &amp; Héritier, A. (2007). Introduction: Contested competences in the European Union. </w:t>
      </w:r>
      <w:r>
        <w:rPr>
          <w:rFonts w:ascii="Calibri" w:hAnsi="Calibri"/>
          <w:i/>
          <w:sz w:val="22"/>
        </w:rPr>
        <w:t>West European Politics, 30</w:t>
      </w:r>
      <w:r>
        <w:rPr>
          <w:rFonts w:ascii="Calibri" w:hAnsi="Calibri"/>
          <w:sz w:val="22"/>
        </w:rPr>
        <w:t>(2), 227-243. doi: 10.1080/01402380701238741</w:t>
      </w:r>
    </w:p>
    <w:p>
      <w:pPr>
        <w:spacing w:before="0"/>
        <w:ind w:left="979" w:right="0" w:firstLine="0"/>
        <w:jc w:val="both"/>
        <w:rPr>
          <w:rFonts w:ascii="Calibri"/>
          <w:sz w:val="22"/>
        </w:rPr>
      </w:pPr>
      <w:bookmarkStart w:name="_bookmark181" w:id="182"/>
      <w:bookmarkEnd w:id="182"/>
      <w:r>
        <w:rPr/>
      </w:r>
      <w:r>
        <w:rPr>
          <w:rFonts w:ascii="Calibri"/>
          <w:sz w:val="22"/>
        </w:rPr>
        <w:t>Featherstone,</w:t>
      </w:r>
      <w:r>
        <w:rPr>
          <w:rFonts w:ascii="Calibri"/>
          <w:spacing w:val="46"/>
          <w:sz w:val="22"/>
        </w:rPr>
        <w:t> </w:t>
      </w:r>
      <w:r>
        <w:rPr>
          <w:rFonts w:ascii="Calibri"/>
          <w:sz w:val="22"/>
        </w:rPr>
        <w:t>K.</w:t>
      </w:r>
      <w:r>
        <w:rPr>
          <w:rFonts w:ascii="Calibri"/>
          <w:spacing w:val="50"/>
          <w:sz w:val="22"/>
        </w:rPr>
        <w:t> </w:t>
      </w:r>
      <w:r>
        <w:rPr>
          <w:rFonts w:ascii="Calibri"/>
          <w:sz w:val="22"/>
        </w:rPr>
        <w:t>(1994).</w:t>
      </w:r>
      <w:r>
        <w:rPr>
          <w:rFonts w:ascii="Calibri"/>
          <w:spacing w:val="50"/>
          <w:sz w:val="22"/>
        </w:rPr>
        <w:t> </w:t>
      </w:r>
      <w:r>
        <w:rPr>
          <w:rFonts w:ascii="Calibri"/>
          <w:sz w:val="22"/>
        </w:rPr>
        <w:t>Jean</w:t>
      </w:r>
      <w:r>
        <w:rPr>
          <w:rFonts w:ascii="Calibri"/>
          <w:spacing w:val="48"/>
          <w:sz w:val="22"/>
        </w:rPr>
        <w:t> </w:t>
      </w:r>
      <w:r>
        <w:rPr>
          <w:rFonts w:ascii="Calibri"/>
          <w:sz w:val="22"/>
        </w:rPr>
        <w:t>Monnet</w:t>
      </w:r>
      <w:r>
        <w:rPr>
          <w:rFonts w:ascii="Calibri"/>
          <w:spacing w:val="48"/>
          <w:sz w:val="22"/>
        </w:rPr>
        <w:t> </w:t>
      </w:r>
      <w:r>
        <w:rPr>
          <w:rFonts w:ascii="Calibri"/>
          <w:sz w:val="22"/>
        </w:rPr>
        <w:t>and</w:t>
      </w:r>
      <w:r>
        <w:rPr>
          <w:rFonts w:ascii="Calibri"/>
          <w:spacing w:val="48"/>
          <w:sz w:val="22"/>
        </w:rPr>
        <w:t> </w:t>
      </w:r>
      <w:r>
        <w:rPr>
          <w:rFonts w:ascii="Calibri"/>
          <w:sz w:val="22"/>
        </w:rPr>
        <w:t>'Democratic</w:t>
      </w:r>
      <w:r>
        <w:rPr>
          <w:rFonts w:ascii="Calibri"/>
          <w:spacing w:val="46"/>
          <w:sz w:val="22"/>
        </w:rPr>
        <w:t> </w:t>
      </w:r>
      <w:r>
        <w:rPr>
          <w:rFonts w:ascii="Calibri"/>
          <w:sz w:val="22"/>
        </w:rPr>
        <w:t>Deficit'</w:t>
      </w:r>
      <w:r>
        <w:rPr>
          <w:rFonts w:ascii="Calibri"/>
          <w:spacing w:val="48"/>
          <w:sz w:val="22"/>
        </w:rPr>
        <w:t> </w:t>
      </w:r>
      <w:r>
        <w:rPr>
          <w:rFonts w:ascii="Calibri"/>
          <w:sz w:val="22"/>
        </w:rPr>
        <w:t>in</w:t>
      </w:r>
      <w:r>
        <w:rPr>
          <w:rFonts w:ascii="Calibri"/>
          <w:spacing w:val="45"/>
          <w:sz w:val="22"/>
        </w:rPr>
        <w:t> </w:t>
      </w:r>
      <w:r>
        <w:rPr>
          <w:rFonts w:ascii="Calibri"/>
          <w:sz w:val="22"/>
        </w:rPr>
        <w:t>the</w:t>
      </w:r>
      <w:r>
        <w:rPr>
          <w:rFonts w:ascii="Calibri"/>
          <w:spacing w:val="49"/>
          <w:sz w:val="22"/>
        </w:rPr>
        <w:t> </w:t>
      </w:r>
      <w:r>
        <w:rPr>
          <w:rFonts w:ascii="Calibri"/>
          <w:sz w:val="22"/>
        </w:rPr>
        <w:t>European</w:t>
      </w:r>
      <w:r>
        <w:rPr>
          <w:rFonts w:ascii="Calibri"/>
          <w:spacing w:val="44"/>
          <w:sz w:val="22"/>
        </w:rPr>
        <w:t> </w:t>
      </w:r>
      <w:r>
        <w:rPr>
          <w:rFonts w:ascii="Calibri"/>
          <w:spacing w:val="-2"/>
          <w:sz w:val="22"/>
        </w:rPr>
        <w:t>Union.</w:t>
      </w:r>
    </w:p>
    <w:p>
      <w:pPr>
        <w:spacing w:before="0"/>
        <w:ind w:left="1700" w:right="0" w:firstLine="0"/>
        <w:jc w:val="both"/>
        <w:rPr>
          <w:rFonts w:ascii="Calibri"/>
          <w:sz w:val="22"/>
        </w:rPr>
      </w:pPr>
      <w:r>
        <w:rPr>
          <w:rFonts w:ascii="Calibri"/>
          <w:i/>
          <w:sz w:val="22"/>
        </w:rPr>
        <w:t>Journal</w:t>
      </w:r>
      <w:r>
        <w:rPr>
          <w:rFonts w:ascii="Calibri"/>
          <w:i/>
          <w:spacing w:val="-4"/>
          <w:sz w:val="22"/>
        </w:rPr>
        <w:t> </w:t>
      </w:r>
      <w:r>
        <w:rPr>
          <w:rFonts w:ascii="Calibri"/>
          <w:i/>
          <w:sz w:val="22"/>
        </w:rPr>
        <w:t>of</w:t>
      </w:r>
      <w:r>
        <w:rPr>
          <w:rFonts w:ascii="Calibri"/>
          <w:i/>
          <w:spacing w:val="-5"/>
          <w:sz w:val="22"/>
        </w:rPr>
        <w:t> </w:t>
      </w:r>
      <w:r>
        <w:rPr>
          <w:rFonts w:ascii="Calibri"/>
          <w:i/>
          <w:sz w:val="22"/>
        </w:rPr>
        <w:t>Common</w:t>
      </w:r>
      <w:r>
        <w:rPr>
          <w:rFonts w:ascii="Calibri"/>
          <w:i/>
          <w:spacing w:val="-4"/>
          <w:sz w:val="22"/>
        </w:rPr>
        <w:t> </w:t>
      </w:r>
      <w:r>
        <w:rPr>
          <w:rFonts w:ascii="Calibri"/>
          <w:i/>
          <w:sz w:val="22"/>
        </w:rPr>
        <w:t>Market</w:t>
      </w:r>
      <w:r>
        <w:rPr>
          <w:rFonts w:ascii="Calibri"/>
          <w:i/>
          <w:spacing w:val="-7"/>
          <w:sz w:val="22"/>
        </w:rPr>
        <w:t> </w:t>
      </w:r>
      <w:r>
        <w:rPr>
          <w:rFonts w:ascii="Calibri"/>
          <w:i/>
          <w:sz w:val="22"/>
        </w:rPr>
        <w:t>Studies,</w:t>
      </w:r>
      <w:r>
        <w:rPr>
          <w:rFonts w:ascii="Calibri"/>
          <w:i/>
          <w:spacing w:val="-7"/>
          <w:sz w:val="22"/>
        </w:rPr>
        <w:t> </w:t>
      </w:r>
      <w:r>
        <w:rPr>
          <w:rFonts w:ascii="Calibri"/>
          <w:i/>
          <w:spacing w:val="-2"/>
          <w:sz w:val="22"/>
        </w:rPr>
        <w:t>32</w:t>
      </w:r>
      <w:r>
        <w:rPr>
          <w:rFonts w:ascii="Calibri"/>
          <w:spacing w:val="-2"/>
          <w:sz w:val="22"/>
        </w:rPr>
        <w:t>(2).</w:t>
      </w:r>
    </w:p>
    <w:p>
      <w:pPr>
        <w:spacing w:before="0"/>
        <w:ind w:left="979" w:right="3187" w:firstLine="0"/>
        <w:jc w:val="both"/>
        <w:rPr>
          <w:rFonts w:ascii="Calibri"/>
          <w:sz w:val="22"/>
        </w:rPr>
      </w:pPr>
      <w:bookmarkStart w:name="_bookmark182" w:id="183"/>
      <w:bookmarkEnd w:id="183"/>
      <w:r>
        <w:rPr/>
      </w:r>
      <w:r>
        <w:rPr>
          <w:rFonts w:ascii="Calibri"/>
          <w:sz w:val="22"/>
        </w:rPr>
        <w:t>Foerster,</w:t>
      </w:r>
      <w:r>
        <w:rPr>
          <w:rFonts w:ascii="Calibri"/>
          <w:spacing w:val="-7"/>
          <w:sz w:val="22"/>
        </w:rPr>
        <w:t> </w:t>
      </w:r>
      <w:r>
        <w:rPr>
          <w:rFonts w:ascii="Calibri"/>
          <w:sz w:val="22"/>
        </w:rPr>
        <w:t>H.</w:t>
      </w:r>
      <w:r>
        <w:rPr>
          <w:rFonts w:ascii="Calibri"/>
          <w:spacing w:val="-4"/>
          <w:sz w:val="22"/>
        </w:rPr>
        <w:t> </w:t>
      </w:r>
      <w:r>
        <w:rPr>
          <w:rFonts w:ascii="Calibri"/>
          <w:sz w:val="22"/>
        </w:rPr>
        <w:t>V.</w:t>
      </w:r>
      <w:r>
        <w:rPr>
          <w:rFonts w:ascii="Calibri"/>
          <w:spacing w:val="-4"/>
          <w:sz w:val="22"/>
        </w:rPr>
        <w:t> </w:t>
      </w:r>
      <w:r>
        <w:rPr>
          <w:rFonts w:ascii="Calibri"/>
          <w:sz w:val="22"/>
        </w:rPr>
        <w:t>(1973).</w:t>
      </w:r>
      <w:r>
        <w:rPr>
          <w:rFonts w:ascii="Calibri"/>
          <w:spacing w:val="-1"/>
          <w:sz w:val="22"/>
        </w:rPr>
        <w:t> </w:t>
      </w:r>
      <w:r>
        <w:rPr>
          <w:rFonts w:ascii="Calibri"/>
          <w:i/>
          <w:sz w:val="22"/>
        </w:rPr>
        <w:t>On</w:t>
      </w:r>
      <w:r>
        <w:rPr>
          <w:rFonts w:ascii="Calibri"/>
          <w:i/>
          <w:spacing w:val="-4"/>
          <w:sz w:val="22"/>
        </w:rPr>
        <w:t> </w:t>
      </w:r>
      <w:r>
        <w:rPr>
          <w:rFonts w:ascii="Calibri"/>
          <w:i/>
          <w:sz w:val="22"/>
        </w:rPr>
        <w:t>Constructing</w:t>
      </w:r>
      <w:r>
        <w:rPr>
          <w:rFonts w:ascii="Calibri"/>
          <w:i/>
          <w:spacing w:val="-4"/>
          <w:sz w:val="22"/>
        </w:rPr>
        <w:t> </w:t>
      </w:r>
      <w:r>
        <w:rPr>
          <w:rFonts w:ascii="Calibri"/>
          <w:i/>
          <w:sz w:val="22"/>
        </w:rPr>
        <w:t>a</w:t>
      </w:r>
      <w:r>
        <w:rPr>
          <w:rFonts w:ascii="Calibri"/>
          <w:i/>
          <w:spacing w:val="-4"/>
          <w:sz w:val="22"/>
        </w:rPr>
        <w:t> </w:t>
      </w:r>
      <w:r>
        <w:rPr>
          <w:rFonts w:ascii="Calibri"/>
          <w:i/>
          <w:sz w:val="22"/>
        </w:rPr>
        <w:t>Reality</w:t>
      </w:r>
      <w:r>
        <w:rPr>
          <w:rFonts w:ascii="Calibri"/>
          <w:sz w:val="22"/>
        </w:rPr>
        <w:t>,</w:t>
      </w:r>
      <w:r>
        <w:rPr>
          <w:rFonts w:ascii="Calibri"/>
          <w:spacing w:val="-7"/>
          <w:sz w:val="22"/>
        </w:rPr>
        <w:t> </w:t>
      </w:r>
      <w:r>
        <w:rPr>
          <w:rFonts w:ascii="Calibri"/>
          <w:sz w:val="22"/>
        </w:rPr>
        <w:t>Virginia</w:t>
      </w:r>
      <w:r>
        <w:rPr>
          <w:rFonts w:ascii="Calibri"/>
          <w:spacing w:val="-5"/>
          <w:sz w:val="22"/>
        </w:rPr>
        <w:t> </w:t>
      </w:r>
      <w:r>
        <w:rPr>
          <w:rFonts w:ascii="Calibri"/>
          <w:sz w:val="22"/>
        </w:rPr>
        <w:t>Polytechnic</w:t>
      </w:r>
      <w:r>
        <w:rPr>
          <w:rFonts w:ascii="Calibri"/>
          <w:spacing w:val="-7"/>
          <w:sz w:val="22"/>
        </w:rPr>
        <w:t> </w:t>
      </w:r>
      <w:r>
        <w:rPr>
          <w:rFonts w:ascii="Calibri"/>
          <w:sz w:val="22"/>
        </w:rPr>
        <w:t>Institute. </w:t>
      </w:r>
      <w:bookmarkStart w:name="_bookmark183" w:id="184"/>
      <w:bookmarkEnd w:id="184"/>
      <w:r>
        <w:rPr>
          <w:rFonts w:ascii="Calibri"/>
          <w:sz w:val="22"/>
        </w:rPr>
        <w:t>F</w:t>
      </w:r>
      <w:r>
        <w:rPr>
          <w:rFonts w:ascii="Calibri"/>
          <w:sz w:val="22"/>
        </w:rPr>
        <w:t>oerster, H. V. (1995). Ethics and Second-Order Cybernetics </w:t>
      </w:r>
      <w:r>
        <w:rPr>
          <w:rFonts w:ascii="Calibri"/>
          <w:i/>
          <w:sz w:val="22"/>
        </w:rPr>
        <w:t>SEHR, 4</w:t>
      </w:r>
      <w:r>
        <w:rPr>
          <w:rFonts w:ascii="Calibri"/>
          <w:sz w:val="22"/>
        </w:rPr>
        <w:t>(2).</w:t>
      </w:r>
    </w:p>
    <w:p>
      <w:pPr>
        <w:spacing w:before="0"/>
        <w:ind w:left="1700" w:right="1909" w:hanging="721"/>
        <w:jc w:val="both"/>
        <w:rPr>
          <w:rFonts w:ascii="Calibri"/>
          <w:sz w:val="22"/>
        </w:rPr>
      </w:pPr>
      <w:bookmarkStart w:name="_bookmark184" w:id="185"/>
      <w:bookmarkEnd w:id="185"/>
      <w:r>
        <w:rPr/>
      </w:r>
      <w:r>
        <w:rPr>
          <w:rFonts w:ascii="Calibri"/>
          <w:sz w:val="22"/>
        </w:rPr>
        <w:t>Follesdal, A., &amp; Hix, S. (2006). Why There is a Democratic Deficit in the EU: A Response to Majone and Moravcsik. </w:t>
      </w:r>
      <w:r>
        <w:rPr>
          <w:rFonts w:ascii="Calibri"/>
          <w:i/>
          <w:sz w:val="22"/>
        </w:rPr>
        <w:t>JCMS: Journal of Common Market Studies, 44</w:t>
      </w:r>
      <w:r>
        <w:rPr>
          <w:rFonts w:ascii="Calibri"/>
          <w:sz w:val="22"/>
        </w:rPr>
        <w:t>(3), 533-562. doi: 10.1111/j.1468-5965.2006.00650.x</w:t>
      </w:r>
    </w:p>
    <w:p>
      <w:pPr>
        <w:spacing w:before="0"/>
        <w:ind w:left="1700" w:right="1911" w:hanging="721"/>
        <w:jc w:val="both"/>
        <w:rPr>
          <w:rFonts w:ascii="Calibri"/>
          <w:sz w:val="22"/>
        </w:rPr>
      </w:pPr>
      <w:bookmarkStart w:name="_bookmark185" w:id="186"/>
      <w:bookmarkEnd w:id="186"/>
      <w:r>
        <w:rPr/>
      </w:r>
      <w:r>
        <w:rPr>
          <w:rFonts w:ascii="Calibri"/>
          <w:sz w:val="22"/>
        </w:rPr>
        <w:t>Forster, A. (1998). Britain</w:t>
      </w:r>
      <w:r>
        <w:rPr>
          <w:rFonts w:ascii="Calibri"/>
          <w:spacing w:val="-1"/>
          <w:sz w:val="22"/>
        </w:rPr>
        <w:t> </w:t>
      </w:r>
      <w:r>
        <w:rPr>
          <w:rFonts w:ascii="Calibri"/>
          <w:sz w:val="22"/>
        </w:rPr>
        <w:t>and the Negotiation</w:t>
      </w:r>
      <w:r>
        <w:rPr>
          <w:rFonts w:ascii="Calibri"/>
          <w:spacing w:val="-1"/>
          <w:sz w:val="22"/>
        </w:rPr>
        <w:t> </w:t>
      </w:r>
      <w:r>
        <w:rPr>
          <w:rFonts w:ascii="Calibri"/>
          <w:sz w:val="22"/>
        </w:rPr>
        <w:t>of the Maastricht Treaty: A Critique of Liberal Intergovernmentalism. </w:t>
      </w:r>
      <w:r>
        <w:rPr>
          <w:rFonts w:ascii="Calibri"/>
          <w:i/>
          <w:sz w:val="22"/>
        </w:rPr>
        <w:t>JCMS: Journal of Common Market Studies, 36</w:t>
      </w:r>
      <w:r>
        <w:rPr>
          <w:rFonts w:ascii="Calibri"/>
          <w:sz w:val="22"/>
        </w:rPr>
        <w:t>(3), 347-368. doi: 10.1111/1468-5965.00114</w:t>
      </w:r>
    </w:p>
    <w:p>
      <w:pPr>
        <w:spacing w:before="0"/>
        <w:ind w:left="1700" w:right="1903" w:hanging="721"/>
        <w:jc w:val="both"/>
        <w:rPr>
          <w:rFonts w:ascii="Calibri"/>
          <w:sz w:val="22"/>
        </w:rPr>
      </w:pPr>
      <w:bookmarkStart w:name="_bookmark186" w:id="187"/>
      <w:bookmarkEnd w:id="187"/>
      <w:r>
        <w:rPr/>
      </w:r>
      <w:r>
        <w:rPr>
          <w:rFonts w:ascii="Calibri"/>
          <w:sz w:val="22"/>
        </w:rPr>
        <w:t>Forsyth, M. (1967). The Political Objectives of European Integration. </w:t>
      </w:r>
      <w:r>
        <w:rPr>
          <w:rFonts w:ascii="Calibri"/>
          <w:i/>
          <w:sz w:val="22"/>
        </w:rPr>
        <w:t>International Affairs (Royal Institute of International Affairs 1944-), 43</w:t>
      </w:r>
      <w:r>
        <w:rPr>
          <w:rFonts w:ascii="Calibri"/>
          <w:sz w:val="22"/>
        </w:rPr>
        <w:t>(3), 483-497. doi:</w:t>
      </w:r>
      <w:r>
        <w:rPr>
          <w:rFonts w:ascii="Calibri"/>
          <w:spacing w:val="80"/>
          <w:sz w:val="22"/>
        </w:rPr>
        <w:t> </w:t>
      </w:r>
      <w:r>
        <w:rPr>
          <w:rFonts w:ascii="Calibri"/>
          <w:spacing w:val="-2"/>
          <w:sz w:val="22"/>
        </w:rPr>
        <w:t>10.2307/2613729</w:t>
      </w:r>
    </w:p>
    <w:p>
      <w:pPr>
        <w:spacing w:before="0"/>
        <w:ind w:left="1700" w:right="1907" w:hanging="721"/>
        <w:jc w:val="both"/>
        <w:rPr>
          <w:rFonts w:ascii="Calibri"/>
          <w:sz w:val="22"/>
        </w:rPr>
      </w:pPr>
      <w:bookmarkStart w:name="_bookmark187" w:id="188"/>
      <w:bookmarkEnd w:id="188"/>
      <w:r>
        <w:rPr/>
      </w:r>
      <w:r>
        <w:rPr>
          <w:rFonts w:ascii="Calibri"/>
          <w:sz w:val="22"/>
        </w:rPr>
        <w:t>Fossum, J. E. (2002). Constitution-making in the European Union. In E. O. Eriksen &amp; J. E. Fossum (Eds.), </w:t>
      </w:r>
      <w:r>
        <w:rPr>
          <w:rFonts w:ascii="Calibri"/>
          <w:i/>
          <w:sz w:val="22"/>
        </w:rPr>
        <w:t>Democracy in the European Union Integration through deliberation? </w:t>
      </w:r>
      <w:r>
        <w:rPr>
          <w:rFonts w:ascii="Calibri"/>
          <w:sz w:val="22"/>
        </w:rPr>
        <w:t>New York: Taylor &amp; Francis e-Library.</w:t>
      </w:r>
    </w:p>
    <w:p>
      <w:pPr>
        <w:spacing w:line="235" w:lineRule="auto" w:before="5"/>
        <w:ind w:left="979" w:right="1901" w:firstLine="0"/>
        <w:jc w:val="both"/>
        <w:rPr>
          <w:rFonts w:ascii="Calibri"/>
          <w:i/>
          <w:sz w:val="22"/>
        </w:rPr>
      </w:pPr>
      <w:bookmarkStart w:name="_bookmark189" w:id="189"/>
      <w:bookmarkEnd w:id="189"/>
      <w:r>
        <w:rPr/>
      </w:r>
      <w:r>
        <w:rPr>
          <w:rFonts w:ascii="Calibri"/>
          <w:sz w:val="22"/>
        </w:rPr>
        <w:t>Franklin,</w:t>
      </w:r>
      <w:r>
        <w:rPr>
          <w:rFonts w:ascii="Calibri"/>
          <w:spacing w:val="-3"/>
          <w:sz w:val="22"/>
        </w:rPr>
        <w:t> </w:t>
      </w:r>
      <w:r>
        <w:rPr>
          <w:rFonts w:ascii="Calibri"/>
          <w:sz w:val="22"/>
        </w:rPr>
        <w:t>M. N.,</w:t>
      </w:r>
      <w:r>
        <w:rPr>
          <w:rFonts w:ascii="Calibri"/>
          <w:spacing w:val="-3"/>
          <w:sz w:val="22"/>
        </w:rPr>
        <w:t> </w:t>
      </w:r>
      <w:r>
        <w:rPr>
          <w:rFonts w:ascii="Calibri"/>
          <w:sz w:val="22"/>
        </w:rPr>
        <w:t>&amp;</w:t>
      </w:r>
      <w:r>
        <w:rPr>
          <w:rFonts w:ascii="Calibri"/>
          <w:spacing w:val="-2"/>
          <w:sz w:val="22"/>
        </w:rPr>
        <w:t> </w:t>
      </w:r>
      <w:r>
        <w:rPr>
          <w:rFonts w:ascii="Calibri"/>
          <w:sz w:val="22"/>
        </w:rPr>
        <w:t>Wlezien,</w:t>
      </w:r>
      <w:r>
        <w:rPr>
          <w:rFonts w:ascii="Calibri"/>
          <w:spacing w:val="-3"/>
          <w:sz w:val="22"/>
        </w:rPr>
        <w:t> </w:t>
      </w:r>
      <w:r>
        <w:rPr>
          <w:rFonts w:ascii="Calibri"/>
          <w:sz w:val="22"/>
        </w:rPr>
        <w:t>C. (2013). Support</w:t>
      </w:r>
      <w:r>
        <w:rPr>
          <w:rFonts w:ascii="Calibri"/>
          <w:spacing w:val="-3"/>
          <w:sz w:val="22"/>
        </w:rPr>
        <w:t> </w:t>
      </w:r>
      <w:r>
        <w:rPr>
          <w:rFonts w:ascii="Calibri"/>
          <w:sz w:val="22"/>
        </w:rPr>
        <w:t>for Europe at</w:t>
      </w:r>
      <w:r>
        <w:rPr>
          <w:rFonts w:ascii="Calibri"/>
          <w:spacing w:val="-3"/>
          <w:sz w:val="22"/>
        </w:rPr>
        <w:t> </w:t>
      </w:r>
      <w:r>
        <w:rPr>
          <w:rFonts w:ascii="Calibri"/>
          <w:sz w:val="22"/>
        </w:rPr>
        <w:t>a Time of Crisis. </w:t>
      </w:r>
      <w:r>
        <w:rPr>
          <w:rFonts w:ascii="Calibri"/>
          <w:i/>
          <w:sz w:val="22"/>
        </w:rPr>
        <w:t>EUDO</w:t>
      </w:r>
      <w:r>
        <w:rPr>
          <w:rFonts w:ascii="Calibri"/>
          <w:i/>
          <w:spacing w:val="-1"/>
          <w:sz w:val="22"/>
        </w:rPr>
        <w:t> </w:t>
      </w:r>
      <w:r>
        <w:rPr>
          <w:rFonts w:ascii="Calibri"/>
          <w:i/>
          <w:sz w:val="22"/>
        </w:rPr>
        <w:t>Spotlight</w:t>
      </w:r>
      <w:r>
        <w:rPr>
          <w:rFonts w:ascii="Calibri"/>
          <w:sz w:val="22"/>
        </w:rPr>
        <w:t>. </w:t>
      </w:r>
      <w:bookmarkStart w:name="_bookmark188" w:id="190"/>
      <w:bookmarkEnd w:id="190"/>
      <w:r>
        <w:rPr>
          <w:rFonts w:ascii="Calibri"/>
          <w:sz w:val="22"/>
        </w:rPr>
        <w:t>F</w:t>
      </w:r>
      <w:r>
        <w:rPr>
          <w:rFonts w:ascii="Calibri"/>
          <w:sz w:val="22"/>
        </w:rPr>
        <w:t>riedman,</w:t>
      </w:r>
      <w:r>
        <w:rPr>
          <w:rFonts w:ascii="Calibri"/>
          <w:spacing w:val="37"/>
          <w:sz w:val="22"/>
        </w:rPr>
        <w:t> </w:t>
      </w:r>
      <w:r>
        <w:rPr>
          <w:rFonts w:ascii="Calibri"/>
          <w:sz w:val="22"/>
        </w:rPr>
        <w:t>B.</w:t>
      </w:r>
      <w:r>
        <w:rPr>
          <w:rFonts w:ascii="Calibri"/>
          <w:spacing w:val="36"/>
          <w:sz w:val="22"/>
        </w:rPr>
        <w:t> </w:t>
      </w:r>
      <w:r>
        <w:rPr>
          <w:rFonts w:ascii="Calibri"/>
          <w:sz w:val="22"/>
        </w:rPr>
        <w:t>D.,</w:t>
      </w:r>
      <w:r>
        <w:rPr>
          <w:rFonts w:ascii="Calibri"/>
          <w:spacing w:val="37"/>
          <w:sz w:val="22"/>
        </w:rPr>
        <w:t> </w:t>
      </w:r>
      <w:r>
        <w:rPr>
          <w:rFonts w:ascii="Calibri"/>
          <w:sz w:val="22"/>
        </w:rPr>
        <w:t>&amp;</w:t>
      </w:r>
      <w:r>
        <w:rPr>
          <w:rFonts w:ascii="Calibri"/>
          <w:spacing w:val="32"/>
          <w:sz w:val="22"/>
        </w:rPr>
        <w:t> </w:t>
      </w:r>
      <w:r>
        <w:rPr>
          <w:rFonts w:ascii="Calibri"/>
          <w:sz w:val="22"/>
        </w:rPr>
        <w:t>Allen,</w:t>
      </w:r>
      <w:r>
        <w:rPr>
          <w:rFonts w:ascii="Calibri"/>
          <w:spacing w:val="39"/>
          <w:sz w:val="22"/>
        </w:rPr>
        <w:t> </w:t>
      </w:r>
      <w:r>
        <w:rPr>
          <w:rFonts w:ascii="Calibri"/>
          <w:sz w:val="22"/>
        </w:rPr>
        <w:t>K.</w:t>
      </w:r>
      <w:r>
        <w:rPr>
          <w:rFonts w:ascii="Calibri"/>
          <w:spacing w:val="36"/>
          <w:sz w:val="22"/>
        </w:rPr>
        <w:t> </w:t>
      </w:r>
      <w:r>
        <w:rPr>
          <w:rFonts w:ascii="Calibri"/>
          <w:sz w:val="22"/>
        </w:rPr>
        <w:t>(2014).</w:t>
      </w:r>
      <w:r>
        <w:rPr>
          <w:rFonts w:ascii="Calibri"/>
          <w:spacing w:val="40"/>
          <w:sz w:val="22"/>
        </w:rPr>
        <w:t> </w:t>
      </w:r>
      <w:r>
        <w:rPr>
          <w:rFonts w:ascii="Calibri"/>
          <w:sz w:val="22"/>
        </w:rPr>
        <w:t>Systems</w:t>
      </w:r>
      <w:r>
        <w:rPr>
          <w:rFonts w:ascii="Calibri"/>
          <w:spacing w:val="39"/>
          <w:sz w:val="22"/>
        </w:rPr>
        <w:t> </w:t>
      </w:r>
      <w:r>
        <w:rPr>
          <w:rFonts w:ascii="Calibri"/>
          <w:sz w:val="22"/>
        </w:rPr>
        <w:t>Theory.</w:t>
      </w:r>
      <w:r>
        <w:rPr>
          <w:rFonts w:ascii="Calibri"/>
          <w:spacing w:val="40"/>
          <w:sz w:val="22"/>
        </w:rPr>
        <w:t> </w:t>
      </w:r>
      <w:r>
        <w:rPr>
          <w:rFonts w:ascii="Calibri"/>
          <w:sz w:val="22"/>
        </w:rPr>
        <w:t>In</w:t>
      </w:r>
      <w:r>
        <w:rPr>
          <w:rFonts w:ascii="Calibri"/>
          <w:spacing w:val="33"/>
          <w:sz w:val="22"/>
        </w:rPr>
        <w:t> </w:t>
      </w:r>
      <w:r>
        <w:rPr>
          <w:rFonts w:ascii="Calibri"/>
          <w:sz w:val="22"/>
        </w:rPr>
        <w:t>J.</w:t>
      </w:r>
      <w:r>
        <w:rPr>
          <w:rFonts w:ascii="Calibri"/>
          <w:spacing w:val="36"/>
          <w:sz w:val="22"/>
        </w:rPr>
        <w:t> </w:t>
      </w:r>
      <w:r>
        <w:rPr>
          <w:rFonts w:ascii="Calibri"/>
          <w:sz w:val="22"/>
        </w:rPr>
        <w:t>R.</w:t>
      </w:r>
      <w:r>
        <w:rPr>
          <w:rFonts w:ascii="Calibri"/>
          <w:spacing w:val="36"/>
          <w:sz w:val="22"/>
        </w:rPr>
        <w:t> </w:t>
      </w:r>
      <w:r>
        <w:rPr>
          <w:rFonts w:ascii="Calibri"/>
          <w:sz w:val="22"/>
        </w:rPr>
        <w:t>Brandell</w:t>
      </w:r>
      <w:r>
        <w:rPr>
          <w:rFonts w:ascii="Calibri"/>
          <w:spacing w:val="36"/>
          <w:sz w:val="22"/>
        </w:rPr>
        <w:t> </w:t>
      </w:r>
      <w:r>
        <w:rPr>
          <w:rFonts w:ascii="Calibri"/>
          <w:sz w:val="22"/>
        </w:rPr>
        <w:t>(Ed.),</w:t>
      </w:r>
      <w:r>
        <w:rPr>
          <w:rFonts w:ascii="Calibri"/>
          <w:spacing w:val="40"/>
          <w:sz w:val="22"/>
        </w:rPr>
        <w:t> </w:t>
      </w:r>
      <w:r>
        <w:rPr>
          <w:rFonts w:ascii="Calibri"/>
          <w:i/>
          <w:sz w:val="22"/>
        </w:rPr>
        <w:t>Essentials</w:t>
      </w:r>
      <w:r>
        <w:rPr>
          <w:rFonts w:ascii="Calibri"/>
          <w:i/>
          <w:spacing w:val="35"/>
          <w:sz w:val="22"/>
        </w:rPr>
        <w:t> </w:t>
      </w:r>
      <w:r>
        <w:rPr>
          <w:rFonts w:ascii="Calibri"/>
          <w:i/>
          <w:sz w:val="22"/>
        </w:rPr>
        <w:t>of</w:t>
      </w:r>
    </w:p>
    <w:p>
      <w:pPr>
        <w:spacing w:before="2"/>
        <w:ind w:left="1700" w:right="0" w:firstLine="0"/>
        <w:jc w:val="both"/>
        <w:rPr>
          <w:rFonts w:ascii="Calibri"/>
          <w:sz w:val="22"/>
        </w:rPr>
      </w:pPr>
      <w:r>
        <w:rPr>
          <w:rFonts w:ascii="Calibri"/>
          <w:i/>
          <w:sz w:val="22"/>
        </w:rPr>
        <w:t>Clinical</w:t>
      </w:r>
      <w:r>
        <w:rPr>
          <w:rFonts w:ascii="Calibri"/>
          <w:i/>
          <w:spacing w:val="-6"/>
          <w:sz w:val="22"/>
        </w:rPr>
        <w:t> </w:t>
      </w:r>
      <w:r>
        <w:rPr>
          <w:rFonts w:ascii="Calibri"/>
          <w:i/>
          <w:sz w:val="22"/>
        </w:rPr>
        <w:t>Social</w:t>
      </w:r>
      <w:r>
        <w:rPr>
          <w:rFonts w:ascii="Calibri"/>
          <w:i/>
          <w:spacing w:val="-4"/>
          <w:sz w:val="22"/>
        </w:rPr>
        <w:t> </w:t>
      </w:r>
      <w:r>
        <w:rPr>
          <w:rFonts w:ascii="Calibri"/>
          <w:i/>
          <w:sz w:val="22"/>
        </w:rPr>
        <w:t>Work</w:t>
      </w:r>
      <w:r>
        <w:rPr>
          <w:rFonts w:ascii="Calibri"/>
          <w:sz w:val="22"/>
        </w:rPr>
        <w:t>:</w:t>
      </w:r>
      <w:r>
        <w:rPr>
          <w:rFonts w:ascii="Calibri"/>
          <w:spacing w:val="-7"/>
          <w:sz w:val="22"/>
        </w:rPr>
        <w:t> </w:t>
      </w:r>
      <w:r>
        <w:rPr>
          <w:rFonts w:ascii="Calibri"/>
          <w:spacing w:val="-4"/>
          <w:sz w:val="22"/>
        </w:rPr>
        <w:t>Sage.</w:t>
      </w:r>
    </w:p>
    <w:p>
      <w:pPr>
        <w:spacing w:before="1"/>
        <w:ind w:left="1700" w:right="1907" w:hanging="721"/>
        <w:jc w:val="both"/>
        <w:rPr>
          <w:rFonts w:ascii="Calibri"/>
          <w:sz w:val="22"/>
        </w:rPr>
      </w:pPr>
      <w:bookmarkStart w:name="_bookmark190" w:id="191"/>
      <w:bookmarkEnd w:id="191"/>
      <w:r>
        <w:rPr/>
      </w:r>
      <w:r>
        <w:rPr>
          <w:rFonts w:ascii="Calibri"/>
          <w:sz w:val="22"/>
        </w:rPr>
        <w:t>Fursdon, E. (1980). </w:t>
      </w:r>
      <w:r>
        <w:rPr>
          <w:rFonts w:ascii="Calibri"/>
          <w:i/>
          <w:sz w:val="22"/>
        </w:rPr>
        <w:t>The European Defence Community, a history</w:t>
      </w:r>
      <w:r>
        <w:rPr>
          <w:rFonts w:ascii="Calibri"/>
          <w:sz w:val="22"/>
        </w:rPr>
        <w:t>. New York: St. Martin's </w:t>
      </w:r>
      <w:r>
        <w:rPr>
          <w:rFonts w:ascii="Calibri"/>
          <w:spacing w:val="-2"/>
          <w:sz w:val="22"/>
        </w:rPr>
        <w:t>Press.</w:t>
      </w:r>
    </w:p>
    <w:p>
      <w:pPr>
        <w:spacing w:before="1"/>
        <w:ind w:left="1700" w:right="1903" w:hanging="721"/>
        <w:jc w:val="both"/>
        <w:rPr>
          <w:rFonts w:ascii="Calibri"/>
          <w:sz w:val="22"/>
        </w:rPr>
      </w:pPr>
      <w:bookmarkStart w:name="_bookmark191" w:id="192"/>
      <w:bookmarkEnd w:id="192"/>
      <w:r>
        <w:rPr/>
      </w:r>
      <w:r>
        <w:rPr>
          <w:rFonts w:ascii="Calibri"/>
          <w:sz w:val="22"/>
        </w:rPr>
        <w:t>Garrett, G. (1995). The politics of legal integration in the European Union. </w:t>
      </w:r>
      <w:r>
        <w:rPr>
          <w:rFonts w:ascii="Calibri"/>
          <w:i/>
          <w:sz w:val="22"/>
        </w:rPr>
        <w:t>International Organization, 49</w:t>
      </w:r>
      <w:r>
        <w:rPr>
          <w:rFonts w:ascii="Calibri"/>
          <w:sz w:val="22"/>
        </w:rPr>
        <w:t>(01), 171-181. doi: doi:10.1017/S0020818300001612</w:t>
      </w:r>
    </w:p>
    <w:p>
      <w:pPr>
        <w:spacing w:before="0"/>
        <w:ind w:left="1700" w:right="1905" w:hanging="721"/>
        <w:jc w:val="both"/>
        <w:rPr>
          <w:rFonts w:ascii="Calibri"/>
          <w:sz w:val="22"/>
        </w:rPr>
      </w:pPr>
      <w:bookmarkStart w:name="_bookmark192" w:id="193"/>
      <w:bookmarkEnd w:id="193"/>
      <w:r>
        <w:rPr/>
      </w:r>
      <w:r>
        <w:rPr>
          <w:rFonts w:ascii="Calibri"/>
          <w:sz w:val="22"/>
        </w:rPr>
        <w:t>Garrett, G., &amp; Weingast, B. R. (1993). Ideas, Interests, and Institutions: Constructing the European Community's Internal Market. In G. Judith &amp; R. O. Keohane (Eds.), </w:t>
      </w:r>
      <w:r>
        <w:rPr>
          <w:rFonts w:ascii="Calibri"/>
          <w:i/>
          <w:sz w:val="22"/>
        </w:rPr>
        <w:t>Ideas and Foreign Policy</w:t>
      </w:r>
      <w:r>
        <w:rPr>
          <w:rFonts w:ascii="Calibri"/>
          <w:sz w:val="22"/>
        </w:rPr>
        <w:t>. Cornell: Ithaca.</w:t>
      </w:r>
    </w:p>
    <w:p>
      <w:pPr>
        <w:spacing w:before="1"/>
        <w:ind w:left="1700" w:right="1904" w:hanging="721"/>
        <w:jc w:val="both"/>
        <w:rPr>
          <w:rFonts w:ascii="Calibri"/>
          <w:sz w:val="22"/>
        </w:rPr>
      </w:pPr>
      <w:bookmarkStart w:name="_bookmark193" w:id="194"/>
      <w:bookmarkEnd w:id="194"/>
      <w:r>
        <w:rPr/>
      </w:r>
      <w:r>
        <w:rPr>
          <w:rFonts w:ascii="Calibri"/>
          <w:sz w:val="22"/>
        </w:rPr>
        <w:t>Gehring, T. (1996). Integrating integration theory: neo-functionalism and international regimes </w:t>
      </w:r>
      <w:r>
        <w:rPr>
          <w:rFonts w:ascii="Calibri"/>
          <w:i/>
          <w:sz w:val="22"/>
        </w:rPr>
        <w:t>Global Society, 10</w:t>
      </w:r>
      <w:r>
        <w:rPr>
          <w:rFonts w:ascii="Calibri"/>
          <w:sz w:val="22"/>
        </w:rPr>
        <w:t>(3).</w:t>
      </w:r>
    </w:p>
    <w:p>
      <w:pPr>
        <w:spacing w:before="1"/>
        <w:ind w:left="1700" w:right="1909" w:hanging="721"/>
        <w:jc w:val="both"/>
        <w:rPr>
          <w:rFonts w:ascii="Calibri"/>
          <w:sz w:val="22"/>
        </w:rPr>
      </w:pPr>
      <w:bookmarkStart w:name="_bookmark194" w:id="195"/>
      <w:bookmarkEnd w:id="195"/>
      <w:r>
        <w:rPr/>
      </w:r>
      <w:r>
        <w:rPr>
          <w:rFonts w:ascii="Calibri"/>
          <w:sz w:val="22"/>
        </w:rPr>
        <w:t>Gharajedaghi, J. (2011). </w:t>
      </w:r>
      <w:r>
        <w:rPr>
          <w:rFonts w:ascii="Calibri"/>
          <w:i/>
          <w:sz w:val="22"/>
        </w:rPr>
        <w:t>Systems thinking : managing chaos and complexity : a platform for designing business architecture </w:t>
      </w:r>
      <w:r>
        <w:rPr>
          <w:rFonts w:ascii="Calibri"/>
          <w:sz w:val="22"/>
        </w:rPr>
        <w:t>(3rd ed.). Burlington, MA: Morgan Kaufmann.</w:t>
      </w:r>
    </w:p>
    <w:p>
      <w:pPr>
        <w:spacing w:before="0"/>
        <w:ind w:left="979" w:right="0" w:firstLine="0"/>
        <w:jc w:val="both"/>
        <w:rPr>
          <w:rFonts w:ascii="Calibri"/>
          <w:sz w:val="22"/>
        </w:rPr>
      </w:pPr>
      <w:bookmarkStart w:name="_bookmark195" w:id="196"/>
      <w:bookmarkEnd w:id="196"/>
      <w:r>
        <w:rPr/>
      </w:r>
      <w:r>
        <w:rPr>
          <w:rFonts w:ascii="Calibri"/>
          <w:sz w:val="22"/>
        </w:rPr>
        <w:t>Glanville,</w:t>
      </w:r>
      <w:r>
        <w:rPr>
          <w:rFonts w:ascii="Calibri"/>
          <w:spacing w:val="-10"/>
          <w:sz w:val="22"/>
        </w:rPr>
        <w:t> </w:t>
      </w:r>
      <w:r>
        <w:rPr>
          <w:rFonts w:ascii="Calibri"/>
          <w:sz w:val="22"/>
        </w:rPr>
        <w:t>R.</w:t>
      </w:r>
      <w:r>
        <w:rPr>
          <w:rFonts w:ascii="Calibri"/>
          <w:spacing w:val="-4"/>
          <w:sz w:val="22"/>
        </w:rPr>
        <w:t> </w:t>
      </w:r>
      <w:r>
        <w:rPr>
          <w:rFonts w:ascii="Calibri"/>
          <w:sz w:val="22"/>
        </w:rPr>
        <w:t>(2009).</w:t>
      </w:r>
      <w:r>
        <w:rPr>
          <w:rFonts w:ascii="Calibri"/>
          <w:spacing w:val="-3"/>
          <w:sz w:val="22"/>
        </w:rPr>
        <w:t> </w:t>
      </w:r>
      <w:r>
        <w:rPr>
          <w:rFonts w:ascii="Calibri"/>
          <w:sz w:val="22"/>
        </w:rPr>
        <w:t>Black</w:t>
      </w:r>
      <w:r>
        <w:rPr>
          <w:rFonts w:ascii="Calibri"/>
          <w:spacing w:val="-5"/>
          <w:sz w:val="22"/>
        </w:rPr>
        <w:t> </w:t>
      </w:r>
      <w:r>
        <w:rPr>
          <w:rFonts w:ascii="Calibri"/>
          <w:sz w:val="22"/>
        </w:rPr>
        <w:t>Boxes.</w:t>
      </w:r>
      <w:r>
        <w:rPr>
          <w:rFonts w:ascii="Calibri"/>
          <w:spacing w:val="-1"/>
          <w:sz w:val="22"/>
        </w:rPr>
        <w:t> </w:t>
      </w:r>
      <w:r>
        <w:rPr>
          <w:rFonts w:ascii="Calibri"/>
          <w:i/>
          <w:sz w:val="22"/>
        </w:rPr>
        <w:t>Cybernetics</w:t>
      </w:r>
      <w:r>
        <w:rPr>
          <w:rFonts w:ascii="Calibri"/>
          <w:i/>
          <w:spacing w:val="-5"/>
          <w:sz w:val="22"/>
        </w:rPr>
        <w:t> </w:t>
      </w:r>
      <w:r>
        <w:rPr>
          <w:rFonts w:ascii="Calibri"/>
          <w:i/>
          <w:sz w:val="22"/>
        </w:rPr>
        <w:t>&amp;</w:t>
      </w:r>
      <w:r>
        <w:rPr>
          <w:rFonts w:ascii="Calibri"/>
          <w:i/>
          <w:spacing w:val="-7"/>
          <w:sz w:val="22"/>
        </w:rPr>
        <w:t> </w:t>
      </w:r>
      <w:r>
        <w:rPr>
          <w:rFonts w:ascii="Calibri"/>
          <w:i/>
          <w:sz w:val="22"/>
        </w:rPr>
        <w:t>Human</w:t>
      </w:r>
      <w:r>
        <w:rPr>
          <w:rFonts w:ascii="Calibri"/>
          <w:i/>
          <w:spacing w:val="-8"/>
          <w:sz w:val="22"/>
        </w:rPr>
        <w:t> </w:t>
      </w:r>
      <w:r>
        <w:rPr>
          <w:rFonts w:ascii="Calibri"/>
          <w:i/>
          <w:sz w:val="22"/>
        </w:rPr>
        <w:t>Knowing,</w:t>
      </w:r>
      <w:r>
        <w:rPr>
          <w:rFonts w:ascii="Calibri"/>
          <w:i/>
          <w:spacing w:val="-8"/>
          <w:sz w:val="22"/>
        </w:rPr>
        <w:t> </w:t>
      </w:r>
      <w:r>
        <w:rPr>
          <w:rFonts w:ascii="Calibri"/>
          <w:i/>
          <w:sz w:val="22"/>
        </w:rPr>
        <w:t>16</w:t>
      </w:r>
      <w:r>
        <w:rPr>
          <w:rFonts w:ascii="Calibri"/>
          <w:i/>
          <w:spacing w:val="-3"/>
          <w:sz w:val="22"/>
        </w:rPr>
        <w:t> </w:t>
      </w:r>
      <w:r>
        <w:rPr>
          <w:rFonts w:ascii="Calibri"/>
          <w:sz w:val="22"/>
        </w:rPr>
        <w:t>(1-2),</w:t>
      </w:r>
      <w:r>
        <w:rPr>
          <w:rFonts w:ascii="Calibri"/>
          <w:spacing w:val="-8"/>
          <w:sz w:val="22"/>
        </w:rPr>
        <w:t> </w:t>
      </w:r>
      <w:r>
        <w:rPr>
          <w:rFonts w:ascii="Calibri"/>
          <w:sz w:val="22"/>
        </w:rPr>
        <w:t>153-</w:t>
      </w:r>
      <w:r>
        <w:rPr>
          <w:rFonts w:ascii="Calibri"/>
          <w:spacing w:val="-5"/>
          <w:sz w:val="22"/>
        </w:rPr>
        <w:t>167</w:t>
      </w:r>
    </w:p>
    <w:p>
      <w:pPr>
        <w:spacing w:before="1"/>
        <w:ind w:left="1700" w:right="1909" w:hanging="721"/>
        <w:jc w:val="both"/>
        <w:rPr>
          <w:rFonts w:ascii="Calibri"/>
          <w:sz w:val="22"/>
        </w:rPr>
      </w:pPr>
      <w:bookmarkStart w:name="_bookmark196" w:id="197"/>
      <w:bookmarkEnd w:id="197"/>
      <w:r>
        <w:rPr/>
      </w:r>
      <w:r>
        <w:rPr>
          <w:rFonts w:ascii="Calibri"/>
          <w:sz w:val="22"/>
        </w:rPr>
        <w:t>Glykas, M. (2010). </w:t>
      </w:r>
      <w:r>
        <w:rPr>
          <w:rFonts w:ascii="Calibri"/>
          <w:i/>
          <w:sz w:val="22"/>
        </w:rPr>
        <w:t>Fuzzy cognitive maps : advances in theory, methodologies, tools and applications</w:t>
      </w:r>
      <w:r>
        <w:rPr>
          <w:rFonts w:ascii="Calibri"/>
          <w:sz w:val="22"/>
        </w:rPr>
        <w:t>. Berlin ; New York: Springer.</w:t>
      </w:r>
    </w:p>
    <w:p>
      <w:pPr>
        <w:spacing w:before="1"/>
        <w:ind w:left="1700" w:right="1911" w:hanging="721"/>
        <w:jc w:val="both"/>
        <w:rPr>
          <w:rFonts w:ascii="Calibri"/>
          <w:sz w:val="22"/>
        </w:rPr>
      </w:pPr>
      <w:bookmarkStart w:name="_bookmark197" w:id="198"/>
      <w:bookmarkEnd w:id="198"/>
      <w:r>
        <w:rPr/>
      </w:r>
      <w:r>
        <w:rPr>
          <w:rFonts w:ascii="Calibri"/>
          <w:sz w:val="22"/>
        </w:rPr>
        <w:t>Gnesotto, N. (2010). The EU and NATO: Beyond Appearances. In A. d. Vasconcelos (Ed.), </w:t>
      </w:r>
      <w:r>
        <w:rPr>
          <w:rFonts w:ascii="Calibri"/>
          <w:i/>
          <w:sz w:val="22"/>
        </w:rPr>
        <w:t>What do Europeans Want From NATO? </w:t>
      </w:r>
      <w:r>
        <w:rPr>
          <w:rFonts w:ascii="Calibri"/>
          <w:sz w:val="22"/>
        </w:rPr>
        <w:t>(Vol. 8). Lisbon: Institute for Security</w:t>
      </w:r>
      <w:r>
        <w:rPr>
          <w:rFonts w:ascii="Calibri"/>
          <w:spacing w:val="80"/>
          <w:sz w:val="22"/>
        </w:rPr>
        <w:t> </w:t>
      </w:r>
      <w:r>
        <w:rPr>
          <w:rFonts w:ascii="Calibri"/>
          <w:spacing w:val="-2"/>
          <w:sz w:val="22"/>
        </w:rPr>
        <w:t>Studies.</w:t>
      </w:r>
    </w:p>
    <w:p>
      <w:pPr>
        <w:spacing w:line="235" w:lineRule="auto" w:before="5"/>
        <w:ind w:left="1700" w:right="1910" w:hanging="721"/>
        <w:jc w:val="both"/>
        <w:rPr>
          <w:rFonts w:ascii="Calibri"/>
          <w:sz w:val="22"/>
        </w:rPr>
      </w:pPr>
      <w:bookmarkStart w:name="_bookmark198" w:id="199"/>
      <w:bookmarkEnd w:id="199"/>
      <w:r>
        <w:rPr/>
      </w:r>
      <w:r>
        <w:rPr>
          <w:rFonts w:ascii="Calibri"/>
          <w:sz w:val="22"/>
        </w:rPr>
        <w:t>Goodway, D. (1989). </w:t>
      </w:r>
      <w:r>
        <w:rPr>
          <w:rFonts w:ascii="Calibri"/>
          <w:i/>
          <w:sz w:val="22"/>
        </w:rPr>
        <w:t>For anarchism : history, theory, and practice</w:t>
      </w:r>
      <w:r>
        <w:rPr>
          <w:rFonts w:ascii="Calibri"/>
          <w:sz w:val="22"/>
        </w:rPr>
        <w:t>. London ; New York: </w:t>
      </w:r>
      <w:r>
        <w:rPr>
          <w:rFonts w:ascii="Calibri"/>
          <w:spacing w:val="-2"/>
          <w:sz w:val="22"/>
        </w:rPr>
        <w:t>Routledge.</w:t>
      </w:r>
    </w:p>
    <w:p>
      <w:pPr>
        <w:spacing w:before="2"/>
        <w:ind w:left="1700" w:right="1905" w:hanging="721"/>
        <w:jc w:val="both"/>
        <w:rPr>
          <w:rFonts w:ascii="Calibri"/>
          <w:sz w:val="22"/>
        </w:rPr>
      </w:pPr>
      <w:bookmarkStart w:name="_bookmark199" w:id="200"/>
      <w:bookmarkEnd w:id="200"/>
      <w:r>
        <w:rPr/>
      </w:r>
      <w:r>
        <w:rPr>
          <w:rFonts w:ascii="Calibri"/>
          <w:sz w:val="22"/>
        </w:rPr>
        <w:t>Gossett, L. M. (2012). Organizational Control Theory. </w:t>
      </w:r>
      <w:r>
        <w:rPr>
          <w:rFonts w:ascii="Calibri"/>
          <w:i/>
          <w:sz w:val="22"/>
        </w:rPr>
        <w:t>Encyclopedia of Communication</w:t>
      </w:r>
      <w:r>
        <w:rPr>
          <w:rFonts w:ascii="Calibri"/>
          <w:i/>
          <w:spacing w:val="40"/>
          <w:sz w:val="22"/>
        </w:rPr>
        <w:t> </w:t>
      </w:r>
      <w:r>
        <w:rPr>
          <w:rFonts w:ascii="Calibri"/>
          <w:i/>
          <w:spacing w:val="-2"/>
          <w:sz w:val="22"/>
        </w:rPr>
        <w:t>Theory</w:t>
      </w:r>
      <w:r>
        <w:rPr>
          <w:rFonts w:ascii="Calibri"/>
          <w:spacing w:val="-2"/>
          <w:sz w:val="22"/>
        </w:rPr>
        <w:t>.</w:t>
      </w:r>
    </w:p>
    <w:p>
      <w:pPr>
        <w:spacing w:after="0"/>
        <w:jc w:val="both"/>
        <w:rPr>
          <w:rFonts w:asci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1700" w:right="1907" w:hanging="721"/>
        <w:jc w:val="both"/>
        <w:rPr>
          <w:rFonts w:ascii="Calibri"/>
          <w:sz w:val="22"/>
        </w:rPr>
      </w:pPr>
      <w:bookmarkStart w:name="_bookmark200" w:id="201"/>
      <w:bookmarkEnd w:id="201"/>
      <w:r>
        <w:rPr/>
      </w:r>
      <w:r>
        <w:rPr>
          <w:rFonts w:ascii="Calibri"/>
          <w:sz w:val="22"/>
        </w:rPr>
        <w:t>Grabbe, H. (2002). European Union Conditionality and the "Acquis Communautaire". </w:t>
      </w:r>
      <w:r>
        <w:rPr>
          <w:rFonts w:ascii="Calibri"/>
          <w:i/>
          <w:sz w:val="22"/>
        </w:rPr>
        <w:t>International Political Science Review / Revue internationale de science politique, 23</w:t>
      </w:r>
      <w:r>
        <w:rPr>
          <w:rFonts w:ascii="Calibri"/>
          <w:sz w:val="22"/>
        </w:rPr>
        <w:t>(3), 249-268.</w:t>
      </w:r>
    </w:p>
    <w:p>
      <w:pPr>
        <w:spacing w:before="2"/>
        <w:ind w:left="979" w:right="0" w:firstLine="0"/>
        <w:jc w:val="both"/>
        <w:rPr>
          <w:rFonts w:ascii="Calibri"/>
          <w:i/>
          <w:sz w:val="22"/>
        </w:rPr>
      </w:pPr>
      <w:bookmarkStart w:name="_bookmark201" w:id="202"/>
      <w:bookmarkEnd w:id="202"/>
      <w:r>
        <w:rPr/>
      </w:r>
      <w:r>
        <w:rPr>
          <w:rFonts w:ascii="Calibri"/>
          <w:sz w:val="22"/>
        </w:rPr>
        <w:t>Haas,</w:t>
      </w:r>
      <w:r>
        <w:rPr>
          <w:rFonts w:ascii="Calibri"/>
          <w:spacing w:val="11"/>
          <w:sz w:val="22"/>
        </w:rPr>
        <w:t> </w:t>
      </w:r>
      <w:r>
        <w:rPr>
          <w:rFonts w:ascii="Calibri"/>
          <w:sz w:val="22"/>
        </w:rPr>
        <w:t>E.</w:t>
      </w:r>
      <w:r>
        <w:rPr>
          <w:rFonts w:ascii="Calibri"/>
          <w:spacing w:val="15"/>
          <w:sz w:val="22"/>
        </w:rPr>
        <w:t> </w:t>
      </w:r>
      <w:r>
        <w:rPr>
          <w:rFonts w:ascii="Calibri"/>
          <w:sz w:val="22"/>
        </w:rPr>
        <w:t>B.</w:t>
      </w:r>
      <w:r>
        <w:rPr>
          <w:rFonts w:ascii="Calibri"/>
          <w:spacing w:val="16"/>
          <w:sz w:val="22"/>
        </w:rPr>
        <w:t> </w:t>
      </w:r>
      <w:r>
        <w:rPr>
          <w:rFonts w:ascii="Calibri"/>
          <w:sz w:val="22"/>
        </w:rPr>
        <w:t>(1967).</w:t>
      </w:r>
      <w:r>
        <w:rPr>
          <w:rFonts w:ascii="Calibri"/>
          <w:spacing w:val="16"/>
          <w:sz w:val="22"/>
        </w:rPr>
        <w:t> </w:t>
      </w:r>
      <w:r>
        <w:rPr>
          <w:rFonts w:ascii="Calibri"/>
          <w:sz w:val="22"/>
        </w:rPr>
        <w:t>THE</w:t>
      </w:r>
      <w:r>
        <w:rPr>
          <w:rFonts w:ascii="Calibri"/>
          <w:spacing w:val="11"/>
          <w:sz w:val="22"/>
        </w:rPr>
        <w:t> </w:t>
      </w:r>
      <w:r>
        <w:rPr>
          <w:rFonts w:ascii="Calibri"/>
          <w:sz w:val="22"/>
        </w:rPr>
        <w:t>UNITING</w:t>
      </w:r>
      <w:r>
        <w:rPr>
          <w:rFonts w:ascii="Calibri"/>
          <w:spacing w:val="15"/>
          <w:sz w:val="22"/>
        </w:rPr>
        <w:t> </w:t>
      </w:r>
      <w:r>
        <w:rPr>
          <w:rFonts w:ascii="Calibri"/>
          <w:sz w:val="22"/>
        </w:rPr>
        <w:t>OF</w:t>
      </w:r>
      <w:r>
        <w:rPr>
          <w:rFonts w:ascii="Calibri"/>
          <w:spacing w:val="13"/>
          <w:sz w:val="22"/>
        </w:rPr>
        <w:t> </w:t>
      </w:r>
      <w:r>
        <w:rPr>
          <w:rFonts w:ascii="Calibri"/>
          <w:sz w:val="22"/>
        </w:rPr>
        <w:t>EUROPE</w:t>
      </w:r>
      <w:r>
        <w:rPr>
          <w:rFonts w:ascii="Calibri"/>
          <w:spacing w:val="12"/>
          <w:sz w:val="22"/>
        </w:rPr>
        <w:t> </w:t>
      </w:r>
      <w:r>
        <w:rPr>
          <w:rFonts w:ascii="Calibri"/>
          <w:sz w:val="22"/>
        </w:rPr>
        <w:t>AND</w:t>
      </w:r>
      <w:r>
        <w:rPr>
          <w:rFonts w:ascii="Calibri"/>
          <w:spacing w:val="12"/>
          <w:sz w:val="22"/>
        </w:rPr>
        <w:t> </w:t>
      </w:r>
      <w:r>
        <w:rPr>
          <w:rFonts w:ascii="Calibri"/>
          <w:sz w:val="22"/>
        </w:rPr>
        <w:t>THE</w:t>
      </w:r>
      <w:r>
        <w:rPr>
          <w:rFonts w:ascii="Calibri"/>
          <w:spacing w:val="12"/>
          <w:sz w:val="22"/>
        </w:rPr>
        <w:t> </w:t>
      </w:r>
      <w:r>
        <w:rPr>
          <w:rFonts w:ascii="Calibri"/>
          <w:sz w:val="22"/>
        </w:rPr>
        <w:t>UNITING</w:t>
      </w:r>
      <w:r>
        <w:rPr>
          <w:rFonts w:ascii="Calibri"/>
          <w:spacing w:val="14"/>
          <w:sz w:val="22"/>
        </w:rPr>
        <w:t> </w:t>
      </w:r>
      <w:r>
        <w:rPr>
          <w:rFonts w:ascii="Calibri"/>
          <w:sz w:val="22"/>
        </w:rPr>
        <w:t>OF</w:t>
      </w:r>
      <w:r>
        <w:rPr>
          <w:rFonts w:ascii="Calibri"/>
          <w:spacing w:val="13"/>
          <w:sz w:val="22"/>
        </w:rPr>
        <w:t> </w:t>
      </w:r>
      <w:r>
        <w:rPr>
          <w:rFonts w:ascii="Calibri"/>
          <w:sz w:val="22"/>
        </w:rPr>
        <w:t>LATIN</w:t>
      </w:r>
      <w:r>
        <w:rPr>
          <w:rFonts w:ascii="Calibri"/>
          <w:spacing w:val="16"/>
          <w:sz w:val="22"/>
        </w:rPr>
        <w:t> </w:t>
      </w:r>
      <w:r>
        <w:rPr>
          <w:rFonts w:ascii="Calibri"/>
          <w:sz w:val="22"/>
        </w:rPr>
        <w:t>AMERICA.</w:t>
      </w:r>
      <w:r>
        <w:rPr>
          <w:rFonts w:ascii="Calibri"/>
          <w:spacing w:val="27"/>
          <w:sz w:val="22"/>
        </w:rPr>
        <w:t> </w:t>
      </w:r>
      <w:r>
        <w:rPr>
          <w:rFonts w:ascii="Calibri"/>
          <w:i/>
          <w:spacing w:val="-2"/>
          <w:sz w:val="22"/>
        </w:rPr>
        <w:t>JCMS:</w:t>
      </w:r>
    </w:p>
    <w:p>
      <w:pPr>
        <w:spacing w:line="235" w:lineRule="auto" w:before="4"/>
        <w:ind w:left="1700" w:right="1909" w:firstLine="0"/>
        <w:jc w:val="both"/>
        <w:rPr>
          <w:rFonts w:ascii="Calibri"/>
          <w:sz w:val="22"/>
        </w:rPr>
      </w:pPr>
      <w:r>
        <w:rPr>
          <w:rFonts w:ascii="Calibri"/>
          <w:i/>
          <w:sz w:val="22"/>
        </w:rPr>
        <w:t>Journal of Common Market Studies, 5</w:t>
      </w:r>
      <w:r>
        <w:rPr>
          <w:rFonts w:ascii="Calibri"/>
          <w:sz w:val="22"/>
        </w:rPr>
        <w:t>(4), 315-343. doi: 10.1111/j.1468- </w:t>
      </w:r>
      <w:r>
        <w:rPr>
          <w:rFonts w:ascii="Calibri"/>
          <w:spacing w:val="-2"/>
          <w:sz w:val="22"/>
        </w:rPr>
        <w:t>5965.1967.tb01153.x</w:t>
      </w:r>
    </w:p>
    <w:p>
      <w:pPr>
        <w:spacing w:before="2"/>
        <w:ind w:left="979" w:right="0" w:firstLine="0"/>
        <w:jc w:val="both"/>
        <w:rPr>
          <w:rFonts w:ascii="Calibri"/>
          <w:sz w:val="22"/>
        </w:rPr>
      </w:pPr>
      <w:bookmarkStart w:name="_bookmark202" w:id="203"/>
      <w:bookmarkEnd w:id="203"/>
      <w:r>
        <w:rPr/>
      </w:r>
      <w:r>
        <w:rPr>
          <w:rFonts w:ascii="Calibri"/>
          <w:sz w:val="22"/>
        </w:rPr>
        <w:t>Haas,</w:t>
      </w:r>
      <w:r>
        <w:rPr>
          <w:rFonts w:ascii="Calibri"/>
          <w:spacing w:val="24"/>
          <w:sz w:val="22"/>
        </w:rPr>
        <w:t> </w:t>
      </w:r>
      <w:r>
        <w:rPr>
          <w:rFonts w:ascii="Calibri"/>
          <w:sz w:val="22"/>
        </w:rPr>
        <w:t>E.</w:t>
      </w:r>
      <w:r>
        <w:rPr>
          <w:rFonts w:ascii="Calibri"/>
          <w:spacing w:val="28"/>
          <w:sz w:val="22"/>
        </w:rPr>
        <w:t> </w:t>
      </w:r>
      <w:r>
        <w:rPr>
          <w:rFonts w:ascii="Calibri"/>
          <w:sz w:val="22"/>
        </w:rPr>
        <w:t>B.</w:t>
      </w:r>
      <w:r>
        <w:rPr>
          <w:rFonts w:ascii="Calibri"/>
          <w:spacing w:val="29"/>
          <w:sz w:val="22"/>
        </w:rPr>
        <w:t> </w:t>
      </w:r>
      <w:r>
        <w:rPr>
          <w:rFonts w:ascii="Calibri"/>
          <w:sz w:val="22"/>
        </w:rPr>
        <w:t>(1968).</w:t>
      </w:r>
      <w:r>
        <w:rPr>
          <w:rFonts w:ascii="Calibri"/>
          <w:spacing w:val="31"/>
          <w:sz w:val="22"/>
        </w:rPr>
        <w:t> </w:t>
      </w:r>
      <w:r>
        <w:rPr>
          <w:rFonts w:ascii="Calibri"/>
          <w:i/>
          <w:sz w:val="22"/>
        </w:rPr>
        <w:t>The</w:t>
      </w:r>
      <w:r>
        <w:rPr>
          <w:rFonts w:ascii="Calibri"/>
          <w:i/>
          <w:spacing w:val="22"/>
          <w:sz w:val="22"/>
        </w:rPr>
        <w:t> </w:t>
      </w:r>
      <w:r>
        <w:rPr>
          <w:rFonts w:ascii="Calibri"/>
          <w:i/>
          <w:sz w:val="22"/>
        </w:rPr>
        <w:t>Uniting</w:t>
      </w:r>
      <w:r>
        <w:rPr>
          <w:rFonts w:ascii="Calibri"/>
          <w:i/>
          <w:spacing w:val="24"/>
          <w:sz w:val="22"/>
        </w:rPr>
        <w:t> </w:t>
      </w:r>
      <w:r>
        <w:rPr>
          <w:rFonts w:ascii="Calibri"/>
          <w:i/>
          <w:sz w:val="22"/>
        </w:rPr>
        <w:t>of</w:t>
      </w:r>
      <w:r>
        <w:rPr>
          <w:rFonts w:ascii="Calibri"/>
          <w:i/>
          <w:spacing w:val="26"/>
          <w:sz w:val="22"/>
        </w:rPr>
        <w:t> </w:t>
      </w:r>
      <w:r>
        <w:rPr>
          <w:rFonts w:ascii="Calibri"/>
          <w:i/>
          <w:sz w:val="22"/>
        </w:rPr>
        <w:t>Europe:</w:t>
      </w:r>
      <w:r>
        <w:rPr>
          <w:rFonts w:ascii="Calibri"/>
          <w:i/>
          <w:spacing w:val="21"/>
          <w:sz w:val="22"/>
        </w:rPr>
        <w:t> </w:t>
      </w:r>
      <w:r>
        <w:rPr>
          <w:rFonts w:ascii="Calibri"/>
          <w:i/>
          <w:sz w:val="22"/>
        </w:rPr>
        <w:t>political,</w:t>
      </w:r>
      <w:r>
        <w:rPr>
          <w:rFonts w:ascii="Calibri"/>
          <w:i/>
          <w:spacing w:val="25"/>
          <w:sz w:val="22"/>
        </w:rPr>
        <w:t> </w:t>
      </w:r>
      <w:r>
        <w:rPr>
          <w:rFonts w:ascii="Calibri"/>
          <w:i/>
          <w:sz w:val="22"/>
        </w:rPr>
        <w:t>Social</w:t>
      </w:r>
      <w:r>
        <w:rPr>
          <w:rFonts w:ascii="Calibri"/>
          <w:i/>
          <w:spacing w:val="28"/>
          <w:sz w:val="22"/>
        </w:rPr>
        <w:t> </w:t>
      </w:r>
      <w:r>
        <w:rPr>
          <w:rFonts w:ascii="Calibri"/>
          <w:i/>
          <w:sz w:val="22"/>
        </w:rPr>
        <w:t>and</w:t>
      </w:r>
      <w:r>
        <w:rPr>
          <w:rFonts w:ascii="Calibri"/>
          <w:i/>
          <w:spacing w:val="28"/>
          <w:sz w:val="22"/>
        </w:rPr>
        <w:t> </w:t>
      </w:r>
      <w:r>
        <w:rPr>
          <w:rFonts w:ascii="Calibri"/>
          <w:i/>
          <w:sz w:val="22"/>
        </w:rPr>
        <w:t>Economic</w:t>
      </w:r>
      <w:r>
        <w:rPr>
          <w:rFonts w:ascii="Calibri"/>
          <w:i/>
          <w:spacing w:val="27"/>
          <w:sz w:val="22"/>
        </w:rPr>
        <w:t> </w:t>
      </w:r>
      <w:r>
        <w:rPr>
          <w:rFonts w:ascii="Calibri"/>
          <w:i/>
          <w:sz w:val="22"/>
        </w:rPr>
        <w:t>Forces,</w:t>
      </w:r>
      <w:r>
        <w:rPr>
          <w:rFonts w:ascii="Calibri"/>
          <w:i/>
          <w:spacing w:val="24"/>
          <w:sz w:val="22"/>
        </w:rPr>
        <w:t> </w:t>
      </w:r>
      <w:r>
        <w:rPr>
          <w:rFonts w:ascii="Calibri"/>
          <w:i/>
          <w:sz w:val="22"/>
        </w:rPr>
        <w:t>2nd</w:t>
      </w:r>
      <w:r>
        <w:rPr>
          <w:rFonts w:ascii="Calibri"/>
          <w:i/>
          <w:spacing w:val="29"/>
          <w:sz w:val="22"/>
        </w:rPr>
        <w:t> </w:t>
      </w:r>
      <w:r>
        <w:rPr>
          <w:rFonts w:ascii="Calibri"/>
          <w:i/>
          <w:spacing w:val="-4"/>
          <w:sz w:val="22"/>
        </w:rPr>
        <w:t>edn</w:t>
      </w:r>
      <w:r>
        <w:rPr>
          <w:rFonts w:ascii="Calibri"/>
          <w:spacing w:val="-4"/>
          <w:sz w:val="22"/>
        </w:rPr>
        <w:t>.</w:t>
      </w:r>
    </w:p>
    <w:p>
      <w:pPr>
        <w:spacing w:before="0"/>
        <w:ind w:left="1700" w:right="0" w:firstLine="0"/>
        <w:jc w:val="both"/>
        <w:rPr>
          <w:rFonts w:ascii="Calibri"/>
          <w:sz w:val="22"/>
        </w:rPr>
      </w:pPr>
      <w:r>
        <w:rPr>
          <w:rFonts w:ascii="Calibri"/>
          <w:sz w:val="22"/>
        </w:rPr>
        <w:t>Stanford</w:t>
      </w:r>
      <w:r>
        <w:rPr>
          <w:rFonts w:ascii="Calibri"/>
          <w:spacing w:val="-9"/>
          <w:sz w:val="22"/>
        </w:rPr>
        <w:t> </w:t>
      </w:r>
      <w:r>
        <w:rPr>
          <w:rFonts w:ascii="Calibri"/>
          <w:sz w:val="22"/>
        </w:rPr>
        <w:t>CA:</w:t>
      </w:r>
      <w:r>
        <w:rPr>
          <w:rFonts w:ascii="Calibri"/>
          <w:spacing w:val="-9"/>
          <w:sz w:val="22"/>
        </w:rPr>
        <w:t> </w:t>
      </w:r>
      <w:r>
        <w:rPr>
          <w:rFonts w:ascii="Calibri"/>
          <w:sz w:val="22"/>
        </w:rPr>
        <w:t>Stanford</w:t>
      </w:r>
      <w:r>
        <w:rPr>
          <w:rFonts w:ascii="Calibri"/>
          <w:spacing w:val="-5"/>
          <w:sz w:val="22"/>
        </w:rPr>
        <w:t> </w:t>
      </w:r>
      <w:r>
        <w:rPr>
          <w:rFonts w:ascii="Calibri"/>
          <w:sz w:val="22"/>
        </w:rPr>
        <w:t>University</w:t>
      </w:r>
      <w:r>
        <w:rPr>
          <w:rFonts w:ascii="Calibri"/>
          <w:spacing w:val="-7"/>
          <w:sz w:val="22"/>
        </w:rPr>
        <w:t> </w:t>
      </w:r>
      <w:r>
        <w:rPr>
          <w:rFonts w:ascii="Calibri"/>
          <w:spacing w:val="-2"/>
          <w:sz w:val="22"/>
        </w:rPr>
        <w:t>Press.</w:t>
      </w:r>
    </w:p>
    <w:p>
      <w:pPr>
        <w:spacing w:before="1"/>
        <w:ind w:left="1700" w:right="1903" w:hanging="721"/>
        <w:jc w:val="both"/>
        <w:rPr>
          <w:rFonts w:ascii="Calibri"/>
          <w:sz w:val="22"/>
        </w:rPr>
      </w:pPr>
      <w:bookmarkStart w:name="_bookmark203" w:id="204"/>
      <w:bookmarkEnd w:id="204"/>
      <w:r>
        <w:rPr/>
      </w:r>
      <w:r>
        <w:rPr>
          <w:rFonts w:ascii="Calibri"/>
          <w:sz w:val="22"/>
        </w:rPr>
        <w:t>Haas, E. B. (1976). Turbulent fields and the theory of regional integration. </w:t>
      </w:r>
      <w:r>
        <w:rPr>
          <w:rFonts w:ascii="Calibri"/>
          <w:i/>
          <w:sz w:val="22"/>
        </w:rPr>
        <w:t>International Organization, 30</w:t>
      </w:r>
      <w:r>
        <w:rPr>
          <w:rFonts w:ascii="Calibri"/>
          <w:sz w:val="22"/>
        </w:rPr>
        <w:t>(02), 173-212. doi: doi:10.1017/S0020818300018245</w:t>
      </w:r>
    </w:p>
    <w:p>
      <w:pPr>
        <w:spacing w:before="1"/>
        <w:ind w:left="979" w:right="0" w:firstLine="0"/>
        <w:jc w:val="both"/>
        <w:rPr>
          <w:rFonts w:ascii="Calibri"/>
          <w:sz w:val="22"/>
        </w:rPr>
      </w:pPr>
      <w:bookmarkStart w:name="_bookmark204" w:id="205"/>
      <w:bookmarkEnd w:id="205"/>
      <w:r>
        <w:rPr/>
      </w:r>
      <w:r>
        <w:rPr>
          <w:rFonts w:ascii="Calibri"/>
          <w:sz w:val="22"/>
        </w:rPr>
        <w:t>Habermas,</w:t>
      </w:r>
      <w:r>
        <w:rPr>
          <w:rFonts w:ascii="Calibri"/>
          <w:spacing w:val="5"/>
          <w:sz w:val="22"/>
        </w:rPr>
        <w:t> </w:t>
      </w:r>
      <w:r>
        <w:rPr>
          <w:rFonts w:ascii="Calibri"/>
          <w:sz w:val="22"/>
        </w:rPr>
        <w:t>J.</w:t>
      </w:r>
      <w:r>
        <w:rPr>
          <w:rFonts w:ascii="Calibri"/>
          <w:spacing w:val="9"/>
          <w:sz w:val="22"/>
        </w:rPr>
        <w:t> </w:t>
      </w:r>
      <w:r>
        <w:rPr>
          <w:rFonts w:ascii="Calibri"/>
          <w:sz w:val="22"/>
        </w:rPr>
        <w:t>r.</w:t>
      </w:r>
      <w:r>
        <w:rPr>
          <w:rFonts w:ascii="Calibri"/>
          <w:spacing w:val="8"/>
          <w:sz w:val="22"/>
        </w:rPr>
        <w:t> </w:t>
      </w:r>
      <w:r>
        <w:rPr>
          <w:rFonts w:ascii="Calibri"/>
          <w:sz w:val="22"/>
        </w:rPr>
        <w:t>(2001a).</w:t>
      </w:r>
      <w:r>
        <w:rPr>
          <w:rFonts w:ascii="Calibri"/>
          <w:spacing w:val="12"/>
          <w:sz w:val="22"/>
        </w:rPr>
        <w:t> </w:t>
      </w:r>
      <w:r>
        <w:rPr>
          <w:rFonts w:ascii="Calibri"/>
          <w:i/>
          <w:sz w:val="22"/>
        </w:rPr>
        <w:t>The</w:t>
      </w:r>
      <w:r>
        <w:rPr>
          <w:rFonts w:ascii="Calibri"/>
          <w:i/>
          <w:spacing w:val="2"/>
          <w:sz w:val="22"/>
        </w:rPr>
        <w:t> </w:t>
      </w:r>
      <w:r>
        <w:rPr>
          <w:rFonts w:ascii="Calibri"/>
          <w:i/>
          <w:sz w:val="22"/>
        </w:rPr>
        <w:t>postnational</w:t>
      </w:r>
      <w:r>
        <w:rPr>
          <w:rFonts w:ascii="Calibri"/>
          <w:i/>
          <w:spacing w:val="10"/>
          <w:sz w:val="22"/>
        </w:rPr>
        <w:t> </w:t>
      </w:r>
      <w:r>
        <w:rPr>
          <w:rFonts w:ascii="Calibri"/>
          <w:i/>
          <w:sz w:val="22"/>
        </w:rPr>
        <w:t>constellation</w:t>
      </w:r>
      <w:r>
        <w:rPr>
          <w:rFonts w:ascii="Calibri"/>
          <w:i/>
          <w:spacing w:val="9"/>
          <w:sz w:val="22"/>
        </w:rPr>
        <w:t> </w:t>
      </w:r>
      <w:r>
        <w:rPr>
          <w:rFonts w:ascii="Calibri"/>
          <w:i/>
          <w:sz w:val="22"/>
        </w:rPr>
        <w:t>:</w:t>
      </w:r>
      <w:r>
        <w:rPr>
          <w:rFonts w:ascii="Calibri"/>
          <w:i/>
          <w:spacing w:val="6"/>
          <w:sz w:val="22"/>
        </w:rPr>
        <w:t> </w:t>
      </w:r>
      <w:r>
        <w:rPr>
          <w:rFonts w:ascii="Calibri"/>
          <w:i/>
          <w:sz w:val="22"/>
        </w:rPr>
        <w:t>political</w:t>
      </w:r>
      <w:r>
        <w:rPr>
          <w:rFonts w:ascii="Calibri"/>
          <w:i/>
          <w:spacing w:val="9"/>
          <w:sz w:val="22"/>
        </w:rPr>
        <w:t> </w:t>
      </w:r>
      <w:r>
        <w:rPr>
          <w:rFonts w:ascii="Calibri"/>
          <w:i/>
          <w:sz w:val="22"/>
        </w:rPr>
        <w:t>essays</w:t>
      </w:r>
      <w:r>
        <w:rPr>
          <w:rFonts w:ascii="Calibri"/>
          <w:i/>
          <w:spacing w:val="14"/>
          <w:sz w:val="22"/>
        </w:rPr>
        <w:t> </w:t>
      </w:r>
      <w:r>
        <w:rPr>
          <w:rFonts w:ascii="Calibri"/>
          <w:sz w:val="22"/>
        </w:rPr>
        <w:t>(1st</w:t>
      </w:r>
      <w:r>
        <w:rPr>
          <w:rFonts w:ascii="Calibri"/>
          <w:spacing w:val="5"/>
          <w:sz w:val="22"/>
        </w:rPr>
        <w:t> </w:t>
      </w:r>
      <w:r>
        <w:rPr>
          <w:rFonts w:ascii="Calibri"/>
          <w:sz w:val="22"/>
        </w:rPr>
        <w:t>MIT</w:t>
      </w:r>
      <w:r>
        <w:rPr>
          <w:rFonts w:ascii="Calibri"/>
          <w:spacing w:val="5"/>
          <w:sz w:val="22"/>
        </w:rPr>
        <w:t> </w:t>
      </w:r>
      <w:r>
        <w:rPr>
          <w:rFonts w:ascii="Calibri"/>
          <w:sz w:val="22"/>
        </w:rPr>
        <w:t>Press</w:t>
      </w:r>
      <w:r>
        <w:rPr>
          <w:rFonts w:ascii="Calibri"/>
          <w:spacing w:val="8"/>
          <w:sz w:val="22"/>
        </w:rPr>
        <w:t> </w:t>
      </w:r>
      <w:r>
        <w:rPr>
          <w:rFonts w:ascii="Calibri"/>
          <w:spacing w:val="-2"/>
          <w:sz w:val="22"/>
        </w:rPr>
        <w:t>ed.).</w:t>
      </w:r>
    </w:p>
    <w:p>
      <w:pPr>
        <w:spacing w:before="0"/>
        <w:ind w:left="1700" w:right="0" w:firstLine="0"/>
        <w:jc w:val="both"/>
        <w:rPr>
          <w:rFonts w:ascii="Calibri"/>
          <w:sz w:val="22"/>
        </w:rPr>
      </w:pPr>
      <w:r>
        <w:rPr>
          <w:rFonts w:ascii="Calibri"/>
          <w:sz w:val="22"/>
        </w:rPr>
        <w:t>Cambridge,</w:t>
      </w:r>
      <w:r>
        <w:rPr>
          <w:rFonts w:ascii="Calibri"/>
          <w:spacing w:val="-9"/>
          <w:sz w:val="22"/>
        </w:rPr>
        <w:t> </w:t>
      </w:r>
      <w:r>
        <w:rPr>
          <w:rFonts w:ascii="Calibri"/>
          <w:sz w:val="22"/>
        </w:rPr>
        <w:t>Mass.:</w:t>
      </w:r>
      <w:r>
        <w:rPr>
          <w:rFonts w:ascii="Calibri"/>
          <w:spacing w:val="-7"/>
          <w:sz w:val="22"/>
        </w:rPr>
        <w:t> </w:t>
      </w:r>
      <w:r>
        <w:rPr>
          <w:rFonts w:ascii="Calibri"/>
          <w:sz w:val="22"/>
        </w:rPr>
        <w:t>MIT</w:t>
      </w:r>
      <w:r>
        <w:rPr>
          <w:rFonts w:ascii="Calibri"/>
          <w:spacing w:val="-7"/>
          <w:sz w:val="22"/>
        </w:rPr>
        <w:t> </w:t>
      </w:r>
      <w:r>
        <w:rPr>
          <w:rFonts w:ascii="Calibri"/>
          <w:spacing w:val="-2"/>
          <w:sz w:val="22"/>
        </w:rPr>
        <w:t>Press.</w:t>
      </w:r>
    </w:p>
    <w:p>
      <w:pPr>
        <w:spacing w:before="0"/>
        <w:ind w:left="1700" w:right="1905" w:hanging="721"/>
        <w:jc w:val="both"/>
        <w:rPr>
          <w:rFonts w:ascii="Calibri"/>
          <w:sz w:val="22"/>
        </w:rPr>
      </w:pPr>
      <w:bookmarkStart w:name="_bookmark205" w:id="206"/>
      <w:bookmarkEnd w:id="206"/>
      <w:r>
        <w:rPr/>
      </w:r>
      <w:r>
        <w:rPr>
          <w:rFonts w:ascii="Calibri"/>
          <w:sz w:val="22"/>
        </w:rPr>
        <w:t>Habermas, J. r. (2001b). So, why does Europe need a constitution? </w:t>
      </w:r>
      <w:r>
        <w:rPr>
          <w:rFonts w:ascii="Calibri"/>
          <w:i/>
          <w:sz w:val="22"/>
        </w:rPr>
        <w:t>European University </w:t>
      </w:r>
      <w:r>
        <w:rPr>
          <w:rFonts w:ascii="Calibri"/>
          <w:i/>
          <w:spacing w:val="-2"/>
          <w:sz w:val="22"/>
        </w:rPr>
        <w:t>Institute</w:t>
      </w:r>
      <w:r>
        <w:rPr>
          <w:rFonts w:ascii="Calibri"/>
          <w:spacing w:val="-2"/>
          <w:sz w:val="22"/>
        </w:rPr>
        <w:t>.</w:t>
      </w:r>
    </w:p>
    <w:p>
      <w:pPr>
        <w:spacing w:before="1"/>
        <w:ind w:left="979" w:right="0" w:firstLine="0"/>
        <w:jc w:val="both"/>
        <w:rPr>
          <w:rFonts w:ascii="Calibri"/>
          <w:sz w:val="22"/>
        </w:rPr>
      </w:pPr>
      <w:bookmarkStart w:name="_bookmark206" w:id="207"/>
      <w:bookmarkEnd w:id="207"/>
      <w:r>
        <w:rPr/>
      </w:r>
      <w:r>
        <w:rPr>
          <w:rFonts w:ascii="Calibri"/>
          <w:sz w:val="22"/>
        </w:rPr>
        <w:t>Hall,</w:t>
      </w:r>
      <w:r>
        <w:rPr>
          <w:rFonts w:ascii="Calibri"/>
          <w:spacing w:val="6"/>
          <w:sz w:val="22"/>
        </w:rPr>
        <w:t> </w:t>
      </w:r>
      <w:r>
        <w:rPr>
          <w:rFonts w:ascii="Calibri"/>
          <w:sz w:val="22"/>
        </w:rPr>
        <w:t>P.</w:t>
      </w:r>
      <w:r>
        <w:rPr>
          <w:rFonts w:ascii="Calibri"/>
          <w:spacing w:val="8"/>
          <w:sz w:val="22"/>
        </w:rPr>
        <w:t> </w:t>
      </w:r>
      <w:r>
        <w:rPr>
          <w:rFonts w:ascii="Calibri"/>
          <w:sz w:val="22"/>
        </w:rPr>
        <w:t>A.,</w:t>
      </w:r>
      <w:r>
        <w:rPr>
          <w:rFonts w:ascii="Calibri"/>
          <w:spacing w:val="9"/>
          <w:sz w:val="22"/>
        </w:rPr>
        <w:t> </w:t>
      </w:r>
      <w:r>
        <w:rPr>
          <w:rFonts w:ascii="Calibri"/>
          <w:sz w:val="22"/>
        </w:rPr>
        <w:t>&amp;</w:t>
      </w:r>
      <w:r>
        <w:rPr>
          <w:rFonts w:ascii="Calibri"/>
          <w:spacing w:val="8"/>
          <w:sz w:val="22"/>
        </w:rPr>
        <w:t> </w:t>
      </w:r>
      <w:r>
        <w:rPr>
          <w:rFonts w:ascii="Calibri"/>
          <w:sz w:val="22"/>
        </w:rPr>
        <w:t>Taylor,</w:t>
      </w:r>
      <w:r>
        <w:rPr>
          <w:rFonts w:ascii="Calibri"/>
          <w:spacing w:val="8"/>
          <w:sz w:val="22"/>
        </w:rPr>
        <w:t> </w:t>
      </w:r>
      <w:r>
        <w:rPr>
          <w:rFonts w:ascii="Calibri"/>
          <w:sz w:val="22"/>
        </w:rPr>
        <w:t>R.</w:t>
      </w:r>
      <w:r>
        <w:rPr>
          <w:rFonts w:ascii="Calibri"/>
          <w:spacing w:val="16"/>
          <w:sz w:val="22"/>
        </w:rPr>
        <w:t> </w:t>
      </w:r>
      <w:r>
        <w:rPr>
          <w:rFonts w:ascii="Calibri"/>
          <w:sz w:val="22"/>
        </w:rPr>
        <w:t>C.</w:t>
      </w:r>
      <w:r>
        <w:rPr>
          <w:rFonts w:ascii="Calibri"/>
          <w:spacing w:val="12"/>
          <w:sz w:val="22"/>
        </w:rPr>
        <w:t> </w:t>
      </w:r>
      <w:r>
        <w:rPr>
          <w:rFonts w:ascii="Calibri"/>
          <w:sz w:val="22"/>
        </w:rPr>
        <w:t>R.</w:t>
      </w:r>
      <w:r>
        <w:rPr>
          <w:rFonts w:ascii="Calibri"/>
          <w:spacing w:val="13"/>
          <w:sz w:val="22"/>
        </w:rPr>
        <w:t> </w:t>
      </w:r>
      <w:r>
        <w:rPr>
          <w:rFonts w:ascii="Calibri"/>
          <w:sz w:val="22"/>
        </w:rPr>
        <w:t>(1996).</w:t>
      </w:r>
      <w:r>
        <w:rPr>
          <w:rFonts w:ascii="Calibri"/>
          <w:spacing w:val="13"/>
          <w:sz w:val="22"/>
        </w:rPr>
        <w:t> </w:t>
      </w:r>
      <w:r>
        <w:rPr>
          <w:rFonts w:ascii="Calibri"/>
          <w:sz w:val="22"/>
        </w:rPr>
        <w:t>Political</w:t>
      </w:r>
      <w:r>
        <w:rPr>
          <w:rFonts w:ascii="Calibri"/>
          <w:spacing w:val="12"/>
          <w:sz w:val="22"/>
        </w:rPr>
        <w:t> </w:t>
      </w:r>
      <w:r>
        <w:rPr>
          <w:rFonts w:ascii="Calibri"/>
          <w:sz w:val="22"/>
        </w:rPr>
        <w:t>Science</w:t>
      </w:r>
      <w:r>
        <w:rPr>
          <w:rFonts w:ascii="Calibri"/>
          <w:spacing w:val="12"/>
          <w:sz w:val="22"/>
        </w:rPr>
        <w:t> </w:t>
      </w:r>
      <w:r>
        <w:rPr>
          <w:rFonts w:ascii="Calibri"/>
          <w:sz w:val="22"/>
        </w:rPr>
        <w:t>and</w:t>
      </w:r>
      <w:r>
        <w:rPr>
          <w:rFonts w:ascii="Calibri"/>
          <w:spacing w:val="10"/>
          <w:sz w:val="22"/>
        </w:rPr>
        <w:t> </w:t>
      </w:r>
      <w:r>
        <w:rPr>
          <w:rFonts w:ascii="Calibri"/>
          <w:sz w:val="22"/>
        </w:rPr>
        <w:t>the</w:t>
      </w:r>
      <w:r>
        <w:rPr>
          <w:rFonts w:ascii="Calibri"/>
          <w:spacing w:val="11"/>
          <w:sz w:val="22"/>
        </w:rPr>
        <w:t> </w:t>
      </w:r>
      <w:r>
        <w:rPr>
          <w:rFonts w:ascii="Calibri"/>
          <w:sz w:val="22"/>
        </w:rPr>
        <w:t>Three</w:t>
      </w:r>
      <w:r>
        <w:rPr>
          <w:rFonts w:ascii="Calibri"/>
          <w:spacing w:val="12"/>
          <w:sz w:val="22"/>
        </w:rPr>
        <w:t> </w:t>
      </w:r>
      <w:r>
        <w:rPr>
          <w:rFonts w:ascii="Calibri"/>
          <w:sz w:val="22"/>
        </w:rPr>
        <w:t>New</w:t>
      </w:r>
      <w:r>
        <w:rPr>
          <w:rFonts w:ascii="Calibri"/>
          <w:spacing w:val="12"/>
          <w:sz w:val="22"/>
        </w:rPr>
        <w:t> </w:t>
      </w:r>
      <w:r>
        <w:rPr>
          <w:rFonts w:ascii="Calibri"/>
          <w:spacing w:val="-2"/>
          <w:sz w:val="22"/>
        </w:rPr>
        <w:t>Institutionalisms*.</w:t>
      </w:r>
    </w:p>
    <w:p>
      <w:pPr>
        <w:spacing w:before="0"/>
        <w:ind w:left="979" w:right="1905" w:firstLine="720"/>
        <w:jc w:val="both"/>
        <w:rPr>
          <w:rFonts w:ascii="Calibri"/>
          <w:sz w:val="22"/>
        </w:rPr>
      </w:pPr>
      <w:r>
        <w:rPr>
          <w:rFonts w:ascii="Calibri"/>
          <w:i/>
          <w:sz w:val="22"/>
        </w:rPr>
        <w:t>Political Studies, 44</w:t>
      </w:r>
      <w:r>
        <w:rPr>
          <w:rFonts w:ascii="Calibri"/>
          <w:sz w:val="22"/>
        </w:rPr>
        <w:t>(5), 936-957. doi: 10.1111/j.1467-9248.1996.tb00343.x </w:t>
      </w:r>
      <w:bookmarkStart w:name="_bookmark207" w:id="208"/>
      <w:bookmarkEnd w:id="208"/>
      <w:r>
        <w:rPr>
          <w:rFonts w:ascii="Calibri"/>
          <w:sz w:val="22"/>
        </w:rPr>
        <w:t>H</w:t>
      </w:r>
      <w:r>
        <w:rPr>
          <w:rFonts w:ascii="Calibri"/>
          <w:sz w:val="22"/>
        </w:rPr>
        <w:t>anberger,</w:t>
      </w:r>
      <w:r>
        <w:rPr>
          <w:rFonts w:ascii="Calibri"/>
          <w:spacing w:val="66"/>
          <w:w w:val="150"/>
          <w:sz w:val="22"/>
        </w:rPr>
        <w:t> </w:t>
      </w:r>
      <w:r>
        <w:rPr>
          <w:rFonts w:ascii="Calibri"/>
          <w:sz w:val="22"/>
        </w:rPr>
        <w:t>A.</w:t>
      </w:r>
      <w:r>
        <w:rPr>
          <w:rFonts w:ascii="Calibri"/>
          <w:spacing w:val="69"/>
          <w:w w:val="150"/>
          <w:sz w:val="22"/>
        </w:rPr>
        <w:t> </w:t>
      </w:r>
      <w:r>
        <w:rPr>
          <w:rFonts w:ascii="Calibri"/>
          <w:sz w:val="22"/>
        </w:rPr>
        <w:t>(2006).</w:t>
      </w:r>
      <w:r>
        <w:rPr>
          <w:rFonts w:ascii="Calibri"/>
          <w:spacing w:val="72"/>
          <w:w w:val="150"/>
          <w:sz w:val="22"/>
        </w:rPr>
        <w:t> </w:t>
      </w:r>
      <w:r>
        <w:rPr>
          <w:rFonts w:ascii="Calibri"/>
          <w:i/>
          <w:sz w:val="22"/>
        </w:rPr>
        <w:t>Democratic</w:t>
      </w:r>
      <w:r>
        <w:rPr>
          <w:rFonts w:ascii="Calibri"/>
          <w:i/>
          <w:spacing w:val="63"/>
          <w:w w:val="150"/>
          <w:sz w:val="22"/>
        </w:rPr>
        <w:t> </w:t>
      </w:r>
      <w:r>
        <w:rPr>
          <w:rFonts w:ascii="Calibri"/>
          <w:i/>
          <w:sz w:val="22"/>
        </w:rPr>
        <w:t>accountability</w:t>
      </w:r>
      <w:r>
        <w:rPr>
          <w:rFonts w:ascii="Calibri"/>
          <w:i/>
          <w:spacing w:val="65"/>
          <w:w w:val="150"/>
          <w:sz w:val="22"/>
        </w:rPr>
        <w:t> </w:t>
      </w:r>
      <w:r>
        <w:rPr>
          <w:rFonts w:ascii="Calibri"/>
          <w:i/>
          <w:sz w:val="22"/>
        </w:rPr>
        <w:t>in</w:t>
      </w:r>
      <w:r>
        <w:rPr>
          <w:rFonts w:ascii="Calibri"/>
          <w:i/>
          <w:spacing w:val="69"/>
          <w:w w:val="150"/>
          <w:sz w:val="22"/>
        </w:rPr>
        <w:t> </w:t>
      </w:r>
      <w:r>
        <w:rPr>
          <w:rFonts w:ascii="Calibri"/>
          <w:i/>
          <w:sz w:val="22"/>
        </w:rPr>
        <w:t>decentralized</w:t>
      </w:r>
      <w:r>
        <w:rPr>
          <w:rFonts w:ascii="Calibri"/>
          <w:i/>
          <w:spacing w:val="65"/>
          <w:w w:val="150"/>
          <w:sz w:val="22"/>
        </w:rPr>
        <w:t> </w:t>
      </w:r>
      <w:r>
        <w:rPr>
          <w:rFonts w:ascii="Calibri"/>
          <w:i/>
          <w:sz w:val="22"/>
        </w:rPr>
        <w:t>governance</w:t>
      </w:r>
      <w:r>
        <w:rPr>
          <w:rFonts w:ascii="Calibri"/>
          <w:sz w:val="22"/>
        </w:rPr>
        <w:t>.</w:t>
      </w:r>
      <w:r>
        <w:rPr>
          <w:rFonts w:ascii="Calibri"/>
          <w:spacing w:val="70"/>
          <w:w w:val="150"/>
          <w:sz w:val="22"/>
        </w:rPr>
        <w:t> </w:t>
      </w:r>
      <w:r>
        <w:rPr>
          <w:rFonts w:ascii="Calibri"/>
          <w:spacing w:val="-2"/>
          <w:sz w:val="22"/>
        </w:rPr>
        <w:t>Paper</w:t>
      </w:r>
    </w:p>
    <w:p>
      <w:pPr>
        <w:spacing w:before="1"/>
        <w:ind w:left="1700" w:right="0" w:firstLine="0"/>
        <w:jc w:val="both"/>
        <w:rPr>
          <w:rFonts w:ascii="Calibri"/>
          <w:sz w:val="22"/>
        </w:rPr>
      </w:pPr>
      <w:r>
        <w:rPr>
          <w:rFonts w:ascii="Calibri"/>
          <w:sz w:val="22"/>
        </w:rPr>
        <w:t>presented</w:t>
      </w:r>
      <w:r>
        <w:rPr>
          <w:rFonts w:ascii="Calibri"/>
          <w:spacing w:val="-7"/>
          <w:sz w:val="22"/>
        </w:rPr>
        <w:t> </w:t>
      </w:r>
      <w:r>
        <w:rPr>
          <w:rFonts w:ascii="Calibri"/>
          <w:sz w:val="22"/>
        </w:rPr>
        <w:t>at</w:t>
      </w:r>
      <w:r>
        <w:rPr>
          <w:rFonts w:ascii="Calibri"/>
          <w:spacing w:val="-8"/>
          <w:sz w:val="22"/>
        </w:rPr>
        <w:t> </w:t>
      </w:r>
      <w:r>
        <w:rPr>
          <w:rFonts w:ascii="Calibri"/>
          <w:sz w:val="22"/>
        </w:rPr>
        <w:t>the</w:t>
      </w:r>
      <w:r>
        <w:rPr>
          <w:rFonts w:ascii="Calibri"/>
          <w:spacing w:val="-6"/>
          <w:sz w:val="22"/>
        </w:rPr>
        <w:t> </w:t>
      </w:r>
      <w:r>
        <w:rPr>
          <w:rFonts w:ascii="Calibri"/>
          <w:sz w:val="22"/>
        </w:rPr>
        <w:t>Presented</w:t>
      </w:r>
      <w:r>
        <w:rPr>
          <w:rFonts w:ascii="Calibri"/>
          <w:spacing w:val="-4"/>
          <w:sz w:val="22"/>
        </w:rPr>
        <w:t> </w:t>
      </w:r>
      <w:r>
        <w:rPr>
          <w:rFonts w:ascii="Calibri"/>
          <w:sz w:val="22"/>
        </w:rPr>
        <w:t>at</w:t>
      </w:r>
      <w:r>
        <w:rPr>
          <w:rFonts w:ascii="Calibri"/>
          <w:spacing w:val="-7"/>
          <w:sz w:val="22"/>
        </w:rPr>
        <w:t> </w:t>
      </w:r>
      <w:r>
        <w:rPr>
          <w:rFonts w:ascii="Calibri"/>
          <w:sz w:val="22"/>
        </w:rPr>
        <w:t>XV</w:t>
      </w:r>
      <w:r>
        <w:rPr>
          <w:rFonts w:ascii="Calibri"/>
          <w:spacing w:val="-6"/>
          <w:sz w:val="22"/>
        </w:rPr>
        <w:t> </w:t>
      </w:r>
      <w:r>
        <w:rPr>
          <w:rFonts w:ascii="Calibri"/>
          <w:sz w:val="22"/>
        </w:rPr>
        <w:t>Nordiske</w:t>
      </w:r>
      <w:r>
        <w:rPr>
          <w:rFonts w:ascii="Calibri"/>
          <w:spacing w:val="-5"/>
          <w:sz w:val="22"/>
        </w:rPr>
        <w:t> </w:t>
      </w:r>
      <w:r>
        <w:rPr>
          <w:rFonts w:ascii="Calibri"/>
          <w:sz w:val="22"/>
        </w:rPr>
        <w:t>Kommunalforskerkonference,</w:t>
      </w:r>
      <w:r>
        <w:rPr>
          <w:rFonts w:ascii="Calibri"/>
          <w:spacing w:val="-7"/>
          <w:sz w:val="22"/>
        </w:rPr>
        <w:t> </w:t>
      </w:r>
      <w:r>
        <w:rPr>
          <w:rFonts w:ascii="Calibri"/>
          <w:spacing w:val="-2"/>
          <w:sz w:val="22"/>
        </w:rPr>
        <w:t>Odense.</w:t>
      </w:r>
    </w:p>
    <w:p>
      <w:pPr>
        <w:spacing w:before="0"/>
        <w:ind w:left="1700" w:right="1903" w:hanging="721"/>
        <w:jc w:val="both"/>
        <w:rPr>
          <w:rFonts w:ascii="Calibri"/>
          <w:sz w:val="22"/>
        </w:rPr>
      </w:pPr>
      <w:bookmarkStart w:name="_bookmark208" w:id="209"/>
      <w:bookmarkEnd w:id="209"/>
      <w:r>
        <w:rPr/>
      </w:r>
      <w:r>
        <w:rPr>
          <w:rFonts w:ascii="Calibri"/>
          <w:sz w:val="22"/>
        </w:rPr>
        <w:t>Hart, O., &amp; Holmstrom, B. (2010). A Theory of Firm Scope. </w:t>
      </w:r>
      <w:r>
        <w:rPr>
          <w:rFonts w:ascii="Calibri"/>
          <w:i/>
          <w:sz w:val="22"/>
        </w:rPr>
        <w:t>The Quarterly Journal of Economics, 125</w:t>
      </w:r>
      <w:r>
        <w:rPr>
          <w:rFonts w:ascii="Calibri"/>
          <w:sz w:val="22"/>
        </w:rPr>
        <w:t>(2), 483-513. doi: 10.1162/qjec.2010.125.2.483</w:t>
      </w:r>
    </w:p>
    <w:p>
      <w:pPr>
        <w:spacing w:before="1"/>
        <w:ind w:left="979" w:right="0" w:firstLine="0"/>
        <w:jc w:val="both"/>
        <w:rPr>
          <w:rFonts w:ascii="Calibri"/>
          <w:sz w:val="22"/>
        </w:rPr>
      </w:pPr>
      <w:bookmarkStart w:name="_bookmark209" w:id="210"/>
      <w:bookmarkEnd w:id="210"/>
      <w:r>
        <w:rPr/>
      </w:r>
      <w:r>
        <w:rPr>
          <w:rFonts w:ascii="Calibri"/>
          <w:sz w:val="22"/>
        </w:rPr>
        <w:t>Heidegger,</w:t>
      </w:r>
      <w:r>
        <w:rPr>
          <w:rFonts w:ascii="Calibri"/>
          <w:spacing w:val="-7"/>
          <w:sz w:val="22"/>
        </w:rPr>
        <w:t> </w:t>
      </w:r>
      <w:r>
        <w:rPr>
          <w:rFonts w:ascii="Calibri"/>
          <w:sz w:val="22"/>
        </w:rPr>
        <w:t>M.</w:t>
      </w:r>
      <w:r>
        <w:rPr>
          <w:rFonts w:ascii="Calibri"/>
          <w:spacing w:val="-4"/>
          <w:sz w:val="22"/>
        </w:rPr>
        <w:t> </w:t>
      </w:r>
      <w:r>
        <w:rPr>
          <w:rFonts w:ascii="Calibri"/>
          <w:sz w:val="22"/>
        </w:rPr>
        <w:t>(1972).</w:t>
      </w:r>
      <w:r>
        <w:rPr>
          <w:rFonts w:ascii="Calibri"/>
          <w:spacing w:val="-2"/>
          <w:sz w:val="22"/>
        </w:rPr>
        <w:t> </w:t>
      </w:r>
      <w:r>
        <w:rPr>
          <w:rFonts w:ascii="Calibri"/>
          <w:i/>
          <w:sz w:val="22"/>
        </w:rPr>
        <w:t>On</w:t>
      </w:r>
      <w:r>
        <w:rPr>
          <w:rFonts w:ascii="Calibri"/>
          <w:i/>
          <w:spacing w:val="-4"/>
          <w:sz w:val="22"/>
        </w:rPr>
        <w:t> </w:t>
      </w:r>
      <w:r>
        <w:rPr>
          <w:rFonts w:ascii="Calibri"/>
          <w:i/>
          <w:sz w:val="22"/>
        </w:rPr>
        <w:t>time</w:t>
      </w:r>
      <w:r>
        <w:rPr>
          <w:rFonts w:ascii="Calibri"/>
          <w:i/>
          <w:spacing w:val="-5"/>
          <w:sz w:val="22"/>
        </w:rPr>
        <w:t> </w:t>
      </w:r>
      <w:r>
        <w:rPr>
          <w:rFonts w:ascii="Calibri"/>
          <w:i/>
          <w:sz w:val="22"/>
        </w:rPr>
        <w:t>and</w:t>
      </w:r>
      <w:r>
        <w:rPr>
          <w:rFonts w:ascii="Calibri"/>
          <w:i/>
          <w:spacing w:val="-4"/>
          <w:sz w:val="22"/>
        </w:rPr>
        <w:t> </w:t>
      </w:r>
      <w:r>
        <w:rPr>
          <w:rFonts w:ascii="Calibri"/>
          <w:i/>
          <w:sz w:val="22"/>
        </w:rPr>
        <w:t>being</w:t>
      </w:r>
      <w:r>
        <w:rPr>
          <w:rFonts w:ascii="Calibri"/>
          <w:i/>
          <w:spacing w:val="-2"/>
          <w:sz w:val="22"/>
        </w:rPr>
        <w:t> </w:t>
      </w:r>
      <w:r>
        <w:rPr>
          <w:rFonts w:ascii="Calibri"/>
          <w:sz w:val="22"/>
        </w:rPr>
        <w:t>(1st</w:t>
      </w:r>
      <w:r>
        <w:rPr>
          <w:rFonts w:ascii="Calibri"/>
          <w:spacing w:val="-7"/>
          <w:sz w:val="22"/>
        </w:rPr>
        <w:t> </w:t>
      </w:r>
      <w:r>
        <w:rPr>
          <w:rFonts w:ascii="Calibri"/>
          <w:sz w:val="22"/>
        </w:rPr>
        <w:t>ed.).</w:t>
      </w:r>
      <w:r>
        <w:rPr>
          <w:rFonts w:ascii="Calibri"/>
          <w:spacing w:val="-3"/>
          <w:sz w:val="22"/>
        </w:rPr>
        <w:t> </w:t>
      </w:r>
      <w:r>
        <w:rPr>
          <w:rFonts w:ascii="Calibri"/>
          <w:sz w:val="22"/>
        </w:rPr>
        <w:t>New</w:t>
      </w:r>
      <w:r>
        <w:rPr>
          <w:rFonts w:ascii="Calibri"/>
          <w:spacing w:val="-5"/>
          <w:sz w:val="22"/>
        </w:rPr>
        <w:t> </w:t>
      </w:r>
      <w:r>
        <w:rPr>
          <w:rFonts w:ascii="Calibri"/>
          <w:sz w:val="22"/>
        </w:rPr>
        <w:t>York,:</w:t>
      </w:r>
      <w:r>
        <w:rPr>
          <w:rFonts w:ascii="Calibri"/>
          <w:spacing w:val="-5"/>
          <w:sz w:val="22"/>
        </w:rPr>
        <w:t> </w:t>
      </w:r>
      <w:r>
        <w:rPr>
          <w:rFonts w:ascii="Calibri"/>
          <w:sz w:val="22"/>
        </w:rPr>
        <w:t>Harper</w:t>
      </w:r>
      <w:r>
        <w:rPr>
          <w:rFonts w:ascii="Calibri"/>
          <w:spacing w:val="-5"/>
          <w:sz w:val="22"/>
        </w:rPr>
        <w:t> </w:t>
      </w:r>
      <w:r>
        <w:rPr>
          <w:rFonts w:ascii="Calibri"/>
          <w:sz w:val="22"/>
        </w:rPr>
        <w:t>&amp;</w:t>
      </w:r>
      <w:r>
        <w:rPr>
          <w:rFonts w:ascii="Calibri"/>
          <w:spacing w:val="-2"/>
          <w:sz w:val="22"/>
        </w:rPr>
        <w:t> </w:t>
      </w:r>
      <w:r>
        <w:rPr>
          <w:rFonts w:ascii="Calibri"/>
          <w:spacing w:val="-4"/>
          <w:sz w:val="22"/>
        </w:rPr>
        <w:t>Row.</w:t>
      </w:r>
    </w:p>
    <w:p>
      <w:pPr>
        <w:spacing w:before="0"/>
        <w:ind w:left="1700" w:right="1909" w:hanging="721"/>
        <w:jc w:val="both"/>
        <w:rPr>
          <w:rFonts w:ascii="Calibri"/>
          <w:sz w:val="22"/>
        </w:rPr>
      </w:pPr>
      <w:bookmarkStart w:name="_bookmark210" w:id="211"/>
      <w:bookmarkEnd w:id="211"/>
      <w:r>
        <w:rPr/>
      </w:r>
      <w:r>
        <w:rPr>
          <w:rFonts w:ascii="Calibri"/>
          <w:sz w:val="22"/>
        </w:rPr>
        <w:t>Heider, G. M. (1977). More about Hull and Koffka. </w:t>
      </w:r>
      <w:r>
        <w:rPr>
          <w:rFonts w:ascii="Calibri"/>
          <w:i/>
          <w:sz w:val="22"/>
        </w:rPr>
        <w:t>American Psychologist, 32</w:t>
      </w:r>
      <w:r>
        <w:rPr>
          <w:rFonts w:ascii="Calibri"/>
          <w:sz w:val="22"/>
        </w:rPr>
        <w:t>(5), 383. doi: </w:t>
      </w:r>
      <w:r>
        <w:rPr>
          <w:rFonts w:ascii="Calibri"/>
          <w:spacing w:val="-2"/>
          <w:sz w:val="22"/>
        </w:rPr>
        <w:t>10.1037/0003-066X.32.5.383.a</w:t>
      </w:r>
    </w:p>
    <w:p>
      <w:pPr>
        <w:spacing w:line="237" w:lineRule="auto" w:before="3"/>
        <w:ind w:left="1700" w:right="1904" w:hanging="721"/>
        <w:jc w:val="both"/>
        <w:rPr>
          <w:rFonts w:ascii="Calibri"/>
          <w:sz w:val="22"/>
        </w:rPr>
      </w:pPr>
      <w:bookmarkStart w:name="_bookmark211" w:id="212"/>
      <w:bookmarkEnd w:id="212"/>
      <w:r>
        <w:rPr/>
      </w:r>
      <w:r>
        <w:rPr>
          <w:rFonts w:ascii="Calibri"/>
          <w:sz w:val="22"/>
        </w:rPr>
        <w:t>Heikkila, P. (2008). The Pros and Cons of Paneurope Estonian discussion on European unification in the interwar period. </w:t>
      </w:r>
      <w:r>
        <w:rPr>
          <w:rFonts w:ascii="Calibri"/>
          <w:i/>
          <w:sz w:val="22"/>
        </w:rPr>
        <w:t>Acta Historica Tallinnensia</w:t>
      </w:r>
      <w:r>
        <w:rPr>
          <w:rFonts w:ascii="Calibri"/>
          <w:sz w:val="22"/>
        </w:rPr>
        <w:t>(13), 68-91. doi: doi: </w:t>
      </w:r>
      <w:r>
        <w:rPr>
          <w:rFonts w:ascii="Calibri"/>
          <w:spacing w:val="-2"/>
          <w:sz w:val="22"/>
        </w:rPr>
        <w:t>10.3176/hist.2008.2.04</w:t>
      </w:r>
    </w:p>
    <w:p>
      <w:pPr>
        <w:spacing w:before="2"/>
        <w:ind w:left="1700" w:right="1909" w:hanging="721"/>
        <w:jc w:val="left"/>
        <w:rPr>
          <w:rFonts w:ascii="Calibri"/>
          <w:sz w:val="22"/>
        </w:rPr>
      </w:pPr>
      <w:bookmarkStart w:name="_bookmark212" w:id="213"/>
      <w:bookmarkEnd w:id="213"/>
      <w:r>
        <w:rPr/>
      </w:r>
      <w:r>
        <w:rPr>
          <w:rFonts w:ascii="Calibri"/>
          <w:sz w:val="22"/>
        </w:rPr>
        <w:t>Hellman, J. (2002). </w:t>
      </w:r>
      <w:r>
        <w:rPr>
          <w:rFonts w:ascii="Calibri"/>
          <w:i/>
          <w:sz w:val="22"/>
        </w:rPr>
        <w:t>The communitarian third way : Alexandre Marc's Ordre Nouveau, 1930- 2000</w:t>
      </w:r>
      <w:r>
        <w:rPr>
          <w:rFonts w:ascii="Calibri"/>
          <w:sz w:val="22"/>
        </w:rPr>
        <w:t>. Montreal ; Ithaca: McGill-Queen's University Press.</w:t>
      </w:r>
    </w:p>
    <w:p>
      <w:pPr>
        <w:spacing w:before="1"/>
        <w:ind w:left="1700" w:right="1922" w:hanging="721"/>
        <w:jc w:val="left"/>
        <w:rPr>
          <w:rFonts w:ascii="Calibri"/>
          <w:sz w:val="22"/>
        </w:rPr>
      </w:pPr>
      <w:bookmarkStart w:name="_bookmark213" w:id="214"/>
      <w:bookmarkEnd w:id="214"/>
      <w:r>
        <w:rPr/>
      </w:r>
      <w:r>
        <w:rPr>
          <w:rFonts w:ascii="Calibri"/>
          <w:sz w:val="22"/>
        </w:rPr>
        <w:t>Heremans, T. (2011a). 'Optimal' versus 'Maximal' public access to documents: a brief note</w:t>
      </w:r>
      <w:r>
        <w:rPr>
          <w:rFonts w:ascii="Calibri"/>
          <w:spacing w:val="40"/>
          <w:sz w:val="22"/>
        </w:rPr>
        <w:t> </w:t>
      </w:r>
      <w:r>
        <w:rPr>
          <w:rFonts w:ascii="Calibri"/>
          <w:sz w:val="22"/>
        </w:rPr>
        <w:t>on Eu case law. </w:t>
      </w:r>
      <w:r>
        <w:rPr>
          <w:rFonts w:ascii="Calibri"/>
          <w:i/>
          <w:sz w:val="22"/>
        </w:rPr>
        <w:t>European Policy Brief, 4</w:t>
      </w:r>
      <w:r>
        <w:rPr>
          <w:rFonts w:ascii="Calibri"/>
          <w:sz w:val="22"/>
        </w:rPr>
        <w:t>.</w:t>
      </w:r>
    </w:p>
    <w:p>
      <w:pPr>
        <w:spacing w:before="0"/>
        <w:ind w:left="1700" w:right="1909" w:hanging="721"/>
        <w:jc w:val="left"/>
        <w:rPr>
          <w:rFonts w:ascii="Calibri"/>
          <w:sz w:val="22"/>
        </w:rPr>
      </w:pPr>
      <w:bookmarkStart w:name="_bookmark214" w:id="215"/>
      <w:bookmarkEnd w:id="215"/>
      <w:r>
        <w:rPr/>
      </w:r>
      <w:r>
        <w:rPr>
          <w:rFonts w:ascii="Calibri"/>
          <w:sz w:val="22"/>
        </w:rPr>
        <w:t>Heremans,</w:t>
      </w:r>
      <w:r>
        <w:rPr>
          <w:rFonts w:ascii="Calibri"/>
          <w:spacing w:val="40"/>
          <w:sz w:val="22"/>
        </w:rPr>
        <w:t> </w:t>
      </w:r>
      <w:r>
        <w:rPr>
          <w:rFonts w:ascii="Calibri"/>
          <w:sz w:val="22"/>
        </w:rPr>
        <w:t>T.</w:t>
      </w:r>
      <w:r>
        <w:rPr>
          <w:rFonts w:ascii="Calibri"/>
          <w:spacing w:val="40"/>
          <w:sz w:val="22"/>
        </w:rPr>
        <w:t> </w:t>
      </w:r>
      <w:r>
        <w:rPr>
          <w:rFonts w:ascii="Calibri"/>
          <w:sz w:val="22"/>
        </w:rPr>
        <w:t>(2011b).</w:t>
      </w:r>
      <w:r>
        <w:rPr>
          <w:rFonts w:ascii="Calibri"/>
          <w:spacing w:val="40"/>
          <w:sz w:val="22"/>
        </w:rPr>
        <w:t> </w:t>
      </w:r>
      <w:r>
        <w:rPr>
          <w:rFonts w:ascii="Calibri"/>
          <w:i/>
          <w:sz w:val="22"/>
        </w:rPr>
        <w:t>Public</w:t>
      </w:r>
      <w:r>
        <w:rPr>
          <w:rFonts w:ascii="Calibri"/>
          <w:i/>
          <w:spacing w:val="40"/>
          <w:sz w:val="22"/>
        </w:rPr>
        <w:t> </w:t>
      </w:r>
      <w:r>
        <w:rPr>
          <w:rFonts w:ascii="Calibri"/>
          <w:i/>
          <w:sz w:val="22"/>
        </w:rPr>
        <w:t>access</w:t>
      </w:r>
      <w:r>
        <w:rPr>
          <w:rFonts w:ascii="Calibri"/>
          <w:i/>
          <w:spacing w:val="40"/>
          <w:sz w:val="22"/>
        </w:rPr>
        <w:t> </w:t>
      </w:r>
      <w:r>
        <w:rPr>
          <w:rFonts w:ascii="Calibri"/>
          <w:i/>
          <w:sz w:val="22"/>
        </w:rPr>
        <w:t>to</w:t>
      </w:r>
      <w:r>
        <w:rPr>
          <w:rFonts w:ascii="Calibri"/>
          <w:i/>
          <w:spacing w:val="40"/>
          <w:sz w:val="22"/>
        </w:rPr>
        <w:t> </w:t>
      </w:r>
      <w:r>
        <w:rPr>
          <w:rFonts w:ascii="Calibri"/>
          <w:i/>
          <w:sz w:val="22"/>
        </w:rPr>
        <w:t>documents:</w:t>
      </w:r>
      <w:r>
        <w:rPr>
          <w:rFonts w:ascii="Calibri"/>
          <w:i/>
          <w:spacing w:val="40"/>
          <w:sz w:val="22"/>
        </w:rPr>
        <w:t> </w:t>
      </w:r>
      <w:r>
        <w:rPr>
          <w:rFonts w:ascii="Calibri"/>
          <w:i/>
          <w:sz w:val="22"/>
        </w:rPr>
        <w:t>jurispudence</w:t>
      </w:r>
      <w:r>
        <w:rPr>
          <w:rFonts w:ascii="Calibri"/>
          <w:i/>
          <w:spacing w:val="40"/>
          <w:sz w:val="22"/>
        </w:rPr>
        <w:t> </w:t>
      </w:r>
      <w:r>
        <w:rPr>
          <w:rFonts w:ascii="Calibri"/>
          <w:i/>
          <w:sz w:val="22"/>
        </w:rPr>
        <w:t>between</w:t>
      </w:r>
      <w:r>
        <w:rPr>
          <w:rFonts w:ascii="Calibri"/>
          <w:i/>
          <w:spacing w:val="40"/>
          <w:sz w:val="22"/>
        </w:rPr>
        <w:t> </w:t>
      </w:r>
      <w:r>
        <w:rPr>
          <w:rFonts w:ascii="Calibri"/>
          <w:i/>
          <w:sz w:val="22"/>
        </w:rPr>
        <w:t>principle</w:t>
      </w:r>
      <w:r>
        <w:rPr>
          <w:rFonts w:ascii="Calibri"/>
          <w:i/>
          <w:spacing w:val="40"/>
          <w:sz w:val="22"/>
        </w:rPr>
        <w:t> </w:t>
      </w:r>
      <w:r>
        <w:rPr>
          <w:rFonts w:ascii="Calibri"/>
          <w:i/>
          <w:sz w:val="22"/>
        </w:rPr>
        <w:t>and practice</w:t>
      </w:r>
      <w:r>
        <w:rPr>
          <w:rFonts w:ascii="Calibri"/>
          <w:sz w:val="22"/>
        </w:rPr>
        <w:t>. Gent: Academia Press.</w:t>
      </w:r>
    </w:p>
    <w:p>
      <w:pPr>
        <w:spacing w:before="1"/>
        <w:ind w:left="979" w:right="1909" w:firstLine="0"/>
        <w:jc w:val="left"/>
        <w:rPr>
          <w:rFonts w:ascii="Calibri"/>
          <w:sz w:val="22"/>
        </w:rPr>
      </w:pPr>
      <w:bookmarkStart w:name="_bookmark215" w:id="216"/>
      <w:bookmarkEnd w:id="216"/>
      <w:r>
        <w:rPr/>
      </w:r>
      <w:r>
        <w:rPr>
          <w:rFonts w:ascii="Calibri"/>
          <w:sz w:val="22"/>
        </w:rPr>
        <w:t>Heritier, A. (2000). Overt and Covert: Institutionalization in Europe. </w:t>
      </w:r>
      <w:r>
        <w:rPr>
          <w:rFonts w:ascii="Calibri"/>
          <w:i/>
          <w:sz w:val="22"/>
        </w:rPr>
        <w:t>MPI Collective Goods</w:t>
      </w:r>
      <w:r>
        <w:rPr>
          <w:rFonts w:ascii="Calibri"/>
          <w:sz w:val="22"/>
        </w:rPr>
        <w:t>. </w:t>
      </w:r>
      <w:bookmarkStart w:name="_bookmark216" w:id="217"/>
      <w:bookmarkEnd w:id="217"/>
      <w:r>
        <w:rPr>
          <w:rFonts w:ascii="Calibri"/>
          <w:sz w:val="22"/>
        </w:rPr>
        <w:t>H</w:t>
      </w:r>
      <w:r>
        <w:rPr>
          <w:rFonts w:ascii="Calibri"/>
          <w:sz w:val="22"/>
        </w:rPr>
        <w:t>ermann,</w:t>
      </w:r>
      <w:r>
        <w:rPr>
          <w:rFonts w:ascii="Calibri"/>
          <w:spacing w:val="-1"/>
          <w:sz w:val="22"/>
        </w:rPr>
        <w:t> </w:t>
      </w:r>
      <w:r>
        <w:rPr>
          <w:rFonts w:ascii="Calibri"/>
          <w:sz w:val="22"/>
        </w:rPr>
        <w:t>C. (2007). Neoliberalism in the European Union. </w:t>
      </w:r>
      <w:r>
        <w:rPr>
          <w:rFonts w:ascii="Calibri"/>
          <w:i/>
          <w:sz w:val="22"/>
        </w:rPr>
        <w:t>Studies in Political Economy</w:t>
      </w:r>
      <w:r>
        <w:rPr>
          <w:rFonts w:ascii="Calibri"/>
          <w:sz w:val="22"/>
        </w:rPr>
        <w:t>( 79).</w:t>
      </w:r>
    </w:p>
    <w:p>
      <w:pPr>
        <w:spacing w:before="1"/>
        <w:ind w:left="1700" w:right="1907" w:hanging="721"/>
        <w:jc w:val="both"/>
        <w:rPr>
          <w:rFonts w:ascii="Calibri"/>
          <w:sz w:val="22"/>
        </w:rPr>
      </w:pPr>
      <w:bookmarkStart w:name="_bookmark217" w:id="218"/>
      <w:bookmarkEnd w:id="218"/>
      <w:r>
        <w:rPr/>
      </w:r>
      <w:r>
        <w:rPr>
          <w:rFonts w:ascii="Calibri"/>
          <w:sz w:val="22"/>
        </w:rPr>
        <w:t>Hick,</w:t>
      </w:r>
      <w:r>
        <w:rPr>
          <w:rFonts w:ascii="Calibri"/>
          <w:spacing w:val="-2"/>
          <w:sz w:val="22"/>
        </w:rPr>
        <w:t> </w:t>
      </w:r>
      <w:r>
        <w:rPr>
          <w:rFonts w:ascii="Calibri"/>
          <w:sz w:val="22"/>
        </w:rPr>
        <w:t>A. (1991). The European Movement. In W. Lipgens &amp;</w:t>
      </w:r>
      <w:r>
        <w:rPr>
          <w:rFonts w:ascii="Calibri"/>
          <w:spacing w:val="-1"/>
          <w:sz w:val="22"/>
        </w:rPr>
        <w:t> </w:t>
      </w:r>
      <w:r>
        <w:rPr>
          <w:rFonts w:ascii="Calibri"/>
          <w:sz w:val="22"/>
        </w:rPr>
        <w:t>W. Loth (Eds.), </w:t>
      </w:r>
      <w:r>
        <w:rPr>
          <w:rFonts w:ascii="Calibri"/>
          <w:i/>
          <w:sz w:val="22"/>
        </w:rPr>
        <w:t>Documents on the history of European integration. Transnational organizations of political parties and pressure groups in the struggle for European Union, 1945-1950 </w:t>
      </w:r>
      <w:r>
        <w:rPr>
          <w:rFonts w:ascii="Calibri"/>
          <w:sz w:val="22"/>
        </w:rPr>
        <w:t>(Vol. 4). New York: Walter de Gruyter.</w:t>
      </w:r>
    </w:p>
    <w:p>
      <w:pPr>
        <w:spacing w:before="1"/>
        <w:ind w:left="1700" w:right="1902" w:hanging="721"/>
        <w:jc w:val="both"/>
        <w:rPr>
          <w:rFonts w:ascii="Calibri"/>
          <w:sz w:val="22"/>
        </w:rPr>
      </w:pPr>
      <w:bookmarkStart w:name="_bookmark218" w:id="219"/>
      <w:bookmarkEnd w:id="219"/>
      <w:r>
        <w:rPr/>
      </w:r>
      <w:r>
        <w:rPr>
          <w:rFonts w:ascii="Calibri"/>
          <w:sz w:val="22"/>
        </w:rPr>
        <w:t>Hill, J. (2002). The Postnational Constellation: Political Essays. </w:t>
      </w:r>
      <w:r>
        <w:rPr>
          <w:rFonts w:ascii="Calibri"/>
          <w:i/>
          <w:sz w:val="22"/>
        </w:rPr>
        <w:t>Canadian Journal of Communication,</w:t>
      </w:r>
      <w:r>
        <w:rPr>
          <w:rFonts w:ascii="Calibri"/>
          <w:i/>
          <w:spacing w:val="-1"/>
          <w:sz w:val="22"/>
        </w:rPr>
        <w:t> </w:t>
      </w:r>
      <w:r>
        <w:rPr>
          <w:rFonts w:ascii="Calibri"/>
          <w:i/>
          <w:sz w:val="22"/>
        </w:rPr>
        <w:t>27</w:t>
      </w:r>
      <w:r>
        <w:rPr>
          <w:rFonts w:ascii="Calibri"/>
          <w:sz w:val="22"/>
        </w:rPr>
        <w:t>(4).</w:t>
      </w:r>
    </w:p>
    <w:p>
      <w:pPr>
        <w:spacing w:before="1"/>
        <w:ind w:left="1700" w:right="1914" w:hanging="721"/>
        <w:jc w:val="both"/>
        <w:rPr>
          <w:rFonts w:ascii="Calibri"/>
          <w:sz w:val="22"/>
        </w:rPr>
      </w:pPr>
      <w:bookmarkStart w:name="_bookmark219" w:id="220"/>
      <w:bookmarkEnd w:id="220"/>
      <w:r>
        <w:rPr/>
      </w:r>
      <w:r>
        <w:rPr>
          <w:rFonts w:ascii="Calibri"/>
          <w:sz w:val="22"/>
        </w:rPr>
        <w:t>Hillebrandt, M. Z., Curtin, D., &amp; Meijer, A. (2014). Transparency in the EU Council of Ministers: An Institutional Analysis. </w:t>
      </w:r>
      <w:r>
        <w:rPr>
          <w:rFonts w:ascii="Calibri"/>
          <w:i/>
          <w:sz w:val="22"/>
        </w:rPr>
        <w:t>European Law Journal, 20</w:t>
      </w:r>
      <w:r>
        <w:rPr>
          <w:rFonts w:ascii="Calibri"/>
          <w:sz w:val="22"/>
        </w:rPr>
        <w:t>(1), 1-20.</w:t>
      </w:r>
    </w:p>
    <w:p>
      <w:pPr>
        <w:spacing w:before="0"/>
        <w:ind w:left="1700" w:right="1902" w:hanging="721"/>
        <w:jc w:val="both"/>
        <w:rPr>
          <w:rFonts w:ascii="Calibri"/>
          <w:sz w:val="22"/>
        </w:rPr>
      </w:pPr>
      <w:bookmarkStart w:name="_bookmark220" w:id="221"/>
      <w:bookmarkEnd w:id="221"/>
      <w:r>
        <w:rPr/>
      </w:r>
      <w:r>
        <w:rPr>
          <w:rFonts w:ascii="Calibri"/>
          <w:sz w:val="22"/>
        </w:rPr>
        <w:t>Hirschl,</w:t>
      </w:r>
      <w:r>
        <w:rPr>
          <w:rFonts w:ascii="Calibri"/>
          <w:spacing w:val="-3"/>
          <w:sz w:val="22"/>
        </w:rPr>
        <w:t> </w:t>
      </w:r>
      <w:r>
        <w:rPr>
          <w:rFonts w:ascii="Calibri"/>
          <w:sz w:val="22"/>
        </w:rPr>
        <w:t>R. (2008). The Judicialization</w:t>
      </w:r>
      <w:r>
        <w:rPr>
          <w:rFonts w:ascii="Calibri"/>
          <w:spacing w:val="-1"/>
          <w:sz w:val="22"/>
        </w:rPr>
        <w:t> </w:t>
      </w:r>
      <w:r>
        <w:rPr>
          <w:rFonts w:ascii="Calibri"/>
          <w:sz w:val="22"/>
        </w:rPr>
        <w:t>of</w:t>
      </w:r>
      <w:r>
        <w:rPr>
          <w:rFonts w:ascii="Calibri"/>
          <w:spacing w:val="-1"/>
          <w:sz w:val="22"/>
        </w:rPr>
        <w:t> </w:t>
      </w:r>
      <w:r>
        <w:rPr>
          <w:rFonts w:ascii="Calibri"/>
          <w:sz w:val="22"/>
        </w:rPr>
        <w:t>Mega-Politics</w:t>
      </w:r>
      <w:r>
        <w:rPr>
          <w:rFonts w:ascii="Calibri"/>
          <w:spacing w:val="-1"/>
          <w:sz w:val="22"/>
        </w:rPr>
        <w:t> </w:t>
      </w:r>
      <w:r>
        <w:rPr>
          <w:rFonts w:ascii="Calibri"/>
          <w:sz w:val="22"/>
        </w:rPr>
        <w:t>and</w:t>
      </w:r>
      <w:r>
        <w:rPr>
          <w:rFonts w:ascii="Calibri"/>
          <w:spacing w:val="-1"/>
          <w:sz w:val="22"/>
        </w:rPr>
        <w:t> </w:t>
      </w:r>
      <w:r>
        <w:rPr>
          <w:rFonts w:ascii="Calibri"/>
          <w:sz w:val="22"/>
        </w:rPr>
        <w:t>the Rise</w:t>
      </w:r>
      <w:r>
        <w:rPr>
          <w:rFonts w:ascii="Calibri"/>
          <w:spacing w:val="-5"/>
          <w:sz w:val="22"/>
        </w:rPr>
        <w:t> </w:t>
      </w:r>
      <w:r>
        <w:rPr>
          <w:rFonts w:ascii="Calibri"/>
          <w:sz w:val="22"/>
        </w:rPr>
        <w:t>of</w:t>
      </w:r>
      <w:r>
        <w:rPr>
          <w:rFonts w:ascii="Calibri"/>
          <w:spacing w:val="-1"/>
          <w:sz w:val="22"/>
        </w:rPr>
        <w:t> </w:t>
      </w:r>
      <w:r>
        <w:rPr>
          <w:rFonts w:ascii="Calibri"/>
          <w:sz w:val="22"/>
        </w:rPr>
        <w:t>Political</w:t>
      </w:r>
      <w:r>
        <w:rPr>
          <w:rFonts w:ascii="Calibri"/>
          <w:spacing w:val="-4"/>
          <w:sz w:val="22"/>
        </w:rPr>
        <w:t> </w:t>
      </w:r>
      <w:r>
        <w:rPr>
          <w:rFonts w:ascii="Calibri"/>
          <w:sz w:val="22"/>
        </w:rPr>
        <w:t>Courts.</w:t>
      </w:r>
      <w:r>
        <w:rPr>
          <w:rFonts w:ascii="Calibri"/>
          <w:spacing w:val="-2"/>
          <w:sz w:val="22"/>
        </w:rPr>
        <w:t> </w:t>
      </w:r>
      <w:r>
        <w:rPr>
          <w:rFonts w:ascii="Calibri"/>
          <w:i/>
          <w:sz w:val="22"/>
        </w:rPr>
        <w:t>Annual Review of Political Science, 11</w:t>
      </w:r>
      <w:r>
        <w:rPr>
          <w:rFonts w:ascii="Calibri"/>
          <w:sz w:val="22"/>
        </w:rPr>
        <w:t>.</w:t>
      </w:r>
    </w:p>
    <w:p>
      <w:pPr>
        <w:spacing w:line="240" w:lineRule="auto" w:before="0"/>
        <w:ind w:left="1700" w:right="1905" w:hanging="721"/>
        <w:jc w:val="both"/>
        <w:rPr>
          <w:rFonts w:ascii="Calibri"/>
          <w:sz w:val="22"/>
        </w:rPr>
      </w:pPr>
      <w:bookmarkStart w:name="_bookmark221" w:id="222"/>
      <w:bookmarkEnd w:id="222"/>
      <w:r>
        <w:rPr/>
      </w:r>
      <w:r>
        <w:rPr>
          <w:rFonts w:ascii="Calibri"/>
          <w:sz w:val="22"/>
        </w:rPr>
        <w:t>Hix, S. (2005). </w:t>
      </w:r>
      <w:r>
        <w:rPr>
          <w:rFonts w:ascii="Calibri"/>
          <w:i/>
          <w:sz w:val="22"/>
        </w:rPr>
        <w:t>The political system of the European Union </w:t>
      </w:r>
      <w:r>
        <w:rPr>
          <w:rFonts w:ascii="Calibri"/>
          <w:sz w:val="22"/>
        </w:rPr>
        <w:t>(2nd ed.). Houndmills,</w:t>
      </w:r>
      <w:r>
        <w:rPr>
          <w:rFonts w:ascii="Calibri"/>
          <w:spacing w:val="40"/>
          <w:sz w:val="22"/>
        </w:rPr>
        <w:t> </w:t>
      </w:r>
      <w:r>
        <w:rPr>
          <w:rFonts w:ascii="Calibri"/>
          <w:sz w:val="22"/>
        </w:rPr>
        <w:t>Basingstoke, Hampshire ; New York: Palgrave Macmillan.</w:t>
      </w:r>
    </w:p>
    <w:p>
      <w:pPr>
        <w:spacing w:after="0" w:line="240" w:lineRule="auto"/>
        <w:jc w:val="both"/>
        <w:rPr>
          <w:rFonts w:asci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979" w:right="0" w:firstLine="0"/>
        <w:jc w:val="left"/>
        <w:rPr>
          <w:rFonts w:ascii="Calibri" w:hAnsi="Calibri"/>
          <w:sz w:val="22"/>
        </w:rPr>
      </w:pPr>
      <w:bookmarkStart w:name="_bookmark222" w:id="223"/>
      <w:bookmarkEnd w:id="223"/>
      <w:r>
        <w:rPr/>
      </w:r>
      <w:r>
        <w:rPr>
          <w:rFonts w:ascii="Calibri" w:hAnsi="Calibri"/>
          <w:sz w:val="22"/>
        </w:rPr>
        <w:t>Hix,</w:t>
      </w:r>
      <w:r>
        <w:rPr>
          <w:rFonts w:ascii="Calibri" w:hAnsi="Calibri"/>
          <w:spacing w:val="30"/>
          <w:sz w:val="22"/>
        </w:rPr>
        <w:t> </w:t>
      </w:r>
      <w:r>
        <w:rPr>
          <w:rFonts w:ascii="Calibri" w:hAnsi="Calibri"/>
          <w:sz w:val="22"/>
        </w:rPr>
        <w:t>S.,</w:t>
      </w:r>
      <w:r>
        <w:rPr>
          <w:rFonts w:ascii="Calibri" w:hAnsi="Calibri"/>
          <w:spacing w:val="31"/>
          <w:sz w:val="22"/>
        </w:rPr>
        <w:t> </w:t>
      </w:r>
      <w:r>
        <w:rPr>
          <w:rFonts w:ascii="Calibri" w:hAnsi="Calibri"/>
          <w:sz w:val="22"/>
        </w:rPr>
        <w:t>&amp;</w:t>
      </w:r>
      <w:r>
        <w:rPr>
          <w:rFonts w:ascii="Calibri" w:hAnsi="Calibri"/>
          <w:spacing w:val="31"/>
          <w:sz w:val="22"/>
        </w:rPr>
        <w:t> </w:t>
      </w:r>
      <w:r>
        <w:rPr>
          <w:rFonts w:ascii="Calibri" w:hAnsi="Calibri"/>
          <w:sz w:val="22"/>
        </w:rPr>
        <w:t>Høyland,</w:t>
      </w:r>
      <w:r>
        <w:rPr>
          <w:rFonts w:ascii="Calibri" w:hAnsi="Calibri"/>
          <w:spacing w:val="31"/>
          <w:sz w:val="22"/>
        </w:rPr>
        <w:t> </w:t>
      </w:r>
      <w:r>
        <w:rPr>
          <w:rFonts w:ascii="Calibri" w:hAnsi="Calibri"/>
          <w:sz w:val="22"/>
        </w:rPr>
        <w:t>B.</w:t>
      </w:r>
      <w:r>
        <w:rPr>
          <w:rFonts w:ascii="Calibri" w:hAnsi="Calibri"/>
          <w:spacing w:val="30"/>
          <w:sz w:val="22"/>
        </w:rPr>
        <w:t> </w:t>
      </w:r>
      <w:r>
        <w:rPr>
          <w:rFonts w:ascii="Calibri" w:hAnsi="Calibri"/>
          <w:sz w:val="22"/>
        </w:rPr>
        <w:t>K.</w:t>
      </w:r>
      <w:r>
        <w:rPr>
          <w:rFonts w:ascii="Calibri" w:hAnsi="Calibri"/>
          <w:spacing w:val="35"/>
          <w:sz w:val="22"/>
        </w:rPr>
        <w:t> </w:t>
      </w:r>
      <w:r>
        <w:rPr>
          <w:rFonts w:ascii="Calibri" w:hAnsi="Calibri"/>
          <w:sz w:val="22"/>
        </w:rPr>
        <w:t>r.</w:t>
      </w:r>
      <w:r>
        <w:rPr>
          <w:rFonts w:ascii="Calibri" w:hAnsi="Calibri"/>
          <w:spacing w:val="30"/>
          <w:sz w:val="22"/>
        </w:rPr>
        <w:t> </w:t>
      </w:r>
      <w:r>
        <w:rPr>
          <w:rFonts w:ascii="Calibri" w:hAnsi="Calibri"/>
          <w:sz w:val="22"/>
        </w:rPr>
        <w:t>(2011).</w:t>
      </w:r>
      <w:r>
        <w:rPr>
          <w:rFonts w:ascii="Calibri" w:hAnsi="Calibri"/>
          <w:spacing w:val="40"/>
          <w:sz w:val="22"/>
        </w:rPr>
        <w:t> </w:t>
      </w:r>
      <w:r>
        <w:rPr>
          <w:rFonts w:ascii="Calibri" w:hAnsi="Calibri"/>
          <w:i/>
          <w:sz w:val="22"/>
        </w:rPr>
        <w:t>The</w:t>
      </w:r>
      <w:r>
        <w:rPr>
          <w:rFonts w:ascii="Calibri" w:hAnsi="Calibri"/>
          <w:i/>
          <w:spacing w:val="33"/>
          <w:sz w:val="22"/>
        </w:rPr>
        <w:t> </w:t>
      </w:r>
      <w:r>
        <w:rPr>
          <w:rFonts w:ascii="Calibri" w:hAnsi="Calibri"/>
          <w:i/>
          <w:sz w:val="22"/>
        </w:rPr>
        <w:t>political</w:t>
      </w:r>
      <w:r>
        <w:rPr>
          <w:rFonts w:ascii="Calibri" w:hAnsi="Calibri"/>
          <w:i/>
          <w:spacing w:val="30"/>
          <w:sz w:val="22"/>
        </w:rPr>
        <w:t> </w:t>
      </w:r>
      <w:r>
        <w:rPr>
          <w:rFonts w:ascii="Calibri" w:hAnsi="Calibri"/>
          <w:i/>
          <w:sz w:val="22"/>
        </w:rPr>
        <w:t>system</w:t>
      </w:r>
      <w:r>
        <w:rPr>
          <w:rFonts w:ascii="Calibri" w:hAnsi="Calibri"/>
          <w:i/>
          <w:spacing w:val="31"/>
          <w:sz w:val="22"/>
        </w:rPr>
        <w:t> </w:t>
      </w:r>
      <w:r>
        <w:rPr>
          <w:rFonts w:ascii="Calibri" w:hAnsi="Calibri"/>
          <w:i/>
          <w:sz w:val="22"/>
        </w:rPr>
        <w:t>of</w:t>
      </w:r>
      <w:r>
        <w:rPr>
          <w:rFonts w:ascii="Calibri" w:hAnsi="Calibri"/>
          <w:i/>
          <w:spacing w:val="33"/>
          <w:sz w:val="22"/>
        </w:rPr>
        <w:t> </w:t>
      </w:r>
      <w:r>
        <w:rPr>
          <w:rFonts w:ascii="Calibri" w:hAnsi="Calibri"/>
          <w:i/>
          <w:sz w:val="22"/>
        </w:rPr>
        <w:t>the</w:t>
      </w:r>
      <w:r>
        <w:rPr>
          <w:rFonts w:ascii="Calibri" w:hAnsi="Calibri"/>
          <w:i/>
          <w:spacing w:val="33"/>
          <w:sz w:val="22"/>
        </w:rPr>
        <w:t> </w:t>
      </w:r>
      <w:r>
        <w:rPr>
          <w:rFonts w:ascii="Calibri" w:hAnsi="Calibri"/>
          <w:i/>
          <w:sz w:val="22"/>
        </w:rPr>
        <w:t>European</w:t>
      </w:r>
      <w:r>
        <w:rPr>
          <w:rFonts w:ascii="Calibri" w:hAnsi="Calibri"/>
          <w:i/>
          <w:spacing w:val="30"/>
          <w:sz w:val="22"/>
        </w:rPr>
        <w:t> </w:t>
      </w:r>
      <w:r>
        <w:rPr>
          <w:rFonts w:ascii="Calibri" w:hAnsi="Calibri"/>
          <w:i/>
          <w:sz w:val="22"/>
        </w:rPr>
        <w:t>Union</w:t>
      </w:r>
      <w:r>
        <w:rPr>
          <w:rFonts w:ascii="Calibri" w:hAnsi="Calibri"/>
          <w:i/>
          <w:spacing w:val="37"/>
          <w:sz w:val="22"/>
        </w:rPr>
        <w:t> </w:t>
      </w:r>
      <w:r>
        <w:rPr>
          <w:rFonts w:ascii="Calibri" w:hAnsi="Calibri"/>
          <w:sz w:val="22"/>
        </w:rPr>
        <w:t>(3rd</w:t>
      </w:r>
      <w:r>
        <w:rPr>
          <w:rFonts w:ascii="Calibri" w:hAnsi="Calibri"/>
          <w:spacing w:val="32"/>
          <w:sz w:val="22"/>
        </w:rPr>
        <w:t> </w:t>
      </w:r>
      <w:r>
        <w:rPr>
          <w:rFonts w:ascii="Calibri" w:hAnsi="Calibri"/>
          <w:spacing w:val="-2"/>
          <w:sz w:val="22"/>
        </w:rPr>
        <w:t>ed.).</w:t>
      </w:r>
    </w:p>
    <w:p>
      <w:pPr>
        <w:spacing w:before="0"/>
        <w:ind w:left="1700" w:right="0" w:firstLine="0"/>
        <w:jc w:val="left"/>
        <w:rPr>
          <w:rFonts w:ascii="Calibri"/>
          <w:sz w:val="22"/>
        </w:rPr>
      </w:pPr>
      <w:r>
        <w:rPr>
          <w:rFonts w:ascii="Calibri"/>
          <w:sz w:val="22"/>
        </w:rPr>
        <w:t>Basingstoke:</w:t>
      </w:r>
      <w:r>
        <w:rPr>
          <w:rFonts w:ascii="Calibri"/>
          <w:spacing w:val="-7"/>
          <w:sz w:val="22"/>
        </w:rPr>
        <w:t> </w:t>
      </w:r>
      <w:r>
        <w:rPr>
          <w:rFonts w:ascii="Calibri"/>
          <w:sz w:val="22"/>
        </w:rPr>
        <w:t>Palgrave</w:t>
      </w:r>
      <w:r>
        <w:rPr>
          <w:rFonts w:ascii="Calibri"/>
          <w:spacing w:val="-3"/>
          <w:sz w:val="22"/>
        </w:rPr>
        <w:t> </w:t>
      </w:r>
      <w:r>
        <w:rPr>
          <w:rFonts w:ascii="Calibri"/>
          <w:spacing w:val="-2"/>
          <w:sz w:val="22"/>
        </w:rPr>
        <w:t>Macmillan.</w:t>
      </w:r>
    </w:p>
    <w:p>
      <w:pPr>
        <w:spacing w:before="1"/>
        <w:ind w:left="1700" w:right="1909" w:hanging="721"/>
        <w:jc w:val="left"/>
        <w:rPr>
          <w:rFonts w:ascii="Calibri" w:hAnsi="Calibri"/>
          <w:sz w:val="22"/>
        </w:rPr>
      </w:pPr>
      <w:bookmarkStart w:name="_bookmark223" w:id="224"/>
      <w:bookmarkEnd w:id="224"/>
      <w:r>
        <w:rPr/>
      </w:r>
      <w:r>
        <w:rPr>
          <w:rFonts w:ascii="Calibri" w:hAnsi="Calibri"/>
          <w:sz w:val="22"/>
        </w:rPr>
        <w:t>Hix,</w:t>
      </w:r>
      <w:r>
        <w:rPr>
          <w:rFonts w:ascii="Calibri" w:hAnsi="Calibri"/>
          <w:spacing w:val="80"/>
          <w:sz w:val="22"/>
        </w:rPr>
        <w:t> </w:t>
      </w:r>
      <w:r>
        <w:rPr>
          <w:rFonts w:ascii="Calibri" w:hAnsi="Calibri"/>
          <w:sz w:val="22"/>
        </w:rPr>
        <w:t>S.</w:t>
      </w:r>
      <w:r>
        <w:rPr>
          <w:rFonts w:ascii="Calibri" w:hAnsi="Calibri"/>
          <w:spacing w:val="80"/>
          <w:sz w:val="22"/>
        </w:rPr>
        <w:t> </w:t>
      </w:r>
      <w:r>
        <w:rPr>
          <w:rFonts w:ascii="Calibri" w:hAnsi="Calibri"/>
          <w:sz w:val="22"/>
        </w:rPr>
        <w:t>N.,</w:t>
      </w:r>
      <w:r>
        <w:rPr>
          <w:rFonts w:ascii="Calibri" w:hAnsi="Calibri"/>
          <w:spacing w:val="80"/>
          <w:sz w:val="22"/>
        </w:rPr>
        <w:t> </w:t>
      </w:r>
      <w:r>
        <w:rPr>
          <w:rFonts w:ascii="Calibri" w:hAnsi="Calibri"/>
          <w:sz w:val="22"/>
        </w:rPr>
        <w:t>Abdul;</w:t>
      </w:r>
      <w:r>
        <w:rPr>
          <w:rFonts w:ascii="Calibri" w:hAnsi="Calibri"/>
          <w:spacing w:val="80"/>
          <w:sz w:val="22"/>
        </w:rPr>
        <w:t> </w:t>
      </w:r>
      <w:r>
        <w:rPr>
          <w:rFonts w:ascii="Calibri" w:hAnsi="Calibri"/>
          <w:sz w:val="22"/>
        </w:rPr>
        <w:t>R,</w:t>
      </w:r>
      <w:r>
        <w:rPr>
          <w:rFonts w:ascii="Calibri" w:hAnsi="Calibri"/>
          <w:spacing w:val="80"/>
          <w:sz w:val="22"/>
        </w:rPr>
        <w:t> </w:t>
      </w:r>
      <w:r>
        <w:rPr>
          <w:rFonts w:ascii="Calibri" w:hAnsi="Calibri"/>
          <w:sz w:val="22"/>
        </w:rPr>
        <w:t>Gerard.</w:t>
      </w:r>
      <w:r>
        <w:rPr>
          <w:rFonts w:ascii="Calibri" w:hAnsi="Calibri"/>
          <w:spacing w:val="80"/>
          <w:sz w:val="22"/>
        </w:rPr>
        <w:t> </w:t>
      </w:r>
      <w:r>
        <w:rPr>
          <w:rFonts w:ascii="Calibri" w:hAnsi="Calibri"/>
          <w:sz w:val="22"/>
        </w:rPr>
        <w:t>.</w:t>
      </w:r>
      <w:r>
        <w:rPr>
          <w:rFonts w:ascii="Calibri" w:hAnsi="Calibri"/>
          <w:spacing w:val="80"/>
          <w:sz w:val="22"/>
        </w:rPr>
        <w:t> </w:t>
      </w:r>
      <w:r>
        <w:rPr>
          <w:rFonts w:ascii="Calibri" w:hAnsi="Calibri"/>
          <w:sz w:val="22"/>
        </w:rPr>
        <w:t>(2002).</w:t>
      </w:r>
      <w:r>
        <w:rPr>
          <w:rFonts w:ascii="Calibri" w:hAnsi="Calibri"/>
          <w:spacing w:val="80"/>
          <w:sz w:val="22"/>
        </w:rPr>
        <w:t> </w:t>
      </w:r>
      <w:r>
        <w:rPr>
          <w:rFonts w:ascii="Calibri" w:hAnsi="Calibri"/>
          <w:sz w:val="22"/>
        </w:rPr>
        <w:t>A</w:t>
      </w:r>
      <w:r>
        <w:rPr>
          <w:rFonts w:ascii="Calibri" w:hAnsi="Calibri"/>
          <w:spacing w:val="80"/>
          <w:sz w:val="22"/>
        </w:rPr>
        <w:t> </w:t>
      </w:r>
      <w:r>
        <w:rPr>
          <w:rFonts w:ascii="Calibri" w:hAnsi="Calibri"/>
          <w:sz w:val="22"/>
        </w:rPr>
        <w:t>‘Normal’</w:t>
      </w:r>
      <w:r>
        <w:rPr>
          <w:rFonts w:ascii="Calibri" w:hAnsi="Calibri"/>
          <w:spacing w:val="80"/>
          <w:sz w:val="22"/>
        </w:rPr>
        <w:t> </w:t>
      </w:r>
      <w:r>
        <w:rPr>
          <w:rFonts w:ascii="Calibri" w:hAnsi="Calibri"/>
          <w:sz w:val="22"/>
        </w:rPr>
        <w:t>Parliament?</w:t>
      </w:r>
      <w:r>
        <w:rPr>
          <w:rFonts w:ascii="Calibri" w:hAnsi="Calibri"/>
          <w:spacing w:val="80"/>
          <w:sz w:val="22"/>
        </w:rPr>
        <w:t> </w:t>
      </w:r>
      <w:r>
        <w:rPr>
          <w:rFonts w:ascii="Calibri" w:hAnsi="Calibri"/>
          <w:sz w:val="22"/>
        </w:rPr>
        <w:t>Party</w:t>
      </w:r>
      <w:r>
        <w:rPr>
          <w:rFonts w:ascii="Calibri" w:hAnsi="Calibri"/>
          <w:spacing w:val="80"/>
          <w:sz w:val="22"/>
        </w:rPr>
        <w:t> </w:t>
      </w:r>
      <w:r>
        <w:rPr>
          <w:rFonts w:ascii="Calibri" w:hAnsi="Calibri"/>
          <w:sz w:val="22"/>
        </w:rPr>
        <w:t>Cohesion</w:t>
      </w:r>
      <w:r>
        <w:rPr>
          <w:rFonts w:ascii="Calibri" w:hAnsi="Calibri"/>
          <w:spacing w:val="80"/>
          <w:sz w:val="22"/>
        </w:rPr>
        <w:t> </w:t>
      </w:r>
      <w:r>
        <w:rPr>
          <w:rFonts w:ascii="Calibri" w:hAnsi="Calibri"/>
          <w:sz w:val="22"/>
        </w:rPr>
        <w:t>and Competition in the European Parliament, 1979-2001. </w:t>
      </w:r>
      <w:r>
        <w:rPr>
          <w:rFonts w:ascii="Calibri" w:hAnsi="Calibri"/>
          <w:i/>
          <w:sz w:val="22"/>
        </w:rPr>
        <w:t>EPRG Working Paper</w:t>
      </w:r>
      <w:r>
        <w:rPr>
          <w:rFonts w:ascii="Calibri" w:hAnsi="Calibri"/>
          <w:sz w:val="22"/>
        </w:rPr>
        <w:t>(9).</w:t>
      </w:r>
    </w:p>
    <w:p>
      <w:pPr>
        <w:spacing w:line="235" w:lineRule="auto" w:before="5"/>
        <w:ind w:left="1700" w:right="1909" w:hanging="721"/>
        <w:jc w:val="left"/>
        <w:rPr>
          <w:rFonts w:ascii="Calibri"/>
          <w:sz w:val="22"/>
        </w:rPr>
      </w:pPr>
      <w:bookmarkStart w:name="_bookmark224" w:id="225"/>
      <w:bookmarkEnd w:id="225"/>
      <w:r>
        <w:rPr/>
      </w:r>
      <w:r>
        <w:rPr>
          <w:rFonts w:ascii="Calibri"/>
          <w:sz w:val="22"/>
        </w:rPr>
        <w:t>Hofmann,</w:t>
      </w:r>
      <w:r>
        <w:rPr>
          <w:rFonts w:ascii="Calibri"/>
          <w:spacing w:val="36"/>
          <w:sz w:val="22"/>
        </w:rPr>
        <w:t> </w:t>
      </w:r>
      <w:r>
        <w:rPr>
          <w:rFonts w:ascii="Calibri"/>
          <w:sz w:val="22"/>
        </w:rPr>
        <w:t>S.</w:t>
      </w:r>
      <w:r>
        <w:rPr>
          <w:rFonts w:ascii="Calibri"/>
          <w:spacing w:val="39"/>
          <w:sz w:val="22"/>
        </w:rPr>
        <w:t> </w:t>
      </w:r>
      <w:r>
        <w:rPr>
          <w:rFonts w:ascii="Calibri"/>
          <w:sz w:val="22"/>
        </w:rPr>
        <w:t>(2009).</w:t>
      </w:r>
      <w:r>
        <w:rPr>
          <w:rFonts w:ascii="Calibri"/>
          <w:spacing w:val="40"/>
          <w:sz w:val="22"/>
        </w:rPr>
        <w:t> </w:t>
      </w:r>
      <w:r>
        <w:rPr>
          <w:rFonts w:ascii="Calibri"/>
          <w:sz w:val="22"/>
        </w:rPr>
        <w:t>Overlapping</w:t>
      </w:r>
      <w:r>
        <w:rPr>
          <w:rFonts w:ascii="Calibri"/>
          <w:spacing w:val="35"/>
          <w:sz w:val="22"/>
        </w:rPr>
        <w:t> </w:t>
      </w:r>
      <w:r>
        <w:rPr>
          <w:rFonts w:ascii="Calibri"/>
          <w:sz w:val="22"/>
        </w:rPr>
        <w:t>Institutions</w:t>
      </w:r>
      <w:r>
        <w:rPr>
          <w:rFonts w:ascii="Calibri"/>
          <w:spacing w:val="38"/>
          <w:sz w:val="22"/>
        </w:rPr>
        <w:t> </w:t>
      </w:r>
      <w:r>
        <w:rPr>
          <w:rFonts w:ascii="Calibri"/>
          <w:sz w:val="22"/>
        </w:rPr>
        <w:t>in</w:t>
      </w:r>
      <w:r>
        <w:rPr>
          <w:rFonts w:ascii="Calibri"/>
          <w:spacing w:val="37"/>
          <w:sz w:val="22"/>
        </w:rPr>
        <w:t> </w:t>
      </w:r>
      <w:r>
        <w:rPr>
          <w:rFonts w:ascii="Calibri"/>
          <w:sz w:val="22"/>
        </w:rPr>
        <w:t>the</w:t>
      </w:r>
      <w:r>
        <w:rPr>
          <w:rFonts w:ascii="Calibri"/>
          <w:spacing w:val="39"/>
          <w:sz w:val="22"/>
        </w:rPr>
        <w:t> </w:t>
      </w:r>
      <w:r>
        <w:rPr>
          <w:rFonts w:ascii="Calibri"/>
          <w:sz w:val="22"/>
        </w:rPr>
        <w:t>Realm</w:t>
      </w:r>
      <w:r>
        <w:rPr>
          <w:rFonts w:ascii="Calibri"/>
          <w:spacing w:val="39"/>
          <w:sz w:val="22"/>
        </w:rPr>
        <w:t> </w:t>
      </w:r>
      <w:r>
        <w:rPr>
          <w:rFonts w:ascii="Calibri"/>
          <w:sz w:val="22"/>
        </w:rPr>
        <w:t>of</w:t>
      </w:r>
      <w:r>
        <w:rPr>
          <w:rFonts w:ascii="Calibri"/>
          <w:spacing w:val="38"/>
          <w:sz w:val="22"/>
        </w:rPr>
        <w:t> </w:t>
      </w:r>
      <w:r>
        <w:rPr>
          <w:rFonts w:ascii="Calibri"/>
          <w:sz w:val="22"/>
        </w:rPr>
        <w:t>International</w:t>
      </w:r>
      <w:r>
        <w:rPr>
          <w:rFonts w:ascii="Calibri"/>
          <w:spacing w:val="40"/>
          <w:sz w:val="22"/>
        </w:rPr>
        <w:t> </w:t>
      </w:r>
      <w:r>
        <w:rPr>
          <w:rFonts w:ascii="Calibri"/>
          <w:sz w:val="22"/>
        </w:rPr>
        <w:t>Security:</w:t>
      </w:r>
      <w:r>
        <w:rPr>
          <w:rFonts w:ascii="Calibri"/>
          <w:spacing w:val="37"/>
          <w:sz w:val="22"/>
        </w:rPr>
        <w:t> </w:t>
      </w:r>
      <w:r>
        <w:rPr>
          <w:rFonts w:ascii="Calibri"/>
          <w:sz w:val="22"/>
        </w:rPr>
        <w:t>The Case of NATO and ESDP. </w:t>
      </w:r>
      <w:r>
        <w:rPr>
          <w:rFonts w:ascii="Calibri"/>
          <w:i/>
          <w:sz w:val="22"/>
        </w:rPr>
        <w:t>Perspectives on Politics, 7</w:t>
      </w:r>
      <w:r>
        <w:rPr>
          <w:rFonts w:ascii="Calibri"/>
          <w:sz w:val="22"/>
        </w:rPr>
        <w:t>(01), 45-52.</w:t>
      </w:r>
    </w:p>
    <w:p>
      <w:pPr>
        <w:spacing w:before="2"/>
        <w:ind w:left="979" w:right="0" w:firstLine="0"/>
        <w:jc w:val="left"/>
        <w:rPr>
          <w:rFonts w:ascii="Calibri"/>
          <w:sz w:val="22"/>
        </w:rPr>
      </w:pPr>
      <w:bookmarkStart w:name="_bookmark225" w:id="226"/>
      <w:bookmarkEnd w:id="226"/>
      <w:r>
        <w:rPr/>
      </w:r>
      <w:r>
        <w:rPr>
          <w:rFonts w:ascii="Calibri"/>
          <w:sz w:val="22"/>
        </w:rPr>
        <w:t>Hofmann, S.,</w:t>
      </w:r>
      <w:r>
        <w:rPr>
          <w:rFonts w:ascii="Calibri"/>
          <w:spacing w:val="3"/>
          <w:sz w:val="22"/>
        </w:rPr>
        <w:t> </w:t>
      </w:r>
      <w:r>
        <w:rPr>
          <w:rFonts w:ascii="Calibri"/>
          <w:sz w:val="22"/>
        </w:rPr>
        <w:t>&amp;</w:t>
      </w:r>
      <w:r>
        <w:rPr>
          <w:rFonts w:ascii="Calibri"/>
          <w:spacing w:val="2"/>
          <w:sz w:val="22"/>
        </w:rPr>
        <w:t> </w:t>
      </w:r>
      <w:r>
        <w:rPr>
          <w:rFonts w:ascii="Calibri"/>
          <w:sz w:val="22"/>
        </w:rPr>
        <w:t>Reynolds,</w:t>
      </w:r>
      <w:r>
        <w:rPr>
          <w:rFonts w:ascii="Calibri"/>
          <w:spacing w:val="3"/>
          <w:sz w:val="22"/>
        </w:rPr>
        <w:t> </w:t>
      </w:r>
      <w:r>
        <w:rPr>
          <w:rFonts w:ascii="Calibri"/>
          <w:sz w:val="22"/>
        </w:rPr>
        <w:t>C.</w:t>
      </w:r>
      <w:r>
        <w:rPr>
          <w:rFonts w:ascii="Calibri"/>
          <w:spacing w:val="6"/>
          <w:sz w:val="22"/>
        </w:rPr>
        <w:t> </w:t>
      </w:r>
      <w:r>
        <w:rPr>
          <w:rFonts w:ascii="Calibri"/>
          <w:sz w:val="22"/>
        </w:rPr>
        <w:t>(2007).</w:t>
      </w:r>
      <w:r>
        <w:rPr>
          <w:rFonts w:ascii="Calibri"/>
          <w:spacing w:val="6"/>
          <w:sz w:val="22"/>
        </w:rPr>
        <w:t> </w:t>
      </w:r>
      <w:r>
        <w:rPr>
          <w:rFonts w:ascii="Calibri"/>
          <w:sz w:val="22"/>
        </w:rPr>
        <w:t>EU-NATO</w:t>
      </w:r>
      <w:r>
        <w:rPr>
          <w:rFonts w:ascii="Calibri"/>
          <w:spacing w:val="3"/>
          <w:sz w:val="22"/>
        </w:rPr>
        <w:t> </w:t>
      </w:r>
      <w:r>
        <w:rPr>
          <w:rFonts w:ascii="Calibri"/>
          <w:sz w:val="22"/>
        </w:rPr>
        <w:t>Relations:</w:t>
      </w:r>
      <w:r>
        <w:rPr>
          <w:rFonts w:ascii="Calibri"/>
          <w:spacing w:val="3"/>
          <w:sz w:val="22"/>
        </w:rPr>
        <w:t> </w:t>
      </w:r>
      <w:r>
        <w:rPr>
          <w:rFonts w:ascii="Calibri"/>
          <w:sz w:val="22"/>
        </w:rPr>
        <w:t>Time</w:t>
      </w:r>
      <w:r>
        <w:rPr>
          <w:rFonts w:ascii="Calibri"/>
          <w:spacing w:val="6"/>
          <w:sz w:val="22"/>
        </w:rPr>
        <w:t> </w:t>
      </w:r>
      <w:r>
        <w:rPr>
          <w:rFonts w:ascii="Calibri"/>
          <w:sz w:val="22"/>
        </w:rPr>
        <w:t>to</w:t>
      </w:r>
      <w:r>
        <w:rPr>
          <w:rFonts w:ascii="Calibri"/>
          <w:spacing w:val="3"/>
          <w:sz w:val="22"/>
        </w:rPr>
        <w:t> </w:t>
      </w:r>
      <w:r>
        <w:rPr>
          <w:rFonts w:ascii="Calibri"/>
          <w:sz w:val="22"/>
        </w:rPr>
        <w:t>Thaw</w:t>
      </w:r>
      <w:r>
        <w:rPr>
          <w:rFonts w:ascii="Calibri"/>
          <w:spacing w:val="10"/>
          <w:sz w:val="22"/>
        </w:rPr>
        <w:t> </w:t>
      </w:r>
      <w:r>
        <w:rPr>
          <w:rFonts w:ascii="Calibri"/>
          <w:sz w:val="22"/>
        </w:rPr>
        <w:t>the</w:t>
      </w:r>
      <w:r>
        <w:rPr>
          <w:rFonts w:ascii="Calibri"/>
          <w:spacing w:val="5"/>
          <w:sz w:val="22"/>
        </w:rPr>
        <w:t> </w:t>
      </w:r>
      <w:r>
        <w:rPr>
          <w:rFonts w:ascii="Calibri"/>
          <w:sz w:val="22"/>
        </w:rPr>
        <w:t>'Frozen</w:t>
      </w:r>
      <w:r>
        <w:rPr>
          <w:rFonts w:ascii="Calibri"/>
          <w:spacing w:val="5"/>
          <w:sz w:val="22"/>
        </w:rPr>
        <w:t> </w:t>
      </w:r>
      <w:r>
        <w:rPr>
          <w:rFonts w:ascii="Calibri"/>
          <w:spacing w:val="-2"/>
          <w:sz w:val="22"/>
        </w:rPr>
        <w:t>Conflict'.</w:t>
      </w:r>
    </w:p>
    <w:p>
      <w:pPr>
        <w:spacing w:before="0"/>
        <w:ind w:left="1700" w:right="0" w:firstLine="0"/>
        <w:jc w:val="left"/>
        <w:rPr>
          <w:rFonts w:ascii="Calibri"/>
          <w:sz w:val="22"/>
        </w:rPr>
      </w:pPr>
      <w:r>
        <w:rPr>
          <w:rFonts w:ascii="Calibri"/>
          <w:i/>
          <w:sz w:val="22"/>
        </w:rPr>
        <w:t>Stiftung</w:t>
      </w:r>
      <w:r>
        <w:rPr>
          <w:rFonts w:ascii="Calibri"/>
          <w:i/>
          <w:spacing w:val="-7"/>
          <w:sz w:val="22"/>
        </w:rPr>
        <w:t> </w:t>
      </w:r>
      <w:r>
        <w:rPr>
          <w:rFonts w:ascii="Calibri"/>
          <w:i/>
          <w:sz w:val="22"/>
        </w:rPr>
        <w:t>Wissenschaft</w:t>
      </w:r>
      <w:r>
        <w:rPr>
          <w:rFonts w:ascii="Calibri"/>
          <w:i/>
          <w:spacing w:val="-9"/>
          <w:sz w:val="22"/>
        </w:rPr>
        <w:t> </w:t>
      </w:r>
      <w:r>
        <w:rPr>
          <w:rFonts w:ascii="Calibri"/>
          <w:i/>
          <w:sz w:val="22"/>
        </w:rPr>
        <w:t>und</w:t>
      </w:r>
      <w:r>
        <w:rPr>
          <w:rFonts w:ascii="Calibri"/>
          <w:i/>
          <w:spacing w:val="-6"/>
          <w:sz w:val="22"/>
        </w:rPr>
        <w:t> </w:t>
      </w:r>
      <w:r>
        <w:rPr>
          <w:rFonts w:ascii="Calibri"/>
          <w:i/>
          <w:sz w:val="22"/>
        </w:rPr>
        <w:t>Politik</w:t>
      </w:r>
      <w:r>
        <w:rPr>
          <w:rFonts w:ascii="Calibri"/>
          <w:i/>
          <w:spacing w:val="-7"/>
          <w:sz w:val="22"/>
        </w:rPr>
        <w:t> </w:t>
      </w:r>
      <w:r>
        <w:rPr>
          <w:rFonts w:ascii="Calibri"/>
          <w:i/>
          <w:spacing w:val="-2"/>
          <w:sz w:val="22"/>
        </w:rPr>
        <w:t>(SWP)</w:t>
      </w:r>
      <w:r>
        <w:rPr>
          <w:rFonts w:ascii="Calibri"/>
          <w:spacing w:val="-2"/>
          <w:sz w:val="22"/>
        </w:rPr>
        <w:t>.</w:t>
      </w:r>
    </w:p>
    <w:p>
      <w:pPr>
        <w:spacing w:before="1"/>
        <w:ind w:left="979" w:right="0" w:firstLine="0"/>
        <w:jc w:val="left"/>
        <w:rPr>
          <w:rFonts w:ascii="Calibri"/>
          <w:sz w:val="22"/>
        </w:rPr>
      </w:pPr>
      <w:bookmarkStart w:name="_bookmark226" w:id="227"/>
      <w:bookmarkEnd w:id="227"/>
      <w:r>
        <w:rPr/>
      </w:r>
      <w:r>
        <w:rPr>
          <w:rFonts w:ascii="Calibri"/>
          <w:sz w:val="22"/>
        </w:rPr>
        <w:t>Holdgaard,</w:t>
      </w:r>
      <w:r>
        <w:rPr>
          <w:rFonts w:ascii="Calibri"/>
          <w:spacing w:val="25"/>
          <w:sz w:val="22"/>
        </w:rPr>
        <w:t> </w:t>
      </w:r>
      <w:r>
        <w:rPr>
          <w:rFonts w:ascii="Calibri"/>
          <w:sz w:val="22"/>
        </w:rPr>
        <w:t>L.,</w:t>
      </w:r>
      <w:r>
        <w:rPr>
          <w:rFonts w:ascii="Calibri"/>
          <w:spacing w:val="24"/>
          <w:sz w:val="22"/>
        </w:rPr>
        <w:t> </w:t>
      </w:r>
      <w:r>
        <w:rPr>
          <w:rFonts w:ascii="Calibri"/>
          <w:sz w:val="22"/>
        </w:rPr>
        <w:t>&amp;</w:t>
      </w:r>
      <w:r>
        <w:rPr>
          <w:rFonts w:ascii="Calibri"/>
          <w:spacing w:val="21"/>
          <w:sz w:val="22"/>
        </w:rPr>
        <w:t> </w:t>
      </w:r>
      <w:r>
        <w:rPr>
          <w:rFonts w:ascii="Calibri"/>
          <w:sz w:val="22"/>
        </w:rPr>
        <w:t>Holdgaard,</w:t>
      </w:r>
      <w:r>
        <w:rPr>
          <w:rFonts w:ascii="Calibri"/>
          <w:spacing w:val="24"/>
          <w:sz w:val="22"/>
        </w:rPr>
        <w:t> </w:t>
      </w:r>
      <w:r>
        <w:rPr>
          <w:rFonts w:ascii="Calibri"/>
          <w:sz w:val="22"/>
        </w:rPr>
        <w:t>R.</w:t>
      </w:r>
      <w:r>
        <w:rPr>
          <w:rFonts w:ascii="Calibri"/>
          <w:spacing w:val="27"/>
          <w:sz w:val="22"/>
        </w:rPr>
        <w:t> </w:t>
      </w:r>
      <w:r>
        <w:rPr>
          <w:rFonts w:ascii="Calibri"/>
          <w:sz w:val="22"/>
        </w:rPr>
        <w:t>(2001).</w:t>
      </w:r>
      <w:r>
        <w:rPr>
          <w:rFonts w:ascii="Calibri"/>
          <w:spacing w:val="28"/>
          <w:sz w:val="22"/>
        </w:rPr>
        <w:t> </w:t>
      </w:r>
      <w:r>
        <w:rPr>
          <w:rFonts w:ascii="Calibri"/>
          <w:sz w:val="22"/>
        </w:rPr>
        <w:t>The</w:t>
      </w:r>
      <w:r>
        <w:rPr>
          <w:rFonts w:ascii="Calibri"/>
          <w:spacing w:val="22"/>
          <w:sz w:val="22"/>
        </w:rPr>
        <w:t> </w:t>
      </w:r>
      <w:r>
        <w:rPr>
          <w:rFonts w:ascii="Calibri"/>
          <w:sz w:val="22"/>
        </w:rPr>
        <w:t>External</w:t>
      </w:r>
      <w:r>
        <w:rPr>
          <w:rFonts w:ascii="Calibri"/>
          <w:spacing w:val="24"/>
          <w:sz w:val="22"/>
        </w:rPr>
        <w:t> </w:t>
      </w:r>
      <w:r>
        <w:rPr>
          <w:rFonts w:ascii="Calibri"/>
          <w:sz w:val="22"/>
        </w:rPr>
        <w:t>Powers</w:t>
      </w:r>
      <w:r>
        <w:rPr>
          <w:rFonts w:ascii="Calibri"/>
          <w:spacing w:val="26"/>
          <w:sz w:val="22"/>
        </w:rPr>
        <w:t> </w:t>
      </w:r>
      <w:r>
        <w:rPr>
          <w:rFonts w:ascii="Calibri"/>
          <w:sz w:val="22"/>
        </w:rPr>
        <w:t>of</w:t>
      </w:r>
      <w:r>
        <w:rPr>
          <w:rFonts w:ascii="Calibri"/>
          <w:spacing w:val="74"/>
          <w:w w:val="150"/>
          <w:sz w:val="22"/>
        </w:rPr>
        <w:t> </w:t>
      </w:r>
      <w:r>
        <w:rPr>
          <w:rFonts w:ascii="Calibri"/>
          <w:sz w:val="22"/>
        </w:rPr>
        <w:t>the</w:t>
      </w:r>
      <w:r>
        <w:rPr>
          <w:rFonts w:ascii="Calibri"/>
          <w:spacing w:val="27"/>
          <w:sz w:val="22"/>
        </w:rPr>
        <w:t> </w:t>
      </w:r>
      <w:r>
        <w:rPr>
          <w:rFonts w:ascii="Calibri"/>
          <w:sz w:val="22"/>
        </w:rPr>
        <w:t>European</w:t>
      </w:r>
      <w:r>
        <w:rPr>
          <w:rFonts w:ascii="Calibri"/>
          <w:spacing w:val="26"/>
          <w:sz w:val="22"/>
        </w:rPr>
        <w:t> </w:t>
      </w:r>
      <w:r>
        <w:rPr>
          <w:rFonts w:ascii="Calibri"/>
          <w:spacing w:val="-2"/>
          <w:sz w:val="22"/>
        </w:rPr>
        <w:t>Community</w:t>
      </w:r>
    </w:p>
    <w:p>
      <w:pPr>
        <w:spacing w:before="0"/>
        <w:ind w:left="1700" w:right="0" w:firstLine="0"/>
        <w:jc w:val="left"/>
        <w:rPr>
          <w:rFonts w:ascii="Calibri"/>
          <w:sz w:val="22"/>
        </w:rPr>
      </w:pPr>
      <w:r>
        <w:rPr>
          <w:rFonts w:ascii="Calibri"/>
          <w:i/>
          <w:sz w:val="22"/>
        </w:rPr>
        <w:t>Aarhus</w:t>
      </w:r>
      <w:r>
        <w:rPr>
          <w:rFonts w:ascii="Calibri"/>
          <w:i/>
          <w:spacing w:val="-6"/>
          <w:sz w:val="22"/>
        </w:rPr>
        <w:t> </w:t>
      </w:r>
      <w:r>
        <w:rPr>
          <w:rFonts w:ascii="Calibri"/>
          <w:i/>
          <w:sz w:val="22"/>
        </w:rPr>
        <w:t>University,</w:t>
      </w:r>
      <w:r>
        <w:rPr>
          <w:rFonts w:ascii="Calibri"/>
          <w:i/>
          <w:spacing w:val="-7"/>
          <w:sz w:val="22"/>
        </w:rPr>
        <w:t> </w:t>
      </w:r>
      <w:r>
        <w:rPr>
          <w:rFonts w:ascii="Calibri"/>
          <w:i/>
          <w:spacing w:val="-2"/>
          <w:sz w:val="22"/>
        </w:rPr>
        <w:t>Rettid</w:t>
      </w:r>
      <w:r>
        <w:rPr>
          <w:rFonts w:ascii="Calibri"/>
          <w:spacing w:val="-2"/>
          <w:sz w:val="22"/>
        </w:rPr>
        <w:t>.</w:t>
      </w:r>
    </w:p>
    <w:p>
      <w:pPr>
        <w:spacing w:before="1"/>
        <w:ind w:left="1700" w:right="1909" w:hanging="721"/>
        <w:jc w:val="left"/>
        <w:rPr>
          <w:rFonts w:ascii="Calibri"/>
          <w:sz w:val="22"/>
        </w:rPr>
      </w:pPr>
      <w:bookmarkStart w:name="_bookmark227" w:id="228"/>
      <w:bookmarkEnd w:id="228"/>
      <w:r>
        <w:rPr/>
      </w:r>
      <w:r>
        <w:rPr>
          <w:rFonts w:ascii="Calibri"/>
          <w:sz w:val="22"/>
        </w:rPr>
        <w:t>Hoverstadt,</w:t>
      </w:r>
      <w:r>
        <w:rPr>
          <w:rFonts w:ascii="Calibri"/>
          <w:spacing w:val="-1"/>
          <w:sz w:val="22"/>
        </w:rPr>
        <w:t> </w:t>
      </w:r>
      <w:r>
        <w:rPr>
          <w:rFonts w:ascii="Calibri"/>
          <w:sz w:val="22"/>
        </w:rPr>
        <w:t>P. (2010). The Viable System Model. In M. Reynolds &amp; S. Holwell (Eds.), </w:t>
      </w:r>
      <w:r>
        <w:rPr>
          <w:rFonts w:ascii="Calibri"/>
          <w:i/>
          <w:sz w:val="22"/>
        </w:rPr>
        <w:t>Systems Approaches to Managing Change: A Practical Guide </w:t>
      </w:r>
      <w:r>
        <w:rPr>
          <w:rFonts w:ascii="Calibri"/>
          <w:sz w:val="22"/>
        </w:rPr>
        <w:t>(pp. 87-133): Springer London.</w:t>
      </w:r>
    </w:p>
    <w:p>
      <w:pPr>
        <w:spacing w:before="0"/>
        <w:ind w:left="1700" w:right="1909" w:hanging="721"/>
        <w:jc w:val="left"/>
        <w:rPr>
          <w:rFonts w:ascii="Calibri"/>
          <w:sz w:val="22"/>
        </w:rPr>
      </w:pPr>
      <w:bookmarkStart w:name="_bookmark228" w:id="229"/>
      <w:bookmarkEnd w:id="229"/>
      <w:r>
        <w:rPr/>
      </w:r>
      <w:r>
        <w:rPr>
          <w:rFonts w:ascii="Calibri"/>
          <w:sz w:val="22"/>
        </w:rPr>
        <w:t>Howorth,</w:t>
      </w:r>
      <w:r>
        <w:rPr>
          <w:rFonts w:ascii="Calibri"/>
          <w:spacing w:val="-6"/>
          <w:sz w:val="22"/>
        </w:rPr>
        <w:t> </w:t>
      </w:r>
      <w:r>
        <w:rPr>
          <w:rFonts w:ascii="Calibri"/>
          <w:sz w:val="22"/>
        </w:rPr>
        <w:t>J.</w:t>
      </w:r>
      <w:r>
        <w:rPr>
          <w:rFonts w:ascii="Calibri"/>
          <w:spacing w:val="-2"/>
          <w:sz w:val="22"/>
        </w:rPr>
        <w:t> </w:t>
      </w:r>
      <w:r>
        <w:rPr>
          <w:rFonts w:ascii="Calibri"/>
          <w:sz w:val="22"/>
        </w:rPr>
        <w:t>(2010). The</w:t>
      </w:r>
      <w:r>
        <w:rPr>
          <w:rFonts w:ascii="Calibri"/>
          <w:spacing w:val="-3"/>
          <w:sz w:val="22"/>
        </w:rPr>
        <w:t> </w:t>
      </w:r>
      <w:r>
        <w:rPr>
          <w:rFonts w:ascii="Calibri"/>
          <w:sz w:val="22"/>
        </w:rPr>
        <w:t>EU,</w:t>
      </w:r>
      <w:r>
        <w:rPr>
          <w:rFonts w:ascii="Calibri"/>
          <w:spacing w:val="-1"/>
          <w:sz w:val="22"/>
        </w:rPr>
        <w:t> </w:t>
      </w:r>
      <w:r>
        <w:rPr>
          <w:rFonts w:ascii="Calibri"/>
          <w:sz w:val="22"/>
        </w:rPr>
        <w:t>the</w:t>
      </w:r>
      <w:r>
        <w:rPr>
          <w:rFonts w:ascii="Calibri"/>
          <w:spacing w:val="-3"/>
          <w:sz w:val="22"/>
        </w:rPr>
        <w:t> </w:t>
      </w:r>
      <w:r>
        <w:rPr>
          <w:rFonts w:ascii="Calibri"/>
          <w:sz w:val="22"/>
        </w:rPr>
        <w:t>US</w:t>
      </w:r>
      <w:r>
        <w:rPr>
          <w:rFonts w:ascii="Calibri"/>
          <w:spacing w:val="-4"/>
          <w:sz w:val="22"/>
        </w:rPr>
        <w:t> </w:t>
      </w:r>
      <w:r>
        <w:rPr>
          <w:rFonts w:ascii="Calibri"/>
          <w:sz w:val="22"/>
        </w:rPr>
        <w:t>and NATO.</w:t>
      </w:r>
      <w:r>
        <w:rPr>
          <w:rFonts w:ascii="Calibri"/>
          <w:spacing w:val="-2"/>
          <w:sz w:val="22"/>
        </w:rPr>
        <w:t> </w:t>
      </w:r>
      <w:r>
        <w:rPr>
          <w:rFonts w:ascii="Calibri"/>
          <w:sz w:val="22"/>
        </w:rPr>
        <w:t>In</w:t>
      </w:r>
      <w:r>
        <w:rPr>
          <w:rFonts w:ascii="Calibri"/>
          <w:spacing w:val="-4"/>
          <w:sz w:val="22"/>
        </w:rPr>
        <w:t> </w:t>
      </w:r>
      <w:r>
        <w:rPr>
          <w:rFonts w:ascii="Calibri"/>
          <w:sz w:val="22"/>
        </w:rPr>
        <w:t>A.</w:t>
      </w:r>
      <w:r>
        <w:rPr>
          <w:rFonts w:ascii="Calibri"/>
          <w:spacing w:val="-2"/>
          <w:sz w:val="22"/>
        </w:rPr>
        <w:t> </w:t>
      </w:r>
      <w:r>
        <w:rPr>
          <w:rFonts w:ascii="Calibri"/>
          <w:sz w:val="22"/>
        </w:rPr>
        <w:t>d.</w:t>
      </w:r>
      <w:r>
        <w:rPr>
          <w:rFonts w:ascii="Calibri"/>
          <w:spacing w:val="-2"/>
          <w:sz w:val="22"/>
        </w:rPr>
        <w:t> </w:t>
      </w:r>
      <w:r>
        <w:rPr>
          <w:rFonts w:ascii="Calibri"/>
          <w:sz w:val="22"/>
        </w:rPr>
        <w:t>Vasconcelos</w:t>
      </w:r>
      <w:r>
        <w:rPr>
          <w:rFonts w:ascii="Calibri"/>
          <w:spacing w:val="-3"/>
          <w:sz w:val="22"/>
        </w:rPr>
        <w:t> </w:t>
      </w:r>
      <w:r>
        <w:rPr>
          <w:rFonts w:ascii="Calibri"/>
          <w:sz w:val="22"/>
        </w:rPr>
        <w:t>(Ed.), </w:t>
      </w:r>
      <w:r>
        <w:rPr>
          <w:rFonts w:ascii="Calibri"/>
          <w:i/>
          <w:sz w:val="22"/>
        </w:rPr>
        <w:t>What</w:t>
      </w:r>
      <w:r>
        <w:rPr>
          <w:rFonts w:ascii="Calibri"/>
          <w:i/>
          <w:spacing w:val="-5"/>
          <w:sz w:val="22"/>
        </w:rPr>
        <w:t> </w:t>
      </w:r>
      <w:r>
        <w:rPr>
          <w:rFonts w:ascii="Calibri"/>
          <w:i/>
          <w:sz w:val="22"/>
        </w:rPr>
        <w:t>Do Europeans Want From NATO? </w:t>
      </w:r>
      <w:r>
        <w:rPr>
          <w:rFonts w:ascii="Calibri"/>
          <w:sz w:val="22"/>
        </w:rPr>
        <w:t>(Vol. 8). Lisbon: Institute for Security Studies.</w:t>
      </w:r>
    </w:p>
    <w:p>
      <w:pPr>
        <w:spacing w:before="1"/>
        <w:ind w:left="1700" w:right="1909" w:hanging="721"/>
        <w:jc w:val="left"/>
        <w:rPr>
          <w:rFonts w:ascii="Calibri"/>
          <w:sz w:val="22"/>
        </w:rPr>
      </w:pPr>
      <w:bookmarkStart w:name="_bookmark229" w:id="230"/>
      <w:bookmarkEnd w:id="230"/>
      <w:r>
        <w:rPr/>
      </w:r>
      <w:r>
        <w:rPr>
          <w:rFonts w:ascii="Calibri"/>
          <w:sz w:val="22"/>
        </w:rPr>
        <w:t>Hurrelmann, A. (2015).</w:t>
      </w:r>
      <w:r>
        <w:rPr>
          <w:rFonts w:ascii="Calibri"/>
          <w:spacing w:val="25"/>
          <w:sz w:val="22"/>
        </w:rPr>
        <w:t> </w:t>
      </w:r>
      <w:r>
        <w:rPr>
          <w:rFonts w:ascii="Calibri"/>
          <w:sz w:val="22"/>
        </w:rPr>
        <w:t>Demoi-cratic citizenship in Europe: an impossible ideal? </w:t>
      </w:r>
      <w:r>
        <w:rPr>
          <w:rFonts w:ascii="Calibri"/>
          <w:i/>
          <w:sz w:val="22"/>
        </w:rPr>
        <w:t>Journal of</w:t>
      </w:r>
      <w:r>
        <w:rPr>
          <w:rFonts w:ascii="Calibri"/>
          <w:i/>
          <w:spacing w:val="40"/>
          <w:sz w:val="22"/>
        </w:rPr>
        <w:t> </w:t>
      </w:r>
      <w:r>
        <w:rPr>
          <w:rFonts w:ascii="Calibri"/>
          <w:i/>
          <w:sz w:val="22"/>
        </w:rPr>
        <w:t>European Public Policy, 22</w:t>
      </w:r>
      <w:r>
        <w:rPr>
          <w:rFonts w:ascii="Calibri"/>
          <w:sz w:val="22"/>
        </w:rPr>
        <w:t>(1), 19-36. doi: 10.1080/13501763.2014.881413</w:t>
      </w:r>
    </w:p>
    <w:p>
      <w:pPr>
        <w:spacing w:before="1"/>
        <w:ind w:left="1700" w:right="1909" w:hanging="721"/>
        <w:jc w:val="left"/>
        <w:rPr>
          <w:rFonts w:ascii="Calibri"/>
          <w:sz w:val="22"/>
        </w:rPr>
      </w:pPr>
      <w:bookmarkStart w:name="_bookmark230" w:id="231"/>
      <w:bookmarkEnd w:id="231"/>
      <w:r>
        <w:rPr/>
      </w:r>
      <w:r>
        <w:rPr>
          <w:rFonts w:ascii="Calibri"/>
          <w:sz w:val="22"/>
        </w:rPr>
        <w:t>Hutton, I., Jiang, D., &amp; Kumar, A. (2011). Corporate Policies of Republican Managers.</w:t>
      </w:r>
      <w:r>
        <w:rPr>
          <w:rFonts w:ascii="Calibri"/>
          <w:spacing w:val="26"/>
          <w:sz w:val="22"/>
        </w:rPr>
        <w:t> </w:t>
      </w:r>
      <w:r>
        <w:rPr>
          <w:rFonts w:ascii="Calibri"/>
          <w:i/>
          <w:sz w:val="22"/>
        </w:rPr>
        <w:t>SSRN</w:t>
      </w:r>
      <w:r>
        <w:rPr>
          <w:rFonts w:ascii="Calibri"/>
          <w:sz w:val="22"/>
        </w:rPr>
        <w:t>. doi: DOI: 10.2139/ssrn.1573167</w:t>
      </w:r>
    </w:p>
    <w:p>
      <w:pPr>
        <w:tabs>
          <w:tab w:pos="2768" w:val="left" w:leader="none"/>
        </w:tabs>
        <w:spacing w:before="0"/>
        <w:ind w:left="1700" w:right="1909" w:hanging="721"/>
        <w:jc w:val="left"/>
        <w:rPr>
          <w:rFonts w:ascii="Calibri"/>
          <w:sz w:val="22"/>
        </w:rPr>
      </w:pPr>
      <w:bookmarkStart w:name="_bookmark231" w:id="232"/>
      <w:bookmarkEnd w:id="232"/>
      <w:r>
        <w:rPr/>
      </w:r>
      <w:r>
        <w:rPr>
          <w:rFonts w:ascii="Calibri"/>
          <w:sz w:val="22"/>
        </w:rPr>
        <w:t>Interview</w:t>
      </w:r>
      <w:r>
        <w:rPr>
          <w:rFonts w:ascii="Calibri"/>
          <w:spacing w:val="80"/>
          <w:sz w:val="22"/>
        </w:rPr>
        <w:t> </w:t>
      </w:r>
      <w:r>
        <w:rPr>
          <w:rFonts w:ascii="Calibri"/>
          <w:sz w:val="22"/>
        </w:rPr>
        <w:t>with</w:t>
        <w:tab/>
        <w:t>Ernst</w:t>
      </w:r>
      <w:r>
        <w:rPr>
          <w:rFonts w:ascii="Calibri"/>
          <w:spacing w:val="80"/>
          <w:w w:val="150"/>
          <w:sz w:val="22"/>
        </w:rPr>
        <w:t> </w:t>
      </w:r>
      <w:r>
        <w:rPr>
          <w:rFonts w:ascii="Calibri"/>
          <w:sz w:val="22"/>
        </w:rPr>
        <w:t>Haas.</w:t>
      </w:r>
      <w:r>
        <w:rPr>
          <w:rFonts w:ascii="Calibri"/>
          <w:spacing w:val="80"/>
          <w:w w:val="150"/>
          <w:sz w:val="22"/>
        </w:rPr>
        <w:t> </w:t>
      </w:r>
      <w:r>
        <w:rPr>
          <w:rFonts w:ascii="Calibri"/>
          <w:sz w:val="22"/>
        </w:rPr>
        <w:t>(2002).</w:t>
      </w:r>
      <w:r>
        <w:rPr>
          <w:rFonts w:ascii="Calibri"/>
          <w:spacing w:val="80"/>
          <w:w w:val="150"/>
          <w:sz w:val="22"/>
        </w:rPr>
        <w:t> </w:t>
      </w:r>
      <w:r>
        <w:rPr>
          <w:rFonts w:ascii="Calibri"/>
          <w:i/>
          <w:sz w:val="22"/>
        </w:rPr>
        <w:t>Conversations</w:t>
      </w:r>
      <w:r>
        <w:rPr>
          <w:rFonts w:ascii="Calibri"/>
          <w:i/>
          <w:spacing w:val="80"/>
          <w:w w:val="150"/>
          <w:sz w:val="22"/>
        </w:rPr>
        <w:t> </w:t>
      </w:r>
      <w:r>
        <w:rPr>
          <w:rFonts w:ascii="Calibri"/>
          <w:i/>
          <w:sz w:val="22"/>
        </w:rPr>
        <w:t>with</w:t>
      </w:r>
      <w:r>
        <w:rPr>
          <w:rFonts w:ascii="Calibri"/>
          <w:i/>
          <w:spacing w:val="80"/>
          <w:w w:val="150"/>
          <w:sz w:val="22"/>
        </w:rPr>
        <w:t> </w:t>
      </w:r>
      <w:r>
        <w:rPr>
          <w:rFonts w:ascii="Calibri"/>
          <w:i/>
          <w:sz w:val="22"/>
        </w:rPr>
        <w:t>History</w:t>
      </w:r>
      <w:r>
        <w:rPr>
          <w:rFonts w:ascii="Calibri"/>
          <w:sz w:val="22"/>
        </w:rPr>
        <w:t>.</w:t>
      </w:r>
      <w:r>
        <w:rPr>
          <w:rFonts w:ascii="Calibri"/>
          <w:spacing w:val="80"/>
          <w:w w:val="150"/>
          <w:sz w:val="22"/>
        </w:rPr>
        <w:t> </w:t>
      </w:r>
      <w:r>
        <w:rPr>
          <w:rFonts w:ascii="Calibri"/>
          <w:sz w:val="22"/>
        </w:rPr>
        <w:t>Retrieved</w:t>
      </w:r>
      <w:r>
        <w:rPr>
          <w:rFonts w:ascii="Calibri"/>
          <w:spacing w:val="80"/>
          <w:w w:val="150"/>
          <w:sz w:val="22"/>
        </w:rPr>
        <w:t> </w:t>
      </w:r>
      <w:r>
        <w:rPr>
          <w:rFonts w:ascii="Calibri"/>
          <w:sz w:val="22"/>
        </w:rPr>
        <w:t>from </w:t>
      </w:r>
      <w:r>
        <w:rPr>
          <w:rFonts w:ascii="Calibri"/>
          <w:spacing w:val="-2"/>
          <w:sz w:val="22"/>
        </w:rPr>
        <w:t>https://</w:t>
      </w:r>
      <w:hyperlink r:id="rId45">
        <w:r>
          <w:rPr>
            <w:rFonts w:ascii="Calibri"/>
            <w:color w:val="0000FF"/>
            <w:spacing w:val="-2"/>
            <w:sz w:val="22"/>
            <w:u w:val="single" w:color="0000FF"/>
          </w:rPr>
          <w:t>www.youtube.com/watch?v=WktoqNpYWso</w:t>
        </w:r>
      </w:hyperlink>
    </w:p>
    <w:p>
      <w:pPr>
        <w:spacing w:before="1"/>
        <w:ind w:left="1700" w:right="1909" w:hanging="721"/>
        <w:jc w:val="left"/>
        <w:rPr>
          <w:rFonts w:ascii="Calibri"/>
          <w:sz w:val="22"/>
        </w:rPr>
      </w:pPr>
      <w:bookmarkStart w:name="_bookmark232" w:id="233"/>
      <w:bookmarkEnd w:id="233"/>
      <w:r>
        <w:rPr/>
      </w:r>
      <w:r>
        <w:rPr>
          <w:rFonts w:ascii="Calibri"/>
          <w:sz w:val="22"/>
        </w:rPr>
        <w:t>Jachtenfuchs, M. (2001). The Governance Approach to European Integration. </w:t>
      </w:r>
      <w:r>
        <w:rPr>
          <w:rFonts w:ascii="Calibri"/>
          <w:i/>
          <w:sz w:val="22"/>
        </w:rPr>
        <w:t>JCMS: Journal of Common Market Studies, 39</w:t>
      </w:r>
      <w:r>
        <w:rPr>
          <w:rFonts w:ascii="Calibri"/>
          <w:sz w:val="22"/>
        </w:rPr>
        <w:t>(2), 245-264. doi: 10.1111/1468-5965.00287</w:t>
      </w:r>
    </w:p>
    <w:p>
      <w:pPr>
        <w:spacing w:line="237" w:lineRule="auto" w:before="3"/>
        <w:ind w:left="1700" w:right="1910" w:hanging="721"/>
        <w:jc w:val="both"/>
        <w:rPr>
          <w:rFonts w:ascii="Calibri"/>
          <w:sz w:val="22"/>
        </w:rPr>
      </w:pPr>
      <w:bookmarkStart w:name="_bookmark233" w:id="234"/>
      <w:bookmarkEnd w:id="234"/>
      <w:r>
        <w:rPr/>
      </w:r>
      <w:r>
        <w:rPr>
          <w:rFonts w:ascii="Calibri"/>
          <w:sz w:val="22"/>
        </w:rPr>
        <w:t>Jepperson, R. L., Wendt, A., &amp; Katzenstein, P. J. (1996). Norms, Identity, and Culture in National Security </w:t>
      </w:r>
      <w:r>
        <w:rPr>
          <w:rFonts w:ascii="Calibri"/>
          <w:i/>
          <w:sz w:val="22"/>
        </w:rPr>
        <w:t>The Culture of National Security: Norms and Identity in World Politics </w:t>
      </w:r>
      <w:r>
        <w:rPr>
          <w:rFonts w:ascii="Calibri"/>
          <w:sz w:val="22"/>
        </w:rPr>
        <w:t>(pp. 1-562). New York: Columbia University Press.</w:t>
      </w:r>
    </w:p>
    <w:p>
      <w:pPr>
        <w:spacing w:before="2"/>
        <w:ind w:left="979" w:right="0" w:firstLine="0"/>
        <w:jc w:val="both"/>
        <w:rPr>
          <w:rFonts w:ascii="Calibri"/>
          <w:sz w:val="22"/>
        </w:rPr>
      </w:pPr>
      <w:bookmarkStart w:name="_bookmark234" w:id="235"/>
      <w:bookmarkEnd w:id="235"/>
      <w:r>
        <w:rPr/>
      </w:r>
      <w:r>
        <w:rPr>
          <w:rFonts w:ascii="Calibri"/>
          <w:sz w:val="22"/>
        </w:rPr>
        <w:t>Johari,</w:t>
      </w:r>
      <w:r>
        <w:rPr>
          <w:rFonts w:ascii="Calibri"/>
          <w:spacing w:val="-8"/>
          <w:sz w:val="22"/>
        </w:rPr>
        <w:t> </w:t>
      </w:r>
      <w:r>
        <w:rPr>
          <w:rFonts w:ascii="Calibri"/>
          <w:sz w:val="22"/>
        </w:rPr>
        <w:t>J.</w:t>
      </w:r>
      <w:r>
        <w:rPr>
          <w:rFonts w:ascii="Calibri"/>
          <w:spacing w:val="-4"/>
          <w:sz w:val="22"/>
        </w:rPr>
        <w:t> </w:t>
      </w:r>
      <w:r>
        <w:rPr>
          <w:rFonts w:ascii="Calibri"/>
          <w:sz w:val="22"/>
        </w:rPr>
        <w:t>C.</w:t>
      </w:r>
      <w:r>
        <w:rPr>
          <w:rFonts w:ascii="Calibri"/>
          <w:spacing w:val="-3"/>
          <w:sz w:val="22"/>
        </w:rPr>
        <w:t> </w:t>
      </w:r>
      <w:r>
        <w:rPr>
          <w:rFonts w:ascii="Calibri"/>
          <w:sz w:val="22"/>
        </w:rPr>
        <w:t>(1972).</w:t>
      </w:r>
      <w:r>
        <w:rPr>
          <w:rFonts w:ascii="Calibri"/>
          <w:spacing w:val="-1"/>
          <w:sz w:val="22"/>
        </w:rPr>
        <w:t> </w:t>
      </w:r>
      <w:r>
        <w:rPr>
          <w:rFonts w:ascii="Calibri"/>
          <w:i/>
          <w:sz w:val="22"/>
        </w:rPr>
        <w:t>Comparative</w:t>
      </w:r>
      <w:r>
        <w:rPr>
          <w:rFonts w:ascii="Calibri"/>
          <w:i/>
          <w:spacing w:val="-5"/>
          <w:sz w:val="22"/>
        </w:rPr>
        <w:t> </w:t>
      </w:r>
      <w:r>
        <w:rPr>
          <w:rFonts w:ascii="Calibri"/>
          <w:i/>
          <w:sz w:val="22"/>
        </w:rPr>
        <w:t>politics</w:t>
      </w:r>
      <w:r>
        <w:rPr>
          <w:rFonts w:ascii="Calibri"/>
          <w:i/>
          <w:spacing w:val="-3"/>
          <w:sz w:val="22"/>
        </w:rPr>
        <w:t> </w:t>
      </w:r>
      <w:r>
        <w:rPr>
          <w:rFonts w:ascii="Calibri"/>
          <w:sz w:val="22"/>
        </w:rPr>
        <w:t>(1st</w:t>
      </w:r>
      <w:r>
        <w:rPr>
          <w:rFonts w:ascii="Calibri"/>
          <w:spacing w:val="-6"/>
          <w:sz w:val="22"/>
        </w:rPr>
        <w:t> </w:t>
      </w:r>
      <w:r>
        <w:rPr>
          <w:rFonts w:ascii="Calibri"/>
          <w:sz w:val="22"/>
        </w:rPr>
        <w:t>ed.).</w:t>
      </w:r>
      <w:r>
        <w:rPr>
          <w:rFonts w:ascii="Calibri"/>
          <w:spacing w:val="-3"/>
          <w:sz w:val="22"/>
        </w:rPr>
        <w:t> </w:t>
      </w:r>
      <w:r>
        <w:rPr>
          <w:rFonts w:ascii="Calibri"/>
          <w:sz w:val="22"/>
        </w:rPr>
        <w:t>New</w:t>
      </w:r>
      <w:r>
        <w:rPr>
          <w:rFonts w:ascii="Calibri"/>
          <w:spacing w:val="-8"/>
          <w:sz w:val="22"/>
        </w:rPr>
        <w:t> </w:t>
      </w:r>
      <w:r>
        <w:rPr>
          <w:rFonts w:ascii="Calibri"/>
          <w:sz w:val="22"/>
        </w:rPr>
        <w:t>Delhi,:</w:t>
      </w:r>
      <w:r>
        <w:rPr>
          <w:rFonts w:ascii="Calibri"/>
          <w:spacing w:val="-7"/>
          <w:sz w:val="22"/>
        </w:rPr>
        <w:t> </w:t>
      </w:r>
      <w:r>
        <w:rPr>
          <w:rFonts w:ascii="Calibri"/>
          <w:sz w:val="22"/>
        </w:rPr>
        <w:t>Sterling</w:t>
      </w:r>
      <w:r>
        <w:rPr>
          <w:rFonts w:ascii="Calibri"/>
          <w:spacing w:val="-3"/>
          <w:sz w:val="22"/>
        </w:rPr>
        <w:t> </w:t>
      </w:r>
      <w:r>
        <w:rPr>
          <w:rFonts w:ascii="Calibri"/>
          <w:spacing w:val="-2"/>
          <w:sz w:val="22"/>
        </w:rPr>
        <w:t>Publishers.</w:t>
      </w:r>
    </w:p>
    <w:p>
      <w:pPr>
        <w:spacing w:before="0"/>
        <w:ind w:left="1700" w:right="1909" w:hanging="721"/>
        <w:jc w:val="left"/>
        <w:rPr>
          <w:rFonts w:ascii="Calibri"/>
          <w:sz w:val="22"/>
        </w:rPr>
      </w:pPr>
      <w:bookmarkStart w:name="_bookmark235" w:id="236"/>
      <w:bookmarkEnd w:id="236"/>
      <w:r>
        <w:rPr/>
      </w:r>
      <w:r>
        <w:rPr>
          <w:rFonts w:ascii="Calibri"/>
          <w:sz w:val="22"/>
        </w:rPr>
        <w:t>Jones,</w:t>
      </w:r>
      <w:r>
        <w:rPr>
          <w:rFonts w:ascii="Calibri"/>
          <w:spacing w:val="40"/>
          <w:sz w:val="22"/>
        </w:rPr>
        <w:t> </w:t>
      </w:r>
      <w:r>
        <w:rPr>
          <w:rFonts w:ascii="Calibri"/>
          <w:sz w:val="22"/>
        </w:rPr>
        <w:t>P.</w:t>
      </w:r>
      <w:r>
        <w:rPr>
          <w:rFonts w:ascii="Calibri"/>
          <w:spacing w:val="40"/>
          <w:sz w:val="22"/>
        </w:rPr>
        <w:t> </w:t>
      </w:r>
      <w:r>
        <w:rPr>
          <w:rFonts w:ascii="Calibri"/>
          <w:sz w:val="22"/>
        </w:rPr>
        <w:t>L.</w:t>
      </w:r>
      <w:r>
        <w:rPr>
          <w:rFonts w:ascii="Calibri"/>
          <w:spacing w:val="40"/>
          <w:sz w:val="22"/>
        </w:rPr>
        <w:t> </w:t>
      </w:r>
      <w:r>
        <w:rPr>
          <w:rFonts w:ascii="Calibri"/>
          <w:sz w:val="22"/>
        </w:rPr>
        <w:t>(1999).</w:t>
      </w:r>
      <w:r>
        <w:rPr>
          <w:rFonts w:ascii="Calibri"/>
          <w:spacing w:val="40"/>
          <w:sz w:val="22"/>
        </w:rPr>
        <w:t> </w:t>
      </w:r>
      <w:r>
        <w:rPr>
          <w:rFonts w:ascii="Calibri"/>
          <w:sz w:val="22"/>
        </w:rPr>
        <w:t>Nato's</w:t>
      </w:r>
      <w:r>
        <w:rPr>
          <w:rFonts w:ascii="Calibri"/>
          <w:spacing w:val="40"/>
          <w:sz w:val="22"/>
        </w:rPr>
        <w:t> </w:t>
      </w:r>
      <w:r>
        <w:rPr>
          <w:rFonts w:ascii="Calibri"/>
          <w:sz w:val="22"/>
        </w:rPr>
        <w:t>Combined</w:t>
      </w:r>
      <w:r>
        <w:rPr>
          <w:rFonts w:ascii="Calibri"/>
          <w:spacing w:val="40"/>
          <w:sz w:val="22"/>
        </w:rPr>
        <w:t> </w:t>
      </w:r>
      <w:r>
        <w:rPr>
          <w:rFonts w:ascii="Calibri"/>
          <w:sz w:val="22"/>
        </w:rPr>
        <w:t>Joint</w:t>
      </w:r>
      <w:r>
        <w:rPr>
          <w:rFonts w:ascii="Calibri"/>
          <w:spacing w:val="40"/>
          <w:sz w:val="22"/>
        </w:rPr>
        <w:t> </w:t>
      </w:r>
      <w:r>
        <w:rPr>
          <w:rFonts w:ascii="Calibri"/>
          <w:sz w:val="22"/>
        </w:rPr>
        <w:t>Task</w:t>
      </w:r>
      <w:r>
        <w:rPr>
          <w:rFonts w:ascii="Calibri"/>
          <w:spacing w:val="40"/>
          <w:sz w:val="22"/>
        </w:rPr>
        <w:t> </w:t>
      </w:r>
      <w:r>
        <w:rPr>
          <w:rFonts w:ascii="Calibri"/>
          <w:sz w:val="22"/>
        </w:rPr>
        <w:t>Force</w:t>
      </w:r>
      <w:r>
        <w:rPr>
          <w:rFonts w:ascii="Calibri"/>
          <w:spacing w:val="40"/>
          <w:sz w:val="22"/>
        </w:rPr>
        <w:t> </w:t>
      </w:r>
      <w:r>
        <w:rPr>
          <w:rFonts w:ascii="Calibri"/>
          <w:sz w:val="22"/>
        </w:rPr>
        <w:t>Concept</w:t>
      </w:r>
      <w:r>
        <w:rPr>
          <w:rFonts w:ascii="Calibri"/>
          <w:spacing w:val="40"/>
          <w:sz w:val="22"/>
        </w:rPr>
        <w:t> </w:t>
      </w:r>
      <w:r>
        <w:rPr>
          <w:rFonts w:ascii="Calibri"/>
          <w:sz w:val="22"/>
        </w:rPr>
        <w:t>-</w:t>
      </w:r>
      <w:r>
        <w:rPr>
          <w:rFonts w:ascii="Calibri"/>
          <w:spacing w:val="40"/>
          <w:sz w:val="22"/>
        </w:rPr>
        <w:t> </w:t>
      </w:r>
      <w:r>
        <w:rPr>
          <w:rFonts w:ascii="Calibri"/>
          <w:sz w:val="22"/>
        </w:rPr>
        <w:t>Viable</w:t>
      </w:r>
      <w:r>
        <w:rPr>
          <w:rFonts w:ascii="Calibri"/>
          <w:spacing w:val="40"/>
          <w:sz w:val="22"/>
        </w:rPr>
        <w:t> </w:t>
      </w:r>
      <w:r>
        <w:rPr>
          <w:rFonts w:ascii="Calibri"/>
          <w:sz w:val="22"/>
        </w:rPr>
        <w:t>Tiger</w:t>
      </w:r>
      <w:r>
        <w:rPr>
          <w:rFonts w:ascii="Calibri"/>
          <w:spacing w:val="40"/>
          <w:sz w:val="22"/>
        </w:rPr>
        <w:t> </w:t>
      </w:r>
      <w:r>
        <w:rPr>
          <w:rFonts w:ascii="Calibri"/>
          <w:sz w:val="22"/>
        </w:rPr>
        <w:t>or</w:t>
      </w:r>
      <w:r>
        <w:rPr>
          <w:rFonts w:ascii="Calibri"/>
          <w:spacing w:val="40"/>
          <w:sz w:val="22"/>
        </w:rPr>
        <w:t> </w:t>
      </w:r>
      <w:r>
        <w:rPr>
          <w:rFonts w:ascii="Calibri"/>
          <w:sz w:val="22"/>
        </w:rPr>
        <w:t>Paper Dragon. Fort Leavenworth, Kansas: School of Advanced Military Studies.</w:t>
      </w:r>
    </w:p>
    <w:p>
      <w:pPr>
        <w:spacing w:before="1"/>
        <w:ind w:left="1700" w:right="1909" w:hanging="721"/>
        <w:jc w:val="left"/>
        <w:rPr>
          <w:rFonts w:ascii="Calibri"/>
          <w:sz w:val="22"/>
        </w:rPr>
      </w:pPr>
      <w:bookmarkStart w:name="_bookmark236" w:id="237"/>
      <w:bookmarkEnd w:id="237"/>
      <w:r>
        <w:rPr/>
      </w:r>
      <w:r>
        <w:rPr>
          <w:rFonts w:ascii="Calibri"/>
          <w:sz w:val="22"/>
        </w:rPr>
        <w:t>Katzenstein,</w:t>
      </w:r>
      <w:r>
        <w:rPr>
          <w:rFonts w:ascii="Calibri"/>
          <w:spacing w:val="40"/>
          <w:sz w:val="22"/>
        </w:rPr>
        <w:t> </w:t>
      </w:r>
      <w:r>
        <w:rPr>
          <w:rFonts w:ascii="Calibri"/>
          <w:sz w:val="22"/>
        </w:rPr>
        <w:t>P.</w:t>
      </w:r>
      <w:r>
        <w:rPr>
          <w:rFonts w:ascii="Calibri"/>
          <w:spacing w:val="40"/>
          <w:sz w:val="22"/>
        </w:rPr>
        <w:t> </w:t>
      </w:r>
      <w:r>
        <w:rPr>
          <w:rFonts w:ascii="Calibri"/>
          <w:sz w:val="22"/>
        </w:rPr>
        <w:t>J.</w:t>
      </w:r>
      <w:r>
        <w:rPr>
          <w:rFonts w:ascii="Calibri"/>
          <w:spacing w:val="40"/>
          <w:sz w:val="22"/>
        </w:rPr>
        <w:t> </w:t>
      </w:r>
      <w:r>
        <w:rPr>
          <w:rFonts w:ascii="Calibri"/>
          <w:sz w:val="22"/>
        </w:rPr>
        <w:t>(1996).</w:t>
      </w:r>
      <w:r>
        <w:rPr>
          <w:rFonts w:ascii="Calibri"/>
          <w:spacing w:val="40"/>
          <w:sz w:val="22"/>
        </w:rPr>
        <w:t> </w:t>
      </w:r>
      <w:r>
        <w:rPr>
          <w:rFonts w:ascii="Calibri"/>
          <w:i/>
          <w:sz w:val="22"/>
        </w:rPr>
        <w:t>The</w:t>
      </w:r>
      <w:r>
        <w:rPr>
          <w:rFonts w:ascii="Calibri"/>
          <w:i/>
          <w:spacing w:val="40"/>
          <w:sz w:val="22"/>
        </w:rPr>
        <w:t> </w:t>
      </w:r>
      <w:r>
        <w:rPr>
          <w:rFonts w:ascii="Calibri"/>
          <w:i/>
          <w:sz w:val="22"/>
        </w:rPr>
        <w:t>culture</w:t>
      </w:r>
      <w:r>
        <w:rPr>
          <w:rFonts w:ascii="Calibri"/>
          <w:i/>
          <w:spacing w:val="40"/>
          <w:sz w:val="22"/>
        </w:rPr>
        <w:t> </w:t>
      </w:r>
      <w:r>
        <w:rPr>
          <w:rFonts w:ascii="Calibri"/>
          <w:i/>
          <w:sz w:val="22"/>
        </w:rPr>
        <w:t>of</w:t>
      </w:r>
      <w:r>
        <w:rPr>
          <w:rFonts w:ascii="Calibri"/>
          <w:i/>
          <w:spacing w:val="40"/>
          <w:sz w:val="22"/>
        </w:rPr>
        <w:t> </w:t>
      </w:r>
      <w:r>
        <w:rPr>
          <w:rFonts w:ascii="Calibri"/>
          <w:i/>
          <w:sz w:val="22"/>
        </w:rPr>
        <w:t>national</w:t>
      </w:r>
      <w:r>
        <w:rPr>
          <w:rFonts w:ascii="Calibri"/>
          <w:i/>
          <w:spacing w:val="40"/>
          <w:sz w:val="22"/>
        </w:rPr>
        <w:t> </w:t>
      </w:r>
      <w:r>
        <w:rPr>
          <w:rFonts w:ascii="Calibri"/>
          <w:i/>
          <w:sz w:val="22"/>
        </w:rPr>
        <w:t>security</w:t>
      </w:r>
      <w:r>
        <w:rPr>
          <w:rFonts w:ascii="Calibri"/>
          <w:i/>
          <w:spacing w:val="40"/>
          <w:sz w:val="22"/>
        </w:rPr>
        <w:t> </w:t>
      </w:r>
      <w:r>
        <w:rPr>
          <w:rFonts w:ascii="Calibri"/>
          <w:i/>
          <w:sz w:val="22"/>
        </w:rPr>
        <w:t>:</w:t>
      </w:r>
      <w:r>
        <w:rPr>
          <w:rFonts w:ascii="Calibri"/>
          <w:i/>
          <w:spacing w:val="40"/>
          <w:sz w:val="22"/>
        </w:rPr>
        <w:t> </w:t>
      </w:r>
      <w:r>
        <w:rPr>
          <w:rFonts w:ascii="Calibri"/>
          <w:i/>
          <w:sz w:val="22"/>
        </w:rPr>
        <w:t>norms</w:t>
      </w:r>
      <w:r>
        <w:rPr>
          <w:rFonts w:ascii="Calibri"/>
          <w:i/>
          <w:spacing w:val="40"/>
          <w:sz w:val="22"/>
        </w:rPr>
        <w:t> </w:t>
      </w:r>
      <w:r>
        <w:rPr>
          <w:rFonts w:ascii="Calibri"/>
          <w:i/>
          <w:sz w:val="22"/>
        </w:rPr>
        <w:t>and</w:t>
      </w:r>
      <w:r>
        <w:rPr>
          <w:rFonts w:ascii="Calibri"/>
          <w:i/>
          <w:spacing w:val="40"/>
          <w:sz w:val="22"/>
        </w:rPr>
        <w:t> </w:t>
      </w:r>
      <w:r>
        <w:rPr>
          <w:rFonts w:ascii="Calibri"/>
          <w:i/>
          <w:sz w:val="22"/>
        </w:rPr>
        <w:t>identity</w:t>
      </w:r>
      <w:r>
        <w:rPr>
          <w:rFonts w:ascii="Calibri"/>
          <w:i/>
          <w:spacing w:val="40"/>
          <w:sz w:val="22"/>
        </w:rPr>
        <w:t> </w:t>
      </w:r>
      <w:r>
        <w:rPr>
          <w:rFonts w:ascii="Calibri"/>
          <w:i/>
          <w:sz w:val="22"/>
        </w:rPr>
        <w:t>in</w:t>
      </w:r>
      <w:r>
        <w:rPr>
          <w:rFonts w:ascii="Calibri"/>
          <w:i/>
          <w:spacing w:val="40"/>
          <w:sz w:val="22"/>
        </w:rPr>
        <w:t> </w:t>
      </w:r>
      <w:r>
        <w:rPr>
          <w:rFonts w:ascii="Calibri"/>
          <w:i/>
          <w:sz w:val="22"/>
        </w:rPr>
        <w:t>world politics</w:t>
      </w:r>
      <w:r>
        <w:rPr>
          <w:rFonts w:ascii="Calibri"/>
          <w:sz w:val="22"/>
        </w:rPr>
        <w:t>. New York ; Chichester: Columbia University Press.</w:t>
      </w:r>
    </w:p>
    <w:p>
      <w:pPr>
        <w:spacing w:before="0"/>
        <w:ind w:left="1700" w:right="1909" w:hanging="721"/>
        <w:jc w:val="left"/>
        <w:rPr>
          <w:rFonts w:ascii="Calibri"/>
          <w:sz w:val="22"/>
        </w:rPr>
      </w:pPr>
      <w:bookmarkStart w:name="_bookmark237" w:id="238"/>
      <w:bookmarkEnd w:id="238"/>
      <w:r>
        <w:rPr/>
      </w:r>
      <w:r>
        <w:rPr>
          <w:rFonts w:ascii="Calibri"/>
          <w:sz w:val="22"/>
        </w:rPr>
        <w:t>King, M., &amp; Thornhill, C. J. (2005). </w:t>
      </w:r>
      <w:r>
        <w:rPr>
          <w:rFonts w:ascii="Calibri"/>
          <w:i/>
          <w:sz w:val="22"/>
        </w:rPr>
        <w:t>Niklas Luhmann's theory of politics and law</w:t>
      </w:r>
      <w:r>
        <w:rPr>
          <w:rFonts w:ascii="Calibri"/>
          <w:sz w:val="22"/>
        </w:rPr>
        <w:t>. Houndmills, Basingstoke, Hampshire ; New York: Palgrave Macmillan.</w:t>
      </w:r>
    </w:p>
    <w:p>
      <w:pPr>
        <w:spacing w:before="1"/>
        <w:ind w:left="979" w:right="0" w:firstLine="0"/>
        <w:jc w:val="left"/>
        <w:rPr>
          <w:rFonts w:ascii="Calibri"/>
          <w:sz w:val="22"/>
        </w:rPr>
      </w:pPr>
      <w:bookmarkStart w:name="_bookmark238" w:id="239"/>
      <w:bookmarkEnd w:id="239"/>
      <w:r>
        <w:rPr/>
      </w:r>
      <w:r>
        <w:rPr>
          <w:rFonts w:ascii="Calibri"/>
          <w:sz w:val="22"/>
        </w:rPr>
        <w:t>Kinsky,</w:t>
      </w:r>
      <w:r>
        <w:rPr>
          <w:rFonts w:ascii="Calibri"/>
          <w:spacing w:val="-11"/>
          <w:sz w:val="22"/>
        </w:rPr>
        <w:t> </w:t>
      </w:r>
      <w:r>
        <w:rPr>
          <w:rFonts w:ascii="Calibri"/>
          <w:sz w:val="22"/>
        </w:rPr>
        <w:t>F.</w:t>
      </w:r>
      <w:r>
        <w:rPr>
          <w:rFonts w:ascii="Calibri"/>
          <w:spacing w:val="-6"/>
          <w:sz w:val="22"/>
        </w:rPr>
        <w:t> </w:t>
      </w:r>
      <w:r>
        <w:rPr>
          <w:rFonts w:ascii="Calibri"/>
          <w:sz w:val="22"/>
        </w:rPr>
        <w:t>(1979).</w:t>
      </w:r>
      <w:r>
        <w:rPr>
          <w:rFonts w:ascii="Calibri"/>
          <w:spacing w:val="-4"/>
          <w:sz w:val="22"/>
        </w:rPr>
        <w:t> </w:t>
      </w:r>
      <w:r>
        <w:rPr>
          <w:rFonts w:ascii="Calibri"/>
          <w:sz w:val="22"/>
        </w:rPr>
        <w:t>Personalism</w:t>
      </w:r>
      <w:r>
        <w:rPr>
          <w:rFonts w:ascii="Calibri"/>
          <w:spacing w:val="-5"/>
          <w:sz w:val="22"/>
        </w:rPr>
        <w:t> </w:t>
      </w:r>
      <w:r>
        <w:rPr>
          <w:rFonts w:ascii="Calibri"/>
          <w:sz w:val="22"/>
        </w:rPr>
        <w:t>and</w:t>
      </w:r>
      <w:r>
        <w:rPr>
          <w:rFonts w:ascii="Calibri"/>
          <w:spacing w:val="-7"/>
          <w:sz w:val="22"/>
        </w:rPr>
        <w:t> </w:t>
      </w:r>
      <w:r>
        <w:rPr>
          <w:rFonts w:ascii="Calibri"/>
          <w:sz w:val="22"/>
        </w:rPr>
        <w:t>Federalism. </w:t>
      </w:r>
      <w:r>
        <w:rPr>
          <w:rFonts w:ascii="Calibri"/>
          <w:i/>
          <w:sz w:val="22"/>
        </w:rPr>
        <w:t>Publius,</w:t>
      </w:r>
      <w:r>
        <w:rPr>
          <w:rFonts w:ascii="Calibri"/>
          <w:i/>
          <w:spacing w:val="-13"/>
          <w:sz w:val="22"/>
        </w:rPr>
        <w:t> </w:t>
      </w:r>
      <w:r>
        <w:rPr>
          <w:rFonts w:ascii="Calibri"/>
          <w:i/>
          <w:sz w:val="22"/>
        </w:rPr>
        <w:t>9</w:t>
      </w:r>
      <w:r>
        <w:rPr>
          <w:rFonts w:ascii="Calibri"/>
          <w:sz w:val="22"/>
        </w:rPr>
        <w:t>(4),</w:t>
      </w:r>
      <w:r>
        <w:rPr>
          <w:rFonts w:ascii="Calibri"/>
          <w:spacing w:val="-7"/>
          <w:sz w:val="22"/>
        </w:rPr>
        <w:t> </w:t>
      </w:r>
      <w:r>
        <w:rPr>
          <w:rFonts w:ascii="Calibri"/>
          <w:sz w:val="22"/>
        </w:rPr>
        <w:t>131-</w:t>
      </w:r>
      <w:r>
        <w:rPr>
          <w:rFonts w:ascii="Calibri"/>
          <w:spacing w:val="-4"/>
          <w:sz w:val="22"/>
        </w:rPr>
        <w:t>156.</w:t>
      </w:r>
    </w:p>
    <w:p>
      <w:pPr>
        <w:spacing w:before="0"/>
        <w:ind w:left="1700" w:right="1909" w:hanging="721"/>
        <w:jc w:val="left"/>
        <w:rPr>
          <w:rFonts w:ascii="Calibri"/>
          <w:sz w:val="22"/>
        </w:rPr>
      </w:pPr>
      <w:bookmarkStart w:name="_bookmark239" w:id="240"/>
      <w:bookmarkEnd w:id="240"/>
      <w:r>
        <w:rPr/>
      </w:r>
      <w:r>
        <w:rPr>
          <w:rFonts w:ascii="Calibri"/>
          <w:sz w:val="22"/>
        </w:rPr>
        <w:t>Klir, G. J. (2001). </w:t>
      </w:r>
      <w:r>
        <w:rPr>
          <w:rFonts w:ascii="Calibri"/>
          <w:i/>
          <w:sz w:val="22"/>
        </w:rPr>
        <w:t>Facets of systems science </w:t>
      </w:r>
      <w:r>
        <w:rPr>
          <w:rFonts w:ascii="Calibri"/>
          <w:sz w:val="22"/>
        </w:rPr>
        <w:t>(2nd ed.). New York: Kluwer Academic/Plenum</w:t>
      </w:r>
      <w:r>
        <w:rPr>
          <w:rFonts w:ascii="Calibri"/>
          <w:spacing w:val="40"/>
          <w:sz w:val="22"/>
        </w:rPr>
        <w:t> </w:t>
      </w:r>
      <w:r>
        <w:rPr>
          <w:rFonts w:ascii="Calibri"/>
          <w:spacing w:val="-2"/>
          <w:sz w:val="22"/>
        </w:rPr>
        <w:t>Publishers.</w:t>
      </w:r>
    </w:p>
    <w:p>
      <w:pPr>
        <w:spacing w:before="1"/>
        <w:ind w:left="1700" w:right="1909" w:hanging="721"/>
        <w:jc w:val="left"/>
        <w:rPr>
          <w:rFonts w:ascii="Calibri"/>
          <w:sz w:val="22"/>
        </w:rPr>
      </w:pPr>
      <w:bookmarkStart w:name="_bookmark240" w:id="241"/>
      <w:bookmarkEnd w:id="241"/>
      <w:r>
        <w:rPr/>
      </w:r>
      <w:r>
        <w:rPr>
          <w:rFonts w:ascii="Calibri"/>
          <w:sz w:val="22"/>
        </w:rPr>
        <w:t>Klir,</w:t>
      </w:r>
      <w:r>
        <w:rPr>
          <w:rFonts w:ascii="Calibri"/>
          <w:spacing w:val="37"/>
          <w:sz w:val="22"/>
        </w:rPr>
        <w:t> </w:t>
      </w:r>
      <w:r>
        <w:rPr>
          <w:rFonts w:ascii="Calibri"/>
          <w:sz w:val="22"/>
        </w:rPr>
        <w:t>G.</w:t>
      </w:r>
      <w:r>
        <w:rPr>
          <w:rFonts w:ascii="Calibri"/>
          <w:spacing w:val="40"/>
          <w:sz w:val="22"/>
        </w:rPr>
        <w:t> </w:t>
      </w:r>
      <w:r>
        <w:rPr>
          <w:rFonts w:ascii="Calibri"/>
          <w:sz w:val="22"/>
        </w:rPr>
        <w:t>J.</w:t>
      </w:r>
      <w:r>
        <w:rPr>
          <w:rFonts w:ascii="Calibri"/>
          <w:spacing w:val="40"/>
          <w:sz w:val="22"/>
        </w:rPr>
        <w:t> </w:t>
      </w:r>
      <w:r>
        <w:rPr>
          <w:rFonts w:ascii="Calibri"/>
          <w:sz w:val="22"/>
        </w:rPr>
        <w:t>(2009).</w:t>
      </w:r>
      <w:r>
        <w:rPr>
          <w:rFonts w:ascii="Calibri"/>
          <w:spacing w:val="40"/>
          <w:sz w:val="22"/>
        </w:rPr>
        <w:t> </w:t>
      </w:r>
      <w:r>
        <w:rPr>
          <w:rFonts w:ascii="Calibri"/>
          <w:sz w:val="22"/>
        </w:rPr>
        <w:t>W.</w:t>
      </w:r>
      <w:r>
        <w:rPr>
          <w:rFonts w:ascii="Calibri"/>
          <w:spacing w:val="40"/>
          <w:sz w:val="22"/>
        </w:rPr>
        <w:t> </w:t>
      </w:r>
      <w:r>
        <w:rPr>
          <w:rFonts w:ascii="Calibri"/>
          <w:sz w:val="22"/>
        </w:rPr>
        <w:t>Ross</w:t>
      </w:r>
      <w:r>
        <w:rPr>
          <w:rFonts w:ascii="Calibri"/>
          <w:spacing w:val="40"/>
          <w:sz w:val="22"/>
        </w:rPr>
        <w:t> </w:t>
      </w:r>
      <w:r>
        <w:rPr>
          <w:rFonts w:ascii="Calibri"/>
          <w:sz w:val="22"/>
        </w:rPr>
        <w:t>Ashby:</w:t>
      </w:r>
      <w:r>
        <w:rPr>
          <w:rFonts w:ascii="Calibri"/>
          <w:spacing w:val="39"/>
          <w:sz w:val="22"/>
        </w:rPr>
        <w:t> </w:t>
      </w:r>
      <w:r>
        <w:rPr>
          <w:rFonts w:ascii="Calibri"/>
          <w:sz w:val="22"/>
        </w:rPr>
        <w:t>a</w:t>
      </w:r>
      <w:r>
        <w:rPr>
          <w:rFonts w:ascii="Calibri"/>
          <w:spacing w:val="40"/>
          <w:sz w:val="22"/>
        </w:rPr>
        <w:t> </w:t>
      </w:r>
      <w:r>
        <w:rPr>
          <w:rFonts w:ascii="Calibri"/>
          <w:sz w:val="22"/>
        </w:rPr>
        <w:t>pioneer</w:t>
      </w:r>
      <w:r>
        <w:rPr>
          <w:rFonts w:ascii="Calibri"/>
          <w:spacing w:val="40"/>
          <w:sz w:val="22"/>
        </w:rPr>
        <w:t> </w:t>
      </w:r>
      <w:r>
        <w:rPr>
          <w:rFonts w:ascii="Calibri"/>
          <w:sz w:val="22"/>
        </w:rPr>
        <w:t>of</w:t>
      </w:r>
      <w:r>
        <w:rPr>
          <w:rFonts w:ascii="Calibri"/>
          <w:spacing w:val="40"/>
          <w:sz w:val="22"/>
        </w:rPr>
        <w:t> </w:t>
      </w:r>
      <w:r>
        <w:rPr>
          <w:rFonts w:ascii="Calibri"/>
          <w:sz w:val="22"/>
        </w:rPr>
        <w:t>systems</w:t>
      </w:r>
      <w:r>
        <w:rPr>
          <w:rFonts w:ascii="Calibri"/>
          <w:spacing w:val="40"/>
          <w:sz w:val="22"/>
        </w:rPr>
        <w:t> </w:t>
      </w:r>
      <w:r>
        <w:rPr>
          <w:rFonts w:ascii="Calibri"/>
          <w:sz w:val="22"/>
        </w:rPr>
        <w:t>science.</w:t>
      </w:r>
      <w:r>
        <w:rPr>
          <w:rFonts w:ascii="Calibri"/>
          <w:spacing w:val="40"/>
          <w:sz w:val="22"/>
        </w:rPr>
        <w:t> </w:t>
      </w:r>
      <w:r>
        <w:rPr>
          <w:rFonts w:ascii="Calibri"/>
          <w:i/>
          <w:sz w:val="22"/>
        </w:rPr>
        <w:t>International</w:t>
      </w:r>
      <w:r>
        <w:rPr>
          <w:rFonts w:ascii="Calibri"/>
          <w:i/>
          <w:spacing w:val="40"/>
          <w:sz w:val="22"/>
        </w:rPr>
        <w:t> </w:t>
      </w:r>
      <w:r>
        <w:rPr>
          <w:rFonts w:ascii="Calibri"/>
          <w:i/>
          <w:sz w:val="22"/>
        </w:rPr>
        <w:t>Journal</w:t>
      </w:r>
      <w:r>
        <w:rPr>
          <w:rFonts w:ascii="Calibri"/>
          <w:i/>
          <w:spacing w:val="40"/>
          <w:sz w:val="22"/>
        </w:rPr>
        <w:t> </w:t>
      </w:r>
      <w:r>
        <w:rPr>
          <w:rFonts w:ascii="Calibri"/>
          <w:i/>
          <w:sz w:val="22"/>
        </w:rPr>
        <w:t>of General Systems, 38</w:t>
      </w:r>
      <w:r>
        <w:rPr>
          <w:rFonts w:ascii="Calibri"/>
          <w:sz w:val="22"/>
        </w:rPr>
        <w:t>(2), 175-188. doi: 10.1080/03081070802601434</w:t>
      </w:r>
    </w:p>
    <w:p>
      <w:pPr>
        <w:spacing w:before="0"/>
        <w:ind w:left="979" w:right="3455" w:firstLine="0"/>
        <w:jc w:val="left"/>
        <w:rPr>
          <w:rFonts w:ascii="Calibri"/>
          <w:sz w:val="22"/>
        </w:rPr>
      </w:pPr>
      <w:bookmarkStart w:name="_bookmark241" w:id="242"/>
      <w:bookmarkEnd w:id="242"/>
      <w:r>
        <w:rPr/>
      </w:r>
      <w:r>
        <w:rPr>
          <w:rFonts w:ascii="Calibri"/>
          <w:sz w:val="22"/>
        </w:rPr>
        <w:t>Koestler,</w:t>
      </w:r>
      <w:r>
        <w:rPr>
          <w:rFonts w:ascii="Calibri"/>
          <w:spacing w:val="-2"/>
          <w:sz w:val="22"/>
        </w:rPr>
        <w:t> </w:t>
      </w:r>
      <w:r>
        <w:rPr>
          <w:rFonts w:ascii="Calibri"/>
          <w:sz w:val="22"/>
        </w:rPr>
        <w:t>A. (1967). </w:t>
      </w:r>
      <w:r>
        <w:rPr>
          <w:rFonts w:ascii="Calibri"/>
          <w:i/>
          <w:sz w:val="22"/>
        </w:rPr>
        <w:t>The ghost</w:t>
      </w:r>
      <w:r>
        <w:rPr>
          <w:rFonts w:ascii="Calibri"/>
          <w:i/>
          <w:spacing w:val="-2"/>
          <w:sz w:val="22"/>
        </w:rPr>
        <w:t> </w:t>
      </w:r>
      <w:r>
        <w:rPr>
          <w:rFonts w:ascii="Calibri"/>
          <w:i/>
          <w:sz w:val="22"/>
        </w:rPr>
        <w:t>in the machine</w:t>
      </w:r>
      <w:r>
        <w:rPr>
          <w:rFonts w:ascii="Calibri"/>
          <w:sz w:val="22"/>
        </w:rPr>
        <w:t>. London: Arkana,</w:t>
      </w:r>
      <w:r>
        <w:rPr>
          <w:rFonts w:ascii="Calibri"/>
          <w:spacing w:val="-3"/>
          <w:sz w:val="22"/>
        </w:rPr>
        <w:t> </w:t>
      </w:r>
      <w:r>
        <w:rPr>
          <w:rFonts w:ascii="Calibri"/>
          <w:sz w:val="22"/>
        </w:rPr>
        <w:t>1989. </w:t>
      </w:r>
      <w:bookmarkStart w:name="_bookmark242" w:id="243"/>
      <w:bookmarkEnd w:id="243"/>
      <w:r>
        <w:rPr>
          <w:rFonts w:ascii="Calibri"/>
          <w:sz w:val="22"/>
        </w:rPr>
        <w:t>Ko</w:t>
      </w:r>
      <w:r>
        <w:rPr>
          <w:rFonts w:ascii="Calibri"/>
          <w:sz w:val="22"/>
        </w:rPr>
        <w:t>estler,</w:t>
      </w:r>
      <w:r>
        <w:rPr>
          <w:rFonts w:ascii="Calibri"/>
          <w:spacing w:val="-6"/>
          <w:sz w:val="22"/>
        </w:rPr>
        <w:t> </w:t>
      </w:r>
      <w:r>
        <w:rPr>
          <w:rFonts w:ascii="Calibri"/>
          <w:sz w:val="22"/>
        </w:rPr>
        <w:t>A.</w:t>
      </w:r>
      <w:r>
        <w:rPr>
          <w:rFonts w:ascii="Calibri"/>
          <w:spacing w:val="-3"/>
          <w:sz w:val="22"/>
        </w:rPr>
        <w:t> </w:t>
      </w:r>
      <w:r>
        <w:rPr>
          <w:rFonts w:ascii="Calibri"/>
          <w:sz w:val="22"/>
        </w:rPr>
        <w:t>(1978). </w:t>
      </w:r>
      <w:r>
        <w:rPr>
          <w:rFonts w:ascii="Calibri"/>
          <w:i/>
          <w:sz w:val="22"/>
        </w:rPr>
        <w:t>Janus</w:t>
      </w:r>
      <w:r>
        <w:rPr>
          <w:rFonts w:ascii="Calibri"/>
          <w:i/>
          <w:spacing w:val="-4"/>
          <w:sz w:val="22"/>
        </w:rPr>
        <w:t> </w:t>
      </w:r>
      <w:r>
        <w:rPr>
          <w:rFonts w:ascii="Calibri"/>
          <w:i/>
          <w:sz w:val="22"/>
        </w:rPr>
        <w:t>:</w:t>
      </w:r>
      <w:r>
        <w:rPr>
          <w:rFonts w:ascii="Calibri"/>
          <w:i/>
          <w:spacing w:val="-6"/>
          <w:sz w:val="22"/>
        </w:rPr>
        <w:t> </w:t>
      </w:r>
      <w:r>
        <w:rPr>
          <w:rFonts w:ascii="Calibri"/>
          <w:i/>
          <w:sz w:val="22"/>
        </w:rPr>
        <w:t>a</w:t>
      </w:r>
      <w:r>
        <w:rPr>
          <w:rFonts w:ascii="Calibri"/>
          <w:i/>
          <w:spacing w:val="-3"/>
          <w:sz w:val="22"/>
        </w:rPr>
        <w:t> </w:t>
      </w:r>
      <w:r>
        <w:rPr>
          <w:rFonts w:ascii="Calibri"/>
          <w:i/>
          <w:sz w:val="22"/>
        </w:rPr>
        <w:t>summing</w:t>
      </w:r>
      <w:r>
        <w:rPr>
          <w:rFonts w:ascii="Calibri"/>
          <w:i/>
          <w:spacing w:val="-3"/>
          <w:sz w:val="22"/>
        </w:rPr>
        <w:t> </w:t>
      </w:r>
      <w:r>
        <w:rPr>
          <w:rFonts w:ascii="Calibri"/>
          <w:i/>
          <w:sz w:val="22"/>
        </w:rPr>
        <w:t>up</w:t>
      </w:r>
      <w:r>
        <w:rPr>
          <w:rFonts w:ascii="Calibri"/>
          <w:sz w:val="22"/>
        </w:rPr>
        <w:t>.</w:t>
      </w:r>
      <w:r>
        <w:rPr>
          <w:rFonts w:ascii="Calibri"/>
          <w:spacing w:val="-3"/>
          <w:sz w:val="22"/>
        </w:rPr>
        <w:t> </w:t>
      </w:r>
      <w:r>
        <w:rPr>
          <w:rFonts w:ascii="Calibri"/>
          <w:sz w:val="22"/>
        </w:rPr>
        <w:t>New</w:t>
      </w:r>
      <w:r>
        <w:rPr>
          <w:rFonts w:ascii="Calibri"/>
          <w:spacing w:val="-4"/>
          <w:sz w:val="22"/>
        </w:rPr>
        <w:t> </w:t>
      </w:r>
      <w:r>
        <w:rPr>
          <w:rFonts w:ascii="Calibri"/>
          <w:sz w:val="22"/>
        </w:rPr>
        <w:t>York:</w:t>
      </w:r>
      <w:r>
        <w:rPr>
          <w:rFonts w:ascii="Calibri"/>
          <w:spacing w:val="-6"/>
          <w:sz w:val="22"/>
        </w:rPr>
        <w:t> </w:t>
      </w:r>
      <w:r>
        <w:rPr>
          <w:rFonts w:ascii="Calibri"/>
          <w:sz w:val="22"/>
        </w:rPr>
        <w:t>Random</w:t>
      </w:r>
      <w:r>
        <w:rPr>
          <w:rFonts w:ascii="Calibri"/>
          <w:spacing w:val="-3"/>
          <w:sz w:val="22"/>
        </w:rPr>
        <w:t> </w:t>
      </w:r>
      <w:r>
        <w:rPr>
          <w:rFonts w:ascii="Calibri"/>
          <w:sz w:val="22"/>
        </w:rPr>
        <w:t>House.</w:t>
      </w:r>
    </w:p>
    <w:p>
      <w:pPr>
        <w:spacing w:before="1"/>
        <w:ind w:left="1700" w:right="1898" w:hanging="721"/>
        <w:jc w:val="both"/>
        <w:rPr>
          <w:rFonts w:ascii="Calibri"/>
          <w:sz w:val="22"/>
        </w:rPr>
      </w:pPr>
      <w:bookmarkStart w:name="_bookmark243" w:id="244"/>
      <w:bookmarkEnd w:id="244"/>
      <w:r>
        <w:rPr/>
      </w:r>
      <w:r>
        <w:rPr>
          <w:rFonts w:ascii="Calibri"/>
          <w:sz w:val="22"/>
        </w:rPr>
        <w:t>Kohler-Koch, B., &amp; Rittberger, B. (2007). Charting Crowded Territory: Debating the Democratic Legitimacy of the European Union In B. Kohler-Koch &amp; B. Rittberger (Eds.), </w:t>
      </w:r>
      <w:r>
        <w:rPr>
          <w:rFonts w:ascii="Calibri"/>
          <w:i/>
          <w:sz w:val="22"/>
        </w:rPr>
        <w:t>Debating the Democratic Legitimacy of the European Union</w:t>
      </w:r>
      <w:r>
        <w:rPr>
          <w:rFonts w:ascii="Calibri"/>
          <w:sz w:val="22"/>
        </w:rPr>
        <w:t>: Lanham: Rowman &amp; Littlefield Publishers.</w:t>
      </w:r>
    </w:p>
    <w:p>
      <w:pPr>
        <w:spacing w:line="266" w:lineRule="exact" w:before="1"/>
        <w:ind w:left="979" w:right="0" w:firstLine="0"/>
        <w:jc w:val="both"/>
        <w:rPr>
          <w:rFonts w:ascii="Calibri"/>
          <w:sz w:val="22"/>
        </w:rPr>
      </w:pPr>
      <w:bookmarkStart w:name="_bookmark244" w:id="245"/>
      <w:bookmarkEnd w:id="245"/>
      <w:r>
        <w:rPr/>
      </w:r>
      <w:r>
        <w:rPr>
          <w:rFonts w:ascii="Calibri"/>
          <w:sz w:val="22"/>
        </w:rPr>
        <w:t>Kosko,</w:t>
      </w:r>
      <w:r>
        <w:rPr>
          <w:rFonts w:ascii="Calibri"/>
          <w:spacing w:val="-10"/>
          <w:sz w:val="22"/>
        </w:rPr>
        <w:t> </w:t>
      </w:r>
      <w:r>
        <w:rPr>
          <w:rFonts w:ascii="Calibri"/>
          <w:sz w:val="22"/>
        </w:rPr>
        <w:t>B.</w:t>
      </w:r>
      <w:r>
        <w:rPr>
          <w:rFonts w:ascii="Calibri"/>
          <w:spacing w:val="-5"/>
          <w:sz w:val="22"/>
        </w:rPr>
        <w:t> </w:t>
      </w:r>
      <w:r>
        <w:rPr>
          <w:rFonts w:ascii="Calibri"/>
          <w:sz w:val="22"/>
        </w:rPr>
        <w:t>(1986).</w:t>
      </w:r>
      <w:r>
        <w:rPr>
          <w:rFonts w:ascii="Calibri"/>
          <w:spacing w:val="-4"/>
          <w:sz w:val="22"/>
        </w:rPr>
        <w:t> </w:t>
      </w:r>
      <w:r>
        <w:rPr>
          <w:rFonts w:ascii="Calibri"/>
          <w:sz w:val="22"/>
        </w:rPr>
        <w:t>Fuzzy</w:t>
      </w:r>
      <w:r>
        <w:rPr>
          <w:rFonts w:ascii="Calibri"/>
          <w:spacing w:val="-7"/>
          <w:sz w:val="22"/>
        </w:rPr>
        <w:t> </w:t>
      </w:r>
      <w:r>
        <w:rPr>
          <w:rFonts w:ascii="Calibri"/>
          <w:sz w:val="22"/>
        </w:rPr>
        <w:t>cognitive</w:t>
      </w:r>
      <w:r>
        <w:rPr>
          <w:rFonts w:ascii="Calibri"/>
          <w:spacing w:val="-6"/>
          <w:sz w:val="22"/>
        </w:rPr>
        <w:t> </w:t>
      </w:r>
      <w:r>
        <w:rPr>
          <w:rFonts w:ascii="Calibri"/>
          <w:sz w:val="22"/>
        </w:rPr>
        <w:t>maps. </w:t>
      </w:r>
      <w:r>
        <w:rPr>
          <w:rFonts w:ascii="Calibri"/>
          <w:i/>
          <w:sz w:val="22"/>
        </w:rPr>
        <w:t>Man-Machine</w:t>
      </w:r>
      <w:r>
        <w:rPr>
          <w:rFonts w:ascii="Calibri"/>
          <w:i/>
          <w:spacing w:val="-6"/>
          <w:sz w:val="22"/>
        </w:rPr>
        <w:t> </w:t>
      </w:r>
      <w:r>
        <w:rPr>
          <w:rFonts w:ascii="Calibri"/>
          <w:i/>
          <w:sz w:val="22"/>
        </w:rPr>
        <w:t>studies,</w:t>
      </w:r>
      <w:r>
        <w:rPr>
          <w:rFonts w:ascii="Calibri"/>
          <w:i/>
          <w:spacing w:val="-8"/>
          <w:sz w:val="22"/>
        </w:rPr>
        <w:t> </w:t>
      </w:r>
      <w:r>
        <w:rPr>
          <w:rFonts w:ascii="Calibri"/>
          <w:i/>
          <w:sz w:val="22"/>
        </w:rPr>
        <w:t>24</w:t>
      </w:r>
      <w:r>
        <w:rPr>
          <w:rFonts w:ascii="Calibri"/>
          <w:sz w:val="22"/>
        </w:rPr>
        <w:t>,</w:t>
      </w:r>
      <w:r>
        <w:rPr>
          <w:rFonts w:ascii="Calibri"/>
          <w:spacing w:val="-9"/>
          <w:sz w:val="22"/>
        </w:rPr>
        <w:t> </w:t>
      </w:r>
      <w:r>
        <w:rPr>
          <w:rFonts w:ascii="Calibri"/>
          <w:sz w:val="22"/>
        </w:rPr>
        <w:t>65-</w:t>
      </w:r>
      <w:r>
        <w:rPr>
          <w:rFonts w:ascii="Calibri"/>
          <w:spacing w:val="-5"/>
          <w:sz w:val="22"/>
        </w:rPr>
        <w:t>75.</w:t>
      </w:r>
    </w:p>
    <w:p>
      <w:pPr>
        <w:spacing w:line="240" w:lineRule="auto" w:before="0"/>
        <w:ind w:left="1700" w:right="1901" w:hanging="721"/>
        <w:jc w:val="both"/>
        <w:rPr>
          <w:rFonts w:ascii="Calibri"/>
          <w:sz w:val="22"/>
        </w:rPr>
      </w:pPr>
      <w:bookmarkStart w:name="_bookmark245" w:id="246"/>
      <w:bookmarkEnd w:id="246"/>
      <w:r>
        <w:rPr/>
      </w:r>
      <w:r>
        <w:rPr>
          <w:rFonts w:ascii="Calibri"/>
          <w:sz w:val="22"/>
        </w:rPr>
        <w:t>Koslowski,</w:t>
      </w:r>
      <w:r>
        <w:rPr>
          <w:rFonts w:ascii="Calibri"/>
          <w:spacing w:val="-2"/>
          <w:sz w:val="22"/>
        </w:rPr>
        <w:t> </w:t>
      </w:r>
      <w:r>
        <w:rPr>
          <w:rFonts w:ascii="Calibri"/>
          <w:sz w:val="22"/>
        </w:rPr>
        <w:t>R.,</w:t>
      </w:r>
      <w:r>
        <w:rPr>
          <w:rFonts w:ascii="Calibri"/>
          <w:spacing w:val="-2"/>
          <w:sz w:val="22"/>
        </w:rPr>
        <w:t> </w:t>
      </w:r>
      <w:r>
        <w:rPr>
          <w:rFonts w:ascii="Calibri"/>
          <w:sz w:val="22"/>
        </w:rPr>
        <w:t>&amp;</w:t>
      </w:r>
      <w:r>
        <w:rPr>
          <w:rFonts w:ascii="Calibri"/>
          <w:spacing w:val="-1"/>
          <w:sz w:val="22"/>
        </w:rPr>
        <w:t> </w:t>
      </w:r>
      <w:r>
        <w:rPr>
          <w:rFonts w:ascii="Calibri"/>
          <w:sz w:val="22"/>
        </w:rPr>
        <w:t>Kratochwil,</w:t>
      </w:r>
      <w:r>
        <w:rPr>
          <w:rFonts w:ascii="Calibri"/>
          <w:spacing w:val="-2"/>
          <w:sz w:val="22"/>
        </w:rPr>
        <w:t> </w:t>
      </w:r>
      <w:r>
        <w:rPr>
          <w:rFonts w:ascii="Calibri"/>
          <w:sz w:val="22"/>
        </w:rPr>
        <w:t>F. V. (1994). Understanding Change in International Politics:</w:t>
      </w:r>
      <w:r>
        <w:rPr>
          <w:rFonts w:ascii="Calibri"/>
          <w:spacing w:val="-1"/>
          <w:sz w:val="22"/>
        </w:rPr>
        <w:t> </w:t>
      </w:r>
      <w:r>
        <w:rPr>
          <w:rFonts w:ascii="Calibri"/>
          <w:sz w:val="22"/>
        </w:rPr>
        <w:t>The Soviet Empire's Demise and the International System. </w:t>
      </w:r>
      <w:r>
        <w:rPr>
          <w:rFonts w:ascii="Calibri"/>
          <w:i/>
          <w:sz w:val="22"/>
        </w:rPr>
        <w:t>International Organization, 48</w:t>
      </w:r>
      <w:r>
        <w:rPr>
          <w:rFonts w:ascii="Calibri"/>
          <w:sz w:val="22"/>
        </w:rPr>
        <w:t>(2), 215-247. doi: 10.2307/2706931</w:t>
      </w:r>
    </w:p>
    <w:p>
      <w:pPr>
        <w:spacing w:after="0" w:line="240" w:lineRule="auto"/>
        <w:jc w:val="both"/>
        <w:rPr>
          <w:rFonts w:asci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1700" w:right="1910" w:hanging="721"/>
        <w:jc w:val="both"/>
        <w:rPr>
          <w:rFonts w:ascii="Calibri"/>
          <w:sz w:val="22"/>
        </w:rPr>
      </w:pPr>
      <w:bookmarkStart w:name="_bookmark246" w:id="247"/>
      <w:bookmarkEnd w:id="247"/>
      <w:r>
        <w:rPr/>
      </w:r>
      <w:r>
        <w:rPr>
          <w:rFonts w:ascii="Calibri"/>
          <w:sz w:val="22"/>
        </w:rPr>
        <w:t>Krasner, S. D. (1984). Approaches to the State: Alternative Conceptions and Historical Dynamics. </w:t>
      </w:r>
      <w:r>
        <w:rPr>
          <w:rFonts w:ascii="Calibri"/>
          <w:i/>
          <w:sz w:val="22"/>
        </w:rPr>
        <w:t>Comparative Politics, 16</w:t>
      </w:r>
      <w:r>
        <w:rPr>
          <w:rFonts w:ascii="Calibri"/>
          <w:sz w:val="22"/>
        </w:rPr>
        <w:t>(2), 223-246. doi: 10.2307/421608</w:t>
      </w:r>
    </w:p>
    <w:p>
      <w:pPr>
        <w:spacing w:before="1"/>
        <w:ind w:left="1700" w:right="1903" w:hanging="721"/>
        <w:jc w:val="both"/>
        <w:rPr>
          <w:rFonts w:ascii="Calibri"/>
          <w:sz w:val="22"/>
        </w:rPr>
      </w:pPr>
      <w:bookmarkStart w:name="_bookmark247" w:id="248"/>
      <w:bookmarkEnd w:id="248"/>
      <w:r>
        <w:rPr/>
      </w:r>
      <w:r>
        <w:rPr>
          <w:rFonts w:ascii="Calibri"/>
          <w:sz w:val="22"/>
        </w:rPr>
        <w:t>Kratochwil,</w:t>
      </w:r>
      <w:r>
        <w:rPr>
          <w:rFonts w:ascii="Calibri"/>
          <w:spacing w:val="-1"/>
          <w:sz w:val="22"/>
        </w:rPr>
        <w:t> </w:t>
      </w:r>
      <w:r>
        <w:rPr>
          <w:rFonts w:ascii="Calibri"/>
          <w:sz w:val="22"/>
        </w:rPr>
        <w:t>F. V. (1989). </w:t>
      </w:r>
      <w:r>
        <w:rPr>
          <w:rFonts w:ascii="Calibri"/>
          <w:i/>
          <w:sz w:val="22"/>
        </w:rPr>
        <w:t>Rules,</w:t>
      </w:r>
      <w:r>
        <w:rPr>
          <w:rFonts w:ascii="Calibri"/>
          <w:i/>
          <w:spacing w:val="-1"/>
          <w:sz w:val="22"/>
        </w:rPr>
        <w:t> </w:t>
      </w:r>
      <w:r>
        <w:rPr>
          <w:rFonts w:ascii="Calibri"/>
          <w:i/>
          <w:sz w:val="22"/>
        </w:rPr>
        <w:t>norms,</w:t>
      </w:r>
      <w:r>
        <w:rPr>
          <w:rFonts w:ascii="Calibri"/>
          <w:i/>
          <w:spacing w:val="-5"/>
          <w:sz w:val="22"/>
        </w:rPr>
        <w:t> </w:t>
      </w:r>
      <w:r>
        <w:rPr>
          <w:rFonts w:ascii="Calibri"/>
          <w:i/>
          <w:sz w:val="22"/>
        </w:rPr>
        <w:t>and</w:t>
      </w:r>
      <w:r>
        <w:rPr>
          <w:rFonts w:ascii="Calibri"/>
          <w:i/>
          <w:spacing w:val="-2"/>
          <w:sz w:val="22"/>
        </w:rPr>
        <w:t> </w:t>
      </w:r>
      <w:r>
        <w:rPr>
          <w:rFonts w:ascii="Calibri"/>
          <w:i/>
          <w:sz w:val="22"/>
        </w:rPr>
        <w:t>decisions :</w:t>
      </w:r>
      <w:r>
        <w:rPr>
          <w:rFonts w:ascii="Calibri"/>
          <w:i/>
          <w:spacing w:val="-5"/>
          <w:sz w:val="22"/>
        </w:rPr>
        <w:t> </w:t>
      </w:r>
      <w:r>
        <w:rPr>
          <w:rFonts w:ascii="Calibri"/>
          <w:i/>
          <w:sz w:val="22"/>
        </w:rPr>
        <w:t>on the conditions</w:t>
      </w:r>
      <w:r>
        <w:rPr>
          <w:rFonts w:ascii="Calibri"/>
          <w:i/>
          <w:spacing w:val="-3"/>
          <w:sz w:val="22"/>
        </w:rPr>
        <w:t> </w:t>
      </w:r>
      <w:r>
        <w:rPr>
          <w:rFonts w:ascii="Calibri"/>
          <w:i/>
          <w:sz w:val="22"/>
        </w:rPr>
        <w:t>of practical and</w:t>
      </w:r>
      <w:r>
        <w:rPr>
          <w:rFonts w:ascii="Calibri"/>
          <w:i/>
          <w:spacing w:val="-2"/>
          <w:sz w:val="22"/>
        </w:rPr>
        <w:t> </w:t>
      </w:r>
      <w:r>
        <w:rPr>
          <w:rFonts w:ascii="Calibri"/>
          <w:i/>
          <w:sz w:val="22"/>
        </w:rPr>
        <w:t>legal reasoning</w:t>
      </w:r>
      <w:r>
        <w:rPr>
          <w:rFonts w:ascii="Calibri"/>
          <w:i/>
          <w:spacing w:val="-3"/>
          <w:sz w:val="22"/>
        </w:rPr>
        <w:t> </w:t>
      </w:r>
      <w:r>
        <w:rPr>
          <w:rFonts w:ascii="Calibri"/>
          <w:i/>
          <w:sz w:val="22"/>
        </w:rPr>
        <w:t>in</w:t>
      </w:r>
      <w:r>
        <w:rPr>
          <w:rFonts w:ascii="Calibri"/>
          <w:i/>
          <w:spacing w:val="-3"/>
          <w:sz w:val="22"/>
        </w:rPr>
        <w:t> </w:t>
      </w:r>
      <w:r>
        <w:rPr>
          <w:rFonts w:ascii="Calibri"/>
          <w:i/>
          <w:sz w:val="22"/>
        </w:rPr>
        <w:t>international</w:t>
      </w:r>
      <w:r>
        <w:rPr>
          <w:rFonts w:ascii="Calibri"/>
          <w:i/>
          <w:spacing w:val="-2"/>
          <w:sz w:val="22"/>
        </w:rPr>
        <w:t> </w:t>
      </w:r>
      <w:r>
        <w:rPr>
          <w:rFonts w:ascii="Calibri"/>
          <w:i/>
          <w:sz w:val="22"/>
        </w:rPr>
        <w:t>relations</w:t>
      </w:r>
      <w:r>
        <w:rPr>
          <w:rFonts w:ascii="Calibri"/>
          <w:i/>
          <w:spacing w:val="-4"/>
          <w:sz w:val="22"/>
        </w:rPr>
        <w:t> </w:t>
      </w:r>
      <w:r>
        <w:rPr>
          <w:rFonts w:ascii="Calibri"/>
          <w:i/>
          <w:sz w:val="22"/>
        </w:rPr>
        <w:t>and domestic affairs</w:t>
      </w:r>
      <w:r>
        <w:rPr>
          <w:rFonts w:ascii="Calibri"/>
          <w:sz w:val="22"/>
        </w:rPr>
        <w:t>.</w:t>
      </w:r>
      <w:r>
        <w:rPr>
          <w:rFonts w:ascii="Calibri"/>
          <w:spacing w:val="-3"/>
          <w:sz w:val="22"/>
        </w:rPr>
        <w:t> </w:t>
      </w:r>
      <w:r>
        <w:rPr>
          <w:rFonts w:ascii="Calibri"/>
          <w:sz w:val="22"/>
        </w:rPr>
        <w:t>Cambridge</w:t>
      </w:r>
      <w:r>
        <w:rPr>
          <w:rFonts w:ascii="Calibri"/>
          <w:spacing w:val="-4"/>
          <w:sz w:val="22"/>
        </w:rPr>
        <w:t> </w:t>
      </w:r>
      <w:r>
        <w:rPr>
          <w:rFonts w:ascii="Calibri"/>
          <w:sz w:val="22"/>
        </w:rPr>
        <w:t>Cambridgeshire</w:t>
      </w:r>
    </w:p>
    <w:p>
      <w:pPr>
        <w:spacing w:line="266" w:lineRule="exact" w:before="1"/>
        <w:ind w:left="1700" w:right="0" w:firstLine="0"/>
        <w:jc w:val="both"/>
        <w:rPr>
          <w:rFonts w:ascii="Calibri"/>
          <w:sz w:val="22"/>
        </w:rPr>
      </w:pPr>
      <w:r>
        <w:rPr>
          <w:rFonts w:ascii="Calibri"/>
          <w:sz w:val="22"/>
        </w:rPr>
        <w:t>;</w:t>
      </w:r>
      <w:r>
        <w:rPr>
          <w:rFonts w:ascii="Calibri"/>
          <w:spacing w:val="-7"/>
          <w:sz w:val="22"/>
        </w:rPr>
        <w:t> </w:t>
      </w:r>
      <w:r>
        <w:rPr>
          <w:rFonts w:ascii="Calibri"/>
          <w:sz w:val="22"/>
        </w:rPr>
        <w:t>New</w:t>
      </w:r>
      <w:r>
        <w:rPr>
          <w:rFonts w:ascii="Calibri"/>
          <w:spacing w:val="-5"/>
          <w:sz w:val="22"/>
        </w:rPr>
        <w:t> </w:t>
      </w:r>
      <w:r>
        <w:rPr>
          <w:rFonts w:ascii="Calibri"/>
          <w:sz w:val="22"/>
        </w:rPr>
        <w:t>York:</w:t>
      </w:r>
      <w:r>
        <w:rPr>
          <w:rFonts w:ascii="Calibri"/>
          <w:spacing w:val="-7"/>
          <w:sz w:val="22"/>
        </w:rPr>
        <w:t> </w:t>
      </w:r>
      <w:r>
        <w:rPr>
          <w:rFonts w:ascii="Calibri"/>
          <w:sz w:val="22"/>
        </w:rPr>
        <w:t>Cambridge</w:t>
      </w:r>
      <w:r>
        <w:rPr>
          <w:rFonts w:ascii="Calibri"/>
          <w:spacing w:val="-5"/>
          <w:sz w:val="22"/>
        </w:rPr>
        <w:t> </w:t>
      </w:r>
      <w:r>
        <w:rPr>
          <w:rFonts w:ascii="Calibri"/>
          <w:sz w:val="22"/>
        </w:rPr>
        <w:t>University</w:t>
      </w:r>
      <w:r>
        <w:rPr>
          <w:rFonts w:ascii="Calibri"/>
          <w:spacing w:val="-4"/>
          <w:sz w:val="22"/>
        </w:rPr>
        <w:t> </w:t>
      </w:r>
      <w:r>
        <w:rPr>
          <w:rFonts w:ascii="Calibri"/>
          <w:spacing w:val="-2"/>
          <w:sz w:val="22"/>
        </w:rPr>
        <w:t>Press.</w:t>
      </w:r>
    </w:p>
    <w:p>
      <w:pPr>
        <w:spacing w:line="240" w:lineRule="auto" w:before="0"/>
        <w:ind w:left="1700" w:right="1902" w:hanging="721"/>
        <w:jc w:val="both"/>
        <w:rPr>
          <w:rFonts w:ascii="Calibri"/>
          <w:sz w:val="22"/>
        </w:rPr>
      </w:pPr>
      <w:bookmarkStart w:name="_bookmark248" w:id="249"/>
      <w:bookmarkEnd w:id="249"/>
      <w:r>
        <w:rPr/>
      </w:r>
      <w:r>
        <w:rPr>
          <w:rFonts w:ascii="Calibri"/>
          <w:sz w:val="22"/>
        </w:rPr>
        <w:t>Kratochwil, F. V. (1993). The Embarrassment of Changes: Neo-Realism as the Science of Realpolitik without Politics. </w:t>
      </w:r>
      <w:r>
        <w:rPr>
          <w:rFonts w:ascii="Calibri"/>
          <w:i/>
          <w:sz w:val="22"/>
        </w:rPr>
        <w:t>Review of International Studies, 19</w:t>
      </w:r>
      <w:r>
        <w:rPr>
          <w:rFonts w:ascii="Calibri"/>
          <w:sz w:val="22"/>
        </w:rPr>
        <w:t>(1), 63-80. doi: </w:t>
      </w:r>
      <w:r>
        <w:rPr>
          <w:rFonts w:ascii="Calibri"/>
          <w:spacing w:val="-2"/>
          <w:sz w:val="22"/>
        </w:rPr>
        <w:t>10.2307/20097320</w:t>
      </w:r>
    </w:p>
    <w:p>
      <w:pPr>
        <w:spacing w:before="0"/>
        <w:ind w:left="979" w:right="0" w:firstLine="0"/>
        <w:jc w:val="both"/>
        <w:rPr>
          <w:rFonts w:ascii="Calibri"/>
          <w:sz w:val="22"/>
        </w:rPr>
      </w:pPr>
      <w:bookmarkStart w:name="_bookmark249" w:id="250"/>
      <w:bookmarkEnd w:id="250"/>
      <w:r>
        <w:rPr/>
      </w:r>
      <w:r>
        <w:rPr>
          <w:rFonts w:ascii="Calibri"/>
          <w:sz w:val="22"/>
        </w:rPr>
        <w:t>Kreppel,</w:t>
      </w:r>
      <w:r>
        <w:rPr>
          <w:rFonts w:ascii="Calibri"/>
          <w:spacing w:val="74"/>
          <w:sz w:val="22"/>
        </w:rPr>
        <w:t> </w:t>
      </w:r>
      <w:r>
        <w:rPr>
          <w:rFonts w:ascii="Calibri"/>
          <w:sz w:val="22"/>
        </w:rPr>
        <w:t>A.,</w:t>
      </w:r>
      <w:r>
        <w:rPr>
          <w:rFonts w:ascii="Calibri"/>
          <w:spacing w:val="77"/>
          <w:sz w:val="22"/>
        </w:rPr>
        <w:t> </w:t>
      </w:r>
      <w:r>
        <w:rPr>
          <w:rFonts w:ascii="Calibri"/>
          <w:sz w:val="22"/>
        </w:rPr>
        <w:t>&amp;</w:t>
      </w:r>
      <w:r>
        <w:rPr>
          <w:rFonts w:ascii="Calibri"/>
          <w:spacing w:val="77"/>
          <w:sz w:val="22"/>
        </w:rPr>
        <w:t> </w:t>
      </w:r>
      <w:r>
        <w:rPr>
          <w:rFonts w:ascii="Calibri"/>
          <w:sz w:val="22"/>
        </w:rPr>
        <w:t>Tsabelis,</w:t>
      </w:r>
      <w:r>
        <w:rPr>
          <w:rFonts w:ascii="Calibri"/>
          <w:spacing w:val="77"/>
          <w:sz w:val="22"/>
        </w:rPr>
        <w:t> </w:t>
      </w:r>
      <w:r>
        <w:rPr>
          <w:rFonts w:ascii="Calibri"/>
          <w:sz w:val="22"/>
        </w:rPr>
        <w:t>G.</w:t>
      </w:r>
      <w:r>
        <w:rPr>
          <w:rFonts w:ascii="Calibri"/>
          <w:spacing w:val="76"/>
          <w:sz w:val="22"/>
        </w:rPr>
        <w:t> </w:t>
      </w:r>
      <w:r>
        <w:rPr>
          <w:rFonts w:ascii="Calibri"/>
          <w:sz w:val="22"/>
        </w:rPr>
        <w:t>(1999).</w:t>
      </w:r>
      <w:r>
        <w:rPr>
          <w:rFonts w:ascii="Calibri"/>
          <w:spacing w:val="77"/>
          <w:sz w:val="22"/>
        </w:rPr>
        <w:t> </w:t>
      </w:r>
      <w:r>
        <w:rPr>
          <w:rFonts w:ascii="Calibri"/>
          <w:sz w:val="22"/>
        </w:rPr>
        <w:t>Coalition</w:t>
      </w:r>
      <w:r>
        <w:rPr>
          <w:rFonts w:ascii="Calibri"/>
          <w:spacing w:val="78"/>
          <w:sz w:val="22"/>
        </w:rPr>
        <w:t> </w:t>
      </w:r>
      <w:r>
        <w:rPr>
          <w:rFonts w:ascii="Calibri"/>
          <w:sz w:val="22"/>
        </w:rPr>
        <w:t>Formation</w:t>
      </w:r>
      <w:r>
        <w:rPr>
          <w:rFonts w:ascii="Calibri"/>
          <w:spacing w:val="79"/>
          <w:sz w:val="22"/>
        </w:rPr>
        <w:t> </w:t>
      </w:r>
      <w:r>
        <w:rPr>
          <w:rFonts w:ascii="Calibri"/>
          <w:sz w:val="22"/>
        </w:rPr>
        <w:t>in</w:t>
      </w:r>
      <w:r>
        <w:rPr>
          <w:rFonts w:ascii="Calibri"/>
          <w:spacing w:val="74"/>
          <w:sz w:val="22"/>
        </w:rPr>
        <w:t> </w:t>
      </w:r>
      <w:r>
        <w:rPr>
          <w:rFonts w:ascii="Calibri"/>
          <w:sz w:val="22"/>
        </w:rPr>
        <w:t>the</w:t>
      </w:r>
      <w:r>
        <w:rPr>
          <w:rFonts w:ascii="Calibri"/>
          <w:spacing w:val="79"/>
          <w:sz w:val="22"/>
        </w:rPr>
        <w:t> </w:t>
      </w:r>
      <w:r>
        <w:rPr>
          <w:rFonts w:ascii="Calibri"/>
          <w:sz w:val="22"/>
        </w:rPr>
        <w:t>European</w:t>
      </w:r>
      <w:r>
        <w:rPr>
          <w:rFonts w:ascii="Calibri"/>
          <w:spacing w:val="79"/>
          <w:sz w:val="22"/>
        </w:rPr>
        <w:t> </w:t>
      </w:r>
      <w:r>
        <w:rPr>
          <w:rFonts w:ascii="Calibri"/>
          <w:spacing w:val="-2"/>
          <w:sz w:val="22"/>
        </w:rPr>
        <w:t>Parliament.</w:t>
      </w:r>
    </w:p>
    <w:p>
      <w:pPr>
        <w:spacing w:before="0"/>
        <w:ind w:left="979" w:right="1906" w:firstLine="720"/>
        <w:jc w:val="both"/>
        <w:rPr>
          <w:rFonts w:ascii="Calibri"/>
          <w:sz w:val="22"/>
        </w:rPr>
      </w:pPr>
      <w:r>
        <w:rPr>
          <w:rFonts w:ascii="Calibri"/>
          <w:i/>
          <w:sz w:val="22"/>
        </w:rPr>
        <w:t>Comparative Political Studies, 32</w:t>
      </w:r>
      <w:r>
        <w:rPr>
          <w:rFonts w:ascii="Calibri"/>
          <w:sz w:val="22"/>
        </w:rPr>
        <w:t>(8), 933-966. doi: 10.1177/0010414099032008002 </w:t>
      </w:r>
      <w:bookmarkStart w:name="_bookmark250" w:id="251"/>
      <w:bookmarkEnd w:id="251"/>
      <w:r>
        <w:rPr>
          <w:rFonts w:ascii="Calibri"/>
          <w:sz w:val="22"/>
        </w:rPr>
        <w:t>Kr</w:t>
      </w:r>
      <w:r>
        <w:rPr>
          <w:rFonts w:ascii="Calibri"/>
          <w:sz w:val="22"/>
        </w:rPr>
        <w:t>ippendorff, K. (2009). Ross Ashby's information theory: a bit of history, some solutions to</w:t>
      </w:r>
    </w:p>
    <w:p>
      <w:pPr>
        <w:spacing w:before="0"/>
        <w:ind w:left="1700" w:right="1902" w:firstLine="0"/>
        <w:jc w:val="both"/>
        <w:rPr>
          <w:rFonts w:ascii="Calibri"/>
          <w:sz w:val="22"/>
        </w:rPr>
      </w:pPr>
      <w:r>
        <w:rPr>
          <w:rFonts w:ascii="Calibri"/>
          <w:sz w:val="22"/>
        </w:rPr>
        <w:t>problems, and what we face today. </w:t>
      </w:r>
      <w:r>
        <w:rPr>
          <w:rFonts w:ascii="Calibri"/>
          <w:i/>
          <w:sz w:val="22"/>
        </w:rPr>
        <w:t>International Journal of General Systems, 38</w:t>
      </w:r>
      <w:r>
        <w:rPr>
          <w:rFonts w:ascii="Calibri"/>
          <w:sz w:val="22"/>
        </w:rPr>
        <w:t>(2), 189-212. doi: 10.1080/03081070802621846</w:t>
      </w:r>
    </w:p>
    <w:p>
      <w:pPr>
        <w:spacing w:before="0"/>
        <w:ind w:left="979" w:right="0" w:firstLine="0"/>
        <w:jc w:val="both"/>
        <w:rPr>
          <w:rFonts w:ascii="Calibri"/>
          <w:sz w:val="22"/>
        </w:rPr>
      </w:pPr>
      <w:bookmarkStart w:name="_bookmark251" w:id="252"/>
      <w:bookmarkEnd w:id="252"/>
      <w:r>
        <w:rPr/>
      </w:r>
      <w:r>
        <w:rPr>
          <w:rFonts w:ascii="Calibri"/>
          <w:sz w:val="22"/>
        </w:rPr>
        <w:t>Krugman,</w:t>
      </w:r>
      <w:r>
        <w:rPr>
          <w:rFonts w:ascii="Calibri"/>
          <w:spacing w:val="-10"/>
          <w:sz w:val="22"/>
        </w:rPr>
        <w:t> </w:t>
      </w:r>
      <w:r>
        <w:rPr>
          <w:rFonts w:ascii="Calibri"/>
          <w:sz w:val="22"/>
        </w:rPr>
        <w:t>P.</w:t>
      </w:r>
      <w:r>
        <w:rPr>
          <w:rFonts w:ascii="Calibri"/>
          <w:spacing w:val="-4"/>
          <w:sz w:val="22"/>
        </w:rPr>
        <w:t> </w:t>
      </w:r>
      <w:r>
        <w:rPr>
          <w:rFonts w:ascii="Calibri"/>
          <w:sz w:val="22"/>
        </w:rPr>
        <w:t>(2012).</w:t>
      </w:r>
      <w:r>
        <w:rPr>
          <w:rFonts w:ascii="Calibri"/>
          <w:spacing w:val="-3"/>
          <w:sz w:val="22"/>
        </w:rPr>
        <w:t> </w:t>
      </w:r>
      <w:r>
        <w:rPr>
          <w:rFonts w:ascii="Calibri"/>
          <w:sz w:val="22"/>
        </w:rPr>
        <w:t>Prisons,</w:t>
      </w:r>
      <w:r>
        <w:rPr>
          <w:rFonts w:ascii="Calibri"/>
          <w:spacing w:val="-8"/>
          <w:sz w:val="22"/>
        </w:rPr>
        <w:t> </w:t>
      </w:r>
      <w:r>
        <w:rPr>
          <w:rFonts w:ascii="Calibri"/>
          <w:sz w:val="22"/>
        </w:rPr>
        <w:t>Privatization,</w:t>
      </w:r>
      <w:r>
        <w:rPr>
          <w:rFonts w:ascii="Calibri"/>
          <w:spacing w:val="-8"/>
          <w:sz w:val="22"/>
        </w:rPr>
        <w:t> </w:t>
      </w:r>
      <w:r>
        <w:rPr>
          <w:rFonts w:ascii="Calibri"/>
          <w:sz w:val="22"/>
        </w:rPr>
        <w:t>Patronage.</w:t>
      </w:r>
      <w:r>
        <w:rPr>
          <w:rFonts w:ascii="Calibri"/>
          <w:spacing w:val="-8"/>
          <w:sz w:val="22"/>
        </w:rPr>
        <w:t> </w:t>
      </w:r>
      <w:r>
        <w:rPr>
          <w:rFonts w:ascii="Calibri"/>
          <w:i/>
          <w:sz w:val="22"/>
        </w:rPr>
        <w:t>The</w:t>
      </w:r>
      <w:r>
        <w:rPr>
          <w:rFonts w:ascii="Calibri"/>
          <w:i/>
          <w:spacing w:val="-5"/>
          <w:sz w:val="22"/>
        </w:rPr>
        <w:t> </w:t>
      </w:r>
      <w:r>
        <w:rPr>
          <w:rFonts w:ascii="Calibri"/>
          <w:i/>
          <w:sz w:val="22"/>
        </w:rPr>
        <w:t>New</w:t>
      </w:r>
      <w:r>
        <w:rPr>
          <w:rFonts w:ascii="Calibri"/>
          <w:i/>
          <w:spacing w:val="-5"/>
          <w:sz w:val="22"/>
        </w:rPr>
        <w:t> </w:t>
      </w:r>
      <w:r>
        <w:rPr>
          <w:rFonts w:ascii="Calibri"/>
          <w:i/>
          <w:sz w:val="22"/>
        </w:rPr>
        <w:t>York</w:t>
      </w:r>
      <w:r>
        <w:rPr>
          <w:rFonts w:ascii="Calibri"/>
          <w:i/>
          <w:spacing w:val="-4"/>
          <w:sz w:val="22"/>
        </w:rPr>
        <w:t> </w:t>
      </w:r>
      <w:r>
        <w:rPr>
          <w:rFonts w:ascii="Calibri"/>
          <w:i/>
          <w:spacing w:val="-2"/>
          <w:sz w:val="22"/>
        </w:rPr>
        <w:t>Times</w:t>
      </w:r>
      <w:r>
        <w:rPr>
          <w:rFonts w:ascii="Calibri"/>
          <w:spacing w:val="-2"/>
          <w:sz w:val="22"/>
        </w:rPr>
        <w:t>.</w:t>
      </w:r>
    </w:p>
    <w:p>
      <w:pPr>
        <w:spacing w:before="0"/>
        <w:ind w:left="1700" w:right="1909" w:hanging="721"/>
        <w:jc w:val="both"/>
        <w:rPr>
          <w:rFonts w:ascii="Calibri"/>
          <w:sz w:val="22"/>
        </w:rPr>
      </w:pPr>
      <w:bookmarkStart w:name="_bookmark252" w:id="253"/>
      <w:bookmarkEnd w:id="253"/>
      <w:r>
        <w:rPr/>
      </w:r>
      <w:r>
        <w:rPr>
          <w:rFonts w:ascii="Calibri"/>
          <w:sz w:val="22"/>
        </w:rPr>
        <w:t>Lasswell, H. D. (1936). </w:t>
      </w:r>
      <w:r>
        <w:rPr>
          <w:rFonts w:ascii="Calibri"/>
          <w:i/>
          <w:sz w:val="22"/>
        </w:rPr>
        <w:t>Politics; who gets what, when, how</w:t>
      </w:r>
      <w:r>
        <w:rPr>
          <w:rFonts w:ascii="Calibri"/>
          <w:sz w:val="22"/>
        </w:rPr>
        <w:t>. New York, London,: Whittlesey house McGraw-Hill book company.</w:t>
      </w:r>
    </w:p>
    <w:p>
      <w:pPr>
        <w:spacing w:before="1"/>
        <w:ind w:left="1700" w:right="1912" w:hanging="721"/>
        <w:jc w:val="both"/>
        <w:rPr>
          <w:rFonts w:ascii="Calibri"/>
          <w:sz w:val="22"/>
        </w:rPr>
      </w:pPr>
      <w:bookmarkStart w:name="_bookmark253" w:id="254"/>
      <w:bookmarkEnd w:id="254"/>
      <w:r>
        <w:rPr/>
      </w:r>
      <w:r>
        <w:rPr>
          <w:rFonts w:ascii="Calibri"/>
          <w:sz w:val="22"/>
        </w:rPr>
        <w:t>Laszlo, A., &amp; Krippner, S. (1997). </w:t>
      </w:r>
      <w:r>
        <w:rPr>
          <w:rFonts w:ascii="Calibri"/>
          <w:i/>
          <w:sz w:val="22"/>
        </w:rPr>
        <w:t>Systems Theories: Their Origins, Foundations, and </w:t>
      </w:r>
      <w:r>
        <w:rPr>
          <w:rFonts w:ascii="Calibri"/>
          <w:i/>
          <w:spacing w:val="-2"/>
          <w:sz w:val="22"/>
        </w:rPr>
        <w:t>Development</w:t>
      </w:r>
      <w:r>
        <w:rPr>
          <w:rFonts w:ascii="Calibri"/>
          <w:spacing w:val="-2"/>
          <w:sz w:val="22"/>
        </w:rPr>
        <w:t>.</w:t>
      </w:r>
    </w:p>
    <w:p>
      <w:pPr>
        <w:spacing w:before="1"/>
        <w:ind w:left="1700" w:right="1903" w:hanging="721"/>
        <w:jc w:val="both"/>
        <w:rPr>
          <w:rFonts w:ascii="Calibri"/>
          <w:sz w:val="22"/>
        </w:rPr>
      </w:pPr>
      <w:bookmarkStart w:name="_bookmark254" w:id="255"/>
      <w:bookmarkEnd w:id="255"/>
      <w:r>
        <w:rPr/>
      </w:r>
      <w:r>
        <w:rPr>
          <w:rFonts w:ascii="Calibri"/>
          <w:sz w:val="22"/>
        </w:rPr>
        <w:t>Lavenex, S. (2004). EU external governance in 'wider Europe'. </w:t>
      </w:r>
      <w:r>
        <w:rPr>
          <w:rFonts w:ascii="Calibri"/>
          <w:i/>
          <w:sz w:val="22"/>
        </w:rPr>
        <w:t>Journal of European Public Policy, 11</w:t>
      </w:r>
      <w:r>
        <w:rPr>
          <w:rFonts w:ascii="Calibri"/>
          <w:sz w:val="22"/>
        </w:rPr>
        <w:t>(4), 680-700. doi: 10.1080/1350176042000248098</w:t>
      </w:r>
    </w:p>
    <w:p>
      <w:pPr>
        <w:spacing w:before="0"/>
        <w:ind w:left="1700" w:right="1907" w:hanging="721"/>
        <w:jc w:val="both"/>
        <w:rPr>
          <w:rFonts w:ascii="Calibri"/>
          <w:sz w:val="22"/>
        </w:rPr>
      </w:pPr>
      <w:bookmarkStart w:name="_bookmark255" w:id="256"/>
      <w:bookmarkEnd w:id="256"/>
      <w:r>
        <w:rPr/>
      </w:r>
      <w:r>
        <w:rPr>
          <w:rFonts w:ascii="Calibri"/>
          <w:sz w:val="22"/>
        </w:rPr>
        <w:t>Lavenex, S., Lehmkuhl, D., &amp; Wichmann, N. (2009). Modes of external governance: a cross- national and cross-sectoral comparison. </w:t>
      </w:r>
      <w:r>
        <w:rPr>
          <w:rFonts w:ascii="Calibri"/>
          <w:i/>
          <w:sz w:val="22"/>
        </w:rPr>
        <w:t>Journal of European Public Policy, 16</w:t>
      </w:r>
      <w:r>
        <w:rPr>
          <w:rFonts w:ascii="Calibri"/>
          <w:sz w:val="22"/>
        </w:rPr>
        <w:t>(6), 813-833. doi: 10.1080/13501760903087779</w:t>
      </w:r>
    </w:p>
    <w:p>
      <w:pPr>
        <w:spacing w:line="237" w:lineRule="auto" w:before="3"/>
        <w:ind w:left="1700" w:right="1907" w:hanging="721"/>
        <w:jc w:val="both"/>
        <w:rPr>
          <w:rFonts w:ascii="Calibri"/>
          <w:sz w:val="22"/>
        </w:rPr>
      </w:pPr>
      <w:bookmarkStart w:name="_bookmark256" w:id="257"/>
      <w:bookmarkEnd w:id="257"/>
      <w:r>
        <w:rPr/>
      </w:r>
      <w:r>
        <w:rPr>
          <w:rFonts w:ascii="Calibri"/>
          <w:sz w:val="22"/>
        </w:rPr>
        <w:t>Lavenex, S., &amp; Schimmelfennig, F. (2009). EU rules beyond EU borders: theorizing external governance in European politics. </w:t>
      </w:r>
      <w:r>
        <w:rPr>
          <w:rFonts w:ascii="Calibri"/>
          <w:i/>
          <w:sz w:val="22"/>
        </w:rPr>
        <w:t>Journal of European Public Policy, 16</w:t>
      </w:r>
      <w:r>
        <w:rPr>
          <w:rFonts w:ascii="Calibri"/>
          <w:sz w:val="22"/>
        </w:rPr>
        <w:t>(6), 791-812. doi: 10.1080/13501760903087696</w:t>
      </w:r>
    </w:p>
    <w:p>
      <w:pPr>
        <w:spacing w:before="2"/>
        <w:ind w:left="1700" w:right="1907" w:hanging="721"/>
        <w:jc w:val="both"/>
        <w:rPr>
          <w:rFonts w:ascii="Calibri"/>
          <w:sz w:val="22"/>
        </w:rPr>
      </w:pPr>
      <w:bookmarkStart w:name="_bookmark257" w:id="258"/>
      <w:bookmarkEnd w:id="258"/>
      <w:r>
        <w:rPr/>
      </w:r>
      <w:r>
        <w:rPr>
          <w:rFonts w:ascii="Calibri"/>
          <w:sz w:val="22"/>
        </w:rPr>
        <w:t>Lehman, H. (1966). R. K. Merton's concepts of function and functionalism. </w:t>
      </w:r>
      <w:r>
        <w:rPr>
          <w:rFonts w:ascii="Calibri"/>
          <w:i/>
          <w:sz w:val="22"/>
        </w:rPr>
        <w:t>Inquiry, 9</w:t>
      </w:r>
      <w:r>
        <w:rPr>
          <w:rFonts w:ascii="Calibri"/>
          <w:sz w:val="22"/>
        </w:rPr>
        <w:t>(1-4), 274-283. doi: 10.1080/00201746608601462</w:t>
      </w:r>
    </w:p>
    <w:p>
      <w:pPr>
        <w:spacing w:before="1"/>
        <w:ind w:left="1700" w:right="1907" w:hanging="721"/>
        <w:jc w:val="both"/>
        <w:rPr>
          <w:rFonts w:ascii="Calibri"/>
          <w:sz w:val="22"/>
        </w:rPr>
      </w:pPr>
      <w:bookmarkStart w:name="_bookmark258" w:id="259"/>
      <w:bookmarkEnd w:id="259"/>
      <w:r>
        <w:rPr/>
      </w:r>
      <w:r>
        <w:rPr>
          <w:rFonts w:ascii="Calibri"/>
          <w:sz w:val="22"/>
        </w:rPr>
        <w:t>Leyland, M. L. (1988). An introduction to some of the ideas of Humberto Maturana. </w:t>
      </w:r>
      <w:r>
        <w:rPr>
          <w:rFonts w:ascii="Calibri"/>
          <w:i/>
          <w:sz w:val="22"/>
        </w:rPr>
        <w:t>Journal of Family Therapy, 10</w:t>
      </w:r>
      <w:r>
        <w:rPr>
          <w:rFonts w:ascii="Calibri"/>
          <w:sz w:val="22"/>
        </w:rPr>
        <w:t>(4), 357-374. doi: 10.1046/j..1988.00323.x</w:t>
      </w:r>
    </w:p>
    <w:p>
      <w:pPr>
        <w:spacing w:before="1"/>
        <w:ind w:left="1700" w:right="1903" w:hanging="721"/>
        <w:jc w:val="both"/>
        <w:rPr>
          <w:rFonts w:ascii="Calibri"/>
          <w:sz w:val="22"/>
        </w:rPr>
      </w:pPr>
      <w:bookmarkStart w:name="_bookmark259" w:id="260"/>
      <w:bookmarkEnd w:id="260"/>
      <w:r>
        <w:rPr/>
      </w:r>
      <w:r>
        <w:rPr>
          <w:rFonts w:ascii="Calibri"/>
          <w:sz w:val="22"/>
        </w:rPr>
        <w:t>Lindberg, L. N. (1963). </w:t>
      </w:r>
      <w:r>
        <w:rPr>
          <w:rFonts w:ascii="Calibri"/>
          <w:i/>
          <w:sz w:val="22"/>
        </w:rPr>
        <w:t>The Political Dynamics of European Economic Integration</w:t>
      </w:r>
      <w:r>
        <w:rPr>
          <w:rFonts w:ascii="Calibri"/>
          <w:sz w:val="22"/>
        </w:rPr>
        <w:t>. Stanford, CA: Stanford University Press.</w:t>
      </w:r>
    </w:p>
    <w:p>
      <w:pPr>
        <w:spacing w:before="0"/>
        <w:ind w:left="1700" w:right="1909" w:hanging="721"/>
        <w:jc w:val="both"/>
        <w:rPr>
          <w:rFonts w:ascii="Calibri"/>
          <w:sz w:val="22"/>
        </w:rPr>
      </w:pPr>
      <w:bookmarkStart w:name="_bookmark260" w:id="261"/>
      <w:bookmarkEnd w:id="261"/>
      <w:r>
        <w:rPr/>
      </w:r>
      <w:r>
        <w:rPr>
          <w:rFonts w:ascii="Calibri"/>
          <w:sz w:val="22"/>
        </w:rPr>
        <w:t>Lindberg, L. N. (1970). Political Integration as a Multidimensional Phenomenon Requiring Multivariate Measurement. </w:t>
      </w:r>
      <w:r>
        <w:rPr>
          <w:rFonts w:ascii="Calibri"/>
          <w:i/>
          <w:sz w:val="22"/>
        </w:rPr>
        <w:t>International Organization, 24</w:t>
      </w:r>
      <w:r>
        <w:rPr>
          <w:rFonts w:ascii="Calibri"/>
          <w:sz w:val="22"/>
        </w:rPr>
        <w:t>(04), 648-731.</w:t>
      </w:r>
    </w:p>
    <w:p>
      <w:pPr>
        <w:spacing w:before="1"/>
        <w:ind w:left="1700" w:right="1904" w:hanging="721"/>
        <w:jc w:val="both"/>
        <w:rPr>
          <w:rFonts w:ascii="Calibri"/>
          <w:sz w:val="22"/>
        </w:rPr>
      </w:pPr>
      <w:bookmarkStart w:name="_bookmark261" w:id="262"/>
      <w:bookmarkEnd w:id="262"/>
      <w:r>
        <w:rPr/>
      </w:r>
      <w:r>
        <w:rPr>
          <w:rFonts w:ascii="Calibri"/>
          <w:sz w:val="22"/>
        </w:rPr>
        <w:t>Lindberg,</w:t>
      </w:r>
      <w:r>
        <w:rPr>
          <w:rFonts w:ascii="Calibri"/>
          <w:spacing w:val="-6"/>
          <w:sz w:val="22"/>
        </w:rPr>
        <w:t> </w:t>
      </w:r>
      <w:r>
        <w:rPr>
          <w:rFonts w:ascii="Calibri"/>
          <w:sz w:val="22"/>
        </w:rPr>
        <w:t>L.</w:t>
      </w:r>
      <w:r>
        <w:rPr>
          <w:rFonts w:ascii="Calibri"/>
          <w:spacing w:val="-2"/>
          <w:sz w:val="22"/>
        </w:rPr>
        <w:t> </w:t>
      </w:r>
      <w:r>
        <w:rPr>
          <w:rFonts w:ascii="Calibri"/>
          <w:sz w:val="22"/>
        </w:rPr>
        <w:t>N.,</w:t>
      </w:r>
      <w:r>
        <w:rPr>
          <w:rFonts w:ascii="Calibri"/>
          <w:spacing w:val="-6"/>
          <w:sz w:val="22"/>
        </w:rPr>
        <w:t> </w:t>
      </w:r>
      <w:r>
        <w:rPr>
          <w:rFonts w:ascii="Calibri"/>
          <w:sz w:val="22"/>
        </w:rPr>
        <w:t>&amp;</w:t>
      </w:r>
      <w:r>
        <w:rPr>
          <w:rFonts w:ascii="Calibri"/>
          <w:spacing w:val="-5"/>
          <w:sz w:val="22"/>
        </w:rPr>
        <w:t> </w:t>
      </w:r>
      <w:r>
        <w:rPr>
          <w:rFonts w:ascii="Calibri"/>
          <w:sz w:val="22"/>
        </w:rPr>
        <w:t>Scheingold,</w:t>
      </w:r>
      <w:r>
        <w:rPr>
          <w:rFonts w:ascii="Calibri"/>
          <w:spacing w:val="-6"/>
          <w:sz w:val="22"/>
        </w:rPr>
        <w:t> </w:t>
      </w:r>
      <w:r>
        <w:rPr>
          <w:rFonts w:ascii="Calibri"/>
          <w:sz w:val="22"/>
        </w:rPr>
        <w:t>S.</w:t>
      </w:r>
      <w:r>
        <w:rPr>
          <w:rFonts w:ascii="Calibri"/>
          <w:spacing w:val="-2"/>
          <w:sz w:val="22"/>
        </w:rPr>
        <w:t> </w:t>
      </w:r>
      <w:r>
        <w:rPr>
          <w:rFonts w:ascii="Calibri"/>
          <w:sz w:val="22"/>
        </w:rPr>
        <w:t>A.</w:t>
      </w:r>
      <w:r>
        <w:rPr>
          <w:rFonts w:ascii="Calibri"/>
          <w:spacing w:val="-2"/>
          <w:sz w:val="22"/>
        </w:rPr>
        <w:t> </w:t>
      </w:r>
      <w:r>
        <w:rPr>
          <w:rFonts w:ascii="Calibri"/>
          <w:sz w:val="22"/>
        </w:rPr>
        <w:t>(1970). </w:t>
      </w:r>
      <w:r>
        <w:rPr>
          <w:rFonts w:ascii="Calibri"/>
          <w:i/>
          <w:sz w:val="22"/>
        </w:rPr>
        <w:t>Europe's</w:t>
      </w:r>
      <w:r>
        <w:rPr>
          <w:rFonts w:ascii="Calibri"/>
          <w:i/>
          <w:spacing w:val="-3"/>
          <w:sz w:val="22"/>
        </w:rPr>
        <w:t> </w:t>
      </w:r>
      <w:r>
        <w:rPr>
          <w:rFonts w:ascii="Calibri"/>
          <w:i/>
          <w:sz w:val="22"/>
        </w:rPr>
        <w:t>would</w:t>
      </w:r>
      <w:r>
        <w:rPr>
          <w:rFonts w:ascii="Calibri"/>
          <w:i/>
          <w:spacing w:val="-2"/>
          <w:sz w:val="22"/>
        </w:rPr>
        <w:t> </w:t>
      </w:r>
      <w:r>
        <w:rPr>
          <w:rFonts w:ascii="Calibri"/>
          <w:i/>
          <w:sz w:val="22"/>
        </w:rPr>
        <w:t>be-be</w:t>
      </w:r>
      <w:r>
        <w:rPr>
          <w:rFonts w:ascii="Calibri"/>
          <w:i/>
          <w:spacing w:val="-3"/>
          <w:sz w:val="22"/>
        </w:rPr>
        <w:t> </w:t>
      </w:r>
      <w:r>
        <w:rPr>
          <w:rFonts w:ascii="Calibri"/>
          <w:i/>
          <w:sz w:val="22"/>
        </w:rPr>
        <w:t>Polity:</w:t>
      </w:r>
      <w:r>
        <w:rPr>
          <w:rFonts w:ascii="Calibri"/>
          <w:i/>
          <w:spacing w:val="-5"/>
          <w:sz w:val="22"/>
        </w:rPr>
        <w:t> </w:t>
      </w:r>
      <w:r>
        <w:rPr>
          <w:rFonts w:ascii="Calibri"/>
          <w:i/>
          <w:sz w:val="22"/>
        </w:rPr>
        <w:t>Patterns</w:t>
      </w:r>
      <w:r>
        <w:rPr>
          <w:rFonts w:ascii="Calibri"/>
          <w:i/>
          <w:spacing w:val="-3"/>
          <w:sz w:val="22"/>
        </w:rPr>
        <w:t> </w:t>
      </w:r>
      <w:r>
        <w:rPr>
          <w:rFonts w:ascii="Calibri"/>
          <w:i/>
          <w:sz w:val="22"/>
        </w:rPr>
        <w:t>of</w:t>
      </w:r>
      <w:r>
        <w:rPr>
          <w:rFonts w:ascii="Calibri"/>
          <w:i/>
          <w:spacing w:val="-3"/>
          <w:sz w:val="22"/>
        </w:rPr>
        <w:t> </w:t>
      </w:r>
      <w:r>
        <w:rPr>
          <w:rFonts w:ascii="Calibri"/>
          <w:i/>
          <w:sz w:val="22"/>
        </w:rPr>
        <w:t>Change</w:t>
      </w:r>
      <w:r>
        <w:rPr>
          <w:rFonts w:ascii="Calibri"/>
          <w:i/>
          <w:spacing w:val="-3"/>
          <w:sz w:val="22"/>
        </w:rPr>
        <w:t> </w:t>
      </w:r>
      <w:r>
        <w:rPr>
          <w:rFonts w:ascii="Calibri"/>
          <w:i/>
          <w:sz w:val="22"/>
        </w:rPr>
        <w:t>in the European Community</w:t>
      </w:r>
      <w:r>
        <w:rPr>
          <w:rFonts w:ascii="Calibri"/>
          <w:sz w:val="22"/>
        </w:rPr>
        <w:t>. Englewood Cliffs: Prentice-Hall.</w:t>
      </w:r>
    </w:p>
    <w:p>
      <w:pPr>
        <w:spacing w:before="1"/>
        <w:ind w:left="1700" w:right="1917" w:hanging="721"/>
        <w:jc w:val="both"/>
        <w:rPr>
          <w:rFonts w:ascii="Calibri"/>
          <w:sz w:val="22"/>
        </w:rPr>
      </w:pPr>
      <w:bookmarkStart w:name="_bookmark262" w:id="263"/>
      <w:bookmarkEnd w:id="263"/>
      <w:r>
        <w:rPr/>
      </w:r>
      <w:r>
        <w:rPr>
          <w:rFonts w:ascii="Calibri"/>
          <w:sz w:val="22"/>
        </w:rPr>
        <w:t>Lipgens, W. (1968). European Federation in the Political Thought of Resistance Movements during World War II. </w:t>
      </w:r>
      <w:r>
        <w:rPr>
          <w:rFonts w:ascii="Calibri"/>
          <w:i/>
          <w:sz w:val="22"/>
        </w:rPr>
        <w:t>Central European History, 1</w:t>
      </w:r>
      <w:r>
        <w:rPr>
          <w:rFonts w:ascii="Calibri"/>
          <w:sz w:val="22"/>
        </w:rPr>
        <w:t>(1), 5-19.</w:t>
      </w:r>
    </w:p>
    <w:p>
      <w:pPr>
        <w:spacing w:before="0"/>
        <w:ind w:left="1700" w:right="1907" w:hanging="721"/>
        <w:jc w:val="both"/>
        <w:rPr>
          <w:rFonts w:ascii="Calibri"/>
          <w:sz w:val="22"/>
        </w:rPr>
      </w:pPr>
      <w:bookmarkStart w:name="_bookmark263" w:id="264"/>
      <w:bookmarkEnd w:id="264"/>
      <w:r>
        <w:rPr/>
      </w:r>
      <w:r>
        <w:rPr>
          <w:rFonts w:ascii="Calibri"/>
          <w:sz w:val="22"/>
        </w:rPr>
        <w:t>Lipgens, W., &amp; Loth, W. (1991). </w:t>
      </w:r>
      <w:r>
        <w:rPr>
          <w:rFonts w:ascii="Calibri"/>
          <w:i/>
          <w:sz w:val="22"/>
        </w:rPr>
        <w:t>Documents on the history of European integration Transnational organizations of political parties and pressure groups in the struggle for European Union, 1945-1950 </w:t>
      </w:r>
      <w:r>
        <w:rPr>
          <w:rFonts w:ascii="Calibri"/>
          <w:sz w:val="22"/>
        </w:rPr>
        <w:t>(Vol. 4). New York: Walter de Gruyter.</w:t>
      </w:r>
    </w:p>
    <w:p>
      <w:pPr>
        <w:spacing w:before="1"/>
        <w:ind w:left="1700" w:right="1909" w:hanging="721"/>
        <w:jc w:val="both"/>
        <w:rPr>
          <w:rFonts w:ascii="Calibri"/>
          <w:sz w:val="22"/>
        </w:rPr>
      </w:pPr>
      <w:bookmarkStart w:name="_bookmark264" w:id="265"/>
      <w:bookmarkEnd w:id="265"/>
      <w:r>
        <w:rPr/>
      </w:r>
      <w:r>
        <w:rPr>
          <w:rFonts w:ascii="Calibri"/>
          <w:sz w:val="22"/>
        </w:rPr>
        <w:t>Lodge, J. (1994). Transparency and Democratic Legitimacy. </w:t>
      </w:r>
      <w:r>
        <w:rPr>
          <w:rFonts w:ascii="Calibri"/>
          <w:i/>
          <w:sz w:val="22"/>
        </w:rPr>
        <w:t>JCMS: Journal of Common</w:t>
      </w:r>
      <w:r>
        <w:rPr>
          <w:rFonts w:ascii="Calibri"/>
          <w:i/>
          <w:spacing w:val="40"/>
          <w:sz w:val="22"/>
        </w:rPr>
        <w:t> </w:t>
      </w:r>
      <w:r>
        <w:rPr>
          <w:rFonts w:ascii="Calibri"/>
          <w:i/>
          <w:sz w:val="22"/>
        </w:rPr>
        <w:t>Market Studies, 32</w:t>
      </w:r>
      <w:r>
        <w:rPr>
          <w:rFonts w:ascii="Calibri"/>
          <w:sz w:val="22"/>
        </w:rPr>
        <w:t>(3), 343-368. doi: 10.1111/j.1468-5965.1994.tb00502.x</w:t>
      </w:r>
    </w:p>
    <w:p>
      <w:pPr>
        <w:spacing w:line="237" w:lineRule="auto" w:before="3"/>
        <w:ind w:left="979" w:right="1909" w:firstLine="0"/>
        <w:jc w:val="left"/>
        <w:rPr>
          <w:rFonts w:ascii="Calibri"/>
          <w:sz w:val="22"/>
        </w:rPr>
      </w:pPr>
      <w:bookmarkStart w:name="_bookmark266" w:id="266"/>
      <w:bookmarkEnd w:id="266"/>
      <w:r>
        <w:rPr/>
      </w:r>
      <w:r>
        <w:rPr>
          <w:rFonts w:ascii="Calibri"/>
          <w:sz w:val="22"/>
        </w:rPr>
        <w:t>Luhmann, N. (1990a). </w:t>
      </w:r>
      <w:r>
        <w:rPr>
          <w:rFonts w:ascii="Calibri"/>
          <w:i/>
          <w:sz w:val="22"/>
        </w:rPr>
        <w:t>Essays on self-reference</w:t>
      </w:r>
      <w:r>
        <w:rPr>
          <w:rFonts w:ascii="Calibri"/>
          <w:sz w:val="22"/>
        </w:rPr>
        <w:t>. New York: Columbia University Press. </w:t>
      </w:r>
      <w:bookmarkStart w:name="_bookmark265" w:id="267"/>
      <w:bookmarkEnd w:id="267"/>
      <w:r>
        <w:rPr>
          <w:rFonts w:ascii="Calibri"/>
          <w:sz w:val="22"/>
        </w:rPr>
        <w:t>L</w:t>
      </w:r>
      <w:r>
        <w:rPr>
          <w:rFonts w:ascii="Calibri"/>
          <w:sz w:val="22"/>
        </w:rPr>
        <w:t>uhmann,</w:t>
      </w:r>
      <w:r>
        <w:rPr>
          <w:rFonts w:ascii="Calibri"/>
          <w:spacing w:val="-1"/>
          <w:sz w:val="22"/>
        </w:rPr>
        <w:t> </w:t>
      </w:r>
      <w:r>
        <w:rPr>
          <w:rFonts w:ascii="Calibri"/>
          <w:sz w:val="22"/>
        </w:rPr>
        <w:t>N. (1990b). </w:t>
      </w:r>
      <w:r>
        <w:rPr>
          <w:rFonts w:ascii="Calibri"/>
          <w:i/>
          <w:sz w:val="22"/>
        </w:rPr>
        <w:t>Political theory in the welfare state</w:t>
      </w:r>
      <w:r>
        <w:rPr>
          <w:rFonts w:ascii="Calibri"/>
          <w:sz w:val="22"/>
        </w:rPr>
        <w:t>. Berlin ; New York: W. de Gruyter. </w:t>
      </w:r>
      <w:bookmarkStart w:name="_bookmark267" w:id="268"/>
      <w:bookmarkEnd w:id="268"/>
      <w:r>
        <w:rPr>
          <w:rFonts w:ascii="Calibri"/>
          <w:sz w:val="22"/>
        </w:rPr>
        <w:t>L</w:t>
      </w:r>
      <w:r>
        <w:rPr>
          <w:rFonts w:ascii="Calibri"/>
          <w:sz w:val="22"/>
        </w:rPr>
        <w:t>uhmann, N. (1991). Operational Closure and Structural Coupling: the Differentiation of the</w:t>
      </w:r>
    </w:p>
    <w:p>
      <w:pPr>
        <w:spacing w:before="2"/>
        <w:ind w:left="1700" w:right="0" w:firstLine="0"/>
        <w:jc w:val="left"/>
        <w:rPr>
          <w:rFonts w:ascii="Calibri"/>
          <w:sz w:val="22"/>
        </w:rPr>
      </w:pPr>
      <w:r>
        <w:rPr>
          <w:rFonts w:ascii="Calibri"/>
          <w:sz w:val="22"/>
        </w:rPr>
        <w:t>Legal</w:t>
      </w:r>
      <w:r>
        <w:rPr>
          <w:rFonts w:ascii="Calibri"/>
          <w:spacing w:val="-5"/>
          <w:sz w:val="22"/>
        </w:rPr>
        <w:t> </w:t>
      </w:r>
      <w:r>
        <w:rPr>
          <w:rFonts w:ascii="Calibri"/>
          <w:sz w:val="22"/>
        </w:rPr>
        <w:t>System.</w:t>
      </w:r>
      <w:r>
        <w:rPr>
          <w:rFonts w:ascii="Calibri"/>
          <w:spacing w:val="-3"/>
          <w:sz w:val="22"/>
        </w:rPr>
        <w:t> </w:t>
      </w:r>
      <w:r>
        <w:rPr>
          <w:rFonts w:ascii="Calibri"/>
          <w:i/>
          <w:sz w:val="22"/>
        </w:rPr>
        <w:t>Cardozo</w:t>
      </w:r>
      <w:r>
        <w:rPr>
          <w:rFonts w:ascii="Calibri"/>
          <w:i/>
          <w:spacing w:val="-5"/>
          <w:sz w:val="22"/>
        </w:rPr>
        <w:t> </w:t>
      </w:r>
      <w:r>
        <w:rPr>
          <w:rFonts w:ascii="Calibri"/>
          <w:i/>
          <w:sz w:val="22"/>
        </w:rPr>
        <w:t>Law</w:t>
      </w:r>
      <w:r>
        <w:rPr>
          <w:rFonts w:ascii="Calibri"/>
          <w:i/>
          <w:spacing w:val="-5"/>
          <w:sz w:val="22"/>
        </w:rPr>
        <w:t> </w:t>
      </w:r>
      <w:r>
        <w:rPr>
          <w:rFonts w:ascii="Calibri"/>
          <w:i/>
          <w:sz w:val="22"/>
        </w:rPr>
        <w:t>Review,</w:t>
      </w:r>
      <w:r>
        <w:rPr>
          <w:rFonts w:ascii="Calibri"/>
          <w:i/>
          <w:spacing w:val="-7"/>
          <w:sz w:val="22"/>
        </w:rPr>
        <w:t> </w:t>
      </w:r>
      <w:r>
        <w:rPr>
          <w:rFonts w:ascii="Calibri"/>
          <w:i/>
          <w:spacing w:val="-2"/>
          <w:sz w:val="22"/>
        </w:rPr>
        <w:t>12</w:t>
      </w:r>
      <w:r>
        <w:rPr>
          <w:rFonts w:ascii="Calibri"/>
          <w:spacing w:val="-2"/>
          <w:sz w:val="22"/>
        </w:rPr>
        <w:t>(1419).</w:t>
      </w:r>
    </w:p>
    <w:p>
      <w:pPr>
        <w:spacing w:after="0"/>
        <w:jc w:val="left"/>
        <w:rPr>
          <w:rFonts w:asci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979" w:right="3272" w:firstLine="0"/>
        <w:jc w:val="both"/>
        <w:rPr>
          <w:rFonts w:ascii="Calibri"/>
          <w:sz w:val="22"/>
        </w:rPr>
      </w:pPr>
      <w:bookmarkStart w:name="_bookmark269" w:id="269"/>
      <w:bookmarkEnd w:id="269"/>
      <w:r>
        <w:rPr/>
      </w:r>
      <w:r>
        <w:rPr>
          <w:rFonts w:ascii="Calibri"/>
          <w:sz w:val="22"/>
        </w:rPr>
        <w:t>Luhmann, N. (1995). </w:t>
      </w:r>
      <w:r>
        <w:rPr>
          <w:rFonts w:ascii="Calibri"/>
          <w:i/>
          <w:sz w:val="22"/>
        </w:rPr>
        <w:t>Social systems</w:t>
      </w:r>
      <w:r>
        <w:rPr>
          <w:rFonts w:ascii="Calibri"/>
          <w:sz w:val="22"/>
        </w:rPr>
        <w:t>. Stanford, CA: Stanford University Press. </w:t>
      </w:r>
      <w:bookmarkStart w:name="_bookmark268" w:id="270"/>
      <w:bookmarkEnd w:id="270"/>
      <w:r>
        <w:rPr>
          <w:rFonts w:ascii="Calibri"/>
          <w:sz w:val="22"/>
        </w:rPr>
        <w:t>L</w:t>
      </w:r>
      <w:r>
        <w:rPr>
          <w:rFonts w:ascii="Calibri"/>
          <w:sz w:val="22"/>
        </w:rPr>
        <w:t>uhmann,</w:t>
      </w:r>
      <w:r>
        <w:rPr>
          <w:rFonts w:ascii="Calibri"/>
          <w:spacing w:val="-9"/>
          <w:sz w:val="22"/>
        </w:rPr>
        <w:t> </w:t>
      </w:r>
      <w:r>
        <w:rPr>
          <w:rFonts w:ascii="Calibri"/>
          <w:sz w:val="22"/>
        </w:rPr>
        <w:t>N.</w:t>
      </w:r>
      <w:r>
        <w:rPr>
          <w:rFonts w:ascii="Calibri"/>
          <w:spacing w:val="-5"/>
          <w:sz w:val="22"/>
        </w:rPr>
        <w:t> </w:t>
      </w:r>
      <w:r>
        <w:rPr>
          <w:rFonts w:ascii="Calibri"/>
          <w:sz w:val="22"/>
        </w:rPr>
        <w:t>(2013).</w:t>
      </w:r>
      <w:r>
        <w:rPr>
          <w:rFonts w:ascii="Calibri"/>
          <w:spacing w:val="-3"/>
          <w:sz w:val="22"/>
        </w:rPr>
        <w:t> </w:t>
      </w:r>
      <w:r>
        <w:rPr>
          <w:rFonts w:ascii="Calibri"/>
          <w:i/>
          <w:sz w:val="22"/>
        </w:rPr>
        <w:t>Introduction</w:t>
      </w:r>
      <w:r>
        <w:rPr>
          <w:rFonts w:ascii="Calibri"/>
          <w:i/>
          <w:spacing w:val="-5"/>
          <w:sz w:val="22"/>
        </w:rPr>
        <w:t> </w:t>
      </w:r>
      <w:r>
        <w:rPr>
          <w:rFonts w:ascii="Calibri"/>
          <w:i/>
          <w:sz w:val="22"/>
        </w:rPr>
        <w:t>to</w:t>
      </w:r>
      <w:r>
        <w:rPr>
          <w:rFonts w:ascii="Calibri"/>
          <w:i/>
          <w:spacing w:val="-5"/>
          <w:sz w:val="22"/>
        </w:rPr>
        <w:t> </w:t>
      </w:r>
      <w:r>
        <w:rPr>
          <w:rFonts w:ascii="Calibri"/>
          <w:i/>
          <w:sz w:val="22"/>
        </w:rPr>
        <w:t>Systems</w:t>
      </w:r>
      <w:r>
        <w:rPr>
          <w:rFonts w:ascii="Calibri"/>
          <w:i/>
          <w:spacing w:val="-6"/>
          <w:sz w:val="22"/>
        </w:rPr>
        <w:t> </w:t>
      </w:r>
      <w:r>
        <w:rPr>
          <w:rFonts w:ascii="Calibri"/>
          <w:i/>
          <w:sz w:val="22"/>
        </w:rPr>
        <w:t>Theory</w:t>
      </w:r>
      <w:r>
        <w:rPr>
          <w:rFonts w:ascii="Calibri"/>
          <w:sz w:val="22"/>
        </w:rPr>
        <w:t>.</w:t>
      </w:r>
      <w:r>
        <w:rPr>
          <w:rFonts w:ascii="Calibri"/>
          <w:spacing w:val="-5"/>
          <w:sz w:val="22"/>
        </w:rPr>
        <w:t> </w:t>
      </w:r>
      <w:r>
        <w:rPr>
          <w:rFonts w:ascii="Calibri"/>
          <w:sz w:val="22"/>
        </w:rPr>
        <w:t>Cambridge:</w:t>
      </w:r>
      <w:r>
        <w:rPr>
          <w:rFonts w:ascii="Calibri"/>
          <w:spacing w:val="-7"/>
          <w:sz w:val="22"/>
        </w:rPr>
        <w:t> </w:t>
      </w:r>
      <w:r>
        <w:rPr>
          <w:rFonts w:ascii="Calibri"/>
          <w:sz w:val="22"/>
        </w:rPr>
        <w:t>Polity</w:t>
      </w:r>
      <w:r>
        <w:rPr>
          <w:rFonts w:ascii="Calibri"/>
          <w:spacing w:val="-6"/>
          <w:sz w:val="22"/>
        </w:rPr>
        <w:t> </w:t>
      </w:r>
      <w:r>
        <w:rPr>
          <w:rFonts w:ascii="Calibri"/>
          <w:spacing w:val="-2"/>
          <w:sz w:val="22"/>
        </w:rPr>
        <w:t>Press.</w:t>
      </w:r>
    </w:p>
    <w:p>
      <w:pPr>
        <w:spacing w:before="1"/>
        <w:ind w:left="1700" w:right="1903" w:hanging="721"/>
        <w:jc w:val="both"/>
        <w:rPr>
          <w:rFonts w:ascii="Calibri"/>
          <w:sz w:val="22"/>
        </w:rPr>
      </w:pPr>
      <w:bookmarkStart w:name="_bookmark270" w:id="271"/>
      <w:bookmarkEnd w:id="271"/>
      <w:r>
        <w:rPr/>
      </w:r>
      <w:r>
        <w:rPr>
          <w:rFonts w:ascii="Calibri"/>
          <w:sz w:val="22"/>
        </w:rPr>
        <w:t>Luhmann, N., Baecker, D., &amp; Gilgen, P. (2013). </w:t>
      </w:r>
      <w:r>
        <w:rPr>
          <w:rFonts w:ascii="Calibri"/>
          <w:i/>
          <w:sz w:val="22"/>
        </w:rPr>
        <w:t>Introduction to systems theory</w:t>
      </w:r>
      <w:r>
        <w:rPr>
          <w:rFonts w:ascii="Calibri"/>
          <w:sz w:val="22"/>
        </w:rPr>
        <w:t>. Cambridge,</w:t>
      </w:r>
      <w:r>
        <w:rPr>
          <w:rFonts w:ascii="Calibri"/>
          <w:spacing w:val="40"/>
          <w:sz w:val="22"/>
        </w:rPr>
        <w:t> </w:t>
      </w:r>
      <w:r>
        <w:rPr>
          <w:rFonts w:ascii="Calibri"/>
          <w:sz w:val="22"/>
        </w:rPr>
        <w:t>UK ; Malden, MA: Polity.</w:t>
      </w:r>
    </w:p>
    <w:p>
      <w:pPr>
        <w:spacing w:line="235" w:lineRule="auto" w:before="5"/>
        <w:ind w:left="1700" w:right="1902" w:hanging="721"/>
        <w:jc w:val="both"/>
        <w:rPr>
          <w:rFonts w:ascii="Calibri" w:hAnsi="Calibri"/>
          <w:sz w:val="22"/>
        </w:rPr>
      </w:pPr>
      <w:bookmarkStart w:name="_bookmark271" w:id="272"/>
      <w:bookmarkEnd w:id="272"/>
      <w:r>
        <w:rPr/>
      </w:r>
      <w:r>
        <w:rPr>
          <w:rFonts w:ascii="Calibri" w:hAnsi="Calibri"/>
          <w:sz w:val="22"/>
        </w:rPr>
        <w:t>Majone, G. (1998). Europe’s ‘Democratic Deficit’: The Question of Standards. </w:t>
      </w:r>
      <w:r>
        <w:rPr>
          <w:rFonts w:ascii="Calibri" w:hAnsi="Calibri"/>
          <w:i/>
          <w:sz w:val="22"/>
        </w:rPr>
        <w:t>European Law Journal, 4</w:t>
      </w:r>
      <w:r>
        <w:rPr>
          <w:rFonts w:ascii="Calibri" w:hAnsi="Calibri"/>
          <w:sz w:val="22"/>
        </w:rPr>
        <w:t>(1), 5-28. doi: 10.1111/1468-0386.00040</w:t>
      </w:r>
    </w:p>
    <w:p>
      <w:pPr>
        <w:spacing w:before="2"/>
        <w:ind w:left="1700" w:right="1899" w:hanging="721"/>
        <w:jc w:val="both"/>
        <w:rPr>
          <w:rFonts w:ascii="Calibri" w:hAnsi="Calibri"/>
          <w:sz w:val="22"/>
        </w:rPr>
      </w:pPr>
      <w:bookmarkStart w:name="_bookmark272" w:id="273"/>
      <w:bookmarkEnd w:id="273"/>
      <w:r>
        <w:rPr/>
      </w:r>
      <w:r>
        <w:rPr>
          <w:rFonts w:ascii="Calibri" w:hAnsi="Calibri"/>
          <w:sz w:val="22"/>
        </w:rPr>
        <w:t>Mangold, A. K. (2011). Costa v ENEL (1964): On the Importance of Contemporary Legal History. In E. Augusti, N. Domeier, F. G. v. Graevenitz &amp; M. J. Prutsch (Eds.), </w:t>
      </w:r>
      <w:r>
        <w:rPr>
          <w:rFonts w:ascii="Calibri" w:hAnsi="Calibri"/>
          <w:i/>
          <w:sz w:val="22"/>
        </w:rPr>
        <w:t>Inter- Trans-Supra? Legal Relations and Power Structures in History </w:t>
      </w:r>
      <w:r>
        <w:rPr>
          <w:rFonts w:ascii="Calibri" w:hAnsi="Calibri"/>
          <w:sz w:val="22"/>
        </w:rPr>
        <w:t>Saarbrücken.</w:t>
      </w:r>
    </w:p>
    <w:p>
      <w:pPr>
        <w:spacing w:before="1"/>
        <w:ind w:left="1700" w:right="1905" w:hanging="721"/>
        <w:jc w:val="both"/>
        <w:rPr>
          <w:rFonts w:ascii="Calibri" w:hAnsi="Calibri"/>
          <w:sz w:val="22"/>
        </w:rPr>
      </w:pPr>
      <w:bookmarkStart w:name="_bookmark273" w:id="274"/>
      <w:bookmarkEnd w:id="274"/>
      <w:r>
        <w:rPr/>
      </w:r>
      <w:r>
        <w:rPr>
          <w:rFonts w:ascii="Calibri" w:hAnsi="Calibri"/>
          <w:sz w:val="22"/>
        </w:rPr>
        <w:t>Mańko, R. (2014). Methods for unifying private law in the EU. </w:t>
      </w:r>
      <w:r>
        <w:rPr>
          <w:rFonts w:ascii="Calibri" w:hAnsi="Calibri"/>
          <w:i/>
          <w:sz w:val="22"/>
        </w:rPr>
        <w:t>European Parliamentary Research Service</w:t>
      </w:r>
      <w:r>
        <w:rPr>
          <w:rFonts w:ascii="Calibri" w:hAnsi="Calibri"/>
          <w:sz w:val="22"/>
        </w:rPr>
        <w:t>.</w:t>
      </w:r>
    </w:p>
    <w:p>
      <w:pPr>
        <w:spacing w:before="1"/>
        <w:ind w:left="1700" w:right="1901" w:hanging="721"/>
        <w:jc w:val="both"/>
        <w:rPr>
          <w:rFonts w:ascii="Calibri"/>
          <w:sz w:val="22"/>
        </w:rPr>
      </w:pPr>
      <w:bookmarkStart w:name="_bookmark274" w:id="275"/>
      <w:bookmarkEnd w:id="275"/>
      <w:r>
        <w:rPr/>
      </w:r>
      <w:r>
        <w:rPr>
          <w:rFonts w:ascii="Calibri"/>
          <w:sz w:val="22"/>
        </w:rPr>
        <w:t>Manners, I. (2002). Normative Power Europe: A Contradiction in Terms? </w:t>
      </w:r>
      <w:r>
        <w:rPr>
          <w:rFonts w:ascii="Calibri"/>
          <w:i/>
          <w:sz w:val="22"/>
        </w:rPr>
        <w:t>JCMS: Journal of Common Market Studies, 40</w:t>
      </w:r>
      <w:r>
        <w:rPr>
          <w:rFonts w:ascii="Calibri"/>
          <w:sz w:val="22"/>
        </w:rPr>
        <w:t>(2), 235-258. doi: 10.1111/1468-5965.00353</w:t>
      </w:r>
    </w:p>
    <w:p>
      <w:pPr>
        <w:spacing w:before="0"/>
        <w:ind w:left="979" w:right="1907" w:firstLine="0"/>
        <w:jc w:val="both"/>
        <w:rPr>
          <w:rFonts w:ascii="Calibri"/>
          <w:sz w:val="22"/>
        </w:rPr>
      </w:pPr>
      <w:bookmarkStart w:name="_bookmark276" w:id="276"/>
      <w:bookmarkEnd w:id="276"/>
      <w:r>
        <w:rPr/>
      </w:r>
      <w:r>
        <w:rPr>
          <w:rFonts w:ascii="Calibri"/>
          <w:sz w:val="22"/>
        </w:rPr>
        <w:t>Marc, A. (1979). New and Old Federalism: Faithful to the Origins. </w:t>
      </w:r>
      <w:r>
        <w:rPr>
          <w:rFonts w:ascii="Calibri"/>
          <w:i/>
          <w:sz w:val="22"/>
        </w:rPr>
        <w:t>Publius, 9</w:t>
      </w:r>
      <w:r>
        <w:rPr>
          <w:rFonts w:ascii="Calibri"/>
          <w:sz w:val="22"/>
        </w:rPr>
        <w:t>(4), 117-130. </w:t>
      </w:r>
      <w:bookmarkStart w:name="_bookmark275" w:id="277"/>
      <w:bookmarkEnd w:id="277"/>
      <w:r>
        <w:rPr>
          <w:rFonts w:ascii="Calibri"/>
          <w:sz w:val="22"/>
        </w:rPr>
        <w:t>M</w:t>
      </w:r>
      <w:r>
        <w:rPr>
          <w:rFonts w:ascii="Calibri"/>
          <w:sz w:val="22"/>
        </w:rPr>
        <w:t>arch, J. G. (1962). The Business Firm as a Political Coalition.</w:t>
      </w:r>
      <w:r>
        <w:rPr>
          <w:rFonts w:ascii="Calibri"/>
          <w:spacing w:val="20"/>
          <w:sz w:val="22"/>
        </w:rPr>
        <w:t> </w:t>
      </w:r>
      <w:r>
        <w:rPr>
          <w:rFonts w:ascii="Calibri"/>
          <w:i/>
          <w:sz w:val="22"/>
        </w:rPr>
        <w:t>The Journal of Politics, 24</w:t>
      </w:r>
      <w:r>
        <w:rPr>
          <w:rFonts w:ascii="Calibri"/>
          <w:sz w:val="22"/>
        </w:rPr>
        <w:t>(4),</w:t>
      </w:r>
    </w:p>
    <w:p>
      <w:pPr>
        <w:spacing w:before="1"/>
        <w:ind w:left="1700" w:right="0" w:firstLine="0"/>
        <w:jc w:val="left"/>
        <w:rPr>
          <w:rFonts w:ascii="Calibri"/>
          <w:sz w:val="22"/>
        </w:rPr>
      </w:pPr>
      <w:r>
        <w:rPr>
          <w:rFonts w:ascii="Calibri"/>
          <w:spacing w:val="-2"/>
          <w:sz w:val="22"/>
        </w:rPr>
        <w:t>662-</w:t>
      </w:r>
      <w:r>
        <w:rPr>
          <w:rFonts w:ascii="Calibri"/>
          <w:spacing w:val="-4"/>
          <w:sz w:val="22"/>
        </w:rPr>
        <w:t>678.</w:t>
      </w:r>
    </w:p>
    <w:p>
      <w:pPr>
        <w:spacing w:before="1"/>
        <w:ind w:left="1700" w:right="1902" w:hanging="721"/>
        <w:jc w:val="both"/>
        <w:rPr>
          <w:rFonts w:ascii="Calibri"/>
          <w:sz w:val="22"/>
        </w:rPr>
      </w:pPr>
      <w:bookmarkStart w:name="_bookmark277" w:id="278"/>
      <w:bookmarkEnd w:id="278"/>
      <w:r>
        <w:rPr/>
      </w:r>
      <w:r>
        <w:rPr>
          <w:rFonts w:ascii="Calibri"/>
          <w:sz w:val="22"/>
        </w:rPr>
        <w:t>March, J. G., &amp; Olsen, J. P. (1984). The New Institutionalism: Organizational Factors in Political Life. </w:t>
      </w:r>
      <w:r>
        <w:rPr>
          <w:rFonts w:ascii="Calibri"/>
          <w:i/>
          <w:sz w:val="22"/>
        </w:rPr>
        <w:t>The American Political Science Review, 78</w:t>
      </w:r>
      <w:r>
        <w:rPr>
          <w:rFonts w:ascii="Calibri"/>
          <w:sz w:val="22"/>
        </w:rPr>
        <w:t>(3), 734-749. doi: </w:t>
      </w:r>
      <w:r>
        <w:rPr>
          <w:rFonts w:ascii="Calibri"/>
          <w:spacing w:val="-2"/>
          <w:sz w:val="22"/>
        </w:rPr>
        <w:t>10.2307/1961840</w:t>
      </w:r>
    </w:p>
    <w:p>
      <w:pPr>
        <w:spacing w:before="0"/>
        <w:ind w:left="979" w:right="1907" w:firstLine="0"/>
        <w:jc w:val="right"/>
        <w:rPr>
          <w:rFonts w:ascii="Calibri"/>
          <w:sz w:val="22"/>
        </w:rPr>
      </w:pPr>
      <w:bookmarkStart w:name="_bookmark279" w:id="279"/>
      <w:bookmarkEnd w:id="279"/>
      <w:r>
        <w:rPr/>
      </w:r>
      <w:r>
        <w:rPr>
          <w:rFonts w:ascii="Calibri"/>
          <w:sz w:val="22"/>
        </w:rPr>
        <w:t>March,</w:t>
      </w:r>
      <w:r>
        <w:rPr>
          <w:rFonts w:ascii="Calibri"/>
          <w:spacing w:val="-3"/>
          <w:sz w:val="22"/>
        </w:rPr>
        <w:t> </w:t>
      </w:r>
      <w:r>
        <w:rPr>
          <w:rFonts w:ascii="Calibri"/>
          <w:sz w:val="22"/>
        </w:rPr>
        <w:t>J. G.,</w:t>
      </w:r>
      <w:r>
        <w:rPr>
          <w:rFonts w:ascii="Calibri"/>
          <w:spacing w:val="-3"/>
          <w:sz w:val="22"/>
        </w:rPr>
        <w:t> </w:t>
      </w:r>
      <w:r>
        <w:rPr>
          <w:rFonts w:ascii="Calibri"/>
          <w:sz w:val="22"/>
        </w:rPr>
        <w:t>&amp; Olsen,</w:t>
      </w:r>
      <w:r>
        <w:rPr>
          <w:rFonts w:ascii="Calibri"/>
          <w:spacing w:val="-3"/>
          <w:sz w:val="22"/>
        </w:rPr>
        <w:t> </w:t>
      </w:r>
      <w:r>
        <w:rPr>
          <w:rFonts w:ascii="Calibri"/>
          <w:sz w:val="22"/>
        </w:rPr>
        <w:t>J. P. (1998). The logic</w:t>
      </w:r>
      <w:r>
        <w:rPr>
          <w:rFonts w:ascii="Calibri"/>
          <w:spacing w:val="-2"/>
          <w:sz w:val="22"/>
        </w:rPr>
        <w:t> </w:t>
      </w:r>
      <w:r>
        <w:rPr>
          <w:rFonts w:ascii="Calibri"/>
          <w:sz w:val="22"/>
        </w:rPr>
        <w:t>of appropriateness. </w:t>
      </w:r>
      <w:r>
        <w:rPr>
          <w:rFonts w:ascii="Calibri"/>
          <w:i/>
          <w:sz w:val="22"/>
        </w:rPr>
        <w:t>Arena Working Papers,</w:t>
      </w:r>
      <w:r>
        <w:rPr>
          <w:rFonts w:ascii="Calibri"/>
          <w:i/>
          <w:spacing w:val="-2"/>
          <w:sz w:val="22"/>
        </w:rPr>
        <w:t> </w:t>
      </w:r>
      <w:r>
        <w:rPr>
          <w:rFonts w:ascii="Calibri"/>
          <w:i/>
          <w:sz w:val="22"/>
        </w:rPr>
        <w:t>4</w:t>
      </w:r>
      <w:r>
        <w:rPr>
          <w:rFonts w:ascii="Calibri"/>
          <w:sz w:val="22"/>
        </w:rPr>
        <w:t>(9). </w:t>
      </w:r>
      <w:bookmarkStart w:name="_bookmark278" w:id="280"/>
      <w:bookmarkEnd w:id="280"/>
      <w:r>
        <w:rPr>
          <w:rFonts w:ascii="Calibri"/>
          <w:sz w:val="22"/>
        </w:rPr>
        <w:t>M</w:t>
      </w:r>
      <w:r>
        <w:rPr>
          <w:rFonts w:ascii="Calibri"/>
          <w:sz w:val="22"/>
        </w:rPr>
        <w:t>arks,</w:t>
      </w:r>
      <w:r>
        <w:rPr>
          <w:rFonts w:ascii="Calibri"/>
          <w:spacing w:val="40"/>
          <w:sz w:val="22"/>
        </w:rPr>
        <w:t> </w:t>
      </w:r>
      <w:r>
        <w:rPr>
          <w:rFonts w:ascii="Calibri"/>
          <w:sz w:val="22"/>
        </w:rPr>
        <w:t>G.,</w:t>
      </w:r>
      <w:r>
        <w:rPr>
          <w:rFonts w:ascii="Calibri"/>
          <w:spacing w:val="40"/>
          <w:sz w:val="22"/>
        </w:rPr>
        <w:t> </w:t>
      </w:r>
      <w:r>
        <w:rPr>
          <w:rFonts w:ascii="Calibri"/>
          <w:sz w:val="22"/>
        </w:rPr>
        <w:t>Hooghe,</w:t>
      </w:r>
      <w:r>
        <w:rPr>
          <w:rFonts w:ascii="Calibri"/>
          <w:spacing w:val="40"/>
          <w:sz w:val="22"/>
        </w:rPr>
        <w:t> </w:t>
      </w:r>
      <w:r>
        <w:rPr>
          <w:rFonts w:ascii="Calibri"/>
          <w:sz w:val="22"/>
        </w:rPr>
        <w:t>L.,</w:t>
      </w:r>
      <w:r>
        <w:rPr>
          <w:rFonts w:ascii="Calibri"/>
          <w:spacing w:val="40"/>
          <w:sz w:val="22"/>
        </w:rPr>
        <w:t> </w:t>
      </w:r>
      <w:r>
        <w:rPr>
          <w:rFonts w:ascii="Calibri"/>
          <w:sz w:val="22"/>
        </w:rPr>
        <w:t>&amp;</w:t>
      </w:r>
      <w:r>
        <w:rPr>
          <w:rFonts w:ascii="Calibri"/>
          <w:spacing w:val="40"/>
          <w:sz w:val="22"/>
        </w:rPr>
        <w:t> </w:t>
      </w:r>
      <w:r>
        <w:rPr>
          <w:rFonts w:ascii="Calibri"/>
          <w:sz w:val="22"/>
        </w:rPr>
        <w:t>Blank,</w:t>
      </w:r>
      <w:r>
        <w:rPr>
          <w:rFonts w:ascii="Calibri"/>
          <w:spacing w:val="40"/>
          <w:sz w:val="22"/>
        </w:rPr>
        <w:t> </w:t>
      </w:r>
      <w:r>
        <w:rPr>
          <w:rFonts w:ascii="Calibri"/>
          <w:sz w:val="22"/>
        </w:rPr>
        <w:t>K.</w:t>
      </w:r>
      <w:r>
        <w:rPr>
          <w:rFonts w:ascii="Calibri"/>
          <w:spacing w:val="40"/>
          <w:sz w:val="22"/>
        </w:rPr>
        <w:t> </w:t>
      </w:r>
      <w:r>
        <w:rPr>
          <w:rFonts w:ascii="Calibri"/>
          <w:sz w:val="22"/>
        </w:rPr>
        <w:t>(1996).</w:t>
      </w:r>
      <w:r>
        <w:rPr>
          <w:rFonts w:ascii="Calibri"/>
          <w:spacing w:val="40"/>
          <w:sz w:val="22"/>
        </w:rPr>
        <w:t> </w:t>
      </w:r>
      <w:r>
        <w:rPr>
          <w:rFonts w:ascii="Calibri"/>
          <w:sz w:val="22"/>
        </w:rPr>
        <w:t>European</w:t>
      </w:r>
      <w:r>
        <w:rPr>
          <w:rFonts w:ascii="Calibri"/>
          <w:spacing w:val="40"/>
          <w:sz w:val="22"/>
        </w:rPr>
        <w:t> </w:t>
      </w:r>
      <w:r>
        <w:rPr>
          <w:rFonts w:ascii="Calibri"/>
          <w:sz w:val="22"/>
        </w:rPr>
        <w:t>Integration</w:t>
      </w:r>
      <w:r>
        <w:rPr>
          <w:rFonts w:ascii="Calibri"/>
          <w:spacing w:val="40"/>
          <w:sz w:val="22"/>
        </w:rPr>
        <w:t> </w:t>
      </w:r>
      <w:r>
        <w:rPr>
          <w:rFonts w:ascii="Calibri"/>
          <w:sz w:val="22"/>
        </w:rPr>
        <w:t>from</w:t>
      </w:r>
      <w:r>
        <w:rPr>
          <w:rFonts w:ascii="Calibri"/>
          <w:spacing w:val="40"/>
          <w:sz w:val="22"/>
        </w:rPr>
        <w:t> </w:t>
      </w:r>
      <w:r>
        <w:rPr>
          <w:rFonts w:ascii="Calibri"/>
          <w:sz w:val="22"/>
        </w:rPr>
        <w:t>the</w:t>
      </w:r>
      <w:r>
        <w:rPr>
          <w:rFonts w:ascii="Calibri"/>
          <w:spacing w:val="40"/>
          <w:sz w:val="22"/>
        </w:rPr>
        <w:t> </w:t>
      </w:r>
      <w:r>
        <w:rPr>
          <w:rFonts w:ascii="Calibri"/>
          <w:sz w:val="22"/>
        </w:rPr>
        <w:t>1980s:</w:t>
      </w:r>
      <w:r>
        <w:rPr>
          <w:rFonts w:ascii="Calibri"/>
          <w:spacing w:val="40"/>
          <w:sz w:val="22"/>
        </w:rPr>
        <w:t> </w:t>
      </w:r>
      <w:r>
        <w:rPr>
          <w:rFonts w:ascii="Calibri"/>
          <w:sz w:val="22"/>
        </w:rPr>
        <w:t>State- Centric v. Multi-level Governance*. </w:t>
      </w:r>
      <w:r>
        <w:rPr>
          <w:rFonts w:ascii="Calibri"/>
          <w:i/>
          <w:sz w:val="22"/>
        </w:rPr>
        <w:t>JCMS: Journal of Common Market Studies, 34</w:t>
      </w:r>
      <w:r>
        <w:rPr>
          <w:rFonts w:ascii="Calibri"/>
          <w:sz w:val="22"/>
        </w:rPr>
        <w:t>(3),</w:t>
      </w:r>
    </w:p>
    <w:p>
      <w:pPr>
        <w:spacing w:before="2"/>
        <w:ind w:left="1700" w:right="0" w:firstLine="0"/>
        <w:jc w:val="both"/>
        <w:rPr>
          <w:rFonts w:ascii="Calibri"/>
          <w:sz w:val="22"/>
        </w:rPr>
      </w:pPr>
      <w:r>
        <w:rPr>
          <w:rFonts w:ascii="Calibri"/>
          <w:spacing w:val="-2"/>
          <w:sz w:val="22"/>
        </w:rPr>
        <w:t>341-378.</w:t>
      </w:r>
      <w:r>
        <w:rPr>
          <w:rFonts w:ascii="Calibri"/>
          <w:spacing w:val="15"/>
          <w:sz w:val="22"/>
        </w:rPr>
        <w:t> </w:t>
      </w:r>
      <w:r>
        <w:rPr>
          <w:rFonts w:ascii="Calibri"/>
          <w:spacing w:val="-2"/>
          <w:sz w:val="22"/>
        </w:rPr>
        <w:t>doi:</w:t>
      </w:r>
      <w:r>
        <w:rPr>
          <w:rFonts w:ascii="Calibri"/>
          <w:spacing w:val="11"/>
          <w:sz w:val="22"/>
        </w:rPr>
        <w:t> </w:t>
      </w:r>
      <w:r>
        <w:rPr>
          <w:rFonts w:ascii="Calibri"/>
          <w:spacing w:val="-2"/>
          <w:sz w:val="22"/>
        </w:rPr>
        <w:t>10.1111/j.1468-5965.1996.tb00577.x</w:t>
      </w:r>
    </w:p>
    <w:p>
      <w:pPr>
        <w:spacing w:line="235" w:lineRule="auto" w:before="4"/>
        <w:ind w:left="1700" w:right="1900" w:hanging="721"/>
        <w:jc w:val="both"/>
        <w:rPr>
          <w:rFonts w:ascii="Calibri"/>
          <w:sz w:val="22"/>
        </w:rPr>
      </w:pPr>
      <w:bookmarkStart w:name="_bookmark280" w:id="281"/>
      <w:bookmarkEnd w:id="281"/>
      <w:r>
        <w:rPr/>
      </w:r>
      <w:r>
        <w:rPr>
          <w:rFonts w:ascii="Calibri"/>
          <w:sz w:val="22"/>
        </w:rPr>
        <w:t>Martin, C. J. (2000). </w:t>
      </w:r>
      <w:r>
        <w:rPr>
          <w:rFonts w:ascii="Calibri"/>
          <w:i/>
          <w:sz w:val="22"/>
        </w:rPr>
        <w:t>Stuck in neutral : business and the politics of human capital investment policy</w:t>
      </w:r>
      <w:r>
        <w:rPr>
          <w:rFonts w:ascii="Calibri"/>
          <w:sz w:val="22"/>
        </w:rPr>
        <w:t>. Princeton, New Jersey: Princeton University Press.</w:t>
      </w:r>
    </w:p>
    <w:p>
      <w:pPr>
        <w:spacing w:before="2"/>
        <w:ind w:left="1700" w:right="1901" w:hanging="721"/>
        <w:jc w:val="both"/>
        <w:rPr>
          <w:rFonts w:ascii="Calibri"/>
          <w:sz w:val="22"/>
        </w:rPr>
      </w:pPr>
      <w:bookmarkStart w:name="_bookmark281" w:id="282"/>
      <w:bookmarkEnd w:id="282"/>
      <w:r>
        <w:rPr/>
      </w:r>
      <w:r>
        <w:rPr>
          <w:rFonts w:ascii="Calibri"/>
          <w:sz w:val="22"/>
        </w:rPr>
        <w:t>Martinico, G. (2011). Born To Be Together: The constitutional complexity of the EU </w:t>
      </w:r>
      <w:r>
        <w:rPr>
          <w:rFonts w:ascii="Calibri"/>
          <w:i/>
          <w:sz w:val="22"/>
        </w:rPr>
        <w:t>Review</w:t>
      </w:r>
      <w:r>
        <w:rPr>
          <w:rFonts w:ascii="Calibri"/>
          <w:i/>
          <w:spacing w:val="40"/>
          <w:sz w:val="22"/>
        </w:rPr>
        <w:t> </w:t>
      </w:r>
      <w:r>
        <w:rPr>
          <w:rFonts w:ascii="Calibri"/>
          <w:i/>
          <w:sz w:val="22"/>
        </w:rPr>
        <w:t>of Constitutional Studies, 16</w:t>
      </w:r>
      <w:r>
        <w:rPr>
          <w:rFonts w:ascii="Calibri"/>
          <w:sz w:val="22"/>
        </w:rPr>
        <w:t>(1), 63-95.</w:t>
      </w:r>
    </w:p>
    <w:p>
      <w:pPr>
        <w:spacing w:before="1"/>
        <w:ind w:left="1700" w:right="1903" w:hanging="721"/>
        <w:jc w:val="both"/>
        <w:rPr>
          <w:rFonts w:ascii="Calibri"/>
          <w:sz w:val="22"/>
        </w:rPr>
      </w:pPr>
      <w:bookmarkStart w:name="_bookmark282" w:id="283"/>
      <w:bookmarkEnd w:id="283"/>
      <w:r>
        <w:rPr/>
      </w:r>
      <w:r>
        <w:rPr>
          <w:rFonts w:ascii="Calibri"/>
          <w:sz w:val="22"/>
        </w:rPr>
        <w:t>Mattli, W., &amp; Slaughter, A.-M. (1998). Revisiting the European Court of</w:t>
      </w:r>
      <w:r>
        <w:rPr>
          <w:rFonts w:ascii="Calibri"/>
          <w:spacing w:val="-2"/>
          <w:sz w:val="22"/>
        </w:rPr>
        <w:t> </w:t>
      </w:r>
      <w:r>
        <w:rPr>
          <w:rFonts w:ascii="Calibri"/>
          <w:sz w:val="22"/>
        </w:rPr>
        <w:t>Justice. </w:t>
      </w:r>
      <w:r>
        <w:rPr>
          <w:rFonts w:ascii="Calibri"/>
          <w:i/>
          <w:sz w:val="22"/>
        </w:rPr>
        <w:t>International Organization, 52</w:t>
      </w:r>
      <w:r>
        <w:rPr>
          <w:rFonts w:ascii="Calibri"/>
          <w:sz w:val="22"/>
        </w:rPr>
        <w:t>(01), 177-209.</w:t>
      </w:r>
    </w:p>
    <w:p>
      <w:pPr>
        <w:spacing w:before="1"/>
        <w:ind w:left="1700" w:right="1902" w:hanging="721"/>
        <w:jc w:val="both"/>
        <w:rPr>
          <w:rFonts w:ascii="Calibri"/>
          <w:sz w:val="22"/>
        </w:rPr>
      </w:pPr>
      <w:bookmarkStart w:name="_bookmark283" w:id="284"/>
      <w:bookmarkEnd w:id="284"/>
      <w:r>
        <w:rPr/>
      </w:r>
      <w:r>
        <w:rPr>
          <w:rFonts w:ascii="Calibri"/>
          <w:sz w:val="22"/>
        </w:rPr>
        <w:t>Maturana, H. (2002). Autopoiesis,</w:t>
      </w:r>
      <w:r>
        <w:rPr>
          <w:rFonts w:ascii="Calibri"/>
          <w:spacing w:val="40"/>
          <w:sz w:val="22"/>
        </w:rPr>
        <w:t> </w:t>
      </w:r>
      <w:r>
        <w:rPr>
          <w:rFonts w:ascii="Calibri"/>
          <w:sz w:val="22"/>
        </w:rPr>
        <w:t>Structural</w:t>
      </w:r>
      <w:r>
        <w:rPr>
          <w:rFonts w:ascii="Calibri"/>
          <w:spacing w:val="40"/>
          <w:sz w:val="22"/>
        </w:rPr>
        <w:t> </w:t>
      </w:r>
      <w:r>
        <w:rPr>
          <w:rFonts w:ascii="Calibri"/>
          <w:sz w:val="22"/>
        </w:rPr>
        <w:t>Coupling</w:t>
      </w:r>
      <w:r>
        <w:rPr>
          <w:rFonts w:ascii="Calibri"/>
          <w:spacing w:val="40"/>
          <w:sz w:val="22"/>
        </w:rPr>
        <w:t> </w:t>
      </w:r>
      <w:r>
        <w:rPr>
          <w:rFonts w:ascii="Calibri"/>
          <w:sz w:val="22"/>
        </w:rPr>
        <w:t>and Cognition:</w:t>
      </w:r>
      <w:r>
        <w:rPr>
          <w:rFonts w:ascii="Calibri"/>
          <w:spacing w:val="40"/>
          <w:sz w:val="22"/>
        </w:rPr>
        <w:t> </w:t>
      </w:r>
      <w:r>
        <w:rPr>
          <w:rFonts w:ascii="Calibri"/>
          <w:sz w:val="22"/>
        </w:rPr>
        <w:t>A</w:t>
      </w:r>
      <w:r>
        <w:rPr>
          <w:rFonts w:ascii="Calibri"/>
          <w:spacing w:val="40"/>
          <w:sz w:val="22"/>
        </w:rPr>
        <w:t> </w:t>
      </w:r>
      <w:r>
        <w:rPr>
          <w:rFonts w:ascii="Calibri"/>
          <w:sz w:val="22"/>
        </w:rPr>
        <w:t>history</w:t>
      </w:r>
      <w:r>
        <w:rPr>
          <w:rFonts w:ascii="Calibri"/>
          <w:spacing w:val="40"/>
          <w:sz w:val="22"/>
        </w:rPr>
        <w:t> </w:t>
      </w:r>
      <w:r>
        <w:rPr>
          <w:rFonts w:ascii="Calibri"/>
          <w:sz w:val="22"/>
        </w:rPr>
        <w:t>of</w:t>
      </w:r>
      <w:r>
        <w:rPr>
          <w:rFonts w:ascii="Calibri"/>
          <w:spacing w:val="40"/>
          <w:sz w:val="22"/>
        </w:rPr>
        <w:t> </w:t>
      </w:r>
      <w:r>
        <w:rPr>
          <w:rFonts w:ascii="Calibri"/>
          <w:sz w:val="22"/>
        </w:rPr>
        <w:t>these and</w:t>
      </w:r>
      <w:r>
        <w:rPr>
          <w:rFonts w:ascii="Calibri"/>
          <w:spacing w:val="-4"/>
          <w:sz w:val="22"/>
        </w:rPr>
        <w:t> </w:t>
      </w:r>
      <w:r>
        <w:rPr>
          <w:rFonts w:ascii="Calibri"/>
          <w:sz w:val="22"/>
        </w:rPr>
        <w:t>other</w:t>
      </w:r>
      <w:r>
        <w:rPr>
          <w:rFonts w:ascii="Calibri"/>
          <w:spacing w:val="-3"/>
          <w:sz w:val="22"/>
        </w:rPr>
        <w:t> </w:t>
      </w:r>
      <w:r>
        <w:rPr>
          <w:rFonts w:ascii="Calibri"/>
          <w:sz w:val="22"/>
        </w:rPr>
        <w:t>notions</w:t>
      </w:r>
      <w:r>
        <w:rPr>
          <w:rFonts w:ascii="Calibri"/>
          <w:spacing w:val="40"/>
          <w:sz w:val="22"/>
        </w:rPr>
        <w:t> </w:t>
      </w:r>
      <w:r>
        <w:rPr>
          <w:rFonts w:ascii="Calibri"/>
          <w:sz w:val="22"/>
        </w:rPr>
        <w:t>in</w:t>
      </w:r>
      <w:r>
        <w:rPr>
          <w:rFonts w:ascii="Calibri"/>
          <w:spacing w:val="40"/>
          <w:sz w:val="22"/>
        </w:rPr>
        <w:t> </w:t>
      </w:r>
      <w:r>
        <w:rPr>
          <w:rFonts w:ascii="Calibri"/>
          <w:sz w:val="22"/>
        </w:rPr>
        <w:t>the</w:t>
      </w:r>
      <w:r>
        <w:rPr>
          <w:rFonts w:ascii="Calibri"/>
          <w:spacing w:val="40"/>
          <w:sz w:val="22"/>
        </w:rPr>
        <w:t> </w:t>
      </w:r>
      <w:r>
        <w:rPr>
          <w:rFonts w:ascii="Calibri"/>
          <w:sz w:val="22"/>
        </w:rPr>
        <w:t>biology</w:t>
      </w:r>
      <w:r>
        <w:rPr>
          <w:rFonts w:ascii="Calibri"/>
          <w:spacing w:val="40"/>
          <w:sz w:val="22"/>
        </w:rPr>
        <w:t> </w:t>
      </w:r>
      <w:r>
        <w:rPr>
          <w:rFonts w:ascii="Calibri"/>
          <w:sz w:val="22"/>
        </w:rPr>
        <w:t>of</w:t>
      </w:r>
      <w:r>
        <w:rPr>
          <w:rFonts w:ascii="Calibri"/>
          <w:spacing w:val="40"/>
          <w:sz w:val="22"/>
        </w:rPr>
        <w:t> </w:t>
      </w:r>
      <w:r>
        <w:rPr>
          <w:rFonts w:ascii="Calibri"/>
          <w:sz w:val="22"/>
        </w:rPr>
        <w:t>cognition </w:t>
      </w:r>
      <w:r>
        <w:rPr>
          <w:rFonts w:ascii="Calibri"/>
          <w:i/>
          <w:sz w:val="22"/>
        </w:rPr>
        <w:t>Cybernetics</w:t>
      </w:r>
      <w:r>
        <w:rPr>
          <w:rFonts w:ascii="Calibri"/>
          <w:i/>
          <w:spacing w:val="-3"/>
          <w:sz w:val="22"/>
        </w:rPr>
        <w:t> </w:t>
      </w:r>
      <w:r>
        <w:rPr>
          <w:rFonts w:ascii="Calibri"/>
          <w:i/>
          <w:sz w:val="22"/>
        </w:rPr>
        <w:t>&amp;</w:t>
      </w:r>
      <w:r>
        <w:rPr>
          <w:rFonts w:ascii="Calibri"/>
          <w:i/>
          <w:spacing w:val="-5"/>
          <w:sz w:val="22"/>
        </w:rPr>
        <w:t> </w:t>
      </w:r>
      <w:r>
        <w:rPr>
          <w:rFonts w:ascii="Calibri"/>
          <w:i/>
          <w:sz w:val="22"/>
        </w:rPr>
        <w:t>Human</w:t>
      </w:r>
      <w:r>
        <w:rPr>
          <w:rFonts w:ascii="Calibri"/>
          <w:i/>
          <w:spacing w:val="-2"/>
          <w:sz w:val="22"/>
        </w:rPr>
        <w:t> </w:t>
      </w:r>
      <w:r>
        <w:rPr>
          <w:rFonts w:ascii="Calibri"/>
          <w:i/>
          <w:sz w:val="22"/>
        </w:rPr>
        <w:t>Knowing,</w:t>
      </w:r>
      <w:r>
        <w:rPr>
          <w:rFonts w:ascii="Calibri"/>
          <w:i/>
          <w:spacing w:val="-6"/>
          <w:sz w:val="22"/>
        </w:rPr>
        <w:t> </w:t>
      </w:r>
      <w:r>
        <w:rPr>
          <w:rFonts w:ascii="Calibri"/>
          <w:i/>
          <w:sz w:val="22"/>
        </w:rPr>
        <w:t>9</w:t>
      </w:r>
      <w:r>
        <w:rPr>
          <w:rFonts w:ascii="Calibri"/>
          <w:sz w:val="22"/>
        </w:rPr>
        <w:t>(3), </w:t>
      </w:r>
      <w:r>
        <w:rPr>
          <w:rFonts w:ascii="Calibri"/>
          <w:spacing w:val="-2"/>
          <w:sz w:val="22"/>
        </w:rPr>
        <w:t>5-34.</w:t>
      </w:r>
    </w:p>
    <w:p>
      <w:pPr>
        <w:spacing w:before="0"/>
        <w:ind w:left="979" w:right="0" w:firstLine="0"/>
        <w:jc w:val="both"/>
        <w:rPr>
          <w:rFonts w:ascii="Calibri"/>
          <w:sz w:val="22"/>
        </w:rPr>
      </w:pPr>
      <w:bookmarkStart w:name="_bookmark284" w:id="285"/>
      <w:bookmarkEnd w:id="285"/>
      <w:r>
        <w:rPr/>
      </w:r>
      <w:r>
        <w:rPr>
          <w:rFonts w:ascii="Calibri"/>
          <w:sz w:val="22"/>
        </w:rPr>
        <w:t>Maturana,</w:t>
      </w:r>
      <w:r>
        <w:rPr>
          <w:rFonts w:ascii="Calibri"/>
          <w:spacing w:val="14"/>
          <w:sz w:val="22"/>
        </w:rPr>
        <w:t> </w:t>
      </w:r>
      <w:r>
        <w:rPr>
          <w:rFonts w:ascii="Calibri"/>
          <w:sz w:val="22"/>
        </w:rPr>
        <w:t>H.,</w:t>
      </w:r>
      <w:r>
        <w:rPr>
          <w:rFonts w:ascii="Calibri"/>
          <w:spacing w:val="16"/>
          <w:sz w:val="22"/>
        </w:rPr>
        <w:t> </w:t>
      </w:r>
      <w:r>
        <w:rPr>
          <w:rFonts w:ascii="Calibri"/>
          <w:sz w:val="22"/>
        </w:rPr>
        <w:t>&amp;</w:t>
      </w:r>
      <w:r>
        <w:rPr>
          <w:rFonts w:ascii="Calibri"/>
          <w:spacing w:val="17"/>
          <w:sz w:val="22"/>
        </w:rPr>
        <w:t> </w:t>
      </w:r>
      <w:r>
        <w:rPr>
          <w:rFonts w:ascii="Calibri"/>
          <w:sz w:val="22"/>
        </w:rPr>
        <w:t>Varela,</w:t>
      </w:r>
      <w:r>
        <w:rPr>
          <w:rFonts w:ascii="Calibri"/>
          <w:spacing w:val="16"/>
          <w:sz w:val="22"/>
        </w:rPr>
        <w:t> </w:t>
      </w:r>
      <w:r>
        <w:rPr>
          <w:rFonts w:ascii="Calibri"/>
          <w:sz w:val="22"/>
        </w:rPr>
        <w:t>F.</w:t>
      </w:r>
      <w:r>
        <w:rPr>
          <w:rFonts w:ascii="Calibri"/>
          <w:spacing w:val="20"/>
          <w:sz w:val="22"/>
        </w:rPr>
        <w:t> </w:t>
      </w:r>
      <w:r>
        <w:rPr>
          <w:rFonts w:ascii="Calibri"/>
          <w:sz w:val="22"/>
        </w:rPr>
        <w:t>(1980).</w:t>
      </w:r>
      <w:r>
        <w:rPr>
          <w:rFonts w:ascii="Calibri"/>
          <w:spacing w:val="24"/>
          <w:sz w:val="22"/>
        </w:rPr>
        <w:t> </w:t>
      </w:r>
      <w:r>
        <w:rPr>
          <w:rFonts w:ascii="Calibri"/>
          <w:i/>
          <w:sz w:val="22"/>
        </w:rPr>
        <w:t>Autopoiesis</w:t>
      </w:r>
      <w:r>
        <w:rPr>
          <w:rFonts w:ascii="Calibri"/>
          <w:i/>
          <w:spacing w:val="20"/>
          <w:sz w:val="22"/>
        </w:rPr>
        <w:t> </w:t>
      </w:r>
      <w:r>
        <w:rPr>
          <w:rFonts w:ascii="Calibri"/>
          <w:i/>
          <w:sz w:val="22"/>
        </w:rPr>
        <w:t>and</w:t>
      </w:r>
      <w:r>
        <w:rPr>
          <w:rFonts w:ascii="Calibri"/>
          <w:i/>
          <w:spacing w:val="20"/>
          <w:sz w:val="22"/>
        </w:rPr>
        <w:t> </w:t>
      </w:r>
      <w:r>
        <w:rPr>
          <w:rFonts w:ascii="Calibri"/>
          <w:i/>
          <w:sz w:val="22"/>
        </w:rPr>
        <w:t>cognition</w:t>
      </w:r>
      <w:r>
        <w:rPr>
          <w:rFonts w:ascii="Calibri"/>
          <w:i/>
          <w:spacing w:val="20"/>
          <w:sz w:val="22"/>
        </w:rPr>
        <w:t> </w:t>
      </w:r>
      <w:r>
        <w:rPr>
          <w:rFonts w:ascii="Calibri"/>
          <w:i/>
          <w:sz w:val="22"/>
        </w:rPr>
        <w:t>:</w:t>
      </w:r>
      <w:r>
        <w:rPr>
          <w:rFonts w:ascii="Calibri"/>
          <w:i/>
          <w:spacing w:val="17"/>
          <w:sz w:val="22"/>
        </w:rPr>
        <w:t> </w:t>
      </w:r>
      <w:r>
        <w:rPr>
          <w:rFonts w:ascii="Calibri"/>
          <w:i/>
          <w:sz w:val="22"/>
        </w:rPr>
        <w:t>the</w:t>
      </w:r>
      <w:r>
        <w:rPr>
          <w:rFonts w:ascii="Calibri"/>
          <w:i/>
          <w:spacing w:val="19"/>
          <w:sz w:val="22"/>
        </w:rPr>
        <w:t> </w:t>
      </w:r>
      <w:r>
        <w:rPr>
          <w:rFonts w:ascii="Calibri"/>
          <w:i/>
          <w:sz w:val="22"/>
        </w:rPr>
        <w:t>realization</w:t>
      </w:r>
      <w:r>
        <w:rPr>
          <w:rFonts w:ascii="Calibri"/>
          <w:i/>
          <w:spacing w:val="15"/>
          <w:sz w:val="22"/>
        </w:rPr>
        <w:t> </w:t>
      </w:r>
      <w:r>
        <w:rPr>
          <w:rFonts w:ascii="Calibri"/>
          <w:i/>
          <w:sz w:val="22"/>
        </w:rPr>
        <w:t>of</w:t>
      </w:r>
      <w:r>
        <w:rPr>
          <w:rFonts w:ascii="Calibri"/>
          <w:i/>
          <w:spacing w:val="18"/>
          <w:sz w:val="22"/>
        </w:rPr>
        <w:t> </w:t>
      </w:r>
      <w:r>
        <w:rPr>
          <w:rFonts w:ascii="Calibri"/>
          <w:i/>
          <w:sz w:val="22"/>
        </w:rPr>
        <w:t>the</w:t>
      </w:r>
      <w:r>
        <w:rPr>
          <w:rFonts w:ascii="Calibri"/>
          <w:i/>
          <w:spacing w:val="20"/>
          <w:sz w:val="22"/>
        </w:rPr>
        <w:t> </w:t>
      </w:r>
      <w:r>
        <w:rPr>
          <w:rFonts w:ascii="Calibri"/>
          <w:i/>
          <w:spacing w:val="-2"/>
          <w:sz w:val="22"/>
        </w:rPr>
        <w:t>living</w:t>
      </w:r>
      <w:r>
        <w:rPr>
          <w:rFonts w:ascii="Calibri"/>
          <w:spacing w:val="-2"/>
          <w:sz w:val="22"/>
        </w:rPr>
        <w:t>.</w:t>
      </w:r>
    </w:p>
    <w:p>
      <w:pPr>
        <w:spacing w:before="1"/>
        <w:ind w:left="1700" w:right="0" w:firstLine="0"/>
        <w:jc w:val="both"/>
        <w:rPr>
          <w:rFonts w:ascii="Calibri"/>
          <w:sz w:val="22"/>
        </w:rPr>
      </w:pPr>
      <w:r>
        <w:rPr>
          <w:rFonts w:ascii="Calibri"/>
          <w:sz w:val="22"/>
        </w:rPr>
        <w:t>Dordrecht,</w:t>
      </w:r>
      <w:r>
        <w:rPr>
          <w:rFonts w:ascii="Calibri"/>
          <w:spacing w:val="-6"/>
          <w:sz w:val="22"/>
        </w:rPr>
        <w:t> </w:t>
      </w:r>
      <w:r>
        <w:rPr>
          <w:rFonts w:ascii="Calibri"/>
          <w:sz w:val="22"/>
        </w:rPr>
        <w:t>Holland</w:t>
      </w:r>
      <w:r>
        <w:rPr>
          <w:rFonts w:ascii="Calibri"/>
          <w:spacing w:val="-6"/>
          <w:sz w:val="22"/>
        </w:rPr>
        <w:t> </w:t>
      </w:r>
      <w:r>
        <w:rPr>
          <w:rFonts w:ascii="Calibri"/>
          <w:sz w:val="22"/>
        </w:rPr>
        <w:t>;</w:t>
      </w:r>
      <w:r>
        <w:rPr>
          <w:rFonts w:ascii="Calibri"/>
          <w:spacing w:val="-7"/>
          <w:sz w:val="22"/>
        </w:rPr>
        <w:t> </w:t>
      </w:r>
      <w:r>
        <w:rPr>
          <w:rFonts w:ascii="Calibri"/>
          <w:sz w:val="22"/>
        </w:rPr>
        <w:t>Boston:</w:t>
      </w:r>
      <w:r>
        <w:rPr>
          <w:rFonts w:ascii="Calibri"/>
          <w:spacing w:val="-3"/>
          <w:sz w:val="22"/>
        </w:rPr>
        <w:t> </w:t>
      </w:r>
      <w:r>
        <w:rPr>
          <w:rFonts w:ascii="Calibri"/>
          <w:sz w:val="22"/>
        </w:rPr>
        <w:t>D.</w:t>
      </w:r>
      <w:r>
        <w:rPr>
          <w:rFonts w:ascii="Calibri"/>
          <w:spacing w:val="-4"/>
          <w:sz w:val="22"/>
        </w:rPr>
        <w:t> </w:t>
      </w:r>
      <w:r>
        <w:rPr>
          <w:rFonts w:ascii="Calibri"/>
          <w:sz w:val="22"/>
        </w:rPr>
        <w:t>Reidel</w:t>
      </w:r>
      <w:r>
        <w:rPr>
          <w:rFonts w:ascii="Calibri"/>
          <w:spacing w:val="-3"/>
          <w:sz w:val="22"/>
        </w:rPr>
        <w:t> </w:t>
      </w:r>
      <w:r>
        <w:rPr>
          <w:rFonts w:ascii="Calibri"/>
          <w:sz w:val="22"/>
        </w:rPr>
        <w:t>Pub.</w:t>
      </w:r>
      <w:r>
        <w:rPr>
          <w:rFonts w:ascii="Calibri"/>
          <w:spacing w:val="-4"/>
          <w:sz w:val="22"/>
        </w:rPr>
        <w:t> </w:t>
      </w:r>
      <w:r>
        <w:rPr>
          <w:rFonts w:ascii="Calibri"/>
          <w:spacing w:val="-5"/>
          <w:sz w:val="22"/>
        </w:rPr>
        <w:t>Co.</w:t>
      </w:r>
    </w:p>
    <w:p>
      <w:pPr>
        <w:spacing w:before="0"/>
        <w:ind w:left="979" w:right="0" w:firstLine="0"/>
        <w:jc w:val="both"/>
        <w:rPr>
          <w:rFonts w:ascii="Calibri"/>
          <w:sz w:val="22"/>
        </w:rPr>
      </w:pPr>
      <w:bookmarkStart w:name="_bookmark285" w:id="286"/>
      <w:bookmarkEnd w:id="286"/>
      <w:r>
        <w:rPr/>
      </w:r>
      <w:r>
        <w:rPr>
          <w:rFonts w:ascii="Calibri"/>
          <w:sz w:val="22"/>
        </w:rPr>
        <w:t>Mayr,</w:t>
      </w:r>
      <w:r>
        <w:rPr>
          <w:rFonts w:ascii="Calibri"/>
          <w:spacing w:val="-7"/>
          <w:sz w:val="22"/>
        </w:rPr>
        <w:t> </w:t>
      </w:r>
      <w:r>
        <w:rPr>
          <w:rFonts w:ascii="Calibri"/>
          <w:sz w:val="22"/>
        </w:rPr>
        <w:t>O.</w:t>
      </w:r>
      <w:r>
        <w:rPr>
          <w:rFonts w:ascii="Calibri"/>
          <w:spacing w:val="-4"/>
          <w:sz w:val="22"/>
        </w:rPr>
        <w:t> </w:t>
      </w:r>
      <w:r>
        <w:rPr>
          <w:rFonts w:ascii="Calibri"/>
          <w:sz w:val="22"/>
        </w:rPr>
        <w:t>(1970).</w:t>
      </w:r>
      <w:r>
        <w:rPr>
          <w:rFonts w:ascii="Calibri"/>
          <w:spacing w:val="-2"/>
          <w:sz w:val="22"/>
        </w:rPr>
        <w:t> </w:t>
      </w:r>
      <w:r>
        <w:rPr>
          <w:rFonts w:ascii="Calibri"/>
          <w:i/>
          <w:sz w:val="22"/>
        </w:rPr>
        <w:t>The</w:t>
      </w:r>
      <w:r>
        <w:rPr>
          <w:rFonts w:ascii="Calibri"/>
          <w:i/>
          <w:spacing w:val="-5"/>
          <w:sz w:val="22"/>
        </w:rPr>
        <w:t> </w:t>
      </w:r>
      <w:r>
        <w:rPr>
          <w:rFonts w:ascii="Calibri"/>
          <w:i/>
          <w:sz w:val="22"/>
        </w:rPr>
        <w:t>origins</w:t>
      </w:r>
      <w:r>
        <w:rPr>
          <w:rFonts w:ascii="Calibri"/>
          <w:i/>
          <w:spacing w:val="-5"/>
          <w:sz w:val="22"/>
        </w:rPr>
        <w:t> </w:t>
      </w:r>
      <w:r>
        <w:rPr>
          <w:rFonts w:ascii="Calibri"/>
          <w:i/>
          <w:sz w:val="22"/>
        </w:rPr>
        <w:t>of</w:t>
      </w:r>
      <w:r>
        <w:rPr>
          <w:rFonts w:ascii="Calibri"/>
          <w:i/>
          <w:spacing w:val="-4"/>
          <w:sz w:val="22"/>
        </w:rPr>
        <w:t> </w:t>
      </w:r>
      <w:r>
        <w:rPr>
          <w:rFonts w:ascii="Calibri"/>
          <w:i/>
          <w:sz w:val="22"/>
        </w:rPr>
        <w:t>feedback</w:t>
      </w:r>
      <w:r>
        <w:rPr>
          <w:rFonts w:ascii="Calibri"/>
          <w:i/>
          <w:spacing w:val="-5"/>
          <w:sz w:val="22"/>
        </w:rPr>
        <w:t> </w:t>
      </w:r>
      <w:r>
        <w:rPr>
          <w:rFonts w:ascii="Calibri"/>
          <w:i/>
          <w:sz w:val="22"/>
        </w:rPr>
        <w:t>control</w:t>
      </w:r>
      <w:r>
        <w:rPr>
          <w:rFonts w:ascii="Calibri"/>
          <w:sz w:val="22"/>
        </w:rPr>
        <w:t>.</w:t>
      </w:r>
      <w:r>
        <w:rPr>
          <w:rFonts w:ascii="Calibri"/>
          <w:spacing w:val="-8"/>
          <w:sz w:val="22"/>
        </w:rPr>
        <w:t> </w:t>
      </w:r>
      <w:r>
        <w:rPr>
          <w:rFonts w:ascii="Calibri"/>
          <w:sz w:val="22"/>
        </w:rPr>
        <w:t>Cambridge,</w:t>
      </w:r>
      <w:r>
        <w:rPr>
          <w:rFonts w:ascii="Calibri"/>
          <w:spacing w:val="-6"/>
          <w:sz w:val="22"/>
        </w:rPr>
        <w:t> </w:t>
      </w:r>
      <w:r>
        <w:rPr>
          <w:rFonts w:ascii="Calibri"/>
          <w:sz w:val="22"/>
        </w:rPr>
        <w:t>Mass.</w:t>
      </w:r>
      <w:r>
        <w:rPr>
          <w:rFonts w:ascii="Calibri"/>
          <w:spacing w:val="-4"/>
          <w:sz w:val="22"/>
        </w:rPr>
        <w:t> </w:t>
      </w:r>
      <w:r>
        <w:rPr>
          <w:rFonts w:ascii="Calibri"/>
          <w:sz w:val="22"/>
        </w:rPr>
        <w:t>;</w:t>
      </w:r>
      <w:r>
        <w:rPr>
          <w:rFonts w:ascii="Calibri"/>
          <w:spacing w:val="-7"/>
          <w:sz w:val="22"/>
        </w:rPr>
        <w:t> </w:t>
      </w:r>
      <w:r>
        <w:rPr>
          <w:rFonts w:ascii="Calibri"/>
          <w:sz w:val="22"/>
        </w:rPr>
        <w:t>London:</w:t>
      </w:r>
      <w:r>
        <w:rPr>
          <w:rFonts w:ascii="Calibri"/>
          <w:spacing w:val="-2"/>
          <w:sz w:val="22"/>
        </w:rPr>
        <w:t> </w:t>
      </w:r>
      <w:r>
        <w:rPr>
          <w:rFonts w:ascii="Calibri"/>
          <w:sz w:val="22"/>
        </w:rPr>
        <w:t>MIT</w:t>
      </w:r>
      <w:r>
        <w:rPr>
          <w:rFonts w:ascii="Calibri"/>
          <w:spacing w:val="-6"/>
          <w:sz w:val="22"/>
        </w:rPr>
        <w:t> </w:t>
      </w:r>
      <w:r>
        <w:rPr>
          <w:rFonts w:ascii="Calibri"/>
          <w:spacing w:val="-2"/>
          <w:sz w:val="22"/>
        </w:rPr>
        <w:t>Press.</w:t>
      </w:r>
    </w:p>
    <w:p>
      <w:pPr>
        <w:spacing w:before="1"/>
        <w:ind w:left="1700" w:right="1904" w:hanging="721"/>
        <w:jc w:val="both"/>
        <w:rPr>
          <w:rFonts w:ascii="Calibri"/>
          <w:sz w:val="22"/>
        </w:rPr>
      </w:pPr>
      <w:bookmarkStart w:name="_bookmark286" w:id="287"/>
      <w:bookmarkEnd w:id="287"/>
      <w:r>
        <w:rPr/>
      </w:r>
      <w:r>
        <w:rPr>
          <w:rFonts w:ascii="Calibri"/>
          <w:sz w:val="22"/>
        </w:rPr>
        <w:t>McCarty, N. M., Poole, K. T., &amp; Rosenthal, H. (2006). </w:t>
      </w:r>
      <w:r>
        <w:rPr>
          <w:rFonts w:ascii="Calibri"/>
          <w:i/>
          <w:sz w:val="22"/>
        </w:rPr>
        <w:t>Polarized America : the dance of ideology and unequal riches</w:t>
      </w:r>
      <w:r>
        <w:rPr>
          <w:rFonts w:ascii="Calibri"/>
          <w:sz w:val="22"/>
        </w:rPr>
        <w:t>. Cambridge, Mass.: MIT Press.</w:t>
      </w:r>
    </w:p>
    <w:p>
      <w:pPr>
        <w:spacing w:before="0"/>
        <w:ind w:left="1700" w:right="1908" w:hanging="721"/>
        <w:jc w:val="both"/>
        <w:rPr>
          <w:rFonts w:ascii="Calibri"/>
          <w:sz w:val="22"/>
        </w:rPr>
      </w:pPr>
      <w:bookmarkStart w:name="_bookmark287" w:id="288"/>
      <w:bookmarkEnd w:id="288"/>
      <w:r>
        <w:rPr/>
      </w:r>
      <w:r>
        <w:rPr>
          <w:rFonts w:ascii="Calibri"/>
          <w:sz w:val="22"/>
        </w:rPr>
        <w:t>McGowan, L. (2007). Theorising European Integration: revisiting neofunctionalism and testing its suitability for explaining the development of EC competition policy? . </w:t>
      </w:r>
      <w:r>
        <w:rPr>
          <w:rFonts w:ascii="Calibri"/>
          <w:i/>
          <w:sz w:val="22"/>
        </w:rPr>
        <w:t>European Integration Online Papers</w:t>
      </w:r>
      <w:r>
        <w:rPr>
          <w:rFonts w:ascii="Calibri"/>
          <w:sz w:val="22"/>
        </w:rPr>
        <w:t>.</w:t>
      </w:r>
    </w:p>
    <w:p>
      <w:pPr>
        <w:spacing w:before="1"/>
        <w:ind w:left="1700" w:right="1904" w:hanging="721"/>
        <w:jc w:val="both"/>
        <w:rPr>
          <w:rFonts w:ascii="Calibri"/>
          <w:sz w:val="22"/>
        </w:rPr>
      </w:pPr>
      <w:bookmarkStart w:name="_bookmark288" w:id="289"/>
      <w:bookmarkEnd w:id="289"/>
      <w:r>
        <w:rPr/>
      </w:r>
      <w:r>
        <w:rPr>
          <w:rFonts w:ascii="Calibri"/>
          <w:sz w:val="22"/>
        </w:rPr>
        <w:t>McMahon,</w:t>
      </w:r>
      <w:r>
        <w:rPr>
          <w:rFonts w:ascii="Calibri"/>
          <w:spacing w:val="-5"/>
          <w:sz w:val="22"/>
        </w:rPr>
        <w:t> </w:t>
      </w:r>
      <w:r>
        <w:rPr>
          <w:rFonts w:ascii="Calibri"/>
          <w:sz w:val="22"/>
        </w:rPr>
        <w:t>C.</w:t>
      </w:r>
      <w:r>
        <w:rPr>
          <w:rFonts w:ascii="Calibri"/>
          <w:spacing w:val="-1"/>
          <w:sz w:val="22"/>
        </w:rPr>
        <w:t> </w:t>
      </w:r>
      <w:r>
        <w:rPr>
          <w:rFonts w:ascii="Calibri"/>
          <w:sz w:val="22"/>
        </w:rPr>
        <w:t>(1995).</w:t>
      </w:r>
      <w:r>
        <w:rPr>
          <w:rFonts w:ascii="Calibri"/>
          <w:spacing w:val="-1"/>
          <w:sz w:val="22"/>
        </w:rPr>
        <w:t> </w:t>
      </w:r>
      <w:r>
        <w:rPr>
          <w:rFonts w:ascii="Calibri"/>
          <w:sz w:val="22"/>
        </w:rPr>
        <w:t>The</w:t>
      </w:r>
      <w:r>
        <w:rPr>
          <w:rFonts w:ascii="Calibri"/>
          <w:spacing w:val="-2"/>
          <w:sz w:val="22"/>
        </w:rPr>
        <w:t> </w:t>
      </w:r>
      <w:r>
        <w:rPr>
          <w:rFonts w:ascii="Calibri"/>
          <w:sz w:val="22"/>
        </w:rPr>
        <w:t>Political</w:t>
      </w:r>
      <w:r>
        <w:rPr>
          <w:rFonts w:ascii="Calibri"/>
          <w:spacing w:val="-5"/>
          <w:sz w:val="22"/>
        </w:rPr>
        <w:t> </w:t>
      </w:r>
      <w:r>
        <w:rPr>
          <w:rFonts w:ascii="Calibri"/>
          <w:sz w:val="22"/>
        </w:rPr>
        <w:t>Theory</w:t>
      </w:r>
      <w:r>
        <w:rPr>
          <w:rFonts w:ascii="Calibri"/>
          <w:spacing w:val="-2"/>
          <w:sz w:val="22"/>
        </w:rPr>
        <w:t> </w:t>
      </w:r>
      <w:r>
        <w:rPr>
          <w:rFonts w:ascii="Calibri"/>
          <w:sz w:val="22"/>
        </w:rPr>
        <w:t>of</w:t>
      </w:r>
      <w:r>
        <w:rPr>
          <w:rFonts w:ascii="Calibri"/>
          <w:spacing w:val="-3"/>
          <w:sz w:val="22"/>
        </w:rPr>
        <w:t> </w:t>
      </w:r>
      <w:r>
        <w:rPr>
          <w:rFonts w:ascii="Calibri"/>
          <w:sz w:val="22"/>
        </w:rPr>
        <w:t>Organizations</w:t>
      </w:r>
      <w:r>
        <w:rPr>
          <w:rFonts w:ascii="Calibri"/>
          <w:spacing w:val="-3"/>
          <w:sz w:val="22"/>
        </w:rPr>
        <w:t> </w:t>
      </w:r>
      <w:r>
        <w:rPr>
          <w:rFonts w:ascii="Calibri"/>
          <w:sz w:val="22"/>
        </w:rPr>
        <w:t>and</w:t>
      </w:r>
      <w:r>
        <w:rPr>
          <w:rFonts w:ascii="Calibri"/>
          <w:spacing w:val="-3"/>
          <w:sz w:val="22"/>
        </w:rPr>
        <w:t> </w:t>
      </w:r>
      <w:r>
        <w:rPr>
          <w:rFonts w:ascii="Calibri"/>
          <w:sz w:val="22"/>
        </w:rPr>
        <w:t>Business</w:t>
      </w:r>
      <w:r>
        <w:rPr>
          <w:rFonts w:ascii="Calibri"/>
          <w:spacing w:val="-6"/>
          <w:sz w:val="22"/>
        </w:rPr>
        <w:t> </w:t>
      </w:r>
      <w:r>
        <w:rPr>
          <w:rFonts w:ascii="Calibri"/>
          <w:sz w:val="22"/>
        </w:rPr>
        <w:t>Ethics. </w:t>
      </w:r>
      <w:r>
        <w:rPr>
          <w:rFonts w:ascii="Calibri"/>
          <w:i/>
          <w:sz w:val="22"/>
        </w:rPr>
        <w:t>Philosophy</w:t>
      </w:r>
      <w:r>
        <w:rPr>
          <w:rFonts w:ascii="Calibri"/>
          <w:i/>
          <w:spacing w:val="-5"/>
          <w:sz w:val="22"/>
        </w:rPr>
        <w:t> </w:t>
      </w:r>
      <w:r>
        <w:rPr>
          <w:rFonts w:ascii="Calibri"/>
          <w:i/>
          <w:sz w:val="22"/>
        </w:rPr>
        <w:t>&amp; Public Affairs, 24</w:t>
      </w:r>
      <w:r>
        <w:rPr>
          <w:rFonts w:ascii="Calibri"/>
          <w:sz w:val="22"/>
        </w:rPr>
        <w:t>(4), 292-313. doi: 10.1111/j.1088-4963.1995.tb00033.x</w:t>
      </w:r>
    </w:p>
    <w:p>
      <w:pPr>
        <w:spacing w:before="1"/>
        <w:ind w:left="1700" w:right="1909" w:hanging="721"/>
        <w:jc w:val="both"/>
        <w:rPr>
          <w:rFonts w:ascii="Calibri"/>
          <w:sz w:val="22"/>
        </w:rPr>
      </w:pPr>
      <w:bookmarkStart w:name="_bookmark289" w:id="290"/>
      <w:bookmarkEnd w:id="290"/>
      <w:r>
        <w:rPr/>
      </w:r>
      <w:r>
        <w:rPr>
          <w:rFonts w:ascii="Calibri"/>
          <w:sz w:val="22"/>
        </w:rPr>
        <w:t>Mella, P. (2009). </w:t>
      </w:r>
      <w:r>
        <w:rPr>
          <w:rFonts w:ascii="Calibri"/>
          <w:i/>
          <w:sz w:val="22"/>
        </w:rPr>
        <w:t>The holonic revolution : holons,</w:t>
      </w:r>
      <w:r>
        <w:rPr>
          <w:rFonts w:ascii="Calibri"/>
          <w:i/>
          <w:spacing w:val="-1"/>
          <w:sz w:val="22"/>
        </w:rPr>
        <w:t> </w:t>
      </w:r>
      <w:r>
        <w:rPr>
          <w:rFonts w:ascii="Calibri"/>
          <w:i/>
          <w:sz w:val="22"/>
        </w:rPr>
        <w:t>holarchies and holonic networks : the ghost in the production machine</w:t>
      </w:r>
      <w:r>
        <w:rPr>
          <w:rFonts w:ascii="Calibri"/>
          <w:sz w:val="22"/>
        </w:rPr>
        <w:t>. Pavia: Pavia University Press.</w:t>
      </w:r>
    </w:p>
    <w:p>
      <w:pPr>
        <w:spacing w:line="240" w:lineRule="auto" w:before="0"/>
        <w:ind w:left="1700" w:right="1912" w:hanging="721"/>
        <w:jc w:val="both"/>
        <w:rPr>
          <w:rFonts w:ascii="Calibri"/>
          <w:sz w:val="22"/>
        </w:rPr>
      </w:pPr>
      <w:r>
        <w:rPr>
          <w:rFonts w:ascii="Calibri"/>
          <w:sz w:val="22"/>
        </w:rPr>
        <w:t>Memorandum to the President of the French coucil of Ministers, AMG. 6/6/2, Foundation Jean Monnet pour l'Europe. Archives Jean Monnet</w:t>
      </w:r>
      <w:r>
        <w:rPr>
          <w:rFonts w:ascii="Calibri"/>
          <w:spacing w:val="40"/>
          <w:sz w:val="22"/>
        </w:rPr>
        <w:t> </w:t>
      </w:r>
      <w:r>
        <w:rPr>
          <w:rFonts w:ascii="Calibri"/>
          <w:sz w:val="22"/>
        </w:rPr>
        <w:t>(1950).</w:t>
      </w:r>
    </w:p>
    <w:p>
      <w:pPr>
        <w:spacing w:before="0"/>
        <w:ind w:left="979" w:right="0" w:firstLine="0"/>
        <w:jc w:val="both"/>
        <w:rPr>
          <w:rFonts w:ascii="Calibri"/>
          <w:sz w:val="22"/>
        </w:rPr>
      </w:pPr>
      <w:bookmarkStart w:name="_bookmark290" w:id="291"/>
      <w:bookmarkEnd w:id="291"/>
      <w:r>
        <w:rPr/>
      </w:r>
      <w:r>
        <w:rPr>
          <w:rFonts w:ascii="Calibri"/>
          <w:sz w:val="22"/>
        </w:rPr>
        <w:t>Merriam,</w:t>
      </w:r>
      <w:r>
        <w:rPr>
          <w:rFonts w:ascii="Calibri"/>
          <w:spacing w:val="-9"/>
          <w:sz w:val="22"/>
        </w:rPr>
        <w:t> </w:t>
      </w:r>
      <w:r>
        <w:rPr>
          <w:rFonts w:ascii="Calibri"/>
          <w:sz w:val="22"/>
        </w:rPr>
        <w:t>C.</w:t>
      </w:r>
      <w:r>
        <w:rPr>
          <w:rFonts w:ascii="Calibri"/>
          <w:spacing w:val="-5"/>
          <w:sz w:val="22"/>
        </w:rPr>
        <w:t> </w:t>
      </w:r>
      <w:r>
        <w:rPr>
          <w:rFonts w:ascii="Calibri"/>
          <w:sz w:val="22"/>
        </w:rPr>
        <w:t>E.</w:t>
      </w:r>
      <w:r>
        <w:rPr>
          <w:rFonts w:ascii="Calibri"/>
          <w:spacing w:val="-5"/>
          <w:sz w:val="22"/>
        </w:rPr>
        <w:t> </w:t>
      </w:r>
      <w:r>
        <w:rPr>
          <w:rFonts w:ascii="Calibri"/>
          <w:sz w:val="22"/>
        </w:rPr>
        <w:t>(1945).</w:t>
      </w:r>
      <w:r>
        <w:rPr>
          <w:rFonts w:ascii="Calibri"/>
          <w:spacing w:val="-3"/>
          <w:sz w:val="22"/>
        </w:rPr>
        <w:t> </w:t>
      </w:r>
      <w:r>
        <w:rPr>
          <w:rFonts w:ascii="Calibri"/>
          <w:i/>
          <w:sz w:val="22"/>
        </w:rPr>
        <w:t>Systematic</w:t>
      </w:r>
      <w:r>
        <w:rPr>
          <w:rFonts w:ascii="Calibri"/>
          <w:i/>
          <w:spacing w:val="-7"/>
          <w:sz w:val="22"/>
        </w:rPr>
        <w:t> </w:t>
      </w:r>
      <w:r>
        <w:rPr>
          <w:rFonts w:ascii="Calibri"/>
          <w:i/>
          <w:sz w:val="22"/>
        </w:rPr>
        <w:t>politics</w:t>
      </w:r>
      <w:r>
        <w:rPr>
          <w:rFonts w:ascii="Calibri"/>
          <w:sz w:val="22"/>
        </w:rPr>
        <w:t>.</w:t>
      </w:r>
      <w:r>
        <w:rPr>
          <w:rFonts w:ascii="Calibri"/>
          <w:spacing w:val="-5"/>
          <w:sz w:val="22"/>
        </w:rPr>
        <w:t> </w:t>
      </w:r>
      <w:r>
        <w:rPr>
          <w:rFonts w:ascii="Calibri"/>
          <w:sz w:val="22"/>
        </w:rPr>
        <w:t>Chicago,:</w:t>
      </w:r>
      <w:r>
        <w:rPr>
          <w:rFonts w:ascii="Calibri"/>
          <w:spacing w:val="-8"/>
          <w:sz w:val="22"/>
        </w:rPr>
        <w:t> </w:t>
      </w:r>
      <w:r>
        <w:rPr>
          <w:rFonts w:ascii="Calibri"/>
          <w:sz w:val="22"/>
        </w:rPr>
        <w:t>University</w:t>
      </w:r>
      <w:r>
        <w:rPr>
          <w:rFonts w:ascii="Calibri"/>
          <w:spacing w:val="-6"/>
          <w:sz w:val="22"/>
        </w:rPr>
        <w:t> </w:t>
      </w:r>
      <w:r>
        <w:rPr>
          <w:rFonts w:ascii="Calibri"/>
          <w:sz w:val="22"/>
        </w:rPr>
        <w:t>of</w:t>
      </w:r>
      <w:r>
        <w:rPr>
          <w:rFonts w:ascii="Calibri"/>
          <w:spacing w:val="-6"/>
          <w:sz w:val="22"/>
        </w:rPr>
        <w:t> </w:t>
      </w:r>
      <w:r>
        <w:rPr>
          <w:rFonts w:ascii="Calibri"/>
          <w:sz w:val="22"/>
        </w:rPr>
        <w:t>Chicago</w:t>
      </w:r>
      <w:r>
        <w:rPr>
          <w:rFonts w:ascii="Calibri"/>
          <w:spacing w:val="-6"/>
          <w:sz w:val="22"/>
        </w:rPr>
        <w:t> </w:t>
      </w:r>
      <w:r>
        <w:rPr>
          <w:rFonts w:ascii="Calibri"/>
          <w:spacing w:val="-2"/>
          <w:sz w:val="22"/>
        </w:rPr>
        <w:t>Press.</w:t>
      </w:r>
    </w:p>
    <w:p>
      <w:pPr>
        <w:spacing w:after="0"/>
        <w:jc w:val="both"/>
        <w:rPr>
          <w:rFonts w:asci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1700" w:right="1909" w:hanging="721"/>
        <w:jc w:val="left"/>
        <w:rPr>
          <w:rFonts w:ascii="Calibri"/>
          <w:sz w:val="22"/>
        </w:rPr>
      </w:pPr>
      <w:bookmarkStart w:name="_bookmark291" w:id="292"/>
      <w:bookmarkEnd w:id="292"/>
      <w:r>
        <w:rPr/>
      </w:r>
      <w:r>
        <w:rPr>
          <w:rFonts w:ascii="Calibri"/>
          <w:sz w:val="22"/>
        </w:rPr>
        <w:t>Merton, R. K. (1957). </w:t>
      </w:r>
      <w:r>
        <w:rPr>
          <w:rFonts w:ascii="Calibri"/>
          <w:i/>
          <w:sz w:val="22"/>
        </w:rPr>
        <w:t>Social theory and social structure </w:t>
      </w:r>
      <w:r>
        <w:rPr>
          <w:rFonts w:ascii="Calibri"/>
          <w:sz w:val="22"/>
        </w:rPr>
        <w:t>(Rev. and enl. ed.). Glencoe, Ill.: The Free Press.</w:t>
      </w:r>
    </w:p>
    <w:p>
      <w:pPr>
        <w:spacing w:before="1"/>
        <w:ind w:left="979" w:right="1909" w:firstLine="0"/>
        <w:jc w:val="left"/>
        <w:rPr>
          <w:rFonts w:ascii="Calibri" w:hAnsi="Calibri"/>
          <w:sz w:val="22"/>
        </w:rPr>
      </w:pPr>
      <w:bookmarkStart w:name="_bookmark293" w:id="293"/>
      <w:bookmarkEnd w:id="293"/>
      <w:r>
        <w:rPr/>
      </w:r>
      <w:r>
        <w:rPr>
          <w:rFonts w:ascii="Calibri" w:hAnsi="Calibri"/>
          <w:sz w:val="22"/>
        </w:rPr>
        <w:t>Mesarović,</w:t>
      </w:r>
      <w:r>
        <w:rPr>
          <w:rFonts w:ascii="Calibri" w:hAnsi="Calibri"/>
          <w:spacing w:val="-3"/>
          <w:sz w:val="22"/>
        </w:rPr>
        <w:t> </w:t>
      </w:r>
      <w:r>
        <w:rPr>
          <w:rFonts w:ascii="Calibri" w:hAnsi="Calibri"/>
          <w:sz w:val="22"/>
        </w:rPr>
        <w:t>M. D. (1964). </w:t>
      </w:r>
      <w:r>
        <w:rPr>
          <w:rFonts w:ascii="Calibri" w:hAnsi="Calibri"/>
          <w:i/>
          <w:sz w:val="22"/>
        </w:rPr>
        <w:t>Views on general systems theory;</w:t>
      </w:r>
      <w:r>
        <w:rPr>
          <w:rFonts w:ascii="Calibri" w:hAnsi="Calibri"/>
          <w:i/>
          <w:spacing w:val="-1"/>
          <w:sz w:val="22"/>
        </w:rPr>
        <w:t> </w:t>
      </w:r>
      <w:r>
        <w:rPr>
          <w:rFonts w:ascii="Calibri" w:hAnsi="Calibri"/>
          <w:i/>
          <w:sz w:val="22"/>
        </w:rPr>
        <w:t>proceedings</w:t>
      </w:r>
      <w:r>
        <w:rPr>
          <w:rFonts w:ascii="Calibri" w:hAnsi="Calibri"/>
          <w:sz w:val="22"/>
        </w:rPr>
        <w:t>. New York,:</w:t>
      </w:r>
      <w:r>
        <w:rPr>
          <w:rFonts w:ascii="Calibri" w:hAnsi="Calibri"/>
          <w:spacing w:val="-1"/>
          <w:sz w:val="22"/>
        </w:rPr>
        <w:t> </w:t>
      </w:r>
      <w:r>
        <w:rPr>
          <w:rFonts w:ascii="Calibri" w:hAnsi="Calibri"/>
          <w:sz w:val="22"/>
        </w:rPr>
        <w:t>J. Wiley. </w:t>
      </w:r>
      <w:bookmarkStart w:name="_bookmark292" w:id="294"/>
      <w:bookmarkEnd w:id="294"/>
      <w:r>
        <w:rPr>
          <w:rFonts w:ascii="Calibri" w:hAnsi="Calibri"/>
          <w:sz w:val="22"/>
        </w:rPr>
        <w:t>M</w:t>
      </w:r>
      <w:r>
        <w:rPr>
          <w:rFonts w:ascii="Calibri" w:hAnsi="Calibri"/>
          <w:sz w:val="22"/>
        </w:rPr>
        <w:t>iller, E. F. (1971). David Easton's Political Theory. </w:t>
      </w:r>
      <w:r>
        <w:rPr>
          <w:rFonts w:ascii="Calibri" w:hAnsi="Calibri"/>
          <w:i/>
          <w:sz w:val="22"/>
        </w:rPr>
        <w:t>The Political Science Reviewer, fall</w:t>
      </w:r>
      <w:r>
        <w:rPr>
          <w:rFonts w:ascii="Calibri" w:hAnsi="Calibri"/>
          <w:sz w:val="22"/>
        </w:rPr>
        <w:t>(184). </w:t>
      </w:r>
      <w:bookmarkStart w:name="_bookmark294" w:id="295"/>
      <w:bookmarkEnd w:id="295"/>
      <w:r>
        <w:rPr>
          <w:rFonts w:ascii="Calibri" w:hAnsi="Calibri"/>
          <w:sz w:val="22"/>
        </w:rPr>
        <w:t>M</w:t>
      </w:r>
      <w:r>
        <w:rPr>
          <w:rFonts w:ascii="Calibri" w:hAnsi="Calibri"/>
          <w:sz w:val="22"/>
        </w:rPr>
        <w:t>illon, D. K. (1993). New Directions In Corporate Law Communitarians, Contractarians, And</w:t>
      </w:r>
    </w:p>
    <w:p>
      <w:pPr>
        <w:spacing w:line="265" w:lineRule="exact" w:before="0"/>
        <w:ind w:left="1700" w:right="0" w:firstLine="0"/>
        <w:jc w:val="left"/>
        <w:rPr>
          <w:rFonts w:ascii="Calibri"/>
          <w:sz w:val="22"/>
        </w:rPr>
      </w:pPr>
      <w:r>
        <w:rPr>
          <w:rFonts w:ascii="Calibri"/>
          <w:sz w:val="22"/>
        </w:rPr>
        <w:t>The</w:t>
      </w:r>
      <w:r>
        <w:rPr>
          <w:rFonts w:ascii="Calibri"/>
          <w:spacing w:val="-7"/>
          <w:sz w:val="22"/>
        </w:rPr>
        <w:t> </w:t>
      </w:r>
      <w:r>
        <w:rPr>
          <w:rFonts w:ascii="Calibri"/>
          <w:sz w:val="22"/>
        </w:rPr>
        <w:t>Crisis</w:t>
      </w:r>
      <w:r>
        <w:rPr>
          <w:rFonts w:ascii="Calibri"/>
          <w:spacing w:val="-5"/>
          <w:sz w:val="22"/>
        </w:rPr>
        <w:t> </w:t>
      </w:r>
      <w:r>
        <w:rPr>
          <w:rFonts w:ascii="Calibri"/>
          <w:sz w:val="22"/>
        </w:rPr>
        <w:t>In</w:t>
      </w:r>
      <w:r>
        <w:rPr>
          <w:rFonts w:ascii="Calibri"/>
          <w:spacing w:val="-6"/>
          <w:sz w:val="22"/>
        </w:rPr>
        <w:t> </w:t>
      </w:r>
      <w:r>
        <w:rPr>
          <w:rFonts w:ascii="Calibri"/>
          <w:sz w:val="22"/>
        </w:rPr>
        <w:t>Corporate</w:t>
      </w:r>
      <w:r>
        <w:rPr>
          <w:rFonts w:ascii="Calibri"/>
          <w:spacing w:val="-5"/>
          <w:sz w:val="22"/>
        </w:rPr>
        <w:t> </w:t>
      </w:r>
      <w:r>
        <w:rPr>
          <w:rFonts w:ascii="Calibri"/>
          <w:sz w:val="22"/>
        </w:rPr>
        <w:t>Law.</w:t>
      </w:r>
      <w:r>
        <w:rPr>
          <w:rFonts w:ascii="Calibri"/>
          <w:spacing w:val="-1"/>
          <w:sz w:val="22"/>
        </w:rPr>
        <w:t> </w:t>
      </w:r>
      <w:r>
        <w:rPr>
          <w:rFonts w:ascii="Calibri"/>
          <w:i/>
          <w:sz w:val="22"/>
        </w:rPr>
        <w:t>Washington</w:t>
      </w:r>
      <w:r>
        <w:rPr>
          <w:rFonts w:ascii="Calibri"/>
          <w:i/>
          <w:spacing w:val="-4"/>
          <w:sz w:val="22"/>
        </w:rPr>
        <w:t> </w:t>
      </w:r>
      <w:r>
        <w:rPr>
          <w:rFonts w:ascii="Calibri"/>
          <w:i/>
          <w:sz w:val="22"/>
        </w:rPr>
        <w:t>and</w:t>
      </w:r>
      <w:r>
        <w:rPr>
          <w:rFonts w:ascii="Calibri"/>
          <w:i/>
          <w:spacing w:val="-4"/>
          <w:sz w:val="22"/>
        </w:rPr>
        <w:t> </w:t>
      </w:r>
      <w:r>
        <w:rPr>
          <w:rFonts w:ascii="Calibri"/>
          <w:i/>
          <w:sz w:val="22"/>
        </w:rPr>
        <w:t>Lee</w:t>
      </w:r>
      <w:r>
        <w:rPr>
          <w:rFonts w:ascii="Calibri"/>
          <w:i/>
          <w:spacing w:val="-5"/>
          <w:sz w:val="22"/>
        </w:rPr>
        <w:t> </w:t>
      </w:r>
      <w:r>
        <w:rPr>
          <w:rFonts w:ascii="Calibri"/>
          <w:i/>
          <w:sz w:val="22"/>
        </w:rPr>
        <w:t>Law</w:t>
      </w:r>
      <w:r>
        <w:rPr>
          <w:rFonts w:ascii="Calibri"/>
          <w:i/>
          <w:spacing w:val="-5"/>
          <w:sz w:val="22"/>
        </w:rPr>
        <w:t> </w:t>
      </w:r>
      <w:r>
        <w:rPr>
          <w:rFonts w:ascii="Calibri"/>
          <w:i/>
          <w:sz w:val="22"/>
        </w:rPr>
        <w:t>Review,</w:t>
      </w:r>
      <w:r>
        <w:rPr>
          <w:rFonts w:ascii="Calibri"/>
          <w:i/>
          <w:spacing w:val="-6"/>
          <w:sz w:val="22"/>
        </w:rPr>
        <w:t> </w:t>
      </w:r>
      <w:r>
        <w:rPr>
          <w:rFonts w:ascii="Calibri"/>
          <w:i/>
          <w:spacing w:val="-2"/>
          <w:sz w:val="22"/>
        </w:rPr>
        <w:t>50</w:t>
      </w:r>
      <w:r>
        <w:rPr>
          <w:rFonts w:ascii="Calibri"/>
          <w:spacing w:val="-2"/>
          <w:sz w:val="22"/>
        </w:rPr>
        <w:t>(4/2).</w:t>
      </w:r>
    </w:p>
    <w:p>
      <w:pPr>
        <w:spacing w:before="0"/>
        <w:ind w:left="1700" w:right="1909" w:hanging="721"/>
        <w:jc w:val="left"/>
        <w:rPr>
          <w:rFonts w:ascii="Calibri"/>
          <w:sz w:val="22"/>
        </w:rPr>
      </w:pPr>
      <w:bookmarkStart w:name="_bookmark295" w:id="296"/>
      <w:bookmarkEnd w:id="296"/>
      <w:r>
        <w:rPr/>
      </w:r>
      <w:r>
        <w:rPr>
          <w:rFonts w:ascii="Calibri"/>
          <w:sz w:val="22"/>
        </w:rPr>
        <w:t>Milward,</w:t>
      </w:r>
      <w:r>
        <w:rPr>
          <w:rFonts w:ascii="Calibri"/>
          <w:spacing w:val="-3"/>
          <w:sz w:val="22"/>
        </w:rPr>
        <w:t> </w:t>
      </w:r>
      <w:r>
        <w:rPr>
          <w:rFonts w:ascii="Calibri"/>
          <w:sz w:val="22"/>
        </w:rPr>
        <w:t>A. S. (2000). </w:t>
      </w:r>
      <w:r>
        <w:rPr>
          <w:rFonts w:ascii="Calibri"/>
          <w:i/>
          <w:sz w:val="22"/>
        </w:rPr>
        <w:t>The</w:t>
      </w:r>
      <w:r>
        <w:rPr>
          <w:rFonts w:ascii="Calibri"/>
          <w:i/>
          <w:spacing w:val="-4"/>
          <w:sz w:val="22"/>
        </w:rPr>
        <w:t> </w:t>
      </w:r>
      <w:r>
        <w:rPr>
          <w:rFonts w:ascii="Calibri"/>
          <w:i/>
          <w:sz w:val="22"/>
        </w:rPr>
        <w:t>European</w:t>
      </w:r>
      <w:r>
        <w:rPr>
          <w:rFonts w:ascii="Calibri"/>
          <w:i/>
          <w:spacing w:val="-3"/>
          <w:sz w:val="22"/>
        </w:rPr>
        <w:t> </w:t>
      </w:r>
      <w:r>
        <w:rPr>
          <w:rFonts w:ascii="Calibri"/>
          <w:i/>
          <w:sz w:val="22"/>
        </w:rPr>
        <w:t>rescue</w:t>
      </w:r>
      <w:r>
        <w:rPr>
          <w:rFonts w:ascii="Calibri"/>
          <w:i/>
          <w:spacing w:val="-4"/>
          <w:sz w:val="22"/>
        </w:rPr>
        <w:t> </w:t>
      </w:r>
      <w:r>
        <w:rPr>
          <w:rFonts w:ascii="Calibri"/>
          <w:i/>
          <w:sz w:val="22"/>
        </w:rPr>
        <w:t>of</w:t>
      </w:r>
      <w:r>
        <w:rPr>
          <w:rFonts w:ascii="Calibri"/>
          <w:i/>
          <w:spacing w:val="-5"/>
          <w:sz w:val="22"/>
        </w:rPr>
        <w:t> </w:t>
      </w:r>
      <w:r>
        <w:rPr>
          <w:rFonts w:ascii="Calibri"/>
          <w:i/>
          <w:sz w:val="22"/>
        </w:rPr>
        <w:t>the</w:t>
      </w:r>
      <w:r>
        <w:rPr>
          <w:rFonts w:ascii="Calibri"/>
          <w:i/>
          <w:spacing w:val="-4"/>
          <w:sz w:val="22"/>
        </w:rPr>
        <w:t> </w:t>
      </w:r>
      <w:r>
        <w:rPr>
          <w:rFonts w:ascii="Calibri"/>
          <w:i/>
          <w:sz w:val="22"/>
        </w:rPr>
        <w:t>nation-state </w:t>
      </w:r>
      <w:r>
        <w:rPr>
          <w:rFonts w:ascii="Calibri"/>
          <w:sz w:val="22"/>
        </w:rPr>
        <w:t>(2nd</w:t>
      </w:r>
      <w:r>
        <w:rPr>
          <w:rFonts w:ascii="Calibri"/>
          <w:spacing w:val="-5"/>
          <w:sz w:val="22"/>
        </w:rPr>
        <w:t> </w:t>
      </w:r>
      <w:r>
        <w:rPr>
          <w:rFonts w:ascii="Calibri"/>
          <w:sz w:val="22"/>
        </w:rPr>
        <w:t>ed.).</w:t>
      </w:r>
      <w:r>
        <w:rPr>
          <w:rFonts w:ascii="Calibri"/>
          <w:spacing w:val="-2"/>
          <w:sz w:val="22"/>
        </w:rPr>
        <w:t> </w:t>
      </w:r>
      <w:r>
        <w:rPr>
          <w:rFonts w:ascii="Calibri"/>
          <w:sz w:val="22"/>
        </w:rPr>
        <w:t>London ;</w:t>
      </w:r>
      <w:r>
        <w:rPr>
          <w:rFonts w:ascii="Calibri"/>
          <w:spacing w:val="-1"/>
          <w:sz w:val="22"/>
        </w:rPr>
        <w:t> </w:t>
      </w:r>
      <w:r>
        <w:rPr>
          <w:rFonts w:ascii="Calibri"/>
          <w:sz w:val="22"/>
        </w:rPr>
        <w:t>New</w:t>
      </w:r>
      <w:r>
        <w:rPr>
          <w:rFonts w:ascii="Calibri"/>
          <w:spacing w:val="-3"/>
          <w:sz w:val="22"/>
        </w:rPr>
        <w:t> </w:t>
      </w:r>
      <w:r>
        <w:rPr>
          <w:rFonts w:ascii="Calibri"/>
          <w:sz w:val="22"/>
        </w:rPr>
        <w:t>York: </w:t>
      </w:r>
      <w:r>
        <w:rPr>
          <w:rFonts w:ascii="Calibri"/>
          <w:spacing w:val="-2"/>
          <w:sz w:val="22"/>
        </w:rPr>
        <w:t>Routledge.</w:t>
      </w:r>
    </w:p>
    <w:p>
      <w:pPr>
        <w:spacing w:before="0"/>
        <w:ind w:left="979" w:right="0" w:firstLine="0"/>
        <w:jc w:val="left"/>
        <w:rPr>
          <w:rFonts w:ascii="Calibri"/>
          <w:sz w:val="22"/>
        </w:rPr>
      </w:pPr>
      <w:bookmarkStart w:name="_bookmark296" w:id="297"/>
      <w:bookmarkEnd w:id="297"/>
      <w:r>
        <w:rPr/>
      </w:r>
      <w:r>
        <w:rPr>
          <w:rFonts w:ascii="Calibri"/>
          <w:sz w:val="22"/>
        </w:rPr>
        <w:t>Mindel,</w:t>
      </w:r>
      <w:r>
        <w:rPr>
          <w:rFonts w:ascii="Calibri"/>
          <w:spacing w:val="-10"/>
          <w:sz w:val="22"/>
        </w:rPr>
        <w:t> </w:t>
      </w:r>
      <w:r>
        <w:rPr>
          <w:rFonts w:ascii="Calibri"/>
          <w:sz w:val="22"/>
        </w:rPr>
        <w:t>D.</w:t>
      </w:r>
      <w:r>
        <w:rPr>
          <w:rFonts w:ascii="Calibri"/>
          <w:spacing w:val="-6"/>
          <w:sz w:val="22"/>
        </w:rPr>
        <w:t> </w:t>
      </w:r>
      <w:r>
        <w:rPr>
          <w:rFonts w:ascii="Calibri"/>
          <w:sz w:val="22"/>
        </w:rPr>
        <w:t>A.</w:t>
      </w:r>
      <w:r>
        <w:rPr>
          <w:rFonts w:ascii="Calibri"/>
          <w:spacing w:val="-6"/>
          <w:sz w:val="22"/>
        </w:rPr>
        <w:t> </w:t>
      </w:r>
      <w:r>
        <w:rPr>
          <w:rFonts w:ascii="Calibri"/>
          <w:sz w:val="22"/>
        </w:rPr>
        <w:t>(2000).</w:t>
      </w:r>
      <w:r>
        <w:rPr>
          <w:rFonts w:ascii="Calibri"/>
          <w:spacing w:val="-5"/>
          <w:sz w:val="22"/>
        </w:rPr>
        <w:t> </w:t>
      </w:r>
      <w:r>
        <w:rPr>
          <w:rFonts w:ascii="Calibri"/>
          <w:sz w:val="22"/>
        </w:rPr>
        <w:t>Cybernetics.</w:t>
      </w:r>
      <w:r>
        <w:rPr>
          <w:rFonts w:ascii="Calibri"/>
          <w:spacing w:val="-2"/>
          <w:sz w:val="22"/>
        </w:rPr>
        <w:t> </w:t>
      </w:r>
      <w:r>
        <w:rPr>
          <w:rFonts w:ascii="Calibri"/>
          <w:i/>
          <w:sz w:val="22"/>
        </w:rPr>
        <w:t>Knowledge</w:t>
      </w:r>
      <w:r>
        <w:rPr>
          <w:rFonts w:ascii="Calibri"/>
          <w:i/>
          <w:spacing w:val="-6"/>
          <w:sz w:val="22"/>
        </w:rPr>
        <w:t> </w:t>
      </w:r>
      <w:r>
        <w:rPr>
          <w:rFonts w:ascii="Calibri"/>
          <w:i/>
          <w:sz w:val="22"/>
        </w:rPr>
        <w:t>domains</w:t>
      </w:r>
      <w:r>
        <w:rPr>
          <w:rFonts w:ascii="Calibri"/>
          <w:i/>
          <w:spacing w:val="-7"/>
          <w:sz w:val="22"/>
        </w:rPr>
        <w:t> </w:t>
      </w:r>
      <w:r>
        <w:rPr>
          <w:rFonts w:ascii="Calibri"/>
          <w:i/>
          <w:sz w:val="22"/>
        </w:rPr>
        <w:t>in</w:t>
      </w:r>
      <w:r>
        <w:rPr>
          <w:rFonts w:ascii="Calibri"/>
          <w:i/>
          <w:spacing w:val="-5"/>
          <w:sz w:val="22"/>
        </w:rPr>
        <w:t> </w:t>
      </w:r>
      <w:r>
        <w:rPr>
          <w:rFonts w:ascii="Calibri"/>
          <w:i/>
          <w:sz w:val="22"/>
        </w:rPr>
        <w:t>Engineering</w:t>
      </w:r>
      <w:r>
        <w:rPr>
          <w:rFonts w:ascii="Calibri"/>
          <w:i/>
          <w:spacing w:val="-5"/>
          <w:sz w:val="22"/>
        </w:rPr>
        <w:t> </w:t>
      </w:r>
      <w:r>
        <w:rPr>
          <w:rFonts w:ascii="Calibri"/>
          <w:i/>
          <w:spacing w:val="-2"/>
          <w:sz w:val="22"/>
        </w:rPr>
        <w:t>systems</w:t>
      </w:r>
      <w:r>
        <w:rPr>
          <w:rFonts w:ascii="Calibri"/>
          <w:spacing w:val="-2"/>
          <w:sz w:val="22"/>
        </w:rPr>
        <w:t>.</w:t>
      </w:r>
    </w:p>
    <w:p>
      <w:pPr>
        <w:spacing w:before="1"/>
        <w:ind w:left="979" w:right="1909" w:firstLine="0"/>
        <w:jc w:val="left"/>
        <w:rPr>
          <w:rFonts w:ascii="Calibri"/>
          <w:sz w:val="22"/>
        </w:rPr>
      </w:pPr>
      <w:bookmarkStart w:name="_bookmark297" w:id="298"/>
      <w:bookmarkEnd w:id="298"/>
      <w:r>
        <w:rPr/>
      </w:r>
      <w:r>
        <w:rPr>
          <w:rFonts w:ascii="Calibri"/>
          <w:sz w:val="22"/>
        </w:rPr>
        <w:t>Moeller, H.-G. (2006). </w:t>
      </w:r>
      <w:r>
        <w:rPr>
          <w:rFonts w:ascii="Calibri"/>
          <w:i/>
          <w:sz w:val="22"/>
        </w:rPr>
        <w:t>Luhmann explained : from souls to systems</w:t>
      </w:r>
      <w:r>
        <w:rPr>
          <w:rFonts w:ascii="Calibri"/>
          <w:sz w:val="22"/>
        </w:rPr>
        <w:t>. Chicago: Open Court. </w:t>
      </w:r>
      <w:bookmarkStart w:name="_bookmark298" w:id="299"/>
      <w:bookmarkEnd w:id="299"/>
      <w:r>
        <w:rPr>
          <w:rFonts w:ascii="Calibri"/>
          <w:sz w:val="22"/>
        </w:rPr>
        <w:t>M</w:t>
      </w:r>
      <w:r>
        <w:rPr>
          <w:rFonts w:ascii="Calibri"/>
          <w:sz w:val="22"/>
        </w:rPr>
        <w:t>oon,</w:t>
      </w:r>
      <w:r>
        <w:rPr>
          <w:rFonts w:ascii="Calibri"/>
          <w:spacing w:val="40"/>
          <w:sz w:val="22"/>
        </w:rPr>
        <w:t> </w:t>
      </w:r>
      <w:r>
        <w:rPr>
          <w:rFonts w:ascii="Calibri"/>
          <w:sz w:val="22"/>
        </w:rPr>
        <w:t>Y.</w:t>
      </w:r>
      <w:r>
        <w:rPr>
          <w:rFonts w:ascii="Calibri"/>
          <w:spacing w:val="40"/>
          <w:sz w:val="22"/>
        </w:rPr>
        <w:t> </w:t>
      </w:r>
      <w:r>
        <w:rPr>
          <w:rFonts w:ascii="Calibri"/>
          <w:sz w:val="22"/>
        </w:rPr>
        <w:t>(2013).</w:t>
      </w:r>
      <w:r>
        <w:rPr>
          <w:rFonts w:ascii="Calibri"/>
          <w:spacing w:val="40"/>
          <w:sz w:val="22"/>
        </w:rPr>
        <w:t> </w:t>
      </w:r>
      <w:r>
        <w:rPr>
          <w:rFonts w:ascii="Calibri"/>
          <w:sz w:val="22"/>
        </w:rPr>
        <w:t>The</w:t>
      </w:r>
      <w:r>
        <w:rPr>
          <w:rFonts w:ascii="Calibri"/>
          <w:spacing w:val="40"/>
          <w:sz w:val="22"/>
        </w:rPr>
        <w:t> </w:t>
      </w:r>
      <w:r>
        <w:rPr>
          <w:rFonts w:ascii="Calibri"/>
          <w:sz w:val="22"/>
        </w:rPr>
        <w:t>Future</w:t>
      </w:r>
      <w:r>
        <w:rPr>
          <w:rFonts w:ascii="Calibri"/>
          <w:spacing w:val="40"/>
          <w:sz w:val="22"/>
        </w:rPr>
        <w:t> </w:t>
      </w:r>
      <w:r>
        <w:rPr>
          <w:rFonts w:ascii="Calibri"/>
          <w:sz w:val="22"/>
        </w:rPr>
        <w:t>of</w:t>
      </w:r>
      <w:r>
        <w:rPr>
          <w:rFonts w:ascii="Calibri"/>
          <w:spacing w:val="40"/>
          <w:sz w:val="22"/>
        </w:rPr>
        <w:t> </w:t>
      </w:r>
      <w:r>
        <w:rPr>
          <w:rFonts w:ascii="Calibri"/>
          <w:sz w:val="22"/>
        </w:rPr>
        <w:t>NATO</w:t>
      </w:r>
      <w:r>
        <w:rPr>
          <w:rFonts w:ascii="Calibri"/>
          <w:spacing w:val="40"/>
          <w:sz w:val="22"/>
        </w:rPr>
        <w:t> </w:t>
      </w:r>
      <w:r>
        <w:rPr>
          <w:rFonts w:ascii="Calibri"/>
          <w:sz w:val="22"/>
        </w:rPr>
        <w:t>The</w:t>
      </w:r>
      <w:r>
        <w:rPr>
          <w:rFonts w:ascii="Calibri"/>
          <w:spacing w:val="40"/>
          <w:sz w:val="22"/>
        </w:rPr>
        <w:t> </w:t>
      </w:r>
      <w:r>
        <w:rPr>
          <w:rFonts w:ascii="Calibri"/>
          <w:sz w:val="22"/>
        </w:rPr>
        <w:t>Purpose</w:t>
      </w:r>
      <w:r>
        <w:rPr>
          <w:rFonts w:ascii="Calibri"/>
          <w:spacing w:val="40"/>
          <w:sz w:val="22"/>
        </w:rPr>
        <w:t> </w:t>
      </w:r>
      <w:r>
        <w:rPr>
          <w:rFonts w:ascii="Calibri"/>
          <w:sz w:val="22"/>
        </w:rPr>
        <w:t>of</w:t>
      </w:r>
      <w:r>
        <w:rPr>
          <w:rFonts w:ascii="Calibri"/>
          <w:spacing w:val="40"/>
          <w:sz w:val="22"/>
        </w:rPr>
        <w:t> </w:t>
      </w:r>
      <w:r>
        <w:rPr>
          <w:rFonts w:ascii="Calibri"/>
          <w:sz w:val="22"/>
        </w:rPr>
        <w:t>the</w:t>
      </w:r>
      <w:r>
        <w:rPr>
          <w:rFonts w:ascii="Calibri"/>
          <w:spacing w:val="40"/>
          <w:sz w:val="22"/>
        </w:rPr>
        <w:t> </w:t>
      </w:r>
      <w:r>
        <w:rPr>
          <w:rFonts w:ascii="Calibri"/>
          <w:sz w:val="22"/>
        </w:rPr>
        <w:t>Alliance</w:t>
      </w:r>
      <w:r>
        <w:rPr>
          <w:rFonts w:ascii="Calibri"/>
          <w:spacing w:val="40"/>
          <w:sz w:val="22"/>
        </w:rPr>
        <w:t> </w:t>
      </w:r>
      <w:r>
        <w:rPr>
          <w:rFonts w:ascii="Calibri"/>
          <w:sz w:val="22"/>
        </w:rPr>
        <w:t>after</w:t>
      </w:r>
      <w:r>
        <w:rPr>
          <w:rFonts w:ascii="Calibri"/>
          <w:spacing w:val="40"/>
          <w:sz w:val="22"/>
        </w:rPr>
        <w:t> </w:t>
      </w:r>
      <w:r>
        <w:rPr>
          <w:rFonts w:ascii="Calibri"/>
          <w:sz w:val="22"/>
        </w:rPr>
        <w:t>the</w:t>
      </w:r>
      <w:r>
        <w:rPr>
          <w:rFonts w:ascii="Calibri"/>
          <w:spacing w:val="40"/>
          <w:sz w:val="22"/>
        </w:rPr>
        <w:t> </w:t>
      </w:r>
      <w:r>
        <w:rPr>
          <w:rFonts w:ascii="Calibri"/>
          <w:sz w:val="22"/>
        </w:rPr>
        <w:t>Cold</w:t>
      </w:r>
      <w:r>
        <w:rPr>
          <w:rFonts w:ascii="Calibri"/>
          <w:spacing w:val="40"/>
          <w:sz w:val="22"/>
        </w:rPr>
        <w:t> </w:t>
      </w:r>
      <w:r>
        <w:rPr>
          <w:rFonts w:ascii="Calibri"/>
          <w:sz w:val="22"/>
        </w:rPr>
        <w:t>War.</w:t>
      </w:r>
    </w:p>
    <w:p>
      <w:pPr>
        <w:spacing w:before="1"/>
        <w:ind w:left="1700" w:right="0" w:firstLine="0"/>
        <w:jc w:val="left"/>
        <w:rPr>
          <w:rFonts w:ascii="Calibri"/>
          <w:sz w:val="22"/>
        </w:rPr>
      </w:pPr>
      <w:r>
        <w:rPr>
          <w:rFonts w:ascii="Calibri"/>
          <w:i/>
          <w:sz w:val="22"/>
        </w:rPr>
        <w:t>Harvard</w:t>
      </w:r>
      <w:r>
        <w:rPr>
          <w:rFonts w:ascii="Calibri"/>
          <w:i/>
          <w:spacing w:val="-6"/>
          <w:sz w:val="22"/>
        </w:rPr>
        <w:t> </w:t>
      </w:r>
      <w:r>
        <w:rPr>
          <w:rFonts w:ascii="Calibri"/>
          <w:i/>
          <w:sz w:val="22"/>
        </w:rPr>
        <w:t>International</w:t>
      </w:r>
      <w:r>
        <w:rPr>
          <w:rFonts w:ascii="Calibri"/>
          <w:i/>
          <w:spacing w:val="-4"/>
          <w:sz w:val="22"/>
        </w:rPr>
        <w:t> </w:t>
      </w:r>
      <w:r>
        <w:rPr>
          <w:rFonts w:ascii="Calibri"/>
          <w:i/>
          <w:sz w:val="22"/>
        </w:rPr>
        <w:t>Review,</w:t>
      </w:r>
      <w:r>
        <w:rPr>
          <w:rFonts w:ascii="Calibri"/>
          <w:i/>
          <w:spacing w:val="-8"/>
          <w:sz w:val="22"/>
        </w:rPr>
        <w:t> </w:t>
      </w:r>
      <w:r>
        <w:rPr>
          <w:rFonts w:ascii="Calibri"/>
          <w:i/>
          <w:sz w:val="22"/>
        </w:rPr>
        <w:t>winter</w:t>
      </w:r>
      <w:r>
        <w:rPr>
          <w:rFonts w:ascii="Calibri"/>
          <w:sz w:val="22"/>
        </w:rPr>
        <w:t>(world</w:t>
      </w:r>
      <w:r>
        <w:rPr>
          <w:rFonts w:ascii="Calibri"/>
          <w:spacing w:val="-7"/>
          <w:sz w:val="22"/>
        </w:rPr>
        <w:t> </w:t>
      </w:r>
      <w:r>
        <w:rPr>
          <w:rFonts w:ascii="Calibri"/>
          <w:sz w:val="22"/>
        </w:rPr>
        <w:t>in</w:t>
      </w:r>
      <w:r>
        <w:rPr>
          <w:rFonts w:ascii="Calibri"/>
          <w:spacing w:val="-6"/>
          <w:sz w:val="22"/>
        </w:rPr>
        <w:t> </w:t>
      </w:r>
      <w:r>
        <w:rPr>
          <w:rFonts w:ascii="Calibri"/>
          <w:spacing w:val="-2"/>
          <w:sz w:val="22"/>
        </w:rPr>
        <w:t>review).</w:t>
      </w:r>
    </w:p>
    <w:p>
      <w:pPr>
        <w:spacing w:before="0"/>
        <w:ind w:left="1700" w:right="1901" w:hanging="721"/>
        <w:jc w:val="both"/>
        <w:rPr>
          <w:rFonts w:ascii="Calibri"/>
          <w:sz w:val="22"/>
        </w:rPr>
      </w:pPr>
      <w:bookmarkStart w:name="_bookmark299" w:id="300"/>
      <w:bookmarkEnd w:id="300"/>
      <w:r>
        <w:rPr/>
      </w:r>
      <w:r>
        <w:rPr>
          <w:rFonts w:ascii="Calibri"/>
          <w:sz w:val="22"/>
        </w:rPr>
        <w:t>Moravcsik, A. (1991). Negotiating the Single European Act: national interests and conventional statecraft in the European Community. </w:t>
      </w:r>
      <w:r>
        <w:rPr>
          <w:rFonts w:ascii="Calibri"/>
          <w:i/>
          <w:sz w:val="22"/>
        </w:rPr>
        <w:t>International Organization, 45</w:t>
      </w:r>
      <w:r>
        <w:rPr>
          <w:rFonts w:ascii="Calibri"/>
          <w:sz w:val="22"/>
        </w:rPr>
        <w:t>(01), 19-56. doi: doi:10.1017/S0020818300001387</w:t>
      </w:r>
    </w:p>
    <w:p>
      <w:pPr>
        <w:spacing w:before="1"/>
        <w:ind w:left="979" w:right="1898" w:firstLine="0"/>
        <w:jc w:val="right"/>
        <w:rPr>
          <w:rFonts w:ascii="Calibri"/>
          <w:sz w:val="22"/>
        </w:rPr>
      </w:pPr>
      <w:bookmarkStart w:name="_bookmark301" w:id="301"/>
      <w:bookmarkEnd w:id="301"/>
      <w:r>
        <w:rPr/>
      </w:r>
      <w:r>
        <w:rPr>
          <w:rFonts w:ascii="Calibri"/>
          <w:sz w:val="22"/>
        </w:rPr>
        <w:t>Moravcsik,</w:t>
      </w:r>
      <w:r>
        <w:rPr>
          <w:rFonts w:ascii="Calibri"/>
          <w:spacing w:val="70"/>
          <w:sz w:val="22"/>
        </w:rPr>
        <w:t> </w:t>
      </w:r>
      <w:r>
        <w:rPr>
          <w:rFonts w:ascii="Calibri"/>
          <w:sz w:val="22"/>
        </w:rPr>
        <w:t>A.</w:t>
      </w:r>
      <w:r>
        <w:rPr>
          <w:rFonts w:ascii="Calibri"/>
          <w:spacing w:val="69"/>
          <w:sz w:val="22"/>
        </w:rPr>
        <w:t> </w:t>
      </w:r>
      <w:r>
        <w:rPr>
          <w:rFonts w:ascii="Calibri"/>
          <w:sz w:val="22"/>
        </w:rPr>
        <w:t>(1993).</w:t>
      </w:r>
      <w:r>
        <w:rPr>
          <w:rFonts w:ascii="Calibri"/>
          <w:spacing w:val="74"/>
          <w:sz w:val="22"/>
        </w:rPr>
        <w:t> </w:t>
      </w:r>
      <w:r>
        <w:rPr>
          <w:rFonts w:ascii="Calibri"/>
          <w:sz w:val="22"/>
        </w:rPr>
        <w:t>Preferences</w:t>
      </w:r>
      <w:r>
        <w:rPr>
          <w:rFonts w:ascii="Calibri"/>
          <w:spacing w:val="72"/>
          <w:sz w:val="22"/>
        </w:rPr>
        <w:t> </w:t>
      </w:r>
      <w:r>
        <w:rPr>
          <w:rFonts w:ascii="Calibri"/>
          <w:sz w:val="22"/>
        </w:rPr>
        <w:t>and</w:t>
      </w:r>
      <w:r>
        <w:rPr>
          <w:rFonts w:ascii="Calibri"/>
          <w:spacing w:val="71"/>
          <w:sz w:val="22"/>
        </w:rPr>
        <w:t> </w:t>
      </w:r>
      <w:r>
        <w:rPr>
          <w:rFonts w:ascii="Calibri"/>
          <w:sz w:val="22"/>
        </w:rPr>
        <w:t>Power</w:t>
      </w:r>
      <w:r>
        <w:rPr>
          <w:rFonts w:ascii="Calibri"/>
          <w:spacing w:val="40"/>
          <w:sz w:val="22"/>
        </w:rPr>
        <w:t> </w:t>
      </w:r>
      <w:r>
        <w:rPr>
          <w:rFonts w:ascii="Calibri"/>
          <w:sz w:val="22"/>
        </w:rPr>
        <w:t>in</w:t>
      </w:r>
      <w:r>
        <w:rPr>
          <w:rFonts w:ascii="Calibri"/>
          <w:spacing w:val="71"/>
          <w:sz w:val="22"/>
        </w:rPr>
        <w:t> </w:t>
      </w:r>
      <w:r>
        <w:rPr>
          <w:rFonts w:ascii="Calibri"/>
          <w:sz w:val="22"/>
        </w:rPr>
        <w:t>the</w:t>
      </w:r>
      <w:r>
        <w:rPr>
          <w:rFonts w:ascii="Calibri"/>
          <w:spacing w:val="72"/>
          <w:sz w:val="22"/>
        </w:rPr>
        <w:t> </w:t>
      </w:r>
      <w:r>
        <w:rPr>
          <w:rFonts w:ascii="Calibri"/>
          <w:sz w:val="22"/>
        </w:rPr>
        <w:t>European</w:t>
      </w:r>
      <w:r>
        <w:rPr>
          <w:rFonts w:ascii="Calibri"/>
          <w:spacing w:val="71"/>
          <w:sz w:val="22"/>
        </w:rPr>
        <w:t> </w:t>
      </w:r>
      <w:r>
        <w:rPr>
          <w:rFonts w:ascii="Calibri"/>
          <w:sz w:val="22"/>
        </w:rPr>
        <w:t>Community:</w:t>
      </w:r>
      <w:r>
        <w:rPr>
          <w:rFonts w:ascii="Calibri"/>
          <w:spacing w:val="70"/>
          <w:sz w:val="22"/>
        </w:rPr>
        <w:t> </w:t>
      </w:r>
      <w:r>
        <w:rPr>
          <w:rFonts w:ascii="Calibri"/>
          <w:sz w:val="22"/>
        </w:rPr>
        <w:t>A</w:t>
      </w:r>
      <w:r>
        <w:rPr>
          <w:rFonts w:ascii="Calibri"/>
          <w:spacing w:val="69"/>
          <w:sz w:val="22"/>
        </w:rPr>
        <w:t> </w:t>
      </w:r>
      <w:r>
        <w:rPr>
          <w:rFonts w:ascii="Calibri"/>
          <w:sz w:val="22"/>
        </w:rPr>
        <w:t>Liberal Intergovernmentalist Approach. </w:t>
      </w:r>
      <w:r>
        <w:rPr>
          <w:rFonts w:ascii="Calibri"/>
          <w:i/>
          <w:sz w:val="22"/>
        </w:rPr>
        <w:t>Journal of Common Market Studies, 31</w:t>
      </w:r>
      <w:r>
        <w:rPr>
          <w:rFonts w:ascii="Calibri"/>
          <w:sz w:val="22"/>
        </w:rPr>
        <w:t>(4), 473-525. </w:t>
      </w:r>
      <w:bookmarkStart w:name="_bookmark300" w:id="302"/>
      <w:bookmarkEnd w:id="302"/>
      <w:r>
        <w:rPr>
          <w:rFonts w:ascii="Calibri"/>
          <w:sz w:val="22"/>
        </w:rPr>
        <w:t>M</w:t>
      </w:r>
      <w:r>
        <w:rPr>
          <w:rFonts w:ascii="Calibri"/>
          <w:sz w:val="22"/>
        </w:rPr>
        <w:t>oravcsik,</w:t>
      </w:r>
      <w:r>
        <w:rPr>
          <w:rFonts w:ascii="Calibri"/>
          <w:spacing w:val="40"/>
          <w:sz w:val="22"/>
        </w:rPr>
        <w:t> </w:t>
      </w:r>
      <w:r>
        <w:rPr>
          <w:rFonts w:ascii="Calibri"/>
          <w:sz w:val="22"/>
        </w:rPr>
        <w:t>A.</w:t>
      </w:r>
      <w:r>
        <w:rPr>
          <w:rFonts w:ascii="Calibri"/>
          <w:spacing w:val="40"/>
          <w:sz w:val="22"/>
        </w:rPr>
        <w:t> </w:t>
      </w:r>
      <w:r>
        <w:rPr>
          <w:rFonts w:ascii="Calibri"/>
          <w:sz w:val="22"/>
        </w:rPr>
        <w:t>(1995).</w:t>
      </w:r>
      <w:r>
        <w:rPr>
          <w:rFonts w:ascii="Calibri"/>
          <w:spacing w:val="40"/>
          <w:sz w:val="22"/>
        </w:rPr>
        <w:t> </w:t>
      </w:r>
      <w:r>
        <w:rPr>
          <w:rFonts w:ascii="Calibri"/>
          <w:sz w:val="22"/>
        </w:rPr>
        <w:t>Liberal</w:t>
      </w:r>
      <w:r>
        <w:rPr>
          <w:rFonts w:ascii="Calibri"/>
          <w:spacing w:val="40"/>
          <w:sz w:val="22"/>
        </w:rPr>
        <w:t> </w:t>
      </w:r>
      <w:r>
        <w:rPr>
          <w:rFonts w:ascii="Calibri"/>
          <w:sz w:val="22"/>
        </w:rPr>
        <w:t>Intergovernmentalism</w:t>
      </w:r>
      <w:r>
        <w:rPr>
          <w:rFonts w:ascii="Calibri"/>
          <w:spacing w:val="40"/>
          <w:sz w:val="22"/>
        </w:rPr>
        <w:t> </w:t>
      </w:r>
      <w:r>
        <w:rPr>
          <w:rFonts w:ascii="Calibri"/>
          <w:sz w:val="22"/>
        </w:rPr>
        <w:t>and</w:t>
      </w:r>
      <w:r>
        <w:rPr>
          <w:rFonts w:ascii="Calibri"/>
          <w:spacing w:val="40"/>
          <w:sz w:val="22"/>
        </w:rPr>
        <w:t> </w:t>
      </w:r>
      <w:r>
        <w:rPr>
          <w:rFonts w:ascii="Calibri"/>
          <w:sz w:val="22"/>
        </w:rPr>
        <w:t>Integration:</w:t>
      </w:r>
      <w:r>
        <w:rPr>
          <w:rFonts w:ascii="Calibri"/>
          <w:spacing w:val="40"/>
          <w:sz w:val="22"/>
        </w:rPr>
        <w:t> </w:t>
      </w:r>
      <w:r>
        <w:rPr>
          <w:rFonts w:ascii="Calibri"/>
          <w:sz w:val="22"/>
        </w:rPr>
        <w:t>A</w:t>
      </w:r>
      <w:r>
        <w:rPr>
          <w:rFonts w:ascii="Calibri"/>
          <w:spacing w:val="40"/>
          <w:sz w:val="22"/>
        </w:rPr>
        <w:t> </w:t>
      </w:r>
      <w:r>
        <w:rPr>
          <w:rFonts w:ascii="Calibri"/>
          <w:sz w:val="22"/>
        </w:rPr>
        <w:t>Rejoinder.</w:t>
      </w:r>
      <w:r>
        <w:rPr>
          <w:rFonts w:ascii="Calibri"/>
          <w:spacing w:val="40"/>
          <w:sz w:val="22"/>
        </w:rPr>
        <w:t> </w:t>
      </w:r>
      <w:r>
        <w:rPr>
          <w:rFonts w:ascii="Calibri"/>
          <w:i/>
          <w:sz w:val="22"/>
        </w:rPr>
        <w:t>JCMS: Journal</w:t>
      </w:r>
      <w:r>
        <w:rPr>
          <w:rFonts w:ascii="Calibri"/>
          <w:i/>
          <w:spacing w:val="40"/>
          <w:sz w:val="22"/>
        </w:rPr>
        <w:t>  </w:t>
      </w:r>
      <w:r>
        <w:rPr>
          <w:rFonts w:ascii="Calibri"/>
          <w:i/>
          <w:sz w:val="22"/>
        </w:rPr>
        <w:t>of</w:t>
      </w:r>
      <w:r>
        <w:rPr>
          <w:rFonts w:ascii="Calibri"/>
          <w:i/>
          <w:spacing w:val="40"/>
          <w:sz w:val="22"/>
        </w:rPr>
        <w:t>  </w:t>
      </w:r>
      <w:r>
        <w:rPr>
          <w:rFonts w:ascii="Calibri"/>
          <w:i/>
          <w:sz w:val="22"/>
        </w:rPr>
        <w:t>Common</w:t>
      </w:r>
      <w:r>
        <w:rPr>
          <w:rFonts w:ascii="Calibri"/>
          <w:i/>
          <w:spacing w:val="40"/>
          <w:sz w:val="22"/>
        </w:rPr>
        <w:t>  </w:t>
      </w:r>
      <w:r>
        <w:rPr>
          <w:rFonts w:ascii="Calibri"/>
          <w:i/>
          <w:sz w:val="22"/>
        </w:rPr>
        <w:t>Market</w:t>
      </w:r>
      <w:r>
        <w:rPr>
          <w:rFonts w:ascii="Calibri"/>
          <w:i/>
          <w:spacing w:val="80"/>
          <w:w w:val="150"/>
          <w:sz w:val="22"/>
        </w:rPr>
        <w:t> </w:t>
      </w:r>
      <w:r>
        <w:rPr>
          <w:rFonts w:ascii="Calibri"/>
          <w:i/>
          <w:sz w:val="22"/>
        </w:rPr>
        <w:t>Studies,</w:t>
      </w:r>
      <w:r>
        <w:rPr>
          <w:rFonts w:ascii="Calibri"/>
          <w:i/>
          <w:spacing w:val="40"/>
          <w:sz w:val="22"/>
        </w:rPr>
        <w:t>  </w:t>
      </w:r>
      <w:r>
        <w:rPr>
          <w:rFonts w:ascii="Calibri"/>
          <w:i/>
          <w:sz w:val="22"/>
        </w:rPr>
        <w:t>33</w:t>
      </w:r>
      <w:r>
        <w:rPr>
          <w:rFonts w:ascii="Calibri"/>
          <w:sz w:val="22"/>
        </w:rPr>
        <w:t>(4),</w:t>
      </w:r>
      <w:r>
        <w:rPr>
          <w:rFonts w:ascii="Calibri"/>
          <w:spacing w:val="40"/>
          <w:sz w:val="22"/>
        </w:rPr>
        <w:t>  </w:t>
      </w:r>
      <w:r>
        <w:rPr>
          <w:rFonts w:ascii="Calibri"/>
          <w:sz w:val="22"/>
        </w:rPr>
        <w:t>611-628.</w:t>
      </w:r>
      <w:r>
        <w:rPr>
          <w:rFonts w:ascii="Calibri"/>
          <w:spacing w:val="40"/>
          <w:sz w:val="22"/>
        </w:rPr>
        <w:t>  </w:t>
      </w:r>
      <w:r>
        <w:rPr>
          <w:rFonts w:ascii="Calibri"/>
          <w:sz w:val="22"/>
        </w:rPr>
        <w:t>doi:</w:t>
      </w:r>
      <w:r>
        <w:rPr>
          <w:rFonts w:ascii="Calibri"/>
          <w:spacing w:val="40"/>
          <w:sz w:val="22"/>
        </w:rPr>
        <w:t>  </w:t>
      </w:r>
      <w:r>
        <w:rPr>
          <w:rFonts w:ascii="Calibri"/>
          <w:sz w:val="22"/>
        </w:rPr>
        <w:t>10.1111/j.1468-</w:t>
      </w:r>
    </w:p>
    <w:p>
      <w:pPr>
        <w:spacing w:before="1"/>
        <w:ind w:left="1700" w:right="0" w:firstLine="0"/>
        <w:jc w:val="left"/>
        <w:rPr>
          <w:rFonts w:ascii="Calibri"/>
          <w:sz w:val="22"/>
        </w:rPr>
      </w:pPr>
      <w:r>
        <w:rPr>
          <w:rFonts w:ascii="Calibri"/>
          <w:spacing w:val="-2"/>
          <w:sz w:val="22"/>
        </w:rPr>
        <w:t>5965.1995.tb00554.x</w:t>
      </w:r>
    </w:p>
    <w:p>
      <w:pPr>
        <w:spacing w:before="0"/>
        <w:ind w:left="1700" w:right="1910" w:hanging="721"/>
        <w:jc w:val="both"/>
        <w:rPr>
          <w:rFonts w:ascii="Calibri"/>
          <w:sz w:val="22"/>
        </w:rPr>
      </w:pPr>
      <w:bookmarkStart w:name="_bookmark302" w:id="303"/>
      <w:bookmarkEnd w:id="303"/>
      <w:r>
        <w:rPr/>
      </w:r>
      <w:r>
        <w:rPr>
          <w:rFonts w:ascii="Calibri"/>
          <w:sz w:val="22"/>
        </w:rPr>
        <w:t>Moravcsik, A. (1998). </w:t>
      </w:r>
      <w:r>
        <w:rPr>
          <w:rFonts w:ascii="Calibri"/>
          <w:i/>
          <w:sz w:val="22"/>
        </w:rPr>
        <w:t>The Choice for Europe: Social Purpose and State Power from Messina</w:t>
      </w:r>
      <w:r>
        <w:rPr>
          <w:rFonts w:ascii="Calibri"/>
          <w:i/>
          <w:spacing w:val="40"/>
          <w:sz w:val="22"/>
        </w:rPr>
        <w:t> </w:t>
      </w:r>
      <w:r>
        <w:rPr>
          <w:rFonts w:ascii="Calibri"/>
          <w:i/>
          <w:sz w:val="22"/>
        </w:rPr>
        <w:t>to Maastricht</w:t>
      </w:r>
      <w:r>
        <w:rPr>
          <w:rFonts w:ascii="Calibri"/>
          <w:sz w:val="22"/>
        </w:rPr>
        <w:t>. London: Cornell University Press.</w:t>
      </w:r>
    </w:p>
    <w:p>
      <w:pPr>
        <w:spacing w:before="1"/>
        <w:ind w:left="1700" w:right="1901" w:hanging="721"/>
        <w:jc w:val="both"/>
        <w:rPr>
          <w:rFonts w:ascii="Calibri"/>
          <w:sz w:val="22"/>
        </w:rPr>
      </w:pPr>
      <w:bookmarkStart w:name="_bookmark303" w:id="304"/>
      <w:bookmarkEnd w:id="304"/>
      <w:r>
        <w:rPr/>
      </w:r>
      <w:r>
        <w:rPr>
          <w:rFonts w:ascii="Calibri"/>
          <w:sz w:val="22"/>
        </w:rPr>
        <w:t>Moravcsik, A. (2002). Reassessing Legitimacy in the European Union. </w:t>
      </w:r>
      <w:r>
        <w:rPr>
          <w:rFonts w:ascii="Calibri"/>
          <w:i/>
          <w:sz w:val="22"/>
        </w:rPr>
        <w:t>JCMS: Journal of Common Market Studies, 40</w:t>
      </w:r>
      <w:r>
        <w:rPr>
          <w:rFonts w:ascii="Calibri"/>
          <w:sz w:val="22"/>
        </w:rPr>
        <w:t>(4), 603-624. doi: 10.1111/1468-5965.00390</w:t>
      </w:r>
    </w:p>
    <w:p>
      <w:pPr>
        <w:spacing w:line="240" w:lineRule="auto" w:before="0"/>
        <w:ind w:left="1700" w:right="1905" w:hanging="721"/>
        <w:jc w:val="both"/>
        <w:rPr>
          <w:rFonts w:ascii="Calibri"/>
          <w:sz w:val="22"/>
        </w:rPr>
      </w:pPr>
      <w:bookmarkStart w:name="_bookmark304" w:id="305"/>
      <w:bookmarkEnd w:id="305"/>
      <w:r>
        <w:rPr/>
      </w:r>
      <w:r>
        <w:rPr>
          <w:rFonts w:ascii="Calibri"/>
          <w:sz w:val="22"/>
        </w:rPr>
        <w:t>Moravcsik, A. (2005). The European constitutional compromise and the neofunctionalist legacy. </w:t>
      </w:r>
      <w:r>
        <w:rPr>
          <w:rFonts w:ascii="Calibri"/>
          <w:i/>
          <w:sz w:val="22"/>
        </w:rPr>
        <w:t>Journal of European Public Policy, 12</w:t>
      </w:r>
      <w:r>
        <w:rPr>
          <w:rFonts w:ascii="Calibri"/>
          <w:sz w:val="22"/>
        </w:rPr>
        <w:t>(2), 349-386. doi: </w:t>
      </w:r>
      <w:r>
        <w:rPr>
          <w:rFonts w:ascii="Calibri"/>
          <w:spacing w:val="-2"/>
          <w:sz w:val="22"/>
        </w:rPr>
        <w:t>10.1080/13501760500044215</w:t>
      </w:r>
    </w:p>
    <w:p>
      <w:pPr>
        <w:spacing w:before="0"/>
        <w:ind w:left="1700" w:right="1909" w:hanging="721"/>
        <w:jc w:val="left"/>
        <w:rPr>
          <w:rFonts w:ascii="Calibri"/>
          <w:sz w:val="22"/>
        </w:rPr>
      </w:pPr>
      <w:bookmarkStart w:name="_bookmark305" w:id="306"/>
      <w:bookmarkEnd w:id="306"/>
      <w:r>
        <w:rPr/>
      </w:r>
      <w:r>
        <w:rPr>
          <w:rFonts w:ascii="Calibri"/>
          <w:sz w:val="22"/>
        </w:rPr>
        <w:t>Moravcsik, A. (2008). The myth of Europe's democratic deficit.</w:t>
      </w:r>
      <w:r>
        <w:rPr>
          <w:rFonts w:ascii="Calibri"/>
          <w:spacing w:val="26"/>
          <w:sz w:val="22"/>
        </w:rPr>
        <w:t> </w:t>
      </w:r>
      <w:r>
        <w:rPr>
          <w:rFonts w:ascii="Calibri"/>
          <w:i/>
          <w:sz w:val="22"/>
        </w:rPr>
        <w:t>Journal of European Public</w:t>
      </w:r>
      <w:r>
        <w:rPr>
          <w:rFonts w:ascii="Calibri"/>
          <w:i/>
          <w:spacing w:val="40"/>
          <w:sz w:val="22"/>
        </w:rPr>
        <w:t> </w:t>
      </w:r>
      <w:r>
        <w:rPr>
          <w:rFonts w:ascii="Calibri"/>
          <w:i/>
          <w:sz w:val="22"/>
        </w:rPr>
        <w:t>Policy</w:t>
      </w:r>
      <w:r>
        <w:rPr>
          <w:rFonts w:ascii="Calibri"/>
          <w:sz w:val="22"/>
        </w:rPr>
        <w:t>,</w:t>
      </w:r>
      <w:r>
        <w:rPr>
          <w:rFonts w:ascii="Calibri"/>
          <w:spacing w:val="-1"/>
          <w:sz w:val="22"/>
        </w:rPr>
        <w:t> </w:t>
      </w:r>
      <w:r>
        <w:rPr>
          <w:rFonts w:ascii="Calibri"/>
          <w:sz w:val="22"/>
        </w:rPr>
        <w:t>331-340.</w:t>
      </w:r>
    </w:p>
    <w:p>
      <w:pPr>
        <w:spacing w:before="0"/>
        <w:ind w:left="1700" w:right="1909" w:hanging="721"/>
        <w:jc w:val="left"/>
        <w:rPr>
          <w:rFonts w:ascii="Calibri"/>
          <w:sz w:val="22"/>
        </w:rPr>
      </w:pPr>
      <w:bookmarkStart w:name="_bookmark306" w:id="307"/>
      <w:bookmarkEnd w:id="307"/>
      <w:r>
        <w:rPr/>
      </w:r>
      <w:r>
        <w:rPr>
          <w:rFonts w:ascii="Calibri"/>
          <w:sz w:val="22"/>
        </w:rPr>
        <w:t>Moravcsik, A. (2011). </w:t>
      </w:r>
      <w:r>
        <w:rPr>
          <w:rFonts w:ascii="Calibri"/>
          <w:i/>
          <w:sz w:val="22"/>
        </w:rPr>
        <w:t>Keynote, "democratic deficit" in the European Union. </w:t>
      </w:r>
      <w:r>
        <w:rPr>
          <w:rFonts w:ascii="Calibri"/>
          <w:sz w:val="22"/>
        </w:rPr>
        <w:t>Paper presented at the Hungarian Political Science Association conference, Budapest, Hungary.</w:t>
      </w:r>
    </w:p>
    <w:p>
      <w:pPr>
        <w:spacing w:before="0"/>
        <w:ind w:left="1700" w:right="1909" w:hanging="721"/>
        <w:jc w:val="left"/>
        <w:rPr>
          <w:rFonts w:ascii="Calibri"/>
          <w:sz w:val="22"/>
        </w:rPr>
      </w:pPr>
      <w:bookmarkStart w:name="_bookmark307" w:id="308"/>
      <w:bookmarkEnd w:id="308"/>
      <w:r>
        <w:rPr/>
      </w:r>
      <w:r>
        <w:rPr>
          <w:rFonts w:ascii="Calibri"/>
          <w:sz w:val="22"/>
        </w:rPr>
        <w:t>Moravcsik,</w:t>
      </w:r>
      <w:r>
        <w:rPr>
          <w:rFonts w:ascii="Calibri"/>
          <w:spacing w:val="80"/>
          <w:sz w:val="22"/>
        </w:rPr>
        <w:t> </w:t>
      </w:r>
      <w:r>
        <w:rPr>
          <w:rFonts w:ascii="Calibri"/>
          <w:sz w:val="22"/>
        </w:rPr>
        <w:t>A.,</w:t>
      </w:r>
      <w:r>
        <w:rPr>
          <w:rFonts w:ascii="Calibri"/>
          <w:spacing w:val="80"/>
          <w:sz w:val="22"/>
        </w:rPr>
        <w:t> </w:t>
      </w:r>
      <w:r>
        <w:rPr>
          <w:rFonts w:ascii="Calibri"/>
          <w:sz w:val="22"/>
        </w:rPr>
        <w:t>&amp;</w:t>
      </w:r>
      <w:r>
        <w:rPr>
          <w:rFonts w:ascii="Calibri"/>
          <w:spacing w:val="80"/>
          <w:sz w:val="22"/>
        </w:rPr>
        <w:t> </w:t>
      </w:r>
      <w:r>
        <w:rPr>
          <w:rFonts w:ascii="Calibri"/>
          <w:sz w:val="22"/>
        </w:rPr>
        <w:t>Schimmelfennig,</w:t>
      </w:r>
      <w:r>
        <w:rPr>
          <w:rFonts w:ascii="Calibri"/>
          <w:spacing w:val="80"/>
          <w:sz w:val="22"/>
        </w:rPr>
        <w:t> </w:t>
      </w:r>
      <w:r>
        <w:rPr>
          <w:rFonts w:ascii="Calibri"/>
          <w:sz w:val="22"/>
        </w:rPr>
        <w:t>F.</w:t>
      </w:r>
      <w:r>
        <w:rPr>
          <w:rFonts w:ascii="Calibri"/>
          <w:spacing w:val="80"/>
          <w:sz w:val="22"/>
        </w:rPr>
        <w:t> </w:t>
      </w:r>
      <w:r>
        <w:rPr>
          <w:rFonts w:ascii="Calibri"/>
          <w:sz w:val="22"/>
        </w:rPr>
        <w:t>(2009).</w:t>
      </w:r>
      <w:r>
        <w:rPr>
          <w:rFonts w:ascii="Calibri"/>
          <w:spacing w:val="80"/>
          <w:sz w:val="22"/>
        </w:rPr>
        <w:t> </w:t>
      </w:r>
      <w:r>
        <w:rPr>
          <w:rFonts w:ascii="Calibri"/>
          <w:sz w:val="22"/>
        </w:rPr>
        <w:t>Liberal</w:t>
      </w:r>
      <w:r>
        <w:rPr>
          <w:rFonts w:ascii="Calibri"/>
          <w:spacing w:val="80"/>
          <w:sz w:val="22"/>
        </w:rPr>
        <w:t> </w:t>
      </w:r>
      <w:r>
        <w:rPr>
          <w:rFonts w:ascii="Calibri"/>
          <w:sz w:val="22"/>
        </w:rPr>
        <w:t>Intergovernmentalism</w:t>
      </w:r>
      <w:r>
        <w:rPr>
          <w:rFonts w:ascii="Calibri"/>
          <w:spacing w:val="80"/>
          <w:sz w:val="22"/>
        </w:rPr>
        <w:t> </w:t>
      </w:r>
      <w:r>
        <w:rPr>
          <w:rFonts w:ascii="Calibri"/>
          <w:i/>
          <w:sz w:val="22"/>
        </w:rPr>
        <w:t>European Integration Theory </w:t>
      </w:r>
      <w:r>
        <w:rPr>
          <w:rFonts w:ascii="Calibri"/>
          <w:sz w:val="22"/>
        </w:rPr>
        <w:t>(pp. 67-87). New York: Oxford University Press.</w:t>
      </w:r>
    </w:p>
    <w:p>
      <w:pPr>
        <w:spacing w:before="0"/>
        <w:ind w:left="1700" w:right="1909" w:hanging="721"/>
        <w:jc w:val="left"/>
        <w:rPr>
          <w:rFonts w:ascii="Calibri"/>
          <w:sz w:val="22"/>
        </w:rPr>
      </w:pPr>
      <w:bookmarkStart w:name="_bookmark308" w:id="309"/>
      <w:bookmarkEnd w:id="309"/>
      <w:r>
        <w:rPr/>
      </w:r>
      <w:r>
        <w:rPr>
          <w:rFonts w:ascii="Calibri"/>
          <w:sz w:val="22"/>
        </w:rPr>
        <w:t>Morgan,</w:t>
      </w:r>
      <w:r>
        <w:rPr>
          <w:rFonts w:ascii="Calibri"/>
          <w:spacing w:val="78"/>
          <w:sz w:val="22"/>
        </w:rPr>
        <w:t> </w:t>
      </w:r>
      <w:r>
        <w:rPr>
          <w:rFonts w:ascii="Calibri"/>
          <w:sz w:val="22"/>
        </w:rPr>
        <w:t>G.</w:t>
      </w:r>
      <w:r>
        <w:rPr>
          <w:rFonts w:ascii="Calibri"/>
          <w:spacing w:val="80"/>
          <w:sz w:val="22"/>
        </w:rPr>
        <w:t> </w:t>
      </w:r>
      <w:r>
        <w:rPr>
          <w:rFonts w:ascii="Calibri"/>
          <w:sz w:val="22"/>
        </w:rPr>
        <w:t>(1998).</w:t>
      </w:r>
      <w:r>
        <w:rPr>
          <w:rFonts w:ascii="Calibri"/>
          <w:spacing w:val="80"/>
          <w:sz w:val="22"/>
        </w:rPr>
        <w:t> </w:t>
      </w:r>
      <w:r>
        <w:rPr>
          <w:rFonts w:ascii="Calibri"/>
          <w:i/>
          <w:sz w:val="22"/>
        </w:rPr>
        <w:t>Images</w:t>
      </w:r>
      <w:r>
        <w:rPr>
          <w:rFonts w:ascii="Calibri"/>
          <w:i/>
          <w:spacing w:val="76"/>
          <w:sz w:val="22"/>
        </w:rPr>
        <w:t> </w:t>
      </w:r>
      <w:r>
        <w:rPr>
          <w:rFonts w:ascii="Calibri"/>
          <w:i/>
          <w:sz w:val="22"/>
        </w:rPr>
        <w:t>of</w:t>
      </w:r>
      <w:r>
        <w:rPr>
          <w:rFonts w:ascii="Calibri"/>
          <w:i/>
          <w:spacing w:val="80"/>
          <w:sz w:val="22"/>
        </w:rPr>
        <w:t> </w:t>
      </w:r>
      <w:r>
        <w:rPr>
          <w:rFonts w:ascii="Calibri"/>
          <w:i/>
          <w:sz w:val="22"/>
        </w:rPr>
        <w:t>organization</w:t>
      </w:r>
      <w:r>
        <w:rPr>
          <w:rFonts w:ascii="Calibri"/>
          <w:i/>
          <w:spacing w:val="80"/>
          <w:sz w:val="22"/>
        </w:rPr>
        <w:t> </w:t>
      </w:r>
      <w:r>
        <w:rPr>
          <w:rFonts w:ascii="Calibri"/>
          <w:sz w:val="22"/>
        </w:rPr>
        <w:t>(Executive</w:t>
      </w:r>
      <w:r>
        <w:rPr>
          <w:rFonts w:ascii="Calibri"/>
          <w:spacing w:val="80"/>
          <w:sz w:val="22"/>
        </w:rPr>
        <w:t> </w:t>
      </w:r>
      <w:r>
        <w:rPr>
          <w:rFonts w:ascii="Calibri"/>
          <w:sz w:val="22"/>
        </w:rPr>
        <w:t>ed.).</w:t>
      </w:r>
      <w:r>
        <w:rPr>
          <w:rFonts w:ascii="Calibri"/>
          <w:spacing w:val="80"/>
          <w:sz w:val="22"/>
        </w:rPr>
        <w:t> </w:t>
      </w:r>
      <w:r>
        <w:rPr>
          <w:rFonts w:ascii="Calibri"/>
          <w:sz w:val="22"/>
        </w:rPr>
        <w:t>San</w:t>
      </w:r>
      <w:r>
        <w:rPr>
          <w:rFonts w:ascii="Calibri"/>
          <w:spacing w:val="80"/>
          <w:sz w:val="22"/>
        </w:rPr>
        <w:t> </w:t>
      </w:r>
      <w:r>
        <w:rPr>
          <w:rFonts w:ascii="Calibri"/>
          <w:sz w:val="22"/>
        </w:rPr>
        <w:t>Francisco,</w:t>
      </w:r>
      <w:r>
        <w:rPr>
          <w:rFonts w:ascii="Calibri"/>
          <w:spacing w:val="78"/>
          <w:sz w:val="22"/>
        </w:rPr>
        <w:t> </w:t>
      </w:r>
      <w:r>
        <w:rPr>
          <w:rFonts w:ascii="Calibri"/>
          <w:sz w:val="22"/>
        </w:rPr>
        <w:t>CA:</w:t>
      </w:r>
      <w:r>
        <w:rPr>
          <w:rFonts w:ascii="Calibri"/>
          <w:spacing w:val="79"/>
          <w:sz w:val="22"/>
        </w:rPr>
        <w:t> </w:t>
      </w:r>
      <w:r>
        <w:rPr>
          <w:rFonts w:ascii="Calibri"/>
          <w:sz w:val="22"/>
        </w:rPr>
        <w:t>Sage </w:t>
      </w:r>
      <w:r>
        <w:rPr>
          <w:rFonts w:ascii="Calibri"/>
          <w:spacing w:val="-2"/>
          <w:sz w:val="22"/>
        </w:rPr>
        <w:t>Publications.</w:t>
      </w:r>
    </w:p>
    <w:p>
      <w:pPr>
        <w:spacing w:before="0"/>
        <w:ind w:left="1700" w:right="1909" w:hanging="721"/>
        <w:jc w:val="left"/>
        <w:rPr>
          <w:rFonts w:ascii="Calibri"/>
          <w:sz w:val="22"/>
        </w:rPr>
      </w:pPr>
      <w:bookmarkStart w:name="_bookmark309" w:id="310"/>
      <w:bookmarkEnd w:id="310"/>
      <w:r>
        <w:rPr/>
      </w:r>
      <w:r>
        <w:rPr>
          <w:rFonts w:ascii="Calibri"/>
          <w:sz w:val="22"/>
        </w:rPr>
        <w:t>Mumby, D. K. (2013). </w:t>
      </w:r>
      <w:r>
        <w:rPr>
          <w:rFonts w:ascii="Calibri"/>
          <w:i/>
          <w:sz w:val="22"/>
        </w:rPr>
        <w:t>Organizational communication : a critical approach</w:t>
      </w:r>
      <w:r>
        <w:rPr>
          <w:rFonts w:ascii="Calibri"/>
          <w:sz w:val="22"/>
        </w:rPr>
        <w:t>. Thousand Oaks: </w:t>
      </w:r>
      <w:r>
        <w:rPr>
          <w:rFonts w:ascii="Calibri"/>
          <w:spacing w:val="-2"/>
          <w:sz w:val="22"/>
        </w:rPr>
        <w:t>SAGE.</w:t>
      </w:r>
    </w:p>
    <w:p>
      <w:pPr>
        <w:spacing w:before="0"/>
        <w:ind w:left="1700" w:right="1901" w:hanging="721"/>
        <w:jc w:val="both"/>
        <w:rPr>
          <w:rFonts w:ascii="Calibri"/>
          <w:sz w:val="22"/>
        </w:rPr>
      </w:pPr>
      <w:bookmarkStart w:name="_bookmark310" w:id="311"/>
      <w:bookmarkEnd w:id="311"/>
      <w:r>
        <w:rPr/>
      </w:r>
      <w:r>
        <w:rPr>
          <w:rFonts w:ascii="Calibri"/>
          <w:sz w:val="22"/>
        </w:rPr>
        <w:t>Murphy, M. C. (2011). Regional Representation in Brussels and Multi-level Governance: Evidence from Northern Ireland. </w:t>
      </w:r>
      <w:r>
        <w:rPr>
          <w:rFonts w:ascii="Calibri"/>
          <w:i/>
          <w:sz w:val="22"/>
        </w:rPr>
        <w:t>The British Journal of Politics &amp; International Relations, 13</w:t>
      </w:r>
      <w:r>
        <w:rPr>
          <w:rFonts w:ascii="Calibri"/>
          <w:sz w:val="22"/>
        </w:rPr>
        <w:t>(4), 551-566. doi: 10.1111/j.1467-856X.2010.00446.x</w:t>
      </w:r>
    </w:p>
    <w:p>
      <w:pPr>
        <w:spacing w:before="1"/>
        <w:ind w:left="1700" w:right="1902" w:hanging="721"/>
        <w:jc w:val="both"/>
        <w:rPr>
          <w:rFonts w:ascii="Calibri"/>
          <w:sz w:val="22"/>
        </w:rPr>
      </w:pPr>
      <w:bookmarkStart w:name="_bookmark311" w:id="312"/>
      <w:bookmarkEnd w:id="312"/>
      <w:r>
        <w:rPr/>
      </w:r>
      <w:r>
        <w:rPr>
          <w:rFonts w:ascii="Calibri"/>
          <w:sz w:val="22"/>
        </w:rPr>
        <w:t>Murray,</w:t>
      </w:r>
      <w:r>
        <w:rPr>
          <w:rFonts w:ascii="Calibri"/>
          <w:spacing w:val="-3"/>
          <w:sz w:val="22"/>
        </w:rPr>
        <w:t> </w:t>
      </w:r>
      <w:r>
        <w:rPr>
          <w:rFonts w:ascii="Calibri"/>
          <w:sz w:val="22"/>
        </w:rPr>
        <w:t>A. (2004). An</w:t>
      </w:r>
      <w:r>
        <w:rPr>
          <w:rFonts w:ascii="Calibri"/>
          <w:spacing w:val="-2"/>
          <w:sz w:val="22"/>
        </w:rPr>
        <w:t> </w:t>
      </w:r>
      <w:r>
        <w:rPr>
          <w:rFonts w:ascii="Calibri"/>
          <w:sz w:val="22"/>
        </w:rPr>
        <w:t>unstable</w:t>
      </w:r>
      <w:r>
        <w:rPr>
          <w:rFonts w:ascii="Calibri"/>
          <w:spacing w:val="-1"/>
          <w:sz w:val="22"/>
        </w:rPr>
        <w:t> </w:t>
      </w:r>
      <w:r>
        <w:rPr>
          <w:rFonts w:ascii="Calibri"/>
          <w:sz w:val="22"/>
        </w:rPr>
        <w:t>house?</w:t>
      </w:r>
      <w:r>
        <w:rPr>
          <w:rFonts w:ascii="Calibri"/>
          <w:spacing w:val="-3"/>
          <w:sz w:val="22"/>
        </w:rPr>
        <w:t> </w:t>
      </w:r>
      <w:r>
        <w:rPr>
          <w:rFonts w:ascii="Calibri"/>
          <w:sz w:val="22"/>
        </w:rPr>
        <w:t>Reconstructing the</w:t>
      </w:r>
      <w:r>
        <w:rPr>
          <w:rFonts w:ascii="Calibri"/>
          <w:spacing w:val="-1"/>
          <w:sz w:val="22"/>
        </w:rPr>
        <w:t> </w:t>
      </w:r>
      <w:r>
        <w:rPr>
          <w:rFonts w:ascii="Calibri"/>
          <w:sz w:val="22"/>
        </w:rPr>
        <w:t>European</w:t>
      </w:r>
      <w:r>
        <w:rPr>
          <w:rFonts w:ascii="Calibri"/>
          <w:spacing w:val="-2"/>
          <w:sz w:val="22"/>
        </w:rPr>
        <w:t> </w:t>
      </w:r>
      <w:r>
        <w:rPr>
          <w:rFonts w:ascii="Calibri"/>
          <w:sz w:val="22"/>
        </w:rPr>
        <w:t>Commission. </w:t>
      </w:r>
      <w:r>
        <w:rPr>
          <w:rFonts w:ascii="Calibri"/>
          <w:i/>
          <w:sz w:val="22"/>
        </w:rPr>
        <w:t>Centre</w:t>
      </w:r>
      <w:r>
        <w:rPr>
          <w:rFonts w:ascii="Calibri"/>
          <w:i/>
          <w:spacing w:val="-2"/>
          <w:sz w:val="22"/>
        </w:rPr>
        <w:t> </w:t>
      </w:r>
      <w:r>
        <w:rPr>
          <w:rFonts w:ascii="Calibri"/>
          <w:i/>
          <w:sz w:val="22"/>
        </w:rPr>
        <w:t>for European Reform</w:t>
      </w:r>
      <w:r>
        <w:rPr>
          <w:rFonts w:ascii="Calibri"/>
          <w:sz w:val="22"/>
        </w:rPr>
        <w:t>.</w:t>
      </w:r>
    </w:p>
    <w:p>
      <w:pPr>
        <w:spacing w:before="1"/>
        <w:ind w:left="979" w:right="0" w:firstLine="0"/>
        <w:jc w:val="both"/>
        <w:rPr>
          <w:rFonts w:ascii="Calibri"/>
          <w:sz w:val="22"/>
        </w:rPr>
      </w:pPr>
      <w:bookmarkStart w:name="_bookmark312" w:id="313"/>
      <w:bookmarkEnd w:id="313"/>
      <w:r>
        <w:rPr/>
      </w:r>
      <w:r>
        <w:rPr>
          <w:rFonts w:ascii="Calibri"/>
          <w:sz w:val="22"/>
        </w:rPr>
        <w:t>Nabers,</w:t>
      </w:r>
      <w:r>
        <w:rPr>
          <w:rFonts w:ascii="Calibri"/>
          <w:spacing w:val="-8"/>
          <w:sz w:val="22"/>
        </w:rPr>
        <w:t> </w:t>
      </w:r>
      <w:r>
        <w:rPr>
          <w:rFonts w:ascii="Calibri"/>
          <w:sz w:val="22"/>
        </w:rPr>
        <w:t>M.</w:t>
      </w:r>
      <w:r>
        <w:rPr>
          <w:rFonts w:ascii="Calibri"/>
          <w:spacing w:val="-3"/>
          <w:sz w:val="22"/>
        </w:rPr>
        <w:t> </w:t>
      </w:r>
      <w:r>
        <w:rPr>
          <w:rFonts w:ascii="Calibri"/>
          <w:sz w:val="22"/>
        </w:rPr>
        <w:t>S.</w:t>
      </w:r>
      <w:r>
        <w:rPr>
          <w:rFonts w:ascii="Calibri"/>
          <w:spacing w:val="-2"/>
          <w:sz w:val="22"/>
        </w:rPr>
        <w:t> </w:t>
      </w:r>
      <w:r>
        <w:rPr>
          <w:rFonts w:ascii="Calibri"/>
          <w:sz w:val="22"/>
        </w:rPr>
        <w:t>(2012).</w:t>
      </w:r>
      <w:r>
        <w:rPr>
          <w:rFonts w:ascii="Calibri"/>
          <w:spacing w:val="-2"/>
          <w:sz w:val="22"/>
        </w:rPr>
        <w:t> </w:t>
      </w:r>
      <w:r>
        <w:rPr>
          <w:rFonts w:ascii="Calibri"/>
          <w:sz w:val="22"/>
        </w:rPr>
        <w:t>The</w:t>
      </w:r>
      <w:r>
        <w:rPr>
          <w:rFonts w:ascii="Calibri"/>
          <w:spacing w:val="-4"/>
          <w:sz w:val="22"/>
        </w:rPr>
        <w:t> </w:t>
      </w:r>
      <w:r>
        <w:rPr>
          <w:rFonts w:ascii="Calibri"/>
          <w:sz w:val="22"/>
        </w:rPr>
        <w:t>Privatization</w:t>
      </w:r>
      <w:r>
        <w:rPr>
          <w:rFonts w:ascii="Calibri"/>
          <w:spacing w:val="-4"/>
          <w:sz w:val="22"/>
        </w:rPr>
        <w:t> </w:t>
      </w:r>
      <w:r>
        <w:rPr>
          <w:rFonts w:ascii="Calibri"/>
          <w:sz w:val="22"/>
        </w:rPr>
        <w:t>of</w:t>
      </w:r>
      <w:r>
        <w:rPr>
          <w:rFonts w:ascii="Calibri"/>
          <w:spacing w:val="-4"/>
          <w:sz w:val="22"/>
        </w:rPr>
        <w:t> </w:t>
      </w:r>
      <w:r>
        <w:rPr>
          <w:rFonts w:ascii="Calibri"/>
          <w:sz w:val="22"/>
        </w:rPr>
        <w:t>Public</w:t>
      </w:r>
      <w:r>
        <w:rPr>
          <w:rFonts w:ascii="Calibri"/>
          <w:spacing w:val="-5"/>
          <w:sz w:val="22"/>
        </w:rPr>
        <w:t> </w:t>
      </w:r>
      <w:r>
        <w:rPr>
          <w:rFonts w:ascii="Calibri"/>
          <w:sz w:val="22"/>
        </w:rPr>
        <w:t>Services:</w:t>
      </w:r>
      <w:r>
        <w:rPr>
          <w:rFonts w:ascii="Calibri"/>
          <w:spacing w:val="-5"/>
          <w:sz w:val="22"/>
        </w:rPr>
        <w:t> </w:t>
      </w:r>
      <w:r>
        <w:rPr>
          <w:rFonts w:ascii="Calibri"/>
          <w:sz w:val="22"/>
        </w:rPr>
        <w:t>We</w:t>
      </w:r>
      <w:r>
        <w:rPr>
          <w:rFonts w:ascii="Calibri"/>
          <w:spacing w:val="-3"/>
          <w:sz w:val="22"/>
        </w:rPr>
        <w:t> </w:t>
      </w:r>
      <w:r>
        <w:rPr>
          <w:rFonts w:ascii="Calibri"/>
          <w:sz w:val="22"/>
        </w:rPr>
        <w:t>Have</w:t>
      </w:r>
      <w:r>
        <w:rPr>
          <w:rFonts w:ascii="Calibri"/>
          <w:spacing w:val="-4"/>
          <w:sz w:val="22"/>
        </w:rPr>
        <w:t> </w:t>
      </w:r>
      <w:r>
        <w:rPr>
          <w:rFonts w:ascii="Calibri"/>
          <w:sz w:val="22"/>
        </w:rPr>
        <w:t>to</w:t>
      </w:r>
      <w:r>
        <w:rPr>
          <w:rFonts w:ascii="Calibri"/>
          <w:spacing w:val="-5"/>
          <w:sz w:val="22"/>
        </w:rPr>
        <w:t> </w:t>
      </w:r>
      <w:r>
        <w:rPr>
          <w:rFonts w:ascii="Calibri"/>
          <w:sz w:val="22"/>
        </w:rPr>
        <w:t>Make</w:t>
      </w:r>
      <w:r>
        <w:rPr>
          <w:rFonts w:ascii="Calibri"/>
          <w:spacing w:val="-3"/>
          <w:sz w:val="22"/>
        </w:rPr>
        <w:t> </w:t>
      </w:r>
      <w:r>
        <w:rPr>
          <w:rFonts w:ascii="Calibri"/>
          <w:sz w:val="22"/>
        </w:rPr>
        <w:t>It</w:t>
      </w:r>
      <w:r>
        <w:rPr>
          <w:rFonts w:ascii="Calibri"/>
          <w:spacing w:val="-6"/>
          <w:sz w:val="22"/>
        </w:rPr>
        <w:t> </w:t>
      </w:r>
      <w:r>
        <w:rPr>
          <w:rFonts w:ascii="Calibri"/>
          <w:sz w:val="22"/>
        </w:rPr>
        <w:t>Work.</w:t>
      </w:r>
      <w:r>
        <w:rPr>
          <w:rFonts w:ascii="Calibri"/>
          <w:spacing w:val="-1"/>
          <w:sz w:val="22"/>
        </w:rPr>
        <w:t> </w:t>
      </w:r>
      <w:r>
        <w:rPr>
          <w:rFonts w:ascii="Calibri"/>
          <w:i/>
          <w:spacing w:val="-2"/>
          <w:sz w:val="22"/>
        </w:rPr>
        <w:t>Forbes</w:t>
      </w:r>
      <w:r>
        <w:rPr>
          <w:rFonts w:ascii="Calibri"/>
          <w:spacing w:val="-2"/>
          <w:sz w:val="22"/>
        </w:rPr>
        <w:t>.</w:t>
      </w:r>
    </w:p>
    <w:p>
      <w:pPr>
        <w:spacing w:line="235" w:lineRule="auto" w:before="4"/>
        <w:ind w:left="1700" w:right="1905" w:hanging="721"/>
        <w:jc w:val="both"/>
        <w:rPr>
          <w:rFonts w:ascii="Calibri" w:hAnsi="Calibri"/>
          <w:sz w:val="22"/>
        </w:rPr>
      </w:pPr>
      <w:bookmarkStart w:name="_bookmark313" w:id="314"/>
      <w:bookmarkEnd w:id="314"/>
      <w:r>
        <w:rPr/>
      </w:r>
      <w:r>
        <w:rPr>
          <w:rFonts w:ascii="Calibri" w:hAnsi="Calibri"/>
          <w:sz w:val="22"/>
        </w:rPr>
        <w:t>Napel,</w:t>
      </w:r>
      <w:r>
        <w:rPr>
          <w:rFonts w:ascii="Calibri" w:hAnsi="Calibri"/>
          <w:spacing w:val="-2"/>
          <w:sz w:val="22"/>
        </w:rPr>
        <w:t> </w:t>
      </w:r>
      <w:r>
        <w:rPr>
          <w:rFonts w:ascii="Calibri" w:hAnsi="Calibri"/>
          <w:sz w:val="22"/>
        </w:rPr>
        <w:t>S.,</w:t>
      </w:r>
      <w:r>
        <w:rPr>
          <w:rFonts w:ascii="Calibri" w:hAnsi="Calibri"/>
          <w:spacing w:val="-2"/>
          <w:sz w:val="22"/>
        </w:rPr>
        <w:t> </w:t>
      </w:r>
      <w:r>
        <w:rPr>
          <w:rFonts w:ascii="Calibri" w:hAnsi="Calibri"/>
          <w:sz w:val="22"/>
        </w:rPr>
        <w:t>&amp;</w:t>
      </w:r>
      <w:r>
        <w:rPr>
          <w:rFonts w:ascii="Calibri" w:hAnsi="Calibri"/>
          <w:spacing w:val="-1"/>
          <w:sz w:val="22"/>
        </w:rPr>
        <w:t> </w:t>
      </w:r>
      <w:r>
        <w:rPr>
          <w:rFonts w:ascii="Calibri" w:hAnsi="Calibri"/>
          <w:sz w:val="22"/>
        </w:rPr>
        <w:t>Widgrén,</w:t>
      </w:r>
      <w:r>
        <w:rPr>
          <w:rFonts w:ascii="Calibri" w:hAnsi="Calibri"/>
          <w:spacing w:val="-2"/>
          <w:sz w:val="22"/>
        </w:rPr>
        <w:t> </w:t>
      </w:r>
      <w:r>
        <w:rPr>
          <w:rFonts w:ascii="Calibri" w:hAnsi="Calibri"/>
          <w:sz w:val="22"/>
        </w:rPr>
        <w:t>M. (2008). The European Commission–Appointment,</w:t>
      </w:r>
      <w:r>
        <w:rPr>
          <w:rFonts w:ascii="Calibri" w:hAnsi="Calibri"/>
          <w:spacing w:val="-2"/>
          <w:sz w:val="22"/>
        </w:rPr>
        <w:t> </w:t>
      </w:r>
      <w:r>
        <w:rPr>
          <w:rFonts w:ascii="Calibri" w:hAnsi="Calibri"/>
          <w:sz w:val="22"/>
        </w:rPr>
        <w:t>preferences,</w:t>
      </w:r>
      <w:r>
        <w:rPr>
          <w:rFonts w:ascii="Calibri" w:hAnsi="Calibri"/>
          <w:spacing w:val="-2"/>
          <w:sz w:val="22"/>
        </w:rPr>
        <w:t> </w:t>
      </w:r>
      <w:r>
        <w:rPr>
          <w:rFonts w:ascii="Calibri" w:hAnsi="Calibri"/>
          <w:sz w:val="22"/>
        </w:rPr>
        <w:t>and institutional relations. </w:t>
      </w:r>
      <w:r>
        <w:rPr>
          <w:rFonts w:ascii="Calibri" w:hAnsi="Calibri"/>
          <w:i/>
          <w:sz w:val="22"/>
        </w:rPr>
        <w:t>Public Choice, 137</w:t>
      </w:r>
      <w:r>
        <w:rPr>
          <w:rFonts w:ascii="Calibri" w:hAnsi="Calibri"/>
          <w:sz w:val="22"/>
        </w:rPr>
        <w:t>(1-2), 21-41</w:t>
      </w:r>
    </w:p>
    <w:p>
      <w:pPr>
        <w:spacing w:after="0" w:line="235" w:lineRule="auto"/>
        <w:jc w:val="both"/>
        <w:rPr>
          <w:rFonts w:ascii="Calibri" w:hAns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1700" w:right="1909" w:hanging="721"/>
        <w:jc w:val="both"/>
        <w:rPr>
          <w:rFonts w:ascii="Calibri" w:hAnsi="Calibri"/>
          <w:sz w:val="22"/>
        </w:rPr>
      </w:pPr>
      <w:bookmarkStart w:name="_bookmark314" w:id="315"/>
      <w:bookmarkEnd w:id="315"/>
      <w:r>
        <w:rPr/>
      </w:r>
      <w:r>
        <w:rPr>
          <w:rFonts w:ascii="Calibri" w:hAnsi="Calibri"/>
          <w:sz w:val="22"/>
        </w:rPr>
        <w:t>Néron, P.-Y. (2010). Business and the Polis: What Does it Mean to See Corporations as Political Actors? </w:t>
      </w:r>
      <w:r>
        <w:rPr>
          <w:rFonts w:ascii="Calibri" w:hAnsi="Calibri"/>
          <w:i/>
          <w:sz w:val="22"/>
        </w:rPr>
        <w:t>Journal of Business Ethics, 94</w:t>
      </w:r>
      <w:r>
        <w:rPr>
          <w:rFonts w:ascii="Calibri" w:hAnsi="Calibri"/>
          <w:sz w:val="22"/>
        </w:rPr>
        <w:t>(3), 333-352. doi: 10.1007/s10551- </w:t>
      </w:r>
      <w:r>
        <w:rPr>
          <w:rFonts w:ascii="Calibri" w:hAnsi="Calibri"/>
          <w:spacing w:val="-2"/>
          <w:sz w:val="22"/>
        </w:rPr>
        <w:t>009-0266-y</w:t>
      </w:r>
    </w:p>
    <w:p>
      <w:pPr>
        <w:spacing w:before="2"/>
        <w:ind w:left="1700" w:right="1910" w:hanging="721"/>
        <w:jc w:val="both"/>
        <w:rPr>
          <w:rFonts w:ascii="Calibri"/>
          <w:sz w:val="22"/>
        </w:rPr>
      </w:pPr>
      <w:bookmarkStart w:name="_bookmark315" w:id="316"/>
      <w:bookmarkEnd w:id="316"/>
      <w:r>
        <w:rPr/>
      </w:r>
      <w:r>
        <w:rPr>
          <w:rFonts w:ascii="Calibri"/>
          <w:sz w:val="22"/>
        </w:rPr>
        <w:t>Newman,</w:t>
      </w:r>
      <w:r>
        <w:rPr>
          <w:rFonts w:ascii="Calibri"/>
          <w:spacing w:val="-2"/>
          <w:sz w:val="22"/>
        </w:rPr>
        <w:t> </w:t>
      </w:r>
      <w:r>
        <w:rPr>
          <w:rFonts w:ascii="Calibri"/>
          <w:sz w:val="22"/>
        </w:rPr>
        <w:t>B.</w:t>
      </w:r>
      <w:r>
        <w:rPr>
          <w:rFonts w:ascii="Calibri"/>
          <w:spacing w:val="-3"/>
          <w:sz w:val="22"/>
        </w:rPr>
        <w:t> </w:t>
      </w:r>
      <w:r>
        <w:rPr>
          <w:rFonts w:ascii="Calibri"/>
          <w:sz w:val="22"/>
        </w:rPr>
        <w:t>I. (1999). </w:t>
      </w:r>
      <w:r>
        <w:rPr>
          <w:rFonts w:ascii="Calibri"/>
          <w:i/>
          <w:sz w:val="22"/>
        </w:rPr>
        <w:t>The mass marketing of</w:t>
      </w:r>
      <w:r>
        <w:rPr>
          <w:rFonts w:ascii="Calibri"/>
          <w:i/>
          <w:spacing w:val="-4"/>
          <w:sz w:val="22"/>
        </w:rPr>
        <w:t> </w:t>
      </w:r>
      <w:r>
        <w:rPr>
          <w:rFonts w:ascii="Calibri"/>
          <w:i/>
          <w:sz w:val="22"/>
        </w:rPr>
        <w:t>politics :</w:t>
      </w:r>
      <w:r>
        <w:rPr>
          <w:rFonts w:ascii="Calibri"/>
          <w:i/>
          <w:spacing w:val="-6"/>
          <w:sz w:val="22"/>
        </w:rPr>
        <w:t> </w:t>
      </w:r>
      <w:r>
        <w:rPr>
          <w:rFonts w:ascii="Calibri"/>
          <w:i/>
          <w:sz w:val="22"/>
        </w:rPr>
        <w:t>democracy</w:t>
      </w:r>
      <w:r>
        <w:rPr>
          <w:rFonts w:ascii="Calibri"/>
          <w:i/>
          <w:spacing w:val="-2"/>
          <w:sz w:val="22"/>
        </w:rPr>
        <w:t> </w:t>
      </w:r>
      <w:r>
        <w:rPr>
          <w:rFonts w:ascii="Calibri"/>
          <w:i/>
          <w:sz w:val="22"/>
        </w:rPr>
        <w:t>in</w:t>
      </w:r>
      <w:r>
        <w:rPr>
          <w:rFonts w:ascii="Calibri"/>
          <w:i/>
          <w:spacing w:val="-3"/>
          <w:sz w:val="22"/>
        </w:rPr>
        <w:t> </w:t>
      </w:r>
      <w:r>
        <w:rPr>
          <w:rFonts w:ascii="Calibri"/>
          <w:i/>
          <w:sz w:val="22"/>
        </w:rPr>
        <w:t>an</w:t>
      </w:r>
      <w:r>
        <w:rPr>
          <w:rFonts w:ascii="Calibri"/>
          <w:i/>
          <w:spacing w:val="-3"/>
          <w:sz w:val="22"/>
        </w:rPr>
        <w:t> </w:t>
      </w:r>
      <w:r>
        <w:rPr>
          <w:rFonts w:ascii="Calibri"/>
          <w:i/>
          <w:sz w:val="22"/>
        </w:rPr>
        <w:t>age</w:t>
      </w:r>
      <w:r>
        <w:rPr>
          <w:rFonts w:ascii="Calibri"/>
          <w:i/>
          <w:spacing w:val="-4"/>
          <w:sz w:val="22"/>
        </w:rPr>
        <w:t> </w:t>
      </w:r>
      <w:r>
        <w:rPr>
          <w:rFonts w:ascii="Calibri"/>
          <w:i/>
          <w:sz w:val="22"/>
        </w:rPr>
        <w:t>of manufactured images</w:t>
      </w:r>
      <w:r>
        <w:rPr>
          <w:rFonts w:ascii="Calibri"/>
          <w:sz w:val="22"/>
        </w:rPr>
        <w:t>. Thousand Oaks: Sage Publications.</w:t>
      </w:r>
    </w:p>
    <w:p>
      <w:pPr>
        <w:spacing w:line="240" w:lineRule="auto" w:before="0"/>
        <w:ind w:left="1700" w:right="1902" w:hanging="721"/>
        <w:jc w:val="both"/>
        <w:rPr>
          <w:rFonts w:ascii="Calibri" w:hAnsi="Calibri"/>
          <w:sz w:val="22"/>
        </w:rPr>
      </w:pPr>
      <w:bookmarkStart w:name="_bookmark316" w:id="317"/>
      <w:bookmarkEnd w:id="317"/>
      <w:r>
        <w:rPr/>
      </w:r>
      <w:r>
        <w:rPr>
          <w:rFonts w:ascii="Calibri" w:hAnsi="Calibri"/>
          <w:sz w:val="22"/>
        </w:rPr>
        <w:t>Nicolaïdis, K. (2004). The new constitution as european 'demoi‐cracy'? </w:t>
      </w:r>
      <w:r>
        <w:rPr>
          <w:rFonts w:ascii="Calibri" w:hAnsi="Calibri"/>
          <w:i/>
          <w:sz w:val="22"/>
        </w:rPr>
        <w:t>Critical Review of International Social and Political Philosophy, 7</w:t>
      </w:r>
      <w:r>
        <w:rPr>
          <w:rFonts w:ascii="Calibri" w:hAnsi="Calibri"/>
          <w:sz w:val="22"/>
        </w:rPr>
        <w:t>(1), 76-93.</w:t>
      </w:r>
    </w:p>
    <w:p>
      <w:pPr>
        <w:spacing w:before="0"/>
        <w:ind w:left="1700" w:right="1909" w:hanging="721"/>
        <w:jc w:val="left"/>
        <w:rPr>
          <w:rFonts w:ascii="Calibri" w:hAnsi="Calibri"/>
          <w:sz w:val="22"/>
        </w:rPr>
      </w:pPr>
      <w:bookmarkStart w:name="_bookmark317" w:id="318"/>
      <w:bookmarkEnd w:id="318"/>
      <w:r>
        <w:rPr/>
      </w:r>
      <w:r>
        <w:rPr>
          <w:rFonts w:ascii="Calibri" w:hAnsi="Calibri"/>
          <w:sz w:val="22"/>
        </w:rPr>
        <w:t>Nicolaïdis, K. (2013). European Demoicracy and Its Crisis. </w:t>
      </w:r>
      <w:r>
        <w:rPr>
          <w:rFonts w:ascii="Calibri" w:hAnsi="Calibri"/>
          <w:i/>
          <w:sz w:val="22"/>
        </w:rPr>
        <w:t>JCMS: Journal of Common Market Studies, 51</w:t>
      </w:r>
      <w:r>
        <w:rPr>
          <w:rFonts w:ascii="Calibri" w:hAnsi="Calibri"/>
          <w:sz w:val="22"/>
        </w:rPr>
        <w:t>(2), 351-369. doi: 10.1111/jcms.12006</w:t>
      </w:r>
    </w:p>
    <w:p>
      <w:pPr>
        <w:spacing w:before="0"/>
        <w:ind w:left="1700" w:right="1909" w:hanging="721"/>
        <w:jc w:val="left"/>
        <w:rPr>
          <w:rFonts w:ascii="Calibri"/>
          <w:sz w:val="22"/>
        </w:rPr>
      </w:pPr>
      <w:bookmarkStart w:name="_bookmark318" w:id="319"/>
      <w:bookmarkEnd w:id="319"/>
      <w:r>
        <w:rPr/>
      </w:r>
      <w:r>
        <w:rPr>
          <w:rFonts w:ascii="Calibri"/>
          <w:sz w:val="22"/>
        </w:rPr>
        <w:t>Niemann,</w:t>
      </w:r>
      <w:r>
        <w:rPr>
          <w:rFonts w:ascii="Calibri"/>
          <w:spacing w:val="-2"/>
          <w:sz w:val="22"/>
        </w:rPr>
        <w:t> </w:t>
      </w:r>
      <w:r>
        <w:rPr>
          <w:rFonts w:ascii="Calibri"/>
          <w:sz w:val="22"/>
        </w:rPr>
        <w:t>A.,</w:t>
      </w:r>
      <w:r>
        <w:rPr>
          <w:rFonts w:ascii="Calibri"/>
          <w:spacing w:val="-2"/>
          <w:sz w:val="22"/>
        </w:rPr>
        <w:t> </w:t>
      </w:r>
      <w:r>
        <w:rPr>
          <w:rFonts w:ascii="Calibri"/>
          <w:sz w:val="22"/>
        </w:rPr>
        <w:t>&amp;</w:t>
      </w:r>
      <w:r>
        <w:rPr>
          <w:rFonts w:ascii="Calibri"/>
          <w:spacing w:val="-1"/>
          <w:sz w:val="22"/>
        </w:rPr>
        <w:t> </w:t>
      </w:r>
      <w:r>
        <w:rPr>
          <w:rFonts w:ascii="Calibri"/>
          <w:sz w:val="22"/>
        </w:rPr>
        <w:t>Schmitter,</w:t>
      </w:r>
      <w:r>
        <w:rPr>
          <w:rFonts w:ascii="Calibri"/>
          <w:spacing w:val="-2"/>
          <w:sz w:val="22"/>
        </w:rPr>
        <w:t> </w:t>
      </w:r>
      <w:r>
        <w:rPr>
          <w:rFonts w:ascii="Calibri"/>
          <w:sz w:val="22"/>
        </w:rPr>
        <w:t>P. (2009). Neofunctionalism </w:t>
      </w:r>
      <w:r>
        <w:rPr>
          <w:rFonts w:ascii="Calibri"/>
          <w:i/>
          <w:sz w:val="22"/>
        </w:rPr>
        <w:t>European Integration Theory </w:t>
      </w:r>
      <w:r>
        <w:rPr>
          <w:rFonts w:ascii="Calibri"/>
          <w:sz w:val="22"/>
        </w:rPr>
        <w:t>(pp. 46- 66). Oxford University Press: New York.</w:t>
      </w:r>
    </w:p>
    <w:p>
      <w:pPr>
        <w:spacing w:before="0"/>
        <w:ind w:left="979" w:right="0" w:firstLine="0"/>
        <w:jc w:val="left"/>
        <w:rPr>
          <w:rFonts w:ascii="Calibri"/>
          <w:sz w:val="22"/>
        </w:rPr>
      </w:pPr>
      <w:bookmarkStart w:name="_bookmark319" w:id="320"/>
      <w:bookmarkEnd w:id="320"/>
      <w:r>
        <w:rPr/>
      </w:r>
      <w:r>
        <w:rPr>
          <w:rFonts w:ascii="Calibri"/>
          <w:sz w:val="22"/>
        </w:rPr>
        <w:t>Nye,</w:t>
      </w:r>
      <w:r>
        <w:rPr>
          <w:rFonts w:ascii="Calibri"/>
          <w:spacing w:val="-10"/>
          <w:sz w:val="22"/>
        </w:rPr>
        <w:t> </w:t>
      </w:r>
      <w:r>
        <w:rPr>
          <w:rFonts w:ascii="Calibri"/>
          <w:sz w:val="22"/>
        </w:rPr>
        <w:t>J.</w:t>
      </w:r>
      <w:r>
        <w:rPr>
          <w:rFonts w:ascii="Calibri"/>
          <w:spacing w:val="-4"/>
          <w:sz w:val="22"/>
        </w:rPr>
        <w:t> </w:t>
      </w:r>
      <w:r>
        <w:rPr>
          <w:rFonts w:ascii="Calibri"/>
          <w:sz w:val="22"/>
        </w:rPr>
        <w:t>S.</w:t>
      </w:r>
      <w:r>
        <w:rPr>
          <w:rFonts w:ascii="Calibri"/>
          <w:spacing w:val="-5"/>
          <w:sz w:val="22"/>
        </w:rPr>
        <w:t> </w:t>
      </w:r>
      <w:r>
        <w:rPr>
          <w:rFonts w:ascii="Calibri"/>
          <w:sz w:val="22"/>
        </w:rPr>
        <w:t>(1990).</w:t>
      </w:r>
      <w:r>
        <w:rPr>
          <w:rFonts w:ascii="Calibri"/>
          <w:spacing w:val="-3"/>
          <w:sz w:val="22"/>
        </w:rPr>
        <w:t> </w:t>
      </w:r>
      <w:r>
        <w:rPr>
          <w:rFonts w:ascii="Calibri"/>
          <w:sz w:val="22"/>
        </w:rPr>
        <w:t>Soft</w:t>
      </w:r>
      <w:r>
        <w:rPr>
          <w:rFonts w:ascii="Calibri"/>
          <w:spacing w:val="-8"/>
          <w:sz w:val="22"/>
        </w:rPr>
        <w:t> </w:t>
      </w:r>
      <w:r>
        <w:rPr>
          <w:rFonts w:ascii="Calibri"/>
          <w:sz w:val="22"/>
        </w:rPr>
        <w:t>Power.</w:t>
      </w:r>
      <w:r>
        <w:rPr>
          <w:rFonts w:ascii="Calibri"/>
          <w:spacing w:val="-1"/>
          <w:sz w:val="22"/>
        </w:rPr>
        <w:t> </w:t>
      </w:r>
      <w:r>
        <w:rPr>
          <w:rFonts w:ascii="Calibri"/>
          <w:i/>
          <w:sz w:val="22"/>
        </w:rPr>
        <w:t>Foreign</w:t>
      </w:r>
      <w:r>
        <w:rPr>
          <w:rFonts w:ascii="Calibri"/>
          <w:i/>
          <w:spacing w:val="-5"/>
          <w:sz w:val="22"/>
        </w:rPr>
        <w:t> </w:t>
      </w:r>
      <w:r>
        <w:rPr>
          <w:rFonts w:ascii="Calibri"/>
          <w:i/>
          <w:sz w:val="22"/>
        </w:rPr>
        <w:t>Policy</w:t>
      </w:r>
      <w:r>
        <w:rPr>
          <w:rFonts w:ascii="Calibri"/>
          <w:sz w:val="22"/>
        </w:rPr>
        <w:t>(80),</w:t>
      </w:r>
      <w:r>
        <w:rPr>
          <w:rFonts w:ascii="Calibri"/>
          <w:spacing w:val="-7"/>
          <w:sz w:val="22"/>
        </w:rPr>
        <w:t> </w:t>
      </w:r>
      <w:r>
        <w:rPr>
          <w:rFonts w:ascii="Calibri"/>
          <w:sz w:val="22"/>
        </w:rPr>
        <w:t>153-171.</w:t>
      </w:r>
      <w:r>
        <w:rPr>
          <w:rFonts w:ascii="Calibri"/>
          <w:spacing w:val="-4"/>
          <w:sz w:val="22"/>
        </w:rPr>
        <w:t> </w:t>
      </w:r>
      <w:r>
        <w:rPr>
          <w:rFonts w:ascii="Calibri"/>
          <w:sz w:val="22"/>
        </w:rPr>
        <w:t>doi:</w:t>
      </w:r>
      <w:r>
        <w:rPr>
          <w:rFonts w:ascii="Calibri"/>
          <w:spacing w:val="-7"/>
          <w:sz w:val="22"/>
        </w:rPr>
        <w:t> </w:t>
      </w:r>
      <w:r>
        <w:rPr>
          <w:rFonts w:ascii="Calibri"/>
          <w:spacing w:val="-2"/>
          <w:sz w:val="22"/>
        </w:rPr>
        <w:t>10.2307/1148580</w:t>
      </w:r>
    </w:p>
    <w:p>
      <w:pPr>
        <w:spacing w:before="0"/>
        <w:ind w:left="1700" w:right="1909" w:hanging="721"/>
        <w:jc w:val="left"/>
        <w:rPr>
          <w:rFonts w:ascii="Calibri"/>
          <w:sz w:val="22"/>
        </w:rPr>
      </w:pPr>
      <w:bookmarkStart w:name="_bookmark320" w:id="321"/>
      <w:bookmarkEnd w:id="321"/>
      <w:r>
        <w:rPr/>
      </w:r>
      <w:r>
        <w:rPr>
          <w:rFonts w:ascii="Calibri"/>
          <w:sz w:val="22"/>
        </w:rPr>
        <w:t>O'Leary,</w:t>
      </w:r>
      <w:r>
        <w:rPr>
          <w:rFonts w:ascii="Calibri"/>
          <w:spacing w:val="-3"/>
          <w:sz w:val="22"/>
        </w:rPr>
        <w:t> </w:t>
      </w:r>
      <w:r>
        <w:rPr>
          <w:rFonts w:ascii="Calibri"/>
          <w:sz w:val="22"/>
        </w:rPr>
        <w:t>J. (1978). </w:t>
      </w:r>
      <w:r>
        <w:rPr>
          <w:rFonts w:ascii="Calibri"/>
          <w:i/>
          <w:sz w:val="22"/>
        </w:rPr>
        <w:t>Systems Theory</w:t>
      </w:r>
      <w:r>
        <w:rPr>
          <w:rFonts w:ascii="Calibri"/>
          <w:i/>
          <w:spacing w:val="-3"/>
          <w:sz w:val="22"/>
        </w:rPr>
        <w:t> </w:t>
      </w:r>
      <w:r>
        <w:rPr>
          <w:rFonts w:ascii="Calibri"/>
          <w:i/>
          <w:sz w:val="22"/>
        </w:rPr>
        <w:t>and Regional Integration</w:t>
      </w:r>
      <w:r>
        <w:rPr>
          <w:rFonts w:ascii="Calibri"/>
          <w:sz w:val="22"/>
        </w:rPr>
        <w:t>. Washington:</w:t>
      </w:r>
      <w:r>
        <w:rPr>
          <w:rFonts w:ascii="Calibri"/>
          <w:spacing w:val="-2"/>
          <w:sz w:val="22"/>
        </w:rPr>
        <w:t> </w:t>
      </w:r>
      <w:r>
        <w:rPr>
          <w:rFonts w:ascii="Calibri"/>
          <w:sz w:val="22"/>
        </w:rPr>
        <w:t>University</w:t>
      </w:r>
      <w:r>
        <w:rPr>
          <w:rFonts w:ascii="Calibri"/>
          <w:spacing w:val="-5"/>
          <w:sz w:val="22"/>
        </w:rPr>
        <w:t> </w:t>
      </w:r>
      <w:r>
        <w:rPr>
          <w:rFonts w:ascii="Calibri"/>
          <w:sz w:val="22"/>
        </w:rPr>
        <w:t>Press of </w:t>
      </w:r>
      <w:r>
        <w:rPr>
          <w:rFonts w:ascii="Calibri"/>
          <w:spacing w:val="-2"/>
          <w:sz w:val="22"/>
        </w:rPr>
        <w:t>America.</w:t>
      </w:r>
    </w:p>
    <w:p>
      <w:pPr>
        <w:spacing w:before="0"/>
        <w:ind w:left="979" w:right="0" w:firstLine="0"/>
        <w:jc w:val="left"/>
        <w:rPr>
          <w:rFonts w:ascii="Calibri"/>
          <w:sz w:val="22"/>
        </w:rPr>
      </w:pPr>
      <w:bookmarkStart w:name="_bookmark321" w:id="322"/>
      <w:bookmarkEnd w:id="322"/>
      <w:r>
        <w:rPr/>
      </w:r>
      <w:r>
        <w:rPr>
          <w:rFonts w:ascii="Calibri"/>
          <w:sz w:val="22"/>
        </w:rPr>
        <w:t>Oliver,</w:t>
      </w:r>
      <w:r>
        <w:rPr>
          <w:rFonts w:ascii="Calibri"/>
          <w:spacing w:val="-8"/>
          <w:sz w:val="22"/>
        </w:rPr>
        <w:t> </w:t>
      </w:r>
      <w:r>
        <w:rPr>
          <w:rFonts w:ascii="Calibri"/>
          <w:sz w:val="22"/>
        </w:rPr>
        <w:t>R.</w:t>
      </w:r>
      <w:r>
        <w:rPr>
          <w:rFonts w:ascii="Calibri"/>
          <w:spacing w:val="-4"/>
          <w:sz w:val="22"/>
        </w:rPr>
        <w:t> </w:t>
      </w:r>
      <w:r>
        <w:rPr>
          <w:rFonts w:ascii="Calibri"/>
          <w:sz w:val="22"/>
        </w:rPr>
        <w:t>W.</w:t>
      </w:r>
      <w:r>
        <w:rPr>
          <w:rFonts w:ascii="Calibri"/>
          <w:spacing w:val="-4"/>
          <w:sz w:val="22"/>
        </w:rPr>
        <w:t> </w:t>
      </w:r>
      <w:r>
        <w:rPr>
          <w:rFonts w:ascii="Calibri"/>
          <w:sz w:val="22"/>
        </w:rPr>
        <w:t>(2004).</w:t>
      </w:r>
      <w:r>
        <w:rPr>
          <w:rFonts w:ascii="Calibri"/>
          <w:spacing w:val="-1"/>
          <w:sz w:val="22"/>
        </w:rPr>
        <w:t> </w:t>
      </w:r>
      <w:r>
        <w:rPr>
          <w:rFonts w:ascii="Calibri"/>
          <w:i/>
          <w:sz w:val="22"/>
        </w:rPr>
        <w:t>What</w:t>
      </w:r>
      <w:r>
        <w:rPr>
          <w:rFonts w:ascii="Calibri"/>
          <w:i/>
          <w:spacing w:val="-7"/>
          <w:sz w:val="22"/>
        </w:rPr>
        <w:t> </w:t>
      </w:r>
      <w:r>
        <w:rPr>
          <w:rFonts w:ascii="Calibri"/>
          <w:i/>
          <w:sz w:val="22"/>
        </w:rPr>
        <w:t>is</w:t>
      </w:r>
      <w:r>
        <w:rPr>
          <w:rFonts w:ascii="Calibri"/>
          <w:i/>
          <w:spacing w:val="-6"/>
          <w:sz w:val="22"/>
        </w:rPr>
        <w:t> </w:t>
      </w:r>
      <w:r>
        <w:rPr>
          <w:rFonts w:ascii="Calibri"/>
          <w:i/>
          <w:sz w:val="22"/>
        </w:rPr>
        <w:t>transparency?</w:t>
      </w:r>
      <w:r>
        <w:rPr>
          <w:rFonts w:ascii="Calibri"/>
          <w:i/>
          <w:spacing w:val="-5"/>
          <w:sz w:val="22"/>
        </w:rPr>
        <w:t> </w:t>
      </w:r>
      <w:r>
        <w:rPr>
          <w:rFonts w:ascii="Calibri"/>
          <w:sz w:val="22"/>
        </w:rPr>
        <w:t>(1st</w:t>
      </w:r>
      <w:r>
        <w:rPr>
          <w:rFonts w:ascii="Calibri"/>
          <w:spacing w:val="-7"/>
          <w:sz w:val="22"/>
        </w:rPr>
        <w:t> </w:t>
      </w:r>
      <w:r>
        <w:rPr>
          <w:rFonts w:ascii="Calibri"/>
          <w:sz w:val="22"/>
        </w:rPr>
        <w:t>ed.).</w:t>
      </w:r>
      <w:r>
        <w:rPr>
          <w:rFonts w:ascii="Calibri"/>
          <w:spacing w:val="-4"/>
          <w:sz w:val="22"/>
        </w:rPr>
        <w:t> </w:t>
      </w:r>
      <w:r>
        <w:rPr>
          <w:rFonts w:ascii="Calibri"/>
          <w:sz w:val="22"/>
        </w:rPr>
        <w:t>New</w:t>
      </w:r>
      <w:r>
        <w:rPr>
          <w:rFonts w:ascii="Calibri"/>
          <w:spacing w:val="-5"/>
          <w:sz w:val="22"/>
        </w:rPr>
        <w:t> </w:t>
      </w:r>
      <w:r>
        <w:rPr>
          <w:rFonts w:ascii="Calibri"/>
          <w:sz w:val="22"/>
        </w:rPr>
        <w:t>York:</w:t>
      </w:r>
      <w:r>
        <w:rPr>
          <w:rFonts w:ascii="Calibri"/>
          <w:spacing w:val="-7"/>
          <w:sz w:val="22"/>
        </w:rPr>
        <w:t> </w:t>
      </w:r>
      <w:r>
        <w:rPr>
          <w:rFonts w:ascii="Calibri"/>
          <w:sz w:val="22"/>
        </w:rPr>
        <w:t>McGraw-</w:t>
      </w:r>
      <w:r>
        <w:rPr>
          <w:rFonts w:ascii="Calibri"/>
          <w:spacing w:val="-2"/>
          <w:sz w:val="22"/>
        </w:rPr>
        <w:t>Hill.</w:t>
      </w:r>
    </w:p>
    <w:p>
      <w:pPr>
        <w:spacing w:before="0"/>
        <w:ind w:left="1700" w:right="1909" w:hanging="721"/>
        <w:jc w:val="left"/>
        <w:rPr>
          <w:rFonts w:ascii="Calibri"/>
          <w:sz w:val="22"/>
        </w:rPr>
      </w:pPr>
      <w:bookmarkStart w:name="_bookmark322" w:id="323"/>
      <w:bookmarkEnd w:id="323"/>
      <w:r>
        <w:rPr/>
      </w:r>
      <w:r>
        <w:rPr>
          <w:rFonts w:ascii="Calibri"/>
          <w:sz w:val="22"/>
        </w:rPr>
        <w:t>Olson, B., Kessler, D., Bruno, A., &amp; Magidson,</w:t>
      </w:r>
      <w:r>
        <w:rPr>
          <w:rFonts w:ascii="Calibri"/>
          <w:spacing w:val="23"/>
          <w:sz w:val="22"/>
        </w:rPr>
        <w:t> </w:t>
      </w:r>
      <w:r>
        <w:rPr>
          <w:rFonts w:ascii="Calibri"/>
          <w:sz w:val="22"/>
        </w:rPr>
        <w:t>D. (2014). Disrupt Denial. USA: Forecast the</w:t>
      </w:r>
      <w:r>
        <w:rPr>
          <w:rFonts w:ascii="Calibri"/>
          <w:spacing w:val="80"/>
          <w:sz w:val="22"/>
        </w:rPr>
        <w:t> </w:t>
      </w:r>
      <w:r>
        <w:rPr>
          <w:rFonts w:ascii="Calibri"/>
          <w:sz w:val="22"/>
        </w:rPr>
        <w:t>Facts Action.</w:t>
      </w:r>
    </w:p>
    <w:p>
      <w:pPr>
        <w:spacing w:before="0"/>
        <w:ind w:left="1700" w:right="1909" w:hanging="721"/>
        <w:jc w:val="left"/>
        <w:rPr>
          <w:rFonts w:ascii="Calibri"/>
          <w:sz w:val="22"/>
        </w:rPr>
      </w:pPr>
      <w:bookmarkStart w:name="_bookmark323" w:id="324"/>
      <w:bookmarkEnd w:id="324"/>
      <w:r>
        <w:rPr/>
      </w:r>
      <w:r>
        <w:rPr>
          <w:rFonts w:ascii="Calibri"/>
          <w:sz w:val="22"/>
        </w:rPr>
        <w:t>Onuf, N.</w:t>
      </w:r>
      <w:r>
        <w:rPr>
          <w:rFonts w:ascii="Calibri"/>
          <w:spacing w:val="20"/>
          <w:sz w:val="22"/>
        </w:rPr>
        <w:t> </w:t>
      </w:r>
      <w:r>
        <w:rPr>
          <w:rFonts w:ascii="Calibri"/>
          <w:sz w:val="22"/>
        </w:rPr>
        <w:t>G.</w:t>
      </w:r>
      <w:r>
        <w:rPr>
          <w:rFonts w:ascii="Calibri"/>
          <w:spacing w:val="20"/>
          <w:sz w:val="22"/>
        </w:rPr>
        <w:t> </w:t>
      </w:r>
      <w:r>
        <w:rPr>
          <w:rFonts w:ascii="Calibri"/>
          <w:sz w:val="22"/>
        </w:rPr>
        <w:t>(1989).</w:t>
      </w:r>
      <w:r>
        <w:rPr>
          <w:rFonts w:ascii="Calibri"/>
          <w:spacing w:val="23"/>
          <w:sz w:val="22"/>
        </w:rPr>
        <w:t> </w:t>
      </w:r>
      <w:r>
        <w:rPr>
          <w:rFonts w:ascii="Calibri"/>
          <w:i/>
          <w:sz w:val="22"/>
        </w:rPr>
        <w:t>World of our making</w:t>
      </w:r>
      <w:r>
        <w:rPr>
          <w:rFonts w:ascii="Calibri"/>
          <w:i/>
          <w:spacing w:val="20"/>
          <w:sz w:val="22"/>
        </w:rPr>
        <w:t> </w:t>
      </w:r>
      <w:r>
        <w:rPr>
          <w:rFonts w:ascii="Calibri"/>
          <w:i/>
          <w:sz w:val="22"/>
        </w:rPr>
        <w:t>: rules and rule in social theory and</w:t>
      </w:r>
      <w:r>
        <w:rPr>
          <w:rFonts w:ascii="Calibri"/>
          <w:i/>
          <w:spacing w:val="20"/>
          <w:sz w:val="22"/>
        </w:rPr>
        <w:t> </w:t>
      </w:r>
      <w:r>
        <w:rPr>
          <w:rFonts w:ascii="Calibri"/>
          <w:i/>
          <w:sz w:val="22"/>
        </w:rPr>
        <w:t>international relations</w:t>
      </w:r>
      <w:r>
        <w:rPr>
          <w:rFonts w:ascii="Calibri"/>
          <w:sz w:val="22"/>
        </w:rPr>
        <w:t>. Columbia, S.C.: University of South Carolina Press.</w:t>
      </w:r>
    </w:p>
    <w:p>
      <w:pPr>
        <w:spacing w:before="0"/>
        <w:ind w:left="1700" w:right="1909" w:hanging="721"/>
        <w:jc w:val="left"/>
        <w:rPr>
          <w:rFonts w:ascii="Calibri"/>
          <w:sz w:val="22"/>
        </w:rPr>
      </w:pPr>
      <w:bookmarkStart w:name="_bookmark324" w:id="325"/>
      <w:bookmarkEnd w:id="325"/>
      <w:r>
        <w:rPr/>
      </w:r>
      <w:r>
        <w:rPr>
          <w:rFonts w:ascii="Calibri"/>
          <w:sz w:val="22"/>
        </w:rPr>
        <w:t>Onuf,</w:t>
      </w:r>
      <w:r>
        <w:rPr>
          <w:rFonts w:ascii="Calibri"/>
          <w:spacing w:val="40"/>
          <w:sz w:val="22"/>
        </w:rPr>
        <w:t> </w:t>
      </w:r>
      <w:r>
        <w:rPr>
          <w:rFonts w:ascii="Calibri"/>
          <w:sz w:val="22"/>
        </w:rPr>
        <w:t>N.</w:t>
      </w:r>
      <w:r>
        <w:rPr>
          <w:rFonts w:ascii="Calibri"/>
          <w:spacing w:val="40"/>
          <w:sz w:val="22"/>
        </w:rPr>
        <w:t> </w:t>
      </w:r>
      <w:r>
        <w:rPr>
          <w:rFonts w:ascii="Calibri"/>
          <w:sz w:val="22"/>
        </w:rPr>
        <w:t>G.</w:t>
      </w:r>
      <w:r>
        <w:rPr>
          <w:rFonts w:ascii="Calibri"/>
          <w:spacing w:val="40"/>
          <w:sz w:val="22"/>
        </w:rPr>
        <w:t> </w:t>
      </w:r>
      <w:r>
        <w:rPr>
          <w:rFonts w:ascii="Calibri"/>
          <w:sz w:val="22"/>
        </w:rPr>
        <w:t>(2012).</w:t>
      </w:r>
      <w:r>
        <w:rPr>
          <w:rFonts w:ascii="Calibri"/>
          <w:spacing w:val="40"/>
          <w:sz w:val="22"/>
        </w:rPr>
        <w:t> </w:t>
      </w:r>
      <w:r>
        <w:rPr>
          <w:rFonts w:ascii="Calibri"/>
          <w:i/>
          <w:sz w:val="22"/>
        </w:rPr>
        <w:t>Making</w:t>
      </w:r>
      <w:r>
        <w:rPr>
          <w:rFonts w:ascii="Calibri"/>
          <w:i/>
          <w:spacing w:val="40"/>
          <w:sz w:val="22"/>
        </w:rPr>
        <w:t> </w:t>
      </w:r>
      <w:r>
        <w:rPr>
          <w:rFonts w:ascii="Calibri"/>
          <w:i/>
          <w:sz w:val="22"/>
        </w:rPr>
        <w:t>sense,</w:t>
      </w:r>
      <w:r>
        <w:rPr>
          <w:rFonts w:ascii="Calibri"/>
          <w:i/>
          <w:spacing w:val="40"/>
          <w:sz w:val="22"/>
        </w:rPr>
        <w:t> </w:t>
      </w:r>
      <w:r>
        <w:rPr>
          <w:rFonts w:ascii="Calibri"/>
          <w:i/>
          <w:sz w:val="22"/>
        </w:rPr>
        <w:t>making</w:t>
      </w:r>
      <w:r>
        <w:rPr>
          <w:rFonts w:ascii="Calibri"/>
          <w:i/>
          <w:spacing w:val="40"/>
          <w:sz w:val="22"/>
        </w:rPr>
        <w:t> </w:t>
      </w:r>
      <w:r>
        <w:rPr>
          <w:rFonts w:ascii="Calibri"/>
          <w:i/>
          <w:sz w:val="22"/>
        </w:rPr>
        <w:t>worlds</w:t>
      </w:r>
      <w:r>
        <w:rPr>
          <w:rFonts w:ascii="Calibri"/>
          <w:i/>
          <w:spacing w:val="40"/>
          <w:sz w:val="22"/>
        </w:rPr>
        <w:t> </w:t>
      </w:r>
      <w:r>
        <w:rPr>
          <w:rFonts w:ascii="Calibri"/>
          <w:i/>
          <w:sz w:val="22"/>
        </w:rPr>
        <w:t>:</w:t>
      </w:r>
      <w:r>
        <w:rPr>
          <w:rFonts w:ascii="Calibri"/>
          <w:i/>
          <w:spacing w:val="40"/>
          <w:sz w:val="22"/>
        </w:rPr>
        <w:t> </w:t>
      </w:r>
      <w:r>
        <w:rPr>
          <w:rFonts w:ascii="Calibri"/>
          <w:i/>
          <w:sz w:val="22"/>
        </w:rPr>
        <w:t>constructivism</w:t>
      </w:r>
      <w:r>
        <w:rPr>
          <w:rFonts w:ascii="Calibri"/>
          <w:i/>
          <w:spacing w:val="40"/>
          <w:sz w:val="22"/>
        </w:rPr>
        <w:t> </w:t>
      </w:r>
      <w:r>
        <w:rPr>
          <w:rFonts w:ascii="Calibri"/>
          <w:i/>
          <w:sz w:val="22"/>
        </w:rPr>
        <w:t>in</w:t>
      </w:r>
      <w:r>
        <w:rPr>
          <w:rFonts w:ascii="Calibri"/>
          <w:i/>
          <w:spacing w:val="40"/>
          <w:sz w:val="22"/>
        </w:rPr>
        <w:t> </w:t>
      </w:r>
      <w:r>
        <w:rPr>
          <w:rFonts w:ascii="Calibri"/>
          <w:i/>
          <w:sz w:val="22"/>
        </w:rPr>
        <w:t>social</w:t>
      </w:r>
      <w:r>
        <w:rPr>
          <w:rFonts w:ascii="Calibri"/>
          <w:i/>
          <w:spacing w:val="40"/>
          <w:sz w:val="22"/>
        </w:rPr>
        <w:t> </w:t>
      </w:r>
      <w:r>
        <w:rPr>
          <w:rFonts w:ascii="Calibri"/>
          <w:i/>
          <w:sz w:val="22"/>
        </w:rPr>
        <w:t>theory</w:t>
      </w:r>
      <w:r>
        <w:rPr>
          <w:rFonts w:ascii="Calibri"/>
          <w:i/>
          <w:spacing w:val="40"/>
          <w:sz w:val="22"/>
        </w:rPr>
        <w:t> </w:t>
      </w:r>
      <w:r>
        <w:rPr>
          <w:rFonts w:ascii="Calibri"/>
          <w:i/>
          <w:sz w:val="22"/>
        </w:rPr>
        <w:t>and international relations</w:t>
      </w:r>
      <w:r>
        <w:rPr>
          <w:rFonts w:ascii="Calibri"/>
          <w:sz w:val="22"/>
        </w:rPr>
        <w:t>. London ; New York: Routledge.</w:t>
      </w:r>
    </w:p>
    <w:p>
      <w:pPr>
        <w:spacing w:before="0"/>
        <w:ind w:left="1700" w:right="1909" w:hanging="721"/>
        <w:jc w:val="left"/>
        <w:rPr>
          <w:rFonts w:ascii="Calibri" w:hAnsi="Calibri"/>
          <w:sz w:val="22"/>
        </w:rPr>
      </w:pPr>
      <w:bookmarkStart w:name="_bookmark325" w:id="326"/>
      <w:bookmarkEnd w:id="326"/>
      <w:r>
        <w:rPr/>
      </w:r>
      <w:r>
        <w:rPr>
          <w:rFonts w:ascii="Calibri" w:hAnsi="Calibri"/>
          <w:sz w:val="22"/>
        </w:rPr>
        <w:t>Onuf,</w:t>
      </w:r>
      <w:r>
        <w:rPr>
          <w:rFonts w:ascii="Calibri" w:hAnsi="Calibri"/>
          <w:spacing w:val="23"/>
          <w:sz w:val="22"/>
        </w:rPr>
        <w:t> </w:t>
      </w:r>
      <w:r>
        <w:rPr>
          <w:rFonts w:ascii="Calibri" w:hAnsi="Calibri"/>
          <w:sz w:val="22"/>
        </w:rPr>
        <w:t>N.</w:t>
      </w:r>
      <w:r>
        <w:rPr>
          <w:rFonts w:ascii="Calibri" w:hAnsi="Calibri"/>
          <w:spacing w:val="26"/>
          <w:sz w:val="22"/>
        </w:rPr>
        <w:t> </w:t>
      </w:r>
      <w:r>
        <w:rPr>
          <w:rFonts w:ascii="Calibri" w:hAnsi="Calibri"/>
          <w:sz w:val="22"/>
        </w:rPr>
        <w:t>G.</w:t>
      </w:r>
      <w:r>
        <w:rPr>
          <w:rFonts w:ascii="Calibri" w:hAnsi="Calibri"/>
          <w:spacing w:val="26"/>
          <w:sz w:val="22"/>
        </w:rPr>
        <w:t> </w:t>
      </w:r>
      <w:r>
        <w:rPr>
          <w:rFonts w:ascii="Calibri" w:hAnsi="Calibri"/>
          <w:sz w:val="22"/>
        </w:rPr>
        <w:t>(2014).</w:t>
      </w:r>
      <w:r>
        <w:rPr>
          <w:rFonts w:ascii="Calibri" w:hAnsi="Calibri"/>
          <w:spacing w:val="29"/>
          <w:sz w:val="22"/>
        </w:rPr>
        <w:t> </w:t>
      </w:r>
      <w:r>
        <w:rPr>
          <w:rFonts w:ascii="Calibri" w:hAnsi="Calibri"/>
          <w:i/>
          <w:sz w:val="22"/>
        </w:rPr>
        <w:t>Rule</w:t>
      </w:r>
      <w:r>
        <w:rPr>
          <w:rFonts w:ascii="Calibri" w:hAnsi="Calibri"/>
          <w:i/>
          <w:spacing w:val="25"/>
          <w:sz w:val="22"/>
        </w:rPr>
        <w:t> </w:t>
      </w:r>
      <w:r>
        <w:rPr>
          <w:rFonts w:ascii="Calibri" w:hAnsi="Calibri"/>
          <w:i/>
          <w:sz w:val="22"/>
        </w:rPr>
        <w:t>and</w:t>
      </w:r>
      <w:r>
        <w:rPr>
          <w:rFonts w:ascii="Calibri" w:hAnsi="Calibri"/>
          <w:i/>
          <w:spacing w:val="26"/>
          <w:sz w:val="22"/>
        </w:rPr>
        <w:t> </w:t>
      </w:r>
      <w:r>
        <w:rPr>
          <w:rFonts w:ascii="Calibri" w:hAnsi="Calibri"/>
          <w:i/>
          <w:sz w:val="22"/>
        </w:rPr>
        <w:t>Rules</w:t>
      </w:r>
      <w:r>
        <w:rPr>
          <w:rFonts w:ascii="Calibri" w:hAnsi="Calibri"/>
          <w:i/>
          <w:spacing w:val="21"/>
          <w:sz w:val="22"/>
        </w:rPr>
        <w:t> </w:t>
      </w:r>
      <w:r>
        <w:rPr>
          <w:rFonts w:ascii="Calibri" w:hAnsi="Calibri"/>
          <w:i/>
          <w:sz w:val="22"/>
        </w:rPr>
        <w:t>in</w:t>
      </w:r>
      <w:r>
        <w:rPr>
          <w:rFonts w:ascii="Calibri" w:hAnsi="Calibri"/>
          <w:i/>
          <w:spacing w:val="26"/>
          <w:sz w:val="22"/>
        </w:rPr>
        <w:t> </w:t>
      </w:r>
      <w:r>
        <w:rPr>
          <w:rFonts w:ascii="Calibri" w:hAnsi="Calibri"/>
          <w:i/>
          <w:sz w:val="22"/>
        </w:rPr>
        <w:t>International</w:t>
      </w:r>
      <w:r>
        <w:rPr>
          <w:rFonts w:ascii="Calibri" w:hAnsi="Calibri"/>
          <w:i/>
          <w:spacing w:val="27"/>
          <w:sz w:val="22"/>
        </w:rPr>
        <w:t> </w:t>
      </w:r>
      <w:r>
        <w:rPr>
          <w:rFonts w:ascii="Calibri" w:hAnsi="Calibri"/>
          <w:i/>
          <w:sz w:val="22"/>
        </w:rPr>
        <w:t>Relations</w:t>
      </w:r>
      <w:r>
        <w:rPr>
          <w:rFonts w:ascii="Calibri" w:hAnsi="Calibri"/>
          <w:sz w:val="22"/>
        </w:rPr>
        <w:t>.</w:t>
      </w:r>
      <w:r>
        <w:rPr>
          <w:rFonts w:ascii="Calibri" w:hAnsi="Calibri"/>
          <w:spacing w:val="26"/>
          <w:sz w:val="22"/>
        </w:rPr>
        <w:t> </w:t>
      </w:r>
      <w:r>
        <w:rPr>
          <w:rFonts w:ascii="Calibri" w:hAnsi="Calibri"/>
          <w:sz w:val="22"/>
        </w:rPr>
        <w:t>Paper</w:t>
      </w:r>
      <w:r>
        <w:rPr>
          <w:rFonts w:ascii="Calibri" w:hAnsi="Calibri"/>
          <w:spacing w:val="25"/>
          <w:sz w:val="22"/>
        </w:rPr>
        <w:t> </w:t>
      </w:r>
      <w:r>
        <w:rPr>
          <w:rFonts w:ascii="Calibri" w:hAnsi="Calibri"/>
          <w:sz w:val="22"/>
        </w:rPr>
        <w:t>presented</w:t>
      </w:r>
      <w:r>
        <w:rPr>
          <w:rFonts w:ascii="Calibri" w:hAnsi="Calibri"/>
          <w:spacing w:val="24"/>
          <w:sz w:val="22"/>
        </w:rPr>
        <w:t> </w:t>
      </w:r>
      <w:r>
        <w:rPr>
          <w:rFonts w:ascii="Calibri" w:hAnsi="Calibri"/>
          <w:sz w:val="22"/>
        </w:rPr>
        <w:t>at</w:t>
      </w:r>
      <w:r>
        <w:rPr>
          <w:rFonts w:ascii="Calibri" w:hAnsi="Calibri"/>
          <w:spacing w:val="23"/>
          <w:sz w:val="22"/>
        </w:rPr>
        <w:t> </w:t>
      </w:r>
      <w:r>
        <w:rPr>
          <w:rFonts w:ascii="Calibri" w:hAnsi="Calibri"/>
          <w:sz w:val="22"/>
        </w:rPr>
        <w:t>the</w:t>
      </w:r>
      <w:r>
        <w:rPr>
          <w:rFonts w:ascii="Calibri" w:hAnsi="Calibri"/>
          <w:spacing w:val="25"/>
          <w:sz w:val="22"/>
        </w:rPr>
        <w:t> </w:t>
      </w:r>
      <w:r>
        <w:rPr>
          <w:rFonts w:ascii="Calibri" w:hAnsi="Calibri"/>
          <w:sz w:val="22"/>
        </w:rPr>
        <w:t>Erik Castrén Institute of International Law and Human Rights.</w:t>
      </w:r>
    </w:p>
    <w:p>
      <w:pPr>
        <w:spacing w:line="237" w:lineRule="auto" w:before="3"/>
        <w:ind w:left="1700" w:right="1904" w:hanging="721"/>
        <w:jc w:val="both"/>
        <w:rPr>
          <w:rFonts w:ascii="Calibri" w:hAnsi="Calibri"/>
          <w:sz w:val="22"/>
        </w:rPr>
      </w:pPr>
      <w:bookmarkStart w:name="_bookmark326" w:id="327"/>
      <w:bookmarkEnd w:id="327"/>
      <w:r>
        <w:rPr/>
      </w:r>
      <w:r>
        <w:rPr>
          <w:rFonts w:ascii="Calibri" w:hAnsi="Calibri"/>
          <w:sz w:val="22"/>
        </w:rPr>
        <w:t>Özesmi, U., &amp; Özesmi, S. L. (2004). Ecological models based on people’s knowledge: a multi- step fuzzy cognitive mapping approach. </w:t>
      </w:r>
      <w:r>
        <w:rPr>
          <w:rFonts w:ascii="Calibri" w:hAnsi="Calibri"/>
          <w:i/>
          <w:sz w:val="22"/>
        </w:rPr>
        <w:t>Ecological Modelling, 176</w:t>
      </w:r>
      <w:r>
        <w:rPr>
          <w:rFonts w:ascii="Calibri" w:hAnsi="Calibri"/>
          <w:sz w:val="22"/>
        </w:rPr>
        <w:t>(1–2), 43-64. doi: </w:t>
      </w:r>
      <w:hyperlink r:id="rId46">
        <w:r>
          <w:rPr>
            <w:rFonts w:ascii="Calibri" w:hAnsi="Calibri"/>
            <w:color w:val="0000FF"/>
            <w:spacing w:val="-2"/>
            <w:sz w:val="22"/>
            <w:u w:val="single" w:color="0000FF"/>
          </w:rPr>
          <w:t>http://dx.doi.org/10.1016/j.ecolmodel.2003.10.027</w:t>
        </w:r>
      </w:hyperlink>
    </w:p>
    <w:p>
      <w:pPr>
        <w:spacing w:before="2"/>
        <w:ind w:left="1700" w:right="1904" w:hanging="721"/>
        <w:jc w:val="both"/>
        <w:rPr>
          <w:rFonts w:ascii="Calibri"/>
          <w:sz w:val="22"/>
        </w:rPr>
      </w:pPr>
      <w:bookmarkStart w:name="_bookmark327" w:id="328"/>
      <w:bookmarkEnd w:id="328"/>
      <w:r>
        <w:rPr/>
      </w:r>
      <w:r>
        <w:rPr>
          <w:rFonts w:ascii="Calibri"/>
          <w:sz w:val="22"/>
        </w:rPr>
        <w:t>Papadopoulos, Y. (2006). </w:t>
      </w:r>
      <w:r>
        <w:rPr>
          <w:rFonts w:ascii="Calibri"/>
          <w:i/>
          <w:sz w:val="22"/>
        </w:rPr>
        <w:t>Problems of Democratic Accountability in Network and Multilevel Governance. </w:t>
      </w:r>
      <w:r>
        <w:rPr>
          <w:rFonts w:ascii="Calibri"/>
          <w:sz w:val="22"/>
        </w:rPr>
        <w:t>Paper presented at the Accountability in multi-level governance, </w:t>
      </w:r>
      <w:r>
        <w:rPr>
          <w:rFonts w:ascii="Calibri"/>
          <w:spacing w:val="-2"/>
          <w:sz w:val="22"/>
        </w:rPr>
        <w:t>Lausanne.</w:t>
      </w:r>
    </w:p>
    <w:p>
      <w:pPr>
        <w:spacing w:before="1"/>
        <w:ind w:left="1700" w:right="1916" w:hanging="721"/>
        <w:jc w:val="both"/>
        <w:rPr>
          <w:rFonts w:ascii="Calibri"/>
          <w:sz w:val="22"/>
        </w:rPr>
      </w:pPr>
      <w:bookmarkStart w:name="_bookmark328" w:id="329"/>
      <w:bookmarkEnd w:id="329"/>
      <w:r>
        <w:rPr/>
      </w:r>
      <w:r>
        <w:rPr>
          <w:rFonts w:ascii="Calibri"/>
          <w:sz w:val="22"/>
        </w:rPr>
        <w:t>Papadopoulos, Y. (2007). Problems of Democratic Accountability in Network and Multilevel Governance. </w:t>
      </w:r>
      <w:r>
        <w:rPr>
          <w:rFonts w:ascii="Calibri"/>
          <w:i/>
          <w:sz w:val="22"/>
        </w:rPr>
        <w:t>European Law Journal, 13</w:t>
      </w:r>
      <w:r>
        <w:rPr>
          <w:rFonts w:ascii="Calibri"/>
          <w:sz w:val="22"/>
        </w:rPr>
        <w:t>(4), 469-486.</w:t>
      </w:r>
    </w:p>
    <w:p>
      <w:pPr>
        <w:spacing w:before="1"/>
        <w:ind w:left="1700" w:right="1920" w:hanging="721"/>
        <w:jc w:val="both"/>
        <w:rPr>
          <w:rFonts w:ascii="Calibri"/>
          <w:sz w:val="22"/>
        </w:rPr>
      </w:pPr>
      <w:bookmarkStart w:name="_bookmark329" w:id="330"/>
      <w:bookmarkEnd w:id="330"/>
      <w:r>
        <w:rPr/>
      </w:r>
      <w:r>
        <w:rPr>
          <w:rFonts w:ascii="Calibri"/>
          <w:sz w:val="22"/>
        </w:rPr>
        <w:t>Papeians De Morchoven, J. (1951). Memo from J. Papeians de Morchoven to Louis</w:t>
      </w:r>
      <w:r>
        <w:rPr>
          <w:rFonts w:ascii="Calibri"/>
          <w:spacing w:val="40"/>
          <w:sz w:val="22"/>
        </w:rPr>
        <w:t> </w:t>
      </w:r>
      <w:r>
        <w:rPr>
          <w:rFonts w:ascii="Calibri"/>
          <w:sz w:val="22"/>
        </w:rPr>
        <w:t>Scheyven. from Translation Centre Virtuel de la Connaissance sur l'Europe</w:t>
      </w:r>
    </w:p>
    <w:p>
      <w:pPr>
        <w:spacing w:before="0"/>
        <w:ind w:left="1700" w:right="1905" w:hanging="721"/>
        <w:jc w:val="both"/>
        <w:rPr>
          <w:rFonts w:ascii="Calibri"/>
          <w:sz w:val="22"/>
        </w:rPr>
      </w:pPr>
      <w:bookmarkStart w:name="_bookmark330" w:id="331"/>
      <w:bookmarkEnd w:id="331"/>
      <w:r>
        <w:rPr/>
      </w:r>
      <w:r>
        <w:rPr>
          <w:rFonts w:ascii="Calibri"/>
          <w:sz w:val="22"/>
        </w:rPr>
        <w:t>Parsons, T., &amp; Smelser, N. J. (2005). </w:t>
      </w:r>
      <w:r>
        <w:rPr>
          <w:rFonts w:ascii="Calibri"/>
          <w:i/>
          <w:sz w:val="22"/>
        </w:rPr>
        <w:t>Economy and society : a study in the integration of economic and social theory </w:t>
      </w:r>
      <w:r>
        <w:rPr>
          <w:rFonts w:ascii="Calibri"/>
          <w:sz w:val="22"/>
        </w:rPr>
        <w:t>(Taylor &amp; Francis e-Library ed.). London ; Boston: Routledge &amp; Kegan Paul Ltd.</w:t>
      </w:r>
    </w:p>
    <w:p>
      <w:pPr>
        <w:spacing w:before="2"/>
        <w:ind w:left="1700" w:right="1906" w:hanging="721"/>
        <w:jc w:val="both"/>
        <w:rPr>
          <w:rFonts w:ascii="Calibri"/>
          <w:sz w:val="22"/>
        </w:rPr>
      </w:pPr>
      <w:bookmarkStart w:name="_bookmark331" w:id="332"/>
      <w:bookmarkEnd w:id="332"/>
      <w:r>
        <w:rPr/>
      </w:r>
      <w:r>
        <w:rPr>
          <w:rFonts w:ascii="Calibri"/>
          <w:sz w:val="22"/>
        </w:rPr>
        <w:t>Perera, M., Hancisse, L., McMenamin, A., &amp; Patz, R. (2014). </w:t>
      </w:r>
      <w:r>
        <w:rPr>
          <w:rFonts w:ascii="Calibri"/>
          <w:i/>
          <w:sz w:val="22"/>
        </w:rPr>
        <w:t>The European Union Integrity System</w:t>
      </w:r>
      <w:r>
        <w:rPr>
          <w:rFonts w:ascii="Calibri"/>
          <w:sz w:val="22"/>
        </w:rPr>
        <w:t>. EU Office: Transparency International</w:t>
      </w:r>
    </w:p>
    <w:p>
      <w:pPr>
        <w:spacing w:before="0"/>
        <w:ind w:left="1700" w:right="1903" w:hanging="721"/>
        <w:jc w:val="both"/>
        <w:rPr>
          <w:rFonts w:ascii="Calibri"/>
          <w:sz w:val="22"/>
        </w:rPr>
      </w:pPr>
      <w:bookmarkStart w:name="_bookmark332" w:id="333"/>
      <w:bookmarkEnd w:id="333"/>
      <w:r>
        <w:rPr/>
      </w:r>
      <w:r>
        <w:rPr>
          <w:rFonts w:ascii="Calibri"/>
          <w:sz w:val="22"/>
        </w:rPr>
        <w:t>Peters, B. G., &amp; Pierre, J. (1998). Governance Without Government? Rethinking Public Administration.</w:t>
      </w:r>
      <w:r>
        <w:rPr>
          <w:rFonts w:ascii="Calibri"/>
          <w:spacing w:val="-5"/>
          <w:sz w:val="22"/>
        </w:rPr>
        <w:t> </w:t>
      </w:r>
      <w:r>
        <w:rPr>
          <w:rFonts w:ascii="Calibri"/>
          <w:i/>
          <w:sz w:val="22"/>
        </w:rPr>
        <w:t>Journal</w:t>
      </w:r>
      <w:r>
        <w:rPr>
          <w:rFonts w:ascii="Calibri"/>
          <w:i/>
          <w:spacing w:val="-9"/>
          <w:sz w:val="22"/>
        </w:rPr>
        <w:t> </w:t>
      </w:r>
      <w:r>
        <w:rPr>
          <w:rFonts w:ascii="Calibri"/>
          <w:i/>
          <w:sz w:val="22"/>
        </w:rPr>
        <w:t>of</w:t>
      </w:r>
      <w:r>
        <w:rPr>
          <w:rFonts w:ascii="Calibri"/>
          <w:i/>
          <w:spacing w:val="-7"/>
          <w:sz w:val="22"/>
        </w:rPr>
        <w:t> </w:t>
      </w:r>
      <w:r>
        <w:rPr>
          <w:rFonts w:ascii="Calibri"/>
          <w:i/>
          <w:sz w:val="22"/>
        </w:rPr>
        <w:t>Public</w:t>
      </w:r>
      <w:r>
        <w:rPr>
          <w:rFonts w:ascii="Calibri"/>
          <w:i/>
          <w:spacing w:val="-8"/>
          <w:sz w:val="22"/>
        </w:rPr>
        <w:t> </w:t>
      </w:r>
      <w:r>
        <w:rPr>
          <w:rFonts w:ascii="Calibri"/>
          <w:i/>
          <w:sz w:val="22"/>
        </w:rPr>
        <w:t>Administration</w:t>
      </w:r>
      <w:r>
        <w:rPr>
          <w:rFonts w:ascii="Calibri"/>
          <w:i/>
          <w:spacing w:val="-6"/>
          <w:sz w:val="22"/>
        </w:rPr>
        <w:t> </w:t>
      </w:r>
      <w:r>
        <w:rPr>
          <w:rFonts w:ascii="Calibri"/>
          <w:i/>
          <w:sz w:val="22"/>
        </w:rPr>
        <w:t>Research</w:t>
      </w:r>
      <w:r>
        <w:rPr>
          <w:rFonts w:ascii="Calibri"/>
          <w:i/>
          <w:spacing w:val="-5"/>
          <w:sz w:val="22"/>
        </w:rPr>
        <w:t> </w:t>
      </w:r>
      <w:r>
        <w:rPr>
          <w:rFonts w:ascii="Calibri"/>
          <w:i/>
          <w:sz w:val="22"/>
        </w:rPr>
        <w:t>and</w:t>
      </w:r>
      <w:r>
        <w:rPr>
          <w:rFonts w:ascii="Calibri"/>
          <w:i/>
          <w:spacing w:val="-6"/>
          <w:sz w:val="22"/>
        </w:rPr>
        <w:t> </w:t>
      </w:r>
      <w:r>
        <w:rPr>
          <w:rFonts w:ascii="Calibri"/>
          <w:i/>
          <w:sz w:val="22"/>
        </w:rPr>
        <w:t>Theory,</w:t>
      </w:r>
      <w:r>
        <w:rPr>
          <w:rFonts w:ascii="Calibri"/>
          <w:i/>
          <w:spacing w:val="-10"/>
          <w:sz w:val="22"/>
        </w:rPr>
        <w:t> </w:t>
      </w:r>
      <w:r>
        <w:rPr>
          <w:rFonts w:ascii="Calibri"/>
          <w:i/>
          <w:sz w:val="22"/>
        </w:rPr>
        <w:t>8</w:t>
      </w:r>
      <w:r>
        <w:rPr>
          <w:rFonts w:ascii="Calibri"/>
          <w:sz w:val="22"/>
        </w:rPr>
        <w:t>(2),</w:t>
      </w:r>
      <w:r>
        <w:rPr>
          <w:rFonts w:ascii="Calibri"/>
          <w:spacing w:val="-8"/>
          <w:sz w:val="22"/>
        </w:rPr>
        <w:t> </w:t>
      </w:r>
      <w:r>
        <w:rPr>
          <w:rFonts w:ascii="Calibri"/>
          <w:sz w:val="22"/>
        </w:rPr>
        <w:t>223-</w:t>
      </w:r>
      <w:r>
        <w:rPr>
          <w:rFonts w:ascii="Calibri"/>
          <w:spacing w:val="-4"/>
          <w:sz w:val="22"/>
        </w:rPr>
        <w:t>243.</w:t>
      </w:r>
    </w:p>
    <w:p>
      <w:pPr>
        <w:spacing w:before="1"/>
        <w:ind w:left="979" w:right="0" w:firstLine="0"/>
        <w:jc w:val="both"/>
        <w:rPr>
          <w:rFonts w:ascii="Calibri"/>
          <w:sz w:val="22"/>
        </w:rPr>
      </w:pPr>
      <w:bookmarkStart w:name="_bookmark333" w:id="334"/>
      <w:bookmarkEnd w:id="334"/>
      <w:r>
        <w:rPr/>
      </w:r>
      <w:r>
        <w:rPr>
          <w:rFonts w:ascii="Calibri"/>
          <w:sz w:val="22"/>
        </w:rPr>
        <w:t>Peters,</w:t>
      </w:r>
      <w:r>
        <w:rPr>
          <w:rFonts w:ascii="Calibri"/>
          <w:spacing w:val="19"/>
          <w:sz w:val="22"/>
        </w:rPr>
        <w:t> </w:t>
      </w:r>
      <w:r>
        <w:rPr>
          <w:rFonts w:ascii="Calibri"/>
          <w:sz w:val="22"/>
        </w:rPr>
        <w:t>B.</w:t>
      </w:r>
      <w:r>
        <w:rPr>
          <w:rFonts w:ascii="Calibri"/>
          <w:spacing w:val="24"/>
          <w:sz w:val="22"/>
        </w:rPr>
        <w:t> </w:t>
      </w:r>
      <w:r>
        <w:rPr>
          <w:rFonts w:ascii="Calibri"/>
          <w:sz w:val="22"/>
        </w:rPr>
        <w:t>G.,</w:t>
      </w:r>
      <w:r>
        <w:rPr>
          <w:rFonts w:ascii="Calibri"/>
          <w:spacing w:val="21"/>
          <w:sz w:val="22"/>
        </w:rPr>
        <w:t> </w:t>
      </w:r>
      <w:r>
        <w:rPr>
          <w:rFonts w:ascii="Calibri"/>
          <w:sz w:val="22"/>
        </w:rPr>
        <w:t>&amp;</w:t>
      </w:r>
      <w:r>
        <w:rPr>
          <w:rFonts w:ascii="Calibri"/>
          <w:spacing w:val="22"/>
          <w:sz w:val="22"/>
        </w:rPr>
        <w:t> </w:t>
      </w:r>
      <w:r>
        <w:rPr>
          <w:rFonts w:ascii="Calibri"/>
          <w:sz w:val="22"/>
        </w:rPr>
        <w:t>Pierre,</w:t>
      </w:r>
      <w:r>
        <w:rPr>
          <w:rFonts w:ascii="Calibri"/>
          <w:spacing w:val="21"/>
          <w:sz w:val="22"/>
        </w:rPr>
        <w:t> </w:t>
      </w:r>
      <w:r>
        <w:rPr>
          <w:rFonts w:ascii="Calibri"/>
          <w:sz w:val="22"/>
        </w:rPr>
        <w:t>J.</w:t>
      </w:r>
      <w:r>
        <w:rPr>
          <w:rFonts w:ascii="Calibri"/>
          <w:spacing w:val="24"/>
          <w:sz w:val="22"/>
        </w:rPr>
        <w:t> </w:t>
      </w:r>
      <w:r>
        <w:rPr>
          <w:rFonts w:ascii="Calibri"/>
          <w:sz w:val="22"/>
        </w:rPr>
        <w:t>(2009).</w:t>
      </w:r>
      <w:r>
        <w:rPr>
          <w:rFonts w:ascii="Calibri"/>
          <w:spacing w:val="26"/>
          <w:sz w:val="22"/>
        </w:rPr>
        <w:t> </w:t>
      </w:r>
      <w:r>
        <w:rPr>
          <w:rFonts w:ascii="Calibri"/>
          <w:sz w:val="22"/>
        </w:rPr>
        <w:t>Governance</w:t>
      </w:r>
      <w:r>
        <w:rPr>
          <w:rFonts w:ascii="Calibri"/>
          <w:spacing w:val="23"/>
          <w:sz w:val="22"/>
        </w:rPr>
        <w:t> </w:t>
      </w:r>
      <w:r>
        <w:rPr>
          <w:rFonts w:ascii="Calibri"/>
          <w:sz w:val="22"/>
        </w:rPr>
        <w:t>Approaches.</w:t>
      </w:r>
      <w:r>
        <w:rPr>
          <w:rFonts w:ascii="Calibri"/>
          <w:spacing w:val="25"/>
          <w:sz w:val="22"/>
        </w:rPr>
        <w:t> </w:t>
      </w:r>
      <w:r>
        <w:rPr>
          <w:rFonts w:ascii="Calibri"/>
          <w:sz w:val="22"/>
        </w:rPr>
        <w:t>In</w:t>
      </w:r>
      <w:r>
        <w:rPr>
          <w:rFonts w:ascii="Calibri"/>
          <w:spacing w:val="22"/>
          <w:sz w:val="22"/>
        </w:rPr>
        <w:t> </w:t>
      </w:r>
      <w:r>
        <w:rPr>
          <w:rFonts w:ascii="Calibri"/>
          <w:sz w:val="22"/>
        </w:rPr>
        <w:t>A.</w:t>
      </w:r>
      <w:r>
        <w:rPr>
          <w:rFonts w:ascii="Calibri"/>
          <w:spacing w:val="25"/>
          <w:sz w:val="22"/>
        </w:rPr>
        <w:t> </w:t>
      </w:r>
      <w:r>
        <w:rPr>
          <w:rFonts w:ascii="Calibri"/>
          <w:sz w:val="22"/>
        </w:rPr>
        <w:t>D.</w:t>
      </w:r>
      <w:r>
        <w:rPr>
          <w:rFonts w:ascii="Calibri"/>
          <w:spacing w:val="24"/>
          <w:sz w:val="22"/>
        </w:rPr>
        <w:t> </w:t>
      </w:r>
      <w:r>
        <w:rPr>
          <w:rFonts w:ascii="Calibri"/>
          <w:sz w:val="22"/>
        </w:rPr>
        <w:t>Wiener,</w:t>
      </w:r>
      <w:r>
        <w:rPr>
          <w:rFonts w:ascii="Calibri"/>
          <w:spacing w:val="21"/>
          <w:sz w:val="22"/>
        </w:rPr>
        <w:t> </w:t>
      </w:r>
      <w:r>
        <w:rPr>
          <w:rFonts w:ascii="Calibri"/>
          <w:sz w:val="22"/>
        </w:rPr>
        <w:t>Thomas</w:t>
      </w:r>
      <w:r>
        <w:rPr>
          <w:rFonts w:ascii="Calibri"/>
          <w:spacing w:val="23"/>
          <w:sz w:val="22"/>
        </w:rPr>
        <w:t> </w:t>
      </w:r>
      <w:r>
        <w:rPr>
          <w:rFonts w:ascii="Calibri"/>
          <w:spacing w:val="-2"/>
          <w:sz w:val="22"/>
        </w:rPr>
        <w:t>(Ed.),</w:t>
      </w:r>
    </w:p>
    <w:p>
      <w:pPr>
        <w:spacing w:before="0"/>
        <w:ind w:left="1700" w:right="0" w:firstLine="0"/>
        <w:jc w:val="both"/>
        <w:rPr>
          <w:rFonts w:ascii="Calibri"/>
          <w:sz w:val="22"/>
        </w:rPr>
      </w:pPr>
      <w:r>
        <w:rPr>
          <w:rFonts w:ascii="Calibri"/>
          <w:i/>
          <w:sz w:val="22"/>
        </w:rPr>
        <w:t>European</w:t>
      </w:r>
      <w:r>
        <w:rPr>
          <w:rFonts w:ascii="Calibri"/>
          <w:i/>
          <w:spacing w:val="-8"/>
          <w:sz w:val="22"/>
        </w:rPr>
        <w:t> </w:t>
      </w:r>
      <w:r>
        <w:rPr>
          <w:rFonts w:ascii="Calibri"/>
          <w:i/>
          <w:sz w:val="22"/>
        </w:rPr>
        <w:t>Integration</w:t>
      </w:r>
      <w:r>
        <w:rPr>
          <w:rFonts w:ascii="Calibri"/>
          <w:i/>
          <w:spacing w:val="-4"/>
          <w:sz w:val="22"/>
        </w:rPr>
        <w:t> </w:t>
      </w:r>
      <w:r>
        <w:rPr>
          <w:rFonts w:ascii="Calibri"/>
          <w:i/>
          <w:sz w:val="22"/>
        </w:rPr>
        <w:t>Theory</w:t>
      </w:r>
      <w:r>
        <w:rPr>
          <w:rFonts w:ascii="Calibri"/>
          <w:sz w:val="22"/>
        </w:rPr>
        <w:t>:</w:t>
      </w:r>
      <w:r>
        <w:rPr>
          <w:rFonts w:ascii="Calibri"/>
          <w:spacing w:val="-10"/>
          <w:sz w:val="22"/>
        </w:rPr>
        <w:t> </w:t>
      </w:r>
      <w:r>
        <w:rPr>
          <w:rFonts w:ascii="Calibri"/>
          <w:sz w:val="22"/>
        </w:rPr>
        <w:t>Oxford</w:t>
      </w:r>
      <w:r>
        <w:rPr>
          <w:rFonts w:ascii="Calibri"/>
          <w:spacing w:val="-9"/>
          <w:sz w:val="22"/>
        </w:rPr>
        <w:t> </w:t>
      </w:r>
      <w:r>
        <w:rPr>
          <w:rFonts w:ascii="Calibri"/>
          <w:sz w:val="22"/>
        </w:rPr>
        <w:t>University</w:t>
      </w:r>
      <w:r>
        <w:rPr>
          <w:rFonts w:ascii="Calibri"/>
          <w:spacing w:val="-8"/>
          <w:sz w:val="22"/>
        </w:rPr>
        <w:t> </w:t>
      </w:r>
      <w:r>
        <w:rPr>
          <w:rFonts w:ascii="Calibri"/>
          <w:spacing w:val="-2"/>
          <w:sz w:val="22"/>
        </w:rPr>
        <w:t>Press.</w:t>
      </w:r>
    </w:p>
    <w:p>
      <w:pPr>
        <w:spacing w:before="0"/>
        <w:ind w:left="1700" w:right="1906" w:hanging="721"/>
        <w:jc w:val="both"/>
        <w:rPr>
          <w:rFonts w:ascii="Calibri"/>
          <w:sz w:val="22"/>
        </w:rPr>
      </w:pPr>
      <w:bookmarkStart w:name="_bookmark334" w:id="335"/>
      <w:bookmarkEnd w:id="335"/>
      <w:r>
        <w:rPr/>
      </w:r>
      <w:r>
        <w:rPr>
          <w:rFonts w:ascii="Calibri"/>
          <w:sz w:val="22"/>
        </w:rPr>
        <w:t>Pfiffner,</w:t>
      </w:r>
      <w:r>
        <w:rPr>
          <w:rFonts w:ascii="Calibri"/>
          <w:spacing w:val="-2"/>
          <w:sz w:val="22"/>
        </w:rPr>
        <w:t> </w:t>
      </w:r>
      <w:r>
        <w:rPr>
          <w:rFonts w:ascii="Calibri"/>
          <w:sz w:val="22"/>
        </w:rPr>
        <w:t>J. M.,</w:t>
      </w:r>
      <w:r>
        <w:rPr>
          <w:rFonts w:ascii="Calibri"/>
          <w:spacing w:val="-2"/>
          <w:sz w:val="22"/>
        </w:rPr>
        <w:t> </w:t>
      </w:r>
      <w:r>
        <w:rPr>
          <w:rFonts w:ascii="Calibri"/>
          <w:sz w:val="22"/>
        </w:rPr>
        <w:t>&amp;</w:t>
      </w:r>
      <w:r>
        <w:rPr>
          <w:rFonts w:ascii="Calibri"/>
          <w:spacing w:val="-1"/>
          <w:sz w:val="22"/>
        </w:rPr>
        <w:t> </w:t>
      </w:r>
      <w:r>
        <w:rPr>
          <w:rFonts w:ascii="Calibri"/>
          <w:sz w:val="22"/>
        </w:rPr>
        <w:t>Sherwood,</w:t>
      </w:r>
      <w:r>
        <w:rPr>
          <w:rFonts w:ascii="Calibri"/>
          <w:spacing w:val="-2"/>
          <w:sz w:val="22"/>
        </w:rPr>
        <w:t> </w:t>
      </w:r>
      <w:r>
        <w:rPr>
          <w:rFonts w:ascii="Calibri"/>
          <w:sz w:val="22"/>
        </w:rPr>
        <w:t>F. P. (1960). </w:t>
      </w:r>
      <w:r>
        <w:rPr>
          <w:rFonts w:ascii="Calibri"/>
          <w:i/>
          <w:sz w:val="22"/>
        </w:rPr>
        <w:t>Administrative organization</w:t>
      </w:r>
      <w:r>
        <w:rPr>
          <w:rFonts w:ascii="Calibri"/>
          <w:sz w:val="22"/>
        </w:rPr>
        <w:t>. Englewood Cliffs,</w:t>
      </w:r>
      <w:r>
        <w:rPr>
          <w:rFonts w:ascii="Calibri"/>
          <w:spacing w:val="-2"/>
          <w:sz w:val="22"/>
        </w:rPr>
        <w:t> </w:t>
      </w:r>
      <w:r>
        <w:rPr>
          <w:rFonts w:ascii="Calibri"/>
          <w:sz w:val="22"/>
        </w:rPr>
        <w:t>N.J.,: </w:t>
      </w:r>
      <w:r>
        <w:rPr>
          <w:rFonts w:ascii="Calibri"/>
          <w:spacing w:val="-2"/>
          <w:sz w:val="22"/>
        </w:rPr>
        <w:t>Prentice-Hall.</w:t>
      </w:r>
    </w:p>
    <w:p>
      <w:pPr>
        <w:spacing w:line="240" w:lineRule="auto" w:before="0"/>
        <w:ind w:left="1700" w:right="1901" w:hanging="721"/>
        <w:jc w:val="both"/>
        <w:rPr>
          <w:rFonts w:ascii="Calibri"/>
          <w:sz w:val="22"/>
        </w:rPr>
      </w:pPr>
      <w:bookmarkStart w:name="_bookmark335" w:id="336"/>
      <w:bookmarkEnd w:id="336"/>
      <w:r>
        <w:rPr/>
      </w:r>
      <w:r>
        <w:rPr>
          <w:rFonts w:ascii="Calibri"/>
          <w:sz w:val="22"/>
        </w:rPr>
        <w:t>Phillips, R. A., &amp; Margolis, J. D. (1999). Toward an Ethics of Organizations. </w:t>
      </w:r>
      <w:r>
        <w:rPr>
          <w:rFonts w:ascii="Calibri"/>
          <w:i/>
          <w:sz w:val="22"/>
        </w:rPr>
        <w:t>Business Ethics Quarterly, 9</w:t>
      </w:r>
      <w:r>
        <w:rPr>
          <w:rFonts w:ascii="Calibri"/>
          <w:sz w:val="22"/>
        </w:rPr>
        <w:t>(04), 619-638. doi: doi:10.2307/3857939</w:t>
      </w:r>
    </w:p>
    <w:p>
      <w:pPr>
        <w:spacing w:after="0" w:line="240" w:lineRule="auto"/>
        <w:jc w:val="both"/>
        <w:rPr>
          <w:rFonts w:asci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1700" w:right="1906" w:hanging="721"/>
        <w:jc w:val="both"/>
        <w:rPr>
          <w:rFonts w:ascii="Calibri"/>
          <w:sz w:val="22"/>
        </w:rPr>
      </w:pPr>
      <w:bookmarkStart w:name="_bookmark336" w:id="337"/>
      <w:bookmarkEnd w:id="337"/>
      <w:r>
        <w:rPr/>
      </w:r>
      <w:r>
        <w:rPr>
          <w:rFonts w:ascii="Calibri"/>
          <w:sz w:val="22"/>
        </w:rPr>
        <w:t>Pickel, A. (2006 ). </w:t>
      </w:r>
      <w:r>
        <w:rPr>
          <w:rFonts w:ascii="Calibri"/>
          <w:i/>
          <w:sz w:val="22"/>
        </w:rPr>
        <w:t>Salvaging Systems from General Systems Theory: Systemic Ontology and Mechanism-Based Explanation for the Social Sciences </w:t>
      </w:r>
      <w:r>
        <w:rPr>
          <w:rFonts w:ascii="Calibri"/>
          <w:sz w:val="22"/>
        </w:rPr>
        <w:t>Paper presented at the World Congress of Sociology, Durban, South Africa.</w:t>
      </w:r>
    </w:p>
    <w:p>
      <w:pPr>
        <w:spacing w:before="2"/>
        <w:ind w:left="1700" w:right="1902" w:hanging="721"/>
        <w:jc w:val="both"/>
        <w:rPr>
          <w:rFonts w:ascii="Calibri"/>
          <w:sz w:val="22"/>
        </w:rPr>
      </w:pPr>
      <w:bookmarkStart w:name="_bookmark337" w:id="338"/>
      <w:bookmarkEnd w:id="338"/>
      <w:r>
        <w:rPr/>
      </w:r>
      <w:r>
        <w:rPr>
          <w:rFonts w:ascii="Calibri"/>
          <w:sz w:val="22"/>
        </w:rPr>
        <w:t>Pickering, A. (2002). Cybernetics and the Mangle: Ashby, Beer and Pask. </w:t>
      </w:r>
      <w:r>
        <w:rPr>
          <w:rFonts w:ascii="Calibri"/>
          <w:i/>
          <w:sz w:val="22"/>
        </w:rPr>
        <w:t>Social Studies of Science, 32</w:t>
      </w:r>
      <w:r>
        <w:rPr>
          <w:rFonts w:ascii="Calibri"/>
          <w:sz w:val="22"/>
        </w:rPr>
        <w:t>(3), 413-437. doi: 10.1177/0306312702032003003</w:t>
      </w:r>
    </w:p>
    <w:p>
      <w:pPr>
        <w:spacing w:line="240" w:lineRule="auto" w:before="0"/>
        <w:ind w:left="1700" w:right="1899" w:hanging="721"/>
        <w:jc w:val="both"/>
        <w:rPr>
          <w:rFonts w:ascii="Calibri"/>
          <w:sz w:val="22"/>
        </w:rPr>
      </w:pPr>
      <w:bookmarkStart w:name="_bookmark338" w:id="339"/>
      <w:bookmarkEnd w:id="339"/>
      <w:r>
        <w:rPr/>
      </w:r>
      <w:r>
        <w:rPr>
          <w:rFonts w:ascii="Calibri"/>
          <w:sz w:val="22"/>
        </w:rPr>
        <w:t>Pierson, P. (1994). The Path to European Integration: A Historical Institutionalist Analysis. </w:t>
      </w:r>
      <w:r>
        <w:rPr>
          <w:rFonts w:ascii="Calibri"/>
          <w:i/>
          <w:sz w:val="22"/>
        </w:rPr>
        <w:t>Program for the Study of Germany and Europe, Working Paper</w:t>
      </w:r>
      <w:r>
        <w:rPr>
          <w:rFonts w:ascii="Calibri"/>
          <w:sz w:val="22"/>
        </w:rPr>
        <w:t>(2). doi: </w:t>
      </w:r>
      <w:r>
        <w:rPr>
          <w:rFonts w:ascii="Calibri"/>
          <w:spacing w:val="-2"/>
          <w:sz w:val="22"/>
        </w:rPr>
        <w:t>10.1177/0010414096029002001</w:t>
      </w:r>
    </w:p>
    <w:p>
      <w:pPr>
        <w:spacing w:before="0"/>
        <w:ind w:left="1700" w:right="1903" w:hanging="721"/>
        <w:jc w:val="both"/>
        <w:rPr>
          <w:rFonts w:ascii="Calibri"/>
          <w:sz w:val="22"/>
        </w:rPr>
      </w:pPr>
      <w:bookmarkStart w:name="_bookmark339" w:id="340"/>
      <w:bookmarkEnd w:id="340"/>
      <w:r>
        <w:rPr/>
      </w:r>
      <w:r>
        <w:rPr>
          <w:rFonts w:ascii="Calibri"/>
          <w:sz w:val="22"/>
        </w:rPr>
        <w:t>Pies, I., Beckmann, M., &amp; Hielscher, S. (2014). The Political Role of the Business Firm: An Ordonomic Concept of Corporate Citizenship Developed in Comparison With the Aristotelian Idea of Individual Citizenship. </w:t>
      </w:r>
      <w:r>
        <w:rPr>
          <w:rFonts w:ascii="Calibri"/>
          <w:i/>
          <w:sz w:val="22"/>
        </w:rPr>
        <w:t>Business &amp; Society, 53</w:t>
      </w:r>
      <w:r>
        <w:rPr>
          <w:rFonts w:ascii="Calibri"/>
          <w:sz w:val="22"/>
        </w:rPr>
        <w:t>(2), 226-259. doi: </w:t>
      </w:r>
      <w:r>
        <w:rPr>
          <w:rFonts w:ascii="Calibri"/>
          <w:spacing w:val="-2"/>
          <w:sz w:val="22"/>
        </w:rPr>
        <w:t>10.1177/0007650313483484</w:t>
      </w:r>
    </w:p>
    <w:p>
      <w:pPr>
        <w:spacing w:before="0"/>
        <w:ind w:left="1700" w:right="1913" w:hanging="721"/>
        <w:jc w:val="both"/>
        <w:rPr>
          <w:rFonts w:ascii="Calibri"/>
          <w:sz w:val="22"/>
        </w:rPr>
      </w:pPr>
      <w:bookmarkStart w:name="_bookmark340" w:id="341"/>
      <w:bookmarkEnd w:id="341"/>
      <w:r>
        <w:rPr/>
      </w:r>
      <w:r>
        <w:rPr>
          <w:rFonts w:ascii="Calibri"/>
          <w:sz w:val="22"/>
        </w:rPr>
        <w:t>Pollack, M. A. (2005). Theorizing the European Union: International organization, domestic polity,</w:t>
      </w:r>
      <w:r>
        <w:rPr>
          <w:rFonts w:ascii="Calibri"/>
          <w:spacing w:val="-4"/>
          <w:sz w:val="22"/>
        </w:rPr>
        <w:t> </w:t>
      </w:r>
      <w:r>
        <w:rPr>
          <w:rFonts w:ascii="Calibri"/>
          <w:sz w:val="22"/>
        </w:rPr>
        <w:t>or</w:t>
      </w:r>
      <w:r>
        <w:rPr>
          <w:rFonts w:ascii="Calibri"/>
          <w:spacing w:val="-1"/>
          <w:sz w:val="22"/>
        </w:rPr>
        <w:t> </w:t>
      </w:r>
      <w:r>
        <w:rPr>
          <w:rFonts w:ascii="Calibri"/>
          <w:sz w:val="22"/>
        </w:rPr>
        <w:t>experiment</w:t>
      </w:r>
      <w:r>
        <w:rPr>
          <w:rFonts w:ascii="Calibri"/>
          <w:spacing w:val="-3"/>
          <w:sz w:val="22"/>
        </w:rPr>
        <w:t> </w:t>
      </w:r>
      <w:r>
        <w:rPr>
          <w:rFonts w:ascii="Calibri"/>
          <w:sz w:val="22"/>
        </w:rPr>
        <w:t>in</w:t>
      </w:r>
      <w:r>
        <w:rPr>
          <w:rFonts w:ascii="Calibri"/>
          <w:spacing w:val="-1"/>
          <w:sz w:val="22"/>
        </w:rPr>
        <w:t> </w:t>
      </w:r>
      <w:r>
        <w:rPr>
          <w:rFonts w:ascii="Calibri"/>
          <w:sz w:val="22"/>
        </w:rPr>
        <w:t>new governance?</w:t>
      </w:r>
      <w:r>
        <w:rPr>
          <w:rFonts w:ascii="Calibri"/>
          <w:spacing w:val="2"/>
          <w:sz w:val="22"/>
        </w:rPr>
        <w:t> </w:t>
      </w:r>
      <w:r>
        <w:rPr>
          <w:rFonts w:ascii="Calibri"/>
          <w:i/>
          <w:sz w:val="22"/>
        </w:rPr>
        <w:t>Annual</w:t>
      </w:r>
      <w:r>
        <w:rPr>
          <w:rFonts w:ascii="Calibri"/>
          <w:i/>
          <w:spacing w:val="1"/>
          <w:sz w:val="22"/>
        </w:rPr>
        <w:t> </w:t>
      </w:r>
      <w:r>
        <w:rPr>
          <w:rFonts w:ascii="Calibri"/>
          <w:i/>
          <w:sz w:val="22"/>
        </w:rPr>
        <w:t>Review of</w:t>
      </w:r>
      <w:r>
        <w:rPr>
          <w:rFonts w:ascii="Calibri"/>
          <w:i/>
          <w:spacing w:val="-1"/>
          <w:sz w:val="22"/>
        </w:rPr>
        <w:t> </w:t>
      </w:r>
      <w:r>
        <w:rPr>
          <w:rFonts w:ascii="Calibri"/>
          <w:i/>
          <w:sz w:val="22"/>
        </w:rPr>
        <w:t>Political</w:t>
      </w:r>
      <w:r>
        <w:rPr>
          <w:rFonts w:ascii="Calibri"/>
          <w:i/>
          <w:spacing w:val="-3"/>
          <w:sz w:val="22"/>
        </w:rPr>
        <w:t> </w:t>
      </w:r>
      <w:r>
        <w:rPr>
          <w:rFonts w:ascii="Calibri"/>
          <w:i/>
          <w:sz w:val="22"/>
        </w:rPr>
        <w:t>Science,</w:t>
      </w:r>
      <w:r>
        <w:rPr>
          <w:rFonts w:ascii="Calibri"/>
          <w:i/>
          <w:spacing w:val="-4"/>
          <w:sz w:val="22"/>
        </w:rPr>
        <w:t> </w:t>
      </w:r>
      <w:r>
        <w:rPr>
          <w:rFonts w:ascii="Calibri"/>
          <w:i/>
          <w:sz w:val="22"/>
        </w:rPr>
        <w:t>8</w:t>
      </w:r>
      <w:r>
        <w:rPr>
          <w:rFonts w:ascii="Calibri"/>
          <w:sz w:val="22"/>
        </w:rPr>
        <w:t>,</w:t>
      </w:r>
      <w:r>
        <w:rPr>
          <w:rFonts w:ascii="Calibri"/>
          <w:spacing w:val="-3"/>
          <w:sz w:val="22"/>
        </w:rPr>
        <w:t> </w:t>
      </w:r>
      <w:r>
        <w:rPr>
          <w:rFonts w:ascii="Calibri"/>
          <w:spacing w:val="-4"/>
          <w:sz w:val="22"/>
        </w:rPr>
        <w:t>357-</w:t>
      </w:r>
    </w:p>
    <w:p>
      <w:pPr>
        <w:spacing w:before="0"/>
        <w:ind w:left="1700" w:right="0" w:firstLine="0"/>
        <w:jc w:val="both"/>
        <w:rPr>
          <w:rFonts w:ascii="Calibri"/>
          <w:sz w:val="22"/>
        </w:rPr>
      </w:pPr>
      <w:r>
        <w:rPr>
          <w:rFonts w:ascii="Calibri"/>
          <w:sz w:val="22"/>
        </w:rPr>
        <w:t>398.</w:t>
      </w:r>
      <w:r>
        <w:rPr>
          <w:rFonts w:ascii="Calibri"/>
          <w:spacing w:val="-6"/>
          <w:sz w:val="22"/>
        </w:rPr>
        <w:t> </w:t>
      </w:r>
      <w:r>
        <w:rPr>
          <w:rFonts w:ascii="Calibri"/>
          <w:sz w:val="22"/>
        </w:rPr>
        <w:t>doi:</w:t>
      </w:r>
      <w:r>
        <w:rPr>
          <w:rFonts w:ascii="Calibri"/>
          <w:spacing w:val="-7"/>
          <w:sz w:val="22"/>
        </w:rPr>
        <w:t> </w:t>
      </w:r>
      <w:r>
        <w:rPr>
          <w:rFonts w:ascii="Calibri"/>
          <w:spacing w:val="-2"/>
          <w:sz w:val="22"/>
        </w:rPr>
        <w:t>10.1146/annurev.polsci.8.082103.104858</w:t>
      </w:r>
    </w:p>
    <w:p>
      <w:pPr>
        <w:spacing w:before="0"/>
        <w:ind w:left="979" w:right="0" w:firstLine="0"/>
        <w:jc w:val="both"/>
        <w:rPr>
          <w:rFonts w:ascii="Calibri"/>
          <w:i/>
          <w:sz w:val="22"/>
        </w:rPr>
      </w:pPr>
      <w:bookmarkStart w:name="_bookmark341" w:id="342"/>
      <w:bookmarkEnd w:id="342"/>
      <w:r>
        <w:rPr/>
      </w:r>
      <w:r>
        <w:rPr>
          <w:rFonts w:ascii="Calibri"/>
          <w:sz w:val="22"/>
        </w:rPr>
        <w:t>Pollack,</w:t>
      </w:r>
      <w:r>
        <w:rPr>
          <w:rFonts w:ascii="Calibri"/>
          <w:spacing w:val="-1"/>
          <w:sz w:val="22"/>
        </w:rPr>
        <w:t> </w:t>
      </w:r>
      <w:r>
        <w:rPr>
          <w:rFonts w:ascii="Calibri"/>
          <w:sz w:val="22"/>
        </w:rPr>
        <w:t>M.</w:t>
      </w:r>
      <w:r>
        <w:rPr>
          <w:rFonts w:ascii="Calibri"/>
          <w:spacing w:val="5"/>
          <w:sz w:val="22"/>
        </w:rPr>
        <w:t> </w:t>
      </w:r>
      <w:r>
        <w:rPr>
          <w:rFonts w:ascii="Calibri"/>
          <w:sz w:val="22"/>
        </w:rPr>
        <w:t>A. (2006).</w:t>
      </w:r>
      <w:r>
        <w:rPr>
          <w:rFonts w:ascii="Calibri"/>
          <w:spacing w:val="8"/>
          <w:sz w:val="22"/>
        </w:rPr>
        <w:t> </w:t>
      </w:r>
      <w:r>
        <w:rPr>
          <w:rFonts w:ascii="Calibri"/>
          <w:i/>
          <w:sz w:val="22"/>
        </w:rPr>
        <w:t>Rational</w:t>
      </w:r>
      <w:r>
        <w:rPr>
          <w:rFonts w:ascii="Calibri"/>
          <w:i/>
          <w:spacing w:val="5"/>
          <w:sz w:val="22"/>
        </w:rPr>
        <w:t> </w:t>
      </w:r>
      <w:r>
        <w:rPr>
          <w:rFonts w:ascii="Calibri"/>
          <w:i/>
          <w:sz w:val="22"/>
        </w:rPr>
        <w:t>Choice</w:t>
      </w:r>
      <w:r>
        <w:rPr>
          <w:rFonts w:ascii="Calibri"/>
          <w:i/>
          <w:spacing w:val="3"/>
          <w:sz w:val="22"/>
        </w:rPr>
        <w:t> </w:t>
      </w:r>
      <w:r>
        <w:rPr>
          <w:rFonts w:ascii="Calibri"/>
          <w:i/>
          <w:sz w:val="22"/>
        </w:rPr>
        <w:t>and</w:t>
      </w:r>
      <w:r>
        <w:rPr>
          <w:rFonts w:ascii="Calibri"/>
          <w:i/>
          <w:spacing w:val="5"/>
          <w:sz w:val="22"/>
        </w:rPr>
        <w:t> </w:t>
      </w:r>
      <w:r>
        <w:rPr>
          <w:rFonts w:ascii="Calibri"/>
          <w:i/>
          <w:sz w:val="22"/>
        </w:rPr>
        <w:t>EU Politics. Handbook of</w:t>
      </w:r>
      <w:r>
        <w:rPr>
          <w:rFonts w:ascii="Calibri"/>
          <w:i/>
          <w:spacing w:val="3"/>
          <w:sz w:val="22"/>
        </w:rPr>
        <w:t> </w:t>
      </w:r>
      <w:r>
        <w:rPr>
          <w:rFonts w:ascii="Calibri"/>
          <w:i/>
          <w:sz w:val="22"/>
        </w:rPr>
        <w:t>European</w:t>
      </w:r>
      <w:r>
        <w:rPr>
          <w:rFonts w:ascii="Calibri"/>
          <w:i/>
          <w:spacing w:val="5"/>
          <w:sz w:val="22"/>
        </w:rPr>
        <w:t> </w:t>
      </w:r>
      <w:r>
        <w:rPr>
          <w:rFonts w:ascii="Calibri"/>
          <w:i/>
          <w:sz w:val="22"/>
        </w:rPr>
        <w:t>Union</w:t>
      </w:r>
      <w:r>
        <w:rPr>
          <w:rFonts w:ascii="Calibri"/>
          <w:i/>
          <w:spacing w:val="5"/>
          <w:sz w:val="22"/>
        </w:rPr>
        <w:t> </w:t>
      </w:r>
      <w:r>
        <w:rPr>
          <w:rFonts w:ascii="Calibri"/>
          <w:i/>
          <w:spacing w:val="-2"/>
          <w:sz w:val="22"/>
        </w:rPr>
        <w:t>Politics.</w:t>
      </w:r>
    </w:p>
    <w:p>
      <w:pPr>
        <w:spacing w:before="0"/>
        <w:ind w:left="1700" w:right="0" w:firstLine="0"/>
        <w:jc w:val="both"/>
        <w:rPr>
          <w:rFonts w:ascii="Calibri"/>
          <w:sz w:val="22"/>
        </w:rPr>
      </w:pPr>
      <w:r>
        <w:rPr>
          <w:rFonts w:ascii="Calibri"/>
          <w:i/>
          <w:sz w:val="22"/>
        </w:rPr>
        <w:t>SAGE</w:t>
      </w:r>
      <w:r>
        <w:rPr>
          <w:rFonts w:ascii="Calibri"/>
          <w:i/>
          <w:spacing w:val="-10"/>
          <w:sz w:val="22"/>
        </w:rPr>
        <w:t> </w:t>
      </w:r>
      <w:r>
        <w:rPr>
          <w:rFonts w:ascii="Calibri"/>
          <w:i/>
          <w:sz w:val="22"/>
        </w:rPr>
        <w:t>Publications</w:t>
      </w:r>
      <w:r>
        <w:rPr>
          <w:rFonts w:ascii="Calibri"/>
          <w:i/>
          <w:spacing w:val="-7"/>
          <w:sz w:val="22"/>
        </w:rPr>
        <w:t> </w:t>
      </w:r>
      <w:r>
        <w:rPr>
          <w:rFonts w:ascii="Calibri"/>
          <w:i/>
          <w:sz w:val="22"/>
        </w:rPr>
        <w:t>Ltd</w:t>
      </w:r>
      <w:r>
        <w:rPr>
          <w:rFonts w:ascii="Calibri"/>
          <w:sz w:val="22"/>
        </w:rPr>
        <w:t>.</w:t>
      </w:r>
      <w:r>
        <w:rPr>
          <w:rFonts w:ascii="Calibri"/>
          <w:spacing w:val="-6"/>
          <w:sz w:val="22"/>
        </w:rPr>
        <w:t> </w:t>
      </w:r>
      <w:r>
        <w:rPr>
          <w:rFonts w:ascii="Calibri"/>
          <w:sz w:val="22"/>
        </w:rPr>
        <w:t>London:</w:t>
      </w:r>
      <w:r>
        <w:rPr>
          <w:rFonts w:ascii="Calibri"/>
          <w:spacing w:val="-8"/>
          <w:sz w:val="22"/>
        </w:rPr>
        <w:t> </w:t>
      </w:r>
      <w:r>
        <w:rPr>
          <w:rFonts w:ascii="Calibri"/>
          <w:sz w:val="22"/>
        </w:rPr>
        <w:t>SAGE</w:t>
      </w:r>
      <w:r>
        <w:rPr>
          <w:rFonts w:ascii="Calibri"/>
          <w:spacing w:val="-10"/>
          <w:sz w:val="22"/>
        </w:rPr>
        <w:t> </w:t>
      </w:r>
      <w:r>
        <w:rPr>
          <w:rFonts w:ascii="Calibri"/>
          <w:sz w:val="22"/>
        </w:rPr>
        <w:t>Publications</w:t>
      </w:r>
      <w:r>
        <w:rPr>
          <w:rFonts w:ascii="Calibri"/>
          <w:spacing w:val="-6"/>
          <w:sz w:val="22"/>
        </w:rPr>
        <w:t> </w:t>
      </w:r>
      <w:r>
        <w:rPr>
          <w:rFonts w:ascii="Calibri"/>
          <w:spacing w:val="-4"/>
          <w:sz w:val="22"/>
        </w:rPr>
        <w:t>Ltd.</w:t>
      </w:r>
    </w:p>
    <w:p>
      <w:pPr>
        <w:spacing w:before="0"/>
        <w:ind w:left="1700" w:right="1900" w:hanging="721"/>
        <w:jc w:val="both"/>
        <w:rPr>
          <w:rFonts w:ascii="Calibri"/>
          <w:sz w:val="22"/>
        </w:rPr>
      </w:pPr>
      <w:bookmarkStart w:name="_bookmark342" w:id="343"/>
      <w:bookmarkEnd w:id="343"/>
      <w:r>
        <w:rPr/>
      </w:r>
      <w:r>
        <w:rPr>
          <w:rFonts w:ascii="Calibri"/>
          <w:sz w:val="22"/>
        </w:rPr>
        <w:t>Pollack, M. A. (2007). The New Institutionalisms and European Integration. </w:t>
      </w:r>
      <w:r>
        <w:rPr>
          <w:rFonts w:ascii="Calibri"/>
          <w:i/>
          <w:sz w:val="22"/>
        </w:rPr>
        <w:t>The Constitutionalism Web-Papers</w:t>
      </w:r>
      <w:r>
        <w:rPr>
          <w:rFonts w:ascii="Calibri"/>
          <w:sz w:val="22"/>
        </w:rPr>
        <w:t>.</w:t>
      </w:r>
    </w:p>
    <w:p>
      <w:pPr>
        <w:spacing w:before="0"/>
        <w:ind w:left="979" w:right="0" w:firstLine="0"/>
        <w:jc w:val="both"/>
        <w:rPr>
          <w:rFonts w:ascii="Calibri"/>
          <w:sz w:val="22"/>
        </w:rPr>
      </w:pPr>
      <w:bookmarkStart w:name="_bookmark343" w:id="344"/>
      <w:bookmarkEnd w:id="344"/>
      <w:r>
        <w:rPr/>
      </w:r>
      <w:r>
        <w:rPr>
          <w:rFonts w:ascii="Calibri"/>
          <w:sz w:val="22"/>
        </w:rPr>
        <w:t>Popoviciu,</w:t>
      </w:r>
      <w:r>
        <w:rPr>
          <w:rFonts w:ascii="Calibri"/>
          <w:spacing w:val="3"/>
          <w:sz w:val="22"/>
        </w:rPr>
        <w:t> </w:t>
      </w:r>
      <w:r>
        <w:rPr>
          <w:rFonts w:ascii="Calibri"/>
          <w:sz w:val="22"/>
        </w:rPr>
        <w:t>A.-C.</w:t>
      </w:r>
      <w:r>
        <w:rPr>
          <w:rFonts w:ascii="Calibri"/>
          <w:spacing w:val="10"/>
          <w:sz w:val="22"/>
        </w:rPr>
        <w:t> </w:t>
      </w:r>
      <w:r>
        <w:rPr>
          <w:rFonts w:ascii="Calibri"/>
          <w:sz w:val="22"/>
        </w:rPr>
        <w:t>(2010).</w:t>
      </w:r>
      <w:r>
        <w:rPr>
          <w:rFonts w:ascii="Calibri"/>
          <w:spacing w:val="9"/>
          <w:sz w:val="22"/>
        </w:rPr>
        <w:t> </w:t>
      </w:r>
      <w:r>
        <w:rPr>
          <w:rFonts w:ascii="Calibri"/>
          <w:sz w:val="22"/>
        </w:rPr>
        <w:t>David</w:t>
      </w:r>
      <w:r>
        <w:rPr>
          <w:rFonts w:ascii="Calibri"/>
          <w:spacing w:val="7"/>
          <w:sz w:val="22"/>
        </w:rPr>
        <w:t> </w:t>
      </w:r>
      <w:r>
        <w:rPr>
          <w:rFonts w:ascii="Calibri"/>
          <w:sz w:val="22"/>
        </w:rPr>
        <w:t>Mitrany</w:t>
      </w:r>
      <w:r>
        <w:rPr>
          <w:rFonts w:ascii="Calibri"/>
          <w:spacing w:val="9"/>
          <w:sz w:val="22"/>
        </w:rPr>
        <w:t> </w:t>
      </w:r>
      <w:r>
        <w:rPr>
          <w:rFonts w:ascii="Calibri"/>
          <w:sz w:val="22"/>
        </w:rPr>
        <w:t>and</w:t>
      </w:r>
      <w:r>
        <w:rPr>
          <w:rFonts w:ascii="Calibri"/>
          <w:spacing w:val="6"/>
          <w:sz w:val="22"/>
        </w:rPr>
        <w:t> </w:t>
      </w:r>
      <w:r>
        <w:rPr>
          <w:rFonts w:ascii="Calibri"/>
          <w:sz w:val="22"/>
        </w:rPr>
        <w:t>Functionalism.</w:t>
      </w:r>
      <w:r>
        <w:rPr>
          <w:rFonts w:ascii="Calibri"/>
          <w:spacing w:val="10"/>
          <w:sz w:val="22"/>
        </w:rPr>
        <w:t> </w:t>
      </w:r>
      <w:r>
        <w:rPr>
          <w:rFonts w:ascii="Calibri"/>
          <w:sz w:val="22"/>
        </w:rPr>
        <w:t>The</w:t>
      </w:r>
      <w:r>
        <w:rPr>
          <w:rFonts w:ascii="Calibri"/>
          <w:spacing w:val="8"/>
          <w:sz w:val="22"/>
        </w:rPr>
        <w:t> </w:t>
      </w:r>
      <w:r>
        <w:rPr>
          <w:rFonts w:ascii="Calibri"/>
          <w:sz w:val="22"/>
        </w:rPr>
        <w:t>Beginnings</w:t>
      </w:r>
      <w:r>
        <w:rPr>
          <w:rFonts w:ascii="Calibri"/>
          <w:spacing w:val="8"/>
          <w:sz w:val="22"/>
        </w:rPr>
        <w:t> </w:t>
      </w:r>
      <w:r>
        <w:rPr>
          <w:rFonts w:ascii="Calibri"/>
          <w:sz w:val="22"/>
        </w:rPr>
        <w:t>of</w:t>
      </w:r>
      <w:r>
        <w:rPr>
          <w:rFonts w:ascii="Calibri"/>
          <w:spacing w:val="8"/>
          <w:sz w:val="22"/>
        </w:rPr>
        <w:t> </w:t>
      </w:r>
      <w:r>
        <w:rPr>
          <w:rFonts w:ascii="Calibri"/>
          <w:spacing w:val="-2"/>
          <w:sz w:val="22"/>
        </w:rPr>
        <w:t>Functionalism.</w:t>
      </w:r>
    </w:p>
    <w:p>
      <w:pPr>
        <w:spacing w:before="0"/>
        <w:ind w:left="1700" w:right="0" w:firstLine="0"/>
        <w:jc w:val="both"/>
        <w:rPr>
          <w:rFonts w:ascii="Calibri"/>
          <w:sz w:val="22"/>
        </w:rPr>
      </w:pPr>
      <w:r>
        <w:rPr>
          <w:rFonts w:ascii="Calibri"/>
          <w:i/>
          <w:sz w:val="22"/>
        </w:rPr>
        <w:t>Romanian</w:t>
      </w:r>
      <w:r>
        <w:rPr>
          <w:rFonts w:ascii="Calibri"/>
          <w:i/>
          <w:spacing w:val="-7"/>
          <w:sz w:val="22"/>
        </w:rPr>
        <w:t> </w:t>
      </w:r>
      <w:r>
        <w:rPr>
          <w:rFonts w:ascii="Calibri"/>
          <w:i/>
          <w:sz w:val="22"/>
        </w:rPr>
        <w:t>Review</w:t>
      </w:r>
      <w:r>
        <w:rPr>
          <w:rFonts w:ascii="Calibri"/>
          <w:i/>
          <w:spacing w:val="-7"/>
          <w:sz w:val="22"/>
        </w:rPr>
        <w:t> </w:t>
      </w:r>
      <w:r>
        <w:rPr>
          <w:rFonts w:ascii="Calibri"/>
          <w:i/>
          <w:sz w:val="22"/>
        </w:rPr>
        <w:t>on</w:t>
      </w:r>
      <w:r>
        <w:rPr>
          <w:rFonts w:ascii="Calibri"/>
          <w:i/>
          <w:spacing w:val="-6"/>
          <w:sz w:val="22"/>
        </w:rPr>
        <w:t> </w:t>
      </w:r>
      <w:r>
        <w:rPr>
          <w:rFonts w:ascii="Calibri"/>
          <w:i/>
          <w:sz w:val="22"/>
        </w:rPr>
        <w:t>Political</w:t>
      </w:r>
      <w:r>
        <w:rPr>
          <w:rFonts w:ascii="Calibri"/>
          <w:i/>
          <w:spacing w:val="-5"/>
          <w:sz w:val="22"/>
        </w:rPr>
        <w:t> </w:t>
      </w:r>
      <w:r>
        <w:rPr>
          <w:rFonts w:ascii="Calibri"/>
          <w:i/>
          <w:sz w:val="22"/>
        </w:rPr>
        <w:t>Geography,</w:t>
      </w:r>
      <w:r>
        <w:rPr>
          <w:rFonts w:ascii="Calibri"/>
          <w:i/>
          <w:spacing w:val="-10"/>
          <w:sz w:val="22"/>
        </w:rPr>
        <w:t> </w:t>
      </w:r>
      <w:r>
        <w:rPr>
          <w:rFonts w:ascii="Calibri"/>
          <w:i/>
          <w:sz w:val="22"/>
        </w:rPr>
        <w:t>1</w:t>
      </w:r>
      <w:r>
        <w:rPr>
          <w:rFonts w:ascii="Calibri"/>
          <w:sz w:val="22"/>
        </w:rPr>
        <w:t>(XXII),</w:t>
      </w:r>
      <w:r>
        <w:rPr>
          <w:rFonts w:ascii="Calibri"/>
          <w:spacing w:val="-8"/>
          <w:sz w:val="22"/>
        </w:rPr>
        <w:t> </w:t>
      </w:r>
      <w:r>
        <w:rPr>
          <w:rFonts w:ascii="Calibri"/>
          <w:sz w:val="22"/>
        </w:rPr>
        <w:t>162-</w:t>
      </w:r>
      <w:r>
        <w:rPr>
          <w:rFonts w:ascii="Calibri"/>
          <w:spacing w:val="-4"/>
          <w:sz w:val="22"/>
        </w:rPr>
        <w:t>172.</w:t>
      </w:r>
    </w:p>
    <w:p>
      <w:pPr>
        <w:spacing w:before="0"/>
        <w:ind w:left="1700" w:right="1904" w:hanging="721"/>
        <w:jc w:val="both"/>
        <w:rPr>
          <w:rFonts w:ascii="Calibri"/>
          <w:sz w:val="22"/>
        </w:rPr>
      </w:pPr>
      <w:bookmarkStart w:name="_bookmark344" w:id="345"/>
      <w:bookmarkEnd w:id="345"/>
      <w:r>
        <w:rPr/>
      </w:r>
      <w:r>
        <w:rPr>
          <w:rFonts w:ascii="Calibri"/>
          <w:sz w:val="22"/>
        </w:rPr>
        <w:t>Princen, S. (2009). </w:t>
      </w:r>
      <w:r>
        <w:rPr>
          <w:rFonts w:ascii="Calibri"/>
          <w:i/>
          <w:sz w:val="22"/>
        </w:rPr>
        <w:t>Agenda-setting in the European Union</w:t>
      </w:r>
      <w:r>
        <w:rPr>
          <w:rFonts w:ascii="Calibri"/>
          <w:sz w:val="22"/>
        </w:rPr>
        <w:t>. Houndmills, Basingstoke, Hampshire ; New York: Palgrave Macmillan.</w:t>
      </w:r>
    </w:p>
    <w:p>
      <w:pPr>
        <w:spacing w:line="235" w:lineRule="auto" w:before="5"/>
        <w:ind w:left="1700" w:right="1907" w:hanging="721"/>
        <w:jc w:val="both"/>
        <w:rPr>
          <w:rFonts w:ascii="Calibri"/>
          <w:sz w:val="22"/>
        </w:rPr>
      </w:pPr>
      <w:bookmarkStart w:name="_bookmark345" w:id="346"/>
      <w:bookmarkEnd w:id="346"/>
      <w:r>
        <w:rPr/>
      </w:r>
      <w:r>
        <w:rPr>
          <w:rFonts w:ascii="Calibri"/>
          <w:sz w:val="22"/>
        </w:rPr>
        <w:t>Prodi,</w:t>
      </w:r>
      <w:r>
        <w:rPr>
          <w:rFonts w:ascii="Calibri"/>
          <w:spacing w:val="-3"/>
          <w:sz w:val="22"/>
        </w:rPr>
        <w:t> </w:t>
      </w:r>
      <w:r>
        <w:rPr>
          <w:rFonts w:ascii="Calibri"/>
          <w:sz w:val="22"/>
        </w:rPr>
        <w:t>R. (1999). Speech</w:t>
      </w:r>
      <w:r>
        <w:rPr>
          <w:rFonts w:ascii="Calibri"/>
          <w:spacing w:val="-1"/>
          <w:sz w:val="22"/>
        </w:rPr>
        <w:t> </w:t>
      </w:r>
      <w:r>
        <w:rPr>
          <w:rFonts w:ascii="Calibri"/>
          <w:sz w:val="22"/>
        </w:rPr>
        <w:t>by Romano</w:t>
      </w:r>
      <w:r>
        <w:rPr>
          <w:rFonts w:ascii="Calibri"/>
          <w:spacing w:val="-2"/>
          <w:sz w:val="22"/>
        </w:rPr>
        <w:t> </w:t>
      </w:r>
      <w:r>
        <w:rPr>
          <w:rFonts w:ascii="Calibri"/>
          <w:sz w:val="22"/>
        </w:rPr>
        <w:t>Prodi,</w:t>
      </w:r>
      <w:r>
        <w:rPr>
          <w:rFonts w:ascii="Calibri"/>
          <w:spacing w:val="-3"/>
          <w:sz w:val="22"/>
        </w:rPr>
        <w:t> </w:t>
      </w:r>
      <w:r>
        <w:rPr>
          <w:rFonts w:ascii="Calibri"/>
          <w:sz w:val="22"/>
        </w:rPr>
        <w:t>President-designate of</w:t>
      </w:r>
      <w:r>
        <w:rPr>
          <w:rFonts w:ascii="Calibri"/>
          <w:spacing w:val="-1"/>
          <w:sz w:val="22"/>
        </w:rPr>
        <w:t> </w:t>
      </w:r>
      <w:r>
        <w:rPr>
          <w:rFonts w:ascii="Calibri"/>
          <w:sz w:val="22"/>
        </w:rPr>
        <w:t>the European</w:t>
      </w:r>
      <w:r>
        <w:rPr>
          <w:rFonts w:ascii="Calibri"/>
          <w:spacing w:val="-1"/>
          <w:sz w:val="22"/>
        </w:rPr>
        <w:t> </w:t>
      </w:r>
      <w:r>
        <w:rPr>
          <w:rFonts w:ascii="Calibri"/>
          <w:sz w:val="22"/>
        </w:rPr>
        <w:t>Commission to the European Parliament [Press release]</w:t>
      </w:r>
    </w:p>
    <w:p>
      <w:pPr>
        <w:spacing w:before="2"/>
        <w:ind w:left="1700" w:right="1908" w:hanging="721"/>
        <w:jc w:val="both"/>
        <w:rPr>
          <w:rFonts w:ascii="Calibri"/>
          <w:sz w:val="22"/>
        </w:rPr>
      </w:pPr>
      <w:r>
        <w:rPr>
          <w:rFonts w:ascii="Calibri"/>
          <w:sz w:val="22"/>
        </w:rPr>
        <w:t>Proposal for a regulation of the European Parliament and of the Council regarding public access to European Parliament, Council and Commission documents Commission of The European Communities (2008).</w:t>
      </w:r>
    </w:p>
    <w:p>
      <w:pPr>
        <w:spacing w:before="2"/>
        <w:ind w:left="1700" w:right="1904" w:hanging="721"/>
        <w:jc w:val="both"/>
        <w:rPr>
          <w:rFonts w:ascii="Calibri" w:hAnsi="Calibri"/>
          <w:sz w:val="22"/>
        </w:rPr>
      </w:pPr>
      <w:bookmarkStart w:name="_bookmark346" w:id="347"/>
      <w:bookmarkEnd w:id="347"/>
      <w:r>
        <w:rPr/>
      </w:r>
      <w:r>
        <w:rPr>
          <w:rFonts w:ascii="Calibri" w:hAnsi="Calibri"/>
          <w:sz w:val="22"/>
        </w:rPr>
        <w:t>Puchala,</w:t>
      </w:r>
      <w:r>
        <w:rPr>
          <w:rFonts w:ascii="Calibri" w:hAnsi="Calibri"/>
          <w:spacing w:val="-3"/>
          <w:sz w:val="22"/>
        </w:rPr>
        <w:t> </w:t>
      </w:r>
      <w:r>
        <w:rPr>
          <w:rFonts w:ascii="Calibri" w:hAnsi="Calibri"/>
          <w:sz w:val="22"/>
        </w:rPr>
        <w:t>D. J.</w:t>
      </w:r>
      <w:r>
        <w:rPr>
          <w:rFonts w:ascii="Calibri" w:hAnsi="Calibri"/>
          <w:spacing w:val="-4"/>
          <w:sz w:val="22"/>
        </w:rPr>
        <w:t> </w:t>
      </w:r>
      <w:r>
        <w:rPr>
          <w:rFonts w:ascii="Calibri" w:hAnsi="Calibri"/>
          <w:sz w:val="22"/>
        </w:rPr>
        <w:t>(1972). Of</w:t>
      </w:r>
      <w:r>
        <w:rPr>
          <w:rFonts w:ascii="Calibri" w:hAnsi="Calibri"/>
          <w:spacing w:val="-1"/>
          <w:sz w:val="22"/>
        </w:rPr>
        <w:t> </w:t>
      </w:r>
      <w:r>
        <w:rPr>
          <w:rFonts w:ascii="Calibri" w:hAnsi="Calibri"/>
          <w:sz w:val="22"/>
        </w:rPr>
        <w:t>Blind</w:t>
      </w:r>
      <w:r>
        <w:rPr>
          <w:rFonts w:ascii="Calibri" w:hAnsi="Calibri"/>
          <w:spacing w:val="-5"/>
          <w:sz w:val="22"/>
        </w:rPr>
        <w:t> </w:t>
      </w:r>
      <w:r>
        <w:rPr>
          <w:rFonts w:ascii="Calibri" w:hAnsi="Calibri"/>
          <w:sz w:val="22"/>
        </w:rPr>
        <w:t>Men,</w:t>
      </w:r>
      <w:r>
        <w:rPr>
          <w:rFonts w:ascii="Calibri" w:hAnsi="Calibri"/>
          <w:spacing w:val="-3"/>
          <w:sz w:val="22"/>
        </w:rPr>
        <w:t> </w:t>
      </w:r>
      <w:r>
        <w:rPr>
          <w:rFonts w:ascii="Calibri" w:hAnsi="Calibri"/>
          <w:sz w:val="22"/>
        </w:rPr>
        <w:t>Elephants</w:t>
      </w:r>
      <w:r>
        <w:rPr>
          <w:rFonts w:ascii="Calibri" w:hAnsi="Calibri"/>
          <w:spacing w:val="-1"/>
          <w:sz w:val="22"/>
        </w:rPr>
        <w:t> </w:t>
      </w:r>
      <w:r>
        <w:rPr>
          <w:rFonts w:ascii="Calibri" w:hAnsi="Calibri"/>
          <w:sz w:val="22"/>
        </w:rPr>
        <w:t>and</w:t>
      </w:r>
      <w:r>
        <w:rPr>
          <w:rFonts w:ascii="Calibri" w:hAnsi="Calibri"/>
          <w:spacing w:val="-1"/>
          <w:sz w:val="22"/>
        </w:rPr>
        <w:t> </w:t>
      </w:r>
      <w:r>
        <w:rPr>
          <w:rFonts w:ascii="Calibri" w:hAnsi="Calibri"/>
          <w:sz w:val="22"/>
        </w:rPr>
        <w:t>European</w:t>
      </w:r>
      <w:r>
        <w:rPr>
          <w:rFonts w:ascii="Calibri" w:hAnsi="Calibri"/>
          <w:spacing w:val="-1"/>
          <w:sz w:val="22"/>
        </w:rPr>
        <w:t> </w:t>
      </w:r>
      <w:r>
        <w:rPr>
          <w:rFonts w:ascii="Calibri" w:hAnsi="Calibri"/>
          <w:sz w:val="22"/>
        </w:rPr>
        <w:t>Integration. </w:t>
      </w:r>
      <w:r>
        <w:rPr>
          <w:rFonts w:ascii="Calibri" w:hAnsi="Calibri"/>
          <w:i/>
          <w:sz w:val="22"/>
        </w:rPr>
        <w:t>Journal</w:t>
      </w:r>
      <w:r>
        <w:rPr>
          <w:rFonts w:ascii="Calibri" w:hAnsi="Calibri"/>
          <w:i/>
          <w:spacing w:val="-3"/>
          <w:sz w:val="22"/>
        </w:rPr>
        <w:t> </w:t>
      </w:r>
      <w:r>
        <w:rPr>
          <w:rFonts w:ascii="Calibri" w:hAnsi="Calibri"/>
          <w:i/>
          <w:sz w:val="22"/>
        </w:rPr>
        <w:t>of</w:t>
      </w:r>
      <w:r>
        <w:rPr>
          <w:rFonts w:ascii="Calibri" w:hAnsi="Calibri"/>
          <w:i/>
          <w:spacing w:val="-1"/>
          <w:sz w:val="22"/>
        </w:rPr>
        <w:t> </w:t>
      </w:r>
      <w:r>
        <w:rPr>
          <w:rFonts w:ascii="Calibri" w:hAnsi="Calibri"/>
          <w:i/>
          <w:sz w:val="22"/>
        </w:rPr>
        <w:t>Common Market Studies, 10</w:t>
      </w:r>
      <w:r>
        <w:rPr>
          <w:rFonts w:ascii="Calibri" w:hAnsi="Calibri"/>
          <w:sz w:val="22"/>
        </w:rPr>
        <w:t>, 267–284.</w:t>
      </w:r>
    </w:p>
    <w:p>
      <w:pPr>
        <w:spacing w:before="0"/>
        <w:ind w:left="1700" w:right="1907" w:hanging="721"/>
        <w:jc w:val="both"/>
        <w:rPr>
          <w:rFonts w:ascii="Calibri"/>
          <w:sz w:val="22"/>
        </w:rPr>
      </w:pPr>
      <w:bookmarkStart w:name="_bookmark347" w:id="348"/>
      <w:bookmarkEnd w:id="348"/>
      <w:r>
        <w:rPr/>
      </w:r>
      <w:r>
        <w:rPr>
          <w:rFonts w:ascii="Calibri"/>
          <w:sz w:val="22"/>
        </w:rPr>
        <w:t>Putnam, L., &amp; Nicotera, A. M. (2009). </w:t>
      </w:r>
      <w:r>
        <w:rPr>
          <w:rFonts w:ascii="Calibri"/>
          <w:i/>
          <w:sz w:val="22"/>
        </w:rPr>
        <w:t>Building theories of organization : the constitutive role of communication</w:t>
      </w:r>
      <w:r>
        <w:rPr>
          <w:rFonts w:ascii="Calibri"/>
          <w:sz w:val="22"/>
        </w:rPr>
        <w:t>. New York ; Abingdon: Routledge.</w:t>
      </w:r>
    </w:p>
    <w:p>
      <w:pPr>
        <w:spacing w:before="1"/>
        <w:ind w:left="979" w:right="0" w:firstLine="0"/>
        <w:jc w:val="both"/>
        <w:rPr>
          <w:rFonts w:ascii="Calibri"/>
          <w:sz w:val="22"/>
        </w:rPr>
      </w:pPr>
      <w:bookmarkStart w:name="_bookmark348" w:id="349"/>
      <w:bookmarkEnd w:id="349"/>
      <w:r>
        <w:rPr/>
      </w:r>
      <w:r>
        <w:rPr>
          <w:rFonts w:ascii="Calibri"/>
          <w:sz w:val="22"/>
        </w:rPr>
        <w:t>Ramage,</w:t>
      </w:r>
      <w:r>
        <w:rPr>
          <w:rFonts w:ascii="Calibri"/>
          <w:spacing w:val="-9"/>
          <w:sz w:val="22"/>
        </w:rPr>
        <w:t> </w:t>
      </w:r>
      <w:r>
        <w:rPr>
          <w:rFonts w:ascii="Calibri"/>
          <w:sz w:val="22"/>
        </w:rPr>
        <w:t>M.,</w:t>
      </w:r>
      <w:r>
        <w:rPr>
          <w:rFonts w:ascii="Calibri"/>
          <w:spacing w:val="-7"/>
          <w:sz w:val="22"/>
        </w:rPr>
        <w:t> </w:t>
      </w:r>
      <w:r>
        <w:rPr>
          <w:rFonts w:ascii="Calibri"/>
          <w:sz w:val="22"/>
        </w:rPr>
        <w:t>&amp;</w:t>
      </w:r>
      <w:r>
        <w:rPr>
          <w:rFonts w:ascii="Calibri"/>
          <w:spacing w:val="-7"/>
          <w:sz w:val="22"/>
        </w:rPr>
        <w:t> </w:t>
      </w:r>
      <w:r>
        <w:rPr>
          <w:rFonts w:ascii="Calibri"/>
          <w:sz w:val="22"/>
        </w:rPr>
        <w:t>Shipp,</w:t>
      </w:r>
      <w:r>
        <w:rPr>
          <w:rFonts w:ascii="Calibri"/>
          <w:spacing w:val="-7"/>
          <w:sz w:val="22"/>
        </w:rPr>
        <w:t> </w:t>
      </w:r>
      <w:r>
        <w:rPr>
          <w:rFonts w:ascii="Calibri"/>
          <w:sz w:val="22"/>
        </w:rPr>
        <w:t>K.</w:t>
      </w:r>
      <w:r>
        <w:rPr>
          <w:rFonts w:ascii="Calibri"/>
          <w:spacing w:val="-2"/>
          <w:sz w:val="22"/>
        </w:rPr>
        <w:t> </w:t>
      </w:r>
      <w:r>
        <w:rPr>
          <w:rFonts w:ascii="Calibri"/>
          <w:sz w:val="22"/>
        </w:rPr>
        <w:t>(2009). </w:t>
      </w:r>
      <w:r>
        <w:rPr>
          <w:rFonts w:ascii="Calibri"/>
          <w:i/>
          <w:sz w:val="22"/>
        </w:rPr>
        <w:t>Systems</w:t>
      </w:r>
      <w:r>
        <w:rPr>
          <w:rFonts w:ascii="Calibri"/>
          <w:i/>
          <w:spacing w:val="-5"/>
          <w:sz w:val="22"/>
        </w:rPr>
        <w:t> </w:t>
      </w:r>
      <w:r>
        <w:rPr>
          <w:rFonts w:ascii="Calibri"/>
          <w:i/>
          <w:sz w:val="22"/>
        </w:rPr>
        <w:t>thinkers</w:t>
      </w:r>
      <w:r>
        <w:rPr>
          <w:rFonts w:ascii="Calibri"/>
          <w:sz w:val="22"/>
        </w:rPr>
        <w:t>.</w:t>
      </w:r>
      <w:r>
        <w:rPr>
          <w:rFonts w:ascii="Calibri"/>
          <w:spacing w:val="-3"/>
          <w:sz w:val="22"/>
        </w:rPr>
        <w:t> </w:t>
      </w:r>
      <w:r>
        <w:rPr>
          <w:rFonts w:ascii="Calibri"/>
          <w:sz w:val="22"/>
        </w:rPr>
        <w:t>London:</w:t>
      </w:r>
      <w:r>
        <w:rPr>
          <w:rFonts w:ascii="Calibri"/>
          <w:spacing w:val="-6"/>
          <w:sz w:val="22"/>
        </w:rPr>
        <w:t> </w:t>
      </w:r>
      <w:r>
        <w:rPr>
          <w:rFonts w:ascii="Calibri"/>
          <w:spacing w:val="-2"/>
          <w:sz w:val="22"/>
        </w:rPr>
        <w:t>Springer.</w:t>
      </w:r>
    </w:p>
    <w:p>
      <w:pPr>
        <w:spacing w:before="0"/>
        <w:ind w:left="979" w:right="0" w:firstLine="0"/>
        <w:jc w:val="both"/>
        <w:rPr>
          <w:rFonts w:ascii="Calibri"/>
          <w:sz w:val="22"/>
        </w:rPr>
      </w:pPr>
      <w:bookmarkStart w:name="_bookmark349" w:id="350"/>
      <w:bookmarkEnd w:id="350"/>
      <w:r>
        <w:rPr/>
      </w:r>
      <w:r>
        <w:rPr>
          <w:rFonts w:ascii="Calibri"/>
          <w:sz w:val="22"/>
        </w:rPr>
        <w:t>Ramonet,</w:t>
      </w:r>
      <w:r>
        <w:rPr>
          <w:rFonts w:ascii="Calibri"/>
          <w:spacing w:val="-10"/>
          <w:sz w:val="22"/>
        </w:rPr>
        <w:t> </w:t>
      </w:r>
      <w:r>
        <w:rPr>
          <w:rFonts w:ascii="Calibri"/>
          <w:sz w:val="22"/>
        </w:rPr>
        <w:t>I.</w:t>
      </w:r>
      <w:r>
        <w:rPr>
          <w:rFonts w:ascii="Calibri"/>
          <w:spacing w:val="-4"/>
          <w:sz w:val="22"/>
        </w:rPr>
        <w:t> </w:t>
      </w:r>
      <w:r>
        <w:rPr>
          <w:rFonts w:ascii="Calibri"/>
          <w:sz w:val="22"/>
        </w:rPr>
        <w:t>(1997).</w:t>
      </w:r>
      <w:r>
        <w:rPr>
          <w:rFonts w:ascii="Calibri"/>
          <w:spacing w:val="-2"/>
          <w:sz w:val="22"/>
        </w:rPr>
        <w:t> </w:t>
      </w:r>
      <w:r>
        <w:rPr>
          <w:rFonts w:ascii="Calibri"/>
          <w:sz w:val="22"/>
        </w:rPr>
        <w:t>Time</w:t>
      </w:r>
      <w:r>
        <w:rPr>
          <w:rFonts w:ascii="Calibri"/>
          <w:spacing w:val="-5"/>
          <w:sz w:val="22"/>
        </w:rPr>
        <w:t> </w:t>
      </w:r>
      <w:r>
        <w:rPr>
          <w:rFonts w:ascii="Calibri"/>
          <w:sz w:val="22"/>
        </w:rPr>
        <w:t>for</w:t>
      </w:r>
      <w:r>
        <w:rPr>
          <w:rFonts w:ascii="Calibri"/>
          <w:spacing w:val="-5"/>
          <w:sz w:val="22"/>
        </w:rPr>
        <w:t> </w:t>
      </w:r>
      <w:r>
        <w:rPr>
          <w:rFonts w:ascii="Calibri"/>
          <w:sz w:val="22"/>
        </w:rPr>
        <w:t>a</w:t>
      </w:r>
      <w:r>
        <w:rPr>
          <w:rFonts w:ascii="Calibri"/>
          <w:spacing w:val="-4"/>
          <w:sz w:val="22"/>
        </w:rPr>
        <w:t> </w:t>
      </w:r>
      <w:r>
        <w:rPr>
          <w:rFonts w:ascii="Calibri"/>
          <w:sz w:val="22"/>
        </w:rPr>
        <w:t>new</w:t>
      </w:r>
      <w:r>
        <w:rPr>
          <w:rFonts w:ascii="Calibri"/>
          <w:spacing w:val="-5"/>
          <w:sz w:val="22"/>
        </w:rPr>
        <w:t> </w:t>
      </w:r>
      <w:r>
        <w:rPr>
          <w:rFonts w:ascii="Calibri"/>
          <w:sz w:val="22"/>
        </w:rPr>
        <w:t>Marshall</w:t>
      </w:r>
      <w:r>
        <w:rPr>
          <w:rFonts w:ascii="Calibri"/>
          <w:spacing w:val="-3"/>
          <w:sz w:val="22"/>
        </w:rPr>
        <w:t> </w:t>
      </w:r>
      <w:r>
        <w:rPr>
          <w:rFonts w:ascii="Calibri"/>
          <w:sz w:val="22"/>
        </w:rPr>
        <w:t>plan.</w:t>
      </w:r>
      <w:r>
        <w:rPr>
          <w:rFonts w:ascii="Calibri"/>
          <w:spacing w:val="1"/>
          <w:sz w:val="22"/>
        </w:rPr>
        <w:t> </w:t>
      </w:r>
      <w:r>
        <w:rPr>
          <w:rFonts w:ascii="Calibri"/>
          <w:i/>
          <w:sz w:val="22"/>
        </w:rPr>
        <w:t>Le</w:t>
      </w:r>
      <w:r>
        <w:rPr>
          <w:rFonts w:ascii="Calibri"/>
          <w:i/>
          <w:spacing w:val="-4"/>
          <w:sz w:val="22"/>
        </w:rPr>
        <w:t> </w:t>
      </w:r>
      <w:r>
        <w:rPr>
          <w:rFonts w:ascii="Calibri"/>
          <w:i/>
          <w:sz w:val="22"/>
        </w:rPr>
        <w:t>Monde</w:t>
      </w:r>
      <w:r>
        <w:rPr>
          <w:rFonts w:ascii="Calibri"/>
          <w:i/>
          <w:spacing w:val="-5"/>
          <w:sz w:val="22"/>
        </w:rPr>
        <w:t> </w:t>
      </w:r>
      <w:r>
        <w:rPr>
          <w:rFonts w:ascii="Calibri"/>
          <w:i/>
          <w:sz w:val="22"/>
        </w:rPr>
        <w:t>Diplomatique,</w:t>
      </w:r>
      <w:r>
        <w:rPr>
          <w:rFonts w:ascii="Calibri"/>
          <w:i/>
          <w:spacing w:val="-7"/>
          <w:sz w:val="22"/>
        </w:rPr>
        <w:t> </w:t>
      </w:r>
      <w:r>
        <w:rPr>
          <w:rFonts w:ascii="Calibri"/>
          <w:i/>
          <w:spacing w:val="-2"/>
          <w:sz w:val="22"/>
        </w:rPr>
        <w:t>June</w:t>
      </w:r>
      <w:r>
        <w:rPr>
          <w:rFonts w:ascii="Calibri"/>
          <w:spacing w:val="-2"/>
          <w:sz w:val="22"/>
        </w:rPr>
        <w:t>.</w:t>
      </w:r>
    </w:p>
    <w:p>
      <w:pPr>
        <w:spacing w:before="1"/>
        <w:ind w:left="1700" w:right="1907" w:hanging="721"/>
        <w:jc w:val="left"/>
        <w:rPr>
          <w:rFonts w:ascii="Calibri"/>
          <w:sz w:val="22"/>
        </w:rPr>
      </w:pPr>
      <w:bookmarkStart w:name="_bookmark350" w:id="351"/>
      <w:bookmarkEnd w:id="351"/>
      <w:r>
        <w:rPr/>
      </w:r>
      <w:r>
        <w:rPr>
          <w:rFonts w:ascii="Calibri"/>
          <w:sz w:val="22"/>
        </w:rPr>
        <w:t>Rawls, J. (1980). Kantian Constructivism in Moral Theory.</w:t>
      </w:r>
      <w:r>
        <w:rPr>
          <w:rFonts w:ascii="Calibri"/>
          <w:spacing w:val="27"/>
          <w:sz w:val="22"/>
        </w:rPr>
        <w:t> </w:t>
      </w:r>
      <w:r>
        <w:rPr>
          <w:rFonts w:ascii="Calibri"/>
          <w:i/>
          <w:sz w:val="22"/>
        </w:rPr>
        <w:t>The Journal of Philosophy, 77</w:t>
      </w:r>
      <w:r>
        <w:rPr>
          <w:rFonts w:ascii="Calibri"/>
          <w:sz w:val="22"/>
        </w:rPr>
        <w:t>(9), 515-572. doi: 10.2307/2025790</w:t>
      </w:r>
    </w:p>
    <w:p>
      <w:pPr>
        <w:spacing w:before="0"/>
        <w:ind w:left="1700" w:right="1909" w:hanging="721"/>
        <w:jc w:val="left"/>
        <w:rPr>
          <w:rFonts w:ascii="Calibri"/>
          <w:sz w:val="22"/>
        </w:rPr>
      </w:pPr>
      <w:r>
        <w:rPr>
          <w:rFonts w:ascii="Calibri"/>
          <w:sz w:val="22"/>
        </w:rPr>
        <w:t>Regulation</w:t>
      </w:r>
      <w:r>
        <w:rPr>
          <w:rFonts w:ascii="Calibri"/>
          <w:spacing w:val="80"/>
          <w:sz w:val="22"/>
        </w:rPr>
        <w:t> </w:t>
      </w:r>
      <w:r>
        <w:rPr>
          <w:rFonts w:ascii="Calibri"/>
          <w:sz w:val="22"/>
        </w:rPr>
        <w:t>1049/2001</w:t>
      </w:r>
      <w:r>
        <w:rPr>
          <w:rFonts w:ascii="Calibri"/>
          <w:spacing w:val="80"/>
          <w:sz w:val="22"/>
        </w:rPr>
        <w:t> </w:t>
      </w:r>
      <w:r>
        <w:rPr>
          <w:rFonts w:ascii="Calibri"/>
          <w:sz w:val="22"/>
        </w:rPr>
        <w:t>Regarding</w:t>
      </w:r>
      <w:r>
        <w:rPr>
          <w:rFonts w:ascii="Calibri"/>
          <w:spacing w:val="80"/>
          <w:sz w:val="22"/>
        </w:rPr>
        <w:t> </w:t>
      </w:r>
      <w:r>
        <w:rPr>
          <w:rFonts w:ascii="Calibri"/>
          <w:sz w:val="22"/>
        </w:rPr>
        <w:t>Public</w:t>
      </w:r>
      <w:r>
        <w:rPr>
          <w:rFonts w:ascii="Calibri"/>
          <w:spacing w:val="80"/>
          <w:sz w:val="22"/>
        </w:rPr>
        <w:t> </w:t>
      </w:r>
      <w:r>
        <w:rPr>
          <w:rFonts w:ascii="Calibri"/>
          <w:sz w:val="22"/>
        </w:rPr>
        <w:t>Access</w:t>
      </w:r>
      <w:r>
        <w:rPr>
          <w:rFonts w:ascii="Calibri"/>
          <w:spacing w:val="80"/>
          <w:sz w:val="22"/>
        </w:rPr>
        <w:t> </w:t>
      </w:r>
      <w:r>
        <w:rPr>
          <w:rFonts w:ascii="Calibri"/>
          <w:sz w:val="22"/>
        </w:rPr>
        <w:t>to</w:t>
      </w:r>
      <w:r>
        <w:rPr>
          <w:rFonts w:ascii="Calibri"/>
          <w:spacing w:val="80"/>
          <w:sz w:val="22"/>
        </w:rPr>
        <w:t> </w:t>
      </w:r>
      <w:r>
        <w:rPr>
          <w:rFonts w:ascii="Calibri"/>
          <w:sz w:val="22"/>
        </w:rPr>
        <w:t>European</w:t>
      </w:r>
      <w:r>
        <w:rPr>
          <w:rFonts w:ascii="Calibri"/>
          <w:spacing w:val="80"/>
          <w:sz w:val="22"/>
        </w:rPr>
        <w:t> </w:t>
      </w:r>
      <w:r>
        <w:rPr>
          <w:rFonts w:ascii="Calibri"/>
          <w:sz w:val="22"/>
        </w:rPr>
        <w:t>Parliament,</w:t>
      </w:r>
      <w:r>
        <w:rPr>
          <w:rFonts w:ascii="Calibri"/>
          <w:spacing w:val="80"/>
          <w:sz w:val="22"/>
        </w:rPr>
        <w:t> </w:t>
      </w:r>
      <w:r>
        <w:rPr>
          <w:rFonts w:ascii="Calibri"/>
          <w:sz w:val="22"/>
        </w:rPr>
        <w:t>Council</w:t>
      </w:r>
      <w:r>
        <w:rPr>
          <w:rFonts w:ascii="Calibri"/>
          <w:spacing w:val="80"/>
          <w:sz w:val="22"/>
        </w:rPr>
        <w:t> </w:t>
      </w:r>
      <w:r>
        <w:rPr>
          <w:rFonts w:ascii="Calibri"/>
          <w:sz w:val="22"/>
        </w:rPr>
        <w:t>and Commission documents, European Parliament and European Council (2001).</w:t>
      </w:r>
    </w:p>
    <w:p>
      <w:pPr>
        <w:spacing w:before="1"/>
        <w:ind w:left="1700" w:right="1909" w:hanging="721"/>
        <w:jc w:val="left"/>
        <w:rPr>
          <w:rFonts w:ascii="Calibri"/>
          <w:sz w:val="22"/>
        </w:rPr>
      </w:pPr>
      <w:bookmarkStart w:name="_bookmark351" w:id="352"/>
      <w:bookmarkEnd w:id="352"/>
      <w:r>
        <w:rPr/>
      </w:r>
      <w:r>
        <w:rPr>
          <w:rFonts w:ascii="Calibri"/>
          <w:sz w:val="22"/>
        </w:rPr>
        <w:t>Rhodes, M.</w:t>
      </w:r>
      <w:r>
        <w:rPr>
          <w:rFonts w:ascii="Calibri"/>
          <w:spacing w:val="23"/>
          <w:sz w:val="22"/>
        </w:rPr>
        <w:t> </w:t>
      </w:r>
      <w:r>
        <w:rPr>
          <w:rFonts w:ascii="Calibri"/>
          <w:sz w:val="22"/>
        </w:rPr>
        <w:t>(2011).</w:t>
      </w:r>
      <w:r>
        <w:rPr>
          <w:rFonts w:ascii="Calibri"/>
          <w:spacing w:val="24"/>
          <w:sz w:val="22"/>
        </w:rPr>
        <w:t> </w:t>
      </w:r>
      <w:r>
        <w:rPr>
          <w:rFonts w:ascii="Calibri"/>
          <w:sz w:val="22"/>
        </w:rPr>
        <w:t>Stealth and Wealth: The Politics of Business Power.</w:t>
      </w:r>
      <w:r>
        <w:rPr>
          <w:rFonts w:ascii="Calibri"/>
          <w:spacing w:val="30"/>
          <w:sz w:val="22"/>
        </w:rPr>
        <w:t> </w:t>
      </w:r>
      <w:r>
        <w:rPr>
          <w:rFonts w:ascii="Calibri"/>
          <w:i/>
          <w:sz w:val="22"/>
        </w:rPr>
        <w:t>European Political Science, 10</w:t>
      </w:r>
      <w:r>
        <w:rPr>
          <w:rFonts w:ascii="Calibri"/>
          <w:sz w:val="22"/>
        </w:rPr>
        <w:t>(4), 508-514.</w:t>
      </w:r>
    </w:p>
    <w:p>
      <w:pPr>
        <w:spacing w:before="1"/>
        <w:ind w:left="1700" w:right="1279" w:hanging="721"/>
        <w:jc w:val="left"/>
        <w:rPr>
          <w:rFonts w:ascii="Calibri" w:hAnsi="Calibri"/>
          <w:sz w:val="22"/>
        </w:rPr>
      </w:pPr>
      <w:bookmarkStart w:name="_bookmark352" w:id="353"/>
      <w:bookmarkEnd w:id="353"/>
      <w:r>
        <w:rPr/>
      </w:r>
      <w:r>
        <w:rPr>
          <w:rFonts w:ascii="Calibri" w:hAnsi="Calibri"/>
          <w:sz w:val="22"/>
        </w:rPr>
        <w:t>Ricœur,</w:t>
      </w:r>
      <w:r>
        <w:rPr>
          <w:rFonts w:ascii="Calibri" w:hAnsi="Calibri"/>
          <w:spacing w:val="31"/>
          <w:sz w:val="22"/>
        </w:rPr>
        <w:t> </w:t>
      </w:r>
      <w:r>
        <w:rPr>
          <w:rFonts w:ascii="Calibri" w:hAnsi="Calibri"/>
          <w:sz w:val="22"/>
        </w:rPr>
        <w:t>P.</w:t>
      </w:r>
      <w:r>
        <w:rPr>
          <w:rFonts w:ascii="Calibri" w:hAnsi="Calibri"/>
          <w:spacing w:val="30"/>
          <w:sz w:val="22"/>
        </w:rPr>
        <w:t> </w:t>
      </w:r>
      <w:r>
        <w:rPr>
          <w:rFonts w:ascii="Calibri" w:hAnsi="Calibri"/>
          <w:sz w:val="22"/>
        </w:rPr>
        <w:t>(1973).</w:t>
      </w:r>
      <w:r>
        <w:rPr>
          <w:rFonts w:ascii="Calibri" w:hAnsi="Calibri"/>
          <w:spacing w:val="35"/>
          <w:sz w:val="22"/>
        </w:rPr>
        <w:t> </w:t>
      </w:r>
      <w:r>
        <w:rPr>
          <w:rFonts w:ascii="Calibri" w:hAnsi="Calibri"/>
          <w:sz w:val="22"/>
        </w:rPr>
        <w:t>The</w:t>
      </w:r>
      <w:r>
        <w:rPr>
          <w:rFonts w:ascii="Calibri" w:hAnsi="Calibri"/>
          <w:spacing w:val="34"/>
          <w:sz w:val="22"/>
        </w:rPr>
        <w:t> </w:t>
      </w:r>
      <w:r>
        <w:rPr>
          <w:rFonts w:ascii="Calibri" w:hAnsi="Calibri"/>
          <w:sz w:val="22"/>
        </w:rPr>
        <w:t>Model</w:t>
      </w:r>
      <w:r>
        <w:rPr>
          <w:rFonts w:ascii="Calibri" w:hAnsi="Calibri"/>
          <w:spacing w:val="31"/>
          <w:sz w:val="22"/>
        </w:rPr>
        <w:t> </w:t>
      </w:r>
      <w:r>
        <w:rPr>
          <w:rFonts w:ascii="Calibri" w:hAnsi="Calibri"/>
          <w:sz w:val="22"/>
        </w:rPr>
        <w:t>of</w:t>
      </w:r>
      <w:r>
        <w:rPr>
          <w:rFonts w:ascii="Calibri" w:hAnsi="Calibri"/>
          <w:spacing w:val="33"/>
          <w:sz w:val="22"/>
        </w:rPr>
        <w:t> </w:t>
      </w:r>
      <w:r>
        <w:rPr>
          <w:rFonts w:ascii="Calibri" w:hAnsi="Calibri"/>
          <w:sz w:val="22"/>
        </w:rPr>
        <w:t>the</w:t>
      </w:r>
      <w:r>
        <w:rPr>
          <w:rFonts w:ascii="Calibri" w:hAnsi="Calibri"/>
          <w:spacing w:val="34"/>
          <w:sz w:val="22"/>
        </w:rPr>
        <w:t> </w:t>
      </w:r>
      <w:r>
        <w:rPr>
          <w:rFonts w:ascii="Calibri" w:hAnsi="Calibri"/>
          <w:sz w:val="22"/>
        </w:rPr>
        <w:t>Text:</w:t>
      </w:r>
      <w:r>
        <w:rPr>
          <w:rFonts w:ascii="Calibri" w:hAnsi="Calibri"/>
          <w:spacing w:val="32"/>
          <w:sz w:val="22"/>
        </w:rPr>
        <w:t> </w:t>
      </w:r>
      <w:r>
        <w:rPr>
          <w:rFonts w:ascii="Calibri" w:hAnsi="Calibri"/>
          <w:sz w:val="22"/>
        </w:rPr>
        <w:t>Meaningful</w:t>
      </w:r>
      <w:r>
        <w:rPr>
          <w:rFonts w:ascii="Calibri" w:hAnsi="Calibri"/>
          <w:spacing w:val="35"/>
          <w:sz w:val="22"/>
        </w:rPr>
        <w:t> </w:t>
      </w:r>
      <w:r>
        <w:rPr>
          <w:rFonts w:ascii="Calibri" w:hAnsi="Calibri"/>
          <w:sz w:val="22"/>
        </w:rPr>
        <w:t>Action</w:t>
      </w:r>
      <w:r>
        <w:rPr>
          <w:rFonts w:ascii="Calibri" w:hAnsi="Calibri"/>
          <w:spacing w:val="28"/>
          <w:sz w:val="22"/>
        </w:rPr>
        <w:t> </w:t>
      </w:r>
      <w:r>
        <w:rPr>
          <w:rFonts w:ascii="Calibri" w:hAnsi="Calibri"/>
          <w:sz w:val="22"/>
        </w:rPr>
        <w:t>Considered</w:t>
      </w:r>
      <w:r>
        <w:rPr>
          <w:rFonts w:ascii="Calibri" w:hAnsi="Calibri"/>
          <w:spacing w:val="33"/>
          <w:sz w:val="22"/>
        </w:rPr>
        <w:t> </w:t>
      </w:r>
      <w:r>
        <w:rPr>
          <w:rFonts w:ascii="Calibri" w:hAnsi="Calibri"/>
          <w:sz w:val="22"/>
        </w:rPr>
        <w:t>as</w:t>
      </w:r>
      <w:r>
        <w:rPr>
          <w:rFonts w:ascii="Calibri" w:hAnsi="Calibri"/>
          <w:spacing w:val="28"/>
          <w:sz w:val="22"/>
        </w:rPr>
        <w:t> </w:t>
      </w:r>
      <w:r>
        <w:rPr>
          <w:rFonts w:ascii="Calibri" w:hAnsi="Calibri"/>
          <w:sz w:val="22"/>
        </w:rPr>
        <w:t>a</w:t>
      </w:r>
      <w:r>
        <w:rPr>
          <w:rFonts w:ascii="Calibri" w:hAnsi="Calibri"/>
          <w:spacing w:val="33"/>
          <w:sz w:val="22"/>
        </w:rPr>
        <w:t> </w:t>
      </w:r>
      <w:r>
        <w:rPr>
          <w:rFonts w:ascii="Calibri" w:hAnsi="Calibri"/>
          <w:sz w:val="22"/>
        </w:rPr>
        <w:t>Text.</w:t>
      </w:r>
      <w:r>
        <w:rPr>
          <w:rFonts w:ascii="Calibri" w:hAnsi="Calibri"/>
          <w:spacing w:val="33"/>
          <w:sz w:val="22"/>
        </w:rPr>
        <w:t> </w:t>
      </w:r>
      <w:r>
        <w:rPr>
          <w:rFonts w:ascii="Calibri" w:hAnsi="Calibri"/>
          <w:i/>
          <w:sz w:val="22"/>
        </w:rPr>
        <w:t>New Literary History, 5</w:t>
      </w:r>
      <w:r>
        <w:rPr>
          <w:rFonts w:ascii="Calibri" w:hAnsi="Calibri"/>
          <w:sz w:val="22"/>
        </w:rPr>
        <w:t>(1), 91-117. doi: 10.2307/468410</w:t>
      </w:r>
    </w:p>
    <w:p>
      <w:pPr>
        <w:spacing w:line="237" w:lineRule="auto" w:before="2"/>
        <w:ind w:left="1700" w:right="1909" w:hanging="721"/>
        <w:jc w:val="both"/>
        <w:rPr>
          <w:rFonts w:ascii="Calibri"/>
          <w:sz w:val="22"/>
        </w:rPr>
      </w:pPr>
      <w:bookmarkStart w:name="_bookmark353" w:id="354"/>
      <w:bookmarkEnd w:id="354"/>
      <w:r>
        <w:rPr/>
      </w:r>
      <w:r>
        <w:rPr>
          <w:rFonts w:ascii="Calibri"/>
          <w:sz w:val="22"/>
        </w:rPr>
        <w:t>Risse, T. (2009). Social Constructivism and European Integration. In T. Diez &amp; A. Wiener (Eds.), </w:t>
      </w:r>
      <w:r>
        <w:rPr>
          <w:rFonts w:ascii="Calibri"/>
          <w:i/>
          <w:sz w:val="22"/>
        </w:rPr>
        <w:t>European Integration Thory, 2nd edition </w:t>
      </w:r>
      <w:r>
        <w:rPr>
          <w:rFonts w:ascii="Calibri"/>
          <w:sz w:val="22"/>
        </w:rPr>
        <w:t>(pp. 144-160). New York: Oxford University Press.</w:t>
      </w:r>
    </w:p>
    <w:p>
      <w:pPr>
        <w:spacing w:before="2"/>
        <w:ind w:left="1700" w:right="1900" w:hanging="721"/>
        <w:jc w:val="both"/>
        <w:rPr>
          <w:rFonts w:ascii="Calibri"/>
          <w:sz w:val="22"/>
        </w:rPr>
      </w:pPr>
      <w:bookmarkStart w:name="_bookmark354" w:id="355"/>
      <w:bookmarkEnd w:id="355"/>
      <w:r>
        <w:rPr/>
      </w:r>
      <w:r>
        <w:rPr>
          <w:rFonts w:ascii="Calibri"/>
          <w:sz w:val="22"/>
        </w:rPr>
        <w:t>Risse, T., &amp; Walter-Drop, G. (2009). After the Fall of Wall: A Report Card on Post-Cold War European Integration, </w:t>
      </w:r>
      <w:r>
        <w:rPr>
          <w:rFonts w:ascii="Calibri"/>
          <w:i/>
          <w:sz w:val="22"/>
        </w:rPr>
        <w:t>Spiegel Online International</w:t>
      </w:r>
      <w:r>
        <w:rPr>
          <w:rFonts w:ascii="Calibri"/>
          <w:sz w:val="22"/>
        </w:rPr>
        <w:t>.</w:t>
      </w:r>
    </w:p>
    <w:p>
      <w:pPr>
        <w:spacing w:after="0"/>
        <w:jc w:val="both"/>
        <w:rPr>
          <w:rFonts w:asci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979" w:right="0" w:firstLine="0"/>
        <w:jc w:val="both"/>
        <w:rPr>
          <w:rFonts w:ascii="Calibri"/>
          <w:sz w:val="22"/>
        </w:rPr>
      </w:pPr>
      <w:bookmarkStart w:name="_bookmark355" w:id="356"/>
      <w:bookmarkEnd w:id="356"/>
      <w:r>
        <w:rPr/>
      </w:r>
      <w:r>
        <w:rPr>
          <w:rFonts w:ascii="Calibri"/>
          <w:sz w:val="22"/>
        </w:rPr>
        <w:t>Rosamond,</w:t>
      </w:r>
      <w:r>
        <w:rPr>
          <w:rFonts w:ascii="Calibri"/>
          <w:spacing w:val="-9"/>
          <w:sz w:val="22"/>
        </w:rPr>
        <w:t> </w:t>
      </w:r>
      <w:r>
        <w:rPr>
          <w:rFonts w:ascii="Calibri"/>
          <w:sz w:val="22"/>
        </w:rPr>
        <w:t>B.</w:t>
      </w:r>
      <w:r>
        <w:rPr>
          <w:rFonts w:ascii="Calibri"/>
          <w:spacing w:val="-6"/>
          <w:sz w:val="22"/>
        </w:rPr>
        <w:t> </w:t>
      </w:r>
      <w:r>
        <w:rPr>
          <w:rFonts w:ascii="Calibri"/>
          <w:sz w:val="22"/>
        </w:rPr>
        <w:t>(2000).</w:t>
      </w:r>
      <w:r>
        <w:rPr>
          <w:rFonts w:ascii="Calibri"/>
          <w:spacing w:val="-2"/>
          <w:sz w:val="22"/>
        </w:rPr>
        <w:t> </w:t>
      </w:r>
      <w:r>
        <w:rPr>
          <w:rFonts w:ascii="Calibri"/>
          <w:i/>
          <w:sz w:val="22"/>
        </w:rPr>
        <w:t>Theories</w:t>
      </w:r>
      <w:r>
        <w:rPr>
          <w:rFonts w:ascii="Calibri"/>
          <w:i/>
          <w:spacing w:val="-7"/>
          <w:sz w:val="22"/>
        </w:rPr>
        <w:t> </w:t>
      </w:r>
      <w:r>
        <w:rPr>
          <w:rFonts w:ascii="Calibri"/>
          <w:i/>
          <w:sz w:val="22"/>
        </w:rPr>
        <w:t>of</w:t>
      </w:r>
      <w:r>
        <w:rPr>
          <w:rFonts w:ascii="Calibri"/>
          <w:i/>
          <w:spacing w:val="-6"/>
          <w:sz w:val="22"/>
        </w:rPr>
        <w:t> </w:t>
      </w:r>
      <w:r>
        <w:rPr>
          <w:rFonts w:ascii="Calibri"/>
          <w:i/>
          <w:sz w:val="22"/>
        </w:rPr>
        <w:t>European</w:t>
      </w:r>
      <w:r>
        <w:rPr>
          <w:rFonts w:ascii="Calibri"/>
          <w:i/>
          <w:spacing w:val="-5"/>
          <w:sz w:val="22"/>
        </w:rPr>
        <w:t> </w:t>
      </w:r>
      <w:r>
        <w:rPr>
          <w:rFonts w:ascii="Calibri"/>
          <w:i/>
          <w:sz w:val="22"/>
        </w:rPr>
        <w:t>integration</w:t>
      </w:r>
      <w:r>
        <w:rPr>
          <w:rFonts w:ascii="Calibri"/>
          <w:sz w:val="22"/>
        </w:rPr>
        <w:t>.</w:t>
      </w:r>
      <w:r>
        <w:rPr>
          <w:rFonts w:ascii="Calibri"/>
          <w:spacing w:val="-6"/>
          <w:sz w:val="22"/>
        </w:rPr>
        <w:t> </w:t>
      </w:r>
      <w:r>
        <w:rPr>
          <w:rFonts w:ascii="Calibri"/>
          <w:sz w:val="22"/>
        </w:rPr>
        <w:t>New</w:t>
      </w:r>
      <w:r>
        <w:rPr>
          <w:rFonts w:ascii="Calibri"/>
          <w:spacing w:val="-6"/>
          <w:sz w:val="22"/>
        </w:rPr>
        <w:t> </w:t>
      </w:r>
      <w:r>
        <w:rPr>
          <w:rFonts w:ascii="Calibri"/>
          <w:sz w:val="22"/>
        </w:rPr>
        <w:t>York:</w:t>
      </w:r>
      <w:r>
        <w:rPr>
          <w:rFonts w:ascii="Calibri"/>
          <w:spacing w:val="-8"/>
          <w:sz w:val="22"/>
        </w:rPr>
        <w:t> </w:t>
      </w:r>
      <w:r>
        <w:rPr>
          <w:rFonts w:ascii="Calibri"/>
          <w:sz w:val="22"/>
        </w:rPr>
        <w:t>St.</w:t>
      </w:r>
      <w:r>
        <w:rPr>
          <w:rFonts w:ascii="Calibri"/>
          <w:spacing w:val="-5"/>
          <w:sz w:val="22"/>
        </w:rPr>
        <w:t> </w:t>
      </w:r>
      <w:r>
        <w:rPr>
          <w:rFonts w:ascii="Calibri"/>
          <w:sz w:val="22"/>
        </w:rPr>
        <w:t>Martin's</w:t>
      </w:r>
      <w:r>
        <w:rPr>
          <w:rFonts w:ascii="Calibri"/>
          <w:spacing w:val="-6"/>
          <w:sz w:val="22"/>
        </w:rPr>
        <w:t> </w:t>
      </w:r>
      <w:r>
        <w:rPr>
          <w:rFonts w:ascii="Calibri"/>
          <w:spacing w:val="-2"/>
          <w:sz w:val="22"/>
        </w:rPr>
        <w:t>Press.</w:t>
      </w:r>
    </w:p>
    <w:p>
      <w:pPr>
        <w:spacing w:before="0"/>
        <w:ind w:left="1700" w:right="1911" w:hanging="721"/>
        <w:jc w:val="both"/>
        <w:rPr>
          <w:rFonts w:ascii="Calibri"/>
          <w:sz w:val="22"/>
        </w:rPr>
      </w:pPr>
      <w:bookmarkStart w:name="_bookmark356" w:id="357"/>
      <w:bookmarkEnd w:id="357"/>
      <w:r>
        <w:rPr/>
      </w:r>
      <w:r>
        <w:rPr>
          <w:rFonts w:ascii="Calibri"/>
          <w:sz w:val="22"/>
        </w:rPr>
        <w:t>Rosamond,</w:t>
      </w:r>
      <w:r>
        <w:rPr>
          <w:rFonts w:ascii="Calibri"/>
          <w:spacing w:val="-2"/>
          <w:sz w:val="22"/>
        </w:rPr>
        <w:t> </w:t>
      </w:r>
      <w:r>
        <w:rPr>
          <w:rFonts w:ascii="Calibri"/>
          <w:sz w:val="22"/>
        </w:rPr>
        <w:t>B. (2005). The uniting of Europe and the foundation of EU studies:</w:t>
      </w:r>
      <w:r>
        <w:rPr>
          <w:rFonts w:ascii="Calibri"/>
          <w:spacing w:val="-1"/>
          <w:sz w:val="22"/>
        </w:rPr>
        <w:t> </w:t>
      </w:r>
      <w:r>
        <w:rPr>
          <w:rFonts w:ascii="Calibri"/>
          <w:sz w:val="22"/>
        </w:rPr>
        <w:t>Revisiting the neofunctionalism of</w:t>
      </w:r>
      <w:r>
        <w:rPr>
          <w:rFonts w:ascii="Calibri"/>
          <w:spacing w:val="-1"/>
          <w:sz w:val="22"/>
        </w:rPr>
        <w:t> </w:t>
      </w:r>
      <w:r>
        <w:rPr>
          <w:rFonts w:ascii="Calibri"/>
          <w:sz w:val="22"/>
        </w:rPr>
        <w:t>Ernst</w:t>
      </w:r>
      <w:r>
        <w:rPr>
          <w:rFonts w:ascii="Calibri"/>
          <w:spacing w:val="-3"/>
          <w:sz w:val="22"/>
        </w:rPr>
        <w:t> </w:t>
      </w:r>
      <w:r>
        <w:rPr>
          <w:rFonts w:ascii="Calibri"/>
          <w:sz w:val="22"/>
        </w:rPr>
        <w:t>B. Haas. </w:t>
      </w:r>
      <w:r>
        <w:rPr>
          <w:rFonts w:ascii="Calibri"/>
          <w:i/>
          <w:sz w:val="22"/>
        </w:rPr>
        <w:t>Journal of</w:t>
      </w:r>
      <w:r>
        <w:rPr>
          <w:rFonts w:ascii="Calibri"/>
          <w:i/>
          <w:spacing w:val="-1"/>
          <w:sz w:val="22"/>
        </w:rPr>
        <w:t> </w:t>
      </w:r>
      <w:r>
        <w:rPr>
          <w:rFonts w:ascii="Calibri"/>
          <w:i/>
          <w:sz w:val="22"/>
        </w:rPr>
        <w:t>European Public</w:t>
      </w:r>
      <w:r>
        <w:rPr>
          <w:rFonts w:ascii="Calibri"/>
          <w:i/>
          <w:spacing w:val="-1"/>
          <w:sz w:val="22"/>
        </w:rPr>
        <w:t> </w:t>
      </w:r>
      <w:r>
        <w:rPr>
          <w:rFonts w:ascii="Calibri"/>
          <w:i/>
          <w:sz w:val="22"/>
        </w:rPr>
        <w:t>Policy,</w:t>
      </w:r>
      <w:r>
        <w:rPr>
          <w:rFonts w:ascii="Calibri"/>
          <w:i/>
          <w:spacing w:val="-3"/>
          <w:sz w:val="22"/>
        </w:rPr>
        <w:t> </w:t>
      </w:r>
      <w:r>
        <w:rPr>
          <w:rFonts w:ascii="Calibri"/>
          <w:i/>
          <w:sz w:val="22"/>
        </w:rPr>
        <w:t>12</w:t>
      </w:r>
      <w:r>
        <w:rPr>
          <w:rFonts w:ascii="Calibri"/>
          <w:sz w:val="22"/>
        </w:rPr>
        <w:t>(2),</w:t>
      </w:r>
      <w:r>
        <w:rPr>
          <w:rFonts w:ascii="Calibri"/>
          <w:spacing w:val="-3"/>
          <w:sz w:val="22"/>
        </w:rPr>
        <w:t> </w:t>
      </w:r>
      <w:r>
        <w:rPr>
          <w:rFonts w:ascii="Calibri"/>
          <w:sz w:val="22"/>
        </w:rPr>
        <w:t>237-254. doi: 10.1080/13501760500043928</w:t>
      </w:r>
    </w:p>
    <w:p>
      <w:pPr>
        <w:spacing w:line="237" w:lineRule="auto" w:before="4"/>
        <w:ind w:left="1700" w:right="1902" w:hanging="721"/>
        <w:jc w:val="both"/>
        <w:rPr>
          <w:rFonts w:ascii="Calibri"/>
          <w:sz w:val="22"/>
        </w:rPr>
      </w:pPr>
      <w:bookmarkStart w:name="_bookmark357" w:id="358"/>
      <w:bookmarkEnd w:id="358"/>
      <w:r>
        <w:rPr/>
      </w:r>
      <w:r>
        <w:rPr>
          <w:rFonts w:ascii="Calibri"/>
          <w:sz w:val="22"/>
        </w:rPr>
        <w:t>Rosamond, B. (2007). European integration and the social science of EU studies: the disciplinary politics of a subfield. </w:t>
      </w:r>
      <w:r>
        <w:rPr>
          <w:rFonts w:ascii="Calibri"/>
          <w:i/>
          <w:sz w:val="22"/>
        </w:rPr>
        <w:t>International Affairs, 83</w:t>
      </w:r>
      <w:r>
        <w:rPr>
          <w:rFonts w:ascii="Calibri"/>
          <w:sz w:val="22"/>
        </w:rPr>
        <w:t>(2), 231-252. doi: </w:t>
      </w:r>
      <w:r>
        <w:rPr>
          <w:rFonts w:ascii="Calibri"/>
          <w:spacing w:val="-2"/>
          <w:sz w:val="22"/>
        </w:rPr>
        <w:t>10.1111/j.1468-2346.2007.00616.x</w:t>
      </w:r>
    </w:p>
    <w:p>
      <w:pPr>
        <w:spacing w:before="2"/>
        <w:ind w:left="1700" w:right="1902" w:hanging="721"/>
        <w:jc w:val="both"/>
        <w:rPr>
          <w:rFonts w:ascii="Calibri"/>
          <w:sz w:val="22"/>
        </w:rPr>
      </w:pPr>
      <w:bookmarkStart w:name="_bookmark358" w:id="359"/>
      <w:bookmarkEnd w:id="359"/>
      <w:r>
        <w:rPr/>
      </w:r>
      <w:r>
        <w:rPr>
          <w:rFonts w:ascii="Calibri"/>
          <w:sz w:val="22"/>
        </w:rPr>
        <w:t>Rosamond, B. (2014). Three Ways of Speaking Europe to the World: Markets, Peace, Cosmopolitan Duty and the EU's Normative Power. </w:t>
      </w:r>
      <w:r>
        <w:rPr>
          <w:rFonts w:ascii="Calibri"/>
          <w:i/>
          <w:sz w:val="22"/>
        </w:rPr>
        <w:t>The British Journal of Politics &amp; International Relations, 16</w:t>
      </w:r>
      <w:r>
        <w:rPr>
          <w:rFonts w:ascii="Calibri"/>
          <w:sz w:val="22"/>
        </w:rPr>
        <w:t>(1), 133-148. doi: 10.1111/1467-856X.12013</w:t>
      </w:r>
    </w:p>
    <w:p>
      <w:pPr>
        <w:spacing w:before="1"/>
        <w:ind w:left="979" w:right="0" w:firstLine="0"/>
        <w:jc w:val="both"/>
        <w:rPr>
          <w:rFonts w:ascii="Calibri" w:hAnsi="Calibri"/>
          <w:sz w:val="22"/>
        </w:rPr>
      </w:pPr>
      <w:bookmarkStart w:name="_bookmark359" w:id="360"/>
      <w:bookmarkEnd w:id="360"/>
      <w:r>
        <w:rPr/>
      </w:r>
      <w:r>
        <w:rPr>
          <w:rFonts w:ascii="Calibri" w:hAnsi="Calibri"/>
          <w:sz w:val="22"/>
        </w:rPr>
        <w:t>Rosato,</w:t>
      </w:r>
      <w:r>
        <w:rPr>
          <w:rFonts w:ascii="Calibri" w:hAnsi="Calibri"/>
          <w:spacing w:val="8"/>
          <w:sz w:val="22"/>
        </w:rPr>
        <w:t> </w:t>
      </w:r>
      <w:r>
        <w:rPr>
          <w:rFonts w:ascii="Calibri" w:hAnsi="Calibri"/>
          <w:sz w:val="22"/>
        </w:rPr>
        <w:t>S.</w:t>
      </w:r>
      <w:r>
        <w:rPr>
          <w:rFonts w:ascii="Calibri" w:hAnsi="Calibri"/>
          <w:spacing w:val="12"/>
          <w:sz w:val="22"/>
        </w:rPr>
        <w:t> </w:t>
      </w:r>
      <w:r>
        <w:rPr>
          <w:rFonts w:ascii="Calibri" w:hAnsi="Calibri"/>
          <w:sz w:val="22"/>
        </w:rPr>
        <w:t>(2011).</w:t>
      </w:r>
      <w:r>
        <w:rPr>
          <w:rFonts w:ascii="Calibri" w:hAnsi="Calibri"/>
          <w:spacing w:val="13"/>
          <w:sz w:val="22"/>
        </w:rPr>
        <w:t> </w:t>
      </w:r>
      <w:r>
        <w:rPr>
          <w:rFonts w:ascii="Calibri" w:hAnsi="Calibri"/>
          <w:sz w:val="22"/>
        </w:rPr>
        <w:t>Europe’s</w:t>
      </w:r>
      <w:r>
        <w:rPr>
          <w:rFonts w:ascii="Calibri" w:hAnsi="Calibri"/>
          <w:spacing w:val="12"/>
          <w:sz w:val="22"/>
        </w:rPr>
        <w:t> </w:t>
      </w:r>
      <w:r>
        <w:rPr>
          <w:rFonts w:ascii="Calibri" w:hAnsi="Calibri"/>
          <w:sz w:val="22"/>
        </w:rPr>
        <w:t>Troubles,</w:t>
      </w:r>
      <w:r>
        <w:rPr>
          <w:rFonts w:ascii="Calibri" w:hAnsi="Calibri"/>
          <w:spacing w:val="9"/>
          <w:sz w:val="22"/>
        </w:rPr>
        <w:t> </w:t>
      </w:r>
      <w:r>
        <w:rPr>
          <w:rFonts w:ascii="Calibri" w:hAnsi="Calibri"/>
          <w:sz w:val="22"/>
        </w:rPr>
        <w:t>Power</w:t>
      </w:r>
      <w:r>
        <w:rPr>
          <w:rFonts w:ascii="Calibri" w:hAnsi="Calibri"/>
          <w:spacing w:val="11"/>
          <w:sz w:val="22"/>
        </w:rPr>
        <w:t> </w:t>
      </w:r>
      <w:r>
        <w:rPr>
          <w:rFonts w:ascii="Calibri" w:hAnsi="Calibri"/>
          <w:sz w:val="22"/>
        </w:rPr>
        <w:t>Politics</w:t>
      </w:r>
      <w:r>
        <w:rPr>
          <w:rFonts w:ascii="Calibri" w:hAnsi="Calibri"/>
          <w:spacing w:val="12"/>
          <w:sz w:val="22"/>
        </w:rPr>
        <w:t> </w:t>
      </w:r>
      <w:r>
        <w:rPr>
          <w:rFonts w:ascii="Calibri" w:hAnsi="Calibri"/>
          <w:sz w:val="22"/>
        </w:rPr>
        <w:t>and</w:t>
      </w:r>
      <w:r>
        <w:rPr>
          <w:rFonts w:ascii="Calibri" w:hAnsi="Calibri"/>
          <w:spacing w:val="10"/>
          <w:sz w:val="22"/>
        </w:rPr>
        <w:t> </w:t>
      </w:r>
      <w:r>
        <w:rPr>
          <w:rFonts w:ascii="Calibri" w:hAnsi="Calibri"/>
          <w:sz w:val="22"/>
        </w:rPr>
        <w:t>the</w:t>
      </w:r>
      <w:r>
        <w:rPr>
          <w:rFonts w:ascii="Calibri" w:hAnsi="Calibri"/>
          <w:spacing w:val="11"/>
          <w:sz w:val="22"/>
        </w:rPr>
        <w:t> </w:t>
      </w:r>
      <w:r>
        <w:rPr>
          <w:rFonts w:ascii="Calibri" w:hAnsi="Calibri"/>
          <w:sz w:val="22"/>
        </w:rPr>
        <w:t>State</w:t>
      </w:r>
      <w:r>
        <w:rPr>
          <w:rFonts w:ascii="Calibri" w:hAnsi="Calibri"/>
          <w:spacing w:val="12"/>
          <w:sz w:val="22"/>
        </w:rPr>
        <w:t> </w:t>
      </w:r>
      <w:r>
        <w:rPr>
          <w:rFonts w:ascii="Calibri" w:hAnsi="Calibri"/>
          <w:sz w:val="22"/>
        </w:rPr>
        <w:t>of</w:t>
      </w:r>
      <w:r>
        <w:rPr>
          <w:rFonts w:ascii="Calibri" w:hAnsi="Calibri"/>
          <w:spacing w:val="11"/>
          <w:sz w:val="22"/>
        </w:rPr>
        <w:t> </w:t>
      </w:r>
      <w:r>
        <w:rPr>
          <w:rFonts w:ascii="Calibri" w:hAnsi="Calibri"/>
          <w:sz w:val="22"/>
        </w:rPr>
        <w:t>the</w:t>
      </w:r>
      <w:r>
        <w:rPr>
          <w:rFonts w:ascii="Calibri" w:hAnsi="Calibri"/>
          <w:spacing w:val="11"/>
          <w:sz w:val="22"/>
        </w:rPr>
        <w:t> </w:t>
      </w:r>
      <w:r>
        <w:rPr>
          <w:rFonts w:ascii="Calibri" w:hAnsi="Calibri"/>
          <w:sz w:val="22"/>
        </w:rPr>
        <w:t>European</w:t>
      </w:r>
      <w:r>
        <w:rPr>
          <w:rFonts w:ascii="Calibri" w:hAnsi="Calibri"/>
          <w:spacing w:val="11"/>
          <w:sz w:val="22"/>
        </w:rPr>
        <w:t> </w:t>
      </w:r>
      <w:r>
        <w:rPr>
          <w:rFonts w:ascii="Calibri" w:hAnsi="Calibri"/>
          <w:spacing w:val="-2"/>
          <w:sz w:val="22"/>
        </w:rPr>
        <w:t>Project.</w:t>
      </w:r>
    </w:p>
    <w:p>
      <w:pPr>
        <w:spacing w:before="0"/>
        <w:ind w:left="1700" w:right="0" w:firstLine="0"/>
        <w:jc w:val="both"/>
        <w:rPr>
          <w:rFonts w:ascii="Calibri" w:hAnsi="Calibri"/>
          <w:sz w:val="22"/>
        </w:rPr>
      </w:pPr>
      <w:r>
        <w:rPr>
          <w:rFonts w:ascii="Calibri" w:hAnsi="Calibri"/>
          <w:i/>
          <w:sz w:val="22"/>
        </w:rPr>
        <w:t>International</w:t>
      </w:r>
      <w:r>
        <w:rPr>
          <w:rFonts w:ascii="Calibri" w:hAnsi="Calibri"/>
          <w:i/>
          <w:spacing w:val="-7"/>
          <w:sz w:val="22"/>
        </w:rPr>
        <w:t> </w:t>
      </w:r>
      <w:r>
        <w:rPr>
          <w:rFonts w:ascii="Calibri" w:hAnsi="Calibri"/>
          <w:i/>
          <w:sz w:val="22"/>
        </w:rPr>
        <w:t>Security</w:t>
      </w:r>
      <w:r>
        <w:rPr>
          <w:rFonts w:ascii="Calibri" w:hAnsi="Calibri"/>
          <w:sz w:val="22"/>
        </w:rPr>
        <w:t>,</w:t>
      </w:r>
      <w:r>
        <w:rPr>
          <w:rFonts w:ascii="Calibri" w:hAnsi="Calibri"/>
          <w:spacing w:val="-11"/>
          <w:sz w:val="22"/>
        </w:rPr>
        <w:t> </w:t>
      </w:r>
      <w:r>
        <w:rPr>
          <w:rFonts w:ascii="Calibri" w:hAnsi="Calibri"/>
          <w:spacing w:val="-2"/>
          <w:sz w:val="22"/>
        </w:rPr>
        <w:t>45–86.</w:t>
      </w:r>
    </w:p>
    <w:p>
      <w:pPr>
        <w:spacing w:before="0"/>
        <w:ind w:left="1700" w:right="1908" w:hanging="721"/>
        <w:jc w:val="both"/>
        <w:rPr>
          <w:rFonts w:ascii="Calibri"/>
          <w:sz w:val="22"/>
        </w:rPr>
      </w:pPr>
      <w:bookmarkStart w:name="_bookmark360" w:id="361"/>
      <w:bookmarkEnd w:id="361"/>
      <w:r>
        <w:rPr/>
      </w:r>
      <w:r>
        <w:rPr>
          <w:rFonts w:ascii="Calibri"/>
          <w:sz w:val="22"/>
        </w:rPr>
        <w:t>Rose,</w:t>
      </w:r>
      <w:r>
        <w:rPr>
          <w:rFonts w:ascii="Calibri"/>
          <w:spacing w:val="-3"/>
          <w:sz w:val="22"/>
        </w:rPr>
        <w:t> </w:t>
      </w:r>
      <w:r>
        <w:rPr>
          <w:rFonts w:ascii="Calibri"/>
          <w:sz w:val="22"/>
        </w:rPr>
        <w:t>R.,</w:t>
      </w:r>
      <w:r>
        <w:rPr>
          <w:rFonts w:ascii="Calibri"/>
          <w:spacing w:val="-3"/>
          <w:sz w:val="22"/>
        </w:rPr>
        <w:t> </w:t>
      </w:r>
      <w:r>
        <w:rPr>
          <w:rFonts w:ascii="Calibri"/>
          <w:sz w:val="22"/>
        </w:rPr>
        <w:t>&amp;</w:t>
      </w:r>
      <w:r>
        <w:rPr>
          <w:rFonts w:ascii="Calibri"/>
          <w:spacing w:val="-2"/>
          <w:sz w:val="22"/>
        </w:rPr>
        <w:t> </w:t>
      </w:r>
      <w:r>
        <w:rPr>
          <w:rFonts w:ascii="Calibri"/>
          <w:sz w:val="22"/>
        </w:rPr>
        <w:t>Borz,</w:t>
      </w:r>
      <w:r>
        <w:rPr>
          <w:rFonts w:ascii="Calibri"/>
          <w:spacing w:val="-3"/>
          <w:sz w:val="22"/>
        </w:rPr>
        <w:t> </w:t>
      </w:r>
      <w:r>
        <w:rPr>
          <w:rFonts w:ascii="Calibri"/>
          <w:sz w:val="22"/>
        </w:rPr>
        <w:t>G.</w:t>
      </w:r>
      <w:r>
        <w:rPr>
          <w:rFonts w:ascii="Calibri"/>
          <w:spacing w:val="-4"/>
          <w:sz w:val="22"/>
        </w:rPr>
        <w:t> </w:t>
      </w:r>
      <w:r>
        <w:rPr>
          <w:rFonts w:ascii="Calibri"/>
          <w:sz w:val="22"/>
        </w:rPr>
        <w:t>(2016). Static</w:t>
      </w:r>
      <w:r>
        <w:rPr>
          <w:rFonts w:ascii="Calibri"/>
          <w:spacing w:val="-3"/>
          <w:sz w:val="22"/>
        </w:rPr>
        <w:t> </w:t>
      </w:r>
      <w:r>
        <w:rPr>
          <w:rFonts w:ascii="Calibri"/>
          <w:sz w:val="22"/>
        </w:rPr>
        <w:t>and</w:t>
      </w:r>
      <w:r>
        <w:rPr>
          <w:rFonts w:ascii="Calibri"/>
          <w:spacing w:val="-1"/>
          <w:sz w:val="22"/>
        </w:rPr>
        <w:t> </w:t>
      </w:r>
      <w:r>
        <w:rPr>
          <w:rFonts w:ascii="Calibri"/>
          <w:sz w:val="22"/>
        </w:rPr>
        <w:t>Dynamic</w:t>
      </w:r>
      <w:r>
        <w:rPr>
          <w:rFonts w:ascii="Calibri"/>
          <w:spacing w:val="-3"/>
          <w:sz w:val="22"/>
        </w:rPr>
        <w:t> </w:t>
      </w:r>
      <w:r>
        <w:rPr>
          <w:rFonts w:ascii="Calibri"/>
          <w:sz w:val="22"/>
        </w:rPr>
        <w:t>Views</w:t>
      </w:r>
      <w:r>
        <w:rPr>
          <w:rFonts w:ascii="Calibri"/>
          <w:spacing w:val="-5"/>
          <w:sz w:val="22"/>
        </w:rPr>
        <w:t> </w:t>
      </w:r>
      <w:r>
        <w:rPr>
          <w:rFonts w:ascii="Calibri"/>
          <w:sz w:val="22"/>
        </w:rPr>
        <w:t>of</w:t>
      </w:r>
      <w:r>
        <w:rPr>
          <w:rFonts w:ascii="Calibri"/>
          <w:spacing w:val="-1"/>
          <w:sz w:val="22"/>
        </w:rPr>
        <w:t> </w:t>
      </w:r>
      <w:r>
        <w:rPr>
          <w:rFonts w:ascii="Calibri"/>
          <w:sz w:val="22"/>
        </w:rPr>
        <w:t>European</w:t>
      </w:r>
      <w:r>
        <w:rPr>
          <w:rFonts w:ascii="Calibri"/>
          <w:spacing w:val="-1"/>
          <w:sz w:val="22"/>
        </w:rPr>
        <w:t> </w:t>
      </w:r>
      <w:r>
        <w:rPr>
          <w:rFonts w:ascii="Calibri"/>
          <w:sz w:val="22"/>
        </w:rPr>
        <w:t>Integration. </w:t>
      </w:r>
      <w:r>
        <w:rPr>
          <w:rFonts w:ascii="Calibri"/>
          <w:i/>
          <w:sz w:val="22"/>
        </w:rPr>
        <w:t>JCMS:</w:t>
      </w:r>
      <w:r>
        <w:rPr>
          <w:rFonts w:ascii="Calibri"/>
          <w:i/>
          <w:spacing w:val="-7"/>
          <w:sz w:val="22"/>
        </w:rPr>
        <w:t> </w:t>
      </w:r>
      <w:r>
        <w:rPr>
          <w:rFonts w:ascii="Calibri"/>
          <w:i/>
          <w:sz w:val="22"/>
        </w:rPr>
        <w:t>Journal of Common Market Studies, 54</w:t>
      </w:r>
      <w:r>
        <w:rPr>
          <w:rFonts w:ascii="Calibri"/>
          <w:sz w:val="22"/>
        </w:rPr>
        <w:t>(2), 370-387. doi: 10.1111/jcms.12295</w:t>
      </w:r>
    </w:p>
    <w:p>
      <w:pPr>
        <w:spacing w:before="1"/>
        <w:ind w:left="979" w:right="0" w:firstLine="0"/>
        <w:jc w:val="both"/>
        <w:rPr>
          <w:rFonts w:ascii="Calibri"/>
          <w:sz w:val="22"/>
        </w:rPr>
      </w:pPr>
      <w:bookmarkStart w:name="_bookmark361" w:id="362"/>
      <w:bookmarkEnd w:id="362"/>
      <w:r>
        <w:rPr/>
      </w:r>
      <w:r>
        <w:rPr>
          <w:rFonts w:ascii="Calibri"/>
          <w:sz w:val="22"/>
        </w:rPr>
        <w:t>Rosen,</w:t>
      </w:r>
      <w:r>
        <w:rPr>
          <w:rFonts w:ascii="Calibri"/>
          <w:spacing w:val="-5"/>
          <w:sz w:val="22"/>
        </w:rPr>
        <w:t> </w:t>
      </w:r>
      <w:r>
        <w:rPr>
          <w:rFonts w:ascii="Calibri"/>
          <w:sz w:val="22"/>
        </w:rPr>
        <w:t>R.</w:t>
      </w:r>
      <w:r>
        <w:rPr>
          <w:rFonts w:ascii="Calibri"/>
          <w:spacing w:val="-1"/>
          <w:sz w:val="22"/>
        </w:rPr>
        <w:t> </w:t>
      </w:r>
      <w:r>
        <w:rPr>
          <w:rFonts w:ascii="Calibri"/>
          <w:sz w:val="22"/>
        </w:rPr>
        <w:t>(1991a).</w:t>
      </w:r>
      <w:r>
        <w:rPr>
          <w:rFonts w:ascii="Calibri"/>
          <w:spacing w:val="-6"/>
          <w:sz w:val="22"/>
        </w:rPr>
        <w:t> </w:t>
      </w:r>
      <w:r>
        <w:rPr>
          <w:rFonts w:ascii="Calibri"/>
          <w:sz w:val="22"/>
        </w:rPr>
        <w:t>Complexity</w:t>
      </w:r>
      <w:r>
        <w:rPr>
          <w:rFonts w:ascii="Calibri"/>
          <w:spacing w:val="-1"/>
          <w:sz w:val="22"/>
        </w:rPr>
        <w:t> </w:t>
      </w:r>
      <w:r>
        <w:rPr>
          <w:rFonts w:ascii="Calibri"/>
          <w:sz w:val="22"/>
        </w:rPr>
        <w:t>and</w:t>
      </w:r>
      <w:r>
        <w:rPr>
          <w:rFonts w:ascii="Calibri"/>
          <w:spacing w:val="-8"/>
          <w:sz w:val="22"/>
        </w:rPr>
        <w:t> </w:t>
      </w:r>
      <w:r>
        <w:rPr>
          <w:rFonts w:ascii="Calibri"/>
          <w:sz w:val="22"/>
        </w:rPr>
        <w:t>System</w:t>
      </w:r>
      <w:r>
        <w:rPr>
          <w:rFonts w:ascii="Calibri"/>
          <w:spacing w:val="-1"/>
          <w:sz w:val="22"/>
        </w:rPr>
        <w:t> </w:t>
      </w:r>
      <w:r>
        <w:rPr>
          <w:rFonts w:ascii="Calibri"/>
          <w:sz w:val="22"/>
        </w:rPr>
        <w:t>Descriptions</w:t>
      </w:r>
      <w:r>
        <w:rPr>
          <w:rFonts w:ascii="Calibri"/>
          <w:spacing w:val="3"/>
          <w:sz w:val="22"/>
        </w:rPr>
        <w:t> </w:t>
      </w:r>
      <w:r>
        <w:rPr>
          <w:rFonts w:ascii="Calibri"/>
          <w:i/>
          <w:sz w:val="22"/>
        </w:rPr>
        <w:t>Facets</w:t>
      </w:r>
      <w:r>
        <w:rPr>
          <w:rFonts w:ascii="Calibri"/>
          <w:i/>
          <w:spacing w:val="-2"/>
          <w:sz w:val="22"/>
        </w:rPr>
        <w:t> </w:t>
      </w:r>
      <w:r>
        <w:rPr>
          <w:rFonts w:ascii="Calibri"/>
          <w:i/>
          <w:sz w:val="22"/>
        </w:rPr>
        <w:t>of</w:t>
      </w:r>
      <w:r>
        <w:rPr>
          <w:rFonts w:ascii="Calibri"/>
          <w:i/>
          <w:spacing w:val="-3"/>
          <w:sz w:val="22"/>
        </w:rPr>
        <w:t> </w:t>
      </w:r>
      <w:r>
        <w:rPr>
          <w:rFonts w:ascii="Calibri"/>
          <w:i/>
          <w:sz w:val="22"/>
        </w:rPr>
        <w:t>Systems</w:t>
      </w:r>
      <w:r>
        <w:rPr>
          <w:rFonts w:ascii="Calibri"/>
          <w:i/>
          <w:spacing w:val="-2"/>
          <w:sz w:val="22"/>
        </w:rPr>
        <w:t> </w:t>
      </w:r>
      <w:r>
        <w:rPr>
          <w:rFonts w:ascii="Calibri"/>
          <w:i/>
          <w:sz w:val="22"/>
        </w:rPr>
        <w:t>Science</w:t>
      </w:r>
      <w:r>
        <w:rPr>
          <w:rFonts w:ascii="Calibri"/>
          <w:i/>
          <w:spacing w:val="-4"/>
          <w:sz w:val="22"/>
        </w:rPr>
        <w:t> </w:t>
      </w:r>
      <w:r>
        <w:rPr>
          <w:rFonts w:ascii="Calibri"/>
          <w:sz w:val="22"/>
        </w:rPr>
        <w:t>(Vol.</w:t>
      </w:r>
      <w:r>
        <w:rPr>
          <w:rFonts w:ascii="Calibri"/>
          <w:spacing w:val="-6"/>
          <w:sz w:val="22"/>
        </w:rPr>
        <w:t> </w:t>
      </w:r>
      <w:r>
        <w:rPr>
          <w:rFonts w:ascii="Calibri"/>
          <w:sz w:val="22"/>
        </w:rPr>
        <w:t>7,</w:t>
      </w:r>
      <w:r>
        <w:rPr>
          <w:rFonts w:ascii="Calibri"/>
          <w:spacing w:val="-4"/>
          <w:sz w:val="22"/>
        </w:rPr>
        <w:t> </w:t>
      </w:r>
      <w:r>
        <w:rPr>
          <w:rFonts w:ascii="Calibri"/>
          <w:spacing w:val="-5"/>
          <w:sz w:val="22"/>
        </w:rPr>
        <w:t>pp.</w:t>
      </w:r>
    </w:p>
    <w:p>
      <w:pPr>
        <w:spacing w:before="1"/>
        <w:ind w:left="1700" w:right="0" w:firstLine="0"/>
        <w:jc w:val="both"/>
        <w:rPr>
          <w:rFonts w:ascii="Calibri"/>
          <w:sz w:val="22"/>
        </w:rPr>
      </w:pPr>
      <w:r>
        <w:rPr>
          <w:rFonts w:ascii="Calibri"/>
          <w:sz w:val="22"/>
        </w:rPr>
        <w:t>477-482):</w:t>
      </w:r>
      <w:r>
        <w:rPr>
          <w:rFonts w:ascii="Calibri"/>
          <w:spacing w:val="-10"/>
          <w:sz w:val="22"/>
        </w:rPr>
        <w:t> </w:t>
      </w:r>
      <w:r>
        <w:rPr>
          <w:rFonts w:ascii="Calibri"/>
          <w:sz w:val="22"/>
        </w:rPr>
        <w:t>Springer</w:t>
      </w:r>
      <w:r>
        <w:rPr>
          <w:rFonts w:ascii="Calibri"/>
          <w:spacing w:val="-7"/>
          <w:sz w:val="22"/>
        </w:rPr>
        <w:t> </w:t>
      </w:r>
      <w:r>
        <w:rPr>
          <w:rFonts w:ascii="Calibri"/>
          <w:spacing w:val="-5"/>
          <w:sz w:val="22"/>
        </w:rPr>
        <w:t>US.</w:t>
      </w:r>
    </w:p>
    <w:p>
      <w:pPr>
        <w:spacing w:before="0"/>
        <w:ind w:left="1700" w:right="1909" w:hanging="721"/>
        <w:jc w:val="left"/>
        <w:rPr>
          <w:rFonts w:ascii="Calibri"/>
          <w:sz w:val="22"/>
        </w:rPr>
      </w:pPr>
      <w:bookmarkStart w:name="_bookmark362" w:id="363"/>
      <w:bookmarkEnd w:id="363"/>
      <w:r>
        <w:rPr/>
      </w:r>
      <w:r>
        <w:rPr>
          <w:rFonts w:ascii="Calibri"/>
          <w:sz w:val="22"/>
        </w:rPr>
        <w:t>Rosen,</w:t>
      </w:r>
      <w:r>
        <w:rPr>
          <w:rFonts w:ascii="Calibri"/>
          <w:spacing w:val="40"/>
          <w:sz w:val="22"/>
        </w:rPr>
        <w:t> </w:t>
      </w:r>
      <w:r>
        <w:rPr>
          <w:rFonts w:ascii="Calibri"/>
          <w:sz w:val="22"/>
        </w:rPr>
        <w:t>R.</w:t>
      </w:r>
      <w:r>
        <w:rPr>
          <w:rFonts w:ascii="Calibri"/>
          <w:spacing w:val="40"/>
          <w:sz w:val="22"/>
        </w:rPr>
        <w:t> </w:t>
      </w:r>
      <w:r>
        <w:rPr>
          <w:rFonts w:ascii="Calibri"/>
          <w:sz w:val="22"/>
        </w:rPr>
        <w:t>(1991b).</w:t>
      </w:r>
      <w:r>
        <w:rPr>
          <w:rFonts w:ascii="Calibri"/>
          <w:spacing w:val="40"/>
          <w:sz w:val="22"/>
        </w:rPr>
        <w:t> </w:t>
      </w:r>
      <w:r>
        <w:rPr>
          <w:rFonts w:ascii="Calibri"/>
          <w:sz w:val="22"/>
        </w:rPr>
        <w:t>Some</w:t>
      </w:r>
      <w:r>
        <w:rPr>
          <w:rFonts w:ascii="Calibri"/>
          <w:spacing w:val="40"/>
          <w:sz w:val="22"/>
        </w:rPr>
        <w:t> </w:t>
      </w:r>
      <w:r>
        <w:rPr>
          <w:rFonts w:ascii="Calibri"/>
          <w:sz w:val="22"/>
        </w:rPr>
        <w:t>Comments</w:t>
      </w:r>
      <w:r>
        <w:rPr>
          <w:rFonts w:ascii="Calibri"/>
          <w:spacing w:val="40"/>
          <w:sz w:val="22"/>
        </w:rPr>
        <w:t> </w:t>
      </w:r>
      <w:r>
        <w:rPr>
          <w:rFonts w:ascii="Calibri"/>
          <w:sz w:val="22"/>
        </w:rPr>
        <w:t>on</w:t>
      </w:r>
      <w:r>
        <w:rPr>
          <w:rFonts w:ascii="Calibri"/>
          <w:spacing w:val="40"/>
          <w:sz w:val="22"/>
        </w:rPr>
        <w:t> </w:t>
      </w:r>
      <w:r>
        <w:rPr>
          <w:rFonts w:ascii="Calibri"/>
          <w:sz w:val="22"/>
        </w:rPr>
        <w:t>Systems</w:t>
      </w:r>
      <w:r>
        <w:rPr>
          <w:rFonts w:ascii="Calibri"/>
          <w:spacing w:val="40"/>
          <w:sz w:val="22"/>
        </w:rPr>
        <w:t> </w:t>
      </w:r>
      <w:r>
        <w:rPr>
          <w:rFonts w:ascii="Calibri"/>
          <w:sz w:val="22"/>
        </w:rPr>
        <w:t>and</w:t>
      </w:r>
      <w:r>
        <w:rPr>
          <w:rFonts w:ascii="Calibri"/>
          <w:spacing w:val="40"/>
          <w:sz w:val="22"/>
        </w:rPr>
        <w:t> </w:t>
      </w:r>
      <w:r>
        <w:rPr>
          <w:rFonts w:ascii="Calibri"/>
          <w:sz w:val="22"/>
        </w:rPr>
        <w:t>System</w:t>
      </w:r>
      <w:r>
        <w:rPr>
          <w:rFonts w:ascii="Calibri"/>
          <w:spacing w:val="40"/>
          <w:sz w:val="22"/>
        </w:rPr>
        <w:t> </w:t>
      </w:r>
      <w:r>
        <w:rPr>
          <w:rFonts w:ascii="Calibri"/>
          <w:sz w:val="22"/>
        </w:rPr>
        <w:t>Theory</w:t>
      </w:r>
      <w:r>
        <w:rPr>
          <w:rFonts w:ascii="Calibri"/>
          <w:spacing w:val="40"/>
          <w:sz w:val="22"/>
        </w:rPr>
        <w:t> </w:t>
      </w:r>
      <w:r>
        <w:rPr>
          <w:rFonts w:ascii="Calibri"/>
          <w:i/>
          <w:sz w:val="22"/>
        </w:rPr>
        <w:t>Facets</w:t>
      </w:r>
      <w:r>
        <w:rPr>
          <w:rFonts w:ascii="Calibri"/>
          <w:i/>
          <w:spacing w:val="40"/>
          <w:sz w:val="22"/>
        </w:rPr>
        <w:t> </w:t>
      </w:r>
      <w:r>
        <w:rPr>
          <w:rFonts w:ascii="Calibri"/>
          <w:i/>
          <w:sz w:val="22"/>
        </w:rPr>
        <w:t>of</w:t>
      </w:r>
      <w:r>
        <w:rPr>
          <w:rFonts w:ascii="Calibri"/>
          <w:i/>
          <w:spacing w:val="40"/>
          <w:sz w:val="22"/>
        </w:rPr>
        <w:t> </w:t>
      </w:r>
      <w:r>
        <w:rPr>
          <w:rFonts w:ascii="Calibri"/>
          <w:i/>
          <w:sz w:val="22"/>
        </w:rPr>
        <w:t>Systems Science </w:t>
      </w:r>
      <w:r>
        <w:rPr>
          <w:rFonts w:ascii="Calibri"/>
          <w:sz w:val="22"/>
        </w:rPr>
        <w:t>(Vol. 7, pp. 213-215): Springer US.</w:t>
      </w:r>
    </w:p>
    <w:p>
      <w:pPr>
        <w:spacing w:before="0"/>
        <w:ind w:left="1700" w:right="1902" w:hanging="721"/>
        <w:jc w:val="left"/>
        <w:rPr>
          <w:rFonts w:ascii="Calibri"/>
          <w:sz w:val="22"/>
        </w:rPr>
      </w:pPr>
      <w:bookmarkStart w:name="_bookmark363" w:id="364"/>
      <w:bookmarkEnd w:id="364"/>
      <w:r>
        <w:rPr/>
      </w:r>
      <w:r>
        <w:rPr>
          <w:rFonts w:ascii="Calibri"/>
          <w:sz w:val="22"/>
        </w:rPr>
        <w:t>Roth,</w:t>
      </w:r>
      <w:r>
        <w:rPr>
          <w:rFonts w:ascii="Calibri"/>
          <w:spacing w:val="25"/>
          <w:sz w:val="22"/>
        </w:rPr>
        <w:t> </w:t>
      </w:r>
      <w:r>
        <w:rPr>
          <w:rFonts w:ascii="Calibri"/>
          <w:sz w:val="22"/>
        </w:rPr>
        <w:t>F.</w:t>
      </w:r>
      <w:r>
        <w:rPr>
          <w:rFonts w:ascii="Calibri"/>
          <w:spacing w:val="29"/>
          <w:sz w:val="22"/>
        </w:rPr>
        <w:t> </w:t>
      </w:r>
      <w:r>
        <w:rPr>
          <w:rFonts w:ascii="Calibri"/>
          <w:sz w:val="22"/>
        </w:rPr>
        <w:t>(2009).</w:t>
      </w:r>
      <w:r>
        <w:rPr>
          <w:rFonts w:ascii="Calibri"/>
          <w:spacing w:val="29"/>
          <w:sz w:val="22"/>
        </w:rPr>
        <w:t> </w:t>
      </w:r>
      <w:r>
        <w:rPr>
          <w:rFonts w:ascii="Calibri"/>
          <w:sz w:val="22"/>
        </w:rPr>
        <w:t>The</w:t>
      </w:r>
      <w:r>
        <w:rPr>
          <w:rFonts w:ascii="Calibri"/>
          <w:spacing w:val="28"/>
          <w:sz w:val="22"/>
        </w:rPr>
        <w:t> </w:t>
      </w:r>
      <w:r>
        <w:rPr>
          <w:rFonts w:ascii="Calibri"/>
          <w:sz w:val="22"/>
        </w:rPr>
        <w:t>effect</w:t>
      </w:r>
      <w:r>
        <w:rPr>
          <w:rFonts w:ascii="Calibri"/>
          <w:spacing w:val="26"/>
          <w:sz w:val="22"/>
        </w:rPr>
        <w:t> </w:t>
      </w:r>
      <w:r>
        <w:rPr>
          <w:rFonts w:ascii="Calibri"/>
          <w:sz w:val="22"/>
        </w:rPr>
        <w:t>of</w:t>
      </w:r>
      <w:r>
        <w:rPr>
          <w:rFonts w:ascii="Calibri"/>
          <w:spacing w:val="27"/>
          <w:sz w:val="22"/>
        </w:rPr>
        <w:t> </w:t>
      </w:r>
      <w:r>
        <w:rPr>
          <w:rFonts w:ascii="Calibri"/>
          <w:sz w:val="22"/>
        </w:rPr>
        <w:t>the</w:t>
      </w:r>
      <w:r>
        <w:rPr>
          <w:rFonts w:ascii="Calibri"/>
          <w:spacing w:val="28"/>
          <w:sz w:val="22"/>
        </w:rPr>
        <w:t> </w:t>
      </w:r>
      <w:r>
        <w:rPr>
          <w:rFonts w:ascii="Calibri"/>
          <w:sz w:val="22"/>
        </w:rPr>
        <w:t>financial</w:t>
      </w:r>
      <w:r>
        <w:rPr>
          <w:rFonts w:ascii="Calibri"/>
          <w:spacing w:val="29"/>
          <w:sz w:val="22"/>
        </w:rPr>
        <w:t> </w:t>
      </w:r>
      <w:r>
        <w:rPr>
          <w:rFonts w:ascii="Calibri"/>
          <w:sz w:val="22"/>
        </w:rPr>
        <w:t>crisis</w:t>
      </w:r>
      <w:r>
        <w:rPr>
          <w:rFonts w:ascii="Calibri"/>
          <w:spacing w:val="27"/>
          <w:sz w:val="22"/>
        </w:rPr>
        <w:t> </w:t>
      </w:r>
      <w:r>
        <w:rPr>
          <w:rFonts w:ascii="Calibri"/>
          <w:sz w:val="22"/>
        </w:rPr>
        <w:t>on</w:t>
      </w:r>
      <w:r>
        <w:rPr>
          <w:rFonts w:ascii="Calibri"/>
          <w:spacing w:val="22"/>
          <w:sz w:val="22"/>
        </w:rPr>
        <w:t> </w:t>
      </w:r>
      <w:r>
        <w:rPr>
          <w:rFonts w:ascii="Calibri"/>
          <w:sz w:val="22"/>
        </w:rPr>
        <w:t>systemic</w:t>
      </w:r>
      <w:r>
        <w:rPr>
          <w:rFonts w:ascii="Calibri"/>
          <w:spacing w:val="25"/>
          <w:sz w:val="22"/>
        </w:rPr>
        <w:t> </w:t>
      </w:r>
      <w:r>
        <w:rPr>
          <w:rFonts w:ascii="Calibri"/>
          <w:sz w:val="22"/>
        </w:rPr>
        <w:t>trust.</w:t>
      </w:r>
      <w:r>
        <w:rPr>
          <w:rFonts w:ascii="Calibri"/>
          <w:spacing w:val="36"/>
          <w:sz w:val="22"/>
        </w:rPr>
        <w:t> </w:t>
      </w:r>
      <w:r>
        <w:rPr>
          <w:rFonts w:ascii="Calibri"/>
          <w:i/>
          <w:sz w:val="22"/>
        </w:rPr>
        <w:t>Intereconomics,</w:t>
      </w:r>
      <w:r>
        <w:rPr>
          <w:rFonts w:ascii="Calibri"/>
          <w:i/>
          <w:spacing w:val="25"/>
          <w:sz w:val="22"/>
        </w:rPr>
        <w:t> </w:t>
      </w:r>
      <w:r>
        <w:rPr>
          <w:rFonts w:ascii="Calibri"/>
          <w:i/>
          <w:sz w:val="22"/>
        </w:rPr>
        <w:t>44</w:t>
      </w:r>
      <w:r>
        <w:rPr>
          <w:rFonts w:ascii="Calibri"/>
          <w:sz w:val="22"/>
        </w:rPr>
        <w:t>(4), 203-208. doi: 10.1007/s10272-009-0296-9</w:t>
      </w:r>
    </w:p>
    <w:p>
      <w:pPr>
        <w:spacing w:before="1"/>
        <w:ind w:left="979" w:right="0" w:firstLine="0"/>
        <w:jc w:val="left"/>
        <w:rPr>
          <w:rFonts w:ascii="Calibri"/>
          <w:sz w:val="22"/>
        </w:rPr>
      </w:pPr>
      <w:bookmarkStart w:name="_bookmark364" w:id="365"/>
      <w:bookmarkEnd w:id="365"/>
      <w:r>
        <w:rPr/>
      </w:r>
      <w:r>
        <w:rPr>
          <w:rFonts w:ascii="Calibri"/>
          <w:sz w:val="22"/>
        </w:rPr>
        <w:t>Rothert,</w:t>
      </w:r>
      <w:r>
        <w:rPr>
          <w:rFonts w:ascii="Calibri"/>
          <w:spacing w:val="-12"/>
          <w:sz w:val="22"/>
        </w:rPr>
        <w:t> </w:t>
      </w:r>
      <w:r>
        <w:rPr>
          <w:rFonts w:ascii="Calibri"/>
          <w:sz w:val="22"/>
        </w:rPr>
        <w:t>A.</w:t>
      </w:r>
      <w:r>
        <w:rPr>
          <w:rFonts w:ascii="Calibri"/>
          <w:spacing w:val="-5"/>
          <w:sz w:val="22"/>
        </w:rPr>
        <w:t> </w:t>
      </w:r>
      <w:r>
        <w:rPr>
          <w:rFonts w:ascii="Calibri"/>
          <w:sz w:val="22"/>
        </w:rPr>
        <w:t>(2014).</w:t>
      </w:r>
      <w:r>
        <w:rPr>
          <w:rFonts w:ascii="Calibri"/>
          <w:spacing w:val="-5"/>
          <w:sz w:val="22"/>
        </w:rPr>
        <w:t> </w:t>
      </w:r>
      <w:r>
        <w:rPr>
          <w:rFonts w:ascii="Calibri"/>
          <w:sz w:val="22"/>
        </w:rPr>
        <w:t>Connecting</w:t>
      </w:r>
      <w:r>
        <w:rPr>
          <w:rFonts w:ascii="Calibri"/>
          <w:spacing w:val="-6"/>
          <w:sz w:val="22"/>
        </w:rPr>
        <w:t> </w:t>
      </w:r>
      <w:r>
        <w:rPr>
          <w:rFonts w:ascii="Calibri"/>
          <w:sz w:val="22"/>
        </w:rPr>
        <w:t>With</w:t>
      </w:r>
      <w:r>
        <w:rPr>
          <w:rFonts w:ascii="Calibri"/>
          <w:spacing w:val="-7"/>
          <w:sz w:val="22"/>
        </w:rPr>
        <w:t> </w:t>
      </w:r>
      <w:r>
        <w:rPr>
          <w:rFonts w:ascii="Calibri"/>
          <w:sz w:val="22"/>
        </w:rPr>
        <w:t>Complexity. </w:t>
      </w:r>
      <w:r>
        <w:rPr>
          <w:rFonts w:ascii="Calibri"/>
          <w:i/>
          <w:sz w:val="22"/>
        </w:rPr>
        <w:t>R/evolutions,</w:t>
      </w:r>
      <w:r>
        <w:rPr>
          <w:rFonts w:ascii="Calibri"/>
          <w:i/>
          <w:spacing w:val="-8"/>
          <w:sz w:val="22"/>
        </w:rPr>
        <w:t> </w:t>
      </w:r>
      <w:r>
        <w:rPr>
          <w:rFonts w:ascii="Calibri"/>
          <w:i/>
          <w:spacing w:val="-2"/>
          <w:sz w:val="22"/>
        </w:rPr>
        <w:t>2</w:t>
      </w:r>
      <w:r>
        <w:rPr>
          <w:rFonts w:ascii="Calibri"/>
          <w:spacing w:val="-2"/>
          <w:sz w:val="22"/>
        </w:rPr>
        <w:t>(1).</w:t>
      </w:r>
    </w:p>
    <w:p>
      <w:pPr>
        <w:spacing w:before="0"/>
        <w:ind w:left="1700" w:right="1902" w:hanging="721"/>
        <w:jc w:val="both"/>
        <w:rPr>
          <w:rFonts w:ascii="Calibri"/>
          <w:sz w:val="22"/>
        </w:rPr>
      </w:pPr>
      <w:bookmarkStart w:name="_bookmark365" w:id="366"/>
      <w:bookmarkEnd w:id="366"/>
      <w:r>
        <w:rPr/>
      </w:r>
      <w:r>
        <w:rPr>
          <w:rFonts w:ascii="Calibri"/>
          <w:sz w:val="22"/>
        </w:rPr>
        <w:t>Rothschild, M., &amp; Stiglitz, J. (1976). Equilibrium in Competitive Insurance Markets: An Essay on the Economics of Imperfect Information. </w:t>
      </w:r>
      <w:r>
        <w:rPr>
          <w:rFonts w:ascii="Calibri"/>
          <w:i/>
          <w:sz w:val="22"/>
        </w:rPr>
        <w:t>The Quarterly Journal of Economics, 90</w:t>
      </w:r>
      <w:r>
        <w:rPr>
          <w:rFonts w:ascii="Calibri"/>
          <w:sz w:val="22"/>
        </w:rPr>
        <w:t>(4), 629-649. doi: 10.2307/1885326</w:t>
      </w:r>
    </w:p>
    <w:p>
      <w:pPr>
        <w:spacing w:line="240" w:lineRule="auto" w:before="0"/>
        <w:ind w:left="1700" w:right="1900" w:hanging="721"/>
        <w:jc w:val="both"/>
        <w:rPr>
          <w:rFonts w:ascii="Calibri"/>
          <w:sz w:val="22"/>
        </w:rPr>
      </w:pPr>
      <w:bookmarkStart w:name="_bookmark366" w:id="367"/>
      <w:bookmarkEnd w:id="367"/>
      <w:r>
        <w:rPr/>
      </w:r>
      <w:r>
        <w:rPr>
          <w:rFonts w:ascii="Calibri"/>
          <w:sz w:val="22"/>
        </w:rPr>
        <w:t>Ruane, K. (2000). </w:t>
      </w:r>
      <w:r>
        <w:rPr>
          <w:rFonts w:ascii="Calibri"/>
          <w:i/>
          <w:sz w:val="22"/>
        </w:rPr>
        <w:t>The rise and fall of the European Defence Community : Anglo-American relations and the crisis of European defence, 1950-55</w:t>
      </w:r>
      <w:r>
        <w:rPr>
          <w:rFonts w:ascii="Calibri"/>
          <w:sz w:val="22"/>
        </w:rPr>
        <w:t>. Houndmills, Basingstoke, Hampshire England, New York: St. Martin's Press.</w:t>
      </w:r>
    </w:p>
    <w:p>
      <w:pPr>
        <w:spacing w:before="0"/>
        <w:ind w:left="1700" w:right="1909" w:hanging="721"/>
        <w:jc w:val="left"/>
        <w:rPr>
          <w:rFonts w:ascii="Calibri"/>
          <w:sz w:val="22"/>
        </w:rPr>
      </w:pPr>
      <w:r>
        <w:rPr>
          <w:rFonts w:ascii="Calibri"/>
          <w:sz w:val="22"/>
        </w:rPr>
        <w:t>Rules of Procedure of the Council of the European Communities, Council of the European</w:t>
      </w:r>
      <w:r>
        <w:rPr>
          <w:rFonts w:ascii="Calibri"/>
          <w:spacing w:val="80"/>
          <w:sz w:val="22"/>
        </w:rPr>
        <w:t> </w:t>
      </w:r>
      <w:r>
        <w:rPr>
          <w:rFonts w:ascii="Calibri"/>
          <w:sz w:val="22"/>
        </w:rPr>
        <w:t>Communities (1979).</w:t>
      </w:r>
    </w:p>
    <w:p>
      <w:pPr>
        <w:spacing w:before="0"/>
        <w:ind w:left="1700" w:right="1909" w:hanging="721"/>
        <w:jc w:val="left"/>
        <w:rPr>
          <w:rFonts w:ascii="Calibri"/>
          <w:sz w:val="22"/>
        </w:rPr>
      </w:pPr>
      <w:bookmarkStart w:name="_bookmark367" w:id="368"/>
      <w:bookmarkEnd w:id="368"/>
      <w:r>
        <w:rPr/>
      </w:r>
      <w:r>
        <w:rPr>
          <w:rFonts w:ascii="Calibri"/>
          <w:sz w:val="22"/>
        </w:rPr>
        <w:t>Sandholtz,</w:t>
      </w:r>
      <w:r>
        <w:rPr>
          <w:rFonts w:ascii="Calibri"/>
          <w:spacing w:val="40"/>
          <w:sz w:val="22"/>
        </w:rPr>
        <w:t> </w:t>
      </w:r>
      <w:r>
        <w:rPr>
          <w:rFonts w:ascii="Calibri"/>
          <w:sz w:val="22"/>
        </w:rPr>
        <w:t>W.</w:t>
      </w:r>
      <w:r>
        <w:rPr>
          <w:rFonts w:ascii="Calibri"/>
          <w:spacing w:val="40"/>
          <w:sz w:val="22"/>
        </w:rPr>
        <w:t> </w:t>
      </w:r>
      <w:r>
        <w:rPr>
          <w:rFonts w:ascii="Calibri"/>
          <w:sz w:val="22"/>
        </w:rPr>
        <w:t>(1993).</w:t>
      </w:r>
      <w:r>
        <w:rPr>
          <w:rFonts w:ascii="Calibri"/>
          <w:spacing w:val="40"/>
          <w:sz w:val="22"/>
        </w:rPr>
        <w:t> </w:t>
      </w:r>
      <w:r>
        <w:rPr>
          <w:rFonts w:ascii="Calibri"/>
          <w:sz w:val="22"/>
        </w:rPr>
        <w:t>Choosing</w:t>
      </w:r>
      <w:r>
        <w:rPr>
          <w:rFonts w:ascii="Calibri"/>
          <w:spacing w:val="40"/>
          <w:sz w:val="22"/>
        </w:rPr>
        <w:t> </w:t>
      </w:r>
      <w:r>
        <w:rPr>
          <w:rFonts w:ascii="Calibri"/>
          <w:sz w:val="22"/>
        </w:rPr>
        <w:t>union:</w:t>
      </w:r>
      <w:r>
        <w:rPr>
          <w:rFonts w:ascii="Calibri"/>
          <w:spacing w:val="40"/>
          <w:sz w:val="22"/>
        </w:rPr>
        <w:t> </w:t>
      </w:r>
      <w:r>
        <w:rPr>
          <w:rFonts w:ascii="Calibri"/>
          <w:sz w:val="22"/>
        </w:rPr>
        <w:t>monetary</w:t>
      </w:r>
      <w:r>
        <w:rPr>
          <w:rFonts w:ascii="Calibri"/>
          <w:spacing w:val="40"/>
          <w:sz w:val="22"/>
        </w:rPr>
        <w:t> </w:t>
      </w:r>
      <w:r>
        <w:rPr>
          <w:rFonts w:ascii="Calibri"/>
          <w:sz w:val="22"/>
        </w:rPr>
        <w:t>politics</w:t>
      </w:r>
      <w:r>
        <w:rPr>
          <w:rFonts w:ascii="Calibri"/>
          <w:spacing w:val="40"/>
          <w:sz w:val="22"/>
        </w:rPr>
        <w:t> </w:t>
      </w:r>
      <w:r>
        <w:rPr>
          <w:rFonts w:ascii="Calibri"/>
          <w:sz w:val="22"/>
        </w:rPr>
        <w:t>and</w:t>
      </w:r>
      <w:r>
        <w:rPr>
          <w:rFonts w:ascii="Calibri"/>
          <w:spacing w:val="40"/>
          <w:sz w:val="22"/>
        </w:rPr>
        <w:t> </w:t>
      </w:r>
      <w:r>
        <w:rPr>
          <w:rFonts w:ascii="Calibri"/>
          <w:sz w:val="22"/>
        </w:rPr>
        <w:t>Maastricht.</w:t>
      </w:r>
      <w:r>
        <w:rPr>
          <w:rFonts w:ascii="Calibri"/>
          <w:spacing w:val="40"/>
          <w:sz w:val="22"/>
        </w:rPr>
        <w:t> </w:t>
      </w:r>
      <w:r>
        <w:rPr>
          <w:rFonts w:ascii="Calibri"/>
          <w:i/>
          <w:sz w:val="22"/>
        </w:rPr>
        <w:t>International Organization, 47</w:t>
      </w:r>
      <w:r>
        <w:rPr>
          <w:rFonts w:ascii="Calibri"/>
          <w:sz w:val="22"/>
        </w:rPr>
        <w:t>(01), 1-39. doi: doi:10.1017/S0020818300004690</w:t>
      </w:r>
    </w:p>
    <w:p>
      <w:pPr>
        <w:spacing w:before="0"/>
        <w:ind w:left="979" w:right="0" w:firstLine="0"/>
        <w:jc w:val="left"/>
        <w:rPr>
          <w:rFonts w:ascii="Calibri"/>
          <w:sz w:val="22"/>
        </w:rPr>
      </w:pPr>
      <w:bookmarkStart w:name="_bookmark368" w:id="369"/>
      <w:bookmarkEnd w:id="369"/>
      <w:r>
        <w:rPr/>
      </w:r>
      <w:r>
        <w:rPr>
          <w:rFonts w:ascii="Calibri"/>
          <w:sz w:val="22"/>
        </w:rPr>
        <w:t>Sandholz,</w:t>
      </w:r>
      <w:r>
        <w:rPr>
          <w:rFonts w:ascii="Calibri"/>
          <w:spacing w:val="9"/>
          <w:sz w:val="22"/>
        </w:rPr>
        <w:t> </w:t>
      </w:r>
      <w:r>
        <w:rPr>
          <w:rFonts w:ascii="Calibri"/>
          <w:sz w:val="22"/>
        </w:rPr>
        <w:t>W.,</w:t>
      </w:r>
      <w:r>
        <w:rPr>
          <w:rFonts w:ascii="Calibri"/>
          <w:spacing w:val="11"/>
          <w:sz w:val="22"/>
        </w:rPr>
        <w:t> </w:t>
      </w:r>
      <w:r>
        <w:rPr>
          <w:rFonts w:ascii="Calibri"/>
          <w:sz w:val="22"/>
        </w:rPr>
        <w:t>&amp;</w:t>
      </w:r>
      <w:r>
        <w:rPr>
          <w:rFonts w:ascii="Calibri"/>
          <w:spacing w:val="16"/>
          <w:sz w:val="22"/>
        </w:rPr>
        <w:t> </w:t>
      </w:r>
      <w:r>
        <w:rPr>
          <w:rFonts w:ascii="Calibri"/>
          <w:sz w:val="22"/>
        </w:rPr>
        <w:t>Stone</w:t>
      </w:r>
      <w:r>
        <w:rPr>
          <w:rFonts w:ascii="Calibri"/>
          <w:spacing w:val="14"/>
          <w:sz w:val="22"/>
        </w:rPr>
        <w:t> </w:t>
      </w:r>
      <w:r>
        <w:rPr>
          <w:rFonts w:ascii="Calibri"/>
          <w:sz w:val="22"/>
        </w:rPr>
        <w:t>Sweet,</w:t>
      </w:r>
      <w:r>
        <w:rPr>
          <w:rFonts w:ascii="Calibri"/>
          <w:spacing w:val="16"/>
          <w:sz w:val="22"/>
        </w:rPr>
        <w:t> </w:t>
      </w:r>
      <w:r>
        <w:rPr>
          <w:rFonts w:ascii="Calibri"/>
          <w:sz w:val="22"/>
        </w:rPr>
        <w:t>A.</w:t>
      </w:r>
      <w:r>
        <w:rPr>
          <w:rFonts w:ascii="Calibri"/>
          <w:spacing w:val="15"/>
          <w:sz w:val="22"/>
        </w:rPr>
        <w:t> </w:t>
      </w:r>
      <w:r>
        <w:rPr>
          <w:rFonts w:ascii="Calibri"/>
          <w:sz w:val="22"/>
        </w:rPr>
        <w:t>(2012).</w:t>
      </w:r>
      <w:r>
        <w:rPr>
          <w:rFonts w:ascii="Calibri"/>
          <w:spacing w:val="16"/>
          <w:sz w:val="22"/>
        </w:rPr>
        <w:t> </w:t>
      </w:r>
      <w:r>
        <w:rPr>
          <w:rFonts w:ascii="Calibri"/>
          <w:sz w:val="22"/>
        </w:rPr>
        <w:t>Neo-functionalism</w:t>
      </w:r>
      <w:r>
        <w:rPr>
          <w:rFonts w:ascii="Calibri"/>
          <w:spacing w:val="15"/>
          <w:sz w:val="22"/>
        </w:rPr>
        <w:t> </w:t>
      </w:r>
      <w:r>
        <w:rPr>
          <w:rFonts w:ascii="Calibri"/>
          <w:sz w:val="22"/>
        </w:rPr>
        <w:t>and</w:t>
      </w:r>
      <w:r>
        <w:rPr>
          <w:rFonts w:ascii="Calibri"/>
          <w:spacing w:val="13"/>
          <w:sz w:val="22"/>
        </w:rPr>
        <w:t> </w:t>
      </w:r>
      <w:r>
        <w:rPr>
          <w:rFonts w:ascii="Calibri"/>
          <w:sz w:val="22"/>
        </w:rPr>
        <w:t>supranational</w:t>
      </w:r>
      <w:r>
        <w:rPr>
          <w:rFonts w:ascii="Calibri"/>
          <w:spacing w:val="15"/>
          <w:sz w:val="22"/>
        </w:rPr>
        <w:t> </w:t>
      </w:r>
      <w:r>
        <w:rPr>
          <w:rFonts w:ascii="Calibri"/>
          <w:spacing w:val="-2"/>
          <w:sz w:val="22"/>
        </w:rPr>
        <w:t>governance.</w:t>
      </w:r>
    </w:p>
    <w:p>
      <w:pPr>
        <w:spacing w:before="0"/>
        <w:ind w:left="1700" w:right="0" w:firstLine="0"/>
        <w:jc w:val="left"/>
        <w:rPr>
          <w:rFonts w:ascii="Calibri"/>
          <w:sz w:val="22"/>
        </w:rPr>
      </w:pPr>
      <w:r>
        <w:rPr>
          <w:rFonts w:ascii="Calibri"/>
          <w:i/>
          <w:sz w:val="22"/>
        </w:rPr>
        <w:t>Yale</w:t>
      </w:r>
      <w:r>
        <w:rPr>
          <w:rFonts w:ascii="Calibri"/>
          <w:i/>
          <w:spacing w:val="-3"/>
          <w:sz w:val="22"/>
        </w:rPr>
        <w:t> </w:t>
      </w:r>
      <w:r>
        <w:rPr>
          <w:rFonts w:ascii="Calibri"/>
          <w:i/>
          <w:spacing w:val="-2"/>
          <w:sz w:val="22"/>
        </w:rPr>
        <w:t>University</w:t>
      </w:r>
      <w:r>
        <w:rPr>
          <w:rFonts w:ascii="Calibri"/>
          <w:spacing w:val="-2"/>
          <w:sz w:val="22"/>
        </w:rPr>
        <w:t>.</w:t>
      </w:r>
    </w:p>
    <w:p>
      <w:pPr>
        <w:spacing w:before="0"/>
        <w:ind w:left="1700" w:right="1918" w:hanging="721"/>
        <w:jc w:val="both"/>
        <w:rPr>
          <w:rFonts w:ascii="Calibri"/>
          <w:sz w:val="22"/>
        </w:rPr>
      </w:pPr>
      <w:bookmarkStart w:name="_bookmark369" w:id="370"/>
      <w:bookmarkEnd w:id="370"/>
      <w:r>
        <w:rPr/>
      </w:r>
      <w:r>
        <w:rPr>
          <w:rFonts w:ascii="Calibri"/>
          <w:sz w:val="22"/>
        </w:rPr>
        <w:t>Santer,</w:t>
      </w:r>
      <w:r>
        <w:rPr>
          <w:rFonts w:ascii="Calibri"/>
          <w:spacing w:val="-2"/>
          <w:sz w:val="22"/>
        </w:rPr>
        <w:t> </w:t>
      </w:r>
      <w:r>
        <w:rPr>
          <w:rFonts w:ascii="Calibri"/>
          <w:sz w:val="22"/>
        </w:rPr>
        <w:t>J. (1999). Statement</w:t>
      </w:r>
      <w:r>
        <w:rPr>
          <w:rFonts w:ascii="Calibri"/>
          <w:spacing w:val="-2"/>
          <w:sz w:val="22"/>
        </w:rPr>
        <w:t> </w:t>
      </w:r>
      <w:r>
        <w:rPr>
          <w:rFonts w:ascii="Calibri"/>
          <w:sz w:val="22"/>
        </w:rPr>
        <w:t>by President</w:t>
      </w:r>
      <w:r>
        <w:rPr>
          <w:rFonts w:ascii="Calibri"/>
          <w:spacing w:val="-2"/>
          <w:sz w:val="22"/>
        </w:rPr>
        <w:t> </w:t>
      </w:r>
      <w:r>
        <w:rPr>
          <w:rFonts w:ascii="Calibri"/>
          <w:sz w:val="22"/>
        </w:rPr>
        <w:t>Jacques Santer the day after the resignation of the members of the Commission [Press release]</w:t>
      </w:r>
    </w:p>
    <w:p>
      <w:pPr>
        <w:spacing w:before="0"/>
        <w:ind w:left="1700" w:right="1905" w:hanging="721"/>
        <w:jc w:val="both"/>
        <w:rPr>
          <w:rFonts w:ascii="Calibri"/>
          <w:sz w:val="22"/>
        </w:rPr>
      </w:pPr>
      <w:bookmarkStart w:name="_bookmark370" w:id="371"/>
      <w:bookmarkEnd w:id="371"/>
      <w:r>
        <w:rPr/>
      </w:r>
      <w:r>
        <w:rPr>
          <w:rFonts w:ascii="Calibri"/>
          <w:sz w:val="22"/>
        </w:rPr>
        <w:t>Sbragia, A. M. (2005). Post-national democracy as post-national democratization. In S. Fabbrini (Ed.), </w:t>
      </w:r>
      <w:r>
        <w:rPr>
          <w:rFonts w:ascii="Calibri"/>
          <w:i/>
          <w:sz w:val="22"/>
        </w:rPr>
        <w:t>Democracy and Federalism in the European Union and the United States Exploring post-national governance</w:t>
      </w:r>
      <w:r>
        <w:rPr>
          <w:rFonts w:ascii="Calibri"/>
          <w:sz w:val="22"/>
        </w:rPr>
        <w:t>. New York: Routledge.</w:t>
      </w:r>
    </w:p>
    <w:p>
      <w:pPr>
        <w:spacing w:before="1"/>
        <w:ind w:left="1700" w:right="1908" w:hanging="721"/>
        <w:jc w:val="both"/>
        <w:rPr>
          <w:rFonts w:ascii="Calibri"/>
          <w:sz w:val="22"/>
        </w:rPr>
      </w:pPr>
      <w:bookmarkStart w:name="_bookmark371" w:id="372"/>
      <w:bookmarkEnd w:id="372"/>
      <w:r>
        <w:rPr/>
      </w:r>
      <w:r>
        <w:rPr>
          <w:rFonts w:ascii="Calibri"/>
          <w:sz w:val="22"/>
        </w:rPr>
        <w:t>Scharpf, F. W. (2003). Problem-solving effectiveness and democratic accountability in the EU. </w:t>
      </w:r>
      <w:r>
        <w:rPr>
          <w:rFonts w:ascii="Calibri"/>
          <w:i/>
          <w:sz w:val="22"/>
        </w:rPr>
        <w:t>MPIFG working paper, 3</w:t>
      </w:r>
      <w:r>
        <w:rPr>
          <w:rFonts w:ascii="Calibri"/>
          <w:sz w:val="22"/>
        </w:rPr>
        <w:t>(1).</w:t>
      </w:r>
    </w:p>
    <w:p>
      <w:pPr>
        <w:spacing w:before="1"/>
        <w:ind w:left="1700" w:right="1902" w:hanging="721"/>
        <w:jc w:val="both"/>
        <w:rPr>
          <w:rFonts w:ascii="Calibri"/>
          <w:sz w:val="22"/>
        </w:rPr>
      </w:pPr>
      <w:bookmarkStart w:name="_bookmark372" w:id="373"/>
      <w:bookmarkEnd w:id="373"/>
      <w:r>
        <w:rPr/>
      </w:r>
      <w:r>
        <w:rPr>
          <w:rFonts w:ascii="Calibri"/>
          <w:sz w:val="22"/>
        </w:rPr>
        <w:t>Scharpf, F. W. (2006). The Joint-Decision Trap Revisited. </w:t>
      </w:r>
      <w:r>
        <w:rPr>
          <w:rFonts w:ascii="Calibri"/>
          <w:i/>
          <w:sz w:val="22"/>
        </w:rPr>
        <w:t>JCMS: Journal of Common Market Studies, 44</w:t>
      </w:r>
      <w:r>
        <w:rPr>
          <w:rFonts w:ascii="Calibri"/>
          <w:sz w:val="22"/>
        </w:rPr>
        <w:t>(4), 845-864. doi: 10.1111/j.1468-5965.2006.00665.x</w:t>
      </w:r>
    </w:p>
    <w:p>
      <w:pPr>
        <w:spacing w:line="237" w:lineRule="auto" w:before="2"/>
        <w:ind w:left="979" w:right="1914" w:firstLine="0"/>
        <w:jc w:val="both"/>
        <w:rPr>
          <w:rFonts w:ascii="Calibri"/>
          <w:sz w:val="22"/>
        </w:rPr>
      </w:pPr>
      <w:bookmarkStart w:name="_bookmark375" w:id="374"/>
      <w:bookmarkEnd w:id="374"/>
      <w:r>
        <w:rPr/>
      </w:r>
      <w:r>
        <w:rPr>
          <w:rFonts w:ascii="Calibri"/>
          <w:sz w:val="22"/>
        </w:rPr>
        <w:t>Scheler, M. (2014). Others, Community and Solidarity </w:t>
      </w:r>
      <w:r>
        <w:rPr>
          <w:rFonts w:ascii="Calibri"/>
          <w:i/>
          <w:sz w:val="22"/>
        </w:rPr>
        <w:t>Stanford Encyclopedia of Philosophy</w:t>
      </w:r>
      <w:r>
        <w:rPr>
          <w:rFonts w:ascii="Calibri"/>
          <w:sz w:val="22"/>
        </w:rPr>
        <w:t>. </w:t>
      </w:r>
      <w:bookmarkStart w:name="_bookmark374" w:id="375"/>
      <w:bookmarkEnd w:id="375"/>
      <w:r>
        <w:rPr>
          <w:rFonts w:ascii="Calibri"/>
          <w:sz w:val="22"/>
        </w:rPr>
        <w:t>S</w:t>
      </w:r>
      <w:r>
        <w:rPr>
          <w:rFonts w:ascii="Calibri"/>
          <w:sz w:val="22"/>
        </w:rPr>
        <w:t>cheler, M., &amp; Frings, M. S. (1987). </w:t>
      </w:r>
      <w:r>
        <w:rPr>
          <w:rFonts w:ascii="Calibri"/>
          <w:i/>
          <w:sz w:val="22"/>
        </w:rPr>
        <w:t>Person and self-value : three essays</w:t>
      </w:r>
      <w:r>
        <w:rPr>
          <w:rFonts w:ascii="Calibri"/>
          <w:sz w:val="22"/>
        </w:rPr>
        <w:t>. Dordrecht ; Boston. </w:t>
      </w:r>
      <w:bookmarkStart w:name="_bookmark373" w:id="376"/>
      <w:bookmarkEnd w:id="376"/>
      <w:r>
        <w:rPr>
          <w:rFonts w:ascii="Calibri"/>
          <w:sz w:val="22"/>
        </w:rPr>
        <w:t>S</w:t>
      </w:r>
      <w:r>
        <w:rPr>
          <w:rFonts w:ascii="Calibri"/>
          <w:sz w:val="22"/>
        </w:rPr>
        <w:t>cherer,</w:t>
      </w:r>
      <w:r>
        <w:rPr>
          <w:rFonts w:ascii="Calibri"/>
          <w:spacing w:val="-8"/>
          <w:sz w:val="22"/>
        </w:rPr>
        <w:t> </w:t>
      </w:r>
      <w:r>
        <w:rPr>
          <w:rFonts w:ascii="Calibri"/>
          <w:sz w:val="22"/>
        </w:rPr>
        <w:t>A.</w:t>
      </w:r>
      <w:r>
        <w:rPr>
          <w:rFonts w:ascii="Calibri"/>
          <w:spacing w:val="-3"/>
          <w:sz w:val="22"/>
        </w:rPr>
        <w:t> </w:t>
      </w:r>
      <w:r>
        <w:rPr>
          <w:rFonts w:ascii="Calibri"/>
          <w:sz w:val="22"/>
        </w:rPr>
        <w:t>G.,</w:t>
      </w:r>
      <w:r>
        <w:rPr>
          <w:rFonts w:ascii="Calibri"/>
          <w:spacing w:val="-7"/>
          <w:sz w:val="22"/>
        </w:rPr>
        <w:t> </w:t>
      </w:r>
      <w:r>
        <w:rPr>
          <w:rFonts w:ascii="Calibri"/>
          <w:sz w:val="22"/>
        </w:rPr>
        <w:t>Palazzo,</w:t>
      </w:r>
      <w:r>
        <w:rPr>
          <w:rFonts w:ascii="Calibri"/>
          <w:spacing w:val="-7"/>
          <w:sz w:val="22"/>
        </w:rPr>
        <w:t> </w:t>
      </w:r>
      <w:r>
        <w:rPr>
          <w:rFonts w:ascii="Calibri"/>
          <w:sz w:val="22"/>
        </w:rPr>
        <w:t>G.,</w:t>
      </w:r>
      <w:r>
        <w:rPr>
          <w:rFonts w:ascii="Calibri"/>
          <w:spacing w:val="-2"/>
          <w:sz w:val="22"/>
        </w:rPr>
        <w:t> </w:t>
      </w:r>
      <w:r>
        <w:rPr>
          <w:rFonts w:ascii="Calibri"/>
          <w:sz w:val="22"/>
        </w:rPr>
        <w:t>&amp;</w:t>
      </w:r>
      <w:r>
        <w:rPr>
          <w:rFonts w:ascii="Calibri"/>
          <w:spacing w:val="-6"/>
          <w:sz w:val="22"/>
        </w:rPr>
        <w:t> </w:t>
      </w:r>
      <w:r>
        <w:rPr>
          <w:rFonts w:ascii="Calibri"/>
          <w:sz w:val="22"/>
        </w:rPr>
        <w:t>Matten,</w:t>
      </w:r>
      <w:r>
        <w:rPr>
          <w:rFonts w:ascii="Calibri"/>
          <w:spacing w:val="-2"/>
          <w:sz w:val="22"/>
        </w:rPr>
        <w:t> </w:t>
      </w:r>
      <w:r>
        <w:rPr>
          <w:rFonts w:ascii="Calibri"/>
          <w:sz w:val="22"/>
        </w:rPr>
        <w:t>D.</w:t>
      </w:r>
      <w:r>
        <w:rPr>
          <w:rFonts w:ascii="Calibri"/>
          <w:spacing w:val="-3"/>
          <w:sz w:val="22"/>
        </w:rPr>
        <w:t> </w:t>
      </w:r>
      <w:r>
        <w:rPr>
          <w:rFonts w:ascii="Calibri"/>
          <w:sz w:val="22"/>
        </w:rPr>
        <w:t>(2013).</w:t>
      </w:r>
      <w:r>
        <w:rPr>
          <w:rFonts w:ascii="Calibri"/>
          <w:spacing w:val="-2"/>
          <w:sz w:val="22"/>
        </w:rPr>
        <w:t> </w:t>
      </w:r>
      <w:r>
        <w:rPr>
          <w:rFonts w:ascii="Calibri"/>
          <w:sz w:val="22"/>
        </w:rPr>
        <w:t>The</w:t>
      </w:r>
      <w:r>
        <w:rPr>
          <w:rFonts w:ascii="Calibri"/>
          <w:spacing w:val="-4"/>
          <w:sz w:val="22"/>
        </w:rPr>
        <w:t> </w:t>
      </w:r>
      <w:r>
        <w:rPr>
          <w:rFonts w:ascii="Calibri"/>
          <w:sz w:val="22"/>
        </w:rPr>
        <w:t>Business</w:t>
      </w:r>
      <w:r>
        <w:rPr>
          <w:rFonts w:ascii="Calibri"/>
          <w:spacing w:val="-4"/>
          <w:sz w:val="22"/>
        </w:rPr>
        <w:t> </w:t>
      </w:r>
      <w:r>
        <w:rPr>
          <w:rFonts w:ascii="Calibri"/>
          <w:sz w:val="22"/>
        </w:rPr>
        <w:t>Firm</w:t>
      </w:r>
      <w:r>
        <w:rPr>
          <w:rFonts w:ascii="Calibri"/>
          <w:spacing w:val="-4"/>
          <w:sz w:val="22"/>
        </w:rPr>
        <w:t> </w:t>
      </w:r>
      <w:r>
        <w:rPr>
          <w:rFonts w:ascii="Calibri"/>
          <w:sz w:val="22"/>
        </w:rPr>
        <w:t>as</w:t>
      </w:r>
      <w:r>
        <w:rPr>
          <w:rFonts w:ascii="Calibri"/>
          <w:spacing w:val="-4"/>
          <w:sz w:val="22"/>
        </w:rPr>
        <w:t> </w:t>
      </w:r>
      <w:r>
        <w:rPr>
          <w:rFonts w:ascii="Calibri"/>
          <w:sz w:val="22"/>
        </w:rPr>
        <w:t>a</w:t>
      </w:r>
      <w:r>
        <w:rPr>
          <w:rFonts w:ascii="Calibri"/>
          <w:spacing w:val="-4"/>
          <w:sz w:val="22"/>
        </w:rPr>
        <w:t> </w:t>
      </w:r>
      <w:r>
        <w:rPr>
          <w:rFonts w:ascii="Calibri"/>
          <w:sz w:val="22"/>
        </w:rPr>
        <w:t>Political</w:t>
      </w:r>
      <w:r>
        <w:rPr>
          <w:rFonts w:ascii="Calibri"/>
          <w:spacing w:val="-2"/>
          <w:sz w:val="22"/>
        </w:rPr>
        <w:t> </w:t>
      </w:r>
      <w:r>
        <w:rPr>
          <w:rFonts w:ascii="Calibri"/>
          <w:sz w:val="22"/>
        </w:rPr>
        <w:t>Actor:</w:t>
      </w:r>
      <w:r>
        <w:rPr>
          <w:rFonts w:ascii="Calibri"/>
          <w:spacing w:val="-6"/>
          <w:sz w:val="22"/>
        </w:rPr>
        <w:t> </w:t>
      </w:r>
      <w:r>
        <w:rPr>
          <w:rFonts w:ascii="Calibri"/>
          <w:sz w:val="22"/>
        </w:rPr>
        <w:t>A</w:t>
      </w:r>
      <w:r>
        <w:rPr>
          <w:rFonts w:ascii="Calibri"/>
          <w:spacing w:val="-2"/>
          <w:sz w:val="22"/>
        </w:rPr>
        <w:t> </w:t>
      </w:r>
      <w:r>
        <w:rPr>
          <w:rFonts w:ascii="Calibri"/>
          <w:spacing w:val="-5"/>
          <w:sz w:val="22"/>
        </w:rPr>
        <w:t>New</w:t>
      </w:r>
    </w:p>
    <w:p>
      <w:pPr>
        <w:spacing w:before="2"/>
        <w:ind w:left="1700" w:right="1899" w:firstLine="0"/>
        <w:jc w:val="both"/>
        <w:rPr>
          <w:rFonts w:ascii="Calibri"/>
          <w:sz w:val="22"/>
        </w:rPr>
      </w:pPr>
      <w:r>
        <w:rPr>
          <w:rFonts w:ascii="Calibri"/>
          <w:sz w:val="22"/>
        </w:rPr>
        <w:t>Theory of the Firm for a Globalized World. </w:t>
      </w:r>
      <w:r>
        <w:rPr>
          <w:rFonts w:ascii="Calibri"/>
          <w:i/>
          <w:sz w:val="22"/>
        </w:rPr>
        <w:t>Business &amp; Society</w:t>
      </w:r>
      <w:r>
        <w:rPr>
          <w:rFonts w:ascii="Calibri"/>
          <w:sz w:val="22"/>
        </w:rPr>
        <w:t>. doi: </w:t>
      </w:r>
      <w:r>
        <w:rPr>
          <w:rFonts w:ascii="Calibri"/>
          <w:spacing w:val="-2"/>
          <w:sz w:val="22"/>
        </w:rPr>
        <w:t>10.1177/0007650313511778</w:t>
      </w:r>
    </w:p>
    <w:p>
      <w:pPr>
        <w:spacing w:after="0"/>
        <w:jc w:val="both"/>
        <w:rPr>
          <w:rFonts w:asci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1700" w:right="1904" w:hanging="721"/>
        <w:jc w:val="both"/>
        <w:rPr>
          <w:rFonts w:ascii="Calibri"/>
          <w:sz w:val="22"/>
        </w:rPr>
      </w:pPr>
      <w:bookmarkStart w:name="_bookmark376" w:id="377"/>
      <w:bookmarkEnd w:id="377"/>
      <w:r>
        <w:rPr/>
      </w:r>
      <w:r>
        <w:rPr>
          <w:rFonts w:ascii="Calibri"/>
          <w:sz w:val="22"/>
        </w:rPr>
        <w:t>Schimmelfennig, F., &amp; Sedelmeier, U. (2004). Governance by conditionality: EU rule transfer to the candidate countries of Central and Eastern Europe. </w:t>
      </w:r>
      <w:r>
        <w:rPr>
          <w:rFonts w:ascii="Calibri"/>
          <w:i/>
          <w:sz w:val="22"/>
        </w:rPr>
        <w:t>Journal of European</w:t>
      </w:r>
      <w:r>
        <w:rPr>
          <w:rFonts w:ascii="Calibri"/>
          <w:i/>
          <w:spacing w:val="40"/>
          <w:sz w:val="22"/>
        </w:rPr>
        <w:t> </w:t>
      </w:r>
      <w:r>
        <w:rPr>
          <w:rFonts w:ascii="Calibri"/>
          <w:i/>
          <w:sz w:val="22"/>
        </w:rPr>
        <w:t>Public Policy, 11</w:t>
      </w:r>
      <w:r>
        <w:rPr>
          <w:rFonts w:ascii="Calibri"/>
          <w:sz w:val="22"/>
        </w:rPr>
        <w:t>(4), 661-679. doi: 10.1080/1350176042000248089</w:t>
      </w:r>
    </w:p>
    <w:p>
      <w:pPr>
        <w:spacing w:before="2"/>
        <w:ind w:left="1700" w:right="1925" w:hanging="721"/>
        <w:jc w:val="both"/>
        <w:rPr>
          <w:rFonts w:ascii="Calibri"/>
          <w:sz w:val="22"/>
        </w:rPr>
      </w:pPr>
      <w:bookmarkStart w:name="_bookmark377" w:id="378"/>
      <w:bookmarkEnd w:id="378"/>
      <w:r>
        <w:rPr/>
      </w:r>
      <w:r>
        <w:rPr>
          <w:rFonts w:ascii="Calibri"/>
          <w:sz w:val="22"/>
        </w:rPr>
        <w:t>Schmidt, V. A., Tsebelis, G., Risse, T., &amp; Scharpf, F. W. (1999). Approaches to the study of European politics. </w:t>
      </w:r>
      <w:r>
        <w:rPr>
          <w:rFonts w:ascii="Calibri"/>
          <w:i/>
          <w:sz w:val="22"/>
        </w:rPr>
        <w:t>ECSA Review, XII</w:t>
      </w:r>
      <w:r>
        <w:rPr>
          <w:rFonts w:ascii="Calibri"/>
          <w:sz w:val="22"/>
        </w:rPr>
        <w:t>(2).</w:t>
      </w:r>
    </w:p>
    <w:p>
      <w:pPr>
        <w:spacing w:line="264" w:lineRule="exact" w:before="0"/>
        <w:ind w:left="979" w:right="0" w:firstLine="0"/>
        <w:jc w:val="both"/>
        <w:rPr>
          <w:rFonts w:ascii="Calibri"/>
          <w:sz w:val="22"/>
        </w:rPr>
      </w:pPr>
      <w:bookmarkStart w:name="_bookmark378" w:id="379"/>
      <w:bookmarkEnd w:id="379"/>
      <w:r>
        <w:rPr/>
      </w:r>
      <w:r>
        <w:rPr>
          <w:rFonts w:ascii="Calibri"/>
          <w:sz w:val="22"/>
        </w:rPr>
        <w:t>Schmitter,</w:t>
      </w:r>
      <w:r>
        <w:rPr>
          <w:rFonts w:ascii="Calibri"/>
          <w:spacing w:val="45"/>
          <w:sz w:val="22"/>
        </w:rPr>
        <w:t> </w:t>
      </w:r>
      <w:r>
        <w:rPr>
          <w:rFonts w:ascii="Calibri"/>
          <w:sz w:val="22"/>
        </w:rPr>
        <w:t>P.</w:t>
      </w:r>
      <w:r>
        <w:rPr>
          <w:rFonts w:ascii="Calibri"/>
          <w:spacing w:val="52"/>
          <w:sz w:val="22"/>
        </w:rPr>
        <w:t> </w:t>
      </w:r>
      <w:r>
        <w:rPr>
          <w:rFonts w:ascii="Calibri"/>
          <w:sz w:val="22"/>
        </w:rPr>
        <w:t>(1969).</w:t>
      </w:r>
      <w:r>
        <w:rPr>
          <w:rFonts w:ascii="Calibri"/>
          <w:spacing w:val="52"/>
          <w:sz w:val="22"/>
        </w:rPr>
        <w:t> </w:t>
      </w:r>
      <w:r>
        <w:rPr>
          <w:rFonts w:ascii="Calibri"/>
          <w:sz w:val="22"/>
        </w:rPr>
        <w:t>Three</w:t>
      </w:r>
      <w:r>
        <w:rPr>
          <w:rFonts w:ascii="Calibri"/>
          <w:spacing w:val="51"/>
          <w:sz w:val="22"/>
        </w:rPr>
        <w:t> </w:t>
      </w:r>
      <w:r>
        <w:rPr>
          <w:rFonts w:ascii="Calibri"/>
          <w:sz w:val="22"/>
        </w:rPr>
        <w:t>Neo-Functional</w:t>
      </w:r>
      <w:r>
        <w:rPr>
          <w:rFonts w:ascii="Calibri"/>
          <w:spacing w:val="51"/>
          <w:sz w:val="22"/>
        </w:rPr>
        <w:t> </w:t>
      </w:r>
      <w:r>
        <w:rPr>
          <w:rFonts w:ascii="Calibri"/>
          <w:sz w:val="22"/>
        </w:rPr>
        <w:t>Hypotheses</w:t>
      </w:r>
      <w:r>
        <w:rPr>
          <w:rFonts w:ascii="Calibri"/>
          <w:spacing w:val="51"/>
          <w:sz w:val="22"/>
        </w:rPr>
        <w:t> </w:t>
      </w:r>
      <w:r>
        <w:rPr>
          <w:rFonts w:ascii="Calibri"/>
          <w:sz w:val="22"/>
        </w:rPr>
        <w:t>about</w:t>
      </w:r>
      <w:r>
        <w:rPr>
          <w:rFonts w:ascii="Calibri"/>
          <w:spacing w:val="48"/>
          <w:sz w:val="22"/>
        </w:rPr>
        <w:t> </w:t>
      </w:r>
      <w:r>
        <w:rPr>
          <w:rFonts w:ascii="Calibri"/>
          <w:sz w:val="22"/>
        </w:rPr>
        <w:t>International</w:t>
      </w:r>
      <w:r>
        <w:rPr>
          <w:rFonts w:ascii="Calibri"/>
          <w:spacing w:val="52"/>
          <w:sz w:val="22"/>
        </w:rPr>
        <w:t> </w:t>
      </w:r>
      <w:r>
        <w:rPr>
          <w:rFonts w:ascii="Calibri"/>
          <w:spacing w:val="-2"/>
          <w:sz w:val="22"/>
        </w:rPr>
        <w:t>Integration.</w:t>
      </w:r>
    </w:p>
    <w:p>
      <w:pPr>
        <w:spacing w:before="0"/>
        <w:ind w:left="1700" w:right="0" w:firstLine="0"/>
        <w:jc w:val="both"/>
        <w:rPr>
          <w:rFonts w:ascii="Calibri"/>
          <w:sz w:val="22"/>
        </w:rPr>
      </w:pPr>
      <w:r>
        <w:rPr>
          <w:rFonts w:ascii="Calibri"/>
          <w:i/>
          <w:spacing w:val="-2"/>
          <w:sz w:val="22"/>
        </w:rPr>
        <w:t>International</w:t>
      </w:r>
      <w:r>
        <w:rPr>
          <w:rFonts w:ascii="Calibri"/>
          <w:i/>
          <w:spacing w:val="19"/>
          <w:sz w:val="22"/>
        </w:rPr>
        <w:t> </w:t>
      </w:r>
      <w:r>
        <w:rPr>
          <w:rFonts w:ascii="Calibri"/>
          <w:i/>
          <w:spacing w:val="-2"/>
          <w:sz w:val="22"/>
        </w:rPr>
        <w:t>Organization</w:t>
      </w:r>
      <w:r>
        <w:rPr>
          <w:rFonts w:ascii="Calibri"/>
          <w:spacing w:val="-2"/>
          <w:sz w:val="22"/>
        </w:rPr>
        <w:t>,</w:t>
      </w:r>
      <w:r>
        <w:rPr>
          <w:rFonts w:ascii="Calibri"/>
          <w:spacing w:val="13"/>
          <w:sz w:val="22"/>
        </w:rPr>
        <w:t> </w:t>
      </w:r>
      <w:r>
        <w:rPr>
          <w:rFonts w:ascii="Calibri"/>
          <w:spacing w:val="-2"/>
          <w:sz w:val="22"/>
        </w:rPr>
        <w:t>161-</w:t>
      </w:r>
      <w:r>
        <w:rPr>
          <w:rFonts w:ascii="Calibri"/>
          <w:spacing w:val="-4"/>
          <w:sz w:val="22"/>
        </w:rPr>
        <w:t>166.</w:t>
      </w:r>
    </w:p>
    <w:p>
      <w:pPr>
        <w:spacing w:before="0"/>
        <w:ind w:left="979" w:right="0" w:firstLine="0"/>
        <w:jc w:val="both"/>
        <w:rPr>
          <w:rFonts w:ascii="Calibri"/>
          <w:sz w:val="22"/>
        </w:rPr>
      </w:pPr>
      <w:bookmarkStart w:name="_bookmark379" w:id="380"/>
      <w:bookmarkEnd w:id="380"/>
      <w:r>
        <w:rPr/>
      </w:r>
      <w:r>
        <w:rPr>
          <w:rFonts w:ascii="Calibri"/>
          <w:sz w:val="22"/>
        </w:rPr>
        <w:t>Schmitter,</w:t>
      </w:r>
      <w:r>
        <w:rPr>
          <w:rFonts w:ascii="Calibri"/>
          <w:spacing w:val="-13"/>
          <w:sz w:val="22"/>
        </w:rPr>
        <w:t> </w:t>
      </w:r>
      <w:r>
        <w:rPr>
          <w:rFonts w:ascii="Calibri"/>
          <w:sz w:val="22"/>
        </w:rPr>
        <w:t>P.</w:t>
      </w:r>
      <w:r>
        <w:rPr>
          <w:rFonts w:ascii="Calibri"/>
          <w:spacing w:val="-7"/>
          <w:sz w:val="22"/>
        </w:rPr>
        <w:t> </w:t>
      </w:r>
      <w:r>
        <w:rPr>
          <w:rFonts w:ascii="Calibri"/>
          <w:sz w:val="22"/>
        </w:rPr>
        <w:t>(2002).</w:t>
      </w:r>
      <w:r>
        <w:rPr>
          <w:rFonts w:ascii="Calibri"/>
          <w:spacing w:val="-7"/>
          <w:sz w:val="22"/>
        </w:rPr>
        <w:t> </w:t>
      </w:r>
      <w:r>
        <w:rPr>
          <w:rFonts w:ascii="Calibri"/>
          <w:sz w:val="22"/>
        </w:rPr>
        <w:t>Neo-Neo-Functionalism.</w:t>
      </w:r>
      <w:r>
        <w:rPr>
          <w:rFonts w:ascii="Calibri"/>
          <w:spacing w:val="-5"/>
          <w:sz w:val="22"/>
        </w:rPr>
        <w:t> </w:t>
      </w:r>
      <w:r>
        <w:rPr>
          <w:rFonts w:ascii="Calibri"/>
          <w:i/>
          <w:sz w:val="22"/>
        </w:rPr>
        <w:t>European</w:t>
      </w:r>
      <w:r>
        <w:rPr>
          <w:rFonts w:ascii="Calibri"/>
          <w:i/>
          <w:spacing w:val="-8"/>
          <w:sz w:val="22"/>
        </w:rPr>
        <w:t> </w:t>
      </w:r>
      <w:r>
        <w:rPr>
          <w:rFonts w:ascii="Calibri"/>
          <w:i/>
          <w:sz w:val="22"/>
        </w:rPr>
        <w:t>University</w:t>
      </w:r>
      <w:r>
        <w:rPr>
          <w:rFonts w:ascii="Calibri"/>
          <w:i/>
          <w:spacing w:val="-6"/>
          <w:sz w:val="22"/>
        </w:rPr>
        <w:t> </w:t>
      </w:r>
      <w:r>
        <w:rPr>
          <w:rFonts w:ascii="Calibri"/>
          <w:i/>
          <w:spacing w:val="-2"/>
          <w:sz w:val="22"/>
        </w:rPr>
        <w:t>Institute</w:t>
      </w:r>
      <w:r>
        <w:rPr>
          <w:rFonts w:ascii="Calibri"/>
          <w:spacing w:val="-2"/>
          <w:sz w:val="22"/>
        </w:rPr>
        <w:t>.</w:t>
      </w:r>
    </w:p>
    <w:p>
      <w:pPr>
        <w:spacing w:before="0"/>
        <w:ind w:left="979" w:right="0" w:firstLine="0"/>
        <w:jc w:val="both"/>
        <w:rPr>
          <w:rFonts w:ascii="Calibri"/>
          <w:sz w:val="22"/>
        </w:rPr>
      </w:pPr>
      <w:bookmarkStart w:name="_bookmark380" w:id="381"/>
      <w:bookmarkEnd w:id="381"/>
      <w:r>
        <w:rPr/>
      </w:r>
      <w:r>
        <w:rPr>
          <w:rFonts w:ascii="Calibri"/>
          <w:sz w:val="22"/>
        </w:rPr>
        <w:t>Schoeneborn,</w:t>
      </w:r>
      <w:r>
        <w:rPr>
          <w:rFonts w:ascii="Calibri"/>
          <w:spacing w:val="72"/>
          <w:sz w:val="22"/>
        </w:rPr>
        <w:t> </w:t>
      </w:r>
      <w:r>
        <w:rPr>
          <w:rFonts w:ascii="Calibri"/>
          <w:sz w:val="22"/>
        </w:rPr>
        <w:t>D.</w:t>
      </w:r>
      <w:r>
        <w:rPr>
          <w:rFonts w:ascii="Calibri"/>
          <w:spacing w:val="77"/>
          <w:sz w:val="22"/>
        </w:rPr>
        <w:t> </w:t>
      </w:r>
      <w:r>
        <w:rPr>
          <w:rFonts w:ascii="Calibri"/>
          <w:sz w:val="22"/>
        </w:rPr>
        <w:t>(2011).</w:t>
      </w:r>
      <w:r>
        <w:rPr>
          <w:rFonts w:ascii="Calibri"/>
          <w:spacing w:val="78"/>
          <w:sz w:val="22"/>
        </w:rPr>
        <w:t> </w:t>
      </w:r>
      <w:r>
        <w:rPr>
          <w:rFonts w:ascii="Calibri"/>
          <w:sz w:val="22"/>
        </w:rPr>
        <w:t>Organization</w:t>
      </w:r>
      <w:r>
        <w:rPr>
          <w:rFonts w:ascii="Calibri"/>
          <w:spacing w:val="76"/>
          <w:sz w:val="22"/>
        </w:rPr>
        <w:t> </w:t>
      </w:r>
      <w:r>
        <w:rPr>
          <w:rFonts w:ascii="Calibri"/>
          <w:sz w:val="22"/>
        </w:rPr>
        <w:t>as</w:t>
      </w:r>
      <w:r>
        <w:rPr>
          <w:rFonts w:ascii="Calibri"/>
          <w:spacing w:val="72"/>
          <w:sz w:val="22"/>
        </w:rPr>
        <w:t> </w:t>
      </w:r>
      <w:r>
        <w:rPr>
          <w:rFonts w:ascii="Calibri"/>
          <w:sz w:val="22"/>
        </w:rPr>
        <w:t>Communication:</w:t>
      </w:r>
      <w:r>
        <w:rPr>
          <w:rFonts w:ascii="Calibri"/>
          <w:spacing w:val="75"/>
          <w:sz w:val="22"/>
        </w:rPr>
        <w:t> </w:t>
      </w:r>
      <w:r>
        <w:rPr>
          <w:rFonts w:ascii="Calibri"/>
          <w:sz w:val="22"/>
        </w:rPr>
        <w:t>A</w:t>
      </w:r>
      <w:r>
        <w:rPr>
          <w:rFonts w:ascii="Calibri"/>
          <w:spacing w:val="78"/>
          <w:sz w:val="22"/>
        </w:rPr>
        <w:t> </w:t>
      </w:r>
      <w:r>
        <w:rPr>
          <w:rFonts w:ascii="Calibri"/>
          <w:sz w:val="22"/>
        </w:rPr>
        <w:t>Luhmannian</w:t>
      </w:r>
      <w:r>
        <w:rPr>
          <w:rFonts w:ascii="Calibri"/>
          <w:spacing w:val="72"/>
          <w:sz w:val="22"/>
        </w:rPr>
        <w:t> </w:t>
      </w:r>
      <w:r>
        <w:rPr>
          <w:rFonts w:ascii="Calibri"/>
          <w:spacing w:val="-2"/>
          <w:sz w:val="22"/>
        </w:rPr>
        <w:t>Perspective.</w:t>
      </w:r>
    </w:p>
    <w:p>
      <w:pPr>
        <w:spacing w:before="1"/>
        <w:ind w:left="1700" w:right="0" w:firstLine="0"/>
        <w:jc w:val="both"/>
        <w:rPr>
          <w:rFonts w:ascii="Calibri"/>
          <w:sz w:val="22"/>
        </w:rPr>
      </w:pPr>
      <w:r>
        <w:rPr>
          <w:rFonts w:ascii="Calibri"/>
          <w:i/>
          <w:sz w:val="22"/>
        </w:rPr>
        <w:t>Management</w:t>
      </w:r>
      <w:r>
        <w:rPr>
          <w:rFonts w:ascii="Calibri"/>
          <w:i/>
          <w:spacing w:val="-12"/>
          <w:sz w:val="22"/>
        </w:rPr>
        <w:t> </w:t>
      </w:r>
      <w:r>
        <w:rPr>
          <w:rFonts w:ascii="Calibri"/>
          <w:i/>
          <w:sz w:val="22"/>
        </w:rPr>
        <w:t>Communication</w:t>
      </w:r>
      <w:r>
        <w:rPr>
          <w:rFonts w:ascii="Calibri"/>
          <w:i/>
          <w:spacing w:val="-7"/>
          <w:sz w:val="22"/>
        </w:rPr>
        <w:t> </w:t>
      </w:r>
      <w:r>
        <w:rPr>
          <w:rFonts w:ascii="Calibri"/>
          <w:i/>
          <w:sz w:val="22"/>
        </w:rPr>
        <w:t>Quarterly</w:t>
      </w:r>
      <w:r>
        <w:rPr>
          <w:rFonts w:ascii="Calibri"/>
          <w:sz w:val="22"/>
        </w:rPr>
        <w:t>.</w:t>
      </w:r>
      <w:r>
        <w:rPr>
          <w:rFonts w:ascii="Calibri"/>
          <w:spacing w:val="-7"/>
          <w:sz w:val="22"/>
        </w:rPr>
        <w:t> </w:t>
      </w:r>
      <w:r>
        <w:rPr>
          <w:rFonts w:ascii="Calibri"/>
          <w:sz w:val="22"/>
        </w:rPr>
        <w:t>doi:</w:t>
      </w:r>
      <w:r>
        <w:rPr>
          <w:rFonts w:ascii="Calibri"/>
          <w:spacing w:val="-9"/>
          <w:sz w:val="22"/>
        </w:rPr>
        <w:t> </w:t>
      </w:r>
      <w:r>
        <w:rPr>
          <w:rFonts w:ascii="Calibri"/>
          <w:spacing w:val="-2"/>
          <w:sz w:val="22"/>
        </w:rPr>
        <w:t>10.1177/0893318911405622</w:t>
      </w:r>
    </w:p>
    <w:p>
      <w:pPr>
        <w:spacing w:before="0"/>
        <w:ind w:left="1700" w:right="1912" w:hanging="721"/>
        <w:jc w:val="both"/>
        <w:rPr>
          <w:rFonts w:ascii="Calibri"/>
          <w:sz w:val="22"/>
        </w:rPr>
      </w:pPr>
      <w:bookmarkStart w:name="_bookmark381" w:id="382"/>
      <w:bookmarkEnd w:id="382"/>
      <w:r>
        <w:rPr/>
      </w:r>
      <w:r>
        <w:rPr>
          <w:rFonts w:ascii="Calibri"/>
          <w:sz w:val="22"/>
        </w:rPr>
        <w:t>Scholten, M. (2014). </w:t>
      </w:r>
      <w:r>
        <w:rPr>
          <w:rFonts w:ascii="Calibri"/>
          <w:i/>
          <w:sz w:val="22"/>
        </w:rPr>
        <w:t>The Political Accountability of</w:t>
      </w:r>
      <w:r>
        <w:rPr>
          <w:rFonts w:ascii="Calibri"/>
          <w:i/>
          <w:spacing w:val="40"/>
          <w:sz w:val="22"/>
        </w:rPr>
        <w:t> </w:t>
      </w:r>
      <w:r>
        <w:rPr>
          <w:rFonts w:ascii="Calibri"/>
          <w:i/>
          <w:sz w:val="22"/>
        </w:rPr>
        <w:t>EU Agencies:</w:t>
      </w:r>
      <w:r>
        <w:rPr>
          <w:rFonts w:ascii="Calibri"/>
          <w:i/>
          <w:spacing w:val="40"/>
          <w:sz w:val="22"/>
        </w:rPr>
        <w:t> </w:t>
      </w:r>
      <w:r>
        <w:rPr>
          <w:rFonts w:ascii="Calibri"/>
          <w:i/>
          <w:sz w:val="22"/>
        </w:rPr>
        <w:t>Learning from the US Experience </w:t>
      </w:r>
      <w:r>
        <w:rPr>
          <w:rFonts w:ascii="Calibri"/>
          <w:sz w:val="22"/>
        </w:rPr>
        <w:t>(Doctoral), Universitaire Pers Maastricht Maastricht.</w:t>
      </w:r>
    </w:p>
    <w:p>
      <w:pPr>
        <w:spacing w:before="1"/>
        <w:ind w:left="1700" w:right="1909" w:hanging="721"/>
        <w:jc w:val="both"/>
        <w:rPr>
          <w:rFonts w:ascii="Calibri" w:hAnsi="Calibri"/>
          <w:sz w:val="22"/>
        </w:rPr>
      </w:pPr>
      <w:bookmarkStart w:name="_bookmark382" w:id="383"/>
      <w:bookmarkEnd w:id="383"/>
      <w:r>
        <w:rPr/>
      </w:r>
      <w:r>
        <w:rPr>
          <w:rFonts w:ascii="Calibri" w:hAnsi="Calibri"/>
          <w:sz w:val="22"/>
        </w:rPr>
        <w:t>Schüler, D., A. (1999). Corporate Political Action: Rethinking the Economic and Organizational Influences </w:t>
      </w:r>
      <w:r>
        <w:rPr>
          <w:rFonts w:ascii="Calibri" w:hAnsi="Calibri"/>
          <w:i/>
          <w:sz w:val="22"/>
        </w:rPr>
        <w:t>Business and Politics </w:t>
      </w:r>
      <w:r>
        <w:rPr>
          <w:rFonts w:ascii="Calibri" w:hAnsi="Calibri"/>
          <w:sz w:val="22"/>
        </w:rPr>
        <w:t>(Vol. 1, pp. 83).</w:t>
      </w:r>
    </w:p>
    <w:p>
      <w:pPr>
        <w:spacing w:before="0"/>
        <w:ind w:left="1700" w:right="1901" w:hanging="721"/>
        <w:jc w:val="both"/>
        <w:rPr>
          <w:rFonts w:ascii="Calibri"/>
          <w:sz w:val="22"/>
        </w:rPr>
      </w:pPr>
      <w:bookmarkStart w:name="_bookmark383" w:id="384"/>
      <w:bookmarkEnd w:id="384"/>
      <w:r>
        <w:rPr/>
      </w:r>
      <w:r>
        <w:rPr>
          <w:rFonts w:ascii="Calibri"/>
          <w:sz w:val="22"/>
        </w:rPr>
        <w:t>Schuman, R. (1950). declaration of 9th may 1950. </w:t>
      </w:r>
      <w:r>
        <w:rPr>
          <w:rFonts w:ascii="Calibri"/>
          <w:i/>
          <w:sz w:val="22"/>
        </w:rPr>
        <w:t>Fondation Robert Schumann, 204</w:t>
      </w:r>
      <w:r>
        <w:rPr>
          <w:rFonts w:ascii="Calibri"/>
          <w:sz w:val="22"/>
        </w:rPr>
        <w:t>(European Issue).</w:t>
      </w:r>
    </w:p>
    <w:p>
      <w:pPr>
        <w:spacing w:before="1"/>
        <w:ind w:left="1700" w:right="1909" w:hanging="721"/>
        <w:jc w:val="both"/>
        <w:rPr>
          <w:rFonts w:ascii="Calibri" w:hAnsi="Calibri"/>
          <w:sz w:val="22"/>
        </w:rPr>
      </w:pPr>
      <w:bookmarkStart w:name="_bookmark384" w:id="385"/>
      <w:bookmarkEnd w:id="385"/>
      <w:r>
        <w:rPr/>
      </w:r>
      <w:r>
        <w:rPr>
          <w:rFonts w:ascii="Calibri" w:hAnsi="Calibri"/>
          <w:sz w:val="22"/>
        </w:rPr>
        <w:t>Schwaninger, M. (2007). Anatol Rapoport (May 22, 1911–January 20, 2007): pioneer of systems theory and peace research, mathematician, philosopher and pianist. </w:t>
      </w:r>
      <w:r>
        <w:rPr>
          <w:rFonts w:ascii="Calibri" w:hAnsi="Calibri"/>
          <w:i/>
          <w:sz w:val="22"/>
        </w:rPr>
        <w:t>Systems Research and Behavioral Science, 24</w:t>
      </w:r>
      <w:r>
        <w:rPr>
          <w:rFonts w:ascii="Calibri" w:hAnsi="Calibri"/>
          <w:sz w:val="22"/>
        </w:rPr>
        <w:t>(6), 655-658. doi: 10.1002/sres.833</w:t>
      </w:r>
    </w:p>
    <w:p>
      <w:pPr>
        <w:spacing w:before="1"/>
        <w:ind w:left="979" w:right="0" w:firstLine="0"/>
        <w:jc w:val="both"/>
        <w:rPr>
          <w:rFonts w:ascii="Calibri"/>
          <w:sz w:val="22"/>
        </w:rPr>
      </w:pPr>
      <w:bookmarkStart w:name="_bookmark385" w:id="386"/>
      <w:bookmarkEnd w:id="386"/>
      <w:r>
        <w:rPr/>
      </w:r>
      <w:r>
        <w:rPr>
          <w:rFonts w:ascii="Calibri"/>
          <w:sz w:val="22"/>
        </w:rPr>
        <w:t>Searle,</w:t>
      </w:r>
      <w:r>
        <w:rPr>
          <w:rFonts w:ascii="Calibri"/>
          <w:spacing w:val="-1"/>
          <w:sz w:val="22"/>
        </w:rPr>
        <w:t> </w:t>
      </w:r>
      <w:r>
        <w:rPr>
          <w:rFonts w:ascii="Calibri"/>
          <w:sz w:val="22"/>
        </w:rPr>
        <w:t>J.</w:t>
      </w:r>
      <w:r>
        <w:rPr>
          <w:rFonts w:ascii="Calibri"/>
          <w:spacing w:val="5"/>
          <w:sz w:val="22"/>
        </w:rPr>
        <w:t> </w:t>
      </w:r>
      <w:r>
        <w:rPr>
          <w:rFonts w:ascii="Calibri"/>
          <w:sz w:val="22"/>
        </w:rPr>
        <w:t>(1991).</w:t>
      </w:r>
      <w:r>
        <w:rPr>
          <w:rFonts w:ascii="Calibri"/>
          <w:spacing w:val="5"/>
          <w:sz w:val="22"/>
        </w:rPr>
        <w:t> </w:t>
      </w:r>
      <w:r>
        <w:rPr>
          <w:rFonts w:ascii="Calibri"/>
          <w:sz w:val="22"/>
        </w:rPr>
        <w:t>Contemporary</w:t>
      </w:r>
      <w:r>
        <w:rPr>
          <w:rFonts w:ascii="Calibri"/>
          <w:spacing w:val="4"/>
          <w:sz w:val="22"/>
        </w:rPr>
        <w:t> </w:t>
      </w:r>
      <w:r>
        <w:rPr>
          <w:rFonts w:ascii="Calibri"/>
          <w:sz w:val="22"/>
        </w:rPr>
        <w:t>Philosophy</w:t>
      </w:r>
      <w:r>
        <w:rPr>
          <w:rFonts w:ascii="Calibri"/>
          <w:spacing w:val="4"/>
          <w:sz w:val="22"/>
        </w:rPr>
        <w:t> </w:t>
      </w:r>
      <w:r>
        <w:rPr>
          <w:rFonts w:ascii="Calibri"/>
          <w:sz w:val="22"/>
        </w:rPr>
        <w:t>in</w:t>
      </w:r>
      <w:r>
        <w:rPr>
          <w:rFonts w:ascii="Calibri"/>
          <w:spacing w:val="3"/>
          <w:sz w:val="22"/>
        </w:rPr>
        <w:t> </w:t>
      </w:r>
      <w:r>
        <w:rPr>
          <w:rFonts w:ascii="Calibri"/>
          <w:sz w:val="22"/>
        </w:rPr>
        <w:t>the</w:t>
      </w:r>
      <w:r>
        <w:rPr>
          <w:rFonts w:ascii="Calibri"/>
          <w:spacing w:val="4"/>
          <w:sz w:val="22"/>
        </w:rPr>
        <w:t> </w:t>
      </w:r>
      <w:r>
        <w:rPr>
          <w:rFonts w:ascii="Calibri"/>
          <w:sz w:val="22"/>
        </w:rPr>
        <w:t>United</w:t>
      </w:r>
      <w:r>
        <w:rPr>
          <w:rFonts w:ascii="Calibri"/>
          <w:spacing w:val="3"/>
          <w:sz w:val="22"/>
        </w:rPr>
        <w:t> </w:t>
      </w:r>
      <w:r>
        <w:rPr>
          <w:rFonts w:ascii="Calibri"/>
          <w:sz w:val="22"/>
        </w:rPr>
        <w:t>States.</w:t>
      </w:r>
      <w:r>
        <w:rPr>
          <w:rFonts w:ascii="Calibri"/>
          <w:spacing w:val="5"/>
          <w:sz w:val="22"/>
        </w:rPr>
        <w:t> </w:t>
      </w:r>
      <w:r>
        <w:rPr>
          <w:rFonts w:ascii="Calibri"/>
          <w:sz w:val="22"/>
        </w:rPr>
        <w:t>In</w:t>
      </w:r>
      <w:r>
        <w:rPr>
          <w:rFonts w:ascii="Calibri"/>
          <w:spacing w:val="3"/>
          <w:sz w:val="22"/>
        </w:rPr>
        <w:t> </w:t>
      </w:r>
      <w:r>
        <w:rPr>
          <w:rFonts w:ascii="Calibri"/>
          <w:sz w:val="22"/>
        </w:rPr>
        <w:t>D.</w:t>
      </w:r>
      <w:r>
        <w:rPr>
          <w:rFonts w:ascii="Calibri"/>
          <w:spacing w:val="5"/>
          <w:sz w:val="22"/>
        </w:rPr>
        <w:t> </w:t>
      </w:r>
      <w:r>
        <w:rPr>
          <w:rFonts w:ascii="Calibri"/>
          <w:sz w:val="22"/>
        </w:rPr>
        <w:t>Easton</w:t>
      </w:r>
      <w:r>
        <w:rPr>
          <w:rFonts w:ascii="Calibri"/>
          <w:spacing w:val="2"/>
          <w:sz w:val="22"/>
        </w:rPr>
        <w:t> </w:t>
      </w:r>
      <w:r>
        <w:rPr>
          <w:rFonts w:ascii="Calibri"/>
          <w:sz w:val="22"/>
        </w:rPr>
        <w:t>&amp;</w:t>
      </w:r>
      <w:r>
        <w:rPr>
          <w:rFonts w:ascii="Calibri"/>
          <w:spacing w:val="1"/>
          <w:sz w:val="22"/>
        </w:rPr>
        <w:t> </w:t>
      </w:r>
      <w:r>
        <w:rPr>
          <w:rFonts w:ascii="Calibri"/>
          <w:sz w:val="22"/>
        </w:rPr>
        <w:t>C.</w:t>
      </w:r>
      <w:r>
        <w:rPr>
          <w:rFonts w:ascii="Calibri"/>
          <w:spacing w:val="6"/>
          <w:sz w:val="22"/>
        </w:rPr>
        <w:t> </w:t>
      </w:r>
      <w:r>
        <w:rPr>
          <w:rFonts w:ascii="Calibri"/>
          <w:spacing w:val="-2"/>
          <w:sz w:val="22"/>
        </w:rPr>
        <w:t>Schelling,</w:t>
      </w:r>
    </w:p>
    <w:p>
      <w:pPr>
        <w:spacing w:before="0"/>
        <w:ind w:left="1700" w:right="1907" w:firstLine="0"/>
        <w:jc w:val="both"/>
        <w:rPr>
          <w:rFonts w:ascii="Calibri"/>
          <w:sz w:val="22"/>
        </w:rPr>
      </w:pPr>
      <w:r>
        <w:rPr>
          <w:rFonts w:ascii="Calibri"/>
          <w:sz w:val="22"/>
        </w:rPr>
        <w:t>S. (Eds.), </w:t>
      </w:r>
      <w:r>
        <w:rPr>
          <w:rFonts w:ascii="Calibri"/>
          <w:i/>
          <w:sz w:val="22"/>
        </w:rPr>
        <w:t>Divided Knowledge Across Disciplines, Across Cultures</w:t>
      </w:r>
      <w:r>
        <w:rPr>
          <w:rFonts w:ascii="Calibri"/>
          <w:sz w:val="22"/>
        </w:rPr>
        <w:t>. United States: Sage </w:t>
      </w:r>
      <w:r>
        <w:rPr>
          <w:rFonts w:ascii="Calibri"/>
          <w:spacing w:val="-2"/>
          <w:sz w:val="22"/>
        </w:rPr>
        <w:t>Publications.</w:t>
      </w:r>
    </w:p>
    <w:p>
      <w:pPr>
        <w:spacing w:before="1"/>
        <w:ind w:left="979" w:right="0" w:firstLine="0"/>
        <w:jc w:val="left"/>
        <w:rPr>
          <w:rFonts w:ascii="Calibri"/>
          <w:sz w:val="22"/>
        </w:rPr>
      </w:pPr>
      <w:bookmarkStart w:name="_bookmark386" w:id="387"/>
      <w:bookmarkEnd w:id="387"/>
      <w:r>
        <w:rPr/>
      </w:r>
      <w:r>
        <w:rPr>
          <w:rFonts w:ascii="Calibri"/>
          <w:sz w:val="22"/>
        </w:rPr>
        <w:t>(2011).</w:t>
      </w:r>
      <w:r>
        <w:rPr>
          <w:rFonts w:ascii="Calibri"/>
          <w:spacing w:val="-5"/>
          <w:sz w:val="22"/>
        </w:rPr>
        <w:t> </w:t>
      </w:r>
      <w:r>
        <w:rPr>
          <w:rFonts w:ascii="Calibri"/>
          <w:i/>
          <w:sz w:val="22"/>
        </w:rPr>
        <w:t>Episode</w:t>
      </w:r>
      <w:r>
        <w:rPr>
          <w:rFonts w:ascii="Calibri"/>
          <w:i/>
          <w:spacing w:val="-6"/>
          <w:sz w:val="22"/>
        </w:rPr>
        <w:t> </w:t>
      </w:r>
      <w:r>
        <w:rPr>
          <w:rFonts w:ascii="Calibri"/>
          <w:i/>
          <w:sz w:val="22"/>
        </w:rPr>
        <w:t>28:</w:t>
      </w:r>
      <w:r>
        <w:rPr>
          <w:rFonts w:ascii="Calibri"/>
          <w:i/>
          <w:spacing w:val="-7"/>
          <w:sz w:val="22"/>
        </w:rPr>
        <w:t> </w:t>
      </w:r>
      <w:r>
        <w:rPr>
          <w:rFonts w:ascii="Calibri"/>
          <w:i/>
          <w:sz w:val="22"/>
        </w:rPr>
        <w:t>John</w:t>
      </w:r>
      <w:r>
        <w:rPr>
          <w:rFonts w:ascii="Calibri"/>
          <w:i/>
          <w:spacing w:val="-5"/>
          <w:sz w:val="22"/>
        </w:rPr>
        <w:t> </w:t>
      </w:r>
      <w:r>
        <w:rPr>
          <w:rFonts w:ascii="Calibri"/>
          <w:i/>
          <w:sz w:val="22"/>
        </w:rPr>
        <w:t>Searle</w:t>
      </w:r>
      <w:r>
        <w:rPr>
          <w:rFonts w:ascii="Calibri"/>
          <w:i/>
          <w:spacing w:val="-6"/>
          <w:sz w:val="22"/>
        </w:rPr>
        <w:t> </w:t>
      </w:r>
      <w:r>
        <w:rPr>
          <w:rFonts w:ascii="Calibri"/>
          <w:i/>
          <w:sz w:val="22"/>
        </w:rPr>
        <w:t>discusses</w:t>
      </w:r>
      <w:r>
        <w:rPr>
          <w:rFonts w:ascii="Calibri"/>
          <w:i/>
          <w:spacing w:val="-6"/>
          <w:sz w:val="22"/>
        </w:rPr>
        <w:t> </w:t>
      </w:r>
      <w:r>
        <w:rPr>
          <w:rFonts w:ascii="Calibri"/>
          <w:i/>
          <w:sz w:val="22"/>
        </w:rPr>
        <w:t>human</w:t>
      </w:r>
      <w:r>
        <w:rPr>
          <w:rFonts w:ascii="Calibri"/>
          <w:i/>
          <w:spacing w:val="-5"/>
          <w:sz w:val="22"/>
        </w:rPr>
        <w:t> </w:t>
      </w:r>
      <w:r>
        <w:rPr>
          <w:rFonts w:ascii="Calibri"/>
          <w:i/>
          <w:sz w:val="22"/>
        </w:rPr>
        <w:t>reality</w:t>
      </w:r>
      <w:r>
        <w:rPr>
          <w:rFonts w:ascii="Calibri"/>
          <w:i/>
          <w:spacing w:val="-4"/>
          <w:sz w:val="22"/>
        </w:rPr>
        <w:t> </w:t>
      </w:r>
      <w:r>
        <w:rPr>
          <w:rFonts w:ascii="Calibri"/>
          <w:i/>
          <w:sz w:val="22"/>
        </w:rPr>
        <w:t>and</w:t>
      </w:r>
      <w:r>
        <w:rPr>
          <w:rFonts w:ascii="Calibri"/>
          <w:i/>
          <w:spacing w:val="-9"/>
          <w:sz w:val="22"/>
        </w:rPr>
        <w:t> </w:t>
      </w:r>
      <w:r>
        <w:rPr>
          <w:rFonts w:ascii="Calibri"/>
          <w:i/>
          <w:sz w:val="22"/>
        </w:rPr>
        <w:t>basic</w:t>
      </w:r>
      <w:r>
        <w:rPr>
          <w:rFonts w:ascii="Calibri"/>
          <w:i/>
          <w:spacing w:val="-7"/>
          <w:sz w:val="22"/>
        </w:rPr>
        <w:t> </w:t>
      </w:r>
      <w:r>
        <w:rPr>
          <w:rFonts w:ascii="Calibri"/>
          <w:i/>
          <w:sz w:val="22"/>
        </w:rPr>
        <w:t>reality</w:t>
      </w:r>
      <w:r>
        <w:rPr>
          <w:rFonts w:ascii="Calibri"/>
          <w:i/>
          <w:spacing w:val="4"/>
          <w:sz w:val="22"/>
        </w:rPr>
        <w:t> </w:t>
      </w:r>
      <w:r>
        <w:rPr>
          <w:rFonts w:ascii="Calibri"/>
          <w:spacing w:val="-10"/>
          <w:sz w:val="22"/>
        </w:rPr>
        <w:t>[</w:t>
      </w:r>
    </w:p>
    <w:p>
      <w:pPr>
        <w:spacing w:line="235" w:lineRule="auto" w:before="5"/>
        <w:ind w:left="1700" w:right="1909" w:hanging="721"/>
        <w:jc w:val="left"/>
        <w:rPr>
          <w:rFonts w:ascii="Calibri"/>
          <w:sz w:val="22"/>
        </w:rPr>
      </w:pPr>
      <w:bookmarkStart w:name="_bookmark387" w:id="388"/>
      <w:bookmarkEnd w:id="388"/>
      <w:r>
        <w:rPr/>
      </w:r>
      <w:r>
        <w:rPr>
          <w:rFonts w:ascii="Calibri"/>
          <w:sz w:val="22"/>
        </w:rPr>
        <w:t>Seidl,</w:t>
      </w:r>
      <w:r>
        <w:rPr>
          <w:rFonts w:ascii="Calibri"/>
          <w:spacing w:val="80"/>
          <w:sz w:val="22"/>
        </w:rPr>
        <w:t> </w:t>
      </w:r>
      <w:r>
        <w:rPr>
          <w:rFonts w:ascii="Calibri"/>
          <w:sz w:val="22"/>
        </w:rPr>
        <w:t>D.</w:t>
      </w:r>
      <w:r>
        <w:rPr>
          <w:rFonts w:ascii="Calibri"/>
          <w:spacing w:val="80"/>
          <w:sz w:val="22"/>
        </w:rPr>
        <w:t> </w:t>
      </w:r>
      <w:r>
        <w:rPr>
          <w:rFonts w:ascii="Calibri"/>
          <w:sz w:val="22"/>
        </w:rPr>
        <w:t>(2004).</w:t>
      </w:r>
      <w:r>
        <w:rPr>
          <w:rFonts w:ascii="Calibri"/>
          <w:spacing w:val="80"/>
          <w:sz w:val="22"/>
        </w:rPr>
        <w:t> </w:t>
      </w:r>
      <w:r>
        <w:rPr>
          <w:rFonts w:ascii="Calibri"/>
          <w:sz w:val="22"/>
        </w:rPr>
        <w:t>Luhmann's</w:t>
      </w:r>
      <w:r>
        <w:rPr>
          <w:rFonts w:ascii="Calibri"/>
          <w:spacing w:val="80"/>
          <w:sz w:val="22"/>
        </w:rPr>
        <w:t> </w:t>
      </w:r>
      <w:r>
        <w:rPr>
          <w:rFonts w:ascii="Calibri"/>
          <w:sz w:val="22"/>
        </w:rPr>
        <w:t>theory</w:t>
      </w:r>
      <w:r>
        <w:rPr>
          <w:rFonts w:ascii="Calibri"/>
          <w:spacing w:val="80"/>
          <w:sz w:val="22"/>
        </w:rPr>
        <w:t> </w:t>
      </w:r>
      <w:r>
        <w:rPr>
          <w:rFonts w:ascii="Calibri"/>
          <w:sz w:val="22"/>
        </w:rPr>
        <w:t>of</w:t>
      </w:r>
      <w:r>
        <w:rPr>
          <w:rFonts w:ascii="Calibri"/>
          <w:spacing w:val="80"/>
          <w:sz w:val="22"/>
        </w:rPr>
        <w:t> </w:t>
      </w:r>
      <w:r>
        <w:rPr>
          <w:rFonts w:ascii="Calibri"/>
          <w:sz w:val="22"/>
        </w:rPr>
        <w:t>autopoietic</w:t>
      </w:r>
      <w:r>
        <w:rPr>
          <w:rFonts w:ascii="Calibri"/>
          <w:spacing w:val="80"/>
          <w:sz w:val="22"/>
        </w:rPr>
        <w:t> </w:t>
      </w:r>
      <w:r>
        <w:rPr>
          <w:rFonts w:ascii="Calibri"/>
          <w:sz w:val="22"/>
        </w:rPr>
        <w:t>social</w:t>
      </w:r>
      <w:r>
        <w:rPr>
          <w:rFonts w:ascii="Calibri"/>
          <w:spacing w:val="80"/>
          <w:sz w:val="22"/>
        </w:rPr>
        <w:t> </w:t>
      </w:r>
      <w:r>
        <w:rPr>
          <w:rFonts w:ascii="Calibri"/>
          <w:sz w:val="22"/>
        </w:rPr>
        <w:t>systems.</w:t>
      </w:r>
      <w:r>
        <w:rPr>
          <w:rFonts w:ascii="Calibri"/>
          <w:spacing w:val="80"/>
          <w:sz w:val="22"/>
        </w:rPr>
        <w:t> </w:t>
      </w:r>
      <w:r>
        <w:rPr>
          <w:rFonts w:ascii="Calibri"/>
          <w:i/>
          <w:sz w:val="22"/>
        </w:rPr>
        <w:t>Munich</w:t>
      </w:r>
      <w:r>
        <w:rPr>
          <w:rFonts w:ascii="Calibri"/>
          <w:i/>
          <w:spacing w:val="80"/>
          <w:sz w:val="22"/>
        </w:rPr>
        <w:t> </w:t>
      </w:r>
      <w:r>
        <w:rPr>
          <w:rFonts w:ascii="Calibri"/>
          <w:i/>
          <w:sz w:val="22"/>
        </w:rPr>
        <w:t>Business </w:t>
      </w:r>
      <w:r>
        <w:rPr>
          <w:rFonts w:ascii="Calibri"/>
          <w:i/>
          <w:spacing w:val="-2"/>
          <w:sz w:val="22"/>
        </w:rPr>
        <w:t>Research</w:t>
      </w:r>
      <w:r>
        <w:rPr>
          <w:rFonts w:ascii="Calibri"/>
          <w:spacing w:val="-2"/>
          <w:sz w:val="22"/>
        </w:rPr>
        <w:t>(2).</w:t>
      </w:r>
    </w:p>
    <w:p>
      <w:pPr>
        <w:spacing w:before="2"/>
        <w:ind w:left="979" w:right="0" w:firstLine="0"/>
        <w:jc w:val="left"/>
        <w:rPr>
          <w:rFonts w:ascii="Calibri"/>
          <w:sz w:val="22"/>
        </w:rPr>
      </w:pPr>
      <w:r>
        <w:rPr>
          <w:rFonts w:ascii="Calibri"/>
          <w:sz w:val="22"/>
        </w:rPr>
        <w:t>Seidl,</w:t>
      </w:r>
      <w:r>
        <w:rPr>
          <w:rFonts w:ascii="Calibri"/>
          <w:spacing w:val="-5"/>
          <w:sz w:val="22"/>
        </w:rPr>
        <w:t> </w:t>
      </w:r>
      <w:r>
        <w:rPr>
          <w:rFonts w:ascii="Calibri"/>
          <w:sz w:val="22"/>
        </w:rPr>
        <w:t>D.</w:t>
      </w:r>
      <w:r>
        <w:rPr>
          <w:rFonts w:ascii="Calibri"/>
          <w:spacing w:val="-2"/>
          <w:sz w:val="22"/>
        </w:rPr>
        <w:t> </w:t>
      </w:r>
      <w:r>
        <w:rPr>
          <w:rFonts w:ascii="Calibri"/>
          <w:sz w:val="22"/>
        </w:rPr>
        <w:t>(2005). </w:t>
      </w:r>
      <w:r>
        <w:rPr>
          <w:rFonts w:ascii="Calibri"/>
          <w:i/>
          <w:sz w:val="22"/>
        </w:rPr>
        <w:t>Organisational</w:t>
      </w:r>
      <w:r>
        <w:rPr>
          <w:rFonts w:ascii="Calibri"/>
          <w:i/>
          <w:spacing w:val="-5"/>
          <w:sz w:val="22"/>
        </w:rPr>
        <w:t> </w:t>
      </w:r>
      <w:r>
        <w:rPr>
          <w:rFonts w:ascii="Calibri"/>
          <w:i/>
          <w:sz w:val="22"/>
        </w:rPr>
        <w:t>identity</w:t>
      </w:r>
      <w:r>
        <w:rPr>
          <w:rFonts w:ascii="Calibri"/>
          <w:i/>
          <w:spacing w:val="-1"/>
          <w:sz w:val="22"/>
        </w:rPr>
        <w:t> </w:t>
      </w:r>
      <w:r>
        <w:rPr>
          <w:rFonts w:ascii="Calibri"/>
          <w:i/>
          <w:sz w:val="22"/>
        </w:rPr>
        <w:t>and</w:t>
      </w:r>
      <w:r>
        <w:rPr>
          <w:rFonts w:ascii="Calibri"/>
          <w:i/>
          <w:spacing w:val="-6"/>
          <w:sz w:val="22"/>
        </w:rPr>
        <w:t> </w:t>
      </w:r>
      <w:r>
        <w:rPr>
          <w:rFonts w:ascii="Calibri"/>
          <w:i/>
          <w:sz w:val="22"/>
        </w:rPr>
        <w:t>self-transformation</w:t>
      </w:r>
      <w:r>
        <w:rPr>
          <w:rFonts w:ascii="Calibri"/>
          <w:i/>
          <w:spacing w:val="-1"/>
          <w:sz w:val="22"/>
        </w:rPr>
        <w:t> </w:t>
      </w:r>
      <w:r>
        <w:rPr>
          <w:rFonts w:ascii="Calibri"/>
          <w:i/>
          <w:sz w:val="22"/>
        </w:rPr>
        <w:t>:</w:t>
      </w:r>
      <w:r>
        <w:rPr>
          <w:rFonts w:ascii="Calibri"/>
          <w:i/>
          <w:spacing w:val="-4"/>
          <w:sz w:val="22"/>
        </w:rPr>
        <w:t> </w:t>
      </w:r>
      <w:r>
        <w:rPr>
          <w:rFonts w:ascii="Calibri"/>
          <w:i/>
          <w:sz w:val="22"/>
        </w:rPr>
        <w:t>an</w:t>
      </w:r>
      <w:r>
        <w:rPr>
          <w:rFonts w:ascii="Calibri"/>
          <w:i/>
          <w:spacing w:val="-2"/>
          <w:sz w:val="22"/>
        </w:rPr>
        <w:t> </w:t>
      </w:r>
      <w:r>
        <w:rPr>
          <w:rFonts w:ascii="Calibri"/>
          <w:i/>
          <w:sz w:val="22"/>
        </w:rPr>
        <w:t>autopoietic</w:t>
      </w:r>
      <w:r>
        <w:rPr>
          <w:rFonts w:ascii="Calibri"/>
          <w:i/>
          <w:spacing w:val="-7"/>
          <w:sz w:val="22"/>
        </w:rPr>
        <w:t> </w:t>
      </w:r>
      <w:r>
        <w:rPr>
          <w:rFonts w:ascii="Calibri"/>
          <w:i/>
          <w:spacing w:val="-2"/>
          <w:sz w:val="22"/>
        </w:rPr>
        <w:t>perspective</w:t>
      </w:r>
      <w:r>
        <w:rPr>
          <w:rFonts w:ascii="Calibri"/>
          <w:spacing w:val="-2"/>
          <w:sz w:val="22"/>
        </w:rPr>
        <w:t>.</w:t>
      </w:r>
    </w:p>
    <w:p>
      <w:pPr>
        <w:spacing w:before="0"/>
        <w:ind w:left="1700" w:right="0" w:firstLine="0"/>
        <w:jc w:val="left"/>
        <w:rPr>
          <w:rFonts w:ascii="Calibri"/>
          <w:sz w:val="22"/>
        </w:rPr>
      </w:pPr>
      <w:r>
        <w:rPr>
          <w:rFonts w:ascii="Calibri"/>
          <w:sz w:val="22"/>
        </w:rPr>
        <w:t>Aldershot,</w:t>
      </w:r>
      <w:r>
        <w:rPr>
          <w:rFonts w:ascii="Calibri"/>
          <w:spacing w:val="-9"/>
          <w:sz w:val="22"/>
        </w:rPr>
        <w:t> </w:t>
      </w:r>
      <w:r>
        <w:rPr>
          <w:rFonts w:ascii="Calibri"/>
          <w:sz w:val="22"/>
        </w:rPr>
        <w:t>Hants,</w:t>
      </w:r>
      <w:r>
        <w:rPr>
          <w:rFonts w:ascii="Calibri"/>
          <w:spacing w:val="-9"/>
          <w:sz w:val="22"/>
        </w:rPr>
        <w:t> </w:t>
      </w:r>
      <w:r>
        <w:rPr>
          <w:rFonts w:ascii="Calibri"/>
          <w:sz w:val="22"/>
        </w:rPr>
        <w:t>England</w:t>
      </w:r>
      <w:r>
        <w:rPr>
          <w:rFonts w:ascii="Calibri"/>
          <w:spacing w:val="-7"/>
          <w:sz w:val="22"/>
        </w:rPr>
        <w:t> </w:t>
      </w:r>
      <w:r>
        <w:rPr>
          <w:rFonts w:ascii="Calibri"/>
          <w:sz w:val="22"/>
        </w:rPr>
        <w:t>;</w:t>
      </w:r>
      <w:r>
        <w:rPr>
          <w:rFonts w:ascii="Calibri"/>
          <w:spacing w:val="-8"/>
          <w:sz w:val="22"/>
        </w:rPr>
        <w:t> </w:t>
      </w:r>
      <w:r>
        <w:rPr>
          <w:rFonts w:ascii="Calibri"/>
          <w:sz w:val="22"/>
        </w:rPr>
        <w:t>Burlington,</w:t>
      </w:r>
      <w:r>
        <w:rPr>
          <w:rFonts w:ascii="Calibri"/>
          <w:spacing w:val="-4"/>
          <w:sz w:val="22"/>
        </w:rPr>
        <w:t> </w:t>
      </w:r>
      <w:r>
        <w:rPr>
          <w:rFonts w:ascii="Calibri"/>
          <w:sz w:val="22"/>
        </w:rPr>
        <w:t>VT:</w:t>
      </w:r>
      <w:r>
        <w:rPr>
          <w:rFonts w:ascii="Calibri"/>
          <w:spacing w:val="-7"/>
          <w:sz w:val="22"/>
        </w:rPr>
        <w:t> </w:t>
      </w:r>
      <w:r>
        <w:rPr>
          <w:rFonts w:ascii="Calibri"/>
          <w:spacing w:val="-2"/>
          <w:sz w:val="22"/>
        </w:rPr>
        <w:t>Ashgate.</w:t>
      </w:r>
    </w:p>
    <w:p>
      <w:pPr>
        <w:spacing w:before="0"/>
        <w:ind w:left="1700" w:right="1905" w:hanging="721"/>
        <w:jc w:val="both"/>
        <w:rPr>
          <w:rFonts w:ascii="Calibri"/>
          <w:sz w:val="22"/>
        </w:rPr>
      </w:pPr>
      <w:bookmarkStart w:name="_bookmark388" w:id="389"/>
      <w:bookmarkEnd w:id="389"/>
      <w:r>
        <w:rPr/>
      </w:r>
      <w:r>
        <w:rPr>
          <w:rFonts w:ascii="Calibri"/>
          <w:sz w:val="22"/>
        </w:rPr>
        <w:t>Selznick, P. (1948). Foundations of the Theory of Organization. </w:t>
      </w:r>
      <w:r>
        <w:rPr>
          <w:rFonts w:ascii="Calibri"/>
          <w:i/>
          <w:sz w:val="22"/>
        </w:rPr>
        <w:t>American Sociological</w:t>
      </w:r>
      <w:r>
        <w:rPr>
          <w:rFonts w:ascii="Calibri"/>
          <w:i/>
          <w:spacing w:val="40"/>
          <w:sz w:val="22"/>
        </w:rPr>
        <w:t> </w:t>
      </w:r>
      <w:r>
        <w:rPr>
          <w:rFonts w:ascii="Calibri"/>
          <w:i/>
          <w:sz w:val="22"/>
        </w:rPr>
        <w:t>Review, 13</w:t>
      </w:r>
      <w:r>
        <w:rPr>
          <w:rFonts w:ascii="Calibri"/>
          <w:sz w:val="22"/>
        </w:rPr>
        <w:t>(1), 25-35. doi: 10.2307/2086752</w:t>
      </w:r>
    </w:p>
    <w:p>
      <w:pPr>
        <w:spacing w:before="1"/>
        <w:ind w:left="1700" w:right="1912" w:hanging="721"/>
        <w:jc w:val="both"/>
        <w:rPr>
          <w:rFonts w:ascii="Calibri" w:hAnsi="Calibri"/>
          <w:sz w:val="22"/>
        </w:rPr>
      </w:pPr>
      <w:bookmarkStart w:name="_bookmark389" w:id="390"/>
      <w:bookmarkEnd w:id="390"/>
      <w:r>
        <w:rPr/>
      </w:r>
      <w:r>
        <w:rPr>
          <w:rFonts w:ascii="Calibri" w:hAnsi="Calibri"/>
          <w:sz w:val="22"/>
        </w:rPr>
        <w:t>Shore, C. (2011). European Governance’ or Governmentality? The European Commission</w:t>
      </w:r>
      <w:r>
        <w:rPr>
          <w:rFonts w:ascii="Calibri" w:hAnsi="Calibri"/>
          <w:spacing w:val="40"/>
          <w:sz w:val="22"/>
        </w:rPr>
        <w:t> </w:t>
      </w:r>
      <w:r>
        <w:rPr>
          <w:rFonts w:ascii="Calibri" w:hAnsi="Calibri"/>
          <w:sz w:val="22"/>
        </w:rPr>
        <w:t>and the Future of Democratic Government. </w:t>
      </w:r>
      <w:r>
        <w:rPr>
          <w:rFonts w:ascii="Calibri" w:hAnsi="Calibri"/>
          <w:i/>
          <w:sz w:val="22"/>
        </w:rPr>
        <w:t>European Law Journal, 17</w:t>
      </w:r>
      <w:r>
        <w:rPr>
          <w:rFonts w:ascii="Calibri" w:hAnsi="Calibri"/>
          <w:sz w:val="22"/>
        </w:rPr>
        <w:t>(3), 287-303.</w:t>
      </w:r>
    </w:p>
    <w:p>
      <w:pPr>
        <w:spacing w:before="1"/>
        <w:ind w:left="1700" w:right="1903" w:hanging="721"/>
        <w:jc w:val="both"/>
        <w:rPr>
          <w:rFonts w:ascii="Calibri"/>
          <w:sz w:val="22"/>
        </w:rPr>
      </w:pPr>
      <w:bookmarkStart w:name="_bookmark390" w:id="391"/>
      <w:bookmarkEnd w:id="391"/>
      <w:r>
        <w:rPr/>
      </w:r>
      <w:r>
        <w:rPr>
          <w:rFonts w:ascii="Calibri"/>
          <w:sz w:val="22"/>
        </w:rPr>
        <w:t>Sievers,</w:t>
      </w:r>
      <w:r>
        <w:rPr>
          <w:rFonts w:ascii="Calibri"/>
          <w:spacing w:val="-5"/>
          <w:sz w:val="22"/>
        </w:rPr>
        <w:t> </w:t>
      </w:r>
      <w:r>
        <w:rPr>
          <w:rFonts w:ascii="Calibri"/>
          <w:sz w:val="22"/>
        </w:rPr>
        <w:t>J.,</w:t>
      </w:r>
      <w:r>
        <w:rPr>
          <w:rFonts w:ascii="Calibri"/>
          <w:spacing w:val="-6"/>
          <w:sz w:val="22"/>
        </w:rPr>
        <w:t> </w:t>
      </w:r>
      <w:r>
        <w:rPr>
          <w:rFonts w:ascii="Calibri"/>
          <w:sz w:val="22"/>
        </w:rPr>
        <w:t>&amp;</w:t>
      </w:r>
      <w:r>
        <w:rPr>
          <w:rFonts w:ascii="Calibri"/>
          <w:spacing w:val="-5"/>
          <w:sz w:val="22"/>
        </w:rPr>
        <w:t> </w:t>
      </w:r>
      <w:r>
        <w:rPr>
          <w:rFonts w:ascii="Calibri"/>
          <w:sz w:val="22"/>
        </w:rPr>
        <w:t>Schmidt,</w:t>
      </w:r>
      <w:r>
        <w:rPr>
          <w:rFonts w:ascii="Calibri"/>
          <w:spacing w:val="-6"/>
          <w:sz w:val="22"/>
        </w:rPr>
        <w:t> </w:t>
      </w:r>
      <w:r>
        <w:rPr>
          <w:rFonts w:ascii="Calibri"/>
          <w:sz w:val="22"/>
        </w:rPr>
        <w:t>S.</w:t>
      </w:r>
      <w:r>
        <w:rPr>
          <w:rFonts w:ascii="Calibri"/>
          <w:spacing w:val="-2"/>
          <w:sz w:val="22"/>
        </w:rPr>
        <w:t> </w:t>
      </w:r>
      <w:r>
        <w:rPr>
          <w:rFonts w:ascii="Calibri"/>
          <w:sz w:val="22"/>
        </w:rPr>
        <w:t>K.</w:t>
      </w:r>
      <w:r>
        <w:rPr>
          <w:rFonts w:ascii="Calibri"/>
          <w:spacing w:val="-1"/>
          <w:sz w:val="22"/>
        </w:rPr>
        <w:t> </w:t>
      </w:r>
      <w:r>
        <w:rPr>
          <w:rFonts w:ascii="Calibri"/>
          <w:sz w:val="22"/>
        </w:rPr>
        <w:t>(2015).</w:t>
      </w:r>
      <w:r>
        <w:rPr>
          <w:rFonts w:ascii="Calibri"/>
          <w:spacing w:val="-1"/>
          <w:sz w:val="22"/>
        </w:rPr>
        <w:t> </w:t>
      </w:r>
      <w:r>
        <w:rPr>
          <w:rFonts w:ascii="Calibri"/>
          <w:sz w:val="22"/>
        </w:rPr>
        <w:t>Squaring</w:t>
      </w:r>
      <w:r>
        <w:rPr>
          <w:rFonts w:ascii="Calibri"/>
          <w:spacing w:val="-2"/>
          <w:sz w:val="22"/>
        </w:rPr>
        <w:t> </w:t>
      </w:r>
      <w:r>
        <w:rPr>
          <w:rFonts w:ascii="Calibri"/>
          <w:sz w:val="22"/>
        </w:rPr>
        <w:t>the circle with</w:t>
      </w:r>
      <w:r>
        <w:rPr>
          <w:rFonts w:ascii="Calibri"/>
          <w:spacing w:val="-4"/>
          <w:sz w:val="22"/>
        </w:rPr>
        <w:t> </w:t>
      </w:r>
      <w:r>
        <w:rPr>
          <w:rFonts w:ascii="Calibri"/>
          <w:sz w:val="22"/>
        </w:rPr>
        <w:t>mutual</w:t>
      </w:r>
      <w:r>
        <w:rPr>
          <w:rFonts w:ascii="Calibri"/>
          <w:spacing w:val="-2"/>
          <w:sz w:val="22"/>
        </w:rPr>
        <w:t> </w:t>
      </w:r>
      <w:r>
        <w:rPr>
          <w:rFonts w:ascii="Calibri"/>
          <w:sz w:val="22"/>
        </w:rPr>
        <w:t>recognition?</w:t>
      </w:r>
      <w:r>
        <w:rPr>
          <w:rFonts w:ascii="Calibri"/>
          <w:spacing w:val="-5"/>
          <w:sz w:val="22"/>
        </w:rPr>
        <w:t> </w:t>
      </w:r>
      <w:r>
        <w:rPr>
          <w:rFonts w:ascii="Calibri"/>
          <w:sz w:val="22"/>
        </w:rPr>
        <w:t>Demoi-cratic governance in practice. </w:t>
      </w:r>
      <w:r>
        <w:rPr>
          <w:rFonts w:ascii="Calibri"/>
          <w:i/>
          <w:sz w:val="22"/>
        </w:rPr>
        <w:t>Journal of European Public Policy, 22</w:t>
      </w:r>
      <w:r>
        <w:rPr>
          <w:rFonts w:ascii="Calibri"/>
          <w:sz w:val="22"/>
        </w:rPr>
        <w:t>(1), 112-128. doi: </w:t>
      </w:r>
      <w:r>
        <w:rPr>
          <w:rFonts w:ascii="Calibri"/>
          <w:spacing w:val="-2"/>
          <w:sz w:val="22"/>
        </w:rPr>
        <w:t>10.1080/13501763.2014.881411</w:t>
      </w:r>
    </w:p>
    <w:p>
      <w:pPr>
        <w:spacing w:before="1"/>
        <w:ind w:left="1700" w:right="1903" w:hanging="721"/>
        <w:jc w:val="both"/>
        <w:rPr>
          <w:rFonts w:ascii="Calibri"/>
          <w:sz w:val="22"/>
        </w:rPr>
      </w:pPr>
      <w:bookmarkStart w:name="_bookmark391" w:id="392"/>
      <w:bookmarkEnd w:id="392"/>
      <w:r>
        <w:rPr/>
      </w:r>
      <w:r>
        <w:rPr>
          <w:rFonts w:ascii="Calibri"/>
          <w:sz w:val="22"/>
        </w:rPr>
        <w:t>Silvercruy,</w:t>
      </w:r>
      <w:r>
        <w:rPr>
          <w:rFonts w:ascii="Calibri"/>
          <w:spacing w:val="-2"/>
          <w:sz w:val="22"/>
        </w:rPr>
        <w:t> </w:t>
      </w:r>
      <w:r>
        <w:rPr>
          <w:rFonts w:ascii="Calibri"/>
          <w:sz w:val="22"/>
        </w:rPr>
        <w:t>R. (1954). </w:t>
      </w:r>
      <w:r>
        <w:rPr>
          <w:rFonts w:ascii="Calibri"/>
          <w:i/>
          <w:sz w:val="22"/>
        </w:rPr>
        <w:t>Note</w:t>
      </w:r>
      <w:r>
        <w:rPr>
          <w:rFonts w:ascii="Calibri"/>
          <w:i/>
          <w:spacing w:val="-4"/>
          <w:sz w:val="22"/>
        </w:rPr>
        <w:t> </w:t>
      </w:r>
      <w:r>
        <w:rPr>
          <w:rFonts w:ascii="Calibri"/>
          <w:i/>
          <w:sz w:val="22"/>
        </w:rPr>
        <w:t>to</w:t>
      </w:r>
      <w:r>
        <w:rPr>
          <w:rFonts w:ascii="Calibri"/>
          <w:i/>
          <w:spacing w:val="-3"/>
          <w:sz w:val="22"/>
        </w:rPr>
        <w:t> </w:t>
      </w:r>
      <w:r>
        <w:rPr>
          <w:rFonts w:ascii="Calibri"/>
          <w:i/>
          <w:sz w:val="22"/>
        </w:rPr>
        <w:t>Paul-Henri</w:t>
      </w:r>
      <w:r>
        <w:rPr>
          <w:rFonts w:ascii="Calibri"/>
          <w:i/>
          <w:spacing w:val="-2"/>
          <w:sz w:val="22"/>
        </w:rPr>
        <w:t> </w:t>
      </w:r>
      <w:r>
        <w:rPr>
          <w:rFonts w:ascii="Calibri"/>
          <w:i/>
          <w:sz w:val="22"/>
        </w:rPr>
        <w:t>Spaak</w:t>
      </w:r>
      <w:r>
        <w:rPr>
          <w:rFonts w:ascii="Calibri"/>
          <w:sz w:val="22"/>
        </w:rPr>
        <w:t>.</w:t>
      </w:r>
      <w:r>
        <w:rPr>
          <w:rFonts w:ascii="Calibri"/>
          <w:spacing w:val="40"/>
          <w:sz w:val="22"/>
        </w:rPr>
        <w:t> </w:t>
      </w:r>
      <w:r>
        <w:rPr>
          <w:rFonts w:ascii="Calibri"/>
          <w:sz w:val="22"/>
        </w:rPr>
        <w:t>Washington:</w:t>
      </w:r>
      <w:r>
        <w:rPr>
          <w:rFonts w:ascii="Calibri"/>
          <w:spacing w:val="-1"/>
          <w:sz w:val="22"/>
        </w:rPr>
        <w:t> </w:t>
      </w:r>
      <w:r>
        <w:rPr>
          <w:rFonts w:ascii="Calibri"/>
          <w:sz w:val="22"/>
        </w:rPr>
        <w:t>Translation Centre</w:t>
      </w:r>
      <w:r>
        <w:rPr>
          <w:rFonts w:ascii="Calibri"/>
          <w:spacing w:val="-4"/>
          <w:sz w:val="22"/>
        </w:rPr>
        <w:t> </w:t>
      </w:r>
      <w:r>
        <w:rPr>
          <w:rFonts w:ascii="Calibri"/>
          <w:sz w:val="22"/>
        </w:rPr>
        <w:t>Virtuel</w:t>
      </w:r>
      <w:r>
        <w:rPr>
          <w:rFonts w:ascii="Calibri"/>
          <w:spacing w:val="-2"/>
          <w:sz w:val="22"/>
        </w:rPr>
        <w:t> </w:t>
      </w:r>
      <w:r>
        <w:rPr>
          <w:rFonts w:ascii="Calibri"/>
          <w:sz w:val="22"/>
        </w:rPr>
        <w:t>de</w:t>
      </w:r>
      <w:r>
        <w:rPr>
          <w:rFonts w:ascii="Calibri"/>
          <w:spacing w:val="-4"/>
          <w:sz w:val="22"/>
        </w:rPr>
        <w:t> </w:t>
      </w:r>
      <w:r>
        <w:rPr>
          <w:rFonts w:ascii="Calibri"/>
          <w:sz w:val="22"/>
        </w:rPr>
        <w:t>la Connaissance sur l'Europe.</w:t>
      </w:r>
    </w:p>
    <w:p>
      <w:pPr>
        <w:spacing w:before="1"/>
        <w:ind w:left="979" w:right="0" w:firstLine="0"/>
        <w:jc w:val="both"/>
        <w:rPr>
          <w:rFonts w:ascii="Calibri"/>
          <w:sz w:val="22"/>
        </w:rPr>
      </w:pPr>
      <w:bookmarkStart w:name="_bookmark392" w:id="393"/>
      <w:bookmarkEnd w:id="393"/>
      <w:r>
        <w:rPr/>
      </w:r>
      <w:r>
        <w:rPr>
          <w:rFonts w:ascii="Calibri"/>
          <w:sz w:val="22"/>
        </w:rPr>
        <w:t>Simon,</w:t>
      </w:r>
      <w:r>
        <w:rPr>
          <w:rFonts w:ascii="Calibri"/>
          <w:spacing w:val="13"/>
          <w:sz w:val="22"/>
        </w:rPr>
        <w:t> </w:t>
      </w:r>
      <w:r>
        <w:rPr>
          <w:rFonts w:ascii="Calibri"/>
          <w:sz w:val="22"/>
        </w:rPr>
        <w:t>H.</w:t>
      </w:r>
      <w:r>
        <w:rPr>
          <w:rFonts w:ascii="Calibri"/>
          <w:spacing w:val="14"/>
          <w:sz w:val="22"/>
        </w:rPr>
        <w:t> </w:t>
      </w:r>
      <w:r>
        <w:rPr>
          <w:rFonts w:ascii="Calibri"/>
          <w:sz w:val="22"/>
        </w:rPr>
        <w:t>A.</w:t>
      </w:r>
      <w:r>
        <w:rPr>
          <w:rFonts w:ascii="Calibri"/>
          <w:spacing w:val="15"/>
          <w:sz w:val="22"/>
        </w:rPr>
        <w:t> </w:t>
      </w:r>
      <w:r>
        <w:rPr>
          <w:rFonts w:ascii="Calibri"/>
          <w:sz w:val="22"/>
        </w:rPr>
        <w:t>(1966).</w:t>
      </w:r>
      <w:r>
        <w:rPr>
          <w:rFonts w:ascii="Calibri"/>
          <w:spacing w:val="18"/>
          <w:sz w:val="22"/>
        </w:rPr>
        <w:t> </w:t>
      </w:r>
      <w:r>
        <w:rPr>
          <w:rFonts w:ascii="Calibri"/>
          <w:sz w:val="22"/>
        </w:rPr>
        <w:t>Political</w:t>
      </w:r>
      <w:r>
        <w:rPr>
          <w:rFonts w:ascii="Calibri"/>
          <w:spacing w:val="19"/>
          <w:sz w:val="22"/>
        </w:rPr>
        <w:t> </w:t>
      </w:r>
      <w:r>
        <w:rPr>
          <w:rFonts w:ascii="Calibri"/>
          <w:sz w:val="22"/>
        </w:rPr>
        <w:t>research:</w:t>
      </w:r>
      <w:r>
        <w:rPr>
          <w:rFonts w:ascii="Calibri"/>
          <w:spacing w:val="16"/>
          <w:sz w:val="22"/>
        </w:rPr>
        <w:t> </w:t>
      </w:r>
      <w:r>
        <w:rPr>
          <w:rFonts w:ascii="Calibri"/>
          <w:sz w:val="22"/>
        </w:rPr>
        <w:t>The</w:t>
      </w:r>
      <w:r>
        <w:rPr>
          <w:rFonts w:ascii="Calibri"/>
          <w:spacing w:val="18"/>
          <w:sz w:val="22"/>
        </w:rPr>
        <w:t> </w:t>
      </w:r>
      <w:r>
        <w:rPr>
          <w:rFonts w:ascii="Calibri"/>
          <w:sz w:val="22"/>
        </w:rPr>
        <w:t>decision-making</w:t>
      </w:r>
      <w:r>
        <w:rPr>
          <w:rFonts w:ascii="Calibri"/>
          <w:spacing w:val="15"/>
          <w:sz w:val="22"/>
        </w:rPr>
        <w:t> </w:t>
      </w:r>
      <w:r>
        <w:rPr>
          <w:rFonts w:ascii="Calibri"/>
          <w:sz w:val="22"/>
        </w:rPr>
        <w:t>framework.</w:t>
      </w:r>
      <w:r>
        <w:rPr>
          <w:rFonts w:ascii="Calibri"/>
          <w:spacing w:val="15"/>
          <w:sz w:val="22"/>
        </w:rPr>
        <w:t> </w:t>
      </w:r>
      <w:r>
        <w:rPr>
          <w:rFonts w:ascii="Calibri"/>
          <w:sz w:val="22"/>
        </w:rPr>
        <w:t>In</w:t>
      </w:r>
      <w:r>
        <w:rPr>
          <w:rFonts w:ascii="Calibri"/>
          <w:spacing w:val="17"/>
          <w:sz w:val="22"/>
        </w:rPr>
        <w:t> </w:t>
      </w:r>
      <w:r>
        <w:rPr>
          <w:rFonts w:ascii="Calibri"/>
          <w:sz w:val="22"/>
        </w:rPr>
        <w:t>D.</w:t>
      </w:r>
      <w:r>
        <w:rPr>
          <w:rFonts w:ascii="Calibri"/>
          <w:spacing w:val="19"/>
          <w:sz w:val="22"/>
        </w:rPr>
        <w:t> </w:t>
      </w:r>
      <w:r>
        <w:rPr>
          <w:rFonts w:ascii="Calibri"/>
          <w:sz w:val="22"/>
        </w:rPr>
        <w:t>Easton</w:t>
      </w:r>
      <w:r>
        <w:rPr>
          <w:rFonts w:ascii="Calibri"/>
          <w:spacing w:val="17"/>
          <w:sz w:val="22"/>
        </w:rPr>
        <w:t> </w:t>
      </w:r>
      <w:r>
        <w:rPr>
          <w:rFonts w:ascii="Calibri"/>
          <w:spacing w:val="-2"/>
          <w:sz w:val="22"/>
        </w:rPr>
        <w:t>(Ed.),</w:t>
      </w:r>
    </w:p>
    <w:p>
      <w:pPr>
        <w:spacing w:before="0"/>
        <w:ind w:left="1700" w:right="0" w:firstLine="0"/>
        <w:jc w:val="both"/>
        <w:rPr>
          <w:rFonts w:ascii="Calibri"/>
          <w:sz w:val="22"/>
        </w:rPr>
      </w:pPr>
      <w:r>
        <w:rPr>
          <w:rFonts w:ascii="Calibri"/>
          <w:i/>
          <w:sz w:val="22"/>
        </w:rPr>
        <w:t>Varieties</w:t>
      </w:r>
      <w:r>
        <w:rPr>
          <w:rFonts w:ascii="Calibri"/>
          <w:i/>
          <w:spacing w:val="-9"/>
          <w:sz w:val="22"/>
        </w:rPr>
        <w:t> </w:t>
      </w:r>
      <w:r>
        <w:rPr>
          <w:rFonts w:ascii="Calibri"/>
          <w:i/>
          <w:sz w:val="22"/>
        </w:rPr>
        <w:t>of</w:t>
      </w:r>
      <w:r>
        <w:rPr>
          <w:rFonts w:ascii="Calibri"/>
          <w:i/>
          <w:spacing w:val="-7"/>
          <w:sz w:val="22"/>
        </w:rPr>
        <w:t> </w:t>
      </w:r>
      <w:r>
        <w:rPr>
          <w:rFonts w:ascii="Calibri"/>
          <w:i/>
          <w:sz w:val="22"/>
        </w:rPr>
        <w:t>political</w:t>
      </w:r>
      <w:r>
        <w:rPr>
          <w:rFonts w:ascii="Calibri"/>
          <w:i/>
          <w:spacing w:val="-5"/>
          <w:sz w:val="22"/>
        </w:rPr>
        <w:t> </w:t>
      </w:r>
      <w:r>
        <w:rPr>
          <w:rFonts w:ascii="Calibri"/>
          <w:i/>
          <w:sz w:val="22"/>
        </w:rPr>
        <w:t>theory</w:t>
      </w:r>
      <w:r>
        <w:rPr>
          <w:rFonts w:ascii="Calibri"/>
          <w:i/>
          <w:spacing w:val="-1"/>
          <w:sz w:val="22"/>
        </w:rPr>
        <w:t> </w:t>
      </w:r>
      <w:r>
        <w:rPr>
          <w:rFonts w:ascii="Calibri"/>
          <w:sz w:val="22"/>
        </w:rPr>
        <w:t>(pp.</w:t>
      </w:r>
      <w:r>
        <w:rPr>
          <w:rFonts w:ascii="Calibri"/>
          <w:spacing w:val="-5"/>
          <w:sz w:val="22"/>
        </w:rPr>
        <w:t> </w:t>
      </w:r>
      <w:r>
        <w:rPr>
          <w:rFonts w:ascii="Calibri"/>
          <w:sz w:val="22"/>
        </w:rPr>
        <w:t>15-24).</w:t>
      </w:r>
      <w:r>
        <w:rPr>
          <w:rFonts w:ascii="Calibri"/>
          <w:spacing w:val="-5"/>
          <w:sz w:val="22"/>
        </w:rPr>
        <w:t> </w:t>
      </w:r>
      <w:r>
        <w:rPr>
          <w:rFonts w:ascii="Calibri"/>
          <w:sz w:val="22"/>
        </w:rPr>
        <w:t>Englewood</w:t>
      </w:r>
      <w:r>
        <w:rPr>
          <w:rFonts w:ascii="Calibri"/>
          <w:spacing w:val="-8"/>
          <w:sz w:val="22"/>
        </w:rPr>
        <w:t> </w:t>
      </w:r>
      <w:r>
        <w:rPr>
          <w:rFonts w:ascii="Calibri"/>
          <w:sz w:val="22"/>
        </w:rPr>
        <w:t>Cliffs,</w:t>
      </w:r>
      <w:r>
        <w:rPr>
          <w:rFonts w:ascii="Calibri"/>
          <w:spacing w:val="-9"/>
          <w:sz w:val="22"/>
        </w:rPr>
        <w:t> </w:t>
      </w:r>
      <w:r>
        <w:rPr>
          <w:rFonts w:ascii="Calibri"/>
          <w:sz w:val="22"/>
        </w:rPr>
        <w:t>NJ:</w:t>
      </w:r>
      <w:r>
        <w:rPr>
          <w:rFonts w:ascii="Calibri"/>
          <w:spacing w:val="-8"/>
          <w:sz w:val="22"/>
        </w:rPr>
        <w:t> </w:t>
      </w:r>
      <w:r>
        <w:rPr>
          <w:rFonts w:ascii="Calibri"/>
          <w:sz w:val="22"/>
        </w:rPr>
        <w:t>Prentice-</w:t>
      </w:r>
      <w:r>
        <w:rPr>
          <w:rFonts w:ascii="Calibri"/>
          <w:spacing w:val="-2"/>
          <w:sz w:val="22"/>
        </w:rPr>
        <w:t>Hall.</w:t>
      </w:r>
    </w:p>
    <w:p>
      <w:pPr>
        <w:spacing w:before="0"/>
        <w:ind w:left="1700" w:right="1907" w:hanging="721"/>
        <w:jc w:val="both"/>
        <w:rPr>
          <w:rFonts w:ascii="Calibri"/>
          <w:sz w:val="22"/>
        </w:rPr>
      </w:pPr>
      <w:bookmarkStart w:name="_bookmark393" w:id="394"/>
      <w:bookmarkEnd w:id="394"/>
      <w:r>
        <w:rPr/>
      </w:r>
      <w:r>
        <w:rPr>
          <w:rFonts w:ascii="Calibri"/>
          <w:sz w:val="22"/>
        </w:rPr>
        <w:t>Simon, H. A. (1991). Organizations and Markets. </w:t>
      </w:r>
      <w:r>
        <w:rPr>
          <w:rFonts w:ascii="Calibri"/>
          <w:i/>
          <w:sz w:val="22"/>
        </w:rPr>
        <w:t>The Journal of Economic Perspectives, 5</w:t>
      </w:r>
      <w:r>
        <w:rPr>
          <w:rFonts w:ascii="Calibri"/>
          <w:sz w:val="22"/>
        </w:rPr>
        <w:t>(2), </w:t>
      </w:r>
      <w:r>
        <w:rPr>
          <w:rFonts w:ascii="Calibri"/>
          <w:spacing w:val="-2"/>
          <w:sz w:val="22"/>
        </w:rPr>
        <w:t>25-44.</w:t>
      </w:r>
    </w:p>
    <w:p>
      <w:pPr>
        <w:spacing w:before="1"/>
        <w:ind w:left="1700" w:right="1903" w:hanging="721"/>
        <w:jc w:val="both"/>
        <w:rPr>
          <w:rFonts w:ascii="Calibri"/>
          <w:sz w:val="22"/>
        </w:rPr>
      </w:pPr>
      <w:bookmarkStart w:name="_bookmark394" w:id="395"/>
      <w:bookmarkEnd w:id="395"/>
      <w:r>
        <w:rPr/>
      </w:r>
      <w:r>
        <w:rPr>
          <w:rFonts w:ascii="Calibri"/>
          <w:sz w:val="22"/>
        </w:rPr>
        <w:t>Slapin, J. B. (2011). </w:t>
      </w:r>
      <w:r>
        <w:rPr>
          <w:rFonts w:ascii="Calibri"/>
          <w:i/>
          <w:sz w:val="22"/>
        </w:rPr>
        <w:t>Veto power : institutional design in the European Union</w:t>
      </w:r>
      <w:r>
        <w:rPr>
          <w:rFonts w:ascii="Calibri"/>
          <w:sz w:val="22"/>
        </w:rPr>
        <w:t>. Ann Arbor, [Mich.]: University of Michigan Press.</w:t>
      </w:r>
    </w:p>
    <w:p>
      <w:pPr>
        <w:spacing w:line="237" w:lineRule="auto" w:before="2"/>
        <w:ind w:left="1700" w:right="1904" w:hanging="721"/>
        <w:jc w:val="both"/>
        <w:rPr>
          <w:rFonts w:ascii="Calibri"/>
          <w:sz w:val="22"/>
        </w:rPr>
      </w:pPr>
      <w:bookmarkStart w:name="_bookmark395" w:id="396"/>
      <w:bookmarkEnd w:id="396"/>
      <w:r>
        <w:rPr/>
      </w:r>
      <w:r>
        <w:rPr>
          <w:rFonts w:ascii="Calibri"/>
          <w:sz w:val="22"/>
        </w:rPr>
        <w:t>Smith, M. (1996). The European Union and a Changing Europe: Establishing the Boundaries of Order. </w:t>
      </w:r>
      <w:r>
        <w:rPr>
          <w:rFonts w:ascii="Calibri"/>
          <w:i/>
          <w:sz w:val="22"/>
        </w:rPr>
        <w:t>JCMS: Journal of Common Market Studies, 34</w:t>
      </w:r>
      <w:r>
        <w:rPr>
          <w:rFonts w:ascii="Calibri"/>
          <w:sz w:val="22"/>
        </w:rPr>
        <w:t>(1), 5-28. doi:</w:t>
      </w:r>
      <w:r>
        <w:rPr>
          <w:rFonts w:ascii="Calibri"/>
          <w:spacing w:val="80"/>
          <w:sz w:val="22"/>
        </w:rPr>
        <w:t> </w:t>
      </w:r>
      <w:r>
        <w:rPr>
          <w:rFonts w:ascii="Calibri"/>
          <w:spacing w:val="-2"/>
          <w:sz w:val="22"/>
        </w:rPr>
        <w:t>10.1111/j.1468-5965.1996.tb00558.x</w:t>
      </w:r>
    </w:p>
    <w:p>
      <w:pPr>
        <w:spacing w:before="2"/>
        <w:ind w:left="979" w:right="3188" w:firstLine="0"/>
        <w:jc w:val="both"/>
        <w:rPr>
          <w:rFonts w:ascii="Calibri"/>
          <w:sz w:val="22"/>
        </w:rPr>
      </w:pPr>
      <w:bookmarkStart w:name="_bookmark396" w:id="397"/>
      <w:bookmarkEnd w:id="397"/>
      <w:r>
        <w:rPr/>
      </w:r>
      <w:r>
        <w:rPr>
          <w:rFonts w:ascii="Calibri"/>
          <w:sz w:val="22"/>
        </w:rPr>
        <w:t>Smuts,</w:t>
      </w:r>
      <w:r>
        <w:rPr>
          <w:rFonts w:ascii="Calibri"/>
          <w:spacing w:val="-7"/>
          <w:sz w:val="22"/>
        </w:rPr>
        <w:t> </w:t>
      </w:r>
      <w:r>
        <w:rPr>
          <w:rFonts w:ascii="Calibri"/>
          <w:sz w:val="22"/>
        </w:rPr>
        <w:t>J.</w:t>
      </w:r>
      <w:r>
        <w:rPr>
          <w:rFonts w:ascii="Calibri"/>
          <w:spacing w:val="-3"/>
          <w:sz w:val="22"/>
        </w:rPr>
        <w:t> </w:t>
      </w:r>
      <w:r>
        <w:rPr>
          <w:rFonts w:ascii="Calibri"/>
          <w:sz w:val="22"/>
        </w:rPr>
        <w:t>C.</w:t>
      </w:r>
      <w:r>
        <w:rPr>
          <w:rFonts w:ascii="Calibri"/>
          <w:spacing w:val="-3"/>
          <w:sz w:val="22"/>
        </w:rPr>
        <w:t> </w:t>
      </w:r>
      <w:r>
        <w:rPr>
          <w:rFonts w:ascii="Calibri"/>
          <w:sz w:val="22"/>
        </w:rPr>
        <w:t>(1927). </w:t>
      </w:r>
      <w:r>
        <w:rPr>
          <w:rFonts w:ascii="Calibri"/>
          <w:i/>
          <w:sz w:val="22"/>
        </w:rPr>
        <w:t>Holism</w:t>
      </w:r>
      <w:r>
        <w:rPr>
          <w:rFonts w:ascii="Calibri"/>
          <w:i/>
          <w:spacing w:val="-6"/>
          <w:sz w:val="22"/>
        </w:rPr>
        <w:t> </w:t>
      </w:r>
      <w:r>
        <w:rPr>
          <w:rFonts w:ascii="Calibri"/>
          <w:i/>
          <w:sz w:val="22"/>
        </w:rPr>
        <w:t>and</w:t>
      </w:r>
      <w:r>
        <w:rPr>
          <w:rFonts w:ascii="Calibri"/>
          <w:i/>
          <w:spacing w:val="-3"/>
          <w:sz w:val="22"/>
        </w:rPr>
        <w:t> </w:t>
      </w:r>
      <w:r>
        <w:rPr>
          <w:rFonts w:ascii="Calibri"/>
          <w:i/>
          <w:sz w:val="22"/>
        </w:rPr>
        <w:t>evolution</w:t>
      </w:r>
      <w:r>
        <w:rPr>
          <w:rFonts w:ascii="Calibri"/>
          <w:sz w:val="22"/>
        </w:rPr>
        <w:t>.</w:t>
      </w:r>
      <w:r>
        <w:rPr>
          <w:rFonts w:ascii="Calibri"/>
          <w:spacing w:val="-3"/>
          <w:sz w:val="22"/>
        </w:rPr>
        <w:t> </w:t>
      </w:r>
      <w:r>
        <w:rPr>
          <w:rFonts w:ascii="Calibri"/>
          <w:sz w:val="22"/>
        </w:rPr>
        <w:t>New</w:t>
      </w:r>
      <w:r>
        <w:rPr>
          <w:rFonts w:ascii="Calibri"/>
          <w:spacing w:val="-4"/>
          <w:sz w:val="22"/>
        </w:rPr>
        <w:t> </w:t>
      </w:r>
      <w:r>
        <w:rPr>
          <w:rFonts w:ascii="Calibri"/>
          <w:sz w:val="22"/>
        </w:rPr>
        <w:t>York,:</w:t>
      </w:r>
      <w:r>
        <w:rPr>
          <w:rFonts w:ascii="Calibri"/>
          <w:spacing w:val="-6"/>
          <w:sz w:val="22"/>
        </w:rPr>
        <w:t> </w:t>
      </w:r>
      <w:r>
        <w:rPr>
          <w:rFonts w:ascii="Calibri"/>
          <w:sz w:val="22"/>
        </w:rPr>
        <w:t>The</w:t>
      </w:r>
      <w:r>
        <w:rPr>
          <w:rFonts w:ascii="Calibri"/>
          <w:spacing w:val="-4"/>
          <w:sz w:val="22"/>
        </w:rPr>
        <w:t> </w:t>
      </w:r>
      <w:r>
        <w:rPr>
          <w:rFonts w:ascii="Calibri"/>
          <w:sz w:val="22"/>
        </w:rPr>
        <w:t>Macmillan</w:t>
      </w:r>
      <w:r>
        <w:rPr>
          <w:rFonts w:ascii="Calibri"/>
          <w:spacing w:val="-5"/>
          <w:sz w:val="22"/>
        </w:rPr>
        <w:t> </w:t>
      </w:r>
      <w:r>
        <w:rPr>
          <w:rFonts w:ascii="Calibri"/>
          <w:sz w:val="22"/>
        </w:rPr>
        <w:t>company. </w:t>
      </w:r>
      <w:bookmarkStart w:name="_bookmark397" w:id="398"/>
      <w:bookmarkEnd w:id="398"/>
      <w:r>
        <w:rPr>
          <w:rFonts w:ascii="Calibri"/>
          <w:sz w:val="22"/>
        </w:rPr>
        <w:t>S</w:t>
      </w:r>
      <w:r>
        <w:rPr>
          <w:rFonts w:ascii="Calibri"/>
          <w:sz w:val="22"/>
        </w:rPr>
        <w:t>pencer-Brown, G. (1969). </w:t>
      </w:r>
      <w:r>
        <w:rPr>
          <w:rFonts w:ascii="Calibri"/>
          <w:i/>
          <w:sz w:val="22"/>
        </w:rPr>
        <w:t>Laws of form</w:t>
      </w:r>
      <w:r>
        <w:rPr>
          <w:rFonts w:ascii="Calibri"/>
          <w:sz w:val="22"/>
        </w:rPr>
        <w:t>. London: Allen &amp; Unwin.</w:t>
      </w:r>
    </w:p>
    <w:p>
      <w:pPr>
        <w:spacing w:after="0"/>
        <w:jc w:val="both"/>
        <w:rPr>
          <w:rFonts w:asci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979" w:right="1909" w:firstLine="0"/>
        <w:jc w:val="left"/>
        <w:rPr>
          <w:rFonts w:ascii="Calibri"/>
          <w:sz w:val="22"/>
        </w:rPr>
      </w:pPr>
      <w:bookmarkStart w:name="_bookmark398" w:id="399"/>
      <w:bookmarkEnd w:id="399"/>
      <w:r>
        <w:rPr/>
      </w:r>
      <w:r>
        <w:rPr>
          <w:rFonts w:ascii="Calibri"/>
          <w:sz w:val="22"/>
        </w:rPr>
        <w:t>Spinelli, A., &amp; Rossi, E. (1941). The Manifesto of Ventotene. In T. A. S. I. f. F. Studies (Ed.). </w:t>
      </w:r>
      <w:bookmarkStart w:name="_bookmark399" w:id="400"/>
      <w:bookmarkEnd w:id="400"/>
      <w:r>
        <w:rPr>
          <w:rFonts w:ascii="Calibri"/>
          <w:sz w:val="22"/>
        </w:rPr>
        <w:t>S</w:t>
      </w:r>
      <w:r>
        <w:rPr>
          <w:rFonts w:ascii="Calibri"/>
          <w:sz w:val="22"/>
        </w:rPr>
        <w:t>tefanova,</w:t>
      </w:r>
      <w:r>
        <w:rPr>
          <w:rFonts w:ascii="Calibri"/>
          <w:spacing w:val="25"/>
          <w:sz w:val="22"/>
        </w:rPr>
        <w:t> </w:t>
      </w:r>
      <w:r>
        <w:rPr>
          <w:rFonts w:ascii="Calibri"/>
          <w:sz w:val="22"/>
        </w:rPr>
        <w:t>B.</w:t>
      </w:r>
      <w:r>
        <w:rPr>
          <w:rFonts w:ascii="Calibri"/>
          <w:spacing w:val="28"/>
          <w:sz w:val="22"/>
        </w:rPr>
        <w:t> </w:t>
      </w:r>
      <w:r>
        <w:rPr>
          <w:rFonts w:ascii="Calibri"/>
          <w:sz w:val="22"/>
        </w:rPr>
        <w:t>(2005).</w:t>
      </w:r>
      <w:r>
        <w:rPr>
          <w:rFonts w:ascii="Calibri"/>
          <w:spacing w:val="28"/>
          <w:sz w:val="22"/>
        </w:rPr>
        <w:t> </w:t>
      </w:r>
      <w:r>
        <w:rPr>
          <w:rFonts w:ascii="Calibri"/>
          <w:sz w:val="22"/>
        </w:rPr>
        <w:t>The</w:t>
      </w:r>
      <w:r>
        <w:rPr>
          <w:rFonts w:ascii="Calibri"/>
          <w:spacing w:val="27"/>
          <w:sz w:val="22"/>
        </w:rPr>
        <w:t> </w:t>
      </w:r>
      <w:r>
        <w:rPr>
          <w:rFonts w:ascii="Calibri"/>
          <w:sz w:val="22"/>
        </w:rPr>
        <w:t>European</w:t>
      </w:r>
      <w:r>
        <w:rPr>
          <w:rFonts w:ascii="Calibri"/>
          <w:spacing w:val="22"/>
          <w:sz w:val="22"/>
        </w:rPr>
        <w:t> </w:t>
      </w:r>
      <w:r>
        <w:rPr>
          <w:rFonts w:ascii="Calibri"/>
          <w:sz w:val="22"/>
        </w:rPr>
        <w:t>Union</w:t>
      </w:r>
      <w:r>
        <w:rPr>
          <w:rFonts w:ascii="Calibri"/>
          <w:spacing w:val="27"/>
          <w:sz w:val="22"/>
        </w:rPr>
        <w:t> </w:t>
      </w:r>
      <w:r>
        <w:rPr>
          <w:rFonts w:ascii="Calibri"/>
          <w:sz w:val="22"/>
        </w:rPr>
        <w:t>as</w:t>
      </w:r>
      <w:r>
        <w:rPr>
          <w:rFonts w:ascii="Calibri"/>
          <w:spacing w:val="23"/>
          <w:sz w:val="22"/>
        </w:rPr>
        <w:t> </w:t>
      </w:r>
      <w:r>
        <w:rPr>
          <w:rFonts w:ascii="Calibri"/>
          <w:sz w:val="22"/>
        </w:rPr>
        <w:t>a</w:t>
      </w:r>
      <w:r>
        <w:rPr>
          <w:rFonts w:ascii="Calibri"/>
          <w:spacing w:val="27"/>
          <w:sz w:val="22"/>
        </w:rPr>
        <w:t> </w:t>
      </w:r>
      <w:r>
        <w:rPr>
          <w:rFonts w:ascii="Calibri"/>
          <w:sz w:val="22"/>
        </w:rPr>
        <w:t>Security</w:t>
      </w:r>
      <w:r>
        <w:rPr>
          <w:rFonts w:ascii="Calibri"/>
          <w:spacing w:val="27"/>
          <w:sz w:val="22"/>
        </w:rPr>
        <w:t> </w:t>
      </w:r>
      <w:r>
        <w:rPr>
          <w:rFonts w:ascii="Calibri"/>
          <w:sz w:val="22"/>
        </w:rPr>
        <w:t>Actor:</w:t>
      </w:r>
      <w:r>
        <w:rPr>
          <w:rFonts w:ascii="Calibri"/>
          <w:spacing w:val="26"/>
          <w:sz w:val="22"/>
        </w:rPr>
        <w:t> </w:t>
      </w:r>
      <w:r>
        <w:rPr>
          <w:rFonts w:ascii="Calibri"/>
          <w:sz w:val="22"/>
        </w:rPr>
        <w:t>Security</w:t>
      </w:r>
      <w:r>
        <w:rPr>
          <w:rFonts w:ascii="Calibri"/>
          <w:spacing w:val="27"/>
          <w:sz w:val="22"/>
        </w:rPr>
        <w:t> </w:t>
      </w:r>
      <w:r>
        <w:rPr>
          <w:rFonts w:ascii="Calibri"/>
          <w:sz w:val="22"/>
        </w:rPr>
        <w:t>Provision</w:t>
      </w:r>
      <w:r>
        <w:rPr>
          <w:rFonts w:ascii="Calibri"/>
          <w:spacing w:val="27"/>
          <w:sz w:val="22"/>
        </w:rPr>
        <w:t> </w:t>
      </w:r>
      <w:r>
        <w:rPr>
          <w:rFonts w:ascii="Calibri"/>
          <w:sz w:val="22"/>
        </w:rPr>
        <w:t>through</w:t>
      </w:r>
    </w:p>
    <w:p>
      <w:pPr>
        <w:spacing w:before="1"/>
        <w:ind w:left="1700" w:right="0" w:firstLine="0"/>
        <w:jc w:val="left"/>
        <w:rPr>
          <w:rFonts w:ascii="Calibri"/>
          <w:sz w:val="22"/>
        </w:rPr>
      </w:pPr>
      <w:r>
        <w:rPr>
          <w:rFonts w:ascii="Calibri"/>
          <w:sz w:val="22"/>
        </w:rPr>
        <w:t>Enlargement.</w:t>
      </w:r>
      <w:r>
        <w:rPr>
          <w:rFonts w:ascii="Calibri"/>
          <w:spacing w:val="-5"/>
          <w:sz w:val="22"/>
        </w:rPr>
        <w:t> </w:t>
      </w:r>
      <w:r>
        <w:rPr>
          <w:rFonts w:ascii="Calibri"/>
          <w:i/>
          <w:sz w:val="22"/>
        </w:rPr>
        <w:t>World</w:t>
      </w:r>
      <w:r>
        <w:rPr>
          <w:rFonts w:ascii="Calibri"/>
          <w:i/>
          <w:spacing w:val="-7"/>
          <w:sz w:val="22"/>
        </w:rPr>
        <w:t> </w:t>
      </w:r>
      <w:r>
        <w:rPr>
          <w:rFonts w:ascii="Calibri"/>
          <w:i/>
          <w:sz w:val="22"/>
        </w:rPr>
        <w:t>Affairs,</w:t>
      </w:r>
      <w:r>
        <w:rPr>
          <w:rFonts w:ascii="Calibri"/>
          <w:i/>
          <w:spacing w:val="-9"/>
          <w:sz w:val="22"/>
        </w:rPr>
        <w:t> </w:t>
      </w:r>
      <w:r>
        <w:rPr>
          <w:rFonts w:ascii="Calibri"/>
          <w:i/>
          <w:sz w:val="22"/>
        </w:rPr>
        <w:t>168</w:t>
      </w:r>
      <w:r>
        <w:rPr>
          <w:rFonts w:ascii="Calibri"/>
          <w:sz w:val="22"/>
        </w:rPr>
        <w:t>(2),</w:t>
      </w:r>
      <w:r>
        <w:rPr>
          <w:rFonts w:ascii="Calibri"/>
          <w:spacing w:val="-9"/>
          <w:sz w:val="22"/>
        </w:rPr>
        <w:t> </w:t>
      </w:r>
      <w:r>
        <w:rPr>
          <w:rFonts w:ascii="Calibri"/>
          <w:sz w:val="22"/>
        </w:rPr>
        <w:t>51-</w:t>
      </w:r>
      <w:r>
        <w:rPr>
          <w:rFonts w:ascii="Calibri"/>
          <w:spacing w:val="-5"/>
          <w:sz w:val="22"/>
        </w:rPr>
        <w:t>66.</w:t>
      </w:r>
    </w:p>
    <w:p>
      <w:pPr>
        <w:spacing w:before="1"/>
        <w:ind w:left="1700" w:right="1909" w:hanging="721"/>
        <w:jc w:val="left"/>
        <w:rPr>
          <w:rFonts w:ascii="Calibri"/>
          <w:sz w:val="22"/>
        </w:rPr>
      </w:pPr>
      <w:bookmarkStart w:name="_bookmark400" w:id="401"/>
      <w:bookmarkEnd w:id="401"/>
      <w:r>
        <w:rPr/>
      </w:r>
      <w:r>
        <w:rPr>
          <w:rFonts w:ascii="Calibri"/>
          <w:sz w:val="22"/>
        </w:rPr>
        <w:t>Stein, E. (1981). Lawyers, Judges, and the Making of Transnational Constitution. </w:t>
      </w:r>
      <w:r>
        <w:rPr>
          <w:rFonts w:ascii="Calibri"/>
          <w:i/>
          <w:sz w:val="22"/>
        </w:rPr>
        <w:t>American</w:t>
      </w:r>
      <w:r>
        <w:rPr>
          <w:rFonts w:ascii="Calibri"/>
          <w:i/>
          <w:spacing w:val="40"/>
          <w:sz w:val="22"/>
        </w:rPr>
        <w:t> </w:t>
      </w:r>
      <w:r>
        <w:rPr>
          <w:rFonts w:ascii="Calibri"/>
          <w:i/>
          <w:sz w:val="22"/>
        </w:rPr>
        <w:t>Journal of International Law, 75</w:t>
      </w:r>
      <w:r>
        <w:rPr>
          <w:rFonts w:ascii="Calibri"/>
          <w:sz w:val="22"/>
        </w:rPr>
        <w:t>(1), 1-27.</w:t>
      </w:r>
    </w:p>
    <w:p>
      <w:pPr>
        <w:spacing w:line="264" w:lineRule="exact" w:before="0"/>
        <w:ind w:left="979" w:right="0" w:firstLine="0"/>
        <w:jc w:val="left"/>
        <w:rPr>
          <w:rFonts w:ascii="Calibri"/>
          <w:sz w:val="22"/>
        </w:rPr>
      </w:pPr>
      <w:bookmarkStart w:name="_bookmark401" w:id="402"/>
      <w:bookmarkEnd w:id="402"/>
      <w:r>
        <w:rPr/>
      </w:r>
      <w:r>
        <w:rPr>
          <w:rFonts w:ascii="Calibri"/>
          <w:sz w:val="22"/>
        </w:rPr>
        <w:t>Stiglitz,</w:t>
      </w:r>
      <w:r>
        <w:rPr>
          <w:rFonts w:ascii="Calibri"/>
          <w:spacing w:val="12"/>
          <w:sz w:val="22"/>
        </w:rPr>
        <w:t> </w:t>
      </w:r>
      <w:r>
        <w:rPr>
          <w:rFonts w:ascii="Calibri"/>
          <w:sz w:val="22"/>
        </w:rPr>
        <w:t>J.</w:t>
      </w:r>
      <w:r>
        <w:rPr>
          <w:rFonts w:ascii="Calibri"/>
          <w:spacing w:val="17"/>
          <w:sz w:val="22"/>
        </w:rPr>
        <w:t> </w:t>
      </w:r>
      <w:r>
        <w:rPr>
          <w:rFonts w:ascii="Calibri"/>
          <w:sz w:val="22"/>
        </w:rPr>
        <w:t>E.</w:t>
      </w:r>
      <w:r>
        <w:rPr>
          <w:rFonts w:ascii="Calibri"/>
          <w:spacing w:val="15"/>
          <w:sz w:val="22"/>
        </w:rPr>
        <w:t> </w:t>
      </w:r>
      <w:r>
        <w:rPr>
          <w:rFonts w:ascii="Calibri"/>
          <w:sz w:val="22"/>
        </w:rPr>
        <w:t>(1975).</w:t>
      </w:r>
      <w:r>
        <w:rPr>
          <w:rFonts w:ascii="Calibri"/>
          <w:spacing w:val="17"/>
          <w:sz w:val="22"/>
        </w:rPr>
        <w:t> </w:t>
      </w:r>
      <w:r>
        <w:rPr>
          <w:rFonts w:ascii="Calibri"/>
          <w:sz w:val="22"/>
        </w:rPr>
        <w:t>The</w:t>
      </w:r>
      <w:r>
        <w:rPr>
          <w:rFonts w:ascii="Calibri"/>
          <w:spacing w:val="17"/>
          <w:sz w:val="22"/>
        </w:rPr>
        <w:t> </w:t>
      </w:r>
      <w:r>
        <w:rPr>
          <w:rFonts w:ascii="Calibri"/>
          <w:sz w:val="22"/>
        </w:rPr>
        <w:t>Theory</w:t>
      </w:r>
      <w:r>
        <w:rPr>
          <w:rFonts w:ascii="Calibri"/>
          <w:spacing w:val="17"/>
          <w:sz w:val="22"/>
        </w:rPr>
        <w:t> </w:t>
      </w:r>
      <w:r>
        <w:rPr>
          <w:rFonts w:ascii="Calibri"/>
          <w:sz w:val="22"/>
        </w:rPr>
        <w:t>of</w:t>
      </w:r>
      <w:r>
        <w:rPr>
          <w:rFonts w:ascii="Calibri"/>
          <w:spacing w:val="12"/>
          <w:sz w:val="22"/>
        </w:rPr>
        <w:t> </w:t>
      </w:r>
      <w:r>
        <w:rPr>
          <w:rFonts w:ascii="Calibri"/>
          <w:sz w:val="22"/>
        </w:rPr>
        <w:t>"Screening,"</w:t>
      </w:r>
      <w:r>
        <w:rPr>
          <w:rFonts w:ascii="Calibri"/>
          <w:spacing w:val="14"/>
          <w:sz w:val="22"/>
        </w:rPr>
        <w:t> </w:t>
      </w:r>
      <w:r>
        <w:rPr>
          <w:rFonts w:ascii="Calibri"/>
          <w:sz w:val="22"/>
        </w:rPr>
        <w:t>Education,</w:t>
      </w:r>
      <w:r>
        <w:rPr>
          <w:rFonts w:ascii="Calibri"/>
          <w:spacing w:val="14"/>
          <w:sz w:val="22"/>
        </w:rPr>
        <w:t> </w:t>
      </w:r>
      <w:r>
        <w:rPr>
          <w:rFonts w:ascii="Calibri"/>
          <w:sz w:val="22"/>
        </w:rPr>
        <w:t>and</w:t>
      </w:r>
      <w:r>
        <w:rPr>
          <w:rFonts w:ascii="Calibri"/>
          <w:spacing w:val="16"/>
          <w:sz w:val="22"/>
        </w:rPr>
        <w:t> </w:t>
      </w:r>
      <w:r>
        <w:rPr>
          <w:rFonts w:ascii="Calibri"/>
          <w:sz w:val="22"/>
        </w:rPr>
        <w:t>the</w:t>
      </w:r>
      <w:r>
        <w:rPr>
          <w:rFonts w:ascii="Calibri"/>
          <w:spacing w:val="17"/>
          <w:sz w:val="22"/>
        </w:rPr>
        <w:t> </w:t>
      </w:r>
      <w:r>
        <w:rPr>
          <w:rFonts w:ascii="Calibri"/>
          <w:sz w:val="22"/>
        </w:rPr>
        <w:t>Distribution</w:t>
      </w:r>
      <w:r>
        <w:rPr>
          <w:rFonts w:ascii="Calibri"/>
          <w:spacing w:val="16"/>
          <w:sz w:val="22"/>
        </w:rPr>
        <w:t> </w:t>
      </w:r>
      <w:r>
        <w:rPr>
          <w:rFonts w:ascii="Calibri"/>
          <w:sz w:val="22"/>
        </w:rPr>
        <w:t>of</w:t>
      </w:r>
      <w:r>
        <w:rPr>
          <w:rFonts w:ascii="Calibri"/>
          <w:spacing w:val="13"/>
          <w:sz w:val="22"/>
        </w:rPr>
        <w:t> </w:t>
      </w:r>
      <w:r>
        <w:rPr>
          <w:rFonts w:ascii="Calibri"/>
          <w:spacing w:val="-2"/>
          <w:sz w:val="22"/>
        </w:rPr>
        <w:t>Income.</w:t>
      </w:r>
    </w:p>
    <w:p>
      <w:pPr>
        <w:spacing w:before="0"/>
        <w:ind w:left="1700" w:right="0" w:firstLine="0"/>
        <w:jc w:val="left"/>
        <w:rPr>
          <w:rFonts w:ascii="Calibri"/>
          <w:sz w:val="22"/>
        </w:rPr>
      </w:pPr>
      <w:r>
        <w:rPr>
          <w:rFonts w:ascii="Calibri"/>
          <w:i/>
          <w:sz w:val="22"/>
        </w:rPr>
        <w:t>The</w:t>
      </w:r>
      <w:r>
        <w:rPr>
          <w:rFonts w:ascii="Calibri"/>
          <w:i/>
          <w:spacing w:val="-7"/>
          <w:sz w:val="22"/>
        </w:rPr>
        <w:t> </w:t>
      </w:r>
      <w:r>
        <w:rPr>
          <w:rFonts w:ascii="Calibri"/>
          <w:i/>
          <w:sz w:val="22"/>
        </w:rPr>
        <w:t>American</w:t>
      </w:r>
      <w:r>
        <w:rPr>
          <w:rFonts w:ascii="Calibri"/>
          <w:i/>
          <w:spacing w:val="-5"/>
          <w:sz w:val="22"/>
        </w:rPr>
        <w:t> </w:t>
      </w:r>
      <w:r>
        <w:rPr>
          <w:rFonts w:ascii="Calibri"/>
          <w:i/>
          <w:sz w:val="22"/>
        </w:rPr>
        <w:t>Economic</w:t>
      </w:r>
      <w:r>
        <w:rPr>
          <w:rFonts w:ascii="Calibri"/>
          <w:i/>
          <w:spacing w:val="-7"/>
          <w:sz w:val="22"/>
        </w:rPr>
        <w:t> </w:t>
      </w:r>
      <w:r>
        <w:rPr>
          <w:rFonts w:ascii="Calibri"/>
          <w:i/>
          <w:sz w:val="22"/>
        </w:rPr>
        <w:t>Review,</w:t>
      </w:r>
      <w:r>
        <w:rPr>
          <w:rFonts w:ascii="Calibri"/>
          <w:i/>
          <w:spacing w:val="-8"/>
          <w:sz w:val="22"/>
        </w:rPr>
        <w:t> </w:t>
      </w:r>
      <w:r>
        <w:rPr>
          <w:rFonts w:ascii="Calibri"/>
          <w:i/>
          <w:sz w:val="22"/>
        </w:rPr>
        <w:t>65</w:t>
      </w:r>
      <w:r>
        <w:rPr>
          <w:rFonts w:ascii="Calibri"/>
          <w:sz w:val="22"/>
        </w:rPr>
        <w:t>(3),</w:t>
      </w:r>
      <w:r>
        <w:rPr>
          <w:rFonts w:ascii="Calibri"/>
          <w:spacing w:val="-7"/>
          <w:sz w:val="22"/>
        </w:rPr>
        <w:t> </w:t>
      </w:r>
      <w:r>
        <w:rPr>
          <w:rFonts w:ascii="Calibri"/>
          <w:sz w:val="22"/>
        </w:rPr>
        <w:t>283-</w:t>
      </w:r>
      <w:r>
        <w:rPr>
          <w:rFonts w:ascii="Calibri"/>
          <w:spacing w:val="-4"/>
          <w:sz w:val="22"/>
        </w:rPr>
        <w:t>300.</w:t>
      </w:r>
    </w:p>
    <w:p>
      <w:pPr>
        <w:spacing w:before="0"/>
        <w:ind w:left="1700" w:right="1909" w:hanging="721"/>
        <w:jc w:val="left"/>
        <w:rPr>
          <w:rFonts w:ascii="Calibri"/>
          <w:sz w:val="22"/>
        </w:rPr>
      </w:pPr>
      <w:bookmarkStart w:name="_bookmark402" w:id="403"/>
      <w:bookmarkEnd w:id="403"/>
      <w:r>
        <w:rPr/>
      </w:r>
      <w:r>
        <w:rPr>
          <w:rFonts w:ascii="Calibri"/>
          <w:sz w:val="22"/>
        </w:rPr>
        <w:t>Stoker,</w:t>
      </w:r>
      <w:r>
        <w:rPr>
          <w:rFonts w:ascii="Calibri"/>
          <w:spacing w:val="40"/>
          <w:sz w:val="22"/>
        </w:rPr>
        <w:t> </w:t>
      </w:r>
      <w:r>
        <w:rPr>
          <w:rFonts w:ascii="Calibri"/>
          <w:sz w:val="22"/>
        </w:rPr>
        <w:t>G.</w:t>
      </w:r>
      <w:r>
        <w:rPr>
          <w:rFonts w:ascii="Calibri"/>
          <w:spacing w:val="40"/>
          <w:sz w:val="22"/>
        </w:rPr>
        <w:t> </w:t>
      </w:r>
      <w:r>
        <w:rPr>
          <w:rFonts w:ascii="Calibri"/>
          <w:sz w:val="22"/>
        </w:rPr>
        <w:t>(1998).</w:t>
      </w:r>
      <w:r>
        <w:rPr>
          <w:rFonts w:ascii="Calibri"/>
          <w:spacing w:val="40"/>
          <w:sz w:val="22"/>
        </w:rPr>
        <w:t> </w:t>
      </w:r>
      <w:r>
        <w:rPr>
          <w:rFonts w:ascii="Calibri"/>
          <w:sz w:val="22"/>
        </w:rPr>
        <w:t>Governance</w:t>
      </w:r>
      <w:r>
        <w:rPr>
          <w:rFonts w:ascii="Calibri"/>
          <w:spacing w:val="40"/>
          <w:sz w:val="22"/>
        </w:rPr>
        <w:t> </w:t>
      </w:r>
      <w:r>
        <w:rPr>
          <w:rFonts w:ascii="Calibri"/>
          <w:sz w:val="22"/>
        </w:rPr>
        <w:t>as</w:t>
      </w:r>
      <w:r>
        <w:rPr>
          <w:rFonts w:ascii="Calibri"/>
          <w:spacing w:val="40"/>
          <w:sz w:val="22"/>
        </w:rPr>
        <w:t> </w:t>
      </w:r>
      <w:r>
        <w:rPr>
          <w:rFonts w:ascii="Calibri"/>
          <w:sz w:val="22"/>
        </w:rPr>
        <w:t>theory:</w:t>
      </w:r>
      <w:r>
        <w:rPr>
          <w:rFonts w:ascii="Calibri"/>
          <w:spacing w:val="40"/>
          <w:sz w:val="22"/>
        </w:rPr>
        <w:t> </w:t>
      </w:r>
      <w:r>
        <w:rPr>
          <w:rFonts w:ascii="Calibri"/>
          <w:sz w:val="22"/>
        </w:rPr>
        <w:t>five</w:t>
      </w:r>
      <w:r>
        <w:rPr>
          <w:rFonts w:ascii="Calibri"/>
          <w:spacing w:val="40"/>
          <w:sz w:val="22"/>
        </w:rPr>
        <w:t> </w:t>
      </w:r>
      <w:r>
        <w:rPr>
          <w:rFonts w:ascii="Calibri"/>
          <w:sz w:val="22"/>
        </w:rPr>
        <w:t>propositions.</w:t>
      </w:r>
      <w:r>
        <w:rPr>
          <w:rFonts w:ascii="Calibri"/>
          <w:spacing w:val="40"/>
          <w:sz w:val="22"/>
        </w:rPr>
        <w:t> </w:t>
      </w:r>
      <w:r>
        <w:rPr>
          <w:rFonts w:ascii="Calibri"/>
          <w:i/>
          <w:sz w:val="22"/>
        </w:rPr>
        <w:t>International</w:t>
      </w:r>
      <w:r>
        <w:rPr>
          <w:rFonts w:ascii="Calibri"/>
          <w:i/>
          <w:spacing w:val="40"/>
          <w:sz w:val="22"/>
        </w:rPr>
        <w:t> </w:t>
      </w:r>
      <w:r>
        <w:rPr>
          <w:rFonts w:ascii="Calibri"/>
          <w:i/>
          <w:sz w:val="22"/>
        </w:rPr>
        <w:t>Social</w:t>
      </w:r>
      <w:r>
        <w:rPr>
          <w:rFonts w:ascii="Calibri"/>
          <w:i/>
          <w:spacing w:val="40"/>
          <w:sz w:val="22"/>
        </w:rPr>
        <w:t> </w:t>
      </w:r>
      <w:r>
        <w:rPr>
          <w:rFonts w:ascii="Calibri"/>
          <w:i/>
          <w:sz w:val="22"/>
        </w:rPr>
        <w:t>Science Journal, 50</w:t>
      </w:r>
      <w:r>
        <w:rPr>
          <w:rFonts w:ascii="Calibri"/>
          <w:sz w:val="22"/>
        </w:rPr>
        <w:t>(155), 17-28. doi: 10.1111/1468-2451.00106</w:t>
      </w:r>
    </w:p>
    <w:p>
      <w:pPr>
        <w:spacing w:before="1"/>
        <w:ind w:left="1700" w:right="1909" w:hanging="721"/>
        <w:jc w:val="left"/>
        <w:rPr>
          <w:rFonts w:ascii="Calibri"/>
          <w:sz w:val="22"/>
        </w:rPr>
      </w:pPr>
      <w:bookmarkStart w:name="_bookmark403" w:id="404"/>
      <w:bookmarkEnd w:id="404"/>
      <w:r>
        <w:rPr/>
      </w:r>
      <w:r>
        <w:rPr>
          <w:rFonts w:ascii="Calibri"/>
          <w:sz w:val="22"/>
        </w:rPr>
        <w:t>Stone</w:t>
      </w:r>
      <w:r>
        <w:rPr>
          <w:rFonts w:ascii="Calibri"/>
          <w:spacing w:val="80"/>
          <w:sz w:val="22"/>
        </w:rPr>
        <w:t> </w:t>
      </w:r>
      <w:r>
        <w:rPr>
          <w:rFonts w:ascii="Calibri"/>
          <w:sz w:val="22"/>
        </w:rPr>
        <w:t>Sweet,</w:t>
      </w:r>
      <w:r>
        <w:rPr>
          <w:rFonts w:ascii="Calibri"/>
          <w:spacing w:val="77"/>
          <w:sz w:val="22"/>
        </w:rPr>
        <w:t> </w:t>
      </w:r>
      <w:r>
        <w:rPr>
          <w:rFonts w:ascii="Calibri"/>
          <w:sz w:val="22"/>
        </w:rPr>
        <w:t>A.</w:t>
      </w:r>
      <w:r>
        <w:rPr>
          <w:rFonts w:ascii="Calibri"/>
          <w:spacing w:val="80"/>
          <w:sz w:val="22"/>
        </w:rPr>
        <w:t> </w:t>
      </w:r>
      <w:r>
        <w:rPr>
          <w:rFonts w:ascii="Calibri"/>
          <w:sz w:val="22"/>
        </w:rPr>
        <w:t>(1999).</w:t>
      </w:r>
      <w:r>
        <w:rPr>
          <w:rFonts w:ascii="Calibri"/>
          <w:spacing w:val="80"/>
          <w:sz w:val="22"/>
        </w:rPr>
        <w:t> </w:t>
      </w:r>
      <w:r>
        <w:rPr>
          <w:rFonts w:ascii="Calibri"/>
          <w:sz w:val="22"/>
        </w:rPr>
        <w:t>Judicialization</w:t>
      </w:r>
      <w:r>
        <w:rPr>
          <w:rFonts w:ascii="Calibri"/>
          <w:spacing w:val="79"/>
          <w:sz w:val="22"/>
        </w:rPr>
        <w:t> </w:t>
      </w:r>
      <w:r>
        <w:rPr>
          <w:rFonts w:ascii="Calibri"/>
          <w:sz w:val="22"/>
        </w:rPr>
        <w:t>and</w:t>
      </w:r>
      <w:r>
        <w:rPr>
          <w:rFonts w:ascii="Calibri"/>
          <w:spacing w:val="79"/>
          <w:sz w:val="22"/>
        </w:rPr>
        <w:t> </w:t>
      </w:r>
      <w:r>
        <w:rPr>
          <w:rFonts w:ascii="Calibri"/>
          <w:sz w:val="22"/>
        </w:rPr>
        <w:t>the</w:t>
      </w:r>
      <w:r>
        <w:rPr>
          <w:rFonts w:ascii="Calibri"/>
          <w:spacing w:val="75"/>
          <w:sz w:val="22"/>
        </w:rPr>
        <w:t> </w:t>
      </w:r>
      <w:r>
        <w:rPr>
          <w:rFonts w:ascii="Calibri"/>
          <w:sz w:val="22"/>
        </w:rPr>
        <w:t>Construction</w:t>
      </w:r>
      <w:r>
        <w:rPr>
          <w:rFonts w:ascii="Calibri"/>
          <w:spacing w:val="79"/>
          <w:sz w:val="22"/>
        </w:rPr>
        <w:t> </w:t>
      </w:r>
      <w:r>
        <w:rPr>
          <w:rFonts w:ascii="Calibri"/>
          <w:sz w:val="22"/>
        </w:rPr>
        <w:t>of</w:t>
      </w:r>
      <w:r>
        <w:rPr>
          <w:rFonts w:ascii="Calibri"/>
          <w:spacing w:val="79"/>
          <w:sz w:val="22"/>
        </w:rPr>
        <w:t> </w:t>
      </w:r>
      <w:r>
        <w:rPr>
          <w:rFonts w:ascii="Calibri"/>
          <w:sz w:val="22"/>
        </w:rPr>
        <w:t>Governance.</w:t>
      </w:r>
      <w:r>
        <w:rPr>
          <w:rFonts w:ascii="Calibri"/>
          <w:spacing w:val="80"/>
          <w:sz w:val="22"/>
        </w:rPr>
        <w:t> </w:t>
      </w:r>
      <w:r>
        <w:rPr>
          <w:rFonts w:ascii="Calibri"/>
          <w:i/>
          <w:sz w:val="22"/>
        </w:rPr>
        <w:t>Faculty Scholarship Series</w:t>
      </w:r>
      <w:r>
        <w:rPr>
          <w:rFonts w:ascii="Calibri"/>
          <w:sz w:val="22"/>
        </w:rPr>
        <w:t>(75).</w:t>
      </w:r>
    </w:p>
    <w:p>
      <w:pPr>
        <w:spacing w:before="0"/>
        <w:ind w:left="1700" w:right="1909" w:hanging="721"/>
        <w:jc w:val="left"/>
        <w:rPr>
          <w:rFonts w:ascii="Calibri"/>
          <w:sz w:val="22"/>
        </w:rPr>
      </w:pPr>
      <w:bookmarkStart w:name="_bookmark404" w:id="405"/>
      <w:bookmarkEnd w:id="405"/>
      <w:r>
        <w:rPr/>
      </w:r>
      <w:r>
        <w:rPr>
          <w:rFonts w:ascii="Calibri"/>
          <w:sz w:val="22"/>
        </w:rPr>
        <w:t>Stone</w:t>
      </w:r>
      <w:r>
        <w:rPr>
          <w:rFonts w:ascii="Calibri"/>
          <w:spacing w:val="67"/>
          <w:sz w:val="22"/>
        </w:rPr>
        <w:t> </w:t>
      </w:r>
      <w:r>
        <w:rPr>
          <w:rFonts w:ascii="Calibri"/>
          <w:sz w:val="22"/>
        </w:rPr>
        <w:t>Sweet,</w:t>
      </w:r>
      <w:r>
        <w:rPr>
          <w:rFonts w:ascii="Calibri"/>
          <w:spacing w:val="69"/>
          <w:sz w:val="22"/>
        </w:rPr>
        <w:t> </w:t>
      </w:r>
      <w:r>
        <w:rPr>
          <w:rFonts w:ascii="Calibri"/>
          <w:sz w:val="22"/>
        </w:rPr>
        <w:t>A.</w:t>
      </w:r>
      <w:r>
        <w:rPr>
          <w:rFonts w:ascii="Calibri"/>
          <w:spacing w:val="68"/>
          <w:sz w:val="22"/>
        </w:rPr>
        <w:t> </w:t>
      </w:r>
      <w:r>
        <w:rPr>
          <w:rFonts w:ascii="Calibri"/>
          <w:sz w:val="22"/>
        </w:rPr>
        <w:t>(2010).</w:t>
      </w:r>
      <w:r>
        <w:rPr>
          <w:rFonts w:ascii="Calibri"/>
          <w:spacing w:val="69"/>
          <w:sz w:val="22"/>
        </w:rPr>
        <w:t> </w:t>
      </w:r>
      <w:r>
        <w:rPr>
          <w:rFonts w:ascii="Calibri"/>
          <w:sz w:val="22"/>
        </w:rPr>
        <w:t>The</w:t>
      </w:r>
      <w:r>
        <w:rPr>
          <w:rFonts w:ascii="Calibri"/>
          <w:spacing w:val="72"/>
          <w:sz w:val="22"/>
        </w:rPr>
        <w:t> </w:t>
      </w:r>
      <w:r>
        <w:rPr>
          <w:rFonts w:ascii="Calibri"/>
          <w:sz w:val="22"/>
        </w:rPr>
        <w:t>European</w:t>
      </w:r>
      <w:r>
        <w:rPr>
          <w:rFonts w:ascii="Calibri"/>
          <w:spacing w:val="71"/>
          <w:sz w:val="22"/>
        </w:rPr>
        <w:t> </w:t>
      </w:r>
      <w:r>
        <w:rPr>
          <w:rFonts w:ascii="Calibri"/>
          <w:sz w:val="22"/>
        </w:rPr>
        <w:t>Court</w:t>
      </w:r>
      <w:r>
        <w:rPr>
          <w:rFonts w:ascii="Calibri"/>
          <w:spacing w:val="65"/>
          <w:sz w:val="22"/>
        </w:rPr>
        <w:t> </w:t>
      </w:r>
      <w:r>
        <w:rPr>
          <w:rFonts w:ascii="Calibri"/>
          <w:sz w:val="22"/>
        </w:rPr>
        <w:t>of</w:t>
      </w:r>
      <w:r>
        <w:rPr>
          <w:rFonts w:ascii="Calibri"/>
          <w:spacing w:val="71"/>
          <w:sz w:val="22"/>
        </w:rPr>
        <w:t> </w:t>
      </w:r>
      <w:r>
        <w:rPr>
          <w:rFonts w:ascii="Calibri"/>
          <w:sz w:val="22"/>
        </w:rPr>
        <w:t>Justice</w:t>
      </w:r>
      <w:r>
        <w:rPr>
          <w:rFonts w:ascii="Calibri"/>
          <w:spacing w:val="67"/>
          <w:sz w:val="22"/>
        </w:rPr>
        <w:t> </w:t>
      </w:r>
      <w:r>
        <w:rPr>
          <w:rFonts w:ascii="Calibri"/>
          <w:sz w:val="22"/>
        </w:rPr>
        <w:t>and</w:t>
      </w:r>
      <w:r>
        <w:rPr>
          <w:rFonts w:ascii="Calibri"/>
          <w:spacing w:val="66"/>
          <w:sz w:val="22"/>
        </w:rPr>
        <w:t> </w:t>
      </w:r>
      <w:r>
        <w:rPr>
          <w:rFonts w:ascii="Calibri"/>
          <w:sz w:val="22"/>
        </w:rPr>
        <w:t>the</w:t>
      </w:r>
      <w:r>
        <w:rPr>
          <w:rFonts w:ascii="Calibri"/>
          <w:spacing w:val="67"/>
          <w:sz w:val="22"/>
        </w:rPr>
        <w:t> </w:t>
      </w:r>
      <w:r>
        <w:rPr>
          <w:rFonts w:ascii="Calibri"/>
          <w:sz w:val="22"/>
        </w:rPr>
        <w:t>Judicalization</w:t>
      </w:r>
      <w:r>
        <w:rPr>
          <w:rFonts w:ascii="Calibri"/>
          <w:spacing w:val="66"/>
          <w:sz w:val="22"/>
        </w:rPr>
        <w:t> </w:t>
      </w:r>
      <w:r>
        <w:rPr>
          <w:rFonts w:ascii="Calibri"/>
          <w:sz w:val="22"/>
        </w:rPr>
        <w:t>of</w:t>
      </w:r>
      <w:r>
        <w:rPr>
          <w:rFonts w:ascii="Calibri"/>
          <w:spacing w:val="67"/>
          <w:sz w:val="22"/>
        </w:rPr>
        <w:t> </w:t>
      </w:r>
      <w:r>
        <w:rPr>
          <w:rFonts w:ascii="Calibri"/>
          <w:sz w:val="22"/>
        </w:rPr>
        <w:t>EU Governance. </w:t>
      </w:r>
      <w:r>
        <w:rPr>
          <w:rFonts w:ascii="Calibri"/>
          <w:i/>
          <w:sz w:val="22"/>
        </w:rPr>
        <w:t>Faculty Scholarship Series</w:t>
      </w:r>
      <w:r>
        <w:rPr>
          <w:rFonts w:ascii="Calibri"/>
          <w:sz w:val="22"/>
        </w:rPr>
        <w:t>(70).</w:t>
      </w:r>
    </w:p>
    <w:p>
      <w:pPr>
        <w:spacing w:before="1"/>
        <w:ind w:left="979" w:right="0" w:firstLine="0"/>
        <w:jc w:val="left"/>
        <w:rPr>
          <w:rFonts w:ascii="Calibri"/>
          <w:sz w:val="22"/>
        </w:rPr>
      </w:pPr>
      <w:bookmarkStart w:name="_bookmark405" w:id="406"/>
      <w:bookmarkEnd w:id="406"/>
      <w:r>
        <w:rPr/>
      </w:r>
      <w:r>
        <w:rPr>
          <w:rFonts w:ascii="Calibri"/>
          <w:sz w:val="22"/>
        </w:rPr>
        <w:t>Stroud,</w:t>
      </w:r>
      <w:r>
        <w:rPr>
          <w:rFonts w:ascii="Calibri"/>
          <w:spacing w:val="57"/>
          <w:sz w:val="22"/>
        </w:rPr>
        <w:t> </w:t>
      </w:r>
      <w:r>
        <w:rPr>
          <w:rFonts w:ascii="Calibri"/>
          <w:sz w:val="22"/>
        </w:rPr>
        <w:t>B.</w:t>
      </w:r>
      <w:r>
        <w:rPr>
          <w:rFonts w:ascii="Calibri"/>
          <w:spacing w:val="63"/>
          <w:sz w:val="22"/>
        </w:rPr>
        <w:t> </w:t>
      </w:r>
      <w:r>
        <w:rPr>
          <w:rFonts w:ascii="Calibri"/>
          <w:sz w:val="22"/>
        </w:rPr>
        <w:t>(2011).</w:t>
      </w:r>
      <w:r>
        <w:rPr>
          <w:rFonts w:ascii="Calibri"/>
          <w:spacing w:val="64"/>
          <w:sz w:val="22"/>
        </w:rPr>
        <w:t> </w:t>
      </w:r>
      <w:r>
        <w:rPr>
          <w:rFonts w:ascii="Calibri"/>
          <w:sz w:val="22"/>
        </w:rPr>
        <w:t>Epistemology,</w:t>
      </w:r>
      <w:r>
        <w:rPr>
          <w:rFonts w:ascii="Calibri"/>
          <w:spacing w:val="59"/>
          <w:sz w:val="22"/>
        </w:rPr>
        <w:t> </w:t>
      </w:r>
      <w:r>
        <w:rPr>
          <w:rFonts w:ascii="Calibri"/>
          <w:sz w:val="22"/>
        </w:rPr>
        <w:t>the</w:t>
      </w:r>
      <w:r>
        <w:rPr>
          <w:rFonts w:ascii="Calibri"/>
          <w:spacing w:val="63"/>
          <w:sz w:val="22"/>
        </w:rPr>
        <w:t> </w:t>
      </w:r>
      <w:r>
        <w:rPr>
          <w:rFonts w:ascii="Calibri"/>
          <w:sz w:val="22"/>
        </w:rPr>
        <w:t>History</w:t>
      </w:r>
      <w:r>
        <w:rPr>
          <w:rFonts w:ascii="Calibri"/>
          <w:spacing w:val="62"/>
          <w:sz w:val="22"/>
        </w:rPr>
        <w:t> </w:t>
      </w:r>
      <w:r>
        <w:rPr>
          <w:rFonts w:ascii="Calibri"/>
          <w:sz w:val="22"/>
        </w:rPr>
        <w:t>of</w:t>
      </w:r>
      <w:r>
        <w:rPr>
          <w:rFonts w:ascii="Calibri"/>
          <w:spacing w:val="62"/>
          <w:sz w:val="22"/>
        </w:rPr>
        <w:t> </w:t>
      </w:r>
      <w:r>
        <w:rPr>
          <w:rFonts w:ascii="Calibri"/>
          <w:sz w:val="22"/>
        </w:rPr>
        <w:t>Epistemology,</w:t>
      </w:r>
      <w:r>
        <w:rPr>
          <w:rFonts w:ascii="Calibri"/>
          <w:spacing w:val="59"/>
          <w:sz w:val="22"/>
        </w:rPr>
        <w:t> </w:t>
      </w:r>
      <w:r>
        <w:rPr>
          <w:rFonts w:ascii="Calibri"/>
          <w:sz w:val="22"/>
        </w:rPr>
        <w:t>Historical</w:t>
      </w:r>
      <w:r>
        <w:rPr>
          <w:rFonts w:ascii="Calibri"/>
          <w:spacing w:val="65"/>
          <w:sz w:val="22"/>
        </w:rPr>
        <w:t> </w:t>
      </w:r>
      <w:r>
        <w:rPr>
          <w:rFonts w:ascii="Calibri"/>
          <w:spacing w:val="-2"/>
          <w:sz w:val="22"/>
        </w:rPr>
        <w:t>Epistemology.</w:t>
      </w:r>
    </w:p>
    <w:p>
      <w:pPr>
        <w:spacing w:before="0"/>
        <w:ind w:left="1700" w:right="0" w:firstLine="0"/>
        <w:jc w:val="left"/>
        <w:rPr>
          <w:rFonts w:ascii="Calibri"/>
          <w:sz w:val="22"/>
        </w:rPr>
      </w:pPr>
      <w:r>
        <w:rPr>
          <w:rFonts w:ascii="Calibri"/>
          <w:i/>
          <w:sz w:val="22"/>
        </w:rPr>
        <w:t>Erkenntnis</w:t>
      </w:r>
      <w:r>
        <w:rPr>
          <w:rFonts w:ascii="Calibri"/>
          <w:i/>
          <w:spacing w:val="-8"/>
          <w:sz w:val="22"/>
        </w:rPr>
        <w:t> </w:t>
      </w:r>
      <w:r>
        <w:rPr>
          <w:rFonts w:ascii="Calibri"/>
          <w:i/>
          <w:sz w:val="22"/>
        </w:rPr>
        <w:t>(1975-),</w:t>
      </w:r>
      <w:r>
        <w:rPr>
          <w:rFonts w:ascii="Calibri"/>
          <w:i/>
          <w:spacing w:val="-9"/>
          <w:sz w:val="22"/>
        </w:rPr>
        <w:t> </w:t>
      </w:r>
      <w:r>
        <w:rPr>
          <w:rFonts w:ascii="Calibri"/>
          <w:i/>
          <w:sz w:val="22"/>
        </w:rPr>
        <w:t>75</w:t>
      </w:r>
      <w:r>
        <w:rPr>
          <w:rFonts w:ascii="Calibri"/>
          <w:sz w:val="22"/>
        </w:rPr>
        <w:t>(3),</w:t>
      </w:r>
      <w:r>
        <w:rPr>
          <w:rFonts w:ascii="Calibri"/>
          <w:spacing w:val="-5"/>
          <w:sz w:val="22"/>
        </w:rPr>
        <w:t> </w:t>
      </w:r>
      <w:r>
        <w:rPr>
          <w:rFonts w:ascii="Calibri"/>
          <w:sz w:val="22"/>
        </w:rPr>
        <w:t>495-503.</w:t>
      </w:r>
      <w:r>
        <w:rPr>
          <w:rFonts w:ascii="Calibri"/>
          <w:spacing w:val="-6"/>
          <w:sz w:val="22"/>
        </w:rPr>
        <w:t> </w:t>
      </w:r>
      <w:r>
        <w:rPr>
          <w:rFonts w:ascii="Calibri"/>
          <w:sz w:val="22"/>
        </w:rPr>
        <w:t>doi:</w:t>
      </w:r>
      <w:r>
        <w:rPr>
          <w:rFonts w:ascii="Calibri"/>
          <w:spacing w:val="-9"/>
          <w:sz w:val="22"/>
        </w:rPr>
        <w:t> </w:t>
      </w:r>
      <w:r>
        <w:rPr>
          <w:rFonts w:ascii="Calibri"/>
          <w:spacing w:val="-2"/>
          <w:sz w:val="22"/>
        </w:rPr>
        <w:t>10.2307/41476736</w:t>
      </w:r>
    </w:p>
    <w:p>
      <w:pPr>
        <w:spacing w:before="1"/>
        <w:ind w:left="1700" w:right="1909" w:hanging="721"/>
        <w:jc w:val="left"/>
        <w:rPr>
          <w:rFonts w:ascii="Calibri"/>
          <w:sz w:val="22"/>
        </w:rPr>
      </w:pPr>
      <w:bookmarkStart w:name="_bookmark406" w:id="407"/>
      <w:bookmarkEnd w:id="407"/>
      <w:r>
        <w:rPr/>
      </w:r>
      <w:r>
        <w:rPr>
          <w:rFonts w:ascii="Calibri"/>
          <w:sz w:val="22"/>
        </w:rPr>
        <w:t>Suchman,</w:t>
      </w:r>
      <w:r>
        <w:rPr>
          <w:rFonts w:ascii="Calibri"/>
          <w:spacing w:val="25"/>
          <w:sz w:val="22"/>
        </w:rPr>
        <w:t> </w:t>
      </w:r>
      <w:r>
        <w:rPr>
          <w:rFonts w:ascii="Calibri"/>
          <w:sz w:val="22"/>
        </w:rPr>
        <w:t>M.</w:t>
      </w:r>
      <w:r>
        <w:rPr>
          <w:rFonts w:ascii="Calibri"/>
          <w:spacing w:val="28"/>
          <w:sz w:val="22"/>
        </w:rPr>
        <w:t> </w:t>
      </w:r>
      <w:r>
        <w:rPr>
          <w:rFonts w:ascii="Calibri"/>
          <w:sz w:val="22"/>
        </w:rPr>
        <w:t>C.</w:t>
      </w:r>
      <w:r>
        <w:rPr>
          <w:rFonts w:ascii="Calibri"/>
          <w:spacing w:val="25"/>
          <w:sz w:val="22"/>
        </w:rPr>
        <w:t> </w:t>
      </w:r>
      <w:r>
        <w:rPr>
          <w:rFonts w:ascii="Calibri"/>
          <w:sz w:val="22"/>
        </w:rPr>
        <w:t>(1995).</w:t>
      </w:r>
      <w:r>
        <w:rPr>
          <w:rFonts w:ascii="Calibri"/>
          <w:spacing w:val="28"/>
          <w:sz w:val="22"/>
        </w:rPr>
        <w:t> </w:t>
      </w:r>
      <w:r>
        <w:rPr>
          <w:rFonts w:ascii="Calibri"/>
          <w:sz w:val="22"/>
        </w:rPr>
        <w:t>Managing</w:t>
      </w:r>
      <w:r>
        <w:rPr>
          <w:rFonts w:ascii="Calibri"/>
          <w:spacing w:val="24"/>
          <w:sz w:val="22"/>
        </w:rPr>
        <w:t> </w:t>
      </w:r>
      <w:r>
        <w:rPr>
          <w:rFonts w:ascii="Calibri"/>
          <w:sz w:val="22"/>
        </w:rPr>
        <w:t>Legitimacy:</w:t>
      </w:r>
      <w:r>
        <w:rPr>
          <w:rFonts w:ascii="Calibri"/>
          <w:spacing w:val="26"/>
          <w:sz w:val="22"/>
        </w:rPr>
        <w:t> </w:t>
      </w:r>
      <w:r>
        <w:rPr>
          <w:rFonts w:ascii="Calibri"/>
          <w:sz w:val="22"/>
        </w:rPr>
        <w:t>Strategic</w:t>
      </w:r>
      <w:r>
        <w:rPr>
          <w:rFonts w:ascii="Calibri"/>
          <w:spacing w:val="25"/>
          <w:sz w:val="22"/>
        </w:rPr>
        <w:t> </w:t>
      </w:r>
      <w:r>
        <w:rPr>
          <w:rFonts w:ascii="Calibri"/>
          <w:sz w:val="22"/>
        </w:rPr>
        <w:t>and Institutional</w:t>
      </w:r>
      <w:r>
        <w:rPr>
          <w:rFonts w:ascii="Calibri"/>
          <w:spacing w:val="24"/>
          <w:sz w:val="22"/>
        </w:rPr>
        <w:t> </w:t>
      </w:r>
      <w:r>
        <w:rPr>
          <w:rFonts w:ascii="Calibri"/>
          <w:sz w:val="22"/>
        </w:rPr>
        <w:t>Approaches.</w:t>
      </w:r>
      <w:r>
        <w:rPr>
          <w:rFonts w:ascii="Calibri"/>
          <w:spacing w:val="37"/>
          <w:sz w:val="22"/>
        </w:rPr>
        <w:t> </w:t>
      </w:r>
      <w:r>
        <w:rPr>
          <w:rFonts w:ascii="Calibri"/>
          <w:i/>
          <w:sz w:val="22"/>
        </w:rPr>
        <w:t>The Academy of Management Review, 20</w:t>
      </w:r>
      <w:r>
        <w:rPr>
          <w:rFonts w:ascii="Calibri"/>
          <w:sz w:val="22"/>
        </w:rPr>
        <w:t>(3), 571-610. doi: 10.2307/258788</w:t>
      </w:r>
    </w:p>
    <w:p>
      <w:pPr>
        <w:spacing w:before="1"/>
        <w:ind w:left="1700" w:right="1909" w:hanging="721"/>
        <w:jc w:val="left"/>
        <w:rPr>
          <w:rFonts w:ascii="Calibri"/>
          <w:sz w:val="22"/>
        </w:rPr>
      </w:pPr>
      <w:bookmarkStart w:name="_bookmark407" w:id="408"/>
      <w:bookmarkEnd w:id="408"/>
      <w:r>
        <w:rPr/>
      </w:r>
      <w:r>
        <w:rPr>
          <w:rFonts w:ascii="Calibri"/>
          <w:sz w:val="22"/>
        </w:rPr>
        <w:t>Teubner,</w:t>
      </w:r>
      <w:r>
        <w:rPr>
          <w:rFonts w:ascii="Calibri"/>
          <w:spacing w:val="33"/>
          <w:sz w:val="22"/>
        </w:rPr>
        <w:t> </w:t>
      </w:r>
      <w:r>
        <w:rPr>
          <w:rFonts w:ascii="Calibri"/>
          <w:sz w:val="22"/>
        </w:rPr>
        <w:t>G.</w:t>
      </w:r>
      <w:r>
        <w:rPr>
          <w:rFonts w:ascii="Calibri"/>
          <w:spacing w:val="37"/>
          <w:sz w:val="22"/>
        </w:rPr>
        <w:t> </w:t>
      </w:r>
      <w:r>
        <w:rPr>
          <w:rFonts w:ascii="Calibri"/>
          <w:sz w:val="22"/>
        </w:rPr>
        <w:t>(1984).</w:t>
      </w:r>
      <w:r>
        <w:rPr>
          <w:rFonts w:ascii="Calibri"/>
          <w:spacing w:val="37"/>
          <w:sz w:val="22"/>
        </w:rPr>
        <w:t> </w:t>
      </w:r>
      <w:r>
        <w:rPr>
          <w:rFonts w:ascii="Calibri"/>
          <w:sz w:val="22"/>
        </w:rPr>
        <w:t>Autopoiesis</w:t>
      </w:r>
      <w:r>
        <w:rPr>
          <w:rFonts w:ascii="Calibri"/>
          <w:spacing w:val="35"/>
          <w:sz w:val="22"/>
        </w:rPr>
        <w:t> </w:t>
      </w:r>
      <w:r>
        <w:rPr>
          <w:rFonts w:ascii="Calibri"/>
          <w:sz w:val="22"/>
        </w:rPr>
        <w:t>in</w:t>
      </w:r>
      <w:r>
        <w:rPr>
          <w:rFonts w:ascii="Calibri"/>
          <w:spacing w:val="34"/>
          <w:sz w:val="22"/>
        </w:rPr>
        <w:t> </w:t>
      </w:r>
      <w:r>
        <w:rPr>
          <w:rFonts w:ascii="Calibri"/>
          <w:sz w:val="22"/>
        </w:rPr>
        <w:t>Law</w:t>
      </w:r>
      <w:r>
        <w:rPr>
          <w:rFonts w:ascii="Calibri"/>
          <w:spacing w:val="36"/>
          <w:sz w:val="22"/>
        </w:rPr>
        <w:t> </w:t>
      </w:r>
      <w:r>
        <w:rPr>
          <w:rFonts w:ascii="Calibri"/>
          <w:sz w:val="22"/>
        </w:rPr>
        <w:t>and</w:t>
      </w:r>
      <w:r>
        <w:rPr>
          <w:rFonts w:ascii="Calibri"/>
          <w:spacing w:val="34"/>
          <w:sz w:val="22"/>
        </w:rPr>
        <w:t> </w:t>
      </w:r>
      <w:r>
        <w:rPr>
          <w:rFonts w:ascii="Calibri"/>
          <w:sz w:val="22"/>
        </w:rPr>
        <w:t>Society:</w:t>
      </w:r>
      <w:r>
        <w:rPr>
          <w:rFonts w:ascii="Calibri"/>
          <w:spacing w:val="38"/>
          <w:sz w:val="22"/>
        </w:rPr>
        <w:t> </w:t>
      </w:r>
      <w:r>
        <w:rPr>
          <w:rFonts w:ascii="Calibri"/>
          <w:sz w:val="22"/>
        </w:rPr>
        <w:t>A</w:t>
      </w:r>
      <w:r>
        <w:rPr>
          <w:rFonts w:ascii="Calibri"/>
          <w:spacing w:val="37"/>
          <w:sz w:val="22"/>
        </w:rPr>
        <w:t> </w:t>
      </w:r>
      <w:r>
        <w:rPr>
          <w:rFonts w:ascii="Calibri"/>
          <w:sz w:val="22"/>
        </w:rPr>
        <w:t>Rejoinder</w:t>
      </w:r>
      <w:r>
        <w:rPr>
          <w:rFonts w:ascii="Calibri"/>
          <w:spacing w:val="35"/>
          <w:sz w:val="22"/>
        </w:rPr>
        <w:t> </w:t>
      </w:r>
      <w:r>
        <w:rPr>
          <w:rFonts w:ascii="Calibri"/>
          <w:sz w:val="22"/>
        </w:rPr>
        <w:t>to</w:t>
      </w:r>
      <w:r>
        <w:rPr>
          <w:rFonts w:ascii="Calibri"/>
          <w:spacing w:val="34"/>
          <w:sz w:val="22"/>
        </w:rPr>
        <w:t> </w:t>
      </w:r>
      <w:r>
        <w:rPr>
          <w:rFonts w:ascii="Calibri"/>
          <w:sz w:val="22"/>
        </w:rPr>
        <w:t>Blankenburg.</w:t>
      </w:r>
      <w:r>
        <w:rPr>
          <w:rFonts w:ascii="Calibri"/>
          <w:spacing w:val="40"/>
          <w:sz w:val="22"/>
        </w:rPr>
        <w:t> </w:t>
      </w:r>
      <w:r>
        <w:rPr>
          <w:rFonts w:ascii="Calibri"/>
          <w:i/>
          <w:sz w:val="22"/>
        </w:rPr>
        <w:t>Law</w:t>
      </w:r>
      <w:r>
        <w:rPr>
          <w:rFonts w:ascii="Calibri"/>
          <w:i/>
          <w:spacing w:val="36"/>
          <w:sz w:val="22"/>
        </w:rPr>
        <w:t> </w:t>
      </w:r>
      <w:r>
        <w:rPr>
          <w:rFonts w:ascii="Calibri"/>
          <w:i/>
          <w:sz w:val="22"/>
        </w:rPr>
        <w:t>&amp; Society Review, 18</w:t>
      </w:r>
      <w:r>
        <w:rPr>
          <w:rFonts w:ascii="Calibri"/>
          <w:sz w:val="22"/>
        </w:rPr>
        <w:t>(2), 291-301. doi: 10.2307/3053406</w:t>
      </w:r>
    </w:p>
    <w:p>
      <w:pPr>
        <w:spacing w:before="0"/>
        <w:ind w:left="1700" w:right="1909" w:hanging="721"/>
        <w:jc w:val="left"/>
        <w:rPr>
          <w:rFonts w:ascii="Calibri"/>
          <w:sz w:val="22"/>
        </w:rPr>
      </w:pPr>
      <w:bookmarkStart w:name="_bookmark408" w:id="409"/>
      <w:bookmarkEnd w:id="409"/>
      <w:r>
        <w:rPr/>
      </w:r>
      <w:r>
        <w:rPr>
          <w:rFonts w:ascii="Calibri"/>
          <w:sz w:val="22"/>
        </w:rPr>
        <w:t>Teubner,</w:t>
      </w:r>
      <w:r>
        <w:rPr>
          <w:rFonts w:ascii="Calibri"/>
          <w:spacing w:val="40"/>
          <w:sz w:val="22"/>
        </w:rPr>
        <w:t> </w:t>
      </w:r>
      <w:r>
        <w:rPr>
          <w:rFonts w:ascii="Calibri"/>
          <w:sz w:val="22"/>
        </w:rPr>
        <w:t>G.,</w:t>
      </w:r>
      <w:r>
        <w:rPr>
          <w:rFonts w:ascii="Calibri"/>
          <w:spacing w:val="40"/>
          <w:sz w:val="22"/>
        </w:rPr>
        <w:t> </w:t>
      </w:r>
      <w:r>
        <w:rPr>
          <w:rFonts w:ascii="Calibri"/>
          <w:sz w:val="22"/>
        </w:rPr>
        <w:t>&amp;</w:t>
      </w:r>
      <w:r>
        <w:rPr>
          <w:rFonts w:ascii="Calibri"/>
          <w:spacing w:val="40"/>
          <w:sz w:val="22"/>
        </w:rPr>
        <w:t> </w:t>
      </w:r>
      <w:r>
        <w:rPr>
          <w:rFonts w:ascii="Calibri"/>
          <w:sz w:val="22"/>
        </w:rPr>
        <w:t>Febbrajo,</w:t>
      </w:r>
      <w:r>
        <w:rPr>
          <w:rFonts w:ascii="Calibri"/>
          <w:spacing w:val="40"/>
          <w:sz w:val="22"/>
        </w:rPr>
        <w:t> </w:t>
      </w:r>
      <w:r>
        <w:rPr>
          <w:rFonts w:ascii="Calibri"/>
          <w:sz w:val="22"/>
        </w:rPr>
        <w:t>A.</w:t>
      </w:r>
      <w:r>
        <w:rPr>
          <w:rFonts w:ascii="Calibri"/>
          <w:spacing w:val="40"/>
          <w:sz w:val="22"/>
        </w:rPr>
        <w:t> </w:t>
      </w:r>
      <w:r>
        <w:rPr>
          <w:rFonts w:ascii="Calibri"/>
          <w:sz w:val="22"/>
        </w:rPr>
        <w:t>(1992).</w:t>
      </w:r>
      <w:r>
        <w:rPr>
          <w:rFonts w:ascii="Calibri"/>
          <w:spacing w:val="40"/>
          <w:sz w:val="22"/>
        </w:rPr>
        <w:t> </w:t>
      </w:r>
      <w:r>
        <w:rPr>
          <w:rFonts w:ascii="Calibri"/>
          <w:sz w:val="22"/>
        </w:rPr>
        <w:t>State,</w:t>
      </w:r>
      <w:r>
        <w:rPr>
          <w:rFonts w:ascii="Calibri"/>
          <w:spacing w:val="40"/>
          <w:sz w:val="22"/>
        </w:rPr>
        <w:t> </w:t>
      </w:r>
      <w:r>
        <w:rPr>
          <w:rFonts w:ascii="Calibri"/>
          <w:sz w:val="22"/>
        </w:rPr>
        <w:t>Law</w:t>
      </w:r>
      <w:r>
        <w:rPr>
          <w:rFonts w:ascii="Calibri"/>
          <w:spacing w:val="40"/>
          <w:sz w:val="22"/>
        </w:rPr>
        <w:t> </w:t>
      </w:r>
      <w:r>
        <w:rPr>
          <w:rFonts w:ascii="Calibri"/>
          <w:sz w:val="22"/>
        </w:rPr>
        <w:t>and</w:t>
      </w:r>
      <w:r>
        <w:rPr>
          <w:rFonts w:ascii="Calibri"/>
          <w:spacing w:val="40"/>
          <w:sz w:val="22"/>
        </w:rPr>
        <w:t> </w:t>
      </w:r>
      <w:r>
        <w:rPr>
          <w:rFonts w:ascii="Calibri"/>
          <w:sz w:val="22"/>
        </w:rPr>
        <w:t>Economy</w:t>
      </w:r>
      <w:r>
        <w:rPr>
          <w:rFonts w:ascii="Calibri"/>
          <w:spacing w:val="40"/>
          <w:sz w:val="22"/>
        </w:rPr>
        <w:t> </w:t>
      </w:r>
      <w:r>
        <w:rPr>
          <w:rFonts w:ascii="Calibri"/>
          <w:sz w:val="22"/>
        </w:rPr>
        <w:t>As</w:t>
      </w:r>
      <w:r>
        <w:rPr>
          <w:rFonts w:ascii="Calibri"/>
          <w:spacing w:val="40"/>
          <w:sz w:val="22"/>
        </w:rPr>
        <w:t> </w:t>
      </w:r>
      <w:r>
        <w:rPr>
          <w:rFonts w:ascii="Calibri"/>
          <w:sz w:val="22"/>
        </w:rPr>
        <w:t>Autopoietic</w:t>
      </w:r>
      <w:r>
        <w:rPr>
          <w:rFonts w:ascii="Calibri"/>
          <w:spacing w:val="40"/>
          <w:sz w:val="22"/>
        </w:rPr>
        <w:t> </w:t>
      </w:r>
      <w:r>
        <w:rPr>
          <w:rFonts w:ascii="Calibri"/>
          <w:sz w:val="22"/>
        </w:rPr>
        <w:t>Systems; Regulation and Autonomy in a New Perspective.</w:t>
      </w:r>
    </w:p>
    <w:p>
      <w:pPr>
        <w:spacing w:before="0"/>
        <w:ind w:left="979" w:right="0" w:firstLine="0"/>
        <w:jc w:val="left"/>
        <w:rPr>
          <w:rFonts w:ascii="Calibri"/>
          <w:sz w:val="22"/>
        </w:rPr>
      </w:pPr>
      <w:bookmarkStart w:name="_bookmark409" w:id="410"/>
      <w:bookmarkEnd w:id="410"/>
      <w:r>
        <w:rPr/>
      </w:r>
      <w:r>
        <w:rPr>
          <w:rFonts w:ascii="Calibri"/>
          <w:sz w:val="22"/>
        </w:rPr>
        <w:t>Todorov,</w:t>
      </w:r>
      <w:r>
        <w:rPr>
          <w:rFonts w:ascii="Calibri"/>
          <w:spacing w:val="-7"/>
          <w:sz w:val="22"/>
        </w:rPr>
        <w:t> </w:t>
      </w:r>
      <w:r>
        <w:rPr>
          <w:rFonts w:ascii="Calibri"/>
          <w:sz w:val="22"/>
        </w:rPr>
        <w:t>T.,</w:t>
      </w:r>
      <w:r>
        <w:rPr>
          <w:rFonts w:ascii="Calibri"/>
          <w:spacing w:val="-9"/>
          <w:sz w:val="22"/>
        </w:rPr>
        <w:t> </w:t>
      </w:r>
      <w:r>
        <w:rPr>
          <w:rFonts w:ascii="Calibri"/>
          <w:sz w:val="22"/>
        </w:rPr>
        <w:t>&amp;</w:t>
      </w:r>
      <w:r>
        <w:rPr>
          <w:rFonts w:ascii="Calibri"/>
          <w:spacing w:val="-3"/>
          <w:sz w:val="22"/>
        </w:rPr>
        <w:t> </w:t>
      </w:r>
      <w:r>
        <w:rPr>
          <w:rFonts w:ascii="Calibri"/>
          <w:sz w:val="22"/>
        </w:rPr>
        <w:t>Bracher,</w:t>
      </w:r>
      <w:r>
        <w:rPr>
          <w:rFonts w:ascii="Calibri"/>
          <w:spacing w:val="-5"/>
          <w:sz w:val="22"/>
        </w:rPr>
        <w:t> </w:t>
      </w:r>
      <w:r>
        <w:rPr>
          <w:rFonts w:ascii="Calibri"/>
          <w:sz w:val="22"/>
        </w:rPr>
        <w:t>N.</w:t>
      </w:r>
      <w:r>
        <w:rPr>
          <w:rFonts w:ascii="Calibri"/>
          <w:spacing w:val="-5"/>
          <w:sz w:val="22"/>
        </w:rPr>
        <w:t> </w:t>
      </w:r>
      <w:r>
        <w:rPr>
          <w:rFonts w:ascii="Calibri"/>
          <w:sz w:val="22"/>
        </w:rPr>
        <w:t>(2008).</w:t>
      </w:r>
      <w:r>
        <w:rPr>
          <w:rFonts w:ascii="Calibri"/>
          <w:spacing w:val="-4"/>
          <w:sz w:val="22"/>
        </w:rPr>
        <w:t> </w:t>
      </w:r>
      <w:r>
        <w:rPr>
          <w:rFonts w:ascii="Calibri"/>
          <w:sz w:val="22"/>
        </w:rPr>
        <w:t>European</w:t>
      </w:r>
      <w:r>
        <w:rPr>
          <w:rFonts w:ascii="Calibri"/>
          <w:spacing w:val="-3"/>
          <w:sz w:val="22"/>
        </w:rPr>
        <w:t> </w:t>
      </w:r>
      <w:r>
        <w:rPr>
          <w:rFonts w:ascii="Calibri"/>
          <w:sz w:val="22"/>
        </w:rPr>
        <w:t>Identity.</w:t>
      </w:r>
      <w:r>
        <w:rPr>
          <w:rFonts w:ascii="Calibri"/>
          <w:spacing w:val="-1"/>
          <w:sz w:val="22"/>
        </w:rPr>
        <w:t> </w:t>
      </w:r>
      <w:r>
        <w:rPr>
          <w:rFonts w:ascii="Calibri"/>
          <w:i/>
          <w:sz w:val="22"/>
        </w:rPr>
        <w:t>South</w:t>
      </w:r>
      <w:r>
        <w:rPr>
          <w:rFonts w:ascii="Calibri"/>
          <w:i/>
          <w:spacing w:val="-5"/>
          <w:sz w:val="22"/>
        </w:rPr>
        <w:t> </w:t>
      </w:r>
      <w:r>
        <w:rPr>
          <w:rFonts w:ascii="Calibri"/>
          <w:i/>
          <w:sz w:val="22"/>
        </w:rPr>
        <w:t>Central</w:t>
      </w:r>
      <w:r>
        <w:rPr>
          <w:rFonts w:ascii="Calibri"/>
          <w:i/>
          <w:spacing w:val="-4"/>
          <w:sz w:val="22"/>
        </w:rPr>
        <w:t> </w:t>
      </w:r>
      <w:r>
        <w:rPr>
          <w:rFonts w:ascii="Calibri"/>
          <w:i/>
          <w:sz w:val="22"/>
        </w:rPr>
        <w:t>Review</w:t>
      </w:r>
      <w:r>
        <w:rPr>
          <w:rFonts w:ascii="Calibri"/>
          <w:sz w:val="22"/>
        </w:rPr>
        <w:t>,</w:t>
      </w:r>
      <w:r>
        <w:rPr>
          <w:rFonts w:ascii="Calibri"/>
          <w:spacing w:val="-8"/>
          <w:sz w:val="22"/>
        </w:rPr>
        <w:t> </w:t>
      </w:r>
      <w:r>
        <w:rPr>
          <w:rFonts w:ascii="Calibri"/>
          <w:sz w:val="22"/>
        </w:rPr>
        <w:t>3-</w:t>
      </w:r>
      <w:r>
        <w:rPr>
          <w:rFonts w:ascii="Calibri"/>
          <w:spacing w:val="-5"/>
          <w:sz w:val="22"/>
        </w:rPr>
        <w:t>15.</w:t>
      </w:r>
    </w:p>
    <w:p>
      <w:pPr>
        <w:spacing w:before="1"/>
        <w:ind w:left="1700" w:right="1909" w:hanging="721"/>
        <w:jc w:val="both"/>
        <w:rPr>
          <w:rFonts w:ascii="Calibri"/>
          <w:sz w:val="22"/>
        </w:rPr>
      </w:pPr>
      <w:bookmarkStart w:name="_bookmark410" w:id="411"/>
      <w:bookmarkEnd w:id="411"/>
      <w:r>
        <w:rPr/>
      </w:r>
      <w:r>
        <w:rPr>
          <w:rFonts w:ascii="Calibri"/>
          <w:sz w:val="22"/>
        </w:rPr>
        <w:t>Toje, A. (2008). </w:t>
      </w:r>
      <w:r>
        <w:rPr>
          <w:rFonts w:ascii="Calibri"/>
          <w:i/>
          <w:sz w:val="22"/>
        </w:rPr>
        <w:t>America, the EU and strategic culture : renegotiating the transatlantic bargain</w:t>
      </w:r>
      <w:r>
        <w:rPr>
          <w:rFonts w:ascii="Calibri"/>
          <w:sz w:val="22"/>
        </w:rPr>
        <w:t>. London ; New York: Routledge.</w:t>
      </w:r>
    </w:p>
    <w:p>
      <w:pPr>
        <w:spacing w:line="240" w:lineRule="auto" w:before="0"/>
        <w:ind w:left="1700" w:right="1911" w:hanging="721"/>
        <w:jc w:val="both"/>
        <w:rPr>
          <w:rFonts w:ascii="Calibri" w:hAnsi="Calibri"/>
          <w:sz w:val="22"/>
        </w:rPr>
      </w:pPr>
      <w:bookmarkStart w:name="_bookmark411" w:id="412"/>
      <w:bookmarkEnd w:id="412"/>
      <w:r>
        <w:rPr/>
      </w:r>
      <w:r>
        <w:rPr>
          <w:rFonts w:ascii="Calibri" w:hAnsi="Calibri"/>
          <w:sz w:val="22"/>
        </w:rPr>
        <w:t>Tönnies, F., &amp; Harris, J. (2001). </w:t>
      </w:r>
      <w:r>
        <w:rPr>
          <w:rFonts w:ascii="Calibri" w:hAnsi="Calibri"/>
          <w:i/>
          <w:sz w:val="22"/>
        </w:rPr>
        <w:t>Community and civil society</w:t>
      </w:r>
      <w:r>
        <w:rPr>
          <w:rFonts w:ascii="Calibri" w:hAnsi="Calibri"/>
          <w:sz w:val="22"/>
        </w:rPr>
        <w:t>. Cambridge ; New York: Cambridge University Press.</w:t>
      </w:r>
    </w:p>
    <w:p>
      <w:pPr>
        <w:spacing w:before="0"/>
        <w:ind w:left="1700" w:right="1905" w:hanging="721"/>
        <w:jc w:val="both"/>
        <w:rPr>
          <w:rFonts w:ascii="Calibri"/>
          <w:sz w:val="22"/>
        </w:rPr>
      </w:pPr>
      <w:bookmarkStart w:name="_bookmark412" w:id="413"/>
      <w:bookmarkEnd w:id="413"/>
      <w:r>
        <w:rPr/>
      </w:r>
      <w:r>
        <w:rPr>
          <w:rFonts w:ascii="Calibri"/>
          <w:sz w:val="22"/>
        </w:rPr>
        <w:t>Tranholm-Mikkelsen, J. (1991). Neo-functionalism: Obstinate or Obsolete? A Reappraisal in the Light of the New Dynamism of the EC. </w:t>
      </w:r>
      <w:r>
        <w:rPr>
          <w:rFonts w:ascii="Calibri"/>
          <w:i/>
          <w:sz w:val="22"/>
        </w:rPr>
        <w:t>Millennium - Journal of International Studies, 20</w:t>
      </w:r>
      <w:r>
        <w:rPr>
          <w:rFonts w:ascii="Calibri"/>
          <w:sz w:val="22"/>
        </w:rPr>
        <w:t>(1), 1-22. doi: 10.1177/03058298910200010201</w:t>
      </w:r>
    </w:p>
    <w:p>
      <w:pPr>
        <w:spacing w:before="0"/>
        <w:ind w:left="1700" w:right="1904" w:hanging="721"/>
        <w:jc w:val="both"/>
        <w:rPr>
          <w:rFonts w:ascii="Calibri"/>
          <w:sz w:val="22"/>
        </w:rPr>
      </w:pPr>
      <w:bookmarkStart w:name="_bookmark413" w:id="414"/>
      <w:bookmarkEnd w:id="414"/>
      <w:r>
        <w:rPr/>
      </w:r>
      <w:r>
        <w:rPr>
          <w:rFonts w:ascii="Calibri"/>
          <w:sz w:val="22"/>
        </w:rPr>
        <w:t>Tsebelis, G. (2000). Veto Players and Institutional Analysis. </w:t>
      </w:r>
      <w:r>
        <w:rPr>
          <w:rFonts w:ascii="Calibri"/>
          <w:i/>
          <w:sz w:val="22"/>
        </w:rPr>
        <w:t>Governance, 13</w:t>
      </w:r>
      <w:r>
        <w:rPr>
          <w:rFonts w:ascii="Calibri"/>
          <w:sz w:val="22"/>
        </w:rPr>
        <w:t>(4), 441-474. doi: </w:t>
      </w:r>
      <w:r>
        <w:rPr>
          <w:rFonts w:ascii="Calibri"/>
          <w:spacing w:val="-2"/>
          <w:sz w:val="22"/>
        </w:rPr>
        <w:t>10.1111/0952-1895.00141</w:t>
      </w:r>
    </w:p>
    <w:p>
      <w:pPr>
        <w:spacing w:before="0"/>
        <w:ind w:left="1700" w:right="1908" w:hanging="721"/>
        <w:jc w:val="both"/>
        <w:rPr>
          <w:rFonts w:ascii="Calibri"/>
          <w:sz w:val="22"/>
        </w:rPr>
      </w:pPr>
      <w:bookmarkStart w:name="_bookmark414" w:id="415"/>
      <w:bookmarkEnd w:id="415"/>
      <w:r>
        <w:rPr/>
      </w:r>
      <w:r>
        <w:rPr>
          <w:rFonts w:ascii="Calibri"/>
          <w:sz w:val="22"/>
        </w:rPr>
        <w:t>Tsebelis,</w:t>
      </w:r>
      <w:r>
        <w:rPr>
          <w:rFonts w:ascii="Calibri"/>
          <w:spacing w:val="-2"/>
          <w:sz w:val="22"/>
        </w:rPr>
        <w:t> </w:t>
      </w:r>
      <w:r>
        <w:rPr>
          <w:rFonts w:ascii="Calibri"/>
          <w:sz w:val="22"/>
        </w:rPr>
        <w:t>G.,</w:t>
      </w:r>
      <w:r>
        <w:rPr>
          <w:rFonts w:ascii="Calibri"/>
          <w:spacing w:val="-2"/>
          <w:sz w:val="22"/>
        </w:rPr>
        <w:t> </w:t>
      </w:r>
      <w:r>
        <w:rPr>
          <w:rFonts w:ascii="Calibri"/>
          <w:sz w:val="22"/>
        </w:rPr>
        <w:t>&amp;</w:t>
      </w:r>
      <w:r>
        <w:rPr>
          <w:rFonts w:ascii="Calibri"/>
          <w:spacing w:val="-1"/>
          <w:sz w:val="22"/>
        </w:rPr>
        <w:t> </w:t>
      </w:r>
      <w:r>
        <w:rPr>
          <w:rFonts w:ascii="Calibri"/>
          <w:sz w:val="22"/>
        </w:rPr>
        <w:t>Garrett,</w:t>
      </w:r>
      <w:r>
        <w:rPr>
          <w:rFonts w:ascii="Calibri"/>
          <w:spacing w:val="-2"/>
          <w:sz w:val="22"/>
        </w:rPr>
        <w:t> </w:t>
      </w:r>
      <w:r>
        <w:rPr>
          <w:rFonts w:ascii="Calibri"/>
          <w:sz w:val="22"/>
        </w:rPr>
        <w:t>G. (2000). Legislative</w:t>
      </w:r>
      <w:r>
        <w:rPr>
          <w:rFonts w:ascii="Calibri"/>
          <w:spacing w:val="-4"/>
          <w:sz w:val="22"/>
        </w:rPr>
        <w:t> </w:t>
      </w:r>
      <w:r>
        <w:rPr>
          <w:rFonts w:ascii="Calibri"/>
          <w:sz w:val="22"/>
        </w:rPr>
        <w:t>Politics in</w:t>
      </w:r>
      <w:r>
        <w:rPr>
          <w:rFonts w:ascii="Calibri"/>
          <w:spacing w:val="-5"/>
          <w:sz w:val="22"/>
        </w:rPr>
        <w:t> </w:t>
      </w:r>
      <w:r>
        <w:rPr>
          <w:rFonts w:ascii="Calibri"/>
          <w:sz w:val="22"/>
        </w:rPr>
        <w:t>the European Union. </w:t>
      </w:r>
      <w:r>
        <w:rPr>
          <w:rFonts w:ascii="Calibri"/>
          <w:i/>
          <w:sz w:val="22"/>
        </w:rPr>
        <w:t>European</w:t>
      </w:r>
      <w:r>
        <w:rPr>
          <w:rFonts w:ascii="Calibri"/>
          <w:i/>
          <w:spacing w:val="-3"/>
          <w:sz w:val="22"/>
        </w:rPr>
        <w:t> </w:t>
      </w:r>
      <w:r>
        <w:rPr>
          <w:rFonts w:ascii="Calibri"/>
          <w:i/>
          <w:sz w:val="22"/>
        </w:rPr>
        <w:t>Union Politics, 1</w:t>
      </w:r>
      <w:r>
        <w:rPr>
          <w:rFonts w:ascii="Calibri"/>
          <w:sz w:val="22"/>
        </w:rPr>
        <w:t>(1), 9-36. doi: 10.1177/1465116500001001002</w:t>
      </w:r>
    </w:p>
    <w:p>
      <w:pPr>
        <w:spacing w:before="0"/>
        <w:ind w:left="1700" w:right="1902" w:hanging="721"/>
        <w:jc w:val="both"/>
        <w:rPr>
          <w:rFonts w:ascii="Calibri" w:hAnsi="Calibri"/>
          <w:sz w:val="22"/>
        </w:rPr>
      </w:pPr>
      <w:bookmarkStart w:name="_bookmark415" w:id="416"/>
      <w:bookmarkEnd w:id="416"/>
      <w:r>
        <w:rPr/>
      </w:r>
      <w:r>
        <w:rPr>
          <w:rFonts w:ascii="Calibri" w:hAnsi="Calibri"/>
          <w:sz w:val="22"/>
        </w:rPr>
        <w:t>van Apeldoorn, B. (2001). The Struggle over European Order: Transnational Class Agency in the Making of ‘Embedded Neo-Liberalism’. In A. Bieler &amp; A. D. Morton (Eds.), </w:t>
      </w:r>
      <w:r>
        <w:rPr>
          <w:rFonts w:ascii="Calibri" w:hAnsi="Calibri"/>
          <w:i/>
          <w:sz w:val="22"/>
        </w:rPr>
        <w:t>Social Forces in the Making of the New Europe: The Restructuring of European Social Relations in the Global Political Economy </w:t>
      </w:r>
      <w:r>
        <w:rPr>
          <w:rFonts w:ascii="Calibri" w:hAnsi="Calibri"/>
          <w:sz w:val="22"/>
        </w:rPr>
        <w:t>(pp. 70-89). London: Palgrave Macmillan </w:t>
      </w:r>
      <w:r>
        <w:rPr>
          <w:rFonts w:ascii="Calibri" w:hAnsi="Calibri"/>
          <w:spacing w:val="-4"/>
          <w:sz w:val="22"/>
        </w:rPr>
        <w:t>UK.</w:t>
      </w:r>
    </w:p>
    <w:p>
      <w:pPr>
        <w:spacing w:before="0"/>
        <w:ind w:left="979" w:right="0" w:firstLine="0"/>
        <w:jc w:val="both"/>
        <w:rPr>
          <w:rFonts w:ascii="Calibri"/>
          <w:sz w:val="22"/>
        </w:rPr>
      </w:pPr>
      <w:bookmarkStart w:name="_bookmark416" w:id="417"/>
      <w:bookmarkEnd w:id="417"/>
      <w:r>
        <w:rPr/>
      </w:r>
      <w:r>
        <w:rPr>
          <w:rFonts w:ascii="Calibri"/>
          <w:sz w:val="22"/>
        </w:rPr>
        <w:t>Van</w:t>
      </w:r>
      <w:r>
        <w:rPr>
          <w:rFonts w:ascii="Calibri"/>
          <w:spacing w:val="-7"/>
          <w:sz w:val="22"/>
        </w:rPr>
        <w:t> </w:t>
      </w:r>
      <w:r>
        <w:rPr>
          <w:rFonts w:ascii="Calibri"/>
          <w:sz w:val="22"/>
        </w:rPr>
        <w:t>Gend</w:t>
      </w:r>
      <w:r>
        <w:rPr>
          <w:rFonts w:ascii="Calibri"/>
          <w:spacing w:val="-6"/>
          <w:sz w:val="22"/>
        </w:rPr>
        <w:t> </w:t>
      </w:r>
      <w:r>
        <w:rPr>
          <w:rFonts w:ascii="Calibri"/>
          <w:sz w:val="22"/>
        </w:rPr>
        <w:t>en</w:t>
      </w:r>
      <w:r>
        <w:rPr>
          <w:rFonts w:ascii="Calibri"/>
          <w:spacing w:val="-5"/>
          <w:sz w:val="22"/>
        </w:rPr>
        <w:t> </w:t>
      </w:r>
      <w:r>
        <w:rPr>
          <w:rFonts w:ascii="Calibri"/>
          <w:sz w:val="22"/>
        </w:rPr>
        <w:t>Loos</w:t>
      </w:r>
      <w:r>
        <w:rPr>
          <w:rFonts w:ascii="Calibri"/>
          <w:spacing w:val="45"/>
          <w:sz w:val="22"/>
        </w:rPr>
        <w:t> </w:t>
      </w:r>
      <w:r>
        <w:rPr>
          <w:rFonts w:ascii="Calibri"/>
          <w:sz w:val="22"/>
        </w:rPr>
        <w:t>(ECJ</w:t>
      </w:r>
      <w:r>
        <w:rPr>
          <w:rFonts w:ascii="Calibri"/>
          <w:spacing w:val="-4"/>
          <w:sz w:val="22"/>
        </w:rPr>
        <w:t> </w:t>
      </w:r>
      <w:r>
        <w:rPr>
          <w:rFonts w:ascii="Calibri"/>
          <w:spacing w:val="-2"/>
          <w:sz w:val="22"/>
        </w:rPr>
        <w:t>1963).</w:t>
      </w:r>
    </w:p>
    <w:p>
      <w:pPr>
        <w:spacing w:before="0"/>
        <w:ind w:left="1700" w:right="1903" w:hanging="721"/>
        <w:jc w:val="both"/>
        <w:rPr>
          <w:rFonts w:ascii="Calibri"/>
          <w:sz w:val="22"/>
        </w:rPr>
      </w:pPr>
      <w:bookmarkStart w:name="_bookmark417" w:id="418"/>
      <w:bookmarkEnd w:id="418"/>
      <w:r>
        <w:rPr/>
      </w:r>
      <w:r>
        <w:rPr>
          <w:rFonts w:ascii="Calibri"/>
          <w:sz w:val="22"/>
        </w:rPr>
        <w:t>Vanden Bergh Richard, G., &amp; Holburn Guy, L. F. (2007). Targeting Corporate Political Strategy: Theory and Evidence from the U.S. Accounting Industry </w:t>
      </w:r>
      <w:r>
        <w:rPr>
          <w:rFonts w:ascii="Calibri"/>
          <w:i/>
          <w:sz w:val="22"/>
        </w:rPr>
        <w:t>Business and Politics </w:t>
      </w:r>
      <w:r>
        <w:rPr>
          <w:rFonts w:ascii="Calibri"/>
          <w:sz w:val="22"/>
        </w:rPr>
        <w:t>(Vol. 9).</w:t>
      </w:r>
    </w:p>
    <w:p>
      <w:pPr>
        <w:spacing w:line="237" w:lineRule="auto" w:before="4"/>
        <w:ind w:left="1700" w:right="1909" w:hanging="721"/>
        <w:jc w:val="both"/>
        <w:rPr>
          <w:rFonts w:ascii="Calibri"/>
          <w:sz w:val="22"/>
        </w:rPr>
      </w:pPr>
      <w:bookmarkStart w:name="_bookmark418" w:id="419"/>
      <w:bookmarkEnd w:id="419"/>
      <w:r>
        <w:rPr/>
      </w:r>
      <w:r>
        <w:rPr>
          <w:rFonts w:ascii="Calibri"/>
          <w:sz w:val="22"/>
        </w:rPr>
        <w:t>Vauchez, A. (2010). The transnational politics of judicialization. Van Gend en Loos and the making of EU polity. </w:t>
      </w:r>
      <w:r>
        <w:rPr>
          <w:rFonts w:ascii="Calibri"/>
          <w:i/>
          <w:sz w:val="22"/>
        </w:rPr>
        <w:t>European Law Journal, 16</w:t>
      </w:r>
      <w:r>
        <w:rPr>
          <w:rFonts w:ascii="Calibri"/>
          <w:sz w:val="22"/>
        </w:rPr>
        <w:t>(1), 1-28. doi: 10.1111/j.1468- </w:t>
      </w:r>
      <w:r>
        <w:rPr>
          <w:rFonts w:ascii="Calibri"/>
          <w:spacing w:val="-2"/>
          <w:sz w:val="22"/>
        </w:rPr>
        <w:t>0386.2009.00494.x</w:t>
      </w:r>
    </w:p>
    <w:p>
      <w:pPr>
        <w:spacing w:after="0" w:line="237" w:lineRule="auto"/>
        <w:jc w:val="both"/>
        <w:rPr>
          <w:rFonts w:asci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1700" w:right="1904" w:hanging="721"/>
        <w:jc w:val="both"/>
        <w:rPr>
          <w:rFonts w:ascii="Calibri" w:hAnsi="Calibri"/>
          <w:sz w:val="22"/>
        </w:rPr>
      </w:pPr>
      <w:bookmarkStart w:name="_bookmark419" w:id="420"/>
      <w:bookmarkEnd w:id="420"/>
      <w:r>
        <w:rPr/>
      </w:r>
      <w:r>
        <w:rPr>
          <w:rFonts w:ascii="Calibri" w:hAnsi="Calibri"/>
          <w:sz w:val="22"/>
        </w:rPr>
        <w:t>Vilpišauskas, R. (2013). Eurozone Crisis and European Integration: Functional Spillover, Political Spillback? </w:t>
      </w:r>
      <w:r>
        <w:rPr>
          <w:rFonts w:ascii="Calibri" w:hAnsi="Calibri"/>
          <w:i/>
          <w:sz w:val="22"/>
        </w:rPr>
        <w:t>Journal of European Integration, 35</w:t>
      </w:r>
      <w:r>
        <w:rPr>
          <w:rFonts w:ascii="Calibri" w:hAnsi="Calibri"/>
          <w:sz w:val="22"/>
        </w:rPr>
        <w:t>(3), 361-373. doi: </w:t>
      </w:r>
      <w:r>
        <w:rPr>
          <w:rFonts w:ascii="Calibri" w:hAnsi="Calibri"/>
          <w:spacing w:val="-2"/>
          <w:sz w:val="22"/>
        </w:rPr>
        <w:t>10.1080/07036337.2013.774785</w:t>
      </w:r>
    </w:p>
    <w:p>
      <w:pPr>
        <w:spacing w:before="2"/>
        <w:ind w:left="979" w:right="0" w:firstLine="0"/>
        <w:jc w:val="both"/>
        <w:rPr>
          <w:rFonts w:ascii="Calibri"/>
          <w:sz w:val="22"/>
        </w:rPr>
      </w:pPr>
      <w:bookmarkStart w:name="_bookmark420" w:id="421"/>
      <w:bookmarkEnd w:id="421"/>
      <w:r>
        <w:rPr/>
      </w:r>
      <w:r>
        <w:rPr>
          <w:rFonts w:ascii="Calibri"/>
          <w:sz w:val="22"/>
        </w:rPr>
        <w:t>von</w:t>
      </w:r>
      <w:r>
        <w:rPr>
          <w:rFonts w:ascii="Calibri"/>
          <w:spacing w:val="33"/>
          <w:sz w:val="22"/>
        </w:rPr>
        <w:t> </w:t>
      </w:r>
      <w:r>
        <w:rPr>
          <w:rFonts w:ascii="Calibri"/>
          <w:sz w:val="22"/>
        </w:rPr>
        <w:t>Glasersfeld,</w:t>
      </w:r>
      <w:r>
        <w:rPr>
          <w:rFonts w:ascii="Calibri"/>
          <w:spacing w:val="35"/>
          <w:sz w:val="22"/>
        </w:rPr>
        <w:t> </w:t>
      </w:r>
      <w:r>
        <w:rPr>
          <w:rFonts w:ascii="Calibri"/>
          <w:sz w:val="22"/>
        </w:rPr>
        <w:t>E.</w:t>
      </w:r>
      <w:r>
        <w:rPr>
          <w:rFonts w:ascii="Calibri"/>
          <w:spacing w:val="38"/>
          <w:sz w:val="22"/>
        </w:rPr>
        <w:t> </w:t>
      </w:r>
      <w:r>
        <w:rPr>
          <w:rFonts w:ascii="Calibri"/>
          <w:sz w:val="22"/>
        </w:rPr>
        <w:t>(1981).</w:t>
      </w:r>
      <w:r>
        <w:rPr>
          <w:rFonts w:ascii="Calibri"/>
          <w:spacing w:val="38"/>
          <w:sz w:val="22"/>
        </w:rPr>
        <w:t> </w:t>
      </w:r>
      <w:r>
        <w:rPr>
          <w:rFonts w:ascii="Calibri"/>
          <w:sz w:val="22"/>
        </w:rPr>
        <w:t>Feedback,</w:t>
      </w:r>
      <w:r>
        <w:rPr>
          <w:rFonts w:ascii="Calibri"/>
          <w:spacing w:val="40"/>
          <w:sz w:val="22"/>
        </w:rPr>
        <w:t> </w:t>
      </w:r>
      <w:r>
        <w:rPr>
          <w:rFonts w:ascii="Calibri"/>
          <w:sz w:val="22"/>
        </w:rPr>
        <w:t>Induction,</w:t>
      </w:r>
      <w:r>
        <w:rPr>
          <w:rFonts w:ascii="Calibri"/>
          <w:spacing w:val="38"/>
          <w:sz w:val="22"/>
        </w:rPr>
        <w:t> </w:t>
      </w:r>
      <w:r>
        <w:rPr>
          <w:rFonts w:ascii="Calibri"/>
          <w:sz w:val="22"/>
        </w:rPr>
        <w:t>and</w:t>
      </w:r>
      <w:r>
        <w:rPr>
          <w:rFonts w:ascii="Calibri"/>
          <w:spacing w:val="40"/>
          <w:sz w:val="22"/>
        </w:rPr>
        <w:t> </w:t>
      </w:r>
      <w:r>
        <w:rPr>
          <w:rFonts w:ascii="Calibri"/>
          <w:sz w:val="22"/>
        </w:rPr>
        <w:t>Epistemology.</w:t>
      </w:r>
      <w:r>
        <w:rPr>
          <w:rFonts w:ascii="Calibri"/>
          <w:spacing w:val="39"/>
          <w:sz w:val="22"/>
        </w:rPr>
        <w:t> </w:t>
      </w:r>
      <w:r>
        <w:rPr>
          <w:rFonts w:ascii="Calibri"/>
          <w:sz w:val="22"/>
        </w:rPr>
        <w:t>In</w:t>
      </w:r>
      <w:r>
        <w:rPr>
          <w:rFonts w:ascii="Calibri"/>
          <w:spacing w:val="35"/>
          <w:sz w:val="22"/>
        </w:rPr>
        <w:t> </w:t>
      </w:r>
      <w:r>
        <w:rPr>
          <w:rFonts w:ascii="Calibri"/>
          <w:sz w:val="22"/>
        </w:rPr>
        <w:t>G.</w:t>
      </w:r>
      <w:r>
        <w:rPr>
          <w:rFonts w:ascii="Calibri"/>
          <w:spacing w:val="38"/>
          <w:sz w:val="22"/>
        </w:rPr>
        <w:t> </w:t>
      </w:r>
      <w:r>
        <w:rPr>
          <w:rFonts w:ascii="Calibri"/>
          <w:sz w:val="22"/>
        </w:rPr>
        <w:t>E.</w:t>
      </w:r>
      <w:r>
        <w:rPr>
          <w:rFonts w:ascii="Calibri"/>
          <w:spacing w:val="38"/>
          <w:sz w:val="22"/>
        </w:rPr>
        <w:t> </w:t>
      </w:r>
      <w:r>
        <w:rPr>
          <w:rFonts w:ascii="Calibri"/>
          <w:sz w:val="22"/>
        </w:rPr>
        <w:t>Lasker</w:t>
      </w:r>
      <w:r>
        <w:rPr>
          <w:rFonts w:ascii="Calibri"/>
          <w:spacing w:val="37"/>
          <w:sz w:val="22"/>
        </w:rPr>
        <w:t> </w:t>
      </w:r>
      <w:r>
        <w:rPr>
          <w:rFonts w:ascii="Calibri"/>
          <w:spacing w:val="-2"/>
          <w:sz w:val="22"/>
        </w:rPr>
        <w:t>(Ed.),</w:t>
      </w:r>
    </w:p>
    <w:p>
      <w:pPr>
        <w:spacing w:line="235" w:lineRule="auto" w:before="4"/>
        <w:ind w:left="979" w:right="1902" w:firstLine="720"/>
        <w:jc w:val="both"/>
        <w:rPr>
          <w:rFonts w:ascii="Calibri" w:hAnsi="Calibri"/>
          <w:i/>
          <w:sz w:val="22"/>
        </w:rPr>
      </w:pPr>
      <w:r>
        <w:rPr>
          <w:rFonts w:ascii="Calibri" w:hAnsi="Calibri"/>
          <w:i/>
          <w:sz w:val="22"/>
        </w:rPr>
        <w:t>Applied systems and cybernetics </w:t>
      </w:r>
      <w:r>
        <w:rPr>
          <w:rFonts w:ascii="Calibri" w:hAnsi="Calibri"/>
          <w:sz w:val="22"/>
        </w:rPr>
        <w:t>(Vol. 2, pp. 712–719). New York: Pergamon Press. </w:t>
      </w:r>
      <w:bookmarkStart w:name="_bookmark421" w:id="422"/>
      <w:bookmarkEnd w:id="422"/>
      <w:r>
        <w:rPr>
          <w:rFonts w:ascii="Calibri" w:hAnsi="Calibri"/>
          <w:sz w:val="22"/>
        </w:rPr>
        <w:t>v</w:t>
      </w:r>
      <w:r>
        <w:rPr>
          <w:rFonts w:ascii="Calibri" w:hAnsi="Calibri"/>
          <w:sz w:val="22"/>
        </w:rPr>
        <w:t>on</w:t>
      </w:r>
      <w:r>
        <w:rPr>
          <w:rFonts w:ascii="Calibri" w:hAnsi="Calibri"/>
          <w:spacing w:val="26"/>
          <w:sz w:val="22"/>
        </w:rPr>
        <w:t> </w:t>
      </w:r>
      <w:r>
        <w:rPr>
          <w:rFonts w:ascii="Calibri" w:hAnsi="Calibri"/>
          <w:sz w:val="22"/>
        </w:rPr>
        <w:t>Strandmann,</w:t>
      </w:r>
      <w:r>
        <w:rPr>
          <w:rFonts w:ascii="Calibri" w:hAnsi="Calibri"/>
          <w:spacing w:val="24"/>
          <w:sz w:val="22"/>
        </w:rPr>
        <w:t> </w:t>
      </w:r>
      <w:r>
        <w:rPr>
          <w:rFonts w:ascii="Calibri" w:hAnsi="Calibri"/>
          <w:sz w:val="22"/>
        </w:rPr>
        <w:t>P.</w:t>
      </w:r>
      <w:r>
        <w:rPr>
          <w:rFonts w:ascii="Calibri" w:hAnsi="Calibri"/>
          <w:spacing w:val="24"/>
          <w:sz w:val="22"/>
        </w:rPr>
        <w:t> </w:t>
      </w:r>
      <w:r>
        <w:rPr>
          <w:rFonts w:ascii="Calibri" w:hAnsi="Calibri"/>
          <w:sz w:val="22"/>
        </w:rPr>
        <w:t>H.,</w:t>
      </w:r>
      <w:r>
        <w:rPr>
          <w:rFonts w:ascii="Calibri" w:hAnsi="Calibri"/>
          <w:spacing w:val="24"/>
          <w:sz w:val="22"/>
        </w:rPr>
        <w:t> </w:t>
      </w:r>
      <w:r>
        <w:rPr>
          <w:rFonts w:ascii="Calibri" w:hAnsi="Calibri"/>
          <w:sz w:val="22"/>
        </w:rPr>
        <w:t>Eley,</w:t>
      </w:r>
      <w:r>
        <w:rPr>
          <w:rFonts w:ascii="Calibri" w:hAnsi="Calibri"/>
          <w:spacing w:val="24"/>
          <w:sz w:val="22"/>
        </w:rPr>
        <w:t> </w:t>
      </w:r>
      <w:r>
        <w:rPr>
          <w:rFonts w:ascii="Calibri" w:hAnsi="Calibri"/>
          <w:sz w:val="22"/>
        </w:rPr>
        <w:t>G.,</w:t>
      </w:r>
      <w:r>
        <w:rPr>
          <w:rFonts w:ascii="Calibri" w:hAnsi="Calibri"/>
          <w:spacing w:val="24"/>
          <w:sz w:val="22"/>
        </w:rPr>
        <w:t> </w:t>
      </w:r>
      <w:r>
        <w:rPr>
          <w:rFonts w:ascii="Calibri" w:hAnsi="Calibri"/>
          <w:sz w:val="22"/>
        </w:rPr>
        <w:t>&amp;</w:t>
      </w:r>
      <w:r>
        <w:rPr>
          <w:rFonts w:ascii="Calibri" w:hAnsi="Calibri"/>
          <w:spacing w:val="26"/>
          <w:sz w:val="22"/>
        </w:rPr>
        <w:t> </w:t>
      </w:r>
      <w:r>
        <w:rPr>
          <w:rFonts w:ascii="Calibri" w:hAnsi="Calibri"/>
          <w:sz w:val="22"/>
        </w:rPr>
        <w:t>Retallack,</w:t>
      </w:r>
      <w:r>
        <w:rPr>
          <w:rFonts w:ascii="Calibri" w:hAnsi="Calibri"/>
          <w:spacing w:val="25"/>
          <w:sz w:val="22"/>
        </w:rPr>
        <w:t> </w:t>
      </w:r>
      <w:r>
        <w:rPr>
          <w:rFonts w:ascii="Calibri" w:hAnsi="Calibri"/>
          <w:sz w:val="22"/>
        </w:rPr>
        <w:t>J.</w:t>
      </w:r>
      <w:r>
        <w:rPr>
          <w:rFonts w:ascii="Calibri" w:hAnsi="Calibri"/>
          <w:spacing w:val="24"/>
          <w:sz w:val="22"/>
        </w:rPr>
        <w:t> </w:t>
      </w:r>
      <w:r>
        <w:rPr>
          <w:rFonts w:ascii="Calibri" w:hAnsi="Calibri"/>
          <w:sz w:val="22"/>
        </w:rPr>
        <w:t>N.</w:t>
      </w:r>
      <w:r>
        <w:rPr>
          <w:rFonts w:ascii="Calibri" w:hAnsi="Calibri"/>
          <w:spacing w:val="28"/>
          <w:sz w:val="22"/>
        </w:rPr>
        <w:t> </w:t>
      </w:r>
      <w:r>
        <w:rPr>
          <w:rFonts w:ascii="Calibri" w:hAnsi="Calibri"/>
          <w:sz w:val="22"/>
        </w:rPr>
        <w:t>(2003).</w:t>
      </w:r>
      <w:r>
        <w:rPr>
          <w:rFonts w:ascii="Calibri" w:hAnsi="Calibri"/>
          <w:spacing w:val="34"/>
          <w:sz w:val="22"/>
        </w:rPr>
        <w:t> </w:t>
      </w:r>
      <w:r>
        <w:rPr>
          <w:rFonts w:ascii="Calibri" w:hAnsi="Calibri"/>
          <w:i/>
          <w:sz w:val="22"/>
        </w:rPr>
        <w:t>Wilhelminism</w:t>
      </w:r>
      <w:r>
        <w:rPr>
          <w:rFonts w:ascii="Calibri" w:hAnsi="Calibri"/>
          <w:i/>
          <w:spacing w:val="20"/>
          <w:sz w:val="22"/>
        </w:rPr>
        <w:t> </w:t>
      </w:r>
      <w:r>
        <w:rPr>
          <w:rFonts w:ascii="Calibri" w:hAnsi="Calibri"/>
          <w:i/>
          <w:sz w:val="22"/>
        </w:rPr>
        <w:t>and</w:t>
      </w:r>
      <w:r>
        <w:rPr>
          <w:rFonts w:ascii="Calibri" w:hAnsi="Calibri"/>
          <w:i/>
          <w:spacing w:val="23"/>
          <w:sz w:val="22"/>
        </w:rPr>
        <w:t> </w:t>
      </w:r>
      <w:r>
        <w:rPr>
          <w:rFonts w:ascii="Calibri" w:hAnsi="Calibri"/>
          <w:i/>
          <w:sz w:val="22"/>
        </w:rPr>
        <w:t>its</w:t>
      </w:r>
      <w:r>
        <w:rPr>
          <w:rFonts w:ascii="Calibri" w:hAnsi="Calibri"/>
          <w:i/>
          <w:spacing w:val="22"/>
          <w:sz w:val="22"/>
        </w:rPr>
        <w:t> </w:t>
      </w:r>
      <w:r>
        <w:rPr>
          <w:rFonts w:ascii="Calibri" w:hAnsi="Calibri"/>
          <w:i/>
          <w:sz w:val="22"/>
        </w:rPr>
        <w:t>legacies</w:t>
      </w:r>
      <w:r>
        <w:rPr>
          <w:rFonts w:ascii="Calibri" w:hAnsi="Calibri"/>
          <w:i/>
          <w:spacing w:val="28"/>
          <w:sz w:val="22"/>
        </w:rPr>
        <w:t> </w:t>
      </w:r>
      <w:r>
        <w:rPr>
          <w:rFonts w:ascii="Calibri" w:hAnsi="Calibri"/>
          <w:i/>
          <w:spacing w:val="-10"/>
          <w:sz w:val="22"/>
        </w:rPr>
        <w:t>:</w:t>
      </w:r>
    </w:p>
    <w:p>
      <w:pPr>
        <w:spacing w:before="2"/>
        <w:ind w:left="1700" w:right="1901" w:firstLine="0"/>
        <w:jc w:val="both"/>
        <w:rPr>
          <w:rFonts w:ascii="Calibri"/>
          <w:sz w:val="22"/>
        </w:rPr>
      </w:pPr>
      <w:r>
        <w:rPr>
          <w:rFonts w:ascii="Calibri"/>
          <w:i/>
          <w:sz w:val="22"/>
        </w:rPr>
        <w:t>German modernities, Imperialism, and the meanings of reform, 1890-1930 : essays for Hartmut Pogge von Strandmann</w:t>
      </w:r>
      <w:r>
        <w:rPr>
          <w:rFonts w:ascii="Calibri"/>
          <w:sz w:val="22"/>
        </w:rPr>
        <w:t>. New York: Berghahn Books.</w:t>
      </w:r>
    </w:p>
    <w:p>
      <w:pPr>
        <w:spacing w:before="1"/>
        <w:ind w:left="979" w:right="0" w:firstLine="0"/>
        <w:jc w:val="both"/>
        <w:rPr>
          <w:rFonts w:ascii="Calibri"/>
          <w:sz w:val="22"/>
        </w:rPr>
      </w:pPr>
      <w:bookmarkStart w:name="_bookmark422" w:id="423"/>
      <w:bookmarkEnd w:id="423"/>
      <w:r>
        <w:rPr/>
      </w:r>
      <w:r>
        <w:rPr>
          <w:rFonts w:ascii="Calibri"/>
          <w:sz w:val="22"/>
        </w:rPr>
        <w:t>Warleigh,</w:t>
      </w:r>
      <w:r>
        <w:rPr>
          <w:rFonts w:ascii="Calibri"/>
          <w:spacing w:val="-8"/>
          <w:sz w:val="22"/>
        </w:rPr>
        <w:t> </w:t>
      </w:r>
      <w:r>
        <w:rPr>
          <w:rFonts w:ascii="Calibri"/>
          <w:sz w:val="22"/>
        </w:rPr>
        <w:t>A.</w:t>
      </w:r>
      <w:r>
        <w:rPr>
          <w:rFonts w:ascii="Calibri"/>
          <w:spacing w:val="-2"/>
          <w:sz w:val="22"/>
        </w:rPr>
        <w:t> </w:t>
      </w:r>
      <w:r>
        <w:rPr>
          <w:rFonts w:ascii="Calibri"/>
          <w:sz w:val="22"/>
        </w:rPr>
        <w:t>(2006).</w:t>
      </w:r>
      <w:r>
        <w:rPr>
          <w:rFonts w:ascii="Calibri"/>
          <w:spacing w:val="-2"/>
          <w:sz w:val="22"/>
        </w:rPr>
        <w:t> </w:t>
      </w:r>
      <w:r>
        <w:rPr>
          <w:rFonts w:ascii="Calibri"/>
          <w:sz w:val="22"/>
        </w:rPr>
        <w:t>conceptual</w:t>
      </w:r>
      <w:r>
        <w:rPr>
          <w:rFonts w:ascii="Calibri"/>
          <w:spacing w:val="-3"/>
          <w:sz w:val="22"/>
        </w:rPr>
        <w:t> </w:t>
      </w:r>
      <w:r>
        <w:rPr>
          <w:rFonts w:ascii="Calibri"/>
          <w:sz w:val="22"/>
        </w:rPr>
        <w:t>combinations:</w:t>
      </w:r>
      <w:r>
        <w:rPr>
          <w:rFonts w:ascii="Calibri"/>
          <w:spacing w:val="-4"/>
          <w:sz w:val="22"/>
        </w:rPr>
        <w:t> </w:t>
      </w:r>
      <w:r>
        <w:rPr>
          <w:rFonts w:ascii="Calibri"/>
          <w:sz w:val="22"/>
        </w:rPr>
        <w:t>multilevel</w:t>
      </w:r>
      <w:r>
        <w:rPr>
          <w:rFonts w:ascii="Calibri"/>
          <w:spacing w:val="-2"/>
          <w:sz w:val="22"/>
        </w:rPr>
        <w:t> </w:t>
      </w:r>
      <w:r>
        <w:rPr>
          <w:rFonts w:ascii="Calibri"/>
          <w:sz w:val="22"/>
        </w:rPr>
        <w:t>governance</w:t>
      </w:r>
      <w:r>
        <w:rPr>
          <w:rFonts w:ascii="Calibri"/>
          <w:spacing w:val="-3"/>
          <w:sz w:val="22"/>
        </w:rPr>
        <w:t> </w:t>
      </w:r>
      <w:r>
        <w:rPr>
          <w:rFonts w:ascii="Calibri"/>
          <w:sz w:val="22"/>
        </w:rPr>
        <w:t>and</w:t>
      </w:r>
      <w:r>
        <w:rPr>
          <w:rFonts w:ascii="Calibri"/>
          <w:spacing w:val="-3"/>
          <w:sz w:val="22"/>
        </w:rPr>
        <w:t> </w:t>
      </w:r>
      <w:r>
        <w:rPr>
          <w:rFonts w:ascii="Calibri"/>
          <w:sz w:val="22"/>
        </w:rPr>
        <w:t>policy</w:t>
      </w:r>
      <w:r>
        <w:rPr>
          <w:rFonts w:ascii="Calibri"/>
          <w:spacing w:val="-3"/>
          <w:sz w:val="22"/>
        </w:rPr>
        <w:t> </w:t>
      </w:r>
      <w:r>
        <w:rPr>
          <w:rFonts w:ascii="Calibri"/>
          <w:sz w:val="22"/>
        </w:rPr>
        <w:t>networks</w:t>
      </w:r>
      <w:r>
        <w:rPr>
          <w:rFonts w:ascii="Calibri"/>
          <w:spacing w:val="-3"/>
          <w:sz w:val="22"/>
        </w:rPr>
        <w:t> </w:t>
      </w:r>
      <w:r>
        <w:rPr>
          <w:rFonts w:ascii="Calibri"/>
          <w:spacing w:val="-5"/>
          <w:sz w:val="22"/>
        </w:rPr>
        <w:t>In</w:t>
      </w:r>
    </w:p>
    <w:p>
      <w:pPr>
        <w:spacing w:before="0"/>
        <w:ind w:left="1700" w:right="1904" w:firstLine="0"/>
        <w:jc w:val="both"/>
        <w:rPr>
          <w:rFonts w:ascii="Calibri"/>
          <w:sz w:val="22"/>
        </w:rPr>
      </w:pPr>
      <w:r>
        <w:rPr>
          <w:rFonts w:ascii="Calibri"/>
          <w:sz w:val="22"/>
        </w:rPr>
        <w:t>M. a. B. Cini, Angela K. (Ed.), </w:t>
      </w:r>
      <w:r>
        <w:rPr>
          <w:rFonts w:ascii="Calibri"/>
          <w:i/>
          <w:sz w:val="22"/>
        </w:rPr>
        <w:t>Palgrave Advances in European Union Studies </w:t>
      </w:r>
      <w:r>
        <w:rPr>
          <w:rFonts w:ascii="Calibri"/>
          <w:sz w:val="22"/>
        </w:rPr>
        <w:t>(pp. 77- 95). New York: PALGRAVE MACMILLAN</w:t>
      </w:r>
    </w:p>
    <w:p>
      <w:pPr>
        <w:spacing w:before="1"/>
        <w:ind w:left="979" w:right="0" w:firstLine="0"/>
        <w:jc w:val="both"/>
        <w:rPr>
          <w:rFonts w:ascii="Calibri"/>
          <w:sz w:val="22"/>
        </w:rPr>
      </w:pPr>
      <w:bookmarkStart w:name="_bookmark423" w:id="424"/>
      <w:bookmarkEnd w:id="424"/>
      <w:r>
        <w:rPr/>
      </w:r>
      <w:r>
        <w:rPr>
          <w:rFonts w:ascii="Calibri"/>
          <w:sz w:val="22"/>
        </w:rPr>
        <w:t>Weaver,</w:t>
      </w:r>
      <w:r>
        <w:rPr>
          <w:rFonts w:ascii="Calibri"/>
          <w:spacing w:val="-10"/>
          <w:sz w:val="22"/>
        </w:rPr>
        <w:t> </w:t>
      </w:r>
      <w:r>
        <w:rPr>
          <w:rFonts w:ascii="Calibri"/>
          <w:sz w:val="22"/>
        </w:rPr>
        <w:t>W.</w:t>
      </w:r>
      <w:r>
        <w:rPr>
          <w:rFonts w:ascii="Calibri"/>
          <w:spacing w:val="-4"/>
          <w:sz w:val="22"/>
        </w:rPr>
        <w:t> </w:t>
      </w:r>
      <w:r>
        <w:rPr>
          <w:rFonts w:ascii="Calibri"/>
          <w:sz w:val="22"/>
        </w:rPr>
        <w:t>(1948).</w:t>
      </w:r>
      <w:r>
        <w:rPr>
          <w:rFonts w:ascii="Calibri"/>
          <w:spacing w:val="-4"/>
          <w:sz w:val="22"/>
        </w:rPr>
        <w:t> </w:t>
      </w:r>
      <w:r>
        <w:rPr>
          <w:rFonts w:ascii="Calibri"/>
          <w:sz w:val="22"/>
        </w:rPr>
        <w:t>Science</w:t>
      </w:r>
      <w:r>
        <w:rPr>
          <w:rFonts w:ascii="Calibri"/>
          <w:spacing w:val="-5"/>
          <w:sz w:val="22"/>
        </w:rPr>
        <w:t> </w:t>
      </w:r>
      <w:r>
        <w:rPr>
          <w:rFonts w:ascii="Calibri"/>
          <w:sz w:val="22"/>
        </w:rPr>
        <w:t>and</w:t>
      </w:r>
      <w:r>
        <w:rPr>
          <w:rFonts w:ascii="Calibri"/>
          <w:spacing w:val="-7"/>
          <w:sz w:val="22"/>
        </w:rPr>
        <w:t> </w:t>
      </w:r>
      <w:r>
        <w:rPr>
          <w:rFonts w:ascii="Calibri"/>
          <w:sz w:val="22"/>
        </w:rPr>
        <w:t>Complexity.</w:t>
      </w:r>
      <w:r>
        <w:rPr>
          <w:rFonts w:ascii="Calibri"/>
          <w:spacing w:val="-7"/>
          <w:sz w:val="22"/>
        </w:rPr>
        <w:t> </w:t>
      </w:r>
      <w:r>
        <w:rPr>
          <w:rFonts w:ascii="Calibri"/>
          <w:i/>
          <w:sz w:val="22"/>
        </w:rPr>
        <w:t>American</w:t>
      </w:r>
      <w:r>
        <w:rPr>
          <w:rFonts w:ascii="Calibri"/>
          <w:i/>
          <w:spacing w:val="-8"/>
          <w:sz w:val="22"/>
        </w:rPr>
        <w:t> </w:t>
      </w:r>
      <w:r>
        <w:rPr>
          <w:rFonts w:ascii="Calibri"/>
          <w:i/>
          <w:sz w:val="22"/>
        </w:rPr>
        <w:t>Scientist,</w:t>
      </w:r>
      <w:r>
        <w:rPr>
          <w:rFonts w:ascii="Calibri"/>
          <w:i/>
          <w:spacing w:val="-8"/>
          <w:sz w:val="22"/>
        </w:rPr>
        <w:t> </w:t>
      </w:r>
      <w:r>
        <w:rPr>
          <w:rFonts w:ascii="Calibri"/>
          <w:i/>
          <w:spacing w:val="-2"/>
          <w:sz w:val="22"/>
        </w:rPr>
        <w:t>36</w:t>
      </w:r>
      <w:r>
        <w:rPr>
          <w:rFonts w:ascii="Calibri"/>
          <w:spacing w:val="-2"/>
          <w:sz w:val="22"/>
        </w:rPr>
        <w:t>(536).</w:t>
      </w:r>
    </w:p>
    <w:p>
      <w:pPr>
        <w:spacing w:before="0"/>
        <w:ind w:left="979" w:right="1918" w:firstLine="0"/>
        <w:jc w:val="both"/>
        <w:rPr>
          <w:rFonts w:ascii="Calibri"/>
          <w:sz w:val="22"/>
        </w:rPr>
      </w:pPr>
      <w:bookmarkStart w:name="_bookmark425" w:id="425"/>
      <w:bookmarkEnd w:id="425"/>
      <w:r>
        <w:rPr/>
      </w:r>
      <w:r>
        <w:rPr>
          <w:rFonts w:ascii="Calibri"/>
          <w:sz w:val="22"/>
        </w:rPr>
        <w:t>Weiler, J. H. H. (1991). Transformation of Europe. </w:t>
      </w:r>
      <w:r>
        <w:rPr>
          <w:rFonts w:ascii="Calibri"/>
          <w:i/>
          <w:sz w:val="22"/>
        </w:rPr>
        <w:t>Yale Law Journal, 100</w:t>
      </w:r>
      <w:r>
        <w:rPr>
          <w:rFonts w:ascii="Calibri"/>
          <w:sz w:val="22"/>
        </w:rPr>
        <w:t>(8), 2403-2484. </w:t>
      </w:r>
      <w:bookmarkStart w:name="_bookmark424" w:id="426"/>
      <w:bookmarkEnd w:id="426"/>
      <w:r>
        <w:rPr>
          <w:rFonts w:ascii="Calibri"/>
          <w:sz w:val="22"/>
        </w:rPr>
        <w:t>We</w:t>
      </w:r>
      <w:r>
        <w:rPr>
          <w:rFonts w:ascii="Calibri"/>
          <w:sz w:val="22"/>
        </w:rPr>
        <w:t>iler,</w:t>
      </w:r>
      <w:r>
        <w:rPr>
          <w:rFonts w:ascii="Calibri"/>
          <w:spacing w:val="19"/>
          <w:sz w:val="22"/>
        </w:rPr>
        <w:t> </w:t>
      </w:r>
      <w:r>
        <w:rPr>
          <w:rFonts w:ascii="Calibri"/>
          <w:sz w:val="22"/>
        </w:rPr>
        <w:t>J.</w:t>
      </w:r>
      <w:r>
        <w:rPr>
          <w:rFonts w:ascii="Calibri"/>
          <w:spacing w:val="24"/>
          <w:sz w:val="22"/>
        </w:rPr>
        <w:t> </w:t>
      </w:r>
      <w:r>
        <w:rPr>
          <w:rFonts w:ascii="Calibri"/>
          <w:sz w:val="22"/>
        </w:rPr>
        <w:t>H.</w:t>
      </w:r>
      <w:r>
        <w:rPr>
          <w:rFonts w:ascii="Calibri"/>
          <w:spacing w:val="24"/>
          <w:sz w:val="22"/>
        </w:rPr>
        <w:t> </w:t>
      </w:r>
      <w:r>
        <w:rPr>
          <w:rFonts w:ascii="Calibri"/>
          <w:sz w:val="22"/>
        </w:rPr>
        <w:t>H.</w:t>
      </w:r>
      <w:r>
        <w:rPr>
          <w:rFonts w:ascii="Calibri"/>
          <w:spacing w:val="23"/>
          <w:sz w:val="22"/>
        </w:rPr>
        <w:t> </w:t>
      </w:r>
      <w:r>
        <w:rPr>
          <w:rFonts w:ascii="Calibri"/>
          <w:sz w:val="22"/>
        </w:rPr>
        <w:t>(1995).</w:t>
      </w:r>
      <w:r>
        <w:rPr>
          <w:rFonts w:ascii="Calibri"/>
          <w:spacing w:val="25"/>
          <w:sz w:val="22"/>
        </w:rPr>
        <w:t> </w:t>
      </w:r>
      <w:r>
        <w:rPr>
          <w:rFonts w:ascii="Calibri"/>
          <w:sz w:val="22"/>
        </w:rPr>
        <w:t>Does</w:t>
      </w:r>
      <w:r>
        <w:rPr>
          <w:rFonts w:ascii="Calibri"/>
          <w:spacing w:val="23"/>
          <w:sz w:val="22"/>
        </w:rPr>
        <w:t> </w:t>
      </w:r>
      <w:r>
        <w:rPr>
          <w:rFonts w:ascii="Calibri"/>
          <w:sz w:val="22"/>
        </w:rPr>
        <w:t>Europe</w:t>
      </w:r>
      <w:r>
        <w:rPr>
          <w:rFonts w:ascii="Calibri"/>
          <w:spacing w:val="23"/>
          <w:sz w:val="22"/>
        </w:rPr>
        <w:t> </w:t>
      </w:r>
      <w:r>
        <w:rPr>
          <w:rFonts w:ascii="Calibri"/>
          <w:sz w:val="22"/>
        </w:rPr>
        <w:t>Need</w:t>
      </w:r>
      <w:r>
        <w:rPr>
          <w:rFonts w:ascii="Calibri"/>
          <w:spacing w:val="22"/>
          <w:sz w:val="22"/>
        </w:rPr>
        <w:t> </w:t>
      </w:r>
      <w:r>
        <w:rPr>
          <w:rFonts w:ascii="Calibri"/>
          <w:sz w:val="22"/>
        </w:rPr>
        <w:t>a</w:t>
      </w:r>
      <w:r>
        <w:rPr>
          <w:rFonts w:ascii="Calibri"/>
          <w:spacing w:val="22"/>
          <w:sz w:val="22"/>
        </w:rPr>
        <w:t> </w:t>
      </w:r>
      <w:r>
        <w:rPr>
          <w:rFonts w:ascii="Calibri"/>
          <w:sz w:val="22"/>
        </w:rPr>
        <w:t>Constitution?</w:t>
      </w:r>
      <w:r>
        <w:rPr>
          <w:rFonts w:ascii="Calibri"/>
          <w:spacing w:val="22"/>
          <w:sz w:val="22"/>
        </w:rPr>
        <w:t> </w:t>
      </w:r>
      <w:r>
        <w:rPr>
          <w:rFonts w:ascii="Calibri"/>
          <w:sz w:val="22"/>
        </w:rPr>
        <w:t>Demos,</w:t>
      </w:r>
      <w:r>
        <w:rPr>
          <w:rFonts w:ascii="Calibri"/>
          <w:spacing w:val="24"/>
          <w:sz w:val="22"/>
        </w:rPr>
        <w:t> </w:t>
      </w:r>
      <w:r>
        <w:rPr>
          <w:rFonts w:ascii="Calibri"/>
          <w:sz w:val="22"/>
        </w:rPr>
        <w:t>Telos</w:t>
      </w:r>
      <w:r>
        <w:rPr>
          <w:rFonts w:ascii="Calibri"/>
          <w:spacing w:val="23"/>
          <w:sz w:val="22"/>
        </w:rPr>
        <w:t> </w:t>
      </w:r>
      <w:r>
        <w:rPr>
          <w:rFonts w:ascii="Calibri"/>
          <w:sz w:val="22"/>
        </w:rPr>
        <w:t>and</w:t>
      </w:r>
      <w:r>
        <w:rPr>
          <w:rFonts w:ascii="Calibri"/>
          <w:spacing w:val="23"/>
          <w:sz w:val="22"/>
        </w:rPr>
        <w:t> </w:t>
      </w:r>
      <w:r>
        <w:rPr>
          <w:rFonts w:ascii="Calibri"/>
          <w:sz w:val="22"/>
        </w:rPr>
        <w:t>the</w:t>
      </w:r>
      <w:r>
        <w:rPr>
          <w:rFonts w:ascii="Calibri"/>
          <w:spacing w:val="23"/>
          <w:sz w:val="22"/>
        </w:rPr>
        <w:t> </w:t>
      </w:r>
      <w:r>
        <w:rPr>
          <w:rFonts w:ascii="Calibri"/>
          <w:spacing w:val="-2"/>
          <w:sz w:val="22"/>
        </w:rPr>
        <w:t>German</w:t>
      </w:r>
    </w:p>
    <w:p>
      <w:pPr>
        <w:spacing w:before="1"/>
        <w:ind w:left="1700" w:right="1913" w:firstLine="0"/>
        <w:jc w:val="both"/>
        <w:rPr>
          <w:rFonts w:ascii="Calibri"/>
          <w:sz w:val="22"/>
        </w:rPr>
      </w:pPr>
      <w:r>
        <w:rPr>
          <w:rFonts w:ascii="Calibri"/>
          <w:sz w:val="22"/>
        </w:rPr>
        <w:t>Maastricht Decision. </w:t>
      </w:r>
      <w:r>
        <w:rPr>
          <w:rFonts w:ascii="Calibri"/>
          <w:i/>
          <w:sz w:val="22"/>
        </w:rPr>
        <w:t>European Law Journal, 1</w:t>
      </w:r>
      <w:r>
        <w:rPr>
          <w:rFonts w:ascii="Calibri"/>
          <w:sz w:val="22"/>
        </w:rPr>
        <w:t>(3), 219-258. doi: 10.1111/j.1468- </w:t>
      </w:r>
      <w:r>
        <w:rPr>
          <w:rFonts w:ascii="Calibri"/>
          <w:spacing w:val="-2"/>
          <w:sz w:val="22"/>
        </w:rPr>
        <w:t>0386.1995.tb00030.x</w:t>
      </w:r>
    </w:p>
    <w:p>
      <w:pPr>
        <w:spacing w:before="1"/>
        <w:ind w:left="1700" w:right="1906" w:hanging="721"/>
        <w:jc w:val="both"/>
        <w:rPr>
          <w:rFonts w:ascii="Calibri"/>
          <w:sz w:val="22"/>
        </w:rPr>
      </w:pPr>
      <w:bookmarkStart w:name="_bookmark426" w:id="427"/>
      <w:bookmarkEnd w:id="427"/>
      <w:r>
        <w:rPr/>
      </w:r>
      <w:r>
        <w:rPr>
          <w:rFonts w:ascii="Calibri"/>
          <w:sz w:val="22"/>
        </w:rPr>
        <w:t>Weiler, J. H. H. (2013). </w:t>
      </w:r>
      <w:r>
        <w:rPr>
          <w:rFonts w:ascii="Calibri"/>
          <w:i/>
          <w:sz w:val="22"/>
        </w:rPr>
        <w:t>Revisiting Van Gend en Loos: Subjectifying and Objectifying the Individual. </w:t>
      </w:r>
      <w:r>
        <w:rPr>
          <w:rFonts w:ascii="Calibri"/>
          <w:sz w:val="22"/>
        </w:rPr>
        <w:t>Paper presented at the 50th anniversary of the judgment in Van</w:t>
      </w:r>
      <w:r>
        <w:rPr>
          <w:rFonts w:ascii="Calibri"/>
          <w:spacing w:val="-1"/>
          <w:sz w:val="22"/>
        </w:rPr>
        <w:t> </w:t>
      </w:r>
      <w:r>
        <w:rPr>
          <w:rFonts w:ascii="Calibri"/>
          <w:sz w:val="22"/>
        </w:rPr>
        <w:t>gend en loos,</w:t>
      </w:r>
      <w:r>
        <w:rPr>
          <w:rFonts w:ascii="Calibri"/>
          <w:spacing w:val="-1"/>
          <w:sz w:val="22"/>
        </w:rPr>
        <w:t> </w:t>
      </w:r>
      <w:r>
        <w:rPr>
          <w:rFonts w:ascii="Calibri"/>
          <w:sz w:val="22"/>
        </w:rPr>
        <w:t>Luxembourg.</w:t>
      </w:r>
    </w:p>
    <w:p>
      <w:pPr>
        <w:spacing w:before="0"/>
        <w:ind w:left="1700" w:right="1907" w:hanging="721"/>
        <w:jc w:val="both"/>
        <w:rPr>
          <w:rFonts w:ascii="Calibri"/>
          <w:sz w:val="22"/>
        </w:rPr>
      </w:pPr>
      <w:bookmarkStart w:name="_bookmark427" w:id="428"/>
      <w:bookmarkEnd w:id="428"/>
      <w:r>
        <w:rPr/>
      </w:r>
      <w:r>
        <w:rPr>
          <w:rFonts w:ascii="Calibri"/>
          <w:sz w:val="22"/>
        </w:rPr>
        <w:t>Welge,</w:t>
      </w:r>
      <w:r>
        <w:rPr>
          <w:rFonts w:ascii="Calibri"/>
          <w:spacing w:val="-4"/>
          <w:sz w:val="22"/>
        </w:rPr>
        <w:t> </w:t>
      </w:r>
      <w:r>
        <w:rPr>
          <w:rFonts w:ascii="Calibri"/>
          <w:sz w:val="22"/>
        </w:rPr>
        <w:t>R.</w:t>
      </w:r>
      <w:r>
        <w:rPr>
          <w:rFonts w:ascii="Calibri"/>
          <w:spacing w:val="-5"/>
          <w:sz w:val="22"/>
        </w:rPr>
        <w:t> </w:t>
      </w:r>
      <w:r>
        <w:rPr>
          <w:rFonts w:ascii="Calibri"/>
          <w:sz w:val="22"/>
        </w:rPr>
        <w:t>(2015). Union</w:t>
      </w:r>
      <w:r>
        <w:rPr>
          <w:rFonts w:ascii="Calibri"/>
          <w:spacing w:val="-2"/>
          <w:sz w:val="22"/>
        </w:rPr>
        <w:t> </w:t>
      </w:r>
      <w:r>
        <w:rPr>
          <w:rFonts w:ascii="Calibri"/>
          <w:sz w:val="22"/>
        </w:rPr>
        <w:t>citizenship</w:t>
      </w:r>
      <w:r>
        <w:rPr>
          <w:rFonts w:ascii="Calibri"/>
          <w:spacing w:val="-2"/>
          <w:sz w:val="22"/>
        </w:rPr>
        <w:t> </w:t>
      </w:r>
      <w:r>
        <w:rPr>
          <w:rFonts w:ascii="Calibri"/>
          <w:sz w:val="22"/>
        </w:rPr>
        <w:t>as</w:t>
      </w:r>
      <w:r>
        <w:rPr>
          <w:rFonts w:ascii="Calibri"/>
          <w:spacing w:val="-2"/>
          <w:sz w:val="22"/>
        </w:rPr>
        <w:t> </w:t>
      </w:r>
      <w:r>
        <w:rPr>
          <w:rFonts w:ascii="Calibri"/>
          <w:sz w:val="22"/>
        </w:rPr>
        <w:t>demoi-cratic</w:t>
      </w:r>
      <w:r>
        <w:rPr>
          <w:rFonts w:ascii="Calibri"/>
          <w:spacing w:val="-7"/>
          <w:sz w:val="22"/>
        </w:rPr>
        <w:t> </w:t>
      </w:r>
      <w:r>
        <w:rPr>
          <w:rFonts w:ascii="Calibri"/>
          <w:sz w:val="22"/>
        </w:rPr>
        <w:t>institution:</w:t>
      </w:r>
      <w:r>
        <w:rPr>
          <w:rFonts w:ascii="Calibri"/>
          <w:spacing w:val="-3"/>
          <w:sz w:val="22"/>
        </w:rPr>
        <w:t> </w:t>
      </w:r>
      <w:r>
        <w:rPr>
          <w:rFonts w:ascii="Calibri"/>
          <w:sz w:val="22"/>
        </w:rPr>
        <w:t>increasing the</w:t>
      </w:r>
      <w:r>
        <w:rPr>
          <w:rFonts w:ascii="Calibri"/>
          <w:spacing w:val="-6"/>
          <w:sz w:val="22"/>
        </w:rPr>
        <w:t> </w:t>
      </w:r>
      <w:r>
        <w:rPr>
          <w:rFonts w:ascii="Calibri"/>
          <w:sz w:val="22"/>
        </w:rPr>
        <w:t>EU's</w:t>
      </w:r>
      <w:r>
        <w:rPr>
          <w:rFonts w:ascii="Calibri"/>
          <w:spacing w:val="-2"/>
          <w:sz w:val="22"/>
        </w:rPr>
        <w:t> </w:t>
      </w:r>
      <w:r>
        <w:rPr>
          <w:rFonts w:ascii="Calibri"/>
          <w:sz w:val="22"/>
        </w:rPr>
        <w:t>subjective legitimacy through supranational citizenship? </w:t>
      </w:r>
      <w:r>
        <w:rPr>
          <w:rFonts w:ascii="Calibri"/>
          <w:i/>
          <w:sz w:val="22"/>
        </w:rPr>
        <w:t>Journal of European Public Policy, 22</w:t>
      </w:r>
      <w:r>
        <w:rPr>
          <w:rFonts w:ascii="Calibri"/>
          <w:sz w:val="22"/>
        </w:rPr>
        <w:t>(1), 56-74. doi: 10.1080/13501763.2014.881300</w:t>
      </w:r>
    </w:p>
    <w:p>
      <w:pPr>
        <w:spacing w:before="2"/>
        <w:ind w:left="979" w:right="0" w:firstLine="0"/>
        <w:jc w:val="both"/>
        <w:rPr>
          <w:rFonts w:ascii="Calibri"/>
          <w:sz w:val="22"/>
        </w:rPr>
      </w:pPr>
      <w:bookmarkStart w:name="_bookmark428" w:id="429"/>
      <w:bookmarkEnd w:id="429"/>
      <w:r>
        <w:rPr/>
      </w:r>
      <w:r>
        <w:rPr>
          <w:rFonts w:ascii="Calibri"/>
          <w:sz w:val="22"/>
        </w:rPr>
        <w:t>Wendt,</w:t>
      </w:r>
      <w:r>
        <w:rPr>
          <w:rFonts w:ascii="Calibri"/>
          <w:spacing w:val="75"/>
          <w:w w:val="150"/>
          <w:sz w:val="22"/>
        </w:rPr>
        <w:t> </w:t>
      </w:r>
      <w:r>
        <w:rPr>
          <w:rFonts w:ascii="Calibri"/>
          <w:sz w:val="22"/>
        </w:rPr>
        <w:t>A.</w:t>
      </w:r>
      <w:r>
        <w:rPr>
          <w:rFonts w:ascii="Calibri"/>
          <w:spacing w:val="79"/>
          <w:w w:val="150"/>
          <w:sz w:val="22"/>
        </w:rPr>
        <w:t> </w:t>
      </w:r>
      <w:r>
        <w:rPr>
          <w:rFonts w:ascii="Calibri"/>
          <w:sz w:val="22"/>
        </w:rPr>
        <w:t>(1987).</w:t>
      </w:r>
      <w:r>
        <w:rPr>
          <w:rFonts w:ascii="Calibri"/>
          <w:spacing w:val="27"/>
          <w:sz w:val="22"/>
        </w:rPr>
        <w:t>  </w:t>
      </w:r>
      <w:r>
        <w:rPr>
          <w:rFonts w:ascii="Calibri"/>
          <w:sz w:val="22"/>
        </w:rPr>
        <w:t>The</w:t>
      </w:r>
      <w:r>
        <w:rPr>
          <w:rFonts w:ascii="Calibri"/>
          <w:spacing w:val="79"/>
          <w:w w:val="150"/>
          <w:sz w:val="22"/>
        </w:rPr>
        <w:t> </w:t>
      </w:r>
      <w:r>
        <w:rPr>
          <w:rFonts w:ascii="Calibri"/>
          <w:sz w:val="22"/>
        </w:rPr>
        <w:t>Agent-Structure</w:t>
      </w:r>
      <w:r>
        <w:rPr>
          <w:rFonts w:ascii="Calibri"/>
          <w:spacing w:val="78"/>
          <w:w w:val="150"/>
          <w:sz w:val="22"/>
        </w:rPr>
        <w:t> </w:t>
      </w:r>
      <w:r>
        <w:rPr>
          <w:rFonts w:ascii="Calibri"/>
          <w:sz w:val="22"/>
        </w:rPr>
        <w:t>Problem</w:t>
      </w:r>
      <w:r>
        <w:rPr>
          <w:rFonts w:ascii="Calibri"/>
          <w:spacing w:val="27"/>
          <w:sz w:val="22"/>
        </w:rPr>
        <w:t>  </w:t>
      </w:r>
      <w:r>
        <w:rPr>
          <w:rFonts w:ascii="Calibri"/>
          <w:sz w:val="22"/>
        </w:rPr>
        <w:t>in</w:t>
      </w:r>
      <w:r>
        <w:rPr>
          <w:rFonts w:ascii="Calibri"/>
          <w:spacing w:val="78"/>
          <w:w w:val="150"/>
          <w:sz w:val="22"/>
        </w:rPr>
        <w:t> </w:t>
      </w:r>
      <w:r>
        <w:rPr>
          <w:rFonts w:ascii="Calibri"/>
          <w:sz w:val="22"/>
        </w:rPr>
        <w:t>International</w:t>
      </w:r>
      <w:r>
        <w:rPr>
          <w:rFonts w:ascii="Calibri"/>
          <w:spacing w:val="27"/>
          <w:sz w:val="22"/>
        </w:rPr>
        <w:t>  </w:t>
      </w:r>
      <w:r>
        <w:rPr>
          <w:rFonts w:ascii="Calibri"/>
          <w:sz w:val="22"/>
        </w:rPr>
        <w:t>Relations</w:t>
      </w:r>
      <w:r>
        <w:rPr>
          <w:rFonts w:ascii="Calibri"/>
          <w:spacing w:val="79"/>
          <w:w w:val="150"/>
          <w:sz w:val="22"/>
        </w:rPr>
        <w:t> </w:t>
      </w:r>
      <w:r>
        <w:rPr>
          <w:rFonts w:ascii="Calibri"/>
          <w:spacing w:val="-2"/>
          <w:sz w:val="22"/>
        </w:rPr>
        <w:t>Theory.</w:t>
      </w:r>
    </w:p>
    <w:p>
      <w:pPr>
        <w:spacing w:line="266" w:lineRule="exact" w:before="0"/>
        <w:ind w:left="1700" w:right="0" w:firstLine="0"/>
        <w:jc w:val="both"/>
        <w:rPr>
          <w:rFonts w:ascii="Calibri"/>
          <w:sz w:val="22"/>
        </w:rPr>
      </w:pPr>
      <w:r>
        <w:rPr>
          <w:rFonts w:ascii="Calibri"/>
          <w:i/>
          <w:sz w:val="22"/>
        </w:rPr>
        <w:t>International</w:t>
      </w:r>
      <w:r>
        <w:rPr>
          <w:rFonts w:ascii="Calibri"/>
          <w:i/>
          <w:spacing w:val="-6"/>
          <w:sz w:val="22"/>
        </w:rPr>
        <w:t> </w:t>
      </w:r>
      <w:r>
        <w:rPr>
          <w:rFonts w:ascii="Calibri"/>
          <w:i/>
          <w:sz w:val="22"/>
        </w:rPr>
        <w:t>Organization,</w:t>
      </w:r>
      <w:r>
        <w:rPr>
          <w:rFonts w:ascii="Calibri"/>
          <w:i/>
          <w:spacing w:val="-10"/>
          <w:sz w:val="22"/>
        </w:rPr>
        <w:t> </w:t>
      </w:r>
      <w:r>
        <w:rPr>
          <w:rFonts w:ascii="Calibri"/>
          <w:i/>
          <w:sz w:val="22"/>
        </w:rPr>
        <w:t>41</w:t>
      </w:r>
      <w:r>
        <w:rPr>
          <w:rFonts w:ascii="Calibri"/>
          <w:sz w:val="22"/>
        </w:rPr>
        <w:t>(3),</w:t>
      </w:r>
      <w:r>
        <w:rPr>
          <w:rFonts w:ascii="Calibri"/>
          <w:spacing w:val="-9"/>
          <w:sz w:val="22"/>
        </w:rPr>
        <w:t> </w:t>
      </w:r>
      <w:r>
        <w:rPr>
          <w:rFonts w:ascii="Calibri"/>
          <w:sz w:val="22"/>
        </w:rPr>
        <w:t>335-370.</w:t>
      </w:r>
      <w:r>
        <w:rPr>
          <w:rFonts w:ascii="Calibri"/>
          <w:spacing w:val="-6"/>
          <w:sz w:val="22"/>
        </w:rPr>
        <w:t> </w:t>
      </w:r>
      <w:r>
        <w:rPr>
          <w:rFonts w:ascii="Calibri"/>
          <w:sz w:val="22"/>
        </w:rPr>
        <w:t>doi:</w:t>
      </w:r>
      <w:r>
        <w:rPr>
          <w:rFonts w:ascii="Calibri"/>
          <w:spacing w:val="-9"/>
          <w:sz w:val="22"/>
        </w:rPr>
        <w:t> </w:t>
      </w:r>
      <w:r>
        <w:rPr>
          <w:rFonts w:ascii="Calibri"/>
          <w:spacing w:val="-2"/>
          <w:sz w:val="22"/>
        </w:rPr>
        <w:t>10.2307/2706749</w:t>
      </w:r>
    </w:p>
    <w:p>
      <w:pPr>
        <w:spacing w:line="240" w:lineRule="auto" w:before="0"/>
        <w:ind w:left="1700" w:right="1909" w:hanging="721"/>
        <w:jc w:val="left"/>
        <w:rPr>
          <w:rFonts w:ascii="Calibri"/>
          <w:sz w:val="22"/>
        </w:rPr>
      </w:pPr>
      <w:bookmarkStart w:name="_bookmark429" w:id="430"/>
      <w:bookmarkEnd w:id="430"/>
      <w:r>
        <w:rPr/>
      </w:r>
      <w:r>
        <w:rPr>
          <w:rFonts w:ascii="Calibri"/>
          <w:sz w:val="22"/>
        </w:rPr>
        <w:t>Wendt,</w:t>
      </w:r>
      <w:r>
        <w:rPr>
          <w:rFonts w:ascii="Calibri"/>
          <w:spacing w:val="36"/>
          <w:sz w:val="22"/>
        </w:rPr>
        <w:t> </w:t>
      </w:r>
      <w:r>
        <w:rPr>
          <w:rFonts w:ascii="Calibri"/>
          <w:sz w:val="22"/>
        </w:rPr>
        <w:t>A.</w:t>
      </w:r>
      <w:r>
        <w:rPr>
          <w:rFonts w:ascii="Calibri"/>
          <w:spacing w:val="40"/>
          <w:sz w:val="22"/>
        </w:rPr>
        <w:t> </w:t>
      </w:r>
      <w:r>
        <w:rPr>
          <w:rFonts w:ascii="Calibri"/>
          <w:sz w:val="22"/>
        </w:rPr>
        <w:t>(1992).</w:t>
      </w:r>
      <w:r>
        <w:rPr>
          <w:rFonts w:ascii="Calibri"/>
          <w:spacing w:val="35"/>
          <w:sz w:val="22"/>
        </w:rPr>
        <w:t> </w:t>
      </w:r>
      <w:r>
        <w:rPr>
          <w:rFonts w:ascii="Calibri"/>
          <w:sz w:val="22"/>
        </w:rPr>
        <w:t>Anarchy</w:t>
      </w:r>
      <w:r>
        <w:rPr>
          <w:rFonts w:ascii="Calibri"/>
          <w:spacing w:val="39"/>
          <w:sz w:val="22"/>
        </w:rPr>
        <w:t> </w:t>
      </w:r>
      <w:r>
        <w:rPr>
          <w:rFonts w:ascii="Calibri"/>
          <w:sz w:val="22"/>
        </w:rPr>
        <w:t>is</w:t>
      </w:r>
      <w:r>
        <w:rPr>
          <w:rFonts w:ascii="Calibri"/>
          <w:spacing w:val="33"/>
          <w:sz w:val="22"/>
        </w:rPr>
        <w:t> </w:t>
      </w:r>
      <w:r>
        <w:rPr>
          <w:rFonts w:ascii="Calibri"/>
          <w:sz w:val="22"/>
        </w:rPr>
        <w:t>What</w:t>
      </w:r>
      <w:r>
        <w:rPr>
          <w:rFonts w:ascii="Calibri"/>
          <w:spacing w:val="35"/>
          <w:sz w:val="22"/>
        </w:rPr>
        <w:t> </w:t>
      </w:r>
      <w:r>
        <w:rPr>
          <w:rFonts w:ascii="Calibri"/>
          <w:sz w:val="22"/>
        </w:rPr>
        <w:t>States</w:t>
      </w:r>
      <w:r>
        <w:rPr>
          <w:rFonts w:ascii="Calibri"/>
          <w:spacing w:val="38"/>
          <w:sz w:val="22"/>
        </w:rPr>
        <w:t> </w:t>
      </w:r>
      <w:r>
        <w:rPr>
          <w:rFonts w:ascii="Calibri"/>
          <w:sz w:val="22"/>
        </w:rPr>
        <w:t>Make</w:t>
      </w:r>
      <w:r>
        <w:rPr>
          <w:rFonts w:ascii="Calibri"/>
          <w:spacing w:val="39"/>
          <w:sz w:val="22"/>
        </w:rPr>
        <w:t> </w:t>
      </w:r>
      <w:r>
        <w:rPr>
          <w:rFonts w:ascii="Calibri"/>
          <w:sz w:val="22"/>
        </w:rPr>
        <w:t>of</w:t>
      </w:r>
      <w:r>
        <w:rPr>
          <w:rFonts w:ascii="Calibri"/>
          <w:spacing w:val="33"/>
          <w:sz w:val="22"/>
        </w:rPr>
        <w:t> </w:t>
      </w:r>
      <w:r>
        <w:rPr>
          <w:rFonts w:ascii="Calibri"/>
          <w:sz w:val="22"/>
        </w:rPr>
        <w:t>it:</w:t>
      </w:r>
      <w:r>
        <w:rPr>
          <w:rFonts w:ascii="Calibri"/>
          <w:spacing w:val="37"/>
          <w:sz w:val="22"/>
        </w:rPr>
        <w:t> </w:t>
      </w:r>
      <w:r>
        <w:rPr>
          <w:rFonts w:ascii="Calibri"/>
          <w:sz w:val="22"/>
        </w:rPr>
        <w:t>The</w:t>
      </w:r>
      <w:r>
        <w:rPr>
          <w:rFonts w:ascii="Calibri"/>
          <w:spacing w:val="39"/>
          <w:sz w:val="22"/>
        </w:rPr>
        <w:t> </w:t>
      </w:r>
      <w:r>
        <w:rPr>
          <w:rFonts w:ascii="Calibri"/>
          <w:sz w:val="22"/>
        </w:rPr>
        <w:t>Social</w:t>
      </w:r>
      <w:r>
        <w:rPr>
          <w:rFonts w:ascii="Calibri"/>
          <w:spacing w:val="35"/>
          <w:sz w:val="22"/>
        </w:rPr>
        <w:t> </w:t>
      </w:r>
      <w:r>
        <w:rPr>
          <w:rFonts w:ascii="Calibri"/>
          <w:sz w:val="22"/>
        </w:rPr>
        <w:t>Construction</w:t>
      </w:r>
      <w:r>
        <w:rPr>
          <w:rFonts w:ascii="Calibri"/>
          <w:spacing w:val="37"/>
          <w:sz w:val="22"/>
        </w:rPr>
        <w:t> </w:t>
      </w:r>
      <w:r>
        <w:rPr>
          <w:rFonts w:ascii="Calibri"/>
          <w:sz w:val="22"/>
        </w:rPr>
        <w:t>of</w:t>
      </w:r>
      <w:r>
        <w:rPr>
          <w:rFonts w:ascii="Calibri"/>
          <w:spacing w:val="38"/>
          <w:sz w:val="22"/>
        </w:rPr>
        <w:t> </w:t>
      </w:r>
      <w:r>
        <w:rPr>
          <w:rFonts w:ascii="Calibri"/>
          <w:sz w:val="22"/>
        </w:rPr>
        <w:t>Power Politics. </w:t>
      </w:r>
      <w:r>
        <w:rPr>
          <w:rFonts w:ascii="Calibri"/>
          <w:i/>
          <w:sz w:val="22"/>
        </w:rPr>
        <w:t>International Organization, 46</w:t>
      </w:r>
      <w:r>
        <w:rPr>
          <w:rFonts w:ascii="Calibri"/>
          <w:sz w:val="22"/>
        </w:rPr>
        <w:t>(2), 391-425.</w:t>
      </w:r>
    </w:p>
    <w:p>
      <w:pPr>
        <w:spacing w:before="0"/>
        <w:ind w:left="979" w:right="0" w:firstLine="0"/>
        <w:jc w:val="left"/>
        <w:rPr>
          <w:rFonts w:ascii="Calibri"/>
          <w:sz w:val="22"/>
        </w:rPr>
      </w:pPr>
      <w:bookmarkStart w:name="_bookmark430" w:id="431"/>
      <w:bookmarkEnd w:id="431"/>
      <w:r>
        <w:rPr/>
      </w:r>
      <w:r>
        <w:rPr>
          <w:rFonts w:ascii="Calibri"/>
          <w:sz w:val="22"/>
        </w:rPr>
        <w:t>Wendt,</w:t>
      </w:r>
      <w:r>
        <w:rPr>
          <w:rFonts w:ascii="Calibri"/>
          <w:spacing w:val="-11"/>
          <w:sz w:val="22"/>
        </w:rPr>
        <w:t> </w:t>
      </w:r>
      <w:r>
        <w:rPr>
          <w:rFonts w:ascii="Calibri"/>
          <w:sz w:val="22"/>
        </w:rPr>
        <w:t>A.</w:t>
      </w:r>
      <w:r>
        <w:rPr>
          <w:rFonts w:ascii="Calibri"/>
          <w:spacing w:val="-6"/>
          <w:sz w:val="22"/>
        </w:rPr>
        <w:t> </w:t>
      </w:r>
      <w:r>
        <w:rPr>
          <w:rFonts w:ascii="Calibri"/>
          <w:sz w:val="22"/>
        </w:rPr>
        <w:t>(1995</w:t>
      </w:r>
      <w:r>
        <w:rPr>
          <w:rFonts w:ascii="Calibri"/>
          <w:spacing w:val="-9"/>
          <w:sz w:val="22"/>
        </w:rPr>
        <w:t> </w:t>
      </w:r>
      <w:r>
        <w:rPr>
          <w:rFonts w:ascii="Calibri"/>
          <w:sz w:val="22"/>
        </w:rPr>
        <w:t>).</w:t>
      </w:r>
      <w:r>
        <w:rPr>
          <w:rFonts w:ascii="Calibri"/>
          <w:spacing w:val="-6"/>
          <w:sz w:val="22"/>
        </w:rPr>
        <w:t> </w:t>
      </w:r>
      <w:r>
        <w:rPr>
          <w:rFonts w:ascii="Calibri"/>
          <w:sz w:val="22"/>
        </w:rPr>
        <w:t>Constructing</w:t>
      </w:r>
      <w:r>
        <w:rPr>
          <w:rFonts w:ascii="Calibri"/>
          <w:spacing w:val="-6"/>
          <w:sz w:val="22"/>
        </w:rPr>
        <w:t> </w:t>
      </w:r>
      <w:r>
        <w:rPr>
          <w:rFonts w:ascii="Calibri"/>
          <w:sz w:val="22"/>
        </w:rPr>
        <w:t>International</w:t>
      </w:r>
      <w:r>
        <w:rPr>
          <w:rFonts w:ascii="Calibri"/>
          <w:spacing w:val="-7"/>
          <w:sz w:val="22"/>
        </w:rPr>
        <w:t> </w:t>
      </w:r>
      <w:r>
        <w:rPr>
          <w:rFonts w:ascii="Calibri"/>
          <w:sz w:val="22"/>
        </w:rPr>
        <w:t>Politics. </w:t>
      </w:r>
      <w:r>
        <w:rPr>
          <w:rFonts w:ascii="Calibri"/>
          <w:i/>
          <w:sz w:val="22"/>
        </w:rPr>
        <w:t>International</w:t>
      </w:r>
      <w:r>
        <w:rPr>
          <w:rFonts w:ascii="Calibri"/>
          <w:i/>
          <w:spacing w:val="-5"/>
          <w:sz w:val="22"/>
        </w:rPr>
        <w:t> </w:t>
      </w:r>
      <w:r>
        <w:rPr>
          <w:rFonts w:ascii="Calibri"/>
          <w:i/>
          <w:sz w:val="22"/>
        </w:rPr>
        <w:t>Security</w:t>
      </w:r>
      <w:r>
        <w:rPr>
          <w:rFonts w:ascii="Calibri"/>
          <w:sz w:val="22"/>
        </w:rPr>
        <w:t>,</w:t>
      </w:r>
      <w:r>
        <w:rPr>
          <w:rFonts w:ascii="Calibri"/>
          <w:spacing w:val="-10"/>
          <w:sz w:val="22"/>
        </w:rPr>
        <w:t> </w:t>
      </w:r>
      <w:r>
        <w:rPr>
          <w:rFonts w:ascii="Calibri"/>
          <w:sz w:val="22"/>
        </w:rPr>
        <w:t>71-</w:t>
      </w:r>
      <w:r>
        <w:rPr>
          <w:rFonts w:ascii="Calibri"/>
          <w:spacing w:val="-5"/>
          <w:sz w:val="22"/>
        </w:rPr>
        <w:t>81.</w:t>
      </w:r>
    </w:p>
    <w:p>
      <w:pPr>
        <w:spacing w:before="0"/>
        <w:ind w:left="979" w:right="0" w:firstLine="0"/>
        <w:jc w:val="left"/>
        <w:rPr>
          <w:rFonts w:ascii="Calibri"/>
          <w:i/>
          <w:sz w:val="22"/>
        </w:rPr>
      </w:pPr>
      <w:bookmarkStart w:name="_bookmark431" w:id="432"/>
      <w:bookmarkEnd w:id="432"/>
      <w:r>
        <w:rPr/>
      </w:r>
      <w:r>
        <w:rPr>
          <w:rFonts w:ascii="Calibri"/>
          <w:sz w:val="22"/>
        </w:rPr>
        <w:t>Wheatley,</w:t>
      </w:r>
      <w:r>
        <w:rPr>
          <w:rFonts w:ascii="Calibri"/>
          <w:spacing w:val="-8"/>
          <w:sz w:val="22"/>
        </w:rPr>
        <w:t> </w:t>
      </w:r>
      <w:r>
        <w:rPr>
          <w:rFonts w:ascii="Calibri"/>
          <w:sz w:val="22"/>
        </w:rPr>
        <w:t>M.</w:t>
      </w:r>
      <w:r>
        <w:rPr>
          <w:rFonts w:ascii="Calibri"/>
          <w:spacing w:val="-3"/>
          <w:sz w:val="22"/>
        </w:rPr>
        <w:t> </w:t>
      </w:r>
      <w:r>
        <w:rPr>
          <w:rFonts w:ascii="Calibri"/>
          <w:sz w:val="22"/>
        </w:rPr>
        <w:t>J.</w:t>
      </w:r>
      <w:r>
        <w:rPr>
          <w:rFonts w:ascii="Calibri"/>
          <w:spacing w:val="-4"/>
          <w:sz w:val="22"/>
        </w:rPr>
        <w:t> </w:t>
      </w:r>
      <w:r>
        <w:rPr>
          <w:rFonts w:ascii="Calibri"/>
          <w:sz w:val="22"/>
        </w:rPr>
        <w:t>(2006). </w:t>
      </w:r>
      <w:r>
        <w:rPr>
          <w:rFonts w:ascii="Calibri"/>
          <w:i/>
          <w:sz w:val="22"/>
        </w:rPr>
        <w:t>Leadership</w:t>
      </w:r>
      <w:r>
        <w:rPr>
          <w:rFonts w:ascii="Calibri"/>
          <w:i/>
          <w:spacing w:val="-4"/>
          <w:sz w:val="22"/>
        </w:rPr>
        <w:t> </w:t>
      </w:r>
      <w:r>
        <w:rPr>
          <w:rFonts w:ascii="Calibri"/>
          <w:i/>
          <w:sz w:val="22"/>
        </w:rPr>
        <w:t>and</w:t>
      </w:r>
      <w:r>
        <w:rPr>
          <w:rFonts w:ascii="Calibri"/>
          <w:i/>
          <w:spacing w:val="-3"/>
          <w:sz w:val="22"/>
        </w:rPr>
        <w:t> </w:t>
      </w:r>
      <w:r>
        <w:rPr>
          <w:rFonts w:ascii="Calibri"/>
          <w:i/>
          <w:sz w:val="22"/>
        </w:rPr>
        <w:t>the</w:t>
      </w:r>
      <w:r>
        <w:rPr>
          <w:rFonts w:ascii="Calibri"/>
          <w:i/>
          <w:spacing w:val="-5"/>
          <w:sz w:val="22"/>
        </w:rPr>
        <w:t> </w:t>
      </w:r>
      <w:r>
        <w:rPr>
          <w:rFonts w:ascii="Calibri"/>
          <w:i/>
          <w:sz w:val="22"/>
        </w:rPr>
        <w:t>new</w:t>
      </w:r>
      <w:r>
        <w:rPr>
          <w:rFonts w:ascii="Calibri"/>
          <w:i/>
          <w:spacing w:val="-4"/>
          <w:sz w:val="22"/>
        </w:rPr>
        <w:t> </w:t>
      </w:r>
      <w:r>
        <w:rPr>
          <w:rFonts w:ascii="Calibri"/>
          <w:i/>
          <w:sz w:val="22"/>
        </w:rPr>
        <w:t>science</w:t>
      </w:r>
      <w:r>
        <w:rPr>
          <w:rFonts w:ascii="Calibri"/>
          <w:i/>
          <w:spacing w:val="-5"/>
          <w:sz w:val="22"/>
        </w:rPr>
        <w:t> </w:t>
      </w:r>
      <w:r>
        <w:rPr>
          <w:rFonts w:ascii="Calibri"/>
          <w:i/>
          <w:sz w:val="22"/>
        </w:rPr>
        <w:t>:</w:t>
      </w:r>
      <w:r>
        <w:rPr>
          <w:rFonts w:ascii="Calibri"/>
          <w:i/>
          <w:spacing w:val="-6"/>
          <w:sz w:val="22"/>
        </w:rPr>
        <w:t> </w:t>
      </w:r>
      <w:r>
        <w:rPr>
          <w:rFonts w:ascii="Calibri"/>
          <w:i/>
          <w:sz w:val="22"/>
        </w:rPr>
        <w:t>discovering</w:t>
      </w:r>
      <w:r>
        <w:rPr>
          <w:rFonts w:ascii="Calibri"/>
          <w:i/>
          <w:spacing w:val="-4"/>
          <w:sz w:val="22"/>
        </w:rPr>
        <w:t> </w:t>
      </w:r>
      <w:r>
        <w:rPr>
          <w:rFonts w:ascii="Calibri"/>
          <w:i/>
          <w:sz w:val="22"/>
        </w:rPr>
        <w:t>order</w:t>
      </w:r>
      <w:r>
        <w:rPr>
          <w:rFonts w:ascii="Calibri"/>
          <w:i/>
          <w:spacing w:val="-3"/>
          <w:sz w:val="22"/>
        </w:rPr>
        <w:t> </w:t>
      </w:r>
      <w:r>
        <w:rPr>
          <w:rFonts w:ascii="Calibri"/>
          <w:i/>
          <w:sz w:val="22"/>
        </w:rPr>
        <w:t>in</w:t>
      </w:r>
      <w:r>
        <w:rPr>
          <w:rFonts w:ascii="Calibri"/>
          <w:i/>
          <w:spacing w:val="-4"/>
          <w:sz w:val="22"/>
        </w:rPr>
        <w:t> </w:t>
      </w:r>
      <w:r>
        <w:rPr>
          <w:rFonts w:ascii="Calibri"/>
          <w:i/>
          <w:sz w:val="22"/>
        </w:rPr>
        <w:t>a</w:t>
      </w:r>
      <w:r>
        <w:rPr>
          <w:rFonts w:ascii="Calibri"/>
          <w:i/>
          <w:spacing w:val="-3"/>
          <w:sz w:val="22"/>
        </w:rPr>
        <w:t> </w:t>
      </w:r>
      <w:r>
        <w:rPr>
          <w:rFonts w:ascii="Calibri"/>
          <w:i/>
          <w:sz w:val="22"/>
        </w:rPr>
        <w:t>chaotic</w:t>
      </w:r>
      <w:r>
        <w:rPr>
          <w:rFonts w:ascii="Calibri"/>
          <w:i/>
          <w:spacing w:val="-5"/>
          <w:sz w:val="22"/>
        </w:rPr>
        <w:t> </w:t>
      </w:r>
      <w:r>
        <w:rPr>
          <w:rFonts w:ascii="Calibri"/>
          <w:i/>
          <w:spacing w:val="-2"/>
          <w:sz w:val="22"/>
        </w:rPr>
        <w:t>world</w:t>
      </w:r>
    </w:p>
    <w:p>
      <w:pPr>
        <w:spacing w:before="0"/>
        <w:ind w:left="1700" w:right="0" w:firstLine="0"/>
        <w:jc w:val="left"/>
        <w:rPr>
          <w:rFonts w:ascii="Calibri"/>
          <w:sz w:val="22"/>
        </w:rPr>
      </w:pPr>
      <w:r>
        <w:rPr>
          <w:rFonts w:ascii="Calibri"/>
          <w:sz w:val="22"/>
        </w:rPr>
        <w:t>(3rd</w:t>
      </w:r>
      <w:r>
        <w:rPr>
          <w:rFonts w:ascii="Calibri"/>
          <w:spacing w:val="-6"/>
          <w:sz w:val="22"/>
        </w:rPr>
        <w:t> </w:t>
      </w:r>
      <w:r>
        <w:rPr>
          <w:rFonts w:ascii="Calibri"/>
          <w:sz w:val="22"/>
        </w:rPr>
        <w:t>ed.</w:t>
      </w:r>
      <w:r>
        <w:rPr>
          <w:rFonts w:ascii="Calibri"/>
          <w:spacing w:val="-4"/>
          <w:sz w:val="22"/>
        </w:rPr>
        <w:t> </w:t>
      </w:r>
      <w:r>
        <w:rPr>
          <w:rFonts w:ascii="Calibri"/>
          <w:sz w:val="22"/>
        </w:rPr>
        <w:t>ed.).</w:t>
      </w:r>
      <w:r>
        <w:rPr>
          <w:rFonts w:ascii="Calibri"/>
          <w:spacing w:val="-3"/>
          <w:sz w:val="22"/>
        </w:rPr>
        <w:t> </w:t>
      </w:r>
      <w:r>
        <w:rPr>
          <w:rFonts w:ascii="Calibri"/>
          <w:sz w:val="22"/>
        </w:rPr>
        <w:t>San</w:t>
      </w:r>
      <w:r>
        <w:rPr>
          <w:rFonts w:ascii="Calibri"/>
          <w:spacing w:val="-5"/>
          <w:sz w:val="22"/>
        </w:rPr>
        <w:t> </w:t>
      </w:r>
      <w:r>
        <w:rPr>
          <w:rFonts w:ascii="Calibri"/>
          <w:sz w:val="22"/>
        </w:rPr>
        <w:t>Francisco,</w:t>
      </w:r>
      <w:r>
        <w:rPr>
          <w:rFonts w:ascii="Calibri"/>
          <w:spacing w:val="-8"/>
          <w:sz w:val="22"/>
        </w:rPr>
        <w:t> </w:t>
      </w:r>
      <w:r>
        <w:rPr>
          <w:rFonts w:ascii="Calibri"/>
          <w:sz w:val="22"/>
        </w:rPr>
        <w:t>Calif.:</w:t>
      </w:r>
      <w:r>
        <w:rPr>
          <w:rFonts w:ascii="Calibri"/>
          <w:spacing w:val="-6"/>
          <w:sz w:val="22"/>
        </w:rPr>
        <w:t> </w:t>
      </w:r>
      <w:r>
        <w:rPr>
          <w:rFonts w:ascii="Calibri"/>
          <w:sz w:val="22"/>
        </w:rPr>
        <w:t>Berrett-</w:t>
      </w:r>
      <w:r>
        <w:rPr>
          <w:rFonts w:ascii="Calibri"/>
          <w:spacing w:val="-2"/>
          <w:sz w:val="22"/>
        </w:rPr>
        <w:t>Koehler.</w:t>
      </w:r>
    </w:p>
    <w:p>
      <w:pPr>
        <w:spacing w:before="0"/>
        <w:ind w:left="1700" w:right="1909" w:hanging="721"/>
        <w:jc w:val="left"/>
        <w:rPr>
          <w:rFonts w:ascii="Calibri"/>
          <w:sz w:val="22"/>
        </w:rPr>
      </w:pPr>
      <w:bookmarkStart w:name="_bookmark432" w:id="433"/>
      <w:bookmarkEnd w:id="433"/>
      <w:r>
        <w:rPr/>
      </w:r>
      <w:r>
        <w:rPr>
          <w:rFonts w:ascii="Calibri"/>
          <w:sz w:val="22"/>
        </w:rPr>
        <w:t>Wiener,</w:t>
      </w:r>
      <w:r>
        <w:rPr>
          <w:rFonts w:ascii="Calibri"/>
          <w:spacing w:val="27"/>
          <w:sz w:val="22"/>
        </w:rPr>
        <w:t> </w:t>
      </w:r>
      <w:r>
        <w:rPr>
          <w:rFonts w:ascii="Calibri"/>
          <w:sz w:val="22"/>
        </w:rPr>
        <w:t>A.,</w:t>
      </w:r>
      <w:r>
        <w:rPr>
          <w:rFonts w:ascii="Calibri"/>
          <w:spacing w:val="27"/>
          <w:sz w:val="22"/>
        </w:rPr>
        <w:t> </w:t>
      </w:r>
      <w:r>
        <w:rPr>
          <w:rFonts w:ascii="Calibri"/>
          <w:sz w:val="22"/>
        </w:rPr>
        <w:t>&amp;</w:t>
      </w:r>
      <w:r>
        <w:rPr>
          <w:rFonts w:ascii="Calibri"/>
          <w:spacing w:val="28"/>
          <w:sz w:val="22"/>
        </w:rPr>
        <w:t> </w:t>
      </w:r>
      <w:r>
        <w:rPr>
          <w:rFonts w:ascii="Calibri"/>
          <w:sz w:val="22"/>
        </w:rPr>
        <w:t>Diez,</w:t>
      </w:r>
      <w:r>
        <w:rPr>
          <w:rFonts w:ascii="Calibri"/>
          <w:spacing w:val="27"/>
          <w:sz w:val="22"/>
        </w:rPr>
        <w:t> </w:t>
      </w:r>
      <w:r>
        <w:rPr>
          <w:rFonts w:ascii="Calibri"/>
          <w:sz w:val="22"/>
        </w:rPr>
        <w:t>T.</w:t>
      </w:r>
      <w:r>
        <w:rPr>
          <w:rFonts w:ascii="Calibri"/>
          <w:spacing w:val="31"/>
          <w:sz w:val="22"/>
        </w:rPr>
        <w:t> </w:t>
      </w:r>
      <w:r>
        <w:rPr>
          <w:rFonts w:ascii="Calibri"/>
          <w:sz w:val="22"/>
        </w:rPr>
        <w:t>(2009).</w:t>
      </w:r>
      <w:r>
        <w:rPr>
          <w:rFonts w:ascii="Calibri"/>
          <w:spacing w:val="33"/>
          <w:sz w:val="22"/>
        </w:rPr>
        <w:t> </w:t>
      </w:r>
      <w:r>
        <w:rPr>
          <w:rFonts w:ascii="Calibri"/>
          <w:i/>
          <w:sz w:val="22"/>
        </w:rPr>
        <w:t>European</w:t>
      </w:r>
      <w:r>
        <w:rPr>
          <w:rFonts w:ascii="Calibri"/>
          <w:i/>
          <w:spacing w:val="31"/>
          <w:sz w:val="22"/>
        </w:rPr>
        <w:t> </w:t>
      </w:r>
      <w:r>
        <w:rPr>
          <w:rFonts w:ascii="Calibri"/>
          <w:i/>
          <w:sz w:val="22"/>
        </w:rPr>
        <w:t>integration</w:t>
      </w:r>
      <w:r>
        <w:rPr>
          <w:rFonts w:ascii="Calibri"/>
          <w:i/>
          <w:spacing w:val="31"/>
          <w:sz w:val="22"/>
        </w:rPr>
        <w:t> </w:t>
      </w:r>
      <w:r>
        <w:rPr>
          <w:rFonts w:ascii="Calibri"/>
          <w:i/>
          <w:sz w:val="22"/>
        </w:rPr>
        <w:t>theory</w:t>
      </w:r>
      <w:r>
        <w:rPr>
          <w:rFonts w:ascii="Calibri"/>
          <w:i/>
          <w:spacing w:val="36"/>
          <w:sz w:val="22"/>
        </w:rPr>
        <w:t> </w:t>
      </w:r>
      <w:r>
        <w:rPr>
          <w:rFonts w:ascii="Calibri"/>
          <w:sz w:val="22"/>
        </w:rPr>
        <w:t>(2nd</w:t>
      </w:r>
      <w:r>
        <w:rPr>
          <w:rFonts w:ascii="Calibri"/>
          <w:spacing w:val="29"/>
          <w:sz w:val="22"/>
        </w:rPr>
        <w:t> </w:t>
      </w:r>
      <w:r>
        <w:rPr>
          <w:rFonts w:ascii="Calibri"/>
          <w:sz w:val="22"/>
        </w:rPr>
        <w:t>ed.).</w:t>
      </w:r>
      <w:r>
        <w:rPr>
          <w:rFonts w:ascii="Calibri"/>
          <w:spacing w:val="31"/>
          <w:sz w:val="22"/>
        </w:rPr>
        <w:t> </w:t>
      </w:r>
      <w:r>
        <w:rPr>
          <w:rFonts w:ascii="Calibri"/>
          <w:sz w:val="22"/>
        </w:rPr>
        <w:t>Oxford</w:t>
      </w:r>
      <w:r>
        <w:rPr>
          <w:rFonts w:ascii="Calibri"/>
          <w:spacing w:val="29"/>
          <w:sz w:val="22"/>
        </w:rPr>
        <w:t> </w:t>
      </w:r>
      <w:r>
        <w:rPr>
          <w:rFonts w:ascii="Calibri"/>
          <w:sz w:val="22"/>
        </w:rPr>
        <w:t>;</w:t>
      </w:r>
      <w:r>
        <w:rPr>
          <w:rFonts w:ascii="Calibri"/>
          <w:spacing w:val="28"/>
          <w:sz w:val="22"/>
        </w:rPr>
        <w:t> </w:t>
      </w:r>
      <w:r>
        <w:rPr>
          <w:rFonts w:ascii="Calibri"/>
          <w:sz w:val="22"/>
        </w:rPr>
        <w:t>New</w:t>
      </w:r>
      <w:r>
        <w:rPr>
          <w:rFonts w:ascii="Calibri"/>
          <w:spacing w:val="30"/>
          <w:sz w:val="22"/>
        </w:rPr>
        <w:t> </w:t>
      </w:r>
      <w:r>
        <w:rPr>
          <w:rFonts w:ascii="Calibri"/>
          <w:sz w:val="22"/>
        </w:rPr>
        <w:t>York: Oxford University Press.</w:t>
      </w:r>
    </w:p>
    <w:p>
      <w:pPr>
        <w:spacing w:before="0"/>
        <w:ind w:left="1700" w:right="1909" w:hanging="721"/>
        <w:jc w:val="left"/>
        <w:rPr>
          <w:rFonts w:ascii="Calibri"/>
          <w:sz w:val="22"/>
        </w:rPr>
      </w:pPr>
      <w:bookmarkStart w:name="_bookmark433" w:id="434"/>
      <w:bookmarkEnd w:id="434"/>
      <w:r>
        <w:rPr/>
      </w:r>
      <w:r>
        <w:rPr>
          <w:rFonts w:ascii="Calibri"/>
          <w:sz w:val="22"/>
        </w:rPr>
        <w:t>Wiener,</w:t>
      </w:r>
      <w:r>
        <w:rPr>
          <w:rFonts w:ascii="Calibri"/>
          <w:spacing w:val="40"/>
          <w:sz w:val="22"/>
        </w:rPr>
        <w:t> </w:t>
      </w:r>
      <w:r>
        <w:rPr>
          <w:rFonts w:ascii="Calibri"/>
          <w:sz w:val="22"/>
        </w:rPr>
        <w:t>N.</w:t>
      </w:r>
      <w:r>
        <w:rPr>
          <w:rFonts w:ascii="Calibri"/>
          <w:spacing w:val="40"/>
          <w:sz w:val="22"/>
        </w:rPr>
        <w:t> </w:t>
      </w:r>
      <w:r>
        <w:rPr>
          <w:rFonts w:ascii="Calibri"/>
          <w:sz w:val="22"/>
        </w:rPr>
        <w:t>(1950).</w:t>
      </w:r>
      <w:r>
        <w:rPr>
          <w:rFonts w:ascii="Calibri"/>
          <w:spacing w:val="40"/>
          <w:sz w:val="22"/>
        </w:rPr>
        <w:t> </w:t>
      </w:r>
      <w:r>
        <w:rPr>
          <w:rFonts w:ascii="Calibri"/>
          <w:i/>
          <w:sz w:val="22"/>
        </w:rPr>
        <w:t>The</w:t>
      </w:r>
      <w:r>
        <w:rPr>
          <w:rFonts w:ascii="Calibri"/>
          <w:i/>
          <w:spacing w:val="40"/>
          <w:sz w:val="22"/>
        </w:rPr>
        <w:t> </w:t>
      </w:r>
      <w:r>
        <w:rPr>
          <w:rFonts w:ascii="Calibri"/>
          <w:i/>
          <w:sz w:val="22"/>
        </w:rPr>
        <w:t>human</w:t>
      </w:r>
      <w:r>
        <w:rPr>
          <w:rFonts w:ascii="Calibri"/>
          <w:i/>
          <w:spacing w:val="40"/>
          <w:sz w:val="22"/>
        </w:rPr>
        <w:t> </w:t>
      </w:r>
      <w:r>
        <w:rPr>
          <w:rFonts w:ascii="Calibri"/>
          <w:i/>
          <w:sz w:val="22"/>
        </w:rPr>
        <w:t>use</w:t>
      </w:r>
      <w:r>
        <w:rPr>
          <w:rFonts w:ascii="Calibri"/>
          <w:i/>
          <w:spacing w:val="40"/>
          <w:sz w:val="22"/>
        </w:rPr>
        <w:t> </w:t>
      </w:r>
      <w:r>
        <w:rPr>
          <w:rFonts w:ascii="Calibri"/>
          <w:i/>
          <w:sz w:val="22"/>
        </w:rPr>
        <w:t>of</w:t>
      </w:r>
      <w:r>
        <w:rPr>
          <w:rFonts w:ascii="Calibri"/>
          <w:i/>
          <w:spacing w:val="40"/>
          <w:sz w:val="22"/>
        </w:rPr>
        <w:t> </w:t>
      </w:r>
      <w:r>
        <w:rPr>
          <w:rFonts w:ascii="Calibri"/>
          <w:i/>
          <w:sz w:val="22"/>
        </w:rPr>
        <w:t>human</w:t>
      </w:r>
      <w:r>
        <w:rPr>
          <w:rFonts w:ascii="Calibri"/>
          <w:i/>
          <w:spacing w:val="40"/>
          <w:sz w:val="22"/>
        </w:rPr>
        <w:t> </w:t>
      </w:r>
      <w:r>
        <w:rPr>
          <w:rFonts w:ascii="Calibri"/>
          <w:i/>
          <w:sz w:val="22"/>
        </w:rPr>
        <w:t>beings;</w:t>
      </w:r>
      <w:r>
        <w:rPr>
          <w:rFonts w:ascii="Calibri"/>
          <w:i/>
          <w:spacing w:val="40"/>
          <w:sz w:val="22"/>
        </w:rPr>
        <w:t> </w:t>
      </w:r>
      <w:r>
        <w:rPr>
          <w:rFonts w:ascii="Calibri"/>
          <w:i/>
          <w:sz w:val="22"/>
        </w:rPr>
        <w:t>cybernetics</w:t>
      </w:r>
      <w:r>
        <w:rPr>
          <w:rFonts w:ascii="Calibri"/>
          <w:i/>
          <w:spacing w:val="40"/>
          <w:sz w:val="22"/>
        </w:rPr>
        <w:t> </w:t>
      </w:r>
      <w:r>
        <w:rPr>
          <w:rFonts w:ascii="Calibri"/>
          <w:i/>
          <w:sz w:val="22"/>
        </w:rPr>
        <w:t>and</w:t>
      </w:r>
      <w:r>
        <w:rPr>
          <w:rFonts w:ascii="Calibri"/>
          <w:i/>
          <w:spacing w:val="40"/>
          <w:sz w:val="22"/>
        </w:rPr>
        <w:t> </w:t>
      </w:r>
      <w:r>
        <w:rPr>
          <w:rFonts w:ascii="Calibri"/>
          <w:i/>
          <w:sz w:val="22"/>
        </w:rPr>
        <w:t>society</w:t>
      </w:r>
      <w:r>
        <w:rPr>
          <w:rFonts w:ascii="Calibri"/>
          <w:sz w:val="22"/>
        </w:rPr>
        <w:t>.</w:t>
      </w:r>
      <w:r>
        <w:rPr>
          <w:rFonts w:ascii="Calibri"/>
          <w:spacing w:val="40"/>
          <w:sz w:val="22"/>
        </w:rPr>
        <w:t> </w:t>
      </w:r>
      <w:r>
        <w:rPr>
          <w:rFonts w:ascii="Calibri"/>
          <w:sz w:val="22"/>
        </w:rPr>
        <w:t>Boston,: Houghton Mifflin.</w:t>
      </w:r>
    </w:p>
    <w:p>
      <w:pPr>
        <w:spacing w:before="0"/>
        <w:ind w:left="1700" w:right="1909" w:hanging="721"/>
        <w:jc w:val="left"/>
        <w:rPr>
          <w:rFonts w:ascii="Calibri"/>
          <w:sz w:val="22"/>
        </w:rPr>
      </w:pPr>
      <w:bookmarkStart w:name="_bookmark434" w:id="435"/>
      <w:bookmarkEnd w:id="435"/>
      <w:r>
        <w:rPr/>
      </w:r>
      <w:r>
        <w:rPr>
          <w:rFonts w:ascii="Calibri"/>
          <w:sz w:val="22"/>
        </w:rPr>
        <w:t>Wiener,</w:t>
      </w:r>
      <w:r>
        <w:rPr>
          <w:rFonts w:ascii="Calibri"/>
          <w:spacing w:val="40"/>
          <w:sz w:val="22"/>
        </w:rPr>
        <w:t> </w:t>
      </w:r>
      <w:r>
        <w:rPr>
          <w:rFonts w:ascii="Calibri"/>
          <w:sz w:val="22"/>
        </w:rPr>
        <w:t>N.</w:t>
      </w:r>
      <w:r>
        <w:rPr>
          <w:rFonts w:ascii="Calibri"/>
          <w:spacing w:val="40"/>
          <w:sz w:val="22"/>
        </w:rPr>
        <w:t> </w:t>
      </w:r>
      <w:r>
        <w:rPr>
          <w:rFonts w:ascii="Calibri"/>
          <w:sz w:val="22"/>
        </w:rPr>
        <w:t>(1954).</w:t>
      </w:r>
      <w:r>
        <w:rPr>
          <w:rFonts w:ascii="Calibri"/>
          <w:spacing w:val="40"/>
          <w:sz w:val="22"/>
        </w:rPr>
        <w:t> </w:t>
      </w:r>
      <w:r>
        <w:rPr>
          <w:rFonts w:ascii="Calibri"/>
          <w:i/>
          <w:sz w:val="22"/>
        </w:rPr>
        <w:t>The</w:t>
      </w:r>
      <w:r>
        <w:rPr>
          <w:rFonts w:ascii="Calibri"/>
          <w:i/>
          <w:spacing w:val="40"/>
          <w:sz w:val="22"/>
        </w:rPr>
        <w:t> </w:t>
      </w:r>
      <w:r>
        <w:rPr>
          <w:rFonts w:ascii="Calibri"/>
          <w:i/>
          <w:sz w:val="22"/>
        </w:rPr>
        <w:t>human</w:t>
      </w:r>
      <w:r>
        <w:rPr>
          <w:rFonts w:ascii="Calibri"/>
          <w:i/>
          <w:spacing w:val="40"/>
          <w:sz w:val="22"/>
        </w:rPr>
        <w:t> </w:t>
      </w:r>
      <w:r>
        <w:rPr>
          <w:rFonts w:ascii="Calibri"/>
          <w:i/>
          <w:sz w:val="22"/>
        </w:rPr>
        <w:t>use</w:t>
      </w:r>
      <w:r>
        <w:rPr>
          <w:rFonts w:ascii="Calibri"/>
          <w:i/>
          <w:spacing w:val="40"/>
          <w:sz w:val="22"/>
        </w:rPr>
        <w:t> </w:t>
      </w:r>
      <w:r>
        <w:rPr>
          <w:rFonts w:ascii="Calibri"/>
          <w:i/>
          <w:sz w:val="22"/>
        </w:rPr>
        <w:t>of</w:t>
      </w:r>
      <w:r>
        <w:rPr>
          <w:rFonts w:ascii="Calibri"/>
          <w:i/>
          <w:spacing w:val="40"/>
          <w:sz w:val="22"/>
        </w:rPr>
        <w:t> </w:t>
      </w:r>
      <w:r>
        <w:rPr>
          <w:rFonts w:ascii="Calibri"/>
          <w:i/>
          <w:sz w:val="22"/>
        </w:rPr>
        <w:t>human</w:t>
      </w:r>
      <w:r>
        <w:rPr>
          <w:rFonts w:ascii="Calibri"/>
          <w:i/>
          <w:spacing w:val="40"/>
          <w:sz w:val="22"/>
        </w:rPr>
        <w:t> </w:t>
      </w:r>
      <w:r>
        <w:rPr>
          <w:rFonts w:ascii="Calibri"/>
          <w:i/>
          <w:sz w:val="22"/>
        </w:rPr>
        <w:t>beings;</w:t>
      </w:r>
      <w:r>
        <w:rPr>
          <w:rFonts w:ascii="Calibri"/>
          <w:i/>
          <w:spacing w:val="40"/>
          <w:sz w:val="22"/>
        </w:rPr>
        <w:t> </w:t>
      </w:r>
      <w:r>
        <w:rPr>
          <w:rFonts w:ascii="Calibri"/>
          <w:i/>
          <w:sz w:val="22"/>
        </w:rPr>
        <w:t>cybernetics</w:t>
      </w:r>
      <w:r>
        <w:rPr>
          <w:rFonts w:ascii="Calibri"/>
          <w:i/>
          <w:spacing w:val="40"/>
          <w:sz w:val="22"/>
        </w:rPr>
        <w:t> </w:t>
      </w:r>
      <w:r>
        <w:rPr>
          <w:rFonts w:ascii="Calibri"/>
          <w:i/>
          <w:sz w:val="22"/>
        </w:rPr>
        <w:t>and</w:t>
      </w:r>
      <w:r>
        <w:rPr>
          <w:rFonts w:ascii="Calibri"/>
          <w:i/>
          <w:spacing w:val="40"/>
          <w:sz w:val="22"/>
        </w:rPr>
        <w:t> </w:t>
      </w:r>
      <w:r>
        <w:rPr>
          <w:rFonts w:ascii="Calibri"/>
          <w:i/>
          <w:sz w:val="22"/>
        </w:rPr>
        <w:t>society</w:t>
      </w:r>
      <w:r>
        <w:rPr>
          <w:rFonts w:ascii="Calibri"/>
          <w:sz w:val="22"/>
        </w:rPr>
        <w:t>.</w:t>
      </w:r>
      <w:r>
        <w:rPr>
          <w:rFonts w:ascii="Calibri"/>
          <w:spacing w:val="40"/>
          <w:sz w:val="22"/>
        </w:rPr>
        <w:t> </w:t>
      </w:r>
      <w:r>
        <w:rPr>
          <w:rFonts w:ascii="Calibri"/>
          <w:sz w:val="22"/>
        </w:rPr>
        <w:t>Boston,: Houghton Mifflin.</w:t>
      </w:r>
    </w:p>
    <w:p>
      <w:pPr>
        <w:spacing w:before="1"/>
        <w:ind w:left="1700" w:right="1909" w:hanging="721"/>
        <w:jc w:val="left"/>
        <w:rPr>
          <w:rFonts w:ascii="Calibri"/>
          <w:sz w:val="22"/>
        </w:rPr>
      </w:pPr>
      <w:bookmarkStart w:name="_bookmark435" w:id="436"/>
      <w:bookmarkEnd w:id="436"/>
      <w:r>
        <w:rPr/>
      </w:r>
      <w:r>
        <w:rPr>
          <w:rFonts w:ascii="Calibri"/>
          <w:sz w:val="22"/>
        </w:rPr>
        <w:t>Wiener,</w:t>
      </w:r>
      <w:r>
        <w:rPr>
          <w:rFonts w:ascii="Calibri"/>
          <w:spacing w:val="40"/>
          <w:sz w:val="22"/>
        </w:rPr>
        <w:t> </w:t>
      </w:r>
      <w:r>
        <w:rPr>
          <w:rFonts w:ascii="Calibri"/>
          <w:sz w:val="22"/>
        </w:rPr>
        <w:t>N.</w:t>
      </w:r>
      <w:r>
        <w:rPr>
          <w:rFonts w:ascii="Calibri"/>
          <w:spacing w:val="40"/>
          <w:sz w:val="22"/>
        </w:rPr>
        <w:t> </w:t>
      </w:r>
      <w:r>
        <w:rPr>
          <w:rFonts w:ascii="Calibri"/>
          <w:sz w:val="22"/>
        </w:rPr>
        <w:t>(1961).</w:t>
      </w:r>
      <w:r>
        <w:rPr>
          <w:rFonts w:ascii="Calibri"/>
          <w:spacing w:val="40"/>
          <w:sz w:val="22"/>
        </w:rPr>
        <w:t> </w:t>
      </w:r>
      <w:r>
        <w:rPr>
          <w:rFonts w:ascii="Calibri"/>
          <w:i/>
          <w:sz w:val="22"/>
        </w:rPr>
        <w:t>Cybernetics;</w:t>
      </w:r>
      <w:r>
        <w:rPr>
          <w:rFonts w:ascii="Calibri"/>
          <w:i/>
          <w:spacing w:val="40"/>
          <w:sz w:val="22"/>
        </w:rPr>
        <w:t> </w:t>
      </w:r>
      <w:r>
        <w:rPr>
          <w:rFonts w:ascii="Calibri"/>
          <w:i/>
          <w:sz w:val="22"/>
        </w:rPr>
        <w:t>or,</w:t>
      </w:r>
      <w:r>
        <w:rPr>
          <w:rFonts w:ascii="Calibri"/>
          <w:i/>
          <w:spacing w:val="40"/>
          <w:sz w:val="22"/>
        </w:rPr>
        <w:t> </w:t>
      </w:r>
      <w:r>
        <w:rPr>
          <w:rFonts w:ascii="Calibri"/>
          <w:i/>
          <w:sz w:val="22"/>
        </w:rPr>
        <w:t>Control</w:t>
      </w:r>
      <w:r>
        <w:rPr>
          <w:rFonts w:ascii="Calibri"/>
          <w:i/>
          <w:spacing w:val="40"/>
          <w:sz w:val="22"/>
        </w:rPr>
        <w:t> </w:t>
      </w:r>
      <w:r>
        <w:rPr>
          <w:rFonts w:ascii="Calibri"/>
          <w:i/>
          <w:sz w:val="22"/>
        </w:rPr>
        <w:t>and</w:t>
      </w:r>
      <w:r>
        <w:rPr>
          <w:rFonts w:ascii="Calibri"/>
          <w:i/>
          <w:spacing w:val="40"/>
          <w:sz w:val="22"/>
        </w:rPr>
        <w:t> </w:t>
      </w:r>
      <w:r>
        <w:rPr>
          <w:rFonts w:ascii="Calibri"/>
          <w:i/>
          <w:sz w:val="22"/>
        </w:rPr>
        <w:t>communication</w:t>
      </w:r>
      <w:r>
        <w:rPr>
          <w:rFonts w:ascii="Calibri"/>
          <w:i/>
          <w:spacing w:val="40"/>
          <w:sz w:val="22"/>
        </w:rPr>
        <w:t> </w:t>
      </w:r>
      <w:r>
        <w:rPr>
          <w:rFonts w:ascii="Calibri"/>
          <w:i/>
          <w:sz w:val="22"/>
        </w:rPr>
        <w:t>in</w:t>
      </w:r>
      <w:r>
        <w:rPr>
          <w:rFonts w:ascii="Calibri"/>
          <w:i/>
          <w:spacing w:val="40"/>
          <w:sz w:val="22"/>
        </w:rPr>
        <w:t> </w:t>
      </w:r>
      <w:r>
        <w:rPr>
          <w:rFonts w:ascii="Calibri"/>
          <w:i/>
          <w:sz w:val="22"/>
        </w:rPr>
        <w:t>the</w:t>
      </w:r>
      <w:r>
        <w:rPr>
          <w:rFonts w:ascii="Calibri"/>
          <w:i/>
          <w:spacing w:val="40"/>
          <w:sz w:val="22"/>
        </w:rPr>
        <w:t> </w:t>
      </w:r>
      <w:r>
        <w:rPr>
          <w:rFonts w:ascii="Calibri"/>
          <w:i/>
          <w:sz w:val="22"/>
        </w:rPr>
        <w:t>animal</w:t>
      </w:r>
      <w:r>
        <w:rPr>
          <w:rFonts w:ascii="Calibri"/>
          <w:i/>
          <w:spacing w:val="40"/>
          <w:sz w:val="22"/>
        </w:rPr>
        <w:t> </w:t>
      </w:r>
      <w:r>
        <w:rPr>
          <w:rFonts w:ascii="Calibri"/>
          <w:i/>
          <w:sz w:val="22"/>
        </w:rPr>
        <w:t>and</w:t>
      </w:r>
      <w:r>
        <w:rPr>
          <w:rFonts w:ascii="Calibri"/>
          <w:i/>
          <w:spacing w:val="40"/>
          <w:sz w:val="22"/>
        </w:rPr>
        <w:t> </w:t>
      </w:r>
      <w:r>
        <w:rPr>
          <w:rFonts w:ascii="Calibri"/>
          <w:i/>
          <w:sz w:val="22"/>
        </w:rPr>
        <w:t>the machine </w:t>
      </w:r>
      <w:r>
        <w:rPr>
          <w:rFonts w:ascii="Calibri"/>
          <w:sz w:val="22"/>
        </w:rPr>
        <w:t>(2d ed.). New York,: M.I.T. Press.</w:t>
      </w:r>
    </w:p>
    <w:p>
      <w:pPr>
        <w:spacing w:before="1"/>
        <w:ind w:left="1700" w:right="1279" w:hanging="721"/>
        <w:jc w:val="left"/>
        <w:rPr>
          <w:rFonts w:ascii="Calibri"/>
          <w:sz w:val="22"/>
        </w:rPr>
      </w:pPr>
      <w:bookmarkStart w:name="_bookmark436" w:id="437"/>
      <w:bookmarkEnd w:id="437"/>
      <w:r>
        <w:rPr/>
      </w:r>
      <w:r>
        <w:rPr>
          <w:rFonts w:ascii="Calibri"/>
          <w:sz w:val="22"/>
        </w:rPr>
        <w:t>Wiener,</w:t>
      </w:r>
      <w:r>
        <w:rPr>
          <w:rFonts w:ascii="Calibri"/>
          <w:spacing w:val="32"/>
          <w:sz w:val="22"/>
        </w:rPr>
        <w:t> </w:t>
      </w:r>
      <w:r>
        <w:rPr>
          <w:rFonts w:ascii="Calibri"/>
          <w:sz w:val="22"/>
        </w:rPr>
        <w:t>N.</w:t>
      </w:r>
      <w:r>
        <w:rPr>
          <w:rFonts w:ascii="Calibri"/>
          <w:spacing w:val="36"/>
          <w:sz w:val="22"/>
        </w:rPr>
        <w:t> </w:t>
      </w:r>
      <w:r>
        <w:rPr>
          <w:rFonts w:ascii="Calibri"/>
          <w:sz w:val="22"/>
        </w:rPr>
        <w:t>(1964).</w:t>
      </w:r>
      <w:r>
        <w:rPr>
          <w:rFonts w:ascii="Calibri"/>
          <w:spacing w:val="38"/>
          <w:sz w:val="22"/>
        </w:rPr>
        <w:t> </w:t>
      </w:r>
      <w:r>
        <w:rPr>
          <w:rFonts w:ascii="Calibri"/>
          <w:i/>
          <w:sz w:val="22"/>
        </w:rPr>
        <w:t>God</w:t>
      </w:r>
      <w:r>
        <w:rPr>
          <w:rFonts w:ascii="Calibri"/>
          <w:i/>
          <w:spacing w:val="31"/>
          <w:sz w:val="22"/>
        </w:rPr>
        <w:t> </w:t>
      </w:r>
      <w:r>
        <w:rPr>
          <w:rFonts w:ascii="Calibri"/>
          <w:i/>
          <w:sz w:val="22"/>
        </w:rPr>
        <w:t>and</w:t>
      </w:r>
      <w:r>
        <w:rPr>
          <w:rFonts w:ascii="Calibri"/>
          <w:i/>
          <w:spacing w:val="36"/>
          <w:sz w:val="22"/>
        </w:rPr>
        <w:t> </w:t>
      </w:r>
      <w:r>
        <w:rPr>
          <w:rFonts w:ascii="Calibri"/>
          <w:i/>
          <w:sz w:val="22"/>
        </w:rPr>
        <w:t>Golem,</w:t>
      </w:r>
      <w:r>
        <w:rPr>
          <w:rFonts w:ascii="Calibri"/>
          <w:i/>
          <w:spacing w:val="32"/>
          <w:sz w:val="22"/>
        </w:rPr>
        <w:t> </w:t>
      </w:r>
      <w:r>
        <w:rPr>
          <w:rFonts w:ascii="Calibri"/>
          <w:i/>
          <w:sz w:val="22"/>
        </w:rPr>
        <w:t>inc.;</w:t>
      </w:r>
      <w:r>
        <w:rPr>
          <w:rFonts w:ascii="Calibri"/>
          <w:i/>
          <w:spacing w:val="28"/>
          <w:sz w:val="22"/>
        </w:rPr>
        <w:t> </w:t>
      </w:r>
      <w:r>
        <w:rPr>
          <w:rFonts w:ascii="Calibri"/>
          <w:i/>
          <w:sz w:val="22"/>
        </w:rPr>
        <w:t>a</w:t>
      </w:r>
      <w:r>
        <w:rPr>
          <w:rFonts w:ascii="Calibri"/>
          <w:i/>
          <w:spacing w:val="36"/>
          <w:sz w:val="22"/>
        </w:rPr>
        <w:t> </w:t>
      </w:r>
      <w:r>
        <w:rPr>
          <w:rFonts w:ascii="Calibri"/>
          <w:i/>
          <w:sz w:val="22"/>
        </w:rPr>
        <w:t>comment</w:t>
      </w:r>
      <w:r>
        <w:rPr>
          <w:rFonts w:ascii="Calibri"/>
          <w:i/>
          <w:spacing w:val="32"/>
          <w:sz w:val="22"/>
        </w:rPr>
        <w:t> </w:t>
      </w:r>
      <w:r>
        <w:rPr>
          <w:rFonts w:ascii="Calibri"/>
          <w:i/>
          <w:sz w:val="22"/>
        </w:rPr>
        <w:t>on</w:t>
      </w:r>
      <w:r>
        <w:rPr>
          <w:rFonts w:ascii="Calibri"/>
          <w:i/>
          <w:spacing w:val="31"/>
          <w:sz w:val="22"/>
        </w:rPr>
        <w:t> </w:t>
      </w:r>
      <w:r>
        <w:rPr>
          <w:rFonts w:ascii="Calibri"/>
          <w:i/>
          <w:sz w:val="22"/>
        </w:rPr>
        <w:t>certain</w:t>
      </w:r>
      <w:r>
        <w:rPr>
          <w:rFonts w:ascii="Calibri"/>
          <w:i/>
          <w:spacing w:val="31"/>
          <w:sz w:val="22"/>
        </w:rPr>
        <w:t> </w:t>
      </w:r>
      <w:r>
        <w:rPr>
          <w:rFonts w:ascii="Calibri"/>
          <w:i/>
          <w:sz w:val="22"/>
        </w:rPr>
        <w:t>points</w:t>
      </w:r>
      <w:r>
        <w:rPr>
          <w:rFonts w:ascii="Calibri"/>
          <w:i/>
          <w:spacing w:val="30"/>
          <w:sz w:val="22"/>
        </w:rPr>
        <w:t> </w:t>
      </w:r>
      <w:r>
        <w:rPr>
          <w:rFonts w:ascii="Calibri"/>
          <w:i/>
          <w:sz w:val="22"/>
        </w:rPr>
        <w:t>where</w:t>
      </w:r>
      <w:r>
        <w:rPr>
          <w:rFonts w:ascii="Calibri"/>
          <w:i/>
          <w:spacing w:val="30"/>
          <w:sz w:val="22"/>
        </w:rPr>
        <w:t> </w:t>
      </w:r>
      <w:r>
        <w:rPr>
          <w:rFonts w:ascii="Calibri"/>
          <w:i/>
          <w:sz w:val="22"/>
        </w:rPr>
        <w:t>cybernetics impinges on religion</w:t>
      </w:r>
      <w:r>
        <w:rPr>
          <w:rFonts w:ascii="Calibri"/>
          <w:sz w:val="22"/>
        </w:rPr>
        <w:t>. Cambridge,: M.I.T. Press.</w:t>
      </w:r>
    </w:p>
    <w:p>
      <w:pPr>
        <w:spacing w:before="0"/>
        <w:ind w:left="979" w:right="0" w:firstLine="0"/>
        <w:jc w:val="left"/>
        <w:rPr>
          <w:rFonts w:ascii="Calibri"/>
          <w:sz w:val="22"/>
        </w:rPr>
      </w:pPr>
      <w:bookmarkStart w:name="_bookmark437" w:id="438"/>
      <w:bookmarkEnd w:id="438"/>
      <w:r>
        <w:rPr/>
      </w:r>
      <w:r>
        <w:rPr>
          <w:rFonts w:ascii="Calibri"/>
          <w:sz w:val="22"/>
        </w:rPr>
        <w:t>Wilber, K.</w:t>
      </w:r>
      <w:r>
        <w:rPr>
          <w:rFonts w:ascii="Calibri"/>
          <w:spacing w:val="4"/>
          <w:sz w:val="22"/>
        </w:rPr>
        <w:t> </w:t>
      </w:r>
      <w:r>
        <w:rPr>
          <w:rFonts w:ascii="Calibri"/>
          <w:sz w:val="22"/>
        </w:rPr>
        <w:t>(2000).</w:t>
      </w:r>
      <w:r>
        <w:rPr>
          <w:rFonts w:ascii="Calibri"/>
          <w:spacing w:val="7"/>
          <w:sz w:val="22"/>
        </w:rPr>
        <w:t> </w:t>
      </w:r>
      <w:r>
        <w:rPr>
          <w:rFonts w:ascii="Calibri"/>
          <w:i/>
          <w:sz w:val="22"/>
        </w:rPr>
        <w:t>Sex, ecology,</w:t>
      </w:r>
      <w:r>
        <w:rPr>
          <w:rFonts w:ascii="Calibri"/>
          <w:i/>
          <w:spacing w:val="1"/>
          <w:sz w:val="22"/>
        </w:rPr>
        <w:t> </w:t>
      </w:r>
      <w:r>
        <w:rPr>
          <w:rFonts w:ascii="Calibri"/>
          <w:i/>
          <w:sz w:val="22"/>
        </w:rPr>
        <w:t>spirituality</w:t>
      </w:r>
      <w:r>
        <w:rPr>
          <w:rFonts w:ascii="Calibri"/>
          <w:i/>
          <w:spacing w:val="4"/>
          <w:sz w:val="22"/>
        </w:rPr>
        <w:t> </w:t>
      </w:r>
      <w:r>
        <w:rPr>
          <w:rFonts w:ascii="Calibri"/>
          <w:i/>
          <w:sz w:val="22"/>
        </w:rPr>
        <w:t>:</w:t>
      </w:r>
      <w:r>
        <w:rPr>
          <w:rFonts w:ascii="Calibri"/>
          <w:i/>
          <w:spacing w:val="2"/>
          <w:sz w:val="22"/>
        </w:rPr>
        <w:t> </w:t>
      </w:r>
      <w:r>
        <w:rPr>
          <w:rFonts w:ascii="Calibri"/>
          <w:i/>
          <w:sz w:val="22"/>
        </w:rPr>
        <w:t>the</w:t>
      </w:r>
      <w:r>
        <w:rPr>
          <w:rFonts w:ascii="Calibri"/>
          <w:i/>
          <w:spacing w:val="2"/>
          <w:sz w:val="22"/>
        </w:rPr>
        <w:t> </w:t>
      </w:r>
      <w:r>
        <w:rPr>
          <w:rFonts w:ascii="Calibri"/>
          <w:i/>
          <w:sz w:val="22"/>
        </w:rPr>
        <w:t>spirit</w:t>
      </w:r>
      <w:r>
        <w:rPr>
          <w:rFonts w:ascii="Calibri"/>
          <w:i/>
          <w:spacing w:val="-4"/>
          <w:sz w:val="22"/>
        </w:rPr>
        <w:t> </w:t>
      </w:r>
      <w:r>
        <w:rPr>
          <w:rFonts w:ascii="Calibri"/>
          <w:i/>
          <w:sz w:val="22"/>
        </w:rPr>
        <w:t>of</w:t>
      </w:r>
      <w:r>
        <w:rPr>
          <w:rFonts w:ascii="Calibri"/>
          <w:i/>
          <w:spacing w:val="3"/>
          <w:sz w:val="22"/>
        </w:rPr>
        <w:t> </w:t>
      </w:r>
      <w:r>
        <w:rPr>
          <w:rFonts w:ascii="Calibri"/>
          <w:i/>
          <w:sz w:val="22"/>
        </w:rPr>
        <w:t>evolution</w:t>
      </w:r>
      <w:r>
        <w:rPr>
          <w:rFonts w:ascii="Calibri"/>
          <w:i/>
          <w:spacing w:val="10"/>
          <w:sz w:val="22"/>
        </w:rPr>
        <w:t> </w:t>
      </w:r>
      <w:r>
        <w:rPr>
          <w:rFonts w:ascii="Calibri"/>
          <w:sz w:val="22"/>
        </w:rPr>
        <w:t>(2nd</w:t>
      </w:r>
      <w:r>
        <w:rPr>
          <w:rFonts w:ascii="Calibri"/>
          <w:spacing w:val="2"/>
          <w:sz w:val="22"/>
        </w:rPr>
        <w:t> </w:t>
      </w:r>
      <w:r>
        <w:rPr>
          <w:rFonts w:ascii="Calibri"/>
          <w:sz w:val="22"/>
        </w:rPr>
        <w:t>ed.,</w:t>
      </w:r>
      <w:r>
        <w:rPr>
          <w:rFonts w:ascii="Calibri"/>
          <w:spacing w:val="1"/>
          <w:sz w:val="22"/>
        </w:rPr>
        <w:t> </w:t>
      </w:r>
      <w:r>
        <w:rPr>
          <w:rFonts w:ascii="Calibri"/>
          <w:sz w:val="22"/>
        </w:rPr>
        <w:t>rev.</w:t>
      </w:r>
      <w:r>
        <w:rPr>
          <w:rFonts w:ascii="Calibri"/>
          <w:spacing w:val="-1"/>
          <w:sz w:val="22"/>
        </w:rPr>
        <w:t> </w:t>
      </w:r>
      <w:r>
        <w:rPr>
          <w:rFonts w:ascii="Calibri"/>
          <w:sz w:val="22"/>
        </w:rPr>
        <w:t>ed.).</w:t>
      </w:r>
      <w:r>
        <w:rPr>
          <w:rFonts w:ascii="Calibri"/>
          <w:spacing w:val="5"/>
          <w:sz w:val="22"/>
        </w:rPr>
        <w:t> </w:t>
      </w:r>
      <w:r>
        <w:rPr>
          <w:rFonts w:ascii="Calibri"/>
          <w:spacing w:val="-2"/>
          <w:sz w:val="22"/>
        </w:rPr>
        <w:t>Boston</w:t>
      </w:r>
    </w:p>
    <w:p>
      <w:pPr>
        <w:spacing w:before="1"/>
        <w:ind w:left="1700" w:right="0" w:firstLine="0"/>
        <w:jc w:val="left"/>
        <w:rPr>
          <w:rFonts w:ascii="Calibri"/>
          <w:sz w:val="22"/>
        </w:rPr>
      </w:pPr>
      <w:r>
        <w:rPr>
          <w:rFonts w:ascii="Calibri"/>
          <w:sz w:val="22"/>
        </w:rPr>
        <w:t>;</w:t>
      </w:r>
      <w:r>
        <w:rPr>
          <w:rFonts w:ascii="Calibri"/>
          <w:spacing w:val="-7"/>
          <w:sz w:val="22"/>
        </w:rPr>
        <w:t> </w:t>
      </w:r>
      <w:r>
        <w:rPr>
          <w:rFonts w:ascii="Calibri"/>
          <w:sz w:val="22"/>
        </w:rPr>
        <w:t>London:</w:t>
      </w:r>
      <w:r>
        <w:rPr>
          <w:rFonts w:ascii="Calibri"/>
          <w:spacing w:val="-6"/>
          <w:sz w:val="22"/>
        </w:rPr>
        <w:t> </w:t>
      </w:r>
      <w:r>
        <w:rPr>
          <w:rFonts w:ascii="Calibri"/>
          <w:spacing w:val="-2"/>
          <w:sz w:val="22"/>
        </w:rPr>
        <w:t>Shambhala.</w:t>
      </w:r>
    </w:p>
    <w:p>
      <w:pPr>
        <w:spacing w:before="0"/>
        <w:ind w:left="1700" w:right="1902" w:hanging="721"/>
        <w:jc w:val="both"/>
        <w:rPr>
          <w:rFonts w:ascii="Calibri" w:hAnsi="Calibri"/>
          <w:sz w:val="22"/>
        </w:rPr>
      </w:pPr>
      <w:bookmarkStart w:name="_bookmark438" w:id="439"/>
      <w:bookmarkEnd w:id="439"/>
      <w:r>
        <w:rPr/>
      </w:r>
      <w:r>
        <w:rPr>
          <w:rFonts w:ascii="Calibri" w:hAnsi="Calibri"/>
          <w:sz w:val="22"/>
        </w:rPr>
        <w:t>Wille, A. (2010). Political–Bureaucratic Accountability in the EU Commission: Modernising the Executive. </w:t>
      </w:r>
      <w:r>
        <w:rPr>
          <w:rFonts w:ascii="Calibri" w:hAnsi="Calibri"/>
          <w:i/>
          <w:sz w:val="22"/>
        </w:rPr>
        <w:t>West European Politics, 33</w:t>
      </w:r>
      <w:r>
        <w:rPr>
          <w:rFonts w:ascii="Calibri" w:hAnsi="Calibri"/>
          <w:sz w:val="22"/>
        </w:rPr>
        <w:t>(5), 1093-1116. doi: </w:t>
      </w:r>
      <w:r>
        <w:rPr>
          <w:rFonts w:ascii="Calibri" w:hAnsi="Calibri"/>
          <w:spacing w:val="-2"/>
          <w:sz w:val="22"/>
        </w:rPr>
        <w:t>10.1080/01402382.2010.486137</w:t>
      </w:r>
    </w:p>
    <w:p>
      <w:pPr>
        <w:spacing w:line="240" w:lineRule="auto" w:before="0"/>
        <w:ind w:left="1700" w:right="1908" w:hanging="721"/>
        <w:jc w:val="both"/>
        <w:rPr>
          <w:rFonts w:ascii="Calibri"/>
          <w:sz w:val="22"/>
        </w:rPr>
      </w:pPr>
      <w:bookmarkStart w:name="_bookmark439" w:id="440"/>
      <w:bookmarkEnd w:id="440"/>
      <w:r>
        <w:rPr/>
      </w:r>
      <w:r>
        <w:rPr>
          <w:rFonts w:ascii="Calibri"/>
          <w:sz w:val="22"/>
        </w:rPr>
        <w:t>Williams, J. M. (1979). Defining Complexity. </w:t>
      </w:r>
      <w:r>
        <w:rPr>
          <w:rFonts w:ascii="Calibri"/>
          <w:i/>
          <w:sz w:val="22"/>
        </w:rPr>
        <w:t>College English, 40</w:t>
      </w:r>
      <w:r>
        <w:rPr>
          <w:rFonts w:ascii="Calibri"/>
          <w:sz w:val="22"/>
        </w:rPr>
        <w:t>(6), 595-609. doi: </w:t>
      </w:r>
      <w:r>
        <w:rPr>
          <w:rFonts w:ascii="Calibri"/>
          <w:spacing w:val="-2"/>
          <w:sz w:val="22"/>
        </w:rPr>
        <w:t>10.2307/375963</w:t>
      </w:r>
    </w:p>
    <w:p>
      <w:pPr>
        <w:spacing w:after="0" w:line="240" w:lineRule="auto"/>
        <w:jc w:val="both"/>
        <w:rPr>
          <w:rFonts w:ascii="Calibri"/>
          <w:sz w:val="22"/>
        </w:rPr>
        <w:sectPr>
          <w:pgSz w:w="12240" w:h="15840"/>
          <w:pgMar w:header="1046" w:footer="0" w:top="1360" w:bottom="280" w:left="720" w:right="360"/>
        </w:sectPr>
      </w:pPr>
    </w:p>
    <w:p>
      <w:pPr>
        <w:pStyle w:val="BodyText"/>
        <w:spacing w:before="2"/>
        <w:ind w:left="0"/>
        <w:jc w:val="left"/>
        <w:rPr>
          <w:rFonts w:ascii="Calibri"/>
          <w:sz w:val="22"/>
        </w:rPr>
      </w:pPr>
    </w:p>
    <w:p>
      <w:pPr>
        <w:spacing w:before="0"/>
        <w:ind w:left="979" w:right="0" w:firstLine="0"/>
        <w:jc w:val="both"/>
        <w:rPr>
          <w:rFonts w:ascii="Calibri"/>
          <w:sz w:val="22"/>
        </w:rPr>
      </w:pPr>
      <w:bookmarkStart w:name="_bookmark440" w:id="441"/>
      <w:bookmarkEnd w:id="441"/>
      <w:r>
        <w:rPr/>
      </w:r>
      <w:r>
        <w:rPr>
          <w:rFonts w:ascii="Calibri"/>
          <w:sz w:val="22"/>
        </w:rPr>
        <w:t>Williamson,</w:t>
      </w:r>
      <w:r>
        <w:rPr>
          <w:rFonts w:ascii="Calibri"/>
          <w:spacing w:val="16"/>
          <w:sz w:val="22"/>
        </w:rPr>
        <w:t> </w:t>
      </w:r>
      <w:r>
        <w:rPr>
          <w:rFonts w:ascii="Calibri"/>
          <w:sz w:val="22"/>
        </w:rPr>
        <w:t>O.</w:t>
      </w:r>
      <w:r>
        <w:rPr>
          <w:rFonts w:ascii="Calibri"/>
          <w:spacing w:val="22"/>
          <w:sz w:val="22"/>
        </w:rPr>
        <w:t> </w:t>
      </w:r>
      <w:r>
        <w:rPr>
          <w:rFonts w:ascii="Calibri"/>
          <w:sz w:val="22"/>
        </w:rPr>
        <w:t>E.</w:t>
      </w:r>
      <w:r>
        <w:rPr>
          <w:rFonts w:ascii="Calibri"/>
          <w:spacing w:val="21"/>
          <w:sz w:val="22"/>
        </w:rPr>
        <w:t> </w:t>
      </w:r>
      <w:r>
        <w:rPr>
          <w:rFonts w:ascii="Calibri"/>
          <w:sz w:val="22"/>
        </w:rPr>
        <w:t>(1981).</w:t>
      </w:r>
      <w:r>
        <w:rPr>
          <w:rFonts w:ascii="Calibri"/>
          <w:spacing w:val="22"/>
          <w:sz w:val="22"/>
        </w:rPr>
        <w:t> </w:t>
      </w:r>
      <w:r>
        <w:rPr>
          <w:rFonts w:ascii="Calibri"/>
          <w:sz w:val="22"/>
        </w:rPr>
        <w:t>The</w:t>
      </w:r>
      <w:r>
        <w:rPr>
          <w:rFonts w:ascii="Calibri"/>
          <w:spacing w:val="26"/>
          <w:sz w:val="22"/>
        </w:rPr>
        <w:t> </w:t>
      </w:r>
      <w:r>
        <w:rPr>
          <w:rFonts w:ascii="Calibri"/>
          <w:sz w:val="22"/>
        </w:rPr>
        <w:t>Economics</w:t>
      </w:r>
      <w:r>
        <w:rPr>
          <w:rFonts w:ascii="Calibri"/>
          <w:spacing w:val="20"/>
          <w:sz w:val="22"/>
        </w:rPr>
        <w:t> </w:t>
      </w:r>
      <w:r>
        <w:rPr>
          <w:rFonts w:ascii="Calibri"/>
          <w:sz w:val="22"/>
        </w:rPr>
        <w:t>of</w:t>
      </w:r>
      <w:r>
        <w:rPr>
          <w:rFonts w:ascii="Calibri"/>
          <w:spacing w:val="20"/>
          <w:sz w:val="22"/>
        </w:rPr>
        <w:t> </w:t>
      </w:r>
      <w:r>
        <w:rPr>
          <w:rFonts w:ascii="Calibri"/>
          <w:sz w:val="22"/>
        </w:rPr>
        <w:t>Organization:</w:t>
      </w:r>
      <w:r>
        <w:rPr>
          <w:rFonts w:ascii="Calibri"/>
          <w:spacing w:val="18"/>
          <w:sz w:val="22"/>
        </w:rPr>
        <w:t> </w:t>
      </w:r>
      <w:r>
        <w:rPr>
          <w:rFonts w:ascii="Calibri"/>
          <w:sz w:val="22"/>
        </w:rPr>
        <w:t>The</w:t>
      </w:r>
      <w:r>
        <w:rPr>
          <w:rFonts w:ascii="Calibri"/>
          <w:spacing w:val="28"/>
          <w:sz w:val="22"/>
        </w:rPr>
        <w:t> </w:t>
      </w:r>
      <w:r>
        <w:rPr>
          <w:rFonts w:ascii="Calibri"/>
          <w:sz w:val="22"/>
        </w:rPr>
        <w:t>Transaction</w:t>
      </w:r>
      <w:r>
        <w:rPr>
          <w:rFonts w:ascii="Calibri"/>
          <w:spacing w:val="20"/>
          <w:sz w:val="22"/>
        </w:rPr>
        <w:t> </w:t>
      </w:r>
      <w:r>
        <w:rPr>
          <w:rFonts w:ascii="Calibri"/>
          <w:sz w:val="22"/>
        </w:rPr>
        <w:t>Cost</w:t>
      </w:r>
      <w:r>
        <w:rPr>
          <w:rFonts w:ascii="Calibri"/>
          <w:spacing w:val="19"/>
          <w:sz w:val="22"/>
        </w:rPr>
        <w:t> </w:t>
      </w:r>
      <w:r>
        <w:rPr>
          <w:rFonts w:ascii="Calibri"/>
          <w:spacing w:val="-2"/>
          <w:sz w:val="22"/>
        </w:rPr>
        <w:t>Approach.</w:t>
      </w:r>
    </w:p>
    <w:p>
      <w:pPr>
        <w:spacing w:before="0"/>
        <w:ind w:left="1700" w:right="0" w:firstLine="0"/>
        <w:jc w:val="both"/>
        <w:rPr>
          <w:rFonts w:ascii="Calibri"/>
          <w:sz w:val="22"/>
        </w:rPr>
      </w:pPr>
      <w:r>
        <w:rPr>
          <w:rFonts w:ascii="Calibri"/>
          <w:i/>
          <w:sz w:val="22"/>
        </w:rPr>
        <w:t>American</w:t>
      </w:r>
      <w:r>
        <w:rPr>
          <w:rFonts w:ascii="Calibri"/>
          <w:i/>
          <w:spacing w:val="-6"/>
          <w:sz w:val="22"/>
        </w:rPr>
        <w:t> </w:t>
      </w:r>
      <w:r>
        <w:rPr>
          <w:rFonts w:ascii="Calibri"/>
          <w:i/>
          <w:sz w:val="22"/>
        </w:rPr>
        <w:t>Journal</w:t>
      </w:r>
      <w:r>
        <w:rPr>
          <w:rFonts w:ascii="Calibri"/>
          <w:i/>
          <w:spacing w:val="-5"/>
          <w:sz w:val="22"/>
        </w:rPr>
        <w:t> </w:t>
      </w:r>
      <w:r>
        <w:rPr>
          <w:rFonts w:ascii="Calibri"/>
          <w:i/>
          <w:sz w:val="22"/>
        </w:rPr>
        <w:t>of</w:t>
      </w:r>
      <w:r>
        <w:rPr>
          <w:rFonts w:ascii="Calibri"/>
          <w:i/>
          <w:spacing w:val="-6"/>
          <w:sz w:val="22"/>
        </w:rPr>
        <w:t> </w:t>
      </w:r>
      <w:r>
        <w:rPr>
          <w:rFonts w:ascii="Calibri"/>
          <w:i/>
          <w:sz w:val="22"/>
        </w:rPr>
        <w:t>Sociology,</w:t>
      </w:r>
      <w:r>
        <w:rPr>
          <w:rFonts w:ascii="Calibri"/>
          <w:i/>
          <w:spacing w:val="-9"/>
          <w:sz w:val="22"/>
        </w:rPr>
        <w:t> </w:t>
      </w:r>
      <w:r>
        <w:rPr>
          <w:rFonts w:ascii="Calibri"/>
          <w:i/>
          <w:sz w:val="22"/>
        </w:rPr>
        <w:t>87</w:t>
      </w:r>
      <w:r>
        <w:rPr>
          <w:rFonts w:ascii="Calibri"/>
          <w:sz w:val="22"/>
        </w:rPr>
        <w:t>(3),</w:t>
      </w:r>
      <w:r>
        <w:rPr>
          <w:rFonts w:ascii="Calibri"/>
          <w:spacing w:val="-8"/>
          <w:sz w:val="22"/>
        </w:rPr>
        <w:t> </w:t>
      </w:r>
      <w:r>
        <w:rPr>
          <w:rFonts w:ascii="Calibri"/>
          <w:sz w:val="22"/>
        </w:rPr>
        <w:t>548-</w:t>
      </w:r>
      <w:r>
        <w:rPr>
          <w:rFonts w:ascii="Calibri"/>
          <w:spacing w:val="-4"/>
          <w:sz w:val="22"/>
        </w:rPr>
        <w:t>577.</w:t>
      </w:r>
    </w:p>
    <w:p>
      <w:pPr>
        <w:spacing w:before="1"/>
        <w:ind w:left="1700" w:right="1906" w:hanging="721"/>
        <w:jc w:val="both"/>
        <w:rPr>
          <w:rFonts w:ascii="Calibri"/>
          <w:sz w:val="22"/>
        </w:rPr>
      </w:pPr>
      <w:bookmarkStart w:name="_bookmark441" w:id="442"/>
      <w:bookmarkEnd w:id="442"/>
      <w:r>
        <w:rPr/>
      </w:r>
      <w:r>
        <w:rPr>
          <w:rFonts w:ascii="Calibri"/>
          <w:sz w:val="22"/>
        </w:rPr>
        <w:t>Wincott, D. (1995). Institutional Interaction and European Integration: Towards</w:t>
      </w:r>
      <w:r>
        <w:rPr>
          <w:rFonts w:ascii="Calibri"/>
          <w:spacing w:val="-2"/>
          <w:sz w:val="22"/>
        </w:rPr>
        <w:t> </w:t>
      </w:r>
      <w:r>
        <w:rPr>
          <w:rFonts w:ascii="Calibri"/>
          <w:sz w:val="22"/>
        </w:rPr>
        <w:t>an Everyday Critique of Liberal Inter governmentalism. </w:t>
      </w:r>
      <w:r>
        <w:rPr>
          <w:rFonts w:ascii="Calibri"/>
          <w:i/>
          <w:sz w:val="22"/>
        </w:rPr>
        <w:t>JCMS: Journal of Common Market</w:t>
      </w:r>
      <w:r>
        <w:rPr>
          <w:rFonts w:ascii="Calibri"/>
          <w:i/>
          <w:spacing w:val="80"/>
          <w:sz w:val="22"/>
        </w:rPr>
        <w:t> </w:t>
      </w:r>
      <w:r>
        <w:rPr>
          <w:rFonts w:ascii="Calibri"/>
          <w:i/>
          <w:sz w:val="22"/>
        </w:rPr>
        <w:t>Studies, 33</w:t>
      </w:r>
      <w:r>
        <w:rPr>
          <w:rFonts w:ascii="Calibri"/>
          <w:sz w:val="22"/>
        </w:rPr>
        <w:t>(4), 597-609. doi: 10.1111/j.1468-5965.1995.tb00553.x</w:t>
      </w:r>
    </w:p>
    <w:p>
      <w:pPr>
        <w:spacing w:line="240" w:lineRule="auto" w:before="0"/>
        <w:ind w:left="1700" w:right="1903" w:hanging="721"/>
        <w:jc w:val="both"/>
        <w:rPr>
          <w:rFonts w:ascii="Calibri"/>
          <w:sz w:val="22"/>
        </w:rPr>
      </w:pPr>
      <w:bookmarkStart w:name="_bookmark442" w:id="443"/>
      <w:bookmarkEnd w:id="443"/>
      <w:r>
        <w:rPr/>
      </w:r>
      <w:r>
        <w:rPr>
          <w:rFonts w:ascii="Calibri"/>
          <w:sz w:val="22"/>
        </w:rPr>
        <w:t>Winzen, T., Roederer-Rynning, C., &amp; Schimmelfennig, F. (2015). Parliamentary co-evolution: national parliamentary reactions to the empowerment of the European Parliament. </w:t>
      </w:r>
      <w:r>
        <w:rPr>
          <w:rFonts w:ascii="Calibri"/>
          <w:i/>
          <w:sz w:val="22"/>
        </w:rPr>
        <w:t>Journal</w:t>
      </w:r>
      <w:r>
        <w:rPr>
          <w:rFonts w:ascii="Calibri"/>
          <w:i/>
          <w:spacing w:val="-3"/>
          <w:sz w:val="22"/>
        </w:rPr>
        <w:t> </w:t>
      </w:r>
      <w:r>
        <w:rPr>
          <w:rFonts w:ascii="Calibri"/>
          <w:i/>
          <w:sz w:val="22"/>
        </w:rPr>
        <w:t>of</w:t>
      </w:r>
      <w:r>
        <w:rPr>
          <w:rFonts w:ascii="Calibri"/>
          <w:i/>
          <w:spacing w:val="-5"/>
          <w:sz w:val="22"/>
        </w:rPr>
        <w:t> </w:t>
      </w:r>
      <w:r>
        <w:rPr>
          <w:rFonts w:ascii="Calibri"/>
          <w:i/>
          <w:sz w:val="22"/>
        </w:rPr>
        <w:t>European</w:t>
      </w:r>
      <w:r>
        <w:rPr>
          <w:rFonts w:ascii="Calibri"/>
          <w:i/>
          <w:spacing w:val="-4"/>
          <w:sz w:val="22"/>
        </w:rPr>
        <w:t> </w:t>
      </w:r>
      <w:r>
        <w:rPr>
          <w:rFonts w:ascii="Calibri"/>
          <w:i/>
          <w:sz w:val="22"/>
        </w:rPr>
        <w:t>Public</w:t>
      </w:r>
      <w:r>
        <w:rPr>
          <w:rFonts w:ascii="Calibri"/>
          <w:i/>
          <w:spacing w:val="-6"/>
          <w:sz w:val="22"/>
        </w:rPr>
        <w:t> </w:t>
      </w:r>
      <w:r>
        <w:rPr>
          <w:rFonts w:ascii="Calibri"/>
          <w:i/>
          <w:sz w:val="22"/>
        </w:rPr>
        <w:t>Policy,</w:t>
      </w:r>
      <w:r>
        <w:rPr>
          <w:rFonts w:ascii="Calibri"/>
          <w:i/>
          <w:spacing w:val="-3"/>
          <w:sz w:val="22"/>
        </w:rPr>
        <w:t> </w:t>
      </w:r>
      <w:r>
        <w:rPr>
          <w:rFonts w:ascii="Calibri"/>
          <w:i/>
          <w:sz w:val="22"/>
        </w:rPr>
        <w:t>22</w:t>
      </w:r>
      <w:r>
        <w:rPr>
          <w:rFonts w:ascii="Calibri"/>
          <w:sz w:val="22"/>
        </w:rPr>
        <w:t>(1),</w:t>
      </w:r>
      <w:r>
        <w:rPr>
          <w:rFonts w:ascii="Calibri"/>
          <w:spacing w:val="-3"/>
          <w:sz w:val="22"/>
        </w:rPr>
        <w:t> </w:t>
      </w:r>
      <w:r>
        <w:rPr>
          <w:rFonts w:ascii="Calibri"/>
          <w:sz w:val="22"/>
        </w:rPr>
        <w:t>75-93.</w:t>
      </w:r>
      <w:r>
        <w:rPr>
          <w:rFonts w:ascii="Calibri"/>
          <w:spacing w:val="-4"/>
          <w:sz w:val="22"/>
        </w:rPr>
        <w:t> </w:t>
      </w:r>
      <w:r>
        <w:rPr>
          <w:rFonts w:ascii="Calibri"/>
          <w:sz w:val="22"/>
        </w:rPr>
        <w:t>doi:</w:t>
      </w:r>
      <w:r>
        <w:rPr>
          <w:rFonts w:ascii="Calibri"/>
          <w:spacing w:val="-6"/>
          <w:sz w:val="22"/>
        </w:rPr>
        <w:t> </w:t>
      </w:r>
      <w:r>
        <w:rPr>
          <w:rFonts w:ascii="Calibri"/>
          <w:sz w:val="22"/>
        </w:rPr>
        <w:t>10.1080/13501763.2014.881415</w:t>
      </w:r>
    </w:p>
    <w:p>
      <w:pPr>
        <w:spacing w:before="0"/>
        <w:ind w:left="1700" w:right="1907" w:hanging="721"/>
        <w:jc w:val="both"/>
        <w:rPr>
          <w:rFonts w:ascii="Calibri"/>
          <w:sz w:val="22"/>
        </w:rPr>
      </w:pPr>
      <w:bookmarkStart w:name="_bookmark443" w:id="444"/>
      <w:bookmarkEnd w:id="444"/>
      <w:r>
        <w:rPr/>
      </w:r>
      <w:r>
        <w:rPr>
          <w:rFonts w:ascii="Calibri"/>
          <w:sz w:val="22"/>
        </w:rPr>
        <w:t>Wonka, A. (2007). Technocratic and independent? The appointment of European Commissioners and its policy implications. </w:t>
      </w:r>
      <w:r>
        <w:rPr>
          <w:rFonts w:ascii="Calibri"/>
          <w:i/>
          <w:sz w:val="22"/>
        </w:rPr>
        <w:t>Journal of European Public Policy, 14</w:t>
      </w:r>
      <w:r>
        <w:rPr>
          <w:rFonts w:ascii="Calibri"/>
          <w:sz w:val="22"/>
        </w:rPr>
        <w:t>(2), 169-189. doi: 10.1080/13501760601122241</w:t>
      </w:r>
    </w:p>
    <w:p>
      <w:pPr>
        <w:spacing w:before="0"/>
        <w:ind w:left="979" w:right="1901" w:firstLine="0"/>
        <w:jc w:val="both"/>
        <w:rPr>
          <w:rFonts w:ascii="Calibri"/>
          <w:sz w:val="22"/>
        </w:rPr>
      </w:pPr>
      <w:bookmarkStart w:name="_bookmark444" w:id="445"/>
      <w:bookmarkEnd w:id="445"/>
      <w:r>
        <w:rPr/>
      </w:r>
      <w:r>
        <w:rPr>
          <w:rFonts w:ascii="Calibri"/>
          <w:sz w:val="22"/>
        </w:rPr>
        <w:t>Young, O. R. (1968). </w:t>
      </w:r>
      <w:r>
        <w:rPr>
          <w:rFonts w:ascii="Calibri"/>
          <w:i/>
          <w:sz w:val="22"/>
        </w:rPr>
        <w:t>Systems of political science</w:t>
      </w:r>
      <w:r>
        <w:rPr>
          <w:rFonts w:ascii="Calibri"/>
          <w:sz w:val="22"/>
        </w:rPr>
        <w:t>. Englewood Cliffs, N.J.,: Prentice-Hall. </w:t>
      </w:r>
      <w:bookmarkStart w:name="_bookmark445" w:id="446"/>
      <w:bookmarkEnd w:id="446"/>
      <w:r>
        <w:rPr>
          <w:rFonts w:ascii="Calibri"/>
          <w:sz w:val="22"/>
        </w:rPr>
        <w:t>Z</w:t>
      </w:r>
      <w:r>
        <w:rPr>
          <w:rFonts w:ascii="Calibri"/>
          <w:sz w:val="22"/>
        </w:rPr>
        <w:t>ehfuss,</w:t>
      </w:r>
      <w:r>
        <w:rPr>
          <w:rFonts w:ascii="Calibri"/>
          <w:spacing w:val="79"/>
          <w:sz w:val="22"/>
        </w:rPr>
        <w:t> </w:t>
      </w:r>
      <w:r>
        <w:rPr>
          <w:rFonts w:ascii="Calibri"/>
          <w:sz w:val="22"/>
        </w:rPr>
        <w:t>M.</w:t>
      </w:r>
      <w:r>
        <w:rPr>
          <w:rFonts w:ascii="Calibri"/>
          <w:spacing w:val="80"/>
          <w:sz w:val="22"/>
        </w:rPr>
        <w:t> </w:t>
      </w:r>
      <w:r>
        <w:rPr>
          <w:rFonts w:ascii="Calibri"/>
          <w:sz w:val="22"/>
        </w:rPr>
        <w:t>(2002).</w:t>
      </w:r>
      <w:r>
        <w:rPr>
          <w:rFonts w:ascii="Calibri"/>
          <w:spacing w:val="80"/>
          <w:sz w:val="22"/>
        </w:rPr>
        <w:t> </w:t>
      </w:r>
      <w:r>
        <w:rPr>
          <w:rFonts w:ascii="Calibri"/>
          <w:i/>
          <w:sz w:val="22"/>
        </w:rPr>
        <w:t>Constructivism</w:t>
      </w:r>
      <w:r>
        <w:rPr>
          <w:rFonts w:ascii="Calibri"/>
          <w:i/>
          <w:spacing w:val="75"/>
          <w:sz w:val="22"/>
        </w:rPr>
        <w:t> </w:t>
      </w:r>
      <w:r>
        <w:rPr>
          <w:rFonts w:ascii="Calibri"/>
          <w:i/>
          <w:sz w:val="22"/>
        </w:rPr>
        <w:t>in</w:t>
      </w:r>
      <w:r>
        <w:rPr>
          <w:rFonts w:ascii="Calibri"/>
          <w:i/>
          <w:spacing w:val="78"/>
          <w:sz w:val="22"/>
        </w:rPr>
        <w:t> </w:t>
      </w:r>
      <w:r>
        <w:rPr>
          <w:rFonts w:ascii="Calibri"/>
          <w:i/>
          <w:sz w:val="22"/>
        </w:rPr>
        <w:t>international</w:t>
      </w:r>
      <w:r>
        <w:rPr>
          <w:rFonts w:ascii="Calibri"/>
          <w:i/>
          <w:spacing w:val="80"/>
          <w:sz w:val="22"/>
        </w:rPr>
        <w:t> </w:t>
      </w:r>
      <w:r>
        <w:rPr>
          <w:rFonts w:ascii="Calibri"/>
          <w:i/>
          <w:sz w:val="22"/>
        </w:rPr>
        <w:t>relations</w:t>
      </w:r>
      <w:r>
        <w:rPr>
          <w:rFonts w:ascii="Calibri"/>
          <w:i/>
          <w:spacing w:val="77"/>
          <w:sz w:val="22"/>
        </w:rPr>
        <w:t> </w:t>
      </w:r>
      <w:r>
        <w:rPr>
          <w:rFonts w:ascii="Calibri"/>
          <w:i/>
          <w:sz w:val="22"/>
        </w:rPr>
        <w:t>:</w:t>
      </w:r>
      <w:r>
        <w:rPr>
          <w:rFonts w:ascii="Calibri"/>
          <w:i/>
          <w:spacing w:val="80"/>
          <w:sz w:val="22"/>
        </w:rPr>
        <w:t> </w:t>
      </w:r>
      <w:r>
        <w:rPr>
          <w:rFonts w:ascii="Calibri"/>
          <w:i/>
          <w:sz w:val="22"/>
        </w:rPr>
        <w:t>the</w:t>
      </w:r>
      <w:r>
        <w:rPr>
          <w:rFonts w:ascii="Calibri"/>
          <w:i/>
          <w:spacing w:val="77"/>
          <w:sz w:val="22"/>
        </w:rPr>
        <w:t> </w:t>
      </w:r>
      <w:r>
        <w:rPr>
          <w:rFonts w:ascii="Calibri"/>
          <w:i/>
          <w:sz w:val="22"/>
        </w:rPr>
        <w:t>politics</w:t>
      </w:r>
      <w:r>
        <w:rPr>
          <w:rFonts w:ascii="Calibri"/>
          <w:i/>
          <w:spacing w:val="80"/>
          <w:sz w:val="22"/>
        </w:rPr>
        <w:t> </w:t>
      </w:r>
      <w:r>
        <w:rPr>
          <w:rFonts w:ascii="Calibri"/>
          <w:i/>
          <w:sz w:val="22"/>
        </w:rPr>
        <w:t>of</w:t>
      </w:r>
      <w:r>
        <w:rPr>
          <w:rFonts w:ascii="Calibri"/>
          <w:i/>
          <w:spacing w:val="77"/>
          <w:sz w:val="22"/>
        </w:rPr>
        <w:t> </w:t>
      </w:r>
      <w:r>
        <w:rPr>
          <w:rFonts w:ascii="Calibri"/>
          <w:i/>
          <w:sz w:val="22"/>
        </w:rPr>
        <w:t>reality</w:t>
      </w:r>
      <w:r>
        <w:rPr>
          <w:rFonts w:ascii="Calibri"/>
          <w:sz w:val="22"/>
        </w:rPr>
        <w:t>.</w:t>
      </w:r>
    </w:p>
    <w:p>
      <w:pPr>
        <w:spacing w:before="0"/>
        <w:ind w:left="1700" w:right="0" w:firstLine="0"/>
        <w:jc w:val="both"/>
        <w:rPr>
          <w:rFonts w:ascii="Calibri"/>
          <w:sz w:val="22"/>
        </w:rPr>
      </w:pPr>
      <w:r>
        <w:rPr>
          <w:rFonts w:ascii="Calibri"/>
          <w:sz w:val="22"/>
        </w:rPr>
        <w:t>Cambridge,</w:t>
      </w:r>
      <w:r>
        <w:rPr>
          <w:rFonts w:ascii="Calibri"/>
          <w:spacing w:val="-10"/>
          <w:sz w:val="22"/>
        </w:rPr>
        <w:t> </w:t>
      </w:r>
      <w:r>
        <w:rPr>
          <w:rFonts w:ascii="Calibri"/>
          <w:sz w:val="22"/>
        </w:rPr>
        <w:t>England:</w:t>
      </w:r>
      <w:r>
        <w:rPr>
          <w:rFonts w:ascii="Calibri"/>
          <w:spacing w:val="-10"/>
          <w:sz w:val="22"/>
        </w:rPr>
        <w:t> </w:t>
      </w:r>
      <w:r>
        <w:rPr>
          <w:rFonts w:ascii="Calibri"/>
          <w:sz w:val="22"/>
        </w:rPr>
        <w:t>Cambridge</w:t>
      </w:r>
      <w:r>
        <w:rPr>
          <w:rFonts w:ascii="Calibri"/>
          <w:spacing w:val="-8"/>
          <w:sz w:val="22"/>
        </w:rPr>
        <w:t> </w:t>
      </w:r>
      <w:r>
        <w:rPr>
          <w:rFonts w:ascii="Calibri"/>
          <w:sz w:val="22"/>
        </w:rPr>
        <w:t>University</w:t>
      </w:r>
      <w:r>
        <w:rPr>
          <w:rFonts w:ascii="Calibri"/>
          <w:spacing w:val="-8"/>
          <w:sz w:val="22"/>
        </w:rPr>
        <w:t> </w:t>
      </w:r>
      <w:r>
        <w:rPr>
          <w:rFonts w:ascii="Calibri"/>
          <w:spacing w:val="-2"/>
          <w:sz w:val="22"/>
        </w:rPr>
        <w:t>Press.</w:t>
      </w:r>
    </w:p>
    <w:p>
      <w:pPr>
        <w:spacing w:before="0"/>
        <w:ind w:left="1700" w:right="1898" w:hanging="721"/>
        <w:jc w:val="both"/>
        <w:rPr>
          <w:rFonts w:ascii="Calibri"/>
          <w:sz w:val="22"/>
        </w:rPr>
      </w:pPr>
      <w:bookmarkStart w:name="_bookmark446" w:id="447"/>
      <w:bookmarkEnd w:id="447"/>
      <w:r>
        <w:rPr/>
      </w:r>
      <w:r>
        <w:rPr>
          <w:rFonts w:ascii="Calibri"/>
          <w:sz w:val="22"/>
        </w:rPr>
        <w:t>Zielonka, J. A. N. (2007). Plurilateral Governance in the Enlarged European Union*. </w:t>
      </w:r>
      <w:r>
        <w:rPr>
          <w:rFonts w:ascii="Calibri"/>
          <w:i/>
          <w:sz w:val="22"/>
        </w:rPr>
        <w:t>JCMS: Journal of Common Market Studies, 45</w:t>
      </w:r>
      <w:r>
        <w:rPr>
          <w:rFonts w:ascii="Calibri"/>
          <w:sz w:val="22"/>
        </w:rPr>
        <w:t>(1), 187-209. doi: 10.1111/j.1468- </w:t>
      </w:r>
      <w:r>
        <w:rPr>
          <w:rFonts w:ascii="Calibri"/>
          <w:spacing w:val="-2"/>
          <w:sz w:val="22"/>
        </w:rPr>
        <w:t>5965.2007.00708.x</w:t>
      </w:r>
    </w:p>
    <w:p>
      <w:pPr>
        <w:spacing w:before="0"/>
        <w:ind w:left="1700" w:right="1917" w:hanging="721"/>
        <w:jc w:val="both"/>
        <w:rPr>
          <w:rFonts w:ascii="Calibri"/>
          <w:sz w:val="22"/>
        </w:rPr>
      </w:pPr>
      <w:bookmarkStart w:name="_bookmark447" w:id="448"/>
      <w:bookmarkEnd w:id="448"/>
      <w:r>
        <w:rPr/>
      </w:r>
      <w:r>
        <w:rPr>
          <w:rFonts w:ascii="Calibri"/>
          <w:sz w:val="22"/>
        </w:rPr>
        <w:t>Zwolski, K. (2009). The European Union as a Security Actor: Moving Beyond the Second Pillar. </w:t>
      </w:r>
      <w:r>
        <w:rPr>
          <w:rFonts w:ascii="Calibri"/>
          <w:i/>
          <w:sz w:val="22"/>
        </w:rPr>
        <w:t>Journal of Contemporary European Research, 5</w:t>
      </w:r>
      <w:r>
        <w:rPr>
          <w:rFonts w:ascii="Calibri"/>
          <w:sz w:val="22"/>
        </w:rPr>
        <w:t>(1), 82-96.</w:t>
      </w: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spacing w:before="55"/>
        <w:ind w:left="0"/>
        <w:jc w:val="left"/>
        <w:rPr>
          <w:rFonts w:ascii="Calibri"/>
          <w:sz w:val="22"/>
        </w:rPr>
      </w:pPr>
    </w:p>
    <w:p>
      <w:pPr>
        <w:spacing w:before="1"/>
        <w:ind w:left="280" w:right="0" w:firstLine="0"/>
        <w:jc w:val="left"/>
        <w:rPr>
          <w:rFonts w:ascii="Arial MT"/>
          <w:sz w:val="8"/>
        </w:rPr>
      </w:pPr>
      <w:hyperlink r:id="rId47">
        <w:r>
          <w:rPr>
            <w:rFonts w:ascii="Arial MT"/>
            <w:color w:val="B3B3B3"/>
            <w:sz w:val="8"/>
          </w:rPr>
          <w:t>View publication </w:t>
        </w:r>
        <w:r>
          <w:rPr>
            <w:rFonts w:ascii="Arial MT"/>
            <w:color w:val="B3B3B3"/>
            <w:spacing w:val="-2"/>
            <w:sz w:val="8"/>
          </w:rPr>
          <w:t>stats</w:t>
        </w:r>
      </w:hyperlink>
    </w:p>
    <w:sectPr>
      <w:pgSz w:w="12240" w:h="15840"/>
      <w:pgMar w:header="1046" w:footer="0" w:top="1360" w:bottom="0" w:left="72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Georgia">
    <w:altName w:val="Georgia"/>
    <w:charset w:val="1"/>
    <w:family w:val="roman"/>
    <w:pitch w:val="variable"/>
  </w:font>
  <w:font w:name="Calibri">
    <w:altName w:val="Calibri"/>
    <w:charset w:val="1"/>
    <w:family w:val="roman"/>
    <w:pitch w:val="variable"/>
  </w:font>
  <w:font w:name="Cambria">
    <w:altName w:val="Cambria"/>
    <w:charset w:val="1"/>
    <w:family w:val="roman"/>
    <w:pitch w:val="variable"/>
  </w:font>
  <w:font w:name="Tahoma">
    <w:altName w:val="Tahoma"/>
    <w:charset w:val="1"/>
    <w:family w:val="swiss"/>
    <w:pitch w:val="variable"/>
  </w:font>
  <w:font w:name="Trebuchet MS">
    <w:altName w:val="Trebuchet MS"/>
    <w:charset w:val="1"/>
    <w:family w:val="swiss"/>
    <w:pitch w:val="variable"/>
  </w:font>
  <w:font w:name="Sylfaen">
    <w:altName w:val="Sylfaen"/>
    <w:charset w:val="1"/>
    <w:family w:val="auto"/>
    <w:pitch w:val="variable"/>
  </w:font>
  <w:font w:name="Symbol">
    <w:altName w:val="Symbol"/>
    <w:charset w:val="2"/>
    <w:family w:val="decorative"/>
    <w:pitch w:val="variable"/>
  </w:font>
  <w:font w:name="Verdana">
    <w:altName w:val="Verdana"/>
    <w:charset w:val="1"/>
    <w:family w:val="swiss"/>
    <w:pitch w:val="variable"/>
  </w:font>
  <w:font w:name="Wingdings">
    <w:altName w:val="Wingdings"/>
    <w:charset w:val="2"/>
    <w:family w:val="decorative"/>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sz w:val="20"/>
      </w:rPr>
    </w:pPr>
    <w:r>
      <w:rPr>
        <w:sz w:val="20"/>
      </w:rPr>
      <mc:AlternateContent>
        <mc:Choice Requires="wps">
          <w:drawing>
            <wp:anchor distT="0" distB="0" distL="0" distR="0" allowOverlap="1" layoutInCell="1" locked="0" behindDoc="1" simplePos="0" relativeHeight="484995584">
              <wp:simplePos x="0" y="0"/>
              <wp:positionH relativeFrom="page">
                <wp:posOffset>3408426</wp:posOffset>
              </wp:positionH>
              <wp:positionV relativeFrom="page">
                <wp:posOffset>651678</wp:posOffset>
              </wp:positionV>
              <wp:extent cx="593090" cy="233045"/>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593090" cy="233045"/>
                      </a:xfrm>
                      <a:prstGeom prst="rect">
                        <a:avLst/>
                      </a:prstGeom>
                    </wps:spPr>
                    <wps:txbx>
                      <w:txbxContent>
                        <w:p>
                          <w:pPr>
                            <w:spacing w:before="18"/>
                            <w:ind w:left="20" w:right="0" w:firstLine="0"/>
                            <w:jc w:val="left"/>
                            <w:rPr>
                              <w:rFonts w:ascii="Cambria"/>
                              <w:sz w:val="28"/>
                            </w:rPr>
                          </w:pPr>
                          <w:r>
                            <w:rPr>
                              <w:rFonts w:ascii="Cambria"/>
                              <w:sz w:val="28"/>
                            </w:rPr>
                            <w:t>=</w:t>
                          </w:r>
                          <w:r>
                            <w:rPr>
                              <w:rFonts w:ascii="Cambria"/>
                              <w:spacing w:val="-4"/>
                              <w:sz w:val="28"/>
                            </w:rPr>
                            <w:t> </w:t>
                          </w:r>
                          <w:r>
                            <w:rPr>
                              <w:rFonts w:ascii="Cambria"/>
                              <w:sz w:val="28"/>
                            </w:rPr>
                            <w:fldChar w:fldCharType="begin"/>
                          </w:r>
                          <w:r>
                            <w:rPr>
                              <w:rFonts w:ascii="Cambria"/>
                              <w:sz w:val="28"/>
                            </w:rPr>
                            <w:instrText> PAGE </w:instrText>
                          </w:r>
                          <w:r>
                            <w:rPr>
                              <w:rFonts w:ascii="Cambria"/>
                              <w:sz w:val="28"/>
                            </w:rPr>
                            <w:fldChar w:fldCharType="separate"/>
                          </w:r>
                          <w:r>
                            <w:rPr>
                              <w:rFonts w:ascii="Cambria"/>
                              <w:sz w:val="28"/>
                            </w:rPr>
                            <w:t>100</w:t>
                          </w:r>
                          <w:r>
                            <w:rPr>
                              <w:rFonts w:ascii="Cambria"/>
                              <w:sz w:val="28"/>
                            </w:rPr>
                            <w:fldChar w:fldCharType="end"/>
                          </w:r>
                          <w:r>
                            <w:rPr>
                              <w:rFonts w:ascii="Cambria"/>
                              <w:spacing w:val="-3"/>
                              <w:sz w:val="28"/>
                            </w:rPr>
                            <w:t> </w:t>
                          </w:r>
                          <w:r>
                            <w:rPr>
                              <w:rFonts w:ascii="Cambria"/>
                              <w:spacing w:val="-10"/>
                              <w:sz w:val="28"/>
                            </w:rPr>
                            <w:t>=</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68.380005pt;margin-top:51.313282pt;width:46.7pt;height:18.350pt;mso-position-horizontal-relative:page;mso-position-vertical-relative:page;z-index:-18320896" type="#_x0000_t202" id="docshape7" filled="false" stroked="false">
              <v:textbox inset="0,0,0,0">
                <w:txbxContent>
                  <w:p>
                    <w:pPr>
                      <w:spacing w:before="18"/>
                      <w:ind w:left="20" w:right="0" w:firstLine="0"/>
                      <w:jc w:val="left"/>
                      <w:rPr>
                        <w:rFonts w:ascii="Cambria"/>
                        <w:sz w:val="28"/>
                      </w:rPr>
                    </w:pPr>
                    <w:r>
                      <w:rPr>
                        <w:rFonts w:ascii="Cambria"/>
                        <w:sz w:val="28"/>
                      </w:rPr>
                      <w:t>=</w:t>
                    </w:r>
                    <w:r>
                      <w:rPr>
                        <w:rFonts w:ascii="Cambria"/>
                        <w:spacing w:val="-4"/>
                        <w:sz w:val="28"/>
                      </w:rPr>
                      <w:t> </w:t>
                    </w:r>
                    <w:r>
                      <w:rPr>
                        <w:rFonts w:ascii="Cambria"/>
                        <w:sz w:val="28"/>
                      </w:rPr>
                      <w:fldChar w:fldCharType="begin"/>
                    </w:r>
                    <w:r>
                      <w:rPr>
                        <w:rFonts w:ascii="Cambria"/>
                        <w:sz w:val="28"/>
                      </w:rPr>
                      <w:instrText> PAGE </w:instrText>
                    </w:r>
                    <w:r>
                      <w:rPr>
                        <w:rFonts w:ascii="Cambria"/>
                        <w:sz w:val="28"/>
                      </w:rPr>
                      <w:fldChar w:fldCharType="separate"/>
                    </w:r>
                    <w:r>
                      <w:rPr>
                        <w:rFonts w:ascii="Cambria"/>
                        <w:sz w:val="28"/>
                      </w:rPr>
                      <w:t>100</w:t>
                    </w:r>
                    <w:r>
                      <w:rPr>
                        <w:rFonts w:ascii="Cambria"/>
                        <w:sz w:val="28"/>
                      </w:rPr>
                      <w:fldChar w:fldCharType="end"/>
                    </w:r>
                    <w:r>
                      <w:rPr>
                        <w:rFonts w:ascii="Cambria"/>
                        <w:spacing w:val="-3"/>
                        <w:sz w:val="28"/>
                      </w:rPr>
                      <w:t> </w:t>
                    </w:r>
                    <w:r>
                      <w:rPr>
                        <w:rFonts w:ascii="Cambria"/>
                        <w:spacing w:val="-10"/>
                        <w:sz w:val="28"/>
                      </w:rPr>
                      <w:t>=</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9">
    <w:multiLevelType w:val="hybridMultilevel"/>
    <w:lvl w:ilvl="0">
      <w:start w:val="1"/>
      <w:numFmt w:val="decimal"/>
      <w:lvlText w:val="%1)"/>
      <w:lvlJc w:val="left"/>
      <w:pPr>
        <w:ind w:left="979" w:hanging="294"/>
        <w:jc w:val="left"/>
      </w:pPr>
      <w:rPr>
        <w:rFonts w:hint="default" w:ascii="Sylfaen" w:hAnsi="Sylfaen" w:eastAsia="Sylfaen" w:cs="Sylfaen"/>
        <w:b w:val="0"/>
        <w:bCs w:val="0"/>
        <w:i w:val="0"/>
        <w:iCs w:val="0"/>
        <w:spacing w:val="-1"/>
        <w:w w:val="99"/>
        <w:sz w:val="26"/>
        <w:szCs w:val="26"/>
        <w:lang w:val="en-US" w:eastAsia="en-US" w:bidi="ar-SA"/>
      </w:rPr>
    </w:lvl>
    <w:lvl w:ilvl="1">
      <w:start w:val="0"/>
      <w:numFmt w:val="bullet"/>
      <w:lvlText w:val="•"/>
      <w:lvlJc w:val="left"/>
      <w:pPr>
        <w:ind w:left="1998" w:hanging="294"/>
      </w:pPr>
      <w:rPr>
        <w:rFonts w:hint="default"/>
        <w:lang w:val="en-US" w:eastAsia="en-US" w:bidi="ar-SA"/>
      </w:rPr>
    </w:lvl>
    <w:lvl w:ilvl="2">
      <w:start w:val="0"/>
      <w:numFmt w:val="bullet"/>
      <w:lvlText w:val="•"/>
      <w:lvlJc w:val="left"/>
      <w:pPr>
        <w:ind w:left="3016" w:hanging="294"/>
      </w:pPr>
      <w:rPr>
        <w:rFonts w:hint="default"/>
        <w:lang w:val="en-US" w:eastAsia="en-US" w:bidi="ar-SA"/>
      </w:rPr>
    </w:lvl>
    <w:lvl w:ilvl="3">
      <w:start w:val="0"/>
      <w:numFmt w:val="bullet"/>
      <w:lvlText w:val="•"/>
      <w:lvlJc w:val="left"/>
      <w:pPr>
        <w:ind w:left="4034" w:hanging="294"/>
      </w:pPr>
      <w:rPr>
        <w:rFonts w:hint="default"/>
        <w:lang w:val="en-US" w:eastAsia="en-US" w:bidi="ar-SA"/>
      </w:rPr>
    </w:lvl>
    <w:lvl w:ilvl="4">
      <w:start w:val="0"/>
      <w:numFmt w:val="bullet"/>
      <w:lvlText w:val="•"/>
      <w:lvlJc w:val="left"/>
      <w:pPr>
        <w:ind w:left="5052" w:hanging="294"/>
      </w:pPr>
      <w:rPr>
        <w:rFonts w:hint="default"/>
        <w:lang w:val="en-US" w:eastAsia="en-US" w:bidi="ar-SA"/>
      </w:rPr>
    </w:lvl>
    <w:lvl w:ilvl="5">
      <w:start w:val="0"/>
      <w:numFmt w:val="bullet"/>
      <w:lvlText w:val="•"/>
      <w:lvlJc w:val="left"/>
      <w:pPr>
        <w:ind w:left="6070" w:hanging="294"/>
      </w:pPr>
      <w:rPr>
        <w:rFonts w:hint="default"/>
        <w:lang w:val="en-US" w:eastAsia="en-US" w:bidi="ar-SA"/>
      </w:rPr>
    </w:lvl>
    <w:lvl w:ilvl="6">
      <w:start w:val="0"/>
      <w:numFmt w:val="bullet"/>
      <w:lvlText w:val="•"/>
      <w:lvlJc w:val="left"/>
      <w:pPr>
        <w:ind w:left="7088" w:hanging="294"/>
      </w:pPr>
      <w:rPr>
        <w:rFonts w:hint="default"/>
        <w:lang w:val="en-US" w:eastAsia="en-US" w:bidi="ar-SA"/>
      </w:rPr>
    </w:lvl>
    <w:lvl w:ilvl="7">
      <w:start w:val="0"/>
      <w:numFmt w:val="bullet"/>
      <w:lvlText w:val="•"/>
      <w:lvlJc w:val="left"/>
      <w:pPr>
        <w:ind w:left="8106" w:hanging="294"/>
      </w:pPr>
      <w:rPr>
        <w:rFonts w:hint="default"/>
        <w:lang w:val="en-US" w:eastAsia="en-US" w:bidi="ar-SA"/>
      </w:rPr>
    </w:lvl>
    <w:lvl w:ilvl="8">
      <w:start w:val="0"/>
      <w:numFmt w:val="bullet"/>
      <w:lvlText w:val="•"/>
      <w:lvlJc w:val="left"/>
      <w:pPr>
        <w:ind w:left="9124" w:hanging="294"/>
      </w:pPr>
      <w:rPr>
        <w:rFonts w:hint="default"/>
        <w:lang w:val="en-US" w:eastAsia="en-US" w:bidi="ar-SA"/>
      </w:rPr>
    </w:lvl>
  </w:abstractNum>
  <w:abstractNum w:abstractNumId="18">
    <w:multiLevelType w:val="hybridMultilevel"/>
    <w:lvl w:ilvl="0">
      <w:start w:val="0"/>
      <w:numFmt w:val="bullet"/>
      <w:lvlText w:val=""/>
      <w:lvlJc w:val="left"/>
      <w:pPr>
        <w:ind w:left="792" w:hanging="360"/>
      </w:pPr>
      <w:rPr>
        <w:rFonts w:hint="default" w:ascii="Wingdings" w:hAnsi="Wingdings" w:eastAsia="Wingdings" w:cs="Wingdings"/>
        <w:b w:val="0"/>
        <w:bCs w:val="0"/>
        <w:i w:val="0"/>
        <w:iCs w:val="0"/>
        <w:spacing w:val="0"/>
        <w:w w:val="100"/>
        <w:sz w:val="24"/>
        <w:szCs w:val="24"/>
        <w:lang w:val="en-US" w:eastAsia="en-US" w:bidi="ar-SA"/>
      </w:rPr>
    </w:lvl>
    <w:lvl w:ilvl="1">
      <w:start w:val="0"/>
      <w:numFmt w:val="bullet"/>
      <w:lvlText w:val="•"/>
      <w:lvlJc w:val="left"/>
      <w:pPr>
        <w:ind w:left="1027" w:hanging="360"/>
      </w:pPr>
      <w:rPr>
        <w:rFonts w:hint="default"/>
        <w:lang w:val="en-US" w:eastAsia="en-US" w:bidi="ar-SA"/>
      </w:rPr>
    </w:lvl>
    <w:lvl w:ilvl="2">
      <w:start w:val="0"/>
      <w:numFmt w:val="bullet"/>
      <w:lvlText w:val="•"/>
      <w:lvlJc w:val="left"/>
      <w:pPr>
        <w:ind w:left="1255" w:hanging="360"/>
      </w:pPr>
      <w:rPr>
        <w:rFonts w:hint="default"/>
        <w:lang w:val="en-US" w:eastAsia="en-US" w:bidi="ar-SA"/>
      </w:rPr>
    </w:lvl>
    <w:lvl w:ilvl="3">
      <w:start w:val="0"/>
      <w:numFmt w:val="bullet"/>
      <w:lvlText w:val="•"/>
      <w:lvlJc w:val="left"/>
      <w:pPr>
        <w:ind w:left="1483" w:hanging="360"/>
      </w:pPr>
      <w:rPr>
        <w:rFonts w:hint="default"/>
        <w:lang w:val="en-US" w:eastAsia="en-US" w:bidi="ar-SA"/>
      </w:rPr>
    </w:lvl>
    <w:lvl w:ilvl="4">
      <w:start w:val="0"/>
      <w:numFmt w:val="bullet"/>
      <w:lvlText w:val="•"/>
      <w:lvlJc w:val="left"/>
      <w:pPr>
        <w:ind w:left="1710" w:hanging="360"/>
      </w:pPr>
      <w:rPr>
        <w:rFonts w:hint="default"/>
        <w:lang w:val="en-US" w:eastAsia="en-US" w:bidi="ar-SA"/>
      </w:rPr>
    </w:lvl>
    <w:lvl w:ilvl="5">
      <w:start w:val="0"/>
      <w:numFmt w:val="bullet"/>
      <w:lvlText w:val="•"/>
      <w:lvlJc w:val="left"/>
      <w:pPr>
        <w:ind w:left="1938" w:hanging="360"/>
      </w:pPr>
      <w:rPr>
        <w:rFonts w:hint="default"/>
        <w:lang w:val="en-US" w:eastAsia="en-US" w:bidi="ar-SA"/>
      </w:rPr>
    </w:lvl>
    <w:lvl w:ilvl="6">
      <w:start w:val="0"/>
      <w:numFmt w:val="bullet"/>
      <w:lvlText w:val="•"/>
      <w:lvlJc w:val="left"/>
      <w:pPr>
        <w:ind w:left="2166" w:hanging="360"/>
      </w:pPr>
      <w:rPr>
        <w:rFonts w:hint="default"/>
        <w:lang w:val="en-US" w:eastAsia="en-US" w:bidi="ar-SA"/>
      </w:rPr>
    </w:lvl>
    <w:lvl w:ilvl="7">
      <w:start w:val="0"/>
      <w:numFmt w:val="bullet"/>
      <w:lvlText w:val="•"/>
      <w:lvlJc w:val="left"/>
      <w:pPr>
        <w:ind w:left="2393" w:hanging="360"/>
      </w:pPr>
      <w:rPr>
        <w:rFonts w:hint="default"/>
        <w:lang w:val="en-US" w:eastAsia="en-US" w:bidi="ar-SA"/>
      </w:rPr>
    </w:lvl>
    <w:lvl w:ilvl="8">
      <w:start w:val="0"/>
      <w:numFmt w:val="bullet"/>
      <w:lvlText w:val="•"/>
      <w:lvlJc w:val="left"/>
      <w:pPr>
        <w:ind w:left="2621" w:hanging="360"/>
      </w:pPr>
      <w:rPr>
        <w:rFonts w:hint="default"/>
        <w:lang w:val="en-US" w:eastAsia="en-US" w:bidi="ar-SA"/>
      </w:rPr>
    </w:lvl>
  </w:abstractNum>
  <w:abstractNum w:abstractNumId="17">
    <w:multiLevelType w:val="hybridMultilevel"/>
    <w:lvl w:ilvl="0">
      <w:start w:val="0"/>
      <w:numFmt w:val="bullet"/>
      <w:lvlText w:val=""/>
      <w:lvlJc w:val="left"/>
      <w:pPr>
        <w:ind w:left="846" w:hanging="361"/>
      </w:pPr>
      <w:rPr>
        <w:rFonts w:hint="default" w:ascii="Wingdings" w:hAnsi="Wingdings" w:eastAsia="Wingdings" w:cs="Wingdings"/>
        <w:b w:val="0"/>
        <w:bCs w:val="0"/>
        <w:i w:val="0"/>
        <w:iCs w:val="0"/>
        <w:spacing w:val="0"/>
        <w:w w:val="100"/>
        <w:sz w:val="24"/>
        <w:szCs w:val="24"/>
        <w:lang w:val="en-US" w:eastAsia="en-US" w:bidi="ar-SA"/>
      </w:rPr>
    </w:lvl>
    <w:lvl w:ilvl="1">
      <w:start w:val="0"/>
      <w:numFmt w:val="bullet"/>
      <w:lvlText w:val="•"/>
      <w:lvlJc w:val="left"/>
      <w:pPr>
        <w:ind w:left="1131" w:hanging="361"/>
      </w:pPr>
      <w:rPr>
        <w:rFonts w:hint="default"/>
        <w:lang w:val="en-US" w:eastAsia="en-US" w:bidi="ar-SA"/>
      </w:rPr>
    </w:lvl>
    <w:lvl w:ilvl="2">
      <w:start w:val="0"/>
      <w:numFmt w:val="bullet"/>
      <w:lvlText w:val="•"/>
      <w:lvlJc w:val="left"/>
      <w:pPr>
        <w:ind w:left="1422" w:hanging="361"/>
      </w:pPr>
      <w:rPr>
        <w:rFonts w:hint="default"/>
        <w:lang w:val="en-US" w:eastAsia="en-US" w:bidi="ar-SA"/>
      </w:rPr>
    </w:lvl>
    <w:lvl w:ilvl="3">
      <w:start w:val="0"/>
      <w:numFmt w:val="bullet"/>
      <w:lvlText w:val="•"/>
      <w:lvlJc w:val="left"/>
      <w:pPr>
        <w:ind w:left="1714" w:hanging="361"/>
      </w:pPr>
      <w:rPr>
        <w:rFonts w:hint="default"/>
        <w:lang w:val="en-US" w:eastAsia="en-US" w:bidi="ar-SA"/>
      </w:rPr>
    </w:lvl>
    <w:lvl w:ilvl="4">
      <w:start w:val="0"/>
      <w:numFmt w:val="bullet"/>
      <w:lvlText w:val="•"/>
      <w:lvlJc w:val="left"/>
      <w:pPr>
        <w:ind w:left="2005" w:hanging="361"/>
      </w:pPr>
      <w:rPr>
        <w:rFonts w:hint="default"/>
        <w:lang w:val="en-US" w:eastAsia="en-US" w:bidi="ar-SA"/>
      </w:rPr>
    </w:lvl>
    <w:lvl w:ilvl="5">
      <w:start w:val="0"/>
      <w:numFmt w:val="bullet"/>
      <w:lvlText w:val="•"/>
      <w:lvlJc w:val="left"/>
      <w:pPr>
        <w:ind w:left="2297" w:hanging="361"/>
      </w:pPr>
      <w:rPr>
        <w:rFonts w:hint="default"/>
        <w:lang w:val="en-US" w:eastAsia="en-US" w:bidi="ar-SA"/>
      </w:rPr>
    </w:lvl>
    <w:lvl w:ilvl="6">
      <w:start w:val="0"/>
      <w:numFmt w:val="bullet"/>
      <w:lvlText w:val="•"/>
      <w:lvlJc w:val="left"/>
      <w:pPr>
        <w:ind w:left="2588" w:hanging="361"/>
      </w:pPr>
      <w:rPr>
        <w:rFonts w:hint="default"/>
        <w:lang w:val="en-US" w:eastAsia="en-US" w:bidi="ar-SA"/>
      </w:rPr>
    </w:lvl>
    <w:lvl w:ilvl="7">
      <w:start w:val="0"/>
      <w:numFmt w:val="bullet"/>
      <w:lvlText w:val="•"/>
      <w:lvlJc w:val="left"/>
      <w:pPr>
        <w:ind w:left="2879" w:hanging="361"/>
      </w:pPr>
      <w:rPr>
        <w:rFonts w:hint="default"/>
        <w:lang w:val="en-US" w:eastAsia="en-US" w:bidi="ar-SA"/>
      </w:rPr>
    </w:lvl>
    <w:lvl w:ilvl="8">
      <w:start w:val="0"/>
      <w:numFmt w:val="bullet"/>
      <w:lvlText w:val="•"/>
      <w:lvlJc w:val="left"/>
      <w:pPr>
        <w:ind w:left="3171" w:hanging="361"/>
      </w:pPr>
      <w:rPr>
        <w:rFonts w:hint="default"/>
        <w:lang w:val="en-US" w:eastAsia="en-US" w:bidi="ar-SA"/>
      </w:rPr>
    </w:lvl>
  </w:abstractNum>
  <w:abstractNum w:abstractNumId="16">
    <w:multiLevelType w:val="hybridMultilevel"/>
    <w:lvl w:ilvl="0">
      <w:start w:val="0"/>
      <w:numFmt w:val="bullet"/>
      <w:lvlText w:val=""/>
      <w:lvlJc w:val="left"/>
      <w:pPr>
        <w:ind w:left="846" w:hanging="361"/>
      </w:pPr>
      <w:rPr>
        <w:rFonts w:hint="default" w:ascii="Wingdings" w:hAnsi="Wingdings" w:eastAsia="Wingdings" w:cs="Wingdings"/>
        <w:b w:val="0"/>
        <w:bCs w:val="0"/>
        <w:i w:val="0"/>
        <w:iCs w:val="0"/>
        <w:spacing w:val="0"/>
        <w:w w:val="100"/>
        <w:sz w:val="24"/>
        <w:szCs w:val="24"/>
        <w:lang w:val="en-US" w:eastAsia="en-US" w:bidi="ar-SA"/>
      </w:rPr>
    </w:lvl>
    <w:lvl w:ilvl="1">
      <w:start w:val="0"/>
      <w:numFmt w:val="bullet"/>
      <w:lvlText w:val="•"/>
      <w:lvlJc w:val="left"/>
      <w:pPr>
        <w:ind w:left="1131" w:hanging="361"/>
      </w:pPr>
      <w:rPr>
        <w:rFonts w:hint="default"/>
        <w:lang w:val="en-US" w:eastAsia="en-US" w:bidi="ar-SA"/>
      </w:rPr>
    </w:lvl>
    <w:lvl w:ilvl="2">
      <w:start w:val="0"/>
      <w:numFmt w:val="bullet"/>
      <w:lvlText w:val="•"/>
      <w:lvlJc w:val="left"/>
      <w:pPr>
        <w:ind w:left="1422" w:hanging="361"/>
      </w:pPr>
      <w:rPr>
        <w:rFonts w:hint="default"/>
        <w:lang w:val="en-US" w:eastAsia="en-US" w:bidi="ar-SA"/>
      </w:rPr>
    </w:lvl>
    <w:lvl w:ilvl="3">
      <w:start w:val="0"/>
      <w:numFmt w:val="bullet"/>
      <w:lvlText w:val="•"/>
      <w:lvlJc w:val="left"/>
      <w:pPr>
        <w:ind w:left="1714" w:hanging="361"/>
      </w:pPr>
      <w:rPr>
        <w:rFonts w:hint="default"/>
        <w:lang w:val="en-US" w:eastAsia="en-US" w:bidi="ar-SA"/>
      </w:rPr>
    </w:lvl>
    <w:lvl w:ilvl="4">
      <w:start w:val="0"/>
      <w:numFmt w:val="bullet"/>
      <w:lvlText w:val="•"/>
      <w:lvlJc w:val="left"/>
      <w:pPr>
        <w:ind w:left="2005" w:hanging="361"/>
      </w:pPr>
      <w:rPr>
        <w:rFonts w:hint="default"/>
        <w:lang w:val="en-US" w:eastAsia="en-US" w:bidi="ar-SA"/>
      </w:rPr>
    </w:lvl>
    <w:lvl w:ilvl="5">
      <w:start w:val="0"/>
      <w:numFmt w:val="bullet"/>
      <w:lvlText w:val="•"/>
      <w:lvlJc w:val="left"/>
      <w:pPr>
        <w:ind w:left="2297" w:hanging="361"/>
      </w:pPr>
      <w:rPr>
        <w:rFonts w:hint="default"/>
        <w:lang w:val="en-US" w:eastAsia="en-US" w:bidi="ar-SA"/>
      </w:rPr>
    </w:lvl>
    <w:lvl w:ilvl="6">
      <w:start w:val="0"/>
      <w:numFmt w:val="bullet"/>
      <w:lvlText w:val="•"/>
      <w:lvlJc w:val="left"/>
      <w:pPr>
        <w:ind w:left="2588" w:hanging="361"/>
      </w:pPr>
      <w:rPr>
        <w:rFonts w:hint="default"/>
        <w:lang w:val="en-US" w:eastAsia="en-US" w:bidi="ar-SA"/>
      </w:rPr>
    </w:lvl>
    <w:lvl w:ilvl="7">
      <w:start w:val="0"/>
      <w:numFmt w:val="bullet"/>
      <w:lvlText w:val="•"/>
      <w:lvlJc w:val="left"/>
      <w:pPr>
        <w:ind w:left="2879" w:hanging="361"/>
      </w:pPr>
      <w:rPr>
        <w:rFonts w:hint="default"/>
        <w:lang w:val="en-US" w:eastAsia="en-US" w:bidi="ar-SA"/>
      </w:rPr>
    </w:lvl>
    <w:lvl w:ilvl="8">
      <w:start w:val="0"/>
      <w:numFmt w:val="bullet"/>
      <w:lvlText w:val="•"/>
      <w:lvlJc w:val="left"/>
      <w:pPr>
        <w:ind w:left="3171" w:hanging="361"/>
      </w:pPr>
      <w:rPr>
        <w:rFonts w:hint="default"/>
        <w:lang w:val="en-US" w:eastAsia="en-US" w:bidi="ar-SA"/>
      </w:rPr>
    </w:lvl>
  </w:abstractNum>
  <w:abstractNum w:abstractNumId="15">
    <w:multiLevelType w:val="hybridMultilevel"/>
    <w:lvl w:ilvl="0">
      <w:start w:val="5"/>
      <w:numFmt w:val="decimal"/>
      <w:lvlText w:val="%1"/>
      <w:lvlJc w:val="left"/>
      <w:pPr>
        <w:ind w:left="1780" w:hanging="802"/>
        <w:jc w:val="left"/>
      </w:pPr>
      <w:rPr>
        <w:rFonts w:hint="default"/>
        <w:lang w:val="en-US" w:eastAsia="en-US" w:bidi="ar-SA"/>
      </w:rPr>
    </w:lvl>
    <w:lvl w:ilvl="1">
      <w:start w:val="0"/>
      <w:numFmt w:val="decimal"/>
      <w:lvlText w:val="%1.%2"/>
      <w:lvlJc w:val="left"/>
      <w:pPr>
        <w:ind w:left="1780" w:hanging="802"/>
        <w:jc w:val="left"/>
      </w:pPr>
      <w:rPr>
        <w:rFonts w:hint="default" w:ascii="Georgia" w:hAnsi="Georgia" w:eastAsia="Georgia" w:cs="Georgia"/>
        <w:b/>
        <w:bCs/>
        <w:i w:val="0"/>
        <w:iCs w:val="0"/>
        <w:spacing w:val="0"/>
        <w:w w:val="89"/>
        <w:sz w:val="32"/>
        <w:szCs w:val="32"/>
        <w:lang w:val="en-US" w:eastAsia="en-US" w:bidi="ar-SA"/>
      </w:rPr>
    </w:lvl>
    <w:lvl w:ilvl="2">
      <w:start w:val="1"/>
      <w:numFmt w:val="lowerLetter"/>
      <w:lvlText w:val="%3."/>
      <w:lvlJc w:val="left"/>
      <w:pPr>
        <w:ind w:left="1700" w:hanging="360"/>
        <w:jc w:val="left"/>
      </w:pPr>
      <w:rPr>
        <w:rFonts w:hint="default" w:ascii="Sylfaen" w:hAnsi="Sylfaen" w:eastAsia="Sylfaen" w:cs="Sylfaen"/>
        <w:b w:val="0"/>
        <w:bCs w:val="0"/>
        <w:i w:val="0"/>
        <w:iCs w:val="0"/>
        <w:spacing w:val="0"/>
        <w:w w:val="99"/>
        <w:sz w:val="26"/>
        <w:szCs w:val="26"/>
        <w:lang w:val="en-US" w:eastAsia="en-US" w:bidi="ar-SA"/>
      </w:rPr>
    </w:lvl>
    <w:lvl w:ilvl="3">
      <w:start w:val="0"/>
      <w:numFmt w:val="bullet"/>
      <w:lvlText w:val="•"/>
      <w:lvlJc w:val="left"/>
      <w:pPr>
        <w:ind w:left="3864" w:hanging="360"/>
      </w:pPr>
      <w:rPr>
        <w:rFonts w:hint="default"/>
        <w:lang w:val="en-US" w:eastAsia="en-US" w:bidi="ar-SA"/>
      </w:rPr>
    </w:lvl>
    <w:lvl w:ilvl="4">
      <w:start w:val="0"/>
      <w:numFmt w:val="bullet"/>
      <w:lvlText w:val="•"/>
      <w:lvlJc w:val="left"/>
      <w:pPr>
        <w:ind w:left="4906" w:hanging="360"/>
      </w:pPr>
      <w:rPr>
        <w:rFonts w:hint="default"/>
        <w:lang w:val="en-US" w:eastAsia="en-US" w:bidi="ar-SA"/>
      </w:rPr>
    </w:lvl>
    <w:lvl w:ilvl="5">
      <w:start w:val="0"/>
      <w:numFmt w:val="bullet"/>
      <w:lvlText w:val="•"/>
      <w:lvlJc w:val="left"/>
      <w:pPr>
        <w:ind w:left="5948" w:hanging="360"/>
      </w:pPr>
      <w:rPr>
        <w:rFonts w:hint="default"/>
        <w:lang w:val="en-US" w:eastAsia="en-US" w:bidi="ar-SA"/>
      </w:rPr>
    </w:lvl>
    <w:lvl w:ilvl="6">
      <w:start w:val="0"/>
      <w:numFmt w:val="bullet"/>
      <w:lvlText w:val="•"/>
      <w:lvlJc w:val="left"/>
      <w:pPr>
        <w:ind w:left="6991" w:hanging="360"/>
      </w:pPr>
      <w:rPr>
        <w:rFonts w:hint="default"/>
        <w:lang w:val="en-US" w:eastAsia="en-US" w:bidi="ar-SA"/>
      </w:rPr>
    </w:lvl>
    <w:lvl w:ilvl="7">
      <w:start w:val="0"/>
      <w:numFmt w:val="bullet"/>
      <w:lvlText w:val="•"/>
      <w:lvlJc w:val="left"/>
      <w:pPr>
        <w:ind w:left="8033" w:hanging="360"/>
      </w:pPr>
      <w:rPr>
        <w:rFonts w:hint="default"/>
        <w:lang w:val="en-US" w:eastAsia="en-US" w:bidi="ar-SA"/>
      </w:rPr>
    </w:lvl>
    <w:lvl w:ilvl="8">
      <w:start w:val="0"/>
      <w:numFmt w:val="bullet"/>
      <w:lvlText w:val="•"/>
      <w:lvlJc w:val="left"/>
      <w:pPr>
        <w:ind w:left="9075" w:hanging="360"/>
      </w:pPr>
      <w:rPr>
        <w:rFonts w:hint="default"/>
        <w:lang w:val="en-US" w:eastAsia="en-US" w:bidi="ar-SA"/>
      </w:rPr>
    </w:lvl>
  </w:abstractNum>
  <w:abstractNum w:abstractNumId="14">
    <w:multiLevelType w:val="hybridMultilevel"/>
    <w:lvl w:ilvl="0">
      <w:start w:val="1"/>
      <w:numFmt w:val="upperLetter"/>
      <w:lvlText w:val="%1)"/>
      <w:lvlJc w:val="left"/>
      <w:pPr>
        <w:ind w:left="1700" w:hanging="360"/>
        <w:jc w:val="left"/>
      </w:pPr>
      <w:rPr>
        <w:rFonts w:hint="default" w:ascii="Sylfaen" w:hAnsi="Sylfaen" w:eastAsia="Sylfaen" w:cs="Sylfaen"/>
        <w:b w:val="0"/>
        <w:bCs w:val="0"/>
        <w:i w:val="0"/>
        <w:iCs w:val="0"/>
        <w:spacing w:val="-2"/>
        <w:w w:val="99"/>
        <w:sz w:val="26"/>
        <w:szCs w:val="26"/>
        <w:lang w:val="en-US" w:eastAsia="en-US" w:bidi="ar-SA"/>
      </w:rPr>
    </w:lvl>
    <w:lvl w:ilvl="1">
      <w:start w:val="0"/>
      <w:numFmt w:val="bullet"/>
      <w:lvlText w:val="•"/>
      <w:lvlJc w:val="left"/>
      <w:pPr>
        <w:ind w:left="2646" w:hanging="360"/>
      </w:pPr>
      <w:rPr>
        <w:rFonts w:hint="default"/>
        <w:lang w:val="en-US" w:eastAsia="en-US" w:bidi="ar-SA"/>
      </w:rPr>
    </w:lvl>
    <w:lvl w:ilvl="2">
      <w:start w:val="0"/>
      <w:numFmt w:val="bullet"/>
      <w:lvlText w:val="•"/>
      <w:lvlJc w:val="left"/>
      <w:pPr>
        <w:ind w:left="3592" w:hanging="360"/>
      </w:pPr>
      <w:rPr>
        <w:rFonts w:hint="default"/>
        <w:lang w:val="en-US" w:eastAsia="en-US" w:bidi="ar-SA"/>
      </w:rPr>
    </w:lvl>
    <w:lvl w:ilvl="3">
      <w:start w:val="0"/>
      <w:numFmt w:val="bullet"/>
      <w:lvlText w:val="•"/>
      <w:lvlJc w:val="left"/>
      <w:pPr>
        <w:ind w:left="4538" w:hanging="360"/>
      </w:pPr>
      <w:rPr>
        <w:rFonts w:hint="default"/>
        <w:lang w:val="en-US" w:eastAsia="en-US" w:bidi="ar-SA"/>
      </w:rPr>
    </w:lvl>
    <w:lvl w:ilvl="4">
      <w:start w:val="0"/>
      <w:numFmt w:val="bullet"/>
      <w:lvlText w:val="•"/>
      <w:lvlJc w:val="left"/>
      <w:pPr>
        <w:ind w:left="5484" w:hanging="360"/>
      </w:pPr>
      <w:rPr>
        <w:rFonts w:hint="default"/>
        <w:lang w:val="en-US" w:eastAsia="en-US" w:bidi="ar-SA"/>
      </w:rPr>
    </w:lvl>
    <w:lvl w:ilvl="5">
      <w:start w:val="0"/>
      <w:numFmt w:val="bullet"/>
      <w:lvlText w:val="•"/>
      <w:lvlJc w:val="left"/>
      <w:pPr>
        <w:ind w:left="6430" w:hanging="360"/>
      </w:pPr>
      <w:rPr>
        <w:rFonts w:hint="default"/>
        <w:lang w:val="en-US" w:eastAsia="en-US" w:bidi="ar-SA"/>
      </w:rPr>
    </w:lvl>
    <w:lvl w:ilvl="6">
      <w:start w:val="0"/>
      <w:numFmt w:val="bullet"/>
      <w:lvlText w:val="•"/>
      <w:lvlJc w:val="left"/>
      <w:pPr>
        <w:ind w:left="7376" w:hanging="360"/>
      </w:pPr>
      <w:rPr>
        <w:rFonts w:hint="default"/>
        <w:lang w:val="en-US" w:eastAsia="en-US" w:bidi="ar-SA"/>
      </w:rPr>
    </w:lvl>
    <w:lvl w:ilvl="7">
      <w:start w:val="0"/>
      <w:numFmt w:val="bullet"/>
      <w:lvlText w:val="•"/>
      <w:lvlJc w:val="left"/>
      <w:pPr>
        <w:ind w:left="8322" w:hanging="360"/>
      </w:pPr>
      <w:rPr>
        <w:rFonts w:hint="default"/>
        <w:lang w:val="en-US" w:eastAsia="en-US" w:bidi="ar-SA"/>
      </w:rPr>
    </w:lvl>
    <w:lvl w:ilvl="8">
      <w:start w:val="0"/>
      <w:numFmt w:val="bullet"/>
      <w:lvlText w:val="•"/>
      <w:lvlJc w:val="left"/>
      <w:pPr>
        <w:ind w:left="9268" w:hanging="360"/>
      </w:pPr>
      <w:rPr>
        <w:rFonts w:hint="default"/>
        <w:lang w:val="en-US" w:eastAsia="en-US" w:bidi="ar-SA"/>
      </w:rPr>
    </w:lvl>
  </w:abstractNum>
  <w:abstractNum w:abstractNumId="13">
    <w:multiLevelType w:val="hybridMultilevel"/>
    <w:lvl w:ilvl="0">
      <w:start w:val="1"/>
      <w:numFmt w:val="upperLetter"/>
      <w:lvlText w:val="%1)"/>
      <w:lvlJc w:val="left"/>
      <w:pPr>
        <w:ind w:left="2060" w:hanging="360"/>
        <w:jc w:val="left"/>
      </w:pPr>
      <w:rPr>
        <w:rFonts w:hint="default" w:ascii="Sylfaen" w:hAnsi="Sylfaen" w:eastAsia="Sylfaen" w:cs="Sylfaen"/>
        <w:b w:val="0"/>
        <w:bCs w:val="0"/>
        <w:i w:val="0"/>
        <w:iCs w:val="0"/>
        <w:spacing w:val="-2"/>
        <w:w w:val="99"/>
        <w:sz w:val="26"/>
        <w:szCs w:val="26"/>
        <w:lang w:val="en-US" w:eastAsia="en-US" w:bidi="ar-SA"/>
      </w:rPr>
    </w:lvl>
    <w:lvl w:ilvl="1">
      <w:start w:val="0"/>
      <w:numFmt w:val="bullet"/>
      <w:lvlText w:val="•"/>
      <w:lvlJc w:val="left"/>
      <w:pPr>
        <w:ind w:left="2970" w:hanging="360"/>
      </w:pPr>
      <w:rPr>
        <w:rFonts w:hint="default"/>
        <w:lang w:val="en-US" w:eastAsia="en-US" w:bidi="ar-SA"/>
      </w:rPr>
    </w:lvl>
    <w:lvl w:ilvl="2">
      <w:start w:val="0"/>
      <w:numFmt w:val="bullet"/>
      <w:lvlText w:val="•"/>
      <w:lvlJc w:val="left"/>
      <w:pPr>
        <w:ind w:left="3880" w:hanging="360"/>
      </w:pPr>
      <w:rPr>
        <w:rFonts w:hint="default"/>
        <w:lang w:val="en-US" w:eastAsia="en-US" w:bidi="ar-SA"/>
      </w:rPr>
    </w:lvl>
    <w:lvl w:ilvl="3">
      <w:start w:val="0"/>
      <w:numFmt w:val="bullet"/>
      <w:lvlText w:val="•"/>
      <w:lvlJc w:val="left"/>
      <w:pPr>
        <w:ind w:left="4790" w:hanging="360"/>
      </w:pPr>
      <w:rPr>
        <w:rFonts w:hint="default"/>
        <w:lang w:val="en-US" w:eastAsia="en-US" w:bidi="ar-SA"/>
      </w:rPr>
    </w:lvl>
    <w:lvl w:ilvl="4">
      <w:start w:val="0"/>
      <w:numFmt w:val="bullet"/>
      <w:lvlText w:val="•"/>
      <w:lvlJc w:val="left"/>
      <w:pPr>
        <w:ind w:left="5700" w:hanging="360"/>
      </w:pPr>
      <w:rPr>
        <w:rFonts w:hint="default"/>
        <w:lang w:val="en-US" w:eastAsia="en-US" w:bidi="ar-SA"/>
      </w:rPr>
    </w:lvl>
    <w:lvl w:ilvl="5">
      <w:start w:val="0"/>
      <w:numFmt w:val="bullet"/>
      <w:lvlText w:val="•"/>
      <w:lvlJc w:val="left"/>
      <w:pPr>
        <w:ind w:left="6610" w:hanging="360"/>
      </w:pPr>
      <w:rPr>
        <w:rFonts w:hint="default"/>
        <w:lang w:val="en-US" w:eastAsia="en-US" w:bidi="ar-SA"/>
      </w:rPr>
    </w:lvl>
    <w:lvl w:ilvl="6">
      <w:start w:val="0"/>
      <w:numFmt w:val="bullet"/>
      <w:lvlText w:val="•"/>
      <w:lvlJc w:val="left"/>
      <w:pPr>
        <w:ind w:left="7520" w:hanging="360"/>
      </w:pPr>
      <w:rPr>
        <w:rFonts w:hint="default"/>
        <w:lang w:val="en-US" w:eastAsia="en-US" w:bidi="ar-SA"/>
      </w:rPr>
    </w:lvl>
    <w:lvl w:ilvl="7">
      <w:start w:val="0"/>
      <w:numFmt w:val="bullet"/>
      <w:lvlText w:val="•"/>
      <w:lvlJc w:val="left"/>
      <w:pPr>
        <w:ind w:left="8430" w:hanging="360"/>
      </w:pPr>
      <w:rPr>
        <w:rFonts w:hint="default"/>
        <w:lang w:val="en-US" w:eastAsia="en-US" w:bidi="ar-SA"/>
      </w:rPr>
    </w:lvl>
    <w:lvl w:ilvl="8">
      <w:start w:val="0"/>
      <w:numFmt w:val="bullet"/>
      <w:lvlText w:val="•"/>
      <w:lvlJc w:val="left"/>
      <w:pPr>
        <w:ind w:left="9340" w:hanging="360"/>
      </w:pPr>
      <w:rPr>
        <w:rFonts w:hint="default"/>
        <w:lang w:val="en-US" w:eastAsia="en-US" w:bidi="ar-SA"/>
      </w:rPr>
    </w:lvl>
  </w:abstractNum>
  <w:abstractNum w:abstractNumId="12">
    <w:multiLevelType w:val="hybridMultilevel"/>
    <w:lvl w:ilvl="0">
      <w:start w:val="4"/>
      <w:numFmt w:val="decimal"/>
      <w:lvlText w:val="%1"/>
      <w:lvlJc w:val="left"/>
      <w:pPr>
        <w:ind w:left="1585" w:hanging="606"/>
        <w:jc w:val="left"/>
      </w:pPr>
      <w:rPr>
        <w:rFonts w:hint="default"/>
        <w:lang w:val="en-US" w:eastAsia="en-US" w:bidi="ar-SA"/>
      </w:rPr>
    </w:lvl>
    <w:lvl w:ilvl="1">
      <w:start w:val="0"/>
      <w:numFmt w:val="decimal"/>
      <w:lvlText w:val="%1.%2"/>
      <w:lvlJc w:val="left"/>
      <w:pPr>
        <w:ind w:left="1585" w:hanging="606"/>
        <w:jc w:val="left"/>
      </w:pPr>
      <w:rPr>
        <w:rFonts w:hint="default" w:ascii="Georgia" w:hAnsi="Georgia" w:eastAsia="Georgia" w:cs="Georgia"/>
        <w:b/>
        <w:bCs/>
        <w:i w:val="0"/>
        <w:iCs w:val="0"/>
        <w:spacing w:val="0"/>
        <w:w w:val="93"/>
        <w:sz w:val="32"/>
        <w:szCs w:val="32"/>
        <w:lang w:val="en-US" w:eastAsia="en-US" w:bidi="ar-SA"/>
      </w:rPr>
    </w:lvl>
    <w:lvl w:ilvl="2">
      <w:start w:val="1"/>
      <w:numFmt w:val="decimal"/>
      <w:lvlText w:val="%1.%2.%3"/>
      <w:lvlJc w:val="left"/>
      <w:pPr>
        <w:ind w:left="1881" w:hanging="902"/>
        <w:jc w:val="left"/>
      </w:pPr>
      <w:rPr>
        <w:rFonts w:hint="default" w:ascii="Georgia" w:hAnsi="Georgia" w:eastAsia="Georgia" w:cs="Georgia"/>
        <w:b/>
        <w:bCs/>
        <w:i w:val="0"/>
        <w:iCs w:val="0"/>
        <w:spacing w:val="0"/>
        <w:w w:val="96"/>
        <w:sz w:val="32"/>
        <w:szCs w:val="32"/>
        <w:lang w:val="en-US" w:eastAsia="en-US" w:bidi="ar-SA"/>
      </w:rPr>
    </w:lvl>
    <w:lvl w:ilvl="3">
      <w:start w:val="0"/>
      <w:numFmt w:val="bullet"/>
      <w:lvlText w:val="•"/>
      <w:lvlJc w:val="left"/>
      <w:pPr>
        <w:ind w:left="3040" w:hanging="902"/>
      </w:pPr>
      <w:rPr>
        <w:rFonts w:hint="default"/>
        <w:lang w:val="en-US" w:eastAsia="en-US" w:bidi="ar-SA"/>
      </w:rPr>
    </w:lvl>
    <w:lvl w:ilvl="4">
      <w:start w:val="0"/>
      <w:numFmt w:val="bullet"/>
      <w:lvlText w:val="•"/>
      <w:lvlJc w:val="left"/>
      <w:pPr>
        <w:ind w:left="4200" w:hanging="902"/>
      </w:pPr>
      <w:rPr>
        <w:rFonts w:hint="default"/>
        <w:lang w:val="en-US" w:eastAsia="en-US" w:bidi="ar-SA"/>
      </w:rPr>
    </w:lvl>
    <w:lvl w:ilvl="5">
      <w:start w:val="0"/>
      <w:numFmt w:val="bullet"/>
      <w:lvlText w:val="•"/>
      <w:lvlJc w:val="left"/>
      <w:pPr>
        <w:ind w:left="5360" w:hanging="902"/>
      </w:pPr>
      <w:rPr>
        <w:rFonts w:hint="default"/>
        <w:lang w:val="en-US" w:eastAsia="en-US" w:bidi="ar-SA"/>
      </w:rPr>
    </w:lvl>
    <w:lvl w:ilvl="6">
      <w:start w:val="0"/>
      <w:numFmt w:val="bullet"/>
      <w:lvlText w:val="•"/>
      <w:lvlJc w:val="left"/>
      <w:pPr>
        <w:ind w:left="6520" w:hanging="902"/>
      </w:pPr>
      <w:rPr>
        <w:rFonts w:hint="default"/>
        <w:lang w:val="en-US" w:eastAsia="en-US" w:bidi="ar-SA"/>
      </w:rPr>
    </w:lvl>
    <w:lvl w:ilvl="7">
      <w:start w:val="0"/>
      <w:numFmt w:val="bullet"/>
      <w:lvlText w:val="•"/>
      <w:lvlJc w:val="left"/>
      <w:pPr>
        <w:ind w:left="7680" w:hanging="902"/>
      </w:pPr>
      <w:rPr>
        <w:rFonts w:hint="default"/>
        <w:lang w:val="en-US" w:eastAsia="en-US" w:bidi="ar-SA"/>
      </w:rPr>
    </w:lvl>
    <w:lvl w:ilvl="8">
      <w:start w:val="0"/>
      <w:numFmt w:val="bullet"/>
      <w:lvlText w:val="•"/>
      <w:lvlJc w:val="left"/>
      <w:pPr>
        <w:ind w:left="8840" w:hanging="902"/>
      </w:pPr>
      <w:rPr>
        <w:rFonts w:hint="default"/>
        <w:lang w:val="en-US" w:eastAsia="en-US" w:bidi="ar-SA"/>
      </w:rPr>
    </w:lvl>
  </w:abstractNum>
  <w:abstractNum w:abstractNumId="11">
    <w:multiLevelType w:val="hybridMultilevel"/>
    <w:lvl w:ilvl="0">
      <w:start w:val="1"/>
      <w:numFmt w:val="decimal"/>
      <w:lvlText w:val="%1)"/>
      <w:lvlJc w:val="left"/>
      <w:pPr>
        <w:ind w:left="2060" w:hanging="360"/>
        <w:jc w:val="left"/>
      </w:pPr>
      <w:rPr>
        <w:rFonts w:hint="default" w:ascii="Sylfaen" w:hAnsi="Sylfaen" w:eastAsia="Sylfaen" w:cs="Sylfaen"/>
        <w:b w:val="0"/>
        <w:bCs w:val="0"/>
        <w:i w:val="0"/>
        <w:iCs w:val="0"/>
        <w:spacing w:val="-1"/>
        <w:w w:val="99"/>
        <w:sz w:val="26"/>
        <w:szCs w:val="26"/>
        <w:lang w:val="en-US" w:eastAsia="en-US" w:bidi="ar-SA"/>
      </w:rPr>
    </w:lvl>
    <w:lvl w:ilvl="1">
      <w:start w:val="0"/>
      <w:numFmt w:val="bullet"/>
      <w:lvlText w:val="•"/>
      <w:lvlJc w:val="left"/>
      <w:pPr>
        <w:ind w:left="2970" w:hanging="360"/>
      </w:pPr>
      <w:rPr>
        <w:rFonts w:hint="default"/>
        <w:lang w:val="en-US" w:eastAsia="en-US" w:bidi="ar-SA"/>
      </w:rPr>
    </w:lvl>
    <w:lvl w:ilvl="2">
      <w:start w:val="0"/>
      <w:numFmt w:val="bullet"/>
      <w:lvlText w:val="•"/>
      <w:lvlJc w:val="left"/>
      <w:pPr>
        <w:ind w:left="3880" w:hanging="360"/>
      </w:pPr>
      <w:rPr>
        <w:rFonts w:hint="default"/>
        <w:lang w:val="en-US" w:eastAsia="en-US" w:bidi="ar-SA"/>
      </w:rPr>
    </w:lvl>
    <w:lvl w:ilvl="3">
      <w:start w:val="0"/>
      <w:numFmt w:val="bullet"/>
      <w:lvlText w:val="•"/>
      <w:lvlJc w:val="left"/>
      <w:pPr>
        <w:ind w:left="4790" w:hanging="360"/>
      </w:pPr>
      <w:rPr>
        <w:rFonts w:hint="default"/>
        <w:lang w:val="en-US" w:eastAsia="en-US" w:bidi="ar-SA"/>
      </w:rPr>
    </w:lvl>
    <w:lvl w:ilvl="4">
      <w:start w:val="0"/>
      <w:numFmt w:val="bullet"/>
      <w:lvlText w:val="•"/>
      <w:lvlJc w:val="left"/>
      <w:pPr>
        <w:ind w:left="5700" w:hanging="360"/>
      </w:pPr>
      <w:rPr>
        <w:rFonts w:hint="default"/>
        <w:lang w:val="en-US" w:eastAsia="en-US" w:bidi="ar-SA"/>
      </w:rPr>
    </w:lvl>
    <w:lvl w:ilvl="5">
      <w:start w:val="0"/>
      <w:numFmt w:val="bullet"/>
      <w:lvlText w:val="•"/>
      <w:lvlJc w:val="left"/>
      <w:pPr>
        <w:ind w:left="6610" w:hanging="360"/>
      </w:pPr>
      <w:rPr>
        <w:rFonts w:hint="default"/>
        <w:lang w:val="en-US" w:eastAsia="en-US" w:bidi="ar-SA"/>
      </w:rPr>
    </w:lvl>
    <w:lvl w:ilvl="6">
      <w:start w:val="0"/>
      <w:numFmt w:val="bullet"/>
      <w:lvlText w:val="•"/>
      <w:lvlJc w:val="left"/>
      <w:pPr>
        <w:ind w:left="7520" w:hanging="360"/>
      </w:pPr>
      <w:rPr>
        <w:rFonts w:hint="default"/>
        <w:lang w:val="en-US" w:eastAsia="en-US" w:bidi="ar-SA"/>
      </w:rPr>
    </w:lvl>
    <w:lvl w:ilvl="7">
      <w:start w:val="0"/>
      <w:numFmt w:val="bullet"/>
      <w:lvlText w:val="•"/>
      <w:lvlJc w:val="left"/>
      <w:pPr>
        <w:ind w:left="8430" w:hanging="360"/>
      </w:pPr>
      <w:rPr>
        <w:rFonts w:hint="default"/>
        <w:lang w:val="en-US" w:eastAsia="en-US" w:bidi="ar-SA"/>
      </w:rPr>
    </w:lvl>
    <w:lvl w:ilvl="8">
      <w:start w:val="0"/>
      <w:numFmt w:val="bullet"/>
      <w:lvlText w:val="•"/>
      <w:lvlJc w:val="left"/>
      <w:pPr>
        <w:ind w:left="9340" w:hanging="360"/>
      </w:pPr>
      <w:rPr>
        <w:rFonts w:hint="default"/>
        <w:lang w:val="en-US" w:eastAsia="en-US" w:bidi="ar-SA"/>
      </w:rPr>
    </w:lvl>
  </w:abstractNum>
  <w:abstractNum w:abstractNumId="10">
    <w:multiLevelType w:val="hybridMultilevel"/>
    <w:lvl w:ilvl="0">
      <w:start w:val="2"/>
      <w:numFmt w:val="decimal"/>
      <w:lvlText w:val="%1)"/>
      <w:lvlJc w:val="left"/>
      <w:pPr>
        <w:ind w:left="979" w:hanging="422"/>
        <w:jc w:val="left"/>
      </w:pPr>
      <w:rPr>
        <w:rFonts w:hint="default" w:ascii="Sylfaen" w:hAnsi="Sylfaen" w:eastAsia="Sylfaen" w:cs="Sylfaen"/>
        <w:b w:val="0"/>
        <w:bCs w:val="0"/>
        <w:i w:val="0"/>
        <w:iCs w:val="0"/>
        <w:spacing w:val="-1"/>
        <w:w w:val="99"/>
        <w:sz w:val="26"/>
        <w:szCs w:val="26"/>
        <w:lang w:val="en-US" w:eastAsia="en-US" w:bidi="ar-SA"/>
      </w:rPr>
    </w:lvl>
    <w:lvl w:ilvl="1">
      <w:start w:val="1"/>
      <w:numFmt w:val="decimal"/>
      <w:lvlText w:val="%2)"/>
      <w:lvlJc w:val="left"/>
      <w:pPr>
        <w:ind w:left="979" w:hanging="283"/>
        <w:jc w:val="left"/>
      </w:pPr>
      <w:rPr>
        <w:rFonts w:hint="default" w:ascii="Sylfaen" w:hAnsi="Sylfaen" w:eastAsia="Sylfaen" w:cs="Sylfaen"/>
        <w:b w:val="0"/>
        <w:bCs w:val="0"/>
        <w:i w:val="0"/>
        <w:iCs w:val="0"/>
        <w:spacing w:val="-1"/>
        <w:w w:val="99"/>
        <w:sz w:val="26"/>
        <w:szCs w:val="26"/>
        <w:lang w:val="en-US" w:eastAsia="en-US" w:bidi="ar-SA"/>
      </w:rPr>
    </w:lvl>
    <w:lvl w:ilvl="2">
      <w:start w:val="0"/>
      <w:numFmt w:val="bullet"/>
      <w:lvlText w:val="•"/>
      <w:lvlJc w:val="left"/>
      <w:pPr>
        <w:ind w:left="3016" w:hanging="283"/>
      </w:pPr>
      <w:rPr>
        <w:rFonts w:hint="default"/>
        <w:lang w:val="en-US" w:eastAsia="en-US" w:bidi="ar-SA"/>
      </w:rPr>
    </w:lvl>
    <w:lvl w:ilvl="3">
      <w:start w:val="0"/>
      <w:numFmt w:val="bullet"/>
      <w:lvlText w:val="•"/>
      <w:lvlJc w:val="left"/>
      <w:pPr>
        <w:ind w:left="4034" w:hanging="283"/>
      </w:pPr>
      <w:rPr>
        <w:rFonts w:hint="default"/>
        <w:lang w:val="en-US" w:eastAsia="en-US" w:bidi="ar-SA"/>
      </w:rPr>
    </w:lvl>
    <w:lvl w:ilvl="4">
      <w:start w:val="0"/>
      <w:numFmt w:val="bullet"/>
      <w:lvlText w:val="•"/>
      <w:lvlJc w:val="left"/>
      <w:pPr>
        <w:ind w:left="5052" w:hanging="283"/>
      </w:pPr>
      <w:rPr>
        <w:rFonts w:hint="default"/>
        <w:lang w:val="en-US" w:eastAsia="en-US" w:bidi="ar-SA"/>
      </w:rPr>
    </w:lvl>
    <w:lvl w:ilvl="5">
      <w:start w:val="0"/>
      <w:numFmt w:val="bullet"/>
      <w:lvlText w:val="•"/>
      <w:lvlJc w:val="left"/>
      <w:pPr>
        <w:ind w:left="6070" w:hanging="283"/>
      </w:pPr>
      <w:rPr>
        <w:rFonts w:hint="default"/>
        <w:lang w:val="en-US" w:eastAsia="en-US" w:bidi="ar-SA"/>
      </w:rPr>
    </w:lvl>
    <w:lvl w:ilvl="6">
      <w:start w:val="0"/>
      <w:numFmt w:val="bullet"/>
      <w:lvlText w:val="•"/>
      <w:lvlJc w:val="left"/>
      <w:pPr>
        <w:ind w:left="7088" w:hanging="283"/>
      </w:pPr>
      <w:rPr>
        <w:rFonts w:hint="default"/>
        <w:lang w:val="en-US" w:eastAsia="en-US" w:bidi="ar-SA"/>
      </w:rPr>
    </w:lvl>
    <w:lvl w:ilvl="7">
      <w:start w:val="0"/>
      <w:numFmt w:val="bullet"/>
      <w:lvlText w:val="•"/>
      <w:lvlJc w:val="left"/>
      <w:pPr>
        <w:ind w:left="8106" w:hanging="283"/>
      </w:pPr>
      <w:rPr>
        <w:rFonts w:hint="default"/>
        <w:lang w:val="en-US" w:eastAsia="en-US" w:bidi="ar-SA"/>
      </w:rPr>
    </w:lvl>
    <w:lvl w:ilvl="8">
      <w:start w:val="0"/>
      <w:numFmt w:val="bullet"/>
      <w:lvlText w:val="•"/>
      <w:lvlJc w:val="left"/>
      <w:pPr>
        <w:ind w:left="9124" w:hanging="283"/>
      </w:pPr>
      <w:rPr>
        <w:rFonts w:hint="default"/>
        <w:lang w:val="en-US" w:eastAsia="en-US" w:bidi="ar-SA"/>
      </w:rPr>
    </w:lvl>
  </w:abstractNum>
  <w:abstractNum w:abstractNumId="9">
    <w:multiLevelType w:val="hybridMultilevel"/>
    <w:lvl w:ilvl="0">
      <w:start w:val="3"/>
      <w:numFmt w:val="decimal"/>
      <w:lvlText w:val="%1"/>
      <w:lvlJc w:val="left"/>
      <w:pPr>
        <w:ind w:left="1585" w:hanging="606"/>
        <w:jc w:val="left"/>
      </w:pPr>
      <w:rPr>
        <w:rFonts w:hint="default"/>
        <w:lang w:val="en-US" w:eastAsia="en-US" w:bidi="ar-SA"/>
      </w:rPr>
    </w:lvl>
    <w:lvl w:ilvl="1">
      <w:start w:val="0"/>
      <w:numFmt w:val="decimal"/>
      <w:lvlText w:val="%1.%2"/>
      <w:lvlJc w:val="left"/>
      <w:pPr>
        <w:ind w:left="1585" w:hanging="606"/>
        <w:jc w:val="right"/>
      </w:pPr>
      <w:rPr>
        <w:rFonts w:hint="default" w:ascii="Georgia" w:hAnsi="Georgia" w:eastAsia="Georgia" w:cs="Georgia"/>
        <w:b/>
        <w:bCs/>
        <w:i w:val="0"/>
        <w:iCs w:val="0"/>
        <w:spacing w:val="0"/>
        <w:w w:val="91"/>
        <w:sz w:val="32"/>
        <w:szCs w:val="32"/>
        <w:lang w:val="en-US" w:eastAsia="en-US" w:bidi="ar-SA"/>
      </w:rPr>
    </w:lvl>
    <w:lvl w:ilvl="2">
      <w:start w:val="1"/>
      <w:numFmt w:val="decimal"/>
      <w:lvlText w:val="%3."/>
      <w:lvlJc w:val="left"/>
      <w:pPr>
        <w:ind w:left="2420" w:hanging="360"/>
        <w:jc w:val="left"/>
      </w:pPr>
      <w:rPr>
        <w:rFonts w:hint="default" w:ascii="Sylfaen" w:hAnsi="Sylfaen" w:eastAsia="Sylfaen" w:cs="Sylfaen"/>
        <w:b w:val="0"/>
        <w:bCs w:val="0"/>
        <w:i w:val="0"/>
        <w:iCs w:val="0"/>
        <w:spacing w:val="0"/>
        <w:w w:val="99"/>
        <w:sz w:val="26"/>
        <w:szCs w:val="26"/>
        <w:lang w:val="en-US" w:eastAsia="en-US" w:bidi="ar-SA"/>
      </w:rPr>
    </w:lvl>
    <w:lvl w:ilvl="3">
      <w:start w:val="0"/>
      <w:numFmt w:val="bullet"/>
      <w:lvlText w:val="•"/>
      <w:lvlJc w:val="left"/>
      <w:pPr>
        <w:ind w:left="4362" w:hanging="360"/>
      </w:pPr>
      <w:rPr>
        <w:rFonts w:hint="default"/>
        <w:lang w:val="en-US" w:eastAsia="en-US" w:bidi="ar-SA"/>
      </w:rPr>
    </w:lvl>
    <w:lvl w:ilvl="4">
      <w:start w:val="0"/>
      <w:numFmt w:val="bullet"/>
      <w:lvlText w:val="•"/>
      <w:lvlJc w:val="left"/>
      <w:pPr>
        <w:ind w:left="5333" w:hanging="360"/>
      </w:pPr>
      <w:rPr>
        <w:rFonts w:hint="default"/>
        <w:lang w:val="en-US" w:eastAsia="en-US" w:bidi="ar-SA"/>
      </w:rPr>
    </w:lvl>
    <w:lvl w:ilvl="5">
      <w:start w:val="0"/>
      <w:numFmt w:val="bullet"/>
      <w:lvlText w:val="•"/>
      <w:lvlJc w:val="left"/>
      <w:pPr>
        <w:ind w:left="6304" w:hanging="360"/>
      </w:pPr>
      <w:rPr>
        <w:rFonts w:hint="default"/>
        <w:lang w:val="en-US" w:eastAsia="en-US" w:bidi="ar-SA"/>
      </w:rPr>
    </w:lvl>
    <w:lvl w:ilvl="6">
      <w:start w:val="0"/>
      <w:numFmt w:val="bullet"/>
      <w:lvlText w:val="•"/>
      <w:lvlJc w:val="left"/>
      <w:pPr>
        <w:ind w:left="7275" w:hanging="360"/>
      </w:pPr>
      <w:rPr>
        <w:rFonts w:hint="default"/>
        <w:lang w:val="en-US" w:eastAsia="en-US" w:bidi="ar-SA"/>
      </w:rPr>
    </w:lvl>
    <w:lvl w:ilvl="7">
      <w:start w:val="0"/>
      <w:numFmt w:val="bullet"/>
      <w:lvlText w:val="•"/>
      <w:lvlJc w:val="left"/>
      <w:pPr>
        <w:ind w:left="8246" w:hanging="360"/>
      </w:pPr>
      <w:rPr>
        <w:rFonts w:hint="default"/>
        <w:lang w:val="en-US" w:eastAsia="en-US" w:bidi="ar-SA"/>
      </w:rPr>
    </w:lvl>
    <w:lvl w:ilvl="8">
      <w:start w:val="0"/>
      <w:numFmt w:val="bullet"/>
      <w:lvlText w:val="•"/>
      <w:lvlJc w:val="left"/>
      <w:pPr>
        <w:ind w:left="9217" w:hanging="360"/>
      </w:pPr>
      <w:rPr>
        <w:rFonts w:hint="default"/>
        <w:lang w:val="en-US" w:eastAsia="en-US" w:bidi="ar-SA"/>
      </w:rPr>
    </w:lvl>
  </w:abstractNum>
  <w:abstractNum w:abstractNumId="8">
    <w:multiLevelType w:val="hybridMultilevel"/>
    <w:lvl w:ilvl="0">
      <w:start w:val="0"/>
      <w:numFmt w:val="bullet"/>
      <w:lvlText w:val=""/>
      <w:lvlJc w:val="left"/>
      <w:pPr>
        <w:ind w:left="1700" w:hanging="360"/>
      </w:pPr>
      <w:rPr>
        <w:rFonts w:hint="default" w:ascii="Symbol" w:hAnsi="Symbol" w:eastAsia="Symbol" w:cs="Symbol"/>
        <w:b w:val="0"/>
        <w:bCs w:val="0"/>
        <w:i w:val="0"/>
        <w:iCs w:val="0"/>
        <w:spacing w:val="0"/>
        <w:w w:val="99"/>
        <w:sz w:val="26"/>
        <w:szCs w:val="26"/>
        <w:lang w:val="en-US" w:eastAsia="en-US" w:bidi="ar-SA"/>
      </w:rPr>
    </w:lvl>
    <w:lvl w:ilvl="1">
      <w:start w:val="0"/>
      <w:numFmt w:val="bullet"/>
      <w:lvlText w:val="•"/>
      <w:lvlJc w:val="left"/>
      <w:pPr>
        <w:ind w:left="2646" w:hanging="360"/>
      </w:pPr>
      <w:rPr>
        <w:rFonts w:hint="default"/>
        <w:lang w:val="en-US" w:eastAsia="en-US" w:bidi="ar-SA"/>
      </w:rPr>
    </w:lvl>
    <w:lvl w:ilvl="2">
      <w:start w:val="0"/>
      <w:numFmt w:val="bullet"/>
      <w:lvlText w:val="•"/>
      <w:lvlJc w:val="left"/>
      <w:pPr>
        <w:ind w:left="3592" w:hanging="360"/>
      </w:pPr>
      <w:rPr>
        <w:rFonts w:hint="default"/>
        <w:lang w:val="en-US" w:eastAsia="en-US" w:bidi="ar-SA"/>
      </w:rPr>
    </w:lvl>
    <w:lvl w:ilvl="3">
      <w:start w:val="0"/>
      <w:numFmt w:val="bullet"/>
      <w:lvlText w:val="•"/>
      <w:lvlJc w:val="left"/>
      <w:pPr>
        <w:ind w:left="4538" w:hanging="360"/>
      </w:pPr>
      <w:rPr>
        <w:rFonts w:hint="default"/>
        <w:lang w:val="en-US" w:eastAsia="en-US" w:bidi="ar-SA"/>
      </w:rPr>
    </w:lvl>
    <w:lvl w:ilvl="4">
      <w:start w:val="0"/>
      <w:numFmt w:val="bullet"/>
      <w:lvlText w:val="•"/>
      <w:lvlJc w:val="left"/>
      <w:pPr>
        <w:ind w:left="5484" w:hanging="360"/>
      </w:pPr>
      <w:rPr>
        <w:rFonts w:hint="default"/>
        <w:lang w:val="en-US" w:eastAsia="en-US" w:bidi="ar-SA"/>
      </w:rPr>
    </w:lvl>
    <w:lvl w:ilvl="5">
      <w:start w:val="0"/>
      <w:numFmt w:val="bullet"/>
      <w:lvlText w:val="•"/>
      <w:lvlJc w:val="left"/>
      <w:pPr>
        <w:ind w:left="6430" w:hanging="360"/>
      </w:pPr>
      <w:rPr>
        <w:rFonts w:hint="default"/>
        <w:lang w:val="en-US" w:eastAsia="en-US" w:bidi="ar-SA"/>
      </w:rPr>
    </w:lvl>
    <w:lvl w:ilvl="6">
      <w:start w:val="0"/>
      <w:numFmt w:val="bullet"/>
      <w:lvlText w:val="•"/>
      <w:lvlJc w:val="left"/>
      <w:pPr>
        <w:ind w:left="7376" w:hanging="360"/>
      </w:pPr>
      <w:rPr>
        <w:rFonts w:hint="default"/>
        <w:lang w:val="en-US" w:eastAsia="en-US" w:bidi="ar-SA"/>
      </w:rPr>
    </w:lvl>
    <w:lvl w:ilvl="7">
      <w:start w:val="0"/>
      <w:numFmt w:val="bullet"/>
      <w:lvlText w:val="•"/>
      <w:lvlJc w:val="left"/>
      <w:pPr>
        <w:ind w:left="8322" w:hanging="360"/>
      </w:pPr>
      <w:rPr>
        <w:rFonts w:hint="default"/>
        <w:lang w:val="en-US" w:eastAsia="en-US" w:bidi="ar-SA"/>
      </w:rPr>
    </w:lvl>
    <w:lvl w:ilvl="8">
      <w:start w:val="0"/>
      <w:numFmt w:val="bullet"/>
      <w:lvlText w:val="•"/>
      <w:lvlJc w:val="left"/>
      <w:pPr>
        <w:ind w:left="9268" w:hanging="360"/>
      </w:pPr>
      <w:rPr>
        <w:rFonts w:hint="default"/>
        <w:lang w:val="en-US" w:eastAsia="en-US" w:bidi="ar-SA"/>
      </w:rPr>
    </w:lvl>
  </w:abstractNum>
  <w:abstractNum w:abstractNumId="7">
    <w:multiLevelType w:val="hybridMultilevel"/>
    <w:lvl w:ilvl="0">
      <w:start w:val="1"/>
      <w:numFmt w:val="upperLetter"/>
      <w:lvlText w:val="%1)"/>
      <w:lvlJc w:val="left"/>
      <w:pPr>
        <w:ind w:left="1700" w:hanging="360"/>
        <w:jc w:val="left"/>
      </w:pPr>
      <w:rPr>
        <w:rFonts w:hint="default" w:ascii="Sylfaen" w:hAnsi="Sylfaen" w:eastAsia="Sylfaen" w:cs="Sylfaen"/>
        <w:b w:val="0"/>
        <w:bCs w:val="0"/>
        <w:i w:val="0"/>
        <w:iCs w:val="0"/>
        <w:spacing w:val="-2"/>
        <w:w w:val="99"/>
        <w:sz w:val="26"/>
        <w:szCs w:val="26"/>
        <w:lang w:val="en-US" w:eastAsia="en-US" w:bidi="ar-SA"/>
      </w:rPr>
    </w:lvl>
    <w:lvl w:ilvl="1">
      <w:start w:val="1"/>
      <w:numFmt w:val="upperLetter"/>
      <w:lvlText w:val="%2)"/>
      <w:lvlJc w:val="left"/>
      <w:pPr>
        <w:ind w:left="2060" w:hanging="360"/>
        <w:jc w:val="left"/>
      </w:pPr>
      <w:rPr>
        <w:rFonts w:hint="default" w:ascii="Sylfaen" w:hAnsi="Sylfaen" w:eastAsia="Sylfaen" w:cs="Sylfaen"/>
        <w:b w:val="0"/>
        <w:bCs w:val="0"/>
        <w:i w:val="0"/>
        <w:iCs w:val="0"/>
        <w:spacing w:val="-2"/>
        <w:w w:val="99"/>
        <w:sz w:val="26"/>
        <w:szCs w:val="26"/>
        <w:lang w:val="en-US" w:eastAsia="en-US" w:bidi="ar-SA"/>
      </w:rPr>
    </w:lvl>
    <w:lvl w:ilvl="2">
      <w:start w:val="0"/>
      <w:numFmt w:val="bullet"/>
      <w:lvlText w:val="•"/>
      <w:lvlJc w:val="left"/>
      <w:pPr>
        <w:ind w:left="3071" w:hanging="360"/>
      </w:pPr>
      <w:rPr>
        <w:rFonts w:hint="default"/>
        <w:lang w:val="en-US" w:eastAsia="en-US" w:bidi="ar-SA"/>
      </w:rPr>
    </w:lvl>
    <w:lvl w:ilvl="3">
      <w:start w:val="0"/>
      <w:numFmt w:val="bullet"/>
      <w:lvlText w:val="•"/>
      <w:lvlJc w:val="left"/>
      <w:pPr>
        <w:ind w:left="4082" w:hanging="360"/>
      </w:pPr>
      <w:rPr>
        <w:rFonts w:hint="default"/>
        <w:lang w:val="en-US" w:eastAsia="en-US" w:bidi="ar-SA"/>
      </w:rPr>
    </w:lvl>
    <w:lvl w:ilvl="4">
      <w:start w:val="0"/>
      <w:numFmt w:val="bullet"/>
      <w:lvlText w:val="•"/>
      <w:lvlJc w:val="left"/>
      <w:pPr>
        <w:ind w:left="5093" w:hanging="360"/>
      </w:pPr>
      <w:rPr>
        <w:rFonts w:hint="default"/>
        <w:lang w:val="en-US" w:eastAsia="en-US" w:bidi="ar-SA"/>
      </w:rPr>
    </w:lvl>
    <w:lvl w:ilvl="5">
      <w:start w:val="0"/>
      <w:numFmt w:val="bullet"/>
      <w:lvlText w:val="•"/>
      <w:lvlJc w:val="left"/>
      <w:pPr>
        <w:ind w:left="6104" w:hanging="360"/>
      </w:pPr>
      <w:rPr>
        <w:rFonts w:hint="default"/>
        <w:lang w:val="en-US" w:eastAsia="en-US" w:bidi="ar-SA"/>
      </w:rPr>
    </w:lvl>
    <w:lvl w:ilvl="6">
      <w:start w:val="0"/>
      <w:numFmt w:val="bullet"/>
      <w:lvlText w:val="•"/>
      <w:lvlJc w:val="left"/>
      <w:pPr>
        <w:ind w:left="7115" w:hanging="360"/>
      </w:pPr>
      <w:rPr>
        <w:rFonts w:hint="default"/>
        <w:lang w:val="en-US" w:eastAsia="en-US" w:bidi="ar-SA"/>
      </w:rPr>
    </w:lvl>
    <w:lvl w:ilvl="7">
      <w:start w:val="0"/>
      <w:numFmt w:val="bullet"/>
      <w:lvlText w:val="•"/>
      <w:lvlJc w:val="left"/>
      <w:pPr>
        <w:ind w:left="8126" w:hanging="360"/>
      </w:pPr>
      <w:rPr>
        <w:rFonts w:hint="default"/>
        <w:lang w:val="en-US" w:eastAsia="en-US" w:bidi="ar-SA"/>
      </w:rPr>
    </w:lvl>
    <w:lvl w:ilvl="8">
      <w:start w:val="0"/>
      <w:numFmt w:val="bullet"/>
      <w:lvlText w:val="•"/>
      <w:lvlJc w:val="left"/>
      <w:pPr>
        <w:ind w:left="9137" w:hanging="360"/>
      </w:pPr>
      <w:rPr>
        <w:rFonts w:hint="default"/>
        <w:lang w:val="en-US" w:eastAsia="en-US" w:bidi="ar-SA"/>
      </w:rPr>
    </w:lvl>
  </w:abstractNum>
  <w:abstractNum w:abstractNumId="6">
    <w:multiLevelType w:val="hybridMultilevel"/>
    <w:lvl w:ilvl="0">
      <w:start w:val="0"/>
      <w:numFmt w:val="bullet"/>
      <w:lvlText w:val=""/>
      <w:lvlJc w:val="left"/>
      <w:pPr>
        <w:ind w:left="1700" w:hanging="360"/>
      </w:pPr>
      <w:rPr>
        <w:rFonts w:hint="default" w:ascii="Symbol" w:hAnsi="Symbol" w:eastAsia="Symbol" w:cs="Symbol"/>
        <w:b w:val="0"/>
        <w:bCs w:val="0"/>
        <w:i w:val="0"/>
        <w:iCs w:val="0"/>
        <w:spacing w:val="0"/>
        <w:w w:val="99"/>
        <w:sz w:val="26"/>
        <w:szCs w:val="26"/>
        <w:lang w:val="en-US" w:eastAsia="en-US" w:bidi="ar-SA"/>
      </w:rPr>
    </w:lvl>
    <w:lvl w:ilvl="1">
      <w:start w:val="0"/>
      <w:numFmt w:val="bullet"/>
      <w:lvlText w:val="•"/>
      <w:lvlJc w:val="left"/>
      <w:pPr>
        <w:ind w:left="2646" w:hanging="360"/>
      </w:pPr>
      <w:rPr>
        <w:rFonts w:hint="default"/>
        <w:lang w:val="en-US" w:eastAsia="en-US" w:bidi="ar-SA"/>
      </w:rPr>
    </w:lvl>
    <w:lvl w:ilvl="2">
      <w:start w:val="0"/>
      <w:numFmt w:val="bullet"/>
      <w:lvlText w:val="•"/>
      <w:lvlJc w:val="left"/>
      <w:pPr>
        <w:ind w:left="3592" w:hanging="360"/>
      </w:pPr>
      <w:rPr>
        <w:rFonts w:hint="default"/>
        <w:lang w:val="en-US" w:eastAsia="en-US" w:bidi="ar-SA"/>
      </w:rPr>
    </w:lvl>
    <w:lvl w:ilvl="3">
      <w:start w:val="0"/>
      <w:numFmt w:val="bullet"/>
      <w:lvlText w:val="•"/>
      <w:lvlJc w:val="left"/>
      <w:pPr>
        <w:ind w:left="4538" w:hanging="360"/>
      </w:pPr>
      <w:rPr>
        <w:rFonts w:hint="default"/>
        <w:lang w:val="en-US" w:eastAsia="en-US" w:bidi="ar-SA"/>
      </w:rPr>
    </w:lvl>
    <w:lvl w:ilvl="4">
      <w:start w:val="0"/>
      <w:numFmt w:val="bullet"/>
      <w:lvlText w:val="•"/>
      <w:lvlJc w:val="left"/>
      <w:pPr>
        <w:ind w:left="5484" w:hanging="360"/>
      </w:pPr>
      <w:rPr>
        <w:rFonts w:hint="default"/>
        <w:lang w:val="en-US" w:eastAsia="en-US" w:bidi="ar-SA"/>
      </w:rPr>
    </w:lvl>
    <w:lvl w:ilvl="5">
      <w:start w:val="0"/>
      <w:numFmt w:val="bullet"/>
      <w:lvlText w:val="•"/>
      <w:lvlJc w:val="left"/>
      <w:pPr>
        <w:ind w:left="6430" w:hanging="360"/>
      </w:pPr>
      <w:rPr>
        <w:rFonts w:hint="default"/>
        <w:lang w:val="en-US" w:eastAsia="en-US" w:bidi="ar-SA"/>
      </w:rPr>
    </w:lvl>
    <w:lvl w:ilvl="6">
      <w:start w:val="0"/>
      <w:numFmt w:val="bullet"/>
      <w:lvlText w:val="•"/>
      <w:lvlJc w:val="left"/>
      <w:pPr>
        <w:ind w:left="7376" w:hanging="360"/>
      </w:pPr>
      <w:rPr>
        <w:rFonts w:hint="default"/>
        <w:lang w:val="en-US" w:eastAsia="en-US" w:bidi="ar-SA"/>
      </w:rPr>
    </w:lvl>
    <w:lvl w:ilvl="7">
      <w:start w:val="0"/>
      <w:numFmt w:val="bullet"/>
      <w:lvlText w:val="•"/>
      <w:lvlJc w:val="left"/>
      <w:pPr>
        <w:ind w:left="8322" w:hanging="360"/>
      </w:pPr>
      <w:rPr>
        <w:rFonts w:hint="default"/>
        <w:lang w:val="en-US" w:eastAsia="en-US" w:bidi="ar-SA"/>
      </w:rPr>
    </w:lvl>
    <w:lvl w:ilvl="8">
      <w:start w:val="0"/>
      <w:numFmt w:val="bullet"/>
      <w:lvlText w:val="•"/>
      <w:lvlJc w:val="left"/>
      <w:pPr>
        <w:ind w:left="9268" w:hanging="360"/>
      </w:pPr>
      <w:rPr>
        <w:rFonts w:hint="default"/>
        <w:lang w:val="en-US" w:eastAsia="en-US" w:bidi="ar-SA"/>
      </w:rPr>
    </w:lvl>
  </w:abstractNum>
  <w:abstractNum w:abstractNumId="5">
    <w:multiLevelType w:val="hybridMultilevel"/>
    <w:lvl w:ilvl="0">
      <w:start w:val="0"/>
      <w:numFmt w:val="bullet"/>
      <w:lvlText w:val=""/>
      <w:lvlJc w:val="left"/>
      <w:pPr>
        <w:ind w:left="1700" w:hanging="360"/>
      </w:pPr>
      <w:rPr>
        <w:rFonts w:hint="default" w:ascii="Symbol" w:hAnsi="Symbol" w:eastAsia="Symbol" w:cs="Symbol"/>
        <w:b w:val="0"/>
        <w:bCs w:val="0"/>
        <w:i w:val="0"/>
        <w:iCs w:val="0"/>
        <w:spacing w:val="0"/>
        <w:w w:val="99"/>
        <w:sz w:val="26"/>
        <w:szCs w:val="26"/>
        <w:lang w:val="en-US" w:eastAsia="en-US" w:bidi="ar-SA"/>
      </w:rPr>
    </w:lvl>
    <w:lvl w:ilvl="1">
      <w:start w:val="0"/>
      <w:numFmt w:val="bullet"/>
      <w:lvlText w:val="•"/>
      <w:lvlJc w:val="left"/>
      <w:pPr>
        <w:ind w:left="2646" w:hanging="360"/>
      </w:pPr>
      <w:rPr>
        <w:rFonts w:hint="default"/>
        <w:lang w:val="en-US" w:eastAsia="en-US" w:bidi="ar-SA"/>
      </w:rPr>
    </w:lvl>
    <w:lvl w:ilvl="2">
      <w:start w:val="0"/>
      <w:numFmt w:val="bullet"/>
      <w:lvlText w:val="•"/>
      <w:lvlJc w:val="left"/>
      <w:pPr>
        <w:ind w:left="3592" w:hanging="360"/>
      </w:pPr>
      <w:rPr>
        <w:rFonts w:hint="default"/>
        <w:lang w:val="en-US" w:eastAsia="en-US" w:bidi="ar-SA"/>
      </w:rPr>
    </w:lvl>
    <w:lvl w:ilvl="3">
      <w:start w:val="0"/>
      <w:numFmt w:val="bullet"/>
      <w:lvlText w:val="•"/>
      <w:lvlJc w:val="left"/>
      <w:pPr>
        <w:ind w:left="4538" w:hanging="360"/>
      </w:pPr>
      <w:rPr>
        <w:rFonts w:hint="default"/>
        <w:lang w:val="en-US" w:eastAsia="en-US" w:bidi="ar-SA"/>
      </w:rPr>
    </w:lvl>
    <w:lvl w:ilvl="4">
      <w:start w:val="0"/>
      <w:numFmt w:val="bullet"/>
      <w:lvlText w:val="•"/>
      <w:lvlJc w:val="left"/>
      <w:pPr>
        <w:ind w:left="5484" w:hanging="360"/>
      </w:pPr>
      <w:rPr>
        <w:rFonts w:hint="default"/>
        <w:lang w:val="en-US" w:eastAsia="en-US" w:bidi="ar-SA"/>
      </w:rPr>
    </w:lvl>
    <w:lvl w:ilvl="5">
      <w:start w:val="0"/>
      <w:numFmt w:val="bullet"/>
      <w:lvlText w:val="•"/>
      <w:lvlJc w:val="left"/>
      <w:pPr>
        <w:ind w:left="6430" w:hanging="360"/>
      </w:pPr>
      <w:rPr>
        <w:rFonts w:hint="default"/>
        <w:lang w:val="en-US" w:eastAsia="en-US" w:bidi="ar-SA"/>
      </w:rPr>
    </w:lvl>
    <w:lvl w:ilvl="6">
      <w:start w:val="0"/>
      <w:numFmt w:val="bullet"/>
      <w:lvlText w:val="•"/>
      <w:lvlJc w:val="left"/>
      <w:pPr>
        <w:ind w:left="7376" w:hanging="360"/>
      </w:pPr>
      <w:rPr>
        <w:rFonts w:hint="default"/>
        <w:lang w:val="en-US" w:eastAsia="en-US" w:bidi="ar-SA"/>
      </w:rPr>
    </w:lvl>
    <w:lvl w:ilvl="7">
      <w:start w:val="0"/>
      <w:numFmt w:val="bullet"/>
      <w:lvlText w:val="•"/>
      <w:lvlJc w:val="left"/>
      <w:pPr>
        <w:ind w:left="8322" w:hanging="360"/>
      </w:pPr>
      <w:rPr>
        <w:rFonts w:hint="default"/>
        <w:lang w:val="en-US" w:eastAsia="en-US" w:bidi="ar-SA"/>
      </w:rPr>
    </w:lvl>
    <w:lvl w:ilvl="8">
      <w:start w:val="0"/>
      <w:numFmt w:val="bullet"/>
      <w:lvlText w:val="•"/>
      <w:lvlJc w:val="left"/>
      <w:pPr>
        <w:ind w:left="9268" w:hanging="360"/>
      </w:pPr>
      <w:rPr>
        <w:rFonts w:hint="default"/>
        <w:lang w:val="en-US" w:eastAsia="en-US" w:bidi="ar-SA"/>
      </w:rPr>
    </w:lvl>
  </w:abstractNum>
  <w:abstractNum w:abstractNumId="4">
    <w:multiLevelType w:val="hybridMultilevel"/>
    <w:lvl w:ilvl="0">
      <w:start w:val="1"/>
      <w:numFmt w:val="decimal"/>
      <w:lvlText w:val="%1."/>
      <w:lvlJc w:val="left"/>
      <w:pPr>
        <w:ind w:left="1340" w:hanging="361"/>
        <w:jc w:val="left"/>
      </w:pPr>
      <w:rPr>
        <w:rFonts w:hint="default" w:ascii="Sylfaen" w:hAnsi="Sylfaen" w:eastAsia="Sylfaen" w:cs="Sylfaen"/>
        <w:b w:val="0"/>
        <w:bCs w:val="0"/>
        <w:i w:val="0"/>
        <w:iCs w:val="0"/>
        <w:spacing w:val="0"/>
        <w:w w:val="99"/>
        <w:sz w:val="26"/>
        <w:szCs w:val="26"/>
        <w:lang w:val="en-US" w:eastAsia="en-US" w:bidi="ar-SA"/>
      </w:rPr>
    </w:lvl>
    <w:lvl w:ilvl="1">
      <w:start w:val="0"/>
      <w:numFmt w:val="bullet"/>
      <w:lvlText w:val="•"/>
      <w:lvlJc w:val="left"/>
      <w:pPr>
        <w:ind w:left="2322" w:hanging="361"/>
      </w:pPr>
      <w:rPr>
        <w:rFonts w:hint="default"/>
        <w:lang w:val="en-US" w:eastAsia="en-US" w:bidi="ar-SA"/>
      </w:rPr>
    </w:lvl>
    <w:lvl w:ilvl="2">
      <w:start w:val="0"/>
      <w:numFmt w:val="bullet"/>
      <w:lvlText w:val="•"/>
      <w:lvlJc w:val="left"/>
      <w:pPr>
        <w:ind w:left="3304" w:hanging="361"/>
      </w:pPr>
      <w:rPr>
        <w:rFonts w:hint="default"/>
        <w:lang w:val="en-US" w:eastAsia="en-US" w:bidi="ar-SA"/>
      </w:rPr>
    </w:lvl>
    <w:lvl w:ilvl="3">
      <w:start w:val="0"/>
      <w:numFmt w:val="bullet"/>
      <w:lvlText w:val="•"/>
      <w:lvlJc w:val="left"/>
      <w:pPr>
        <w:ind w:left="4286" w:hanging="361"/>
      </w:pPr>
      <w:rPr>
        <w:rFonts w:hint="default"/>
        <w:lang w:val="en-US" w:eastAsia="en-US" w:bidi="ar-SA"/>
      </w:rPr>
    </w:lvl>
    <w:lvl w:ilvl="4">
      <w:start w:val="0"/>
      <w:numFmt w:val="bullet"/>
      <w:lvlText w:val="•"/>
      <w:lvlJc w:val="left"/>
      <w:pPr>
        <w:ind w:left="5268" w:hanging="361"/>
      </w:pPr>
      <w:rPr>
        <w:rFonts w:hint="default"/>
        <w:lang w:val="en-US" w:eastAsia="en-US" w:bidi="ar-SA"/>
      </w:rPr>
    </w:lvl>
    <w:lvl w:ilvl="5">
      <w:start w:val="0"/>
      <w:numFmt w:val="bullet"/>
      <w:lvlText w:val="•"/>
      <w:lvlJc w:val="left"/>
      <w:pPr>
        <w:ind w:left="6250" w:hanging="361"/>
      </w:pPr>
      <w:rPr>
        <w:rFonts w:hint="default"/>
        <w:lang w:val="en-US" w:eastAsia="en-US" w:bidi="ar-SA"/>
      </w:rPr>
    </w:lvl>
    <w:lvl w:ilvl="6">
      <w:start w:val="0"/>
      <w:numFmt w:val="bullet"/>
      <w:lvlText w:val="•"/>
      <w:lvlJc w:val="left"/>
      <w:pPr>
        <w:ind w:left="7232" w:hanging="361"/>
      </w:pPr>
      <w:rPr>
        <w:rFonts w:hint="default"/>
        <w:lang w:val="en-US" w:eastAsia="en-US" w:bidi="ar-SA"/>
      </w:rPr>
    </w:lvl>
    <w:lvl w:ilvl="7">
      <w:start w:val="0"/>
      <w:numFmt w:val="bullet"/>
      <w:lvlText w:val="•"/>
      <w:lvlJc w:val="left"/>
      <w:pPr>
        <w:ind w:left="8214" w:hanging="361"/>
      </w:pPr>
      <w:rPr>
        <w:rFonts w:hint="default"/>
        <w:lang w:val="en-US" w:eastAsia="en-US" w:bidi="ar-SA"/>
      </w:rPr>
    </w:lvl>
    <w:lvl w:ilvl="8">
      <w:start w:val="0"/>
      <w:numFmt w:val="bullet"/>
      <w:lvlText w:val="•"/>
      <w:lvlJc w:val="left"/>
      <w:pPr>
        <w:ind w:left="9196" w:hanging="361"/>
      </w:pPr>
      <w:rPr>
        <w:rFonts w:hint="default"/>
        <w:lang w:val="en-US" w:eastAsia="en-US" w:bidi="ar-SA"/>
      </w:rPr>
    </w:lvl>
  </w:abstractNum>
  <w:abstractNum w:abstractNumId="3">
    <w:multiLevelType w:val="hybridMultilevel"/>
    <w:lvl w:ilvl="0">
      <w:start w:val="2"/>
      <w:numFmt w:val="decimal"/>
      <w:lvlText w:val="%1"/>
      <w:lvlJc w:val="left"/>
      <w:pPr>
        <w:ind w:left="1583" w:hanging="604"/>
        <w:jc w:val="left"/>
      </w:pPr>
      <w:rPr>
        <w:rFonts w:hint="default"/>
        <w:lang w:val="en-US" w:eastAsia="en-US" w:bidi="ar-SA"/>
      </w:rPr>
    </w:lvl>
    <w:lvl w:ilvl="1">
      <w:start w:val="0"/>
      <w:numFmt w:val="decimal"/>
      <w:lvlText w:val="%1.%2"/>
      <w:lvlJc w:val="left"/>
      <w:pPr>
        <w:ind w:left="1583" w:hanging="604"/>
        <w:jc w:val="left"/>
      </w:pPr>
      <w:rPr>
        <w:rFonts w:hint="default" w:ascii="Georgia" w:hAnsi="Georgia" w:eastAsia="Georgia" w:cs="Georgia"/>
        <w:b/>
        <w:bCs/>
        <w:i w:val="0"/>
        <w:iCs w:val="0"/>
        <w:spacing w:val="0"/>
        <w:w w:val="89"/>
        <w:sz w:val="32"/>
        <w:szCs w:val="32"/>
        <w:lang w:val="en-US" w:eastAsia="en-US" w:bidi="ar-SA"/>
      </w:rPr>
    </w:lvl>
    <w:lvl w:ilvl="2">
      <w:start w:val="1"/>
      <w:numFmt w:val="decimal"/>
      <w:lvlText w:val="%3."/>
      <w:lvlJc w:val="left"/>
      <w:pPr>
        <w:ind w:left="2420" w:hanging="360"/>
        <w:jc w:val="left"/>
      </w:pPr>
      <w:rPr>
        <w:rFonts w:hint="default" w:ascii="Sylfaen" w:hAnsi="Sylfaen" w:eastAsia="Sylfaen" w:cs="Sylfaen"/>
        <w:b w:val="0"/>
        <w:bCs w:val="0"/>
        <w:i w:val="0"/>
        <w:iCs w:val="0"/>
        <w:spacing w:val="0"/>
        <w:w w:val="99"/>
        <w:sz w:val="26"/>
        <w:szCs w:val="26"/>
        <w:lang w:val="en-US" w:eastAsia="en-US" w:bidi="ar-SA"/>
      </w:rPr>
    </w:lvl>
    <w:lvl w:ilvl="3">
      <w:start w:val="0"/>
      <w:numFmt w:val="bullet"/>
      <w:lvlText w:val="•"/>
      <w:lvlJc w:val="left"/>
      <w:pPr>
        <w:ind w:left="3512" w:hanging="360"/>
      </w:pPr>
      <w:rPr>
        <w:rFonts w:hint="default"/>
        <w:lang w:val="en-US" w:eastAsia="en-US" w:bidi="ar-SA"/>
      </w:rPr>
    </w:lvl>
    <w:lvl w:ilvl="4">
      <w:start w:val="0"/>
      <w:numFmt w:val="bullet"/>
      <w:lvlText w:val="•"/>
      <w:lvlJc w:val="left"/>
      <w:pPr>
        <w:ind w:left="4605" w:hanging="360"/>
      </w:pPr>
      <w:rPr>
        <w:rFonts w:hint="default"/>
        <w:lang w:val="en-US" w:eastAsia="en-US" w:bidi="ar-SA"/>
      </w:rPr>
    </w:lvl>
    <w:lvl w:ilvl="5">
      <w:start w:val="0"/>
      <w:numFmt w:val="bullet"/>
      <w:lvlText w:val="•"/>
      <w:lvlJc w:val="left"/>
      <w:pPr>
        <w:ind w:left="5697" w:hanging="360"/>
      </w:pPr>
      <w:rPr>
        <w:rFonts w:hint="default"/>
        <w:lang w:val="en-US" w:eastAsia="en-US" w:bidi="ar-SA"/>
      </w:rPr>
    </w:lvl>
    <w:lvl w:ilvl="6">
      <w:start w:val="0"/>
      <w:numFmt w:val="bullet"/>
      <w:lvlText w:val="•"/>
      <w:lvlJc w:val="left"/>
      <w:pPr>
        <w:ind w:left="6790" w:hanging="360"/>
      </w:pPr>
      <w:rPr>
        <w:rFonts w:hint="default"/>
        <w:lang w:val="en-US" w:eastAsia="en-US" w:bidi="ar-SA"/>
      </w:rPr>
    </w:lvl>
    <w:lvl w:ilvl="7">
      <w:start w:val="0"/>
      <w:numFmt w:val="bullet"/>
      <w:lvlText w:val="•"/>
      <w:lvlJc w:val="left"/>
      <w:pPr>
        <w:ind w:left="7882" w:hanging="360"/>
      </w:pPr>
      <w:rPr>
        <w:rFonts w:hint="default"/>
        <w:lang w:val="en-US" w:eastAsia="en-US" w:bidi="ar-SA"/>
      </w:rPr>
    </w:lvl>
    <w:lvl w:ilvl="8">
      <w:start w:val="0"/>
      <w:numFmt w:val="bullet"/>
      <w:lvlText w:val="•"/>
      <w:lvlJc w:val="left"/>
      <w:pPr>
        <w:ind w:left="8975" w:hanging="360"/>
      </w:pPr>
      <w:rPr>
        <w:rFonts w:hint="default"/>
        <w:lang w:val="en-US" w:eastAsia="en-US" w:bidi="ar-SA"/>
      </w:rPr>
    </w:lvl>
  </w:abstractNum>
  <w:abstractNum w:abstractNumId="2">
    <w:multiLevelType w:val="hybridMultilevel"/>
    <w:lvl w:ilvl="0">
      <w:start w:val="1"/>
      <w:numFmt w:val="decimal"/>
      <w:lvlText w:val="%1"/>
      <w:lvlJc w:val="left"/>
      <w:pPr>
        <w:ind w:left="1695" w:hanging="716"/>
        <w:jc w:val="left"/>
      </w:pPr>
      <w:rPr>
        <w:rFonts w:hint="default"/>
        <w:lang w:val="en-US" w:eastAsia="en-US" w:bidi="ar-SA"/>
      </w:rPr>
    </w:lvl>
    <w:lvl w:ilvl="1">
      <w:start w:val="0"/>
      <w:numFmt w:val="decimal"/>
      <w:lvlText w:val="%1.%2"/>
      <w:lvlJc w:val="left"/>
      <w:pPr>
        <w:ind w:left="1695" w:hanging="716"/>
        <w:jc w:val="left"/>
      </w:pPr>
      <w:rPr>
        <w:rFonts w:hint="default"/>
        <w:spacing w:val="0"/>
        <w:w w:val="103"/>
        <w:lang w:val="en-US" w:eastAsia="en-US" w:bidi="ar-SA"/>
      </w:rPr>
    </w:lvl>
    <w:lvl w:ilvl="2">
      <w:start w:val="1"/>
      <w:numFmt w:val="upperRoman"/>
      <w:lvlText w:val="%3."/>
      <w:lvlJc w:val="left"/>
      <w:pPr>
        <w:ind w:left="2420" w:hanging="519"/>
        <w:jc w:val="right"/>
      </w:pPr>
      <w:rPr>
        <w:rFonts w:hint="default" w:ascii="Sylfaen" w:hAnsi="Sylfaen" w:eastAsia="Sylfaen" w:cs="Sylfaen"/>
        <w:b w:val="0"/>
        <w:bCs w:val="0"/>
        <w:i w:val="0"/>
        <w:iCs w:val="0"/>
        <w:spacing w:val="-1"/>
        <w:w w:val="99"/>
        <w:sz w:val="26"/>
        <w:szCs w:val="26"/>
        <w:lang w:val="en-US" w:eastAsia="en-US" w:bidi="ar-SA"/>
      </w:rPr>
    </w:lvl>
    <w:lvl w:ilvl="3">
      <w:start w:val="0"/>
      <w:numFmt w:val="bullet"/>
      <w:lvlText w:val="•"/>
      <w:lvlJc w:val="left"/>
      <w:pPr>
        <w:ind w:left="4362" w:hanging="519"/>
      </w:pPr>
      <w:rPr>
        <w:rFonts w:hint="default"/>
        <w:lang w:val="en-US" w:eastAsia="en-US" w:bidi="ar-SA"/>
      </w:rPr>
    </w:lvl>
    <w:lvl w:ilvl="4">
      <w:start w:val="0"/>
      <w:numFmt w:val="bullet"/>
      <w:lvlText w:val="•"/>
      <w:lvlJc w:val="left"/>
      <w:pPr>
        <w:ind w:left="5333" w:hanging="519"/>
      </w:pPr>
      <w:rPr>
        <w:rFonts w:hint="default"/>
        <w:lang w:val="en-US" w:eastAsia="en-US" w:bidi="ar-SA"/>
      </w:rPr>
    </w:lvl>
    <w:lvl w:ilvl="5">
      <w:start w:val="0"/>
      <w:numFmt w:val="bullet"/>
      <w:lvlText w:val="•"/>
      <w:lvlJc w:val="left"/>
      <w:pPr>
        <w:ind w:left="6304" w:hanging="519"/>
      </w:pPr>
      <w:rPr>
        <w:rFonts w:hint="default"/>
        <w:lang w:val="en-US" w:eastAsia="en-US" w:bidi="ar-SA"/>
      </w:rPr>
    </w:lvl>
    <w:lvl w:ilvl="6">
      <w:start w:val="0"/>
      <w:numFmt w:val="bullet"/>
      <w:lvlText w:val="•"/>
      <w:lvlJc w:val="left"/>
      <w:pPr>
        <w:ind w:left="7275" w:hanging="519"/>
      </w:pPr>
      <w:rPr>
        <w:rFonts w:hint="default"/>
        <w:lang w:val="en-US" w:eastAsia="en-US" w:bidi="ar-SA"/>
      </w:rPr>
    </w:lvl>
    <w:lvl w:ilvl="7">
      <w:start w:val="0"/>
      <w:numFmt w:val="bullet"/>
      <w:lvlText w:val="•"/>
      <w:lvlJc w:val="left"/>
      <w:pPr>
        <w:ind w:left="8246" w:hanging="519"/>
      </w:pPr>
      <w:rPr>
        <w:rFonts w:hint="default"/>
        <w:lang w:val="en-US" w:eastAsia="en-US" w:bidi="ar-SA"/>
      </w:rPr>
    </w:lvl>
    <w:lvl w:ilvl="8">
      <w:start w:val="0"/>
      <w:numFmt w:val="bullet"/>
      <w:lvlText w:val="•"/>
      <w:lvlJc w:val="left"/>
      <w:pPr>
        <w:ind w:left="9217" w:hanging="519"/>
      </w:pPr>
      <w:rPr>
        <w:rFonts w:hint="default"/>
        <w:lang w:val="en-US" w:eastAsia="en-US" w:bidi="ar-SA"/>
      </w:rPr>
    </w:lvl>
  </w:abstractNum>
  <w:abstractNum w:abstractNumId="1">
    <w:multiLevelType w:val="hybridMultilevel"/>
    <w:lvl w:ilvl="0">
      <w:start w:val="4"/>
      <w:numFmt w:val="decimal"/>
      <w:lvlText w:val="%1"/>
      <w:lvlJc w:val="left"/>
      <w:pPr>
        <w:ind w:left="1915" w:hanging="494"/>
        <w:jc w:val="left"/>
      </w:pPr>
      <w:rPr>
        <w:rFonts w:hint="default"/>
        <w:lang w:val="en-US" w:eastAsia="en-US" w:bidi="ar-SA"/>
      </w:rPr>
    </w:lvl>
    <w:lvl w:ilvl="1">
      <w:start w:val="4"/>
      <w:numFmt w:val="decimal"/>
      <w:lvlText w:val="%1.%2"/>
      <w:lvlJc w:val="left"/>
      <w:pPr>
        <w:ind w:left="1915" w:hanging="494"/>
        <w:jc w:val="left"/>
      </w:pPr>
      <w:rPr>
        <w:rFonts w:hint="default"/>
        <w:lang w:val="en-US" w:eastAsia="en-US" w:bidi="ar-SA"/>
      </w:rPr>
    </w:lvl>
    <w:lvl w:ilvl="2">
      <w:start w:val="2"/>
      <w:numFmt w:val="decimal"/>
      <w:lvlText w:val="%1.%2.%3"/>
      <w:lvlJc w:val="left"/>
      <w:pPr>
        <w:ind w:left="1915" w:hanging="494"/>
        <w:jc w:val="left"/>
      </w:pPr>
      <w:rPr>
        <w:rFonts w:hint="default" w:ascii="Calibri" w:hAnsi="Calibri" w:eastAsia="Calibri" w:cs="Calibri"/>
        <w:b w:val="0"/>
        <w:bCs w:val="0"/>
        <w:i w:val="0"/>
        <w:iCs w:val="0"/>
        <w:spacing w:val="-2"/>
        <w:w w:val="100"/>
        <w:sz w:val="22"/>
        <w:szCs w:val="22"/>
        <w:lang w:val="en-US" w:eastAsia="en-US" w:bidi="ar-SA"/>
      </w:rPr>
    </w:lvl>
    <w:lvl w:ilvl="3">
      <w:start w:val="0"/>
      <w:numFmt w:val="bullet"/>
      <w:lvlText w:val="•"/>
      <w:lvlJc w:val="left"/>
      <w:pPr>
        <w:ind w:left="4692" w:hanging="494"/>
      </w:pPr>
      <w:rPr>
        <w:rFonts w:hint="default"/>
        <w:lang w:val="en-US" w:eastAsia="en-US" w:bidi="ar-SA"/>
      </w:rPr>
    </w:lvl>
    <w:lvl w:ilvl="4">
      <w:start w:val="0"/>
      <w:numFmt w:val="bullet"/>
      <w:lvlText w:val="•"/>
      <w:lvlJc w:val="left"/>
      <w:pPr>
        <w:ind w:left="5616" w:hanging="494"/>
      </w:pPr>
      <w:rPr>
        <w:rFonts w:hint="default"/>
        <w:lang w:val="en-US" w:eastAsia="en-US" w:bidi="ar-SA"/>
      </w:rPr>
    </w:lvl>
    <w:lvl w:ilvl="5">
      <w:start w:val="0"/>
      <w:numFmt w:val="bullet"/>
      <w:lvlText w:val="•"/>
      <w:lvlJc w:val="left"/>
      <w:pPr>
        <w:ind w:left="6540" w:hanging="494"/>
      </w:pPr>
      <w:rPr>
        <w:rFonts w:hint="default"/>
        <w:lang w:val="en-US" w:eastAsia="en-US" w:bidi="ar-SA"/>
      </w:rPr>
    </w:lvl>
    <w:lvl w:ilvl="6">
      <w:start w:val="0"/>
      <w:numFmt w:val="bullet"/>
      <w:lvlText w:val="•"/>
      <w:lvlJc w:val="left"/>
      <w:pPr>
        <w:ind w:left="7464" w:hanging="494"/>
      </w:pPr>
      <w:rPr>
        <w:rFonts w:hint="default"/>
        <w:lang w:val="en-US" w:eastAsia="en-US" w:bidi="ar-SA"/>
      </w:rPr>
    </w:lvl>
    <w:lvl w:ilvl="7">
      <w:start w:val="0"/>
      <w:numFmt w:val="bullet"/>
      <w:lvlText w:val="•"/>
      <w:lvlJc w:val="left"/>
      <w:pPr>
        <w:ind w:left="8388" w:hanging="494"/>
      </w:pPr>
      <w:rPr>
        <w:rFonts w:hint="default"/>
        <w:lang w:val="en-US" w:eastAsia="en-US" w:bidi="ar-SA"/>
      </w:rPr>
    </w:lvl>
    <w:lvl w:ilvl="8">
      <w:start w:val="0"/>
      <w:numFmt w:val="bullet"/>
      <w:lvlText w:val="•"/>
      <w:lvlJc w:val="left"/>
      <w:pPr>
        <w:ind w:left="9312" w:hanging="494"/>
      </w:pPr>
      <w:rPr>
        <w:rFonts w:hint="default"/>
        <w:lang w:val="en-US" w:eastAsia="en-US" w:bidi="ar-SA"/>
      </w:rPr>
    </w:lvl>
  </w:abstractNum>
  <w:abstractNum w:abstractNumId="0">
    <w:multiLevelType w:val="hybridMultilevel"/>
    <w:lvl w:ilvl="0">
      <w:start w:val="1"/>
      <w:numFmt w:val="decimal"/>
      <w:lvlText w:val="%1."/>
      <w:lvlJc w:val="left"/>
      <w:pPr>
        <w:ind w:left="1421" w:hanging="443"/>
        <w:jc w:val="left"/>
      </w:pPr>
      <w:rPr>
        <w:rFonts w:hint="default" w:ascii="Calibri" w:hAnsi="Calibri" w:eastAsia="Calibri" w:cs="Calibri"/>
        <w:b/>
        <w:bCs/>
        <w:i w:val="0"/>
        <w:iCs w:val="0"/>
        <w:spacing w:val="-2"/>
        <w:w w:val="100"/>
        <w:sz w:val="22"/>
        <w:szCs w:val="22"/>
        <w:lang w:val="en-US" w:eastAsia="en-US" w:bidi="ar-SA"/>
      </w:rPr>
    </w:lvl>
    <w:lvl w:ilvl="1">
      <w:start w:val="0"/>
      <w:numFmt w:val="decimal"/>
      <w:lvlText w:val="%1.%2"/>
      <w:lvlJc w:val="left"/>
      <w:pPr>
        <w:ind w:left="1574" w:hanging="375"/>
        <w:jc w:val="left"/>
      </w:pPr>
      <w:rPr>
        <w:rFonts w:hint="default" w:ascii="Calibri" w:hAnsi="Calibri" w:eastAsia="Calibri" w:cs="Calibri"/>
        <w:b w:val="0"/>
        <w:bCs w:val="0"/>
        <w:i w:val="0"/>
        <w:iCs w:val="0"/>
        <w:spacing w:val="-2"/>
        <w:w w:val="100"/>
        <w:sz w:val="22"/>
        <w:szCs w:val="22"/>
        <w:lang w:val="en-US" w:eastAsia="en-US" w:bidi="ar-SA"/>
      </w:rPr>
    </w:lvl>
    <w:lvl w:ilvl="2">
      <w:start w:val="1"/>
      <w:numFmt w:val="decimal"/>
      <w:lvlText w:val="%1.%2.%3"/>
      <w:lvlJc w:val="left"/>
      <w:pPr>
        <w:ind w:left="1915" w:hanging="494"/>
        <w:jc w:val="left"/>
      </w:pPr>
      <w:rPr>
        <w:rFonts w:hint="default" w:ascii="Calibri" w:hAnsi="Calibri" w:eastAsia="Calibri" w:cs="Calibri"/>
        <w:b w:val="0"/>
        <w:bCs w:val="0"/>
        <w:i w:val="0"/>
        <w:iCs w:val="0"/>
        <w:spacing w:val="-2"/>
        <w:w w:val="100"/>
        <w:sz w:val="22"/>
        <w:szCs w:val="22"/>
        <w:lang w:val="en-US" w:eastAsia="en-US" w:bidi="ar-SA"/>
      </w:rPr>
    </w:lvl>
    <w:lvl w:ilvl="3">
      <w:start w:val="0"/>
      <w:numFmt w:val="bullet"/>
      <w:lvlText w:val="•"/>
      <w:lvlJc w:val="left"/>
      <w:pPr>
        <w:ind w:left="1620" w:hanging="494"/>
      </w:pPr>
      <w:rPr>
        <w:rFonts w:hint="default"/>
        <w:lang w:val="en-US" w:eastAsia="en-US" w:bidi="ar-SA"/>
      </w:rPr>
    </w:lvl>
    <w:lvl w:ilvl="4">
      <w:start w:val="0"/>
      <w:numFmt w:val="bullet"/>
      <w:lvlText w:val="•"/>
      <w:lvlJc w:val="left"/>
      <w:pPr>
        <w:ind w:left="1920" w:hanging="494"/>
      </w:pPr>
      <w:rPr>
        <w:rFonts w:hint="default"/>
        <w:lang w:val="en-US" w:eastAsia="en-US" w:bidi="ar-SA"/>
      </w:rPr>
    </w:lvl>
    <w:lvl w:ilvl="5">
      <w:start w:val="0"/>
      <w:numFmt w:val="bullet"/>
      <w:lvlText w:val="•"/>
      <w:lvlJc w:val="left"/>
      <w:pPr>
        <w:ind w:left="3460" w:hanging="494"/>
      </w:pPr>
      <w:rPr>
        <w:rFonts w:hint="default"/>
        <w:lang w:val="en-US" w:eastAsia="en-US" w:bidi="ar-SA"/>
      </w:rPr>
    </w:lvl>
    <w:lvl w:ilvl="6">
      <w:start w:val="0"/>
      <w:numFmt w:val="bullet"/>
      <w:lvlText w:val="•"/>
      <w:lvlJc w:val="left"/>
      <w:pPr>
        <w:ind w:left="5000" w:hanging="494"/>
      </w:pPr>
      <w:rPr>
        <w:rFonts w:hint="default"/>
        <w:lang w:val="en-US" w:eastAsia="en-US" w:bidi="ar-SA"/>
      </w:rPr>
    </w:lvl>
    <w:lvl w:ilvl="7">
      <w:start w:val="0"/>
      <w:numFmt w:val="bullet"/>
      <w:lvlText w:val="•"/>
      <w:lvlJc w:val="left"/>
      <w:pPr>
        <w:ind w:left="6540" w:hanging="494"/>
      </w:pPr>
      <w:rPr>
        <w:rFonts w:hint="default"/>
        <w:lang w:val="en-US" w:eastAsia="en-US" w:bidi="ar-SA"/>
      </w:rPr>
    </w:lvl>
    <w:lvl w:ilvl="8">
      <w:start w:val="0"/>
      <w:numFmt w:val="bullet"/>
      <w:lvlText w:val="•"/>
      <w:lvlJc w:val="left"/>
      <w:pPr>
        <w:ind w:left="8080" w:hanging="494"/>
      </w:pPr>
      <w:rPr>
        <w:rFonts w:hint="default"/>
        <w:lang w:val="en-US" w:eastAsia="en-US" w:bidi="ar-SA"/>
      </w:rPr>
    </w:lvl>
  </w:abstract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Sylfaen" w:hAnsi="Sylfaen" w:eastAsia="Sylfaen" w:cs="Sylfaen"/>
      <w:lang w:val="en-US" w:eastAsia="en-US" w:bidi="ar-SA"/>
    </w:rPr>
  </w:style>
  <w:style w:styleId="TOC1" w:type="paragraph">
    <w:name w:val="TOC 1"/>
    <w:basedOn w:val="Normal"/>
    <w:uiPriority w:val="1"/>
    <w:qFormat/>
    <w:pPr>
      <w:spacing w:before="1"/>
      <w:ind w:left="1421" w:hanging="442"/>
    </w:pPr>
    <w:rPr>
      <w:rFonts w:ascii="Calibri" w:hAnsi="Calibri" w:eastAsia="Calibri" w:cs="Calibri"/>
      <w:b/>
      <w:bCs/>
      <w:sz w:val="22"/>
      <w:szCs w:val="22"/>
      <w:lang w:val="en-US" w:eastAsia="en-US" w:bidi="ar-SA"/>
    </w:rPr>
  </w:style>
  <w:style w:styleId="TOC2" w:type="paragraph">
    <w:name w:val="TOC 2"/>
    <w:basedOn w:val="Normal"/>
    <w:uiPriority w:val="1"/>
    <w:qFormat/>
    <w:pPr>
      <w:spacing w:line="266" w:lineRule="exact"/>
      <w:ind w:left="979"/>
    </w:pPr>
    <w:rPr>
      <w:rFonts w:ascii="Calibri" w:hAnsi="Calibri" w:eastAsia="Calibri" w:cs="Calibri"/>
      <w:b/>
      <w:bCs/>
      <w:sz w:val="22"/>
      <w:szCs w:val="22"/>
      <w:lang w:val="en-US" w:eastAsia="en-US" w:bidi="ar-SA"/>
    </w:rPr>
  </w:style>
  <w:style w:styleId="TOC3" w:type="paragraph">
    <w:name w:val="TOC 3"/>
    <w:basedOn w:val="Normal"/>
    <w:uiPriority w:val="1"/>
    <w:qFormat/>
    <w:pPr>
      <w:ind w:left="1524" w:hanging="324"/>
    </w:pPr>
    <w:rPr>
      <w:rFonts w:ascii="Calibri" w:hAnsi="Calibri" w:eastAsia="Calibri" w:cs="Calibri"/>
      <w:sz w:val="22"/>
      <w:szCs w:val="22"/>
      <w:lang w:val="en-US" w:eastAsia="en-US" w:bidi="ar-SA"/>
    </w:rPr>
  </w:style>
  <w:style w:styleId="TOC4" w:type="paragraph">
    <w:name w:val="TOC 4"/>
    <w:basedOn w:val="Normal"/>
    <w:uiPriority w:val="1"/>
    <w:qFormat/>
    <w:pPr>
      <w:ind w:left="1911" w:hanging="490"/>
    </w:pPr>
    <w:rPr>
      <w:rFonts w:ascii="Calibri" w:hAnsi="Calibri" w:eastAsia="Calibri" w:cs="Calibri"/>
      <w:sz w:val="22"/>
      <w:szCs w:val="22"/>
      <w:lang w:val="en-US" w:eastAsia="en-US" w:bidi="ar-SA"/>
    </w:rPr>
  </w:style>
  <w:style w:styleId="BodyText" w:type="paragraph">
    <w:name w:val="Body Text"/>
    <w:basedOn w:val="Normal"/>
    <w:uiPriority w:val="1"/>
    <w:qFormat/>
    <w:pPr>
      <w:ind w:left="979"/>
      <w:jc w:val="both"/>
    </w:pPr>
    <w:rPr>
      <w:rFonts w:ascii="Sylfaen" w:hAnsi="Sylfaen" w:eastAsia="Sylfaen" w:cs="Sylfaen"/>
      <w:sz w:val="26"/>
      <w:szCs w:val="26"/>
      <w:lang w:val="en-US" w:eastAsia="en-US" w:bidi="ar-SA"/>
    </w:rPr>
  </w:style>
  <w:style w:styleId="Heading1" w:type="paragraph">
    <w:name w:val="Heading 1"/>
    <w:basedOn w:val="Normal"/>
    <w:uiPriority w:val="1"/>
    <w:qFormat/>
    <w:pPr>
      <w:outlineLvl w:val="1"/>
    </w:pPr>
    <w:rPr>
      <w:rFonts w:ascii="Georgia" w:hAnsi="Georgia" w:eastAsia="Georgia" w:cs="Georgia"/>
      <w:b/>
      <w:bCs/>
      <w:sz w:val="56"/>
      <w:szCs w:val="56"/>
      <w:lang w:val="en-US" w:eastAsia="en-US" w:bidi="ar-SA"/>
    </w:rPr>
  </w:style>
  <w:style w:styleId="Heading2" w:type="paragraph">
    <w:name w:val="Heading 2"/>
    <w:basedOn w:val="Normal"/>
    <w:uiPriority w:val="1"/>
    <w:qFormat/>
    <w:pPr>
      <w:spacing w:before="298"/>
      <w:ind w:left="979"/>
      <w:outlineLvl w:val="2"/>
    </w:pPr>
    <w:rPr>
      <w:rFonts w:ascii="Georgia" w:hAnsi="Georgia" w:eastAsia="Georgia" w:cs="Georgia"/>
      <w:b/>
      <w:bCs/>
      <w:sz w:val="44"/>
      <w:szCs w:val="44"/>
      <w:lang w:val="en-US" w:eastAsia="en-US" w:bidi="ar-SA"/>
    </w:rPr>
  </w:style>
  <w:style w:styleId="Heading3" w:type="paragraph">
    <w:name w:val="Heading 3"/>
    <w:basedOn w:val="Normal"/>
    <w:uiPriority w:val="1"/>
    <w:qFormat/>
    <w:pPr>
      <w:spacing w:before="294"/>
      <w:ind w:left="1582" w:hanging="603"/>
      <w:outlineLvl w:val="3"/>
    </w:pPr>
    <w:rPr>
      <w:rFonts w:ascii="Georgia" w:hAnsi="Georgia" w:eastAsia="Georgia" w:cs="Georgia"/>
      <w:b/>
      <w:bCs/>
      <w:sz w:val="36"/>
      <w:szCs w:val="36"/>
      <w:lang w:val="en-US" w:eastAsia="en-US" w:bidi="ar-SA"/>
    </w:rPr>
  </w:style>
  <w:style w:styleId="Heading4" w:type="paragraph">
    <w:name w:val="Heading 4"/>
    <w:basedOn w:val="Normal"/>
    <w:uiPriority w:val="1"/>
    <w:qFormat/>
    <w:pPr>
      <w:ind w:left="1582" w:hanging="603"/>
      <w:outlineLvl w:val="4"/>
    </w:pPr>
    <w:rPr>
      <w:rFonts w:ascii="Georgia" w:hAnsi="Georgia" w:eastAsia="Georgia" w:cs="Georgia"/>
      <w:b/>
      <w:bCs/>
      <w:sz w:val="32"/>
      <w:szCs w:val="32"/>
      <w:lang w:val="en-US" w:eastAsia="en-US" w:bidi="ar-SA"/>
    </w:rPr>
  </w:style>
  <w:style w:styleId="Heading5" w:type="paragraph">
    <w:name w:val="Heading 5"/>
    <w:basedOn w:val="Normal"/>
    <w:uiPriority w:val="1"/>
    <w:qFormat/>
    <w:pPr>
      <w:ind w:left="20"/>
      <w:outlineLvl w:val="5"/>
    </w:pPr>
    <w:rPr>
      <w:rFonts w:ascii="Calibri" w:hAnsi="Calibri" w:eastAsia="Calibri" w:cs="Calibri"/>
      <w:sz w:val="28"/>
      <w:szCs w:val="28"/>
      <w:lang w:val="en-US" w:eastAsia="en-US" w:bidi="ar-SA"/>
    </w:rPr>
  </w:style>
  <w:style w:styleId="Heading6" w:type="paragraph">
    <w:name w:val="Heading 6"/>
    <w:basedOn w:val="Normal"/>
    <w:uiPriority w:val="1"/>
    <w:qFormat/>
    <w:pPr>
      <w:jc w:val="both"/>
      <w:outlineLvl w:val="6"/>
    </w:pPr>
    <w:rPr>
      <w:rFonts w:ascii="Sylfaen" w:hAnsi="Sylfaen" w:eastAsia="Sylfaen" w:cs="Sylfaen"/>
      <w:sz w:val="27"/>
      <w:szCs w:val="27"/>
      <w:lang w:val="en-US" w:eastAsia="en-US" w:bidi="ar-SA"/>
    </w:rPr>
  </w:style>
  <w:style w:styleId="ListParagraph" w:type="paragraph">
    <w:name w:val="List Paragraph"/>
    <w:basedOn w:val="Normal"/>
    <w:uiPriority w:val="1"/>
    <w:qFormat/>
    <w:pPr>
      <w:ind w:left="1700" w:hanging="360"/>
    </w:pPr>
    <w:rPr>
      <w:rFonts w:ascii="Sylfaen" w:hAnsi="Sylfaen" w:eastAsia="Sylfaen" w:cs="Sylfaen"/>
      <w:lang w:val="en-US" w:eastAsia="en-US" w:bidi="ar-SA"/>
    </w:rPr>
  </w:style>
  <w:style w:styleId="TableParagraph" w:type="paragraph">
    <w:name w:val="Table Paragraph"/>
    <w:basedOn w:val="Normal"/>
    <w:uiPriority w:val="1"/>
    <w:qFormat/>
    <w:pPr/>
    <w:rPr>
      <w:rFonts w:ascii="Sylfaen" w:hAnsi="Sylfaen" w:eastAsia="Sylfaen" w:cs="Sylfae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https://www.researchgate.net/?enrichId=rgreq-44f8157f6eb3e0ef6a533966800a1110-XXX&amp;enrichSource=Y292ZXJQYWdlOzMyMDE4Mjg5NDtBUzo1NDUyOTQ2MDcxMDYwNDlAMTUwNzAxOTc3Mzk5OA%3D%3D&amp;el=1_x_1&amp;_esc=publicationCoverPdf" TargetMode="External"/><Relationship Id="rId6" Type="http://schemas.openxmlformats.org/officeDocument/2006/relationships/image" Target="media/image1.png"/><Relationship Id="rId7" Type="http://schemas.openxmlformats.org/officeDocument/2006/relationships/hyperlink" Target="https://www.researchgate.net/publication/320182894_System_Approach_to_the_European_Union_Studies_Doctoral_dissertation?enrichId=rgreq-44f8157f6eb3e0ef6a533966800a1110-XXX&amp;enrichSource=Y292ZXJQYWdlOzMyMDE4Mjg5NDtBUzo1NDUyOTQ2MDcxMDYwNDlAMTUwNzAxOTc3Mzk5OA%3D%3D&amp;el=1_x_2&amp;_esc=publicationCoverPdf" TargetMode="External"/><Relationship Id="rId8" Type="http://schemas.openxmlformats.org/officeDocument/2006/relationships/hyperlink" Target="https://www.researchgate.net/publication/320182894_System_Approach_to_the_European_Union_Studies_Doctoral_dissertation?enrichId=rgreq-44f8157f6eb3e0ef6a533966800a1110-XXX&amp;enrichSource=Y292ZXJQYWdlOzMyMDE4Mjg5NDtBUzo1NDUyOTQ2MDcxMDYwNDlAMTUwNzAxOTc3Mzk5OA%3D%3D&amp;el=1_x_3&amp;_esc=publicationCoverPdf" TargetMode="External"/><Relationship Id="rId9" Type="http://schemas.openxmlformats.org/officeDocument/2006/relationships/hyperlink" Target="https://www.researchgate.net/profile/Lasha_Markozashvili?enrichId=rgreq-44f8157f6eb3e0ef6a533966800a1110-XXX&amp;enrichSource=Y292ZXJQYWdlOzMyMDE4Mjg5NDtBUzo1NDUyOTQ2MDcxMDYwNDlAMTUwNzAxOTc3Mzk5OA%3D%3D&amp;el=1_x_10&amp;_esc=publicationCoverPdf" TargetMode="External"/><Relationship Id="rId10" Type="http://schemas.openxmlformats.org/officeDocument/2006/relationships/hyperlink" Target="file://localhost/C:/Users/user/Desktop/OneDrive/Dissertation%20chapters/Chapters%20one%2C%20two%2C%20three.docx%23_Toc453016093" TargetMode="External"/><Relationship Id="rId11" Type="http://schemas.openxmlformats.org/officeDocument/2006/relationships/hyperlink" Target="file://localhost/C:/Users/user/Desktop/OneDrive/Dissertation%20chapters/Chapters%20one%2C%20two%2C%20three.docx%23_Toc453016096" TargetMode="External"/><Relationship Id="rId12" Type="http://schemas.openxmlformats.org/officeDocument/2006/relationships/hyperlink" Target="file://localhost/C:/Users/user/Desktop/OneDrive/Dissertation%20chapters/Chapters%20one%2C%20two%2C%20three.docx%23_Toc453016097" TargetMode="External"/><Relationship Id="rId13" Type="http://schemas.openxmlformats.org/officeDocument/2006/relationships/hyperlink" Target="file://localhost/C:/Users/user/Desktop/OneDrive/Dissertation%20chapters/Chapters%20one%2C%20two%2C%20three.docx%23_Toc453016098" TargetMode="External"/><Relationship Id="rId14" Type="http://schemas.openxmlformats.org/officeDocument/2006/relationships/hyperlink" Target="file://localhost/C:/Users/user/Desktop/OneDrive/Dissertation%20chapters/Chapters%20one%2C%20two%2C%20three.docx%23_Toc453016099" TargetMode="External"/><Relationship Id="rId15" Type="http://schemas.openxmlformats.org/officeDocument/2006/relationships/hyperlink" Target="file://localhost/C:/Users/user/Desktop/OneDrive/Dissertation%20chapters/Chapters%20one%2C%20two%2C%20three.docx%23_Toc453016102" TargetMode="External"/><Relationship Id="rId16" Type="http://schemas.openxmlformats.org/officeDocument/2006/relationships/hyperlink" Target="file://localhost/C:/Users/user/Desktop/OneDrive/Dissertation%20chapters/Chapters%20one%2C%20two%2C%20three.docx%23_Toc453016103" TargetMode="External"/><Relationship Id="rId17" Type="http://schemas.openxmlformats.org/officeDocument/2006/relationships/hyperlink" Target="file://localhost/C:/Users/user/Desktop/OneDrive/Dissertation%20chapters/Chapters%20one%2C%20two%2C%20three.docx%23_Toc453016105" TargetMode="External"/><Relationship Id="rId18" Type="http://schemas.openxmlformats.org/officeDocument/2006/relationships/header" Target="header1.xml"/><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jpe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jpe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jpeg"/><Relationship Id="rId38" Type="http://schemas.openxmlformats.org/officeDocument/2006/relationships/image" Target="media/image21.jpeg"/><Relationship Id="rId39" Type="http://schemas.openxmlformats.org/officeDocument/2006/relationships/hyperlink" Target="http://ec.europa.eu/growth/single-market/goods/free-movement-sectors/mutual-recognition/index_en.htm" TargetMode="External"/><Relationship Id="rId40" Type="http://schemas.openxmlformats.org/officeDocument/2006/relationships/image" Target="media/image22.jpeg"/><Relationship Id="rId41" Type="http://schemas.openxmlformats.org/officeDocument/2006/relationships/image" Target="media/image23.jpeg"/><Relationship Id="rId42" Type="http://schemas.openxmlformats.org/officeDocument/2006/relationships/hyperlink" Target="http://dx.doi.org/10.1016/S1053-5357(00)00058-5" TargetMode="External"/><Relationship Id="rId43" Type="http://schemas.openxmlformats.org/officeDocument/2006/relationships/hyperlink" Target="http://ec.europa.eu/smart-regulation/guidelines/tool_15_en.htm" TargetMode="External"/><Relationship Id="rId44" Type="http://schemas.openxmlformats.org/officeDocument/2006/relationships/hyperlink" Target="http://eeas.europa.eu/csdp/about-csdp/weu/index_en.htm" TargetMode="External"/><Relationship Id="rId45" Type="http://schemas.openxmlformats.org/officeDocument/2006/relationships/hyperlink" Target="http://www.youtube.com/watch?v=WktoqNpYWso" TargetMode="External"/><Relationship Id="rId46" Type="http://schemas.openxmlformats.org/officeDocument/2006/relationships/hyperlink" Target="http://dx.doi.org/10.1016/j.ecolmodel.2003.10.027" TargetMode="External"/><Relationship Id="rId47" Type="http://schemas.openxmlformats.org/officeDocument/2006/relationships/hyperlink" Target="https://www.researchgate.net/publication/320182894"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Lasha Markozashvili</dc:creator>
  <cp:keywords>lasha markozashvili</cp:keywords>
  <dc:subject>Doctoral dissertation</dc:subject>
  <dc:title>System Approach to the European Union Studies</dc:title>
  <dcterms:created xsi:type="dcterms:W3CDTF">2025-06-09T08:03:27Z</dcterms:created>
  <dcterms:modified xsi:type="dcterms:W3CDTF">2025-06-09T08:03:27Z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2016-06-06T00:00:00Z</vt:filetime>
  </property>
  <property fmtid="{D5CDD505-2E9C-101B-9397-08002B2CF9AE}" pid="3" name="Creator">
    <vt:lpwstr>Microsoft® Word 2010</vt:lpwstr>
  </property>
  <property fmtid="{D5CDD505-2E9C-101B-9397-08002B2CF9AE}" pid="4" name="LastSaved">
    <vt:filetime>2025-06-09T00:00:00Z</vt:filetime>
  </property>
  <property fmtid="{D5CDD505-2E9C-101B-9397-08002B2CF9AE}" pid="5" name="Producer">
    <vt:lpwstr>Microsoft® Word 2010</vt:lpwstr>
  </property>
  <property fmtid="{D5CDD505-2E9C-101B-9397-08002B2CF9AE}" pid="6" name="rgid">
    <vt:lpwstr>PB:320182894_AS:545294607106049@1507019773998</vt:lpwstr>
  </property>
</Properties>
</file>