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32AC9D" w14:textId="77777777" w:rsidR="00B12766" w:rsidRPr="00917F58" w:rsidRDefault="00000000" w:rsidP="00917F58">
      <w:pPr>
        <w:spacing w:before="157" w:after="157" w:line="270" w:lineRule="auto"/>
        <w:jc w:val="both"/>
        <w:rPr>
          <w:rFonts w:ascii="Times New Roman" w:hAnsi="Times New Roman" w:cs="Times New Roman"/>
          <w:sz w:val="28"/>
          <w:szCs w:val="28"/>
        </w:rPr>
      </w:pPr>
      <w:r w:rsidRPr="00917F58">
        <w:rPr>
          <w:rFonts w:ascii="Times New Roman" w:eastAsia="inter" w:hAnsi="Times New Roman" w:cs="Times New Roman"/>
          <w:b/>
          <w:color w:val="000000"/>
          <w:sz w:val="28"/>
          <w:szCs w:val="28"/>
        </w:rPr>
        <w:t>Social Movements Around Rivers: The Case of the Hooghly River in West Bengal, India</w:t>
      </w:r>
    </w:p>
    <w:p w14:paraId="7C14DA9F"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Abstract</w:t>
      </w:r>
    </w:p>
    <w:p w14:paraId="471412ED"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This case study examines the emergence and evolution of social movements around the iconic Hooghly River in West Bengal, India, within the broader context of riverine degradation and hydraulic mission paradigms. The Hooghly River, a distributary of the Ganges flowing through Kolkata and surrounding industrial areas, represents a complex hydro-social territory where colonial legacies intersect with contemporary environmental challenges. Through an analysis of historical and contemporary resistance movements, this study explores how fishing communities, environmental activists, and civil society organizations have mobilized to protect the river's ecological integrity and their traditional livelihoods against industrial pollution, infrastructure development, and water resource exploitation.</w:t>
      </w:r>
    </w:p>
    <w:p w14:paraId="6826F007"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The research reveals multiple layers of social mobilization, from traditional fishing communities' resistance to colonial-era industrial projects to contemporary environmental activism addressing severe pollution from industrial effluents, sewage discharge, and microplastic contamination. The case demonstrates how the hydraulic mission paradigm, rooted in colonial engineering approaches, continues to shape water resource management policies that prioritize industrial development over riverine ecosystem health and community livelihoods.</w:t>
      </w:r>
    </w:p>
    <w:p w14:paraId="38D325E5"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 xml:space="preserve">Key findings indicate that while formal large-scale social movements around the Hooghly River have been limited compared to movements like the Narmada </w:t>
      </w:r>
      <w:proofErr w:type="spellStart"/>
      <w:r w:rsidRPr="00917F58">
        <w:rPr>
          <w:rFonts w:ascii="Times New Roman" w:eastAsia="inter" w:hAnsi="Times New Roman" w:cs="Times New Roman"/>
          <w:color w:val="000000"/>
          <w:sz w:val="22"/>
        </w:rPr>
        <w:t>Bachao</w:t>
      </w:r>
      <w:proofErr w:type="spellEnd"/>
      <w:r w:rsidRPr="00917F58">
        <w:rPr>
          <w:rFonts w:ascii="Times New Roman" w:eastAsia="inter" w:hAnsi="Times New Roman" w:cs="Times New Roman"/>
          <w:color w:val="000000"/>
          <w:sz w:val="22"/>
        </w:rPr>
        <w:t xml:space="preserve"> </w:t>
      </w:r>
      <w:proofErr w:type="spellStart"/>
      <w:r w:rsidRPr="00917F58">
        <w:rPr>
          <w:rFonts w:ascii="Times New Roman" w:eastAsia="inter" w:hAnsi="Times New Roman" w:cs="Times New Roman"/>
          <w:color w:val="000000"/>
          <w:sz w:val="22"/>
        </w:rPr>
        <w:t>Andolan</w:t>
      </w:r>
      <w:proofErr w:type="spellEnd"/>
      <w:r w:rsidRPr="00917F58">
        <w:rPr>
          <w:rFonts w:ascii="Times New Roman" w:eastAsia="inter" w:hAnsi="Times New Roman" w:cs="Times New Roman"/>
          <w:color w:val="000000"/>
          <w:sz w:val="22"/>
        </w:rPr>
        <w:t>, grassroots resistance has emerged through fishing communities' collective action, environmental monitoring by civil society groups, and legal challenges to pollution sources. The study contributes to understanding how local communities conceptualize rivers as lived spaces of culture, spirituality, and livelihood, challenging the dominant hydraulic mission framework that treats rivers primarily as industrial resources.</w:t>
      </w:r>
    </w:p>
    <w:p w14:paraId="17618481"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Introduction</w:t>
      </w:r>
    </w:p>
    <w:p w14:paraId="13251931"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Rivers in India serve as more than mere water carriers; they function as complex hydro-social territories embodying cultural, spiritual, ecological, and economic dimensions that sustain millions of lives. The Hooghly River, flowing through the heart of West Bengal and connecting Kolkata to the Bay of Bengal, exemplifies this multifaceted relationship between communities and riverine ecosystems</w:t>
      </w:r>
      <w:bookmarkStart w:id="0" w:name="fnref1"/>
      <w:bookmarkEnd w:id="0"/>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As a major distributary of the Ganges, the Hooghly has witnessed centuries of human interaction, from pre-colonial settlements through British colonial transformation to post-independence industrialization</w:t>
      </w:r>
      <w:bookmarkStart w:id="1" w:name="fnref2"/>
      <w:bookmarkEnd w:id="1"/>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w:t>
      </w:r>
    </w:p>
    <w:p w14:paraId="1144157D"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lastRenderedPageBreak/>
        <w:t>The river's trajectory reflects the broader challenges facing Indian river systems under what scholars term the "hydraulic mission" paradigm - an approach to water resource development that emerged in the late 19th century and prioritizes large-scale infrastructure projects, industrial development, and technocratic management over ecological integrity and community needs</w:t>
      </w:r>
      <w:bookmarkStart w:id="2" w:name="fnref3"/>
      <w:bookmarkEnd w:id="2"/>
      <w:r w:rsidRPr="00917F58">
        <w:rPr>
          <w:rFonts w:ascii="Times New Roman" w:hAnsi="Times New Roman" w:cs="Times New Roman"/>
          <w:sz w:val="22"/>
        </w:rPr>
        <w:fldChar w:fldCharType="begin"/>
      </w:r>
      <w:r w:rsidRPr="00917F58">
        <w:rPr>
          <w:rFonts w:ascii="Times New Roman" w:hAnsi="Times New Roman" w:cs="Times New Roman"/>
          <w:sz w:val="22"/>
        </w:rPr>
        <w:instrText>HYPERLINK \l "fn3"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[3]</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This paradigm has created mounting pressures on riverine ecosystems through damming, channelization, pollution, and water extraction, generating resistance movements and alternative articulations of river-community relationships.</w:t>
      </w:r>
    </w:p>
    <w:p w14:paraId="7BF92816"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 xml:space="preserve">The Hooghly River presents a compelling case for understanding social movements around rivers due to its unique position at the intersection of colonial history, industrial development, and traditional livelihoods. Unlike well-documented movements such as the Narmada </w:t>
      </w:r>
      <w:proofErr w:type="spellStart"/>
      <w:r w:rsidRPr="00917F58">
        <w:rPr>
          <w:rFonts w:ascii="Times New Roman" w:eastAsia="inter" w:hAnsi="Times New Roman" w:cs="Times New Roman"/>
          <w:color w:val="000000"/>
          <w:sz w:val="22"/>
        </w:rPr>
        <w:t>Bachao</w:t>
      </w:r>
      <w:proofErr w:type="spellEnd"/>
      <w:r w:rsidRPr="00917F58">
        <w:rPr>
          <w:rFonts w:ascii="Times New Roman" w:eastAsia="inter" w:hAnsi="Times New Roman" w:cs="Times New Roman"/>
          <w:color w:val="000000"/>
          <w:sz w:val="22"/>
        </w:rPr>
        <w:t xml:space="preserve"> </w:t>
      </w:r>
      <w:proofErr w:type="spellStart"/>
      <w:r w:rsidRPr="00917F58">
        <w:rPr>
          <w:rFonts w:ascii="Times New Roman" w:eastAsia="inter" w:hAnsi="Times New Roman" w:cs="Times New Roman"/>
          <w:color w:val="000000"/>
          <w:sz w:val="22"/>
        </w:rPr>
        <w:t>Andolan</w:t>
      </w:r>
      <w:proofErr w:type="spellEnd"/>
      <w:r w:rsidRPr="00917F58">
        <w:rPr>
          <w:rFonts w:ascii="Times New Roman" w:eastAsia="inter" w:hAnsi="Times New Roman" w:cs="Times New Roman"/>
          <w:color w:val="000000"/>
          <w:sz w:val="22"/>
        </w:rPr>
        <w:t>, resistance around the Hooghly has been characterized by localized, often invisible forms of collective action by fishing communities, environmental groups, and civil society organizations responding to the river's severe degradation</w:t>
      </w:r>
      <w:bookmarkStart w:id="3" w:name="fnref4"/>
      <w:bookmarkEnd w:id="3"/>
      <w:r w:rsidRPr="00917F58">
        <w:rPr>
          <w:rFonts w:ascii="Times New Roman" w:hAnsi="Times New Roman" w:cs="Times New Roman"/>
          <w:sz w:val="22"/>
        </w:rPr>
        <w:fldChar w:fldCharType="begin"/>
      </w:r>
      <w:r w:rsidRPr="00917F58">
        <w:rPr>
          <w:rFonts w:ascii="Times New Roman" w:hAnsi="Times New Roman" w:cs="Times New Roman"/>
          <w:sz w:val="22"/>
        </w:rPr>
        <w:instrText>HYPERLINK \l "fn4"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[4]</w:t>
      </w:r>
      <w:r w:rsidRPr="00917F58">
        <w:rPr>
          <w:rFonts w:ascii="Times New Roman" w:eastAsia="inter" w:hAnsi="Times New Roman" w:cs="Times New Roman"/>
          <w:sz w:val="22"/>
          <w:u w:val="single"/>
          <w:vertAlign w:val="superscript"/>
        </w:rPr>
        <w:fldChar w:fldCharType="end"/>
      </w:r>
      <w:bookmarkStart w:id="4" w:name="fnref5"/>
      <w:bookmarkEnd w:id="4"/>
      <w:r w:rsidRPr="00917F58">
        <w:rPr>
          <w:rFonts w:ascii="Times New Roman" w:hAnsi="Times New Roman" w:cs="Times New Roman"/>
          <w:sz w:val="22"/>
        </w:rPr>
        <w:fldChar w:fldCharType="begin"/>
      </w:r>
      <w:r w:rsidRPr="00917F58">
        <w:rPr>
          <w:rFonts w:ascii="Times New Roman" w:hAnsi="Times New Roman" w:cs="Times New Roman"/>
          <w:sz w:val="22"/>
        </w:rPr>
        <w:instrText>HYPERLINK \l "fn5"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[5]</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w:t>
      </w:r>
    </w:p>
    <w:p w14:paraId="2083BF5E"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Historical Context and the Making of a Hydro-Social Territory</w:t>
      </w:r>
    </w:p>
    <w:p w14:paraId="795137DC"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Colonial Foundations and Early Industrialization</w:t>
      </w:r>
    </w:p>
    <w:p w14:paraId="3BD8F466"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The Hooghly River's transformation into a contested hydro-social territory began during the colonial period when British administrators and engineers implemented large-scale interventions to serve imperial commercial interests. The establishment of Calcutta as the colonial capital positioned the Hooghly as a crucial commercial waterway, facilitating the export of goods and the import of industrial machinery</w:t>
      </w:r>
      <w:bookmarkStart w:id="5" w:name="fnref6"/>
      <w:bookmarkEnd w:id="5"/>
      <w:r w:rsidRPr="00917F58">
        <w:rPr>
          <w:rFonts w:ascii="Times New Roman" w:hAnsi="Times New Roman" w:cs="Times New Roman"/>
          <w:sz w:val="22"/>
        </w:rPr>
        <w:fldChar w:fldCharType="begin"/>
      </w:r>
      <w:r w:rsidRPr="00917F58">
        <w:rPr>
          <w:rFonts w:ascii="Times New Roman" w:hAnsi="Times New Roman" w:cs="Times New Roman"/>
          <w:sz w:val="22"/>
        </w:rPr>
        <w:instrText>HYPERLINK \l "fn6"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[6]</w:t>
      </w:r>
      <w:r w:rsidRPr="00917F58">
        <w:rPr>
          <w:rFonts w:ascii="Times New Roman" w:eastAsia="inter" w:hAnsi="Times New Roman" w:cs="Times New Roman"/>
          <w:sz w:val="22"/>
          <w:u w:val="single"/>
          <w:vertAlign w:val="superscript"/>
        </w:rPr>
        <w:fldChar w:fldCharType="end"/>
      </w:r>
      <w:bookmarkStart w:id="6" w:name="fnref7"/>
      <w:bookmarkEnd w:id="6"/>
      <w:r w:rsidRPr="00917F58">
        <w:rPr>
          <w:rFonts w:ascii="Times New Roman" w:hAnsi="Times New Roman" w:cs="Times New Roman"/>
          <w:sz w:val="22"/>
        </w:rPr>
        <w:fldChar w:fldCharType="begin"/>
      </w:r>
      <w:r w:rsidRPr="00917F58">
        <w:rPr>
          <w:rFonts w:ascii="Times New Roman" w:hAnsi="Times New Roman" w:cs="Times New Roman"/>
          <w:sz w:val="22"/>
        </w:rPr>
        <w:instrText>HYPERLINK \l "fn7"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[7]</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w:t>
      </w:r>
    </w:p>
    <w:p w14:paraId="0D24C21A" w14:textId="63F6CF69"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Colonial engineering projects fundamentally altered the river's character, reflecting what environmental historians identify as the "colonial modernity" approach to natural resource management</w:t>
      </w:r>
      <w:bookmarkStart w:id="7" w:name="fnref3:1"/>
      <w:bookmarkEnd w:id="7"/>
      <w:r w:rsidRPr="00917F58">
        <w:rPr>
          <w:rFonts w:ascii="Times New Roman" w:hAnsi="Times New Roman" w:cs="Times New Roman"/>
          <w:sz w:val="22"/>
        </w:rPr>
        <w:fldChar w:fldCharType="begin"/>
      </w:r>
      <w:r w:rsidRPr="00917F58">
        <w:rPr>
          <w:rFonts w:ascii="Times New Roman" w:hAnsi="Times New Roman" w:cs="Times New Roman"/>
          <w:sz w:val="22"/>
        </w:rPr>
        <w:instrText>HYPERLINK \l "fn3"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[3]</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xml:space="preserve">. The construction of port facilities, industrial infrastructure, and urban settlements along the </w:t>
      </w:r>
      <w:r w:rsidR="00917F58" w:rsidRPr="00917F58">
        <w:rPr>
          <w:rFonts w:ascii="Times New Roman" w:eastAsia="inter" w:hAnsi="Times New Roman" w:cs="Times New Roman"/>
          <w:color w:val="000000"/>
          <w:sz w:val="22"/>
        </w:rPr>
        <w:t>riverbanks-initiated</w:t>
      </w:r>
      <w:r w:rsidRPr="00917F58">
        <w:rPr>
          <w:rFonts w:ascii="Times New Roman" w:eastAsia="inter" w:hAnsi="Times New Roman" w:cs="Times New Roman"/>
          <w:color w:val="000000"/>
          <w:sz w:val="22"/>
        </w:rPr>
        <w:t xml:space="preserve"> processes of environmental transformation that continue to shape contemporary conflicts. The British colonial administration's focus on maximizing commercial utility established precedents for treating the river primarily as an economic resource rather than a living ecosystem</w:t>
      </w:r>
      <w:bookmarkStart w:id="8" w:name="fnref8"/>
      <w:bookmarkEnd w:id="8"/>
      <w:r w:rsidRPr="00917F58">
        <w:rPr>
          <w:rFonts w:ascii="Times New Roman" w:hAnsi="Times New Roman" w:cs="Times New Roman"/>
          <w:sz w:val="22"/>
        </w:rPr>
        <w:fldChar w:fldCharType="begin"/>
      </w:r>
      <w:r w:rsidRPr="00917F58">
        <w:rPr>
          <w:rFonts w:ascii="Times New Roman" w:hAnsi="Times New Roman" w:cs="Times New Roman"/>
          <w:sz w:val="22"/>
        </w:rPr>
        <w:instrText>HYPERLINK \l "fn8"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[8]</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w:t>
      </w:r>
    </w:p>
    <w:p w14:paraId="56371924"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The colonial period also witnessed the emergence of industrial activities along the Hooghly's banks, including jute mills, textile factories, and shipping facilities that began discharging waste into the river</w:t>
      </w:r>
      <w:bookmarkStart w:id="9" w:name="fnref9"/>
      <w:bookmarkEnd w:id="9"/>
      <w:r w:rsidRPr="00917F58">
        <w:rPr>
          <w:rFonts w:ascii="Times New Roman" w:hAnsi="Times New Roman" w:cs="Times New Roman"/>
          <w:sz w:val="22"/>
        </w:rPr>
        <w:fldChar w:fldCharType="begin"/>
      </w:r>
      <w:r w:rsidRPr="00917F58">
        <w:rPr>
          <w:rFonts w:ascii="Times New Roman" w:hAnsi="Times New Roman" w:cs="Times New Roman"/>
          <w:sz w:val="22"/>
        </w:rPr>
        <w:instrText>HYPERLINK \l "fn9"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[9]</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These early pollution sources laid the foundation for contemporary environmental challenges while disrupting traditional fishing communities and riverine livelihoods that had sustained local populations for centuries.</w:t>
      </w:r>
    </w:p>
    <w:p w14:paraId="1ACC4EAD"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Post-Independence Industrialization and the Hydraulic Mission</w:t>
      </w:r>
    </w:p>
    <w:p w14:paraId="2AF2F919"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lastRenderedPageBreak/>
        <w:t>Following independence, the Hooghly River became central to West Bengal's industrial development strategy, embodying the hydraulic mission paradigm that prioritized large-scale infrastructure projects and industrial growth</w:t>
      </w:r>
      <w:bookmarkStart w:id="10" w:name="fnref3:2"/>
      <w:bookmarkEnd w:id="10"/>
      <w:r w:rsidRPr="00917F58">
        <w:rPr>
          <w:rFonts w:ascii="Times New Roman" w:hAnsi="Times New Roman" w:cs="Times New Roman"/>
          <w:sz w:val="22"/>
        </w:rPr>
        <w:fldChar w:fldCharType="begin"/>
      </w:r>
      <w:r w:rsidRPr="00917F58">
        <w:rPr>
          <w:rFonts w:ascii="Times New Roman" w:hAnsi="Times New Roman" w:cs="Times New Roman"/>
          <w:sz w:val="22"/>
        </w:rPr>
        <w:instrText>HYPERLINK \l "fn3"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[3]</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xml:space="preserve">. The construction of the </w:t>
      </w:r>
      <w:proofErr w:type="spellStart"/>
      <w:r w:rsidRPr="00917F58">
        <w:rPr>
          <w:rFonts w:ascii="Times New Roman" w:eastAsia="inter" w:hAnsi="Times New Roman" w:cs="Times New Roman"/>
          <w:color w:val="000000"/>
          <w:sz w:val="22"/>
        </w:rPr>
        <w:t>Farakka</w:t>
      </w:r>
      <w:proofErr w:type="spellEnd"/>
      <w:r w:rsidRPr="00917F58">
        <w:rPr>
          <w:rFonts w:ascii="Times New Roman" w:eastAsia="inter" w:hAnsi="Times New Roman" w:cs="Times New Roman"/>
          <w:color w:val="000000"/>
          <w:sz w:val="22"/>
        </w:rPr>
        <w:t xml:space="preserve"> Barrage in 1975 dramatically altered the river's hydrology, reducing water flow and affecting fish migration patterns, particularly for the culturally and economically significant Hilsa fish</w:t>
      </w:r>
      <w:bookmarkStart w:id="11" w:name="fnref10"/>
      <w:bookmarkEnd w:id="11"/>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"fn10"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[10]</w:t>
      </w:r>
      <w:r w:rsidRPr="00917F58">
        <w:rPr>
          <w:rFonts w:ascii="Times New Roman" w:eastAsia="inter" w:hAnsi="Times New Roman" w:cs="Times New Roman"/>
          <w:sz w:val="22"/>
          <w:u w:val="single"/>
          <w:vertAlign w:val="superscript"/>
        </w:rPr>
        <w:fldChar w:fldCharType="end"/>
      </w:r>
      <w:bookmarkStart w:id="12" w:name="fnref11"/>
      <w:bookmarkEnd w:id="12"/>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"fn11"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[11]</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w:t>
      </w:r>
    </w:p>
    <w:p w14:paraId="464AFB0A"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 xml:space="preserve">The </w:t>
      </w:r>
      <w:proofErr w:type="spellStart"/>
      <w:r w:rsidRPr="00917F58">
        <w:rPr>
          <w:rFonts w:ascii="Times New Roman" w:eastAsia="inter" w:hAnsi="Times New Roman" w:cs="Times New Roman"/>
          <w:color w:val="000000"/>
          <w:sz w:val="22"/>
        </w:rPr>
        <w:t>Farakka</w:t>
      </w:r>
      <w:proofErr w:type="spellEnd"/>
      <w:r w:rsidRPr="00917F58">
        <w:rPr>
          <w:rFonts w:ascii="Times New Roman" w:eastAsia="inter" w:hAnsi="Times New Roman" w:cs="Times New Roman"/>
          <w:color w:val="000000"/>
          <w:sz w:val="22"/>
        </w:rPr>
        <w:t xml:space="preserve"> Barrage exemplifies how hydraulic mission interventions create cascading social and ecological impacts. The barrage's construction disrupted traditional fishing patterns, forcing Hilsa fish populations to concentrate in the estuarine portions of the river system and affecting the livelihoods of thousands of fishing families</w:t>
      </w:r>
      <w:bookmarkStart w:id="13" w:name="fnref12"/>
      <w:bookmarkEnd w:id="13"/>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"fn12"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[12]</w:t>
      </w:r>
      <w:r w:rsidRPr="00917F58">
        <w:rPr>
          <w:rFonts w:ascii="Times New Roman" w:eastAsia="inter" w:hAnsi="Times New Roman" w:cs="Times New Roman"/>
          <w:sz w:val="22"/>
          <w:u w:val="single"/>
          <w:vertAlign w:val="superscript"/>
        </w:rPr>
        <w:fldChar w:fldCharType="end"/>
      </w:r>
      <w:bookmarkStart w:id="14" w:name="fnref11:1"/>
      <w:bookmarkEnd w:id="14"/>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"fn11"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[11]</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Research indicates that catch per unit effort for Hilsa decreased significantly, from approximately 50 kg per boat per day in the 1960s to about 1.0 kg per boat per day by 2012</w:t>
      </w:r>
      <w:bookmarkStart w:id="15" w:name="fnref11:2"/>
      <w:bookmarkEnd w:id="15"/>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"fn11"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[11]</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w:t>
      </w:r>
    </w:p>
    <w:p w14:paraId="458D88FF"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Industrial expansion accelerated throughout the post-independence period, with chemical plants, thermal power stations, and manufacturing facilities establishing operations along the Hooghly's banks. This industrial growth generated employment opportunities while simultaneously creating severe pollution problems that would later catalyze resistance movements</w:t>
      </w:r>
      <w:bookmarkStart w:id="16" w:name="fnref13"/>
      <w:bookmarkEnd w:id="16"/>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"fn13"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[13]</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w:t>
      </w:r>
    </w:p>
    <w:p w14:paraId="61CD7AB9"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Contemporary Environmental Challenges and Degradation</w:t>
      </w:r>
    </w:p>
    <w:p w14:paraId="22E9EE1D"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Pollution Profile and Ecological Impact</w:t>
      </w:r>
    </w:p>
    <w:p w14:paraId="03609F63"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The Hooghly River today faces multiple pollution pressures that have rendered it one of India's most contaminated water bodies. Recent scientific studies reveal alarming levels of industrial contaminants, sewage discharge, and emerging pollutants that threaten both ecosystem health and human welfare</w:t>
      </w:r>
      <w:bookmarkStart w:id="17" w:name="fnref14"/>
      <w:bookmarkEnd w:id="17"/>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"fn14"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[14]</w:t>
      </w:r>
      <w:r w:rsidRPr="00917F58">
        <w:rPr>
          <w:rFonts w:ascii="Times New Roman" w:eastAsia="inter" w:hAnsi="Times New Roman" w:cs="Times New Roman"/>
          <w:sz w:val="22"/>
          <w:u w:val="single"/>
          <w:vertAlign w:val="superscript"/>
        </w:rPr>
        <w:fldChar w:fldCharType="end"/>
      </w:r>
      <w:bookmarkStart w:id="18" w:name="fnref15"/>
      <w:bookmarkEnd w:id="18"/>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"fn15"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[15]</w:t>
      </w:r>
      <w:r w:rsidRPr="00917F58">
        <w:rPr>
          <w:rFonts w:ascii="Times New Roman" w:eastAsia="inter" w:hAnsi="Times New Roman" w:cs="Times New Roman"/>
          <w:sz w:val="22"/>
          <w:u w:val="single"/>
          <w:vertAlign w:val="superscript"/>
        </w:rPr>
        <w:fldChar w:fldCharType="end"/>
      </w:r>
      <w:bookmarkStart w:id="19" w:name="fnref16"/>
      <w:bookmarkEnd w:id="19"/>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"fn16"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[16]</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w:t>
      </w:r>
    </w:p>
    <w:p w14:paraId="2CCF4C11" w14:textId="239B27A3"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4"/>
          <w:szCs w:val="24"/>
        </w:rPr>
        <w:t>Chemical and Industrial Pollution</w:t>
      </w:r>
      <w:r w:rsidRPr="00917F58">
        <w:rPr>
          <w:rFonts w:ascii="Times New Roman" w:eastAsia="inter" w:hAnsi="Times New Roman" w:cs="Times New Roman"/>
          <w:color w:val="000000"/>
          <w:sz w:val="24"/>
          <w:szCs w:val="24"/>
        </w:rPr>
        <w:t>:</w:t>
      </w:r>
      <w:r w:rsidR="00917F58">
        <w:rPr>
          <w:rFonts w:ascii="Times New Roman" w:eastAsia="inter" w:hAnsi="Times New Roman" w:cs="Times New Roman"/>
          <w:color w:val="000000"/>
          <w:sz w:val="24"/>
          <w:szCs w:val="24"/>
        </w:rPr>
        <w:t xml:space="preserve"> </w:t>
      </w:r>
      <w:r w:rsidRPr="00917F58">
        <w:rPr>
          <w:rFonts w:ascii="Times New Roman" w:eastAsia="inter" w:hAnsi="Times New Roman" w:cs="Times New Roman"/>
          <w:color w:val="000000"/>
          <w:sz w:val="22"/>
        </w:rPr>
        <w:t>Research conducted between 2018-2021 documented unprecedented levels of polycyclic aromatic hydrocarbons (PAHs) in Hooghly River sediments, with concentrations ranging from 0-47,366 ng/g - significantly higher than comparable international study areas</w:t>
      </w:r>
      <w:bookmarkStart w:id="20" w:name="fnref16:1"/>
      <w:bookmarkEnd w:id="20"/>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"fn16"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[16]</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These carcinogenic compounds, primarily from petroleum combustion and coal burning, pose severe risks to aquatic life and human health through the food chain.</w:t>
      </w:r>
    </w:p>
    <w:p w14:paraId="27A5FD5F"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Heavy metal contamination presents another critical challenge, with studies identifying elevated concentrations of chromium, copper, arsenic, nickel, zinc, and lead in river sediments</w:t>
      </w:r>
      <w:bookmarkStart w:id="21" w:name="fnref17"/>
      <w:bookmarkEnd w:id="21"/>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"fn17"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[17]</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 contamination sources include municipal sewage, agricultural runoff, and industrial effluents that create cumulative pollution effects throughout the river system.</w:t>
      </w:r>
    </w:p>
    <w:p w14:paraId="25F5ED25"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lastRenderedPageBreak/>
        <w:t>Microplastic Contamination</w:t>
      </w:r>
      <w:r w:rsidRPr="00917F58">
        <w:rPr>
          <w:rFonts w:ascii="Times New Roman" w:eastAsia="inter" w:hAnsi="Times New Roman" w:cs="Times New Roman"/>
          <w:color w:val="000000"/>
          <w:sz w:val="22"/>
        </w:rPr>
        <w:t>: Emerging research has identified widespread microplastic pollution affecting fish populations in the Hooghly River</w:t>
      </w:r>
      <w:bookmarkStart w:id="22" w:name="fnref18"/>
      <w:bookmarkEnd w:id="22"/>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"fn18"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[18]</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Studies near Barrackpore documented microplastics ranging from 0.3-5mm in both fish specimens and shore sediments, with fiber and fragment-type microplastics causing significant damage to fish liver and gill tissues.</w:t>
      </w:r>
    </w:p>
    <w:p w14:paraId="669770CB"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Water Quality Degradation</w:t>
      </w:r>
      <w:r w:rsidRPr="00917F58">
        <w:rPr>
          <w:rFonts w:ascii="Times New Roman" w:eastAsia="inter" w:hAnsi="Times New Roman" w:cs="Times New Roman"/>
          <w:color w:val="000000"/>
          <w:sz w:val="22"/>
        </w:rPr>
        <w:t>: Comprehensive water quality assessments reveal severe deterioration across multiple parameters. Recent studies report Water Quality Index values ranging from 213-282, with higher pre-monsoon pollution levels, while Comprehensive Pollution Index values of 1.30-1.33 exceed acceptable limits</w:t>
      </w:r>
      <w:bookmarkStart w:id="23" w:name="fnref14:1"/>
      <w:bookmarkEnd w:id="23"/>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"fn14"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[14]</w:t>
      </w:r>
      <w:r w:rsidRPr="00917F58">
        <w:rPr>
          <w:rFonts w:ascii="Times New Roman" w:eastAsia="inter" w:hAnsi="Times New Roman" w:cs="Times New Roman"/>
          <w:sz w:val="22"/>
          <w:u w:val="single"/>
          <w:vertAlign w:val="superscript"/>
        </w:rPr>
        <w:fldChar w:fldCharType="end"/>
      </w:r>
      <w:bookmarkStart w:id="24" w:name="fnref15:1"/>
      <w:bookmarkEnd w:id="24"/>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"fn15"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[15]</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Low dissolved oxygen levels (1.9-2.4 mg/l) and elevated coliform counts (10,000-20,000 MPN) indicate severe organic pollution and public health risks.</w:t>
      </w:r>
    </w:p>
    <w:p w14:paraId="5ACEF91B" w14:textId="77777777" w:rsidR="00B12766" w:rsidRPr="00917F58" w:rsidRDefault="00000000" w:rsidP="00917F58">
      <w:pPr>
        <w:spacing w:before="315" w:after="105" w:line="360" w:lineRule="auto"/>
        <w:ind w:left="-30"/>
        <w:jc w:val="both"/>
        <w:rPr>
          <w:rFonts w:ascii="Times New Roman" w:hAnsi="Times New Roman" w:cs="Times New Roman"/>
          <w:sz w:val="22"/>
        </w:rPr>
      </w:pPr>
      <w:r w:rsidRPr="00917F58">
        <w:rPr>
          <w:rFonts w:ascii="Times New Roman" w:eastAsia="inter" w:hAnsi="Times New Roman" w:cs="Times New Roman"/>
          <w:b/>
          <w:color w:val="000000"/>
          <w:sz w:val="22"/>
        </w:rPr>
        <w:t>Biological and Ecological Impacts</w:t>
      </w:r>
    </w:p>
    <w:p w14:paraId="51376716"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The pollution crisis has generated cascading effects throughout the Hooghly's ecological system. Genetic biomonitoring studies on fish populations reveal significant genotoxic effects, with increased micronucleation and nuclear abnormalities in fish blood cells indicating DNA damage from environmental contaminants</w:t>
      </w:r>
      <w:bookmarkStart w:id="25" w:name="fnref19"/>
      <w:bookmarkEnd w:id="25"/>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"fn19"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[19]</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These findings suggest long-term threats to aquatic biodiversity and ecosystem functioning.</w:t>
      </w:r>
    </w:p>
    <w:p w14:paraId="557A8E82"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Phytoplankton studies conducted since the 1980s document changes in algal communities reflecting pollution stress, with shifts in species composition and abundance patterns correlating with chemical contamination levels</w:t>
      </w:r>
      <w:bookmarkStart w:id="26" w:name="fnref20"/>
      <w:bookmarkEnd w:id="26"/>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"fn20"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[20]</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 disruption of primary productivity affects the entire aquatic food web, undermining the ecological foundation supporting fishing communities.</w:t>
      </w:r>
    </w:p>
    <w:p w14:paraId="59B9F10F"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Climate change compounds these pollution impacts, with rising sea surface temperatures affecting species distribution and abundance patterns in the Hooghly-Matla estuary system</w:t>
      </w:r>
      <w:bookmarkStart w:id="27" w:name="fnref21"/>
      <w:bookmarkEnd w:id="27"/>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"fn21"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[21]</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 combined pressures of pollution, climate change, and habitat modification create multiple stressors that challenge ecosystem resilience and community adaptation strategies.</w:t>
      </w:r>
    </w:p>
    <w:p w14:paraId="4D61B280"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Social Movements and Collective Action</w:t>
      </w:r>
    </w:p>
    <w:p w14:paraId="3809C17A"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Fishing Communities and Livelihood-Based Resistance</w:t>
      </w:r>
    </w:p>
    <w:p w14:paraId="69502B27"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 xml:space="preserve">The most significant and sustained social mobilization around the Hooghly River has emerged from traditional fishing communities whose livelihoods depend directly on the river's ecological health. These communities, concentrated in areas such as Tribeni, </w:t>
      </w:r>
      <w:proofErr w:type="spellStart"/>
      <w:r w:rsidRPr="00917F58">
        <w:rPr>
          <w:rFonts w:ascii="Times New Roman" w:eastAsia="inter" w:hAnsi="Times New Roman" w:cs="Times New Roman"/>
          <w:color w:val="000000"/>
          <w:sz w:val="22"/>
        </w:rPr>
        <w:t>Kuntighat</w:t>
      </w:r>
      <w:proofErr w:type="spellEnd"/>
      <w:r w:rsidRPr="00917F58">
        <w:rPr>
          <w:rFonts w:ascii="Times New Roman" w:eastAsia="inter" w:hAnsi="Times New Roman" w:cs="Times New Roman"/>
          <w:color w:val="000000"/>
          <w:sz w:val="22"/>
        </w:rPr>
        <w:t xml:space="preserve">, </w:t>
      </w:r>
      <w:proofErr w:type="spellStart"/>
      <w:r w:rsidRPr="00917F58">
        <w:rPr>
          <w:rFonts w:ascii="Times New Roman" w:eastAsia="inter" w:hAnsi="Times New Roman" w:cs="Times New Roman"/>
          <w:color w:val="000000"/>
          <w:sz w:val="22"/>
        </w:rPr>
        <w:t>Godakhali</w:t>
      </w:r>
      <w:proofErr w:type="spellEnd"/>
      <w:r w:rsidRPr="00917F58">
        <w:rPr>
          <w:rFonts w:ascii="Times New Roman" w:eastAsia="inter" w:hAnsi="Times New Roman" w:cs="Times New Roman"/>
          <w:color w:val="000000"/>
          <w:sz w:val="22"/>
        </w:rPr>
        <w:t>, and throughout the South 24 Parganas district, have experienced profound socioeconomic disruption due to pollution and ecosystem degradation</w:t>
      </w:r>
      <w:bookmarkStart w:id="28" w:name="fnref22"/>
      <w:bookmarkEnd w:id="28"/>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"fn22"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[22]</w:t>
      </w:r>
      <w:r w:rsidRPr="00917F58">
        <w:rPr>
          <w:rFonts w:ascii="Times New Roman" w:eastAsia="inter" w:hAnsi="Times New Roman" w:cs="Times New Roman"/>
          <w:sz w:val="22"/>
          <w:u w:val="single"/>
          <w:vertAlign w:val="superscript"/>
        </w:rPr>
        <w:fldChar w:fldCharType="end"/>
      </w:r>
      <w:bookmarkStart w:id="29" w:name="fnref23"/>
      <w:bookmarkEnd w:id="29"/>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"fn23"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[23]</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w:t>
      </w:r>
    </w:p>
    <w:p w14:paraId="43945C19"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lastRenderedPageBreak/>
        <w:t>Economic Displacement and Adaptation</w:t>
      </w:r>
      <w:r w:rsidRPr="00917F58">
        <w:rPr>
          <w:rFonts w:ascii="Times New Roman" w:eastAsia="inter" w:hAnsi="Times New Roman" w:cs="Times New Roman"/>
          <w:color w:val="000000"/>
          <w:sz w:val="22"/>
        </w:rPr>
        <w:t>: Research among Hilsa fishers reveals that traditional fishing alone no longer provides sufficient livelihood support, with 40% of fishers in some districts engaging in non-fishery activities for survival</w:t>
      </w:r>
      <w:bookmarkStart w:id="30" w:name="fnref23:1"/>
      <w:bookmarkEnd w:id="30"/>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"fn23"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[23]</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xml:space="preserve">. The average monthly income varies dramatically between upper river stretches (₹10,000-15,000 at </w:t>
      </w:r>
      <w:proofErr w:type="spellStart"/>
      <w:r w:rsidRPr="00917F58">
        <w:rPr>
          <w:rFonts w:ascii="Times New Roman" w:eastAsia="inter" w:hAnsi="Times New Roman" w:cs="Times New Roman"/>
          <w:color w:val="000000"/>
          <w:sz w:val="22"/>
        </w:rPr>
        <w:t>Farakka</w:t>
      </w:r>
      <w:proofErr w:type="spellEnd"/>
      <w:r w:rsidRPr="00917F58">
        <w:rPr>
          <w:rFonts w:ascii="Times New Roman" w:eastAsia="inter" w:hAnsi="Times New Roman" w:cs="Times New Roman"/>
          <w:color w:val="000000"/>
          <w:sz w:val="22"/>
        </w:rPr>
        <w:t xml:space="preserve">) and lower stretches (₹25,000-30,000 at </w:t>
      </w:r>
      <w:proofErr w:type="spellStart"/>
      <w:r w:rsidRPr="00917F58">
        <w:rPr>
          <w:rFonts w:ascii="Times New Roman" w:eastAsia="inter" w:hAnsi="Times New Roman" w:cs="Times New Roman"/>
          <w:color w:val="000000"/>
          <w:sz w:val="22"/>
        </w:rPr>
        <w:t>Godakhali</w:t>
      </w:r>
      <w:proofErr w:type="spellEnd"/>
      <w:r w:rsidRPr="00917F58">
        <w:rPr>
          <w:rFonts w:ascii="Times New Roman" w:eastAsia="inter" w:hAnsi="Times New Roman" w:cs="Times New Roman"/>
          <w:color w:val="000000"/>
          <w:sz w:val="22"/>
        </w:rPr>
        <w:t>), reflecting differential pollution impacts and fish availability.</w:t>
      </w:r>
    </w:p>
    <w:p w14:paraId="2D9DF842"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 xml:space="preserve">Studies of fishermen in Tribeni and </w:t>
      </w:r>
      <w:proofErr w:type="spellStart"/>
      <w:r w:rsidRPr="00917F58">
        <w:rPr>
          <w:rFonts w:ascii="Times New Roman" w:eastAsia="inter" w:hAnsi="Times New Roman" w:cs="Times New Roman"/>
          <w:color w:val="000000"/>
          <w:sz w:val="22"/>
        </w:rPr>
        <w:t>Kuntighat</w:t>
      </w:r>
      <w:proofErr w:type="spellEnd"/>
      <w:r w:rsidRPr="00917F58">
        <w:rPr>
          <w:rFonts w:ascii="Times New Roman" w:eastAsia="inter" w:hAnsi="Times New Roman" w:cs="Times New Roman"/>
          <w:color w:val="000000"/>
          <w:sz w:val="22"/>
        </w:rPr>
        <w:t xml:space="preserve"> document a "positive correlation between discharge of industrial effluents, in turn depleting the availability of fish food organisms and fish diversity and warning socioeconomic conditions of fishermen"</w:t>
      </w:r>
      <w:bookmarkStart w:id="31" w:name="fnref22:1"/>
      <w:bookmarkEnd w:id="31"/>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"fn22"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[22]</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This degradation has forced fishing communities to develop adaptive strategies, including diversification into alternative occupations, changes in fishing locations and techniques, and collective action to address pollution sources.</w:t>
      </w:r>
    </w:p>
    <w:p w14:paraId="2049D944"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Community Knowledge and Environmental Monitoring</w:t>
      </w:r>
      <w:r w:rsidRPr="00917F58">
        <w:rPr>
          <w:rFonts w:ascii="Times New Roman" w:eastAsia="inter" w:hAnsi="Times New Roman" w:cs="Times New Roman"/>
          <w:color w:val="000000"/>
          <w:sz w:val="22"/>
        </w:rPr>
        <w:t>: Fishing communities possess detailed ecological knowledge about river conditions, fish behavior, and pollution sources accumulated over generations</w:t>
      </w:r>
      <w:bookmarkStart w:id="32" w:name="fnref24"/>
      <w:bookmarkEnd w:id="32"/>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"fn24"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[24]</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This traditional knowledge provides crucial insights for understanding environmental changes and serves as a foundation for community-based monitoring and advocacy efforts. The integration of indigenous knowledge with scientific research offers pathways for more effective environmental management and community empowerment.</w:t>
      </w:r>
    </w:p>
    <w:p w14:paraId="4C20BEA6"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Cultural and Spiritual Dimensions</w:t>
      </w:r>
      <w:r w:rsidRPr="00917F58">
        <w:rPr>
          <w:rFonts w:ascii="Times New Roman" w:eastAsia="inter" w:hAnsi="Times New Roman" w:cs="Times New Roman"/>
          <w:color w:val="000000"/>
          <w:sz w:val="22"/>
        </w:rPr>
        <w:t xml:space="preserve">: The relationship between fishing communities and the Hooghly extends beyond economic considerations to encompass cultural and spiritual dimensions reflected in traditional music, particularly </w:t>
      </w:r>
      <w:proofErr w:type="spellStart"/>
      <w:r w:rsidRPr="00917F58">
        <w:rPr>
          <w:rFonts w:ascii="Times New Roman" w:eastAsia="inter" w:hAnsi="Times New Roman" w:cs="Times New Roman"/>
          <w:color w:val="000000"/>
          <w:sz w:val="22"/>
        </w:rPr>
        <w:t>Bhatiali</w:t>
      </w:r>
      <w:proofErr w:type="spellEnd"/>
      <w:r w:rsidRPr="00917F58">
        <w:rPr>
          <w:rFonts w:ascii="Times New Roman" w:eastAsia="inter" w:hAnsi="Times New Roman" w:cs="Times New Roman"/>
          <w:color w:val="000000"/>
          <w:sz w:val="22"/>
        </w:rPr>
        <w:t xml:space="preserve"> and Sari songs performed by boatmen and fishers</w:t>
      </w:r>
      <w:bookmarkStart w:id="33" w:name="fnref24:1"/>
      <w:bookmarkEnd w:id="33"/>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"fn24"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[24]</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These musical traditions encode ecological knowledge, seasonal patterns, and community values related to riverine life, serving as vehicles for cultural transmission and collective identity formation.</w:t>
      </w:r>
    </w:p>
    <w:p w14:paraId="1F3EC1F2"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Environmental Activism and Civil Society Mobilization</w:t>
      </w:r>
    </w:p>
    <w:p w14:paraId="45A31A02"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 xml:space="preserve">While large-scale environmental movements comparable to the Narmada </w:t>
      </w:r>
      <w:proofErr w:type="spellStart"/>
      <w:r w:rsidRPr="00917F58">
        <w:rPr>
          <w:rFonts w:ascii="Times New Roman" w:eastAsia="inter" w:hAnsi="Times New Roman" w:cs="Times New Roman"/>
          <w:color w:val="000000"/>
          <w:sz w:val="22"/>
        </w:rPr>
        <w:t>Bachao</w:t>
      </w:r>
      <w:proofErr w:type="spellEnd"/>
      <w:r w:rsidRPr="00917F58">
        <w:rPr>
          <w:rFonts w:ascii="Times New Roman" w:eastAsia="inter" w:hAnsi="Times New Roman" w:cs="Times New Roman"/>
          <w:color w:val="000000"/>
          <w:sz w:val="22"/>
        </w:rPr>
        <w:t xml:space="preserve"> </w:t>
      </w:r>
      <w:proofErr w:type="spellStart"/>
      <w:r w:rsidRPr="00917F58">
        <w:rPr>
          <w:rFonts w:ascii="Times New Roman" w:eastAsia="inter" w:hAnsi="Times New Roman" w:cs="Times New Roman"/>
          <w:color w:val="000000"/>
          <w:sz w:val="22"/>
        </w:rPr>
        <w:t>Andolan</w:t>
      </w:r>
      <w:proofErr w:type="spellEnd"/>
      <w:r w:rsidRPr="00917F58">
        <w:rPr>
          <w:rFonts w:ascii="Times New Roman" w:eastAsia="inter" w:hAnsi="Times New Roman" w:cs="Times New Roman"/>
          <w:color w:val="000000"/>
          <w:sz w:val="22"/>
        </w:rPr>
        <w:t xml:space="preserve"> have not emerged specifically around the Hooghly River, various forms of environmental activism and civil society mobilization have developed in response to the river's degradation</w:t>
      </w:r>
      <w:bookmarkStart w:id="34" w:name="fnref4:1"/>
      <w:bookmarkEnd w:id="34"/>
      <w:r w:rsidRPr="00917F58">
        <w:rPr>
          <w:rFonts w:ascii="Times New Roman" w:hAnsi="Times New Roman" w:cs="Times New Roman"/>
          <w:sz w:val="22"/>
        </w:rPr>
        <w:fldChar w:fldCharType="begin"/>
      </w:r>
      <w:r w:rsidRPr="00917F58">
        <w:rPr>
          <w:rFonts w:ascii="Times New Roman" w:hAnsi="Times New Roman" w:cs="Times New Roman"/>
          <w:sz w:val="22"/>
        </w:rPr>
        <w:instrText>HYPERLINK \l "fn4"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[4]</w:t>
      </w:r>
      <w:r w:rsidRPr="00917F58">
        <w:rPr>
          <w:rFonts w:ascii="Times New Roman" w:eastAsia="inter" w:hAnsi="Times New Roman" w:cs="Times New Roman"/>
          <w:sz w:val="22"/>
          <w:u w:val="single"/>
          <w:vertAlign w:val="superscript"/>
        </w:rPr>
        <w:fldChar w:fldCharType="end"/>
      </w:r>
      <w:bookmarkStart w:id="35" w:name="fnref5:1"/>
      <w:bookmarkEnd w:id="35"/>
      <w:r w:rsidRPr="00917F58">
        <w:rPr>
          <w:rFonts w:ascii="Times New Roman" w:hAnsi="Times New Roman" w:cs="Times New Roman"/>
          <w:sz w:val="22"/>
        </w:rPr>
        <w:fldChar w:fldCharType="begin"/>
      </w:r>
      <w:r w:rsidRPr="00917F58">
        <w:rPr>
          <w:rFonts w:ascii="Times New Roman" w:hAnsi="Times New Roman" w:cs="Times New Roman"/>
          <w:sz w:val="22"/>
        </w:rPr>
        <w:instrText>HYPERLINK \l "fn5"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[5]</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These efforts reflect broader patterns of environmental activism in West Bengal and demonstrate how local communities and organizations can challenge dominant development paradigms.</w:t>
      </w:r>
    </w:p>
    <w:p w14:paraId="1D29A84E"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Scientific Advocacy and Research-Based Activism</w:t>
      </w:r>
      <w:r w:rsidRPr="00917F58">
        <w:rPr>
          <w:rFonts w:ascii="Times New Roman" w:eastAsia="inter" w:hAnsi="Times New Roman" w:cs="Times New Roman"/>
          <w:color w:val="000000"/>
          <w:sz w:val="22"/>
        </w:rPr>
        <w:t>: Environmental organizations and research institutions have played crucial roles in documenting pollution levels, ecological impacts, and public health risks associated with Hooghly River degradation</w:t>
      </w:r>
      <w:bookmarkStart w:id="36" w:name="fnref14:2"/>
      <w:bookmarkEnd w:id="36"/>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"fn14"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[14]</w:t>
      </w:r>
      <w:r w:rsidRPr="00917F58">
        <w:rPr>
          <w:rFonts w:ascii="Times New Roman" w:eastAsia="inter" w:hAnsi="Times New Roman" w:cs="Times New Roman"/>
          <w:sz w:val="22"/>
          <w:u w:val="single"/>
          <w:vertAlign w:val="superscript"/>
        </w:rPr>
        <w:fldChar w:fldCharType="end"/>
      </w:r>
      <w:bookmarkStart w:id="37" w:name="fnref15:2"/>
      <w:bookmarkEnd w:id="37"/>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"fn15"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[15]</w:t>
      </w:r>
      <w:r w:rsidRPr="00917F58">
        <w:rPr>
          <w:rFonts w:ascii="Times New Roman" w:eastAsia="inter" w:hAnsi="Times New Roman" w:cs="Times New Roman"/>
          <w:sz w:val="22"/>
          <w:u w:val="single"/>
          <w:vertAlign w:val="superscript"/>
        </w:rPr>
        <w:fldChar w:fldCharType="end"/>
      </w:r>
      <w:bookmarkStart w:id="38" w:name="fnref16:2"/>
      <w:bookmarkEnd w:id="38"/>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"fn16"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[16]</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This scientific advocacy creates evidence bases for policy interventions and legal challenges while raising public awareness about environmental issues.</w:t>
      </w:r>
    </w:p>
    <w:p w14:paraId="622A6930"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lastRenderedPageBreak/>
        <w:t>The documentation of severe pollution levels and ecosystem degradation through peer-reviewed research serves multiple functions: providing scientific legitimacy for community concerns, creating pressure for regulatory enforcement, and building cases for legal intervention. Research findings showing carcinogenic contamination, ecosystem disruption, and public health risks provide powerful tools for advocacy organizations seeking policy changes</w:t>
      </w:r>
      <w:bookmarkStart w:id="39" w:name="fnref16:3"/>
      <w:bookmarkEnd w:id="39"/>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"fn16"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[16]</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w:t>
      </w:r>
    </w:p>
    <w:p w14:paraId="101240C4"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Legal and Regulatory Challenges</w:t>
      </w:r>
      <w:r w:rsidRPr="00917F58">
        <w:rPr>
          <w:rFonts w:ascii="Times New Roman" w:eastAsia="inter" w:hAnsi="Times New Roman" w:cs="Times New Roman"/>
          <w:color w:val="000000"/>
          <w:sz w:val="22"/>
        </w:rPr>
        <w:t>: Civil society organizations have pursued legal strategies to address pollution sources and enforce environmental regulations, though comprehensive documentation of these efforts requires further research. The Indian legal system provides various mechanisms for environmental protection, including public interest litigation and National Green Tribunal proceedings, that can be mobilized by affected communities and advocacy organizations.</w:t>
      </w:r>
    </w:p>
    <w:p w14:paraId="274B4904"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Community-Based Monitoring and Awareness</w:t>
      </w:r>
      <w:r w:rsidRPr="00917F58">
        <w:rPr>
          <w:rFonts w:ascii="Times New Roman" w:eastAsia="inter" w:hAnsi="Times New Roman" w:cs="Times New Roman"/>
          <w:color w:val="000000"/>
          <w:sz w:val="22"/>
        </w:rPr>
        <w:t>: Local organizations have developed community-based monitoring programs that combine scientific methods with traditional knowledge to track environmental conditions and pollution sources. These initiatives build local capacity for environmental advocacy while creating participatory mechanisms for community engagement in environmental protection.</w:t>
      </w:r>
    </w:p>
    <w:p w14:paraId="0E3CDF92" w14:textId="77777777" w:rsidR="00B12766" w:rsidRPr="00917F58" w:rsidRDefault="00000000" w:rsidP="00917F58">
      <w:pPr>
        <w:spacing w:before="315" w:after="105" w:line="360" w:lineRule="auto"/>
        <w:ind w:left="-30"/>
        <w:jc w:val="both"/>
        <w:rPr>
          <w:rFonts w:ascii="Times New Roman" w:hAnsi="Times New Roman" w:cs="Times New Roman"/>
          <w:sz w:val="22"/>
        </w:rPr>
      </w:pPr>
      <w:r w:rsidRPr="00917F58">
        <w:rPr>
          <w:rFonts w:ascii="Times New Roman" w:eastAsia="inter" w:hAnsi="Times New Roman" w:cs="Times New Roman"/>
          <w:b/>
          <w:color w:val="000000"/>
          <w:sz w:val="22"/>
        </w:rPr>
        <w:t>Resistance to Infrastructure Development</w:t>
      </w:r>
    </w:p>
    <w:p w14:paraId="50599198"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The Hooghly River has also been a site of resistance to large-scale infrastructure projects that threaten riverine ecosystems and community livelihoods. While comprehensive documentation of these movements requires additional research, the broader pattern of infrastructure resistance in India provides context for understanding local struggles around the Hooghly</w:t>
      </w:r>
      <w:bookmarkStart w:id="40" w:name="fnref4:2"/>
      <w:bookmarkEnd w:id="40"/>
      <w:r w:rsidRPr="00917F58">
        <w:rPr>
          <w:rFonts w:ascii="Times New Roman" w:hAnsi="Times New Roman" w:cs="Times New Roman"/>
          <w:sz w:val="22"/>
        </w:rPr>
        <w:fldChar w:fldCharType="begin"/>
      </w:r>
      <w:r w:rsidRPr="00917F58">
        <w:rPr>
          <w:rFonts w:ascii="Times New Roman" w:hAnsi="Times New Roman" w:cs="Times New Roman"/>
          <w:sz w:val="22"/>
        </w:rPr>
        <w:instrText>HYPERLINK \l "fn4"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[4]</w:t>
      </w:r>
      <w:r w:rsidRPr="00917F58">
        <w:rPr>
          <w:rFonts w:ascii="Times New Roman" w:eastAsia="inter" w:hAnsi="Times New Roman" w:cs="Times New Roman"/>
          <w:sz w:val="22"/>
          <w:u w:val="single"/>
          <w:vertAlign w:val="superscript"/>
        </w:rPr>
        <w:fldChar w:fldCharType="end"/>
      </w:r>
      <w:bookmarkStart w:id="41" w:name="fnref5:2"/>
      <w:bookmarkEnd w:id="41"/>
      <w:r w:rsidRPr="00917F58">
        <w:rPr>
          <w:rFonts w:ascii="Times New Roman" w:hAnsi="Times New Roman" w:cs="Times New Roman"/>
          <w:sz w:val="22"/>
        </w:rPr>
        <w:fldChar w:fldCharType="begin"/>
      </w:r>
      <w:r w:rsidRPr="00917F58">
        <w:rPr>
          <w:rFonts w:ascii="Times New Roman" w:hAnsi="Times New Roman" w:cs="Times New Roman"/>
          <w:sz w:val="22"/>
        </w:rPr>
        <w:instrText>HYPERLINK \l "fn5"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[5]</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w:t>
      </w:r>
    </w:p>
    <w:p w14:paraId="17335ED8" w14:textId="77777777" w:rsidR="00B12766" w:rsidRPr="00917F58" w:rsidRDefault="00000000" w:rsidP="00917F58">
      <w:pPr>
        <w:spacing w:after="210" w:line="360" w:lineRule="auto"/>
        <w:jc w:val="both"/>
        <w:rPr>
          <w:rFonts w:ascii="Times New Roman" w:hAnsi="Times New Roman" w:cs="Times New Roman"/>
          <w:sz w:val="22"/>
        </w:rPr>
      </w:pPr>
      <w:proofErr w:type="spellStart"/>
      <w:r w:rsidRPr="00917F58">
        <w:rPr>
          <w:rFonts w:ascii="Times New Roman" w:eastAsia="inter" w:hAnsi="Times New Roman" w:cs="Times New Roman"/>
          <w:b/>
          <w:color w:val="000000"/>
          <w:sz w:val="22"/>
        </w:rPr>
        <w:t>Farakka</w:t>
      </w:r>
      <w:proofErr w:type="spellEnd"/>
      <w:r w:rsidRPr="00917F58">
        <w:rPr>
          <w:rFonts w:ascii="Times New Roman" w:eastAsia="inter" w:hAnsi="Times New Roman" w:cs="Times New Roman"/>
          <w:b/>
          <w:color w:val="000000"/>
          <w:sz w:val="22"/>
        </w:rPr>
        <w:t xml:space="preserve"> Barrage Opposition</w:t>
      </w:r>
      <w:r w:rsidRPr="00917F58">
        <w:rPr>
          <w:rFonts w:ascii="Times New Roman" w:eastAsia="inter" w:hAnsi="Times New Roman" w:cs="Times New Roman"/>
          <w:color w:val="000000"/>
          <w:sz w:val="22"/>
        </w:rPr>
        <w:t xml:space="preserve">: The construction of the </w:t>
      </w:r>
      <w:proofErr w:type="spellStart"/>
      <w:r w:rsidRPr="00917F58">
        <w:rPr>
          <w:rFonts w:ascii="Times New Roman" w:eastAsia="inter" w:hAnsi="Times New Roman" w:cs="Times New Roman"/>
          <w:color w:val="000000"/>
          <w:sz w:val="22"/>
        </w:rPr>
        <w:t>Farakka</w:t>
      </w:r>
      <w:proofErr w:type="spellEnd"/>
      <w:r w:rsidRPr="00917F58">
        <w:rPr>
          <w:rFonts w:ascii="Times New Roman" w:eastAsia="inter" w:hAnsi="Times New Roman" w:cs="Times New Roman"/>
          <w:color w:val="000000"/>
          <w:sz w:val="22"/>
        </w:rPr>
        <w:t xml:space="preserve"> Barrage generated resistance from fishing communities and environmental groups concerned about its impacts on fish migration, water flow, and downstream ecosystems</w:t>
      </w:r>
      <w:bookmarkStart w:id="42" w:name="fnref10:1"/>
      <w:bookmarkEnd w:id="42"/>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"fn10"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[10]</w:t>
      </w:r>
      <w:r w:rsidRPr="00917F58">
        <w:rPr>
          <w:rFonts w:ascii="Times New Roman" w:eastAsia="inter" w:hAnsi="Times New Roman" w:cs="Times New Roman"/>
          <w:sz w:val="22"/>
          <w:u w:val="single"/>
          <w:vertAlign w:val="superscript"/>
        </w:rPr>
        <w:fldChar w:fldCharType="end"/>
      </w:r>
      <w:bookmarkStart w:id="43" w:name="fnref11:3"/>
      <w:bookmarkEnd w:id="43"/>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"fn11"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[11]</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This opposition reflected broader critiques of large dam projects and hydraulic mission approaches to river management that prioritize engineering solutions over ecological and social considerations.</w:t>
      </w:r>
    </w:p>
    <w:p w14:paraId="28CA4A27"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Industrial Development Conflicts</w:t>
      </w:r>
      <w:r w:rsidRPr="00917F58">
        <w:rPr>
          <w:rFonts w:ascii="Times New Roman" w:eastAsia="inter" w:hAnsi="Times New Roman" w:cs="Times New Roman"/>
          <w:color w:val="000000"/>
          <w:sz w:val="22"/>
        </w:rPr>
        <w:t>: The ongoing expansion of industrial facilities along the Hooghly's banks continues to generate conflicts with local communities concerned about pollution, displacement, and livelihood impacts. These conflicts often involve complex negotiations between development agencies, industrial interests, and affected communities that reflect broader tensions between economic growth and environmental protection.</w:t>
      </w:r>
    </w:p>
    <w:p w14:paraId="738B9128"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Normative Frameworks and River Imaginaries</w:t>
      </w:r>
    </w:p>
    <w:p w14:paraId="4C4CA750"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lastRenderedPageBreak/>
        <w:t>Traditional and Indigenous Conceptualizations</w:t>
      </w:r>
    </w:p>
    <w:p w14:paraId="33BB849A"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Fishing communities and other riverine populations around the Hooghly maintain traditional conceptualizations of the river that emphasize its role as a living entity providing sustenance, cultural identity, and spiritual meaning</w:t>
      </w:r>
      <w:bookmarkStart w:id="44" w:name="fnref24:2"/>
      <w:bookmarkEnd w:id="44"/>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"fn24"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[24]</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These indigenous frameworks contrast sharply with the hydraulic mission paradigm's instrumental approach to water resources.</w:t>
      </w:r>
    </w:p>
    <w:p w14:paraId="3BDAC7EF"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Traditional knowledge systems recognize the river as an integrated ecosystem encompassing water, fish, riparian vegetation, seasonal flood patterns, and human settlements</w:t>
      </w:r>
      <w:bookmarkStart w:id="45" w:name="fnref23:2"/>
      <w:bookmarkEnd w:id="45"/>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"fn23"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[23]</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This holistic understanding informs community management practices, seasonal fishing patterns, and cultural practices that maintain ecological relationships across generations.</w:t>
      </w:r>
    </w:p>
    <w:p w14:paraId="5334FA4F"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Spiritual and Cultural Significance</w:t>
      </w:r>
      <w:r w:rsidRPr="00917F58">
        <w:rPr>
          <w:rFonts w:ascii="Times New Roman" w:eastAsia="inter" w:hAnsi="Times New Roman" w:cs="Times New Roman"/>
          <w:color w:val="000000"/>
          <w:sz w:val="22"/>
        </w:rPr>
        <w:t>: The Hooghly holds deep spiritual significance within Bengali Hindu traditions, serving as a sacred waterway connected to the Ganges and supporting numerous religious practices and festivals</w:t>
      </w:r>
      <w:bookmarkStart w:id="46" w:name="fnref24:3"/>
      <w:bookmarkEnd w:id="46"/>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"fn24"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[24]</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 river's banks host important temples, ghats (religious bathing steps), and pilgrimage sites that maintain spiritual connections between communities and the river.</w:t>
      </w:r>
    </w:p>
    <w:p w14:paraId="3273846A"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Cultural practices including traditional music, folklore, and seasonal celebrations encode ecological knowledge and maintain community connections to riverine cycles</w:t>
      </w:r>
      <w:bookmarkStart w:id="47" w:name="fnref24:4"/>
      <w:bookmarkEnd w:id="47"/>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"fn24"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[24]</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These cultural dimensions provide motivation for environmental protection while offering alternative frameworks for understanding human-river relationships.</w:t>
      </w:r>
    </w:p>
    <w:p w14:paraId="14AB9693"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Environmental Justice and Rights-Based Frameworks</w:t>
      </w:r>
    </w:p>
    <w:p w14:paraId="15BC447F"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Contemporary environmental activism around the Hooghly increasingly draws on environmental justice and rights-based frameworks that emphasize community rights to clean water, healthy environments, and traditional livelihoods</w:t>
      </w:r>
      <w:bookmarkStart w:id="48" w:name="fnref25"/>
      <w:bookmarkEnd w:id="48"/>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"fn25"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[25]</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These frameworks challenge the hydraulic mission paradigm by asserting community interests and ecological values against purely economic development priorities.</w:t>
      </w:r>
    </w:p>
    <w:p w14:paraId="729C6D5D"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The concept of environmental justice provides analytical tools for understanding how pollution impacts are distributed unequally across different social groups, with fishing communities and other marginalized populations bearing disproportionate environmental burdens</w:t>
      </w:r>
      <w:bookmarkStart w:id="49" w:name="fnref25:1"/>
      <w:bookmarkEnd w:id="49"/>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"fn25"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[25]</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This analysis supports advocacy for pollution reduction, remediation efforts, and community participation in environmental decision-making.</w:t>
      </w:r>
    </w:p>
    <w:p w14:paraId="761C6F95"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River Rights and Legal Recognition</w:t>
      </w:r>
      <w:r w:rsidRPr="00917F58">
        <w:rPr>
          <w:rFonts w:ascii="Times New Roman" w:eastAsia="inter" w:hAnsi="Times New Roman" w:cs="Times New Roman"/>
          <w:color w:val="000000"/>
          <w:sz w:val="22"/>
        </w:rPr>
        <w:t>: Emerging global movements for river rights and legal personhood for natural entities provide models that could be applied to the Hooghly River context</w:t>
      </w:r>
      <w:bookmarkStart w:id="50" w:name="fnref26"/>
      <w:bookmarkEnd w:id="50"/>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"fn26"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[26]</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These approaches recognize rivers as living entities with inherent rights to flow, maintain ecological integrity, and support biodiversity, offering alternatives to purely instrumental approaches to water management.</w:t>
      </w:r>
    </w:p>
    <w:p w14:paraId="3BF1AF6D"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lastRenderedPageBreak/>
        <w:t>Movement Dynamics and Organizational Forms</w:t>
      </w:r>
    </w:p>
    <w:p w14:paraId="41E3ABA9"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Horizontal Networks and Coalition Building</w:t>
      </w:r>
    </w:p>
    <w:p w14:paraId="563D3BAC"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Social movements around the Hooghly River demonstrate characteristics of horizontal networking and coalition building that connect local struggles with broader environmental and social justice movements</w:t>
      </w:r>
      <w:bookmarkStart w:id="51" w:name="fnref27"/>
      <w:bookmarkEnd w:id="51"/>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"fn27"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[27]</w:t>
      </w:r>
      <w:r w:rsidRPr="00917F58">
        <w:rPr>
          <w:rFonts w:ascii="Times New Roman" w:eastAsia="inter" w:hAnsi="Times New Roman" w:cs="Times New Roman"/>
          <w:sz w:val="22"/>
          <w:u w:val="single"/>
          <w:vertAlign w:val="superscript"/>
        </w:rPr>
        <w:fldChar w:fldCharType="end"/>
      </w:r>
      <w:bookmarkStart w:id="52" w:name="fnref25:2"/>
      <w:bookmarkEnd w:id="52"/>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"fn25"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[25]</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These horizontal dynamics reflect patterns observed in contemporary environmental activism where local groups connect across scales and issues to build collective power.</w:t>
      </w:r>
    </w:p>
    <w:p w14:paraId="0627280E"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Fishing communities, environmental organizations, research institutions, and advocacy groups form loose networks that share information, coordinate activities, and support each other's efforts. These networks operate through informal relationships, shared participation in research projects, and collaborative advocacy efforts that build collective capacity for environmental protection.</w:t>
      </w:r>
    </w:p>
    <w:p w14:paraId="27384A26"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Transnational Connections</w:t>
      </w:r>
      <w:r w:rsidRPr="00917F58">
        <w:rPr>
          <w:rFonts w:ascii="Times New Roman" w:eastAsia="inter" w:hAnsi="Times New Roman" w:cs="Times New Roman"/>
          <w:color w:val="000000"/>
          <w:sz w:val="22"/>
        </w:rPr>
        <w:t>: Environmental activism around rivers increasingly connects local struggles with transnational networks of environmental organizations, research institutions, and policy advocates</w:t>
      </w:r>
      <w:bookmarkStart w:id="53" w:name="fnref27:1"/>
      <w:bookmarkEnd w:id="53"/>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"fn27"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[27]</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These connections provide access to resources, expertise, and political support while linking local issues to global environmental justice movements.</w:t>
      </w:r>
    </w:p>
    <w:p w14:paraId="35815BF6"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Challenges and Limitations</w:t>
      </w:r>
    </w:p>
    <w:p w14:paraId="3EB1C322"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 xml:space="preserve">Social movements around the Hooghly River face significant challenges that limit their effectiveness and scope compared to more prominent environmental movements like the Narmada </w:t>
      </w:r>
      <w:proofErr w:type="spellStart"/>
      <w:r w:rsidRPr="00917F58">
        <w:rPr>
          <w:rFonts w:ascii="Times New Roman" w:eastAsia="inter" w:hAnsi="Times New Roman" w:cs="Times New Roman"/>
          <w:color w:val="000000"/>
          <w:sz w:val="22"/>
        </w:rPr>
        <w:t>Bachao</w:t>
      </w:r>
      <w:proofErr w:type="spellEnd"/>
      <w:r w:rsidRPr="00917F58">
        <w:rPr>
          <w:rFonts w:ascii="Times New Roman" w:eastAsia="inter" w:hAnsi="Times New Roman" w:cs="Times New Roman"/>
          <w:color w:val="000000"/>
          <w:sz w:val="22"/>
        </w:rPr>
        <w:t xml:space="preserve"> </w:t>
      </w:r>
      <w:proofErr w:type="spellStart"/>
      <w:r w:rsidRPr="00917F58">
        <w:rPr>
          <w:rFonts w:ascii="Times New Roman" w:eastAsia="inter" w:hAnsi="Times New Roman" w:cs="Times New Roman"/>
          <w:color w:val="000000"/>
          <w:sz w:val="22"/>
        </w:rPr>
        <w:t>Andolan</w:t>
      </w:r>
      <w:bookmarkStart w:id="54" w:name="fnref4:3"/>
      <w:bookmarkEnd w:id="54"/>
      <w:proofErr w:type="spellEnd"/>
      <w:r w:rsidRPr="00917F58">
        <w:rPr>
          <w:rFonts w:ascii="Times New Roman" w:hAnsi="Times New Roman" w:cs="Times New Roman"/>
          <w:sz w:val="22"/>
        </w:rPr>
        <w:fldChar w:fldCharType="begin"/>
      </w:r>
      <w:r w:rsidRPr="00917F58">
        <w:rPr>
          <w:rFonts w:ascii="Times New Roman" w:hAnsi="Times New Roman" w:cs="Times New Roman"/>
          <w:sz w:val="22"/>
        </w:rPr>
        <w:instrText>HYPERLINK \l "fn4"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[4]</w:t>
      </w:r>
      <w:r w:rsidRPr="00917F58">
        <w:rPr>
          <w:rFonts w:ascii="Times New Roman" w:eastAsia="inter" w:hAnsi="Times New Roman" w:cs="Times New Roman"/>
          <w:sz w:val="22"/>
          <w:u w:val="single"/>
          <w:vertAlign w:val="superscript"/>
        </w:rPr>
        <w:fldChar w:fldCharType="end"/>
      </w:r>
      <w:bookmarkStart w:id="55" w:name="fnref5:3"/>
      <w:bookmarkEnd w:id="55"/>
      <w:r w:rsidRPr="00917F58">
        <w:rPr>
          <w:rFonts w:ascii="Times New Roman" w:hAnsi="Times New Roman" w:cs="Times New Roman"/>
          <w:sz w:val="22"/>
        </w:rPr>
        <w:fldChar w:fldCharType="begin"/>
      </w:r>
      <w:r w:rsidRPr="00917F58">
        <w:rPr>
          <w:rFonts w:ascii="Times New Roman" w:hAnsi="Times New Roman" w:cs="Times New Roman"/>
          <w:sz w:val="22"/>
        </w:rPr>
        <w:instrText>HYPERLINK \l "fn5"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[5]</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Understanding these limitations provides insights into the factors that constrain environmental mobilization and the conditions necessary for successful movement building.</w:t>
      </w:r>
    </w:p>
    <w:p w14:paraId="4497D63A"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Fragmentation and Coordination Challenges</w:t>
      </w:r>
      <w:r w:rsidRPr="00917F58">
        <w:rPr>
          <w:rFonts w:ascii="Times New Roman" w:eastAsia="inter" w:hAnsi="Times New Roman" w:cs="Times New Roman"/>
          <w:color w:val="000000"/>
          <w:sz w:val="22"/>
        </w:rPr>
        <w:t>: The diverse array of pollution sources, affected communities, and potential solutions creates coordination challenges for movement building around the Hooghly River. Unlike single-issue movements focused on large dam projects, river pollution involves multiple actors, scales, and intervention points that complicate collective action.</w:t>
      </w:r>
    </w:p>
    <w:p w14:paraId="100257F9"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Economic Dependence and Vulnerability</w:t>
      </w:r>
      <w:r w:rsidRPr="00917F58">
        <w:rPr>
          <w:rFonts w:ascii="Times New Roman" w:eastAsia="inter" w:hAnsi="Times New Roman" w:cs="Times New Roman"/>
          <w:color w:val="000000"/>
          <w:sz w:val="22"/>
        </w:rPr>
        <w:t>: Fishing communities and other riverine populations face economic pressures that limit their capacity for sustained political mobilization</w:t>
      </w:r>
      <w:bookmarkStart w:id="56" w:name="fnref23:3"/>
      <w:bookmarkEnd w:id="56"/>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"fn23"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[23]</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 need for immediate income generation often conflicts with longer-term environmental advocacy, particularly when pollution sources also provide employment opportunities.</w:t>
      </w:r>
    </w:p>
    <w:p w14:paraId="44F5AA52"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Regulatory Capture and Political Constraints</w:t>
      </w:r>
      <w:r w:rsidRPr="00917F58">
        <w:rPr>
          <w:rFonts w:ascii="Times New Roman" w:eastAsia="inter" w:hAnsi="Times New Roman" w:cs="Times New Roman"/>
          <w:color w:val="000000"/>
          <w:sz w:val="22"/>
        </w:rPr>
        <w:t xml:space="preserve">: The complex regulatory environment governing water pollution and industrial development creates opportunities for regulatory capture by powerful industrial </w:t>
      </w:r>
      <w:r w:rsidRPr="00917F58">
        <w:rPr>
          <w:rFonts w:ascii="Times New Roman" w:eastAsia="inter" w:hAnsi="Times New Roman" w:cs="Times New Roman"/>
          <w:color w:val="000000"/>
          <w:sz w:val="22"/>
        </w:rPr>
        <w:lastRenderedPageBreak/>
        <w:t>interests. Weak enforcement of environmental regulations and limited accountability mechanisms constrain the effectiveness of legal and policy-based advocacy strategies.</w:t>
      </w:r>
    </w:p>
    <w:p w14:paraId="1F93F4D7"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Contemporary Status and Emerging Responses</w:t>
      </w:r>
    </w:p>
    <w:p w14:paraId="0A24A8E9"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Current Movement Activities</w:t>
      </w:r>
    </w:p>
    <w:p w14:paraId="3B70AD17"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Contemporary social mobilization around the Hooghly River encompasses diverse activities and organizational forms that reflect evolving environmental challenges and advocacy strategies. While comprehensive mapping of current activities requires additional research, several key trends can be identified.</w:t>
      </w:r>
    </w:p>
    <w:p w14:paraId="6CAD18E7"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Scientific Research and Documentation</w:t>
      </w:r>
      <w:r w:rsidRPr="00917F58">
        <w:rPr>
          <w:rFonts w:ascii="Times New Roman" w:eastAsia="inter" w:hAnsi="Times New Roman" w:cs="Times New Roman"/>
          <w:color w:val="000000"/>
          <w:sz w:val="22"/>
        </w:rPr>
        <w:t>: Ongoing research by academic institutions, environmental organizations, and government agencies continues to document pollution levels, ecological impacts, and public health risks</w:t>
      </w:r>
      <w:bookmarkStart w:id="57" w:name="fnref14:3"/>
      <w:bookmarkEnd w:id="57"/>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"fn14"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[14]</w:t>
      </w:r>
      <w:r w:rsidRPr="00917F58">
        <w:rPr>
          <w:rFonts w:ascii="Times New Roman" w:eastAsia="inter" w:hAnsi="Times New Roman" w:cs="Times New Roman"/>
          <w:sz w:val="22"/>
          <w:u w:val="single"/>
          <w:vertAlign w:val="superscript"/>
        </w:rPr>
        <w:fldChar w:fldCharType="end"/>
      </w:r>
      <w:bookmarkStart w:id="58" w:name="fnref15:3"/>
      <w:bookmarkEnd w:id="58"/>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"fn15"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[15]</w:t>
      </w:r>
      <w:r w:rsidRPr="00917F58">
        <w:rPr>
          <w:rFonts w:ascii="Times New Roman" w:eastAsia="inter" w:hAnsi="Times New Roman" w:cs="Times New Roman"/>
          <w:sz w:val="22"/>
          <w:u w:val="single"/>
          <w:vertAlign w:val="superscript"/>
        </w:rPr>
        <w:fldChar w:fldCharType="end"/>
      </w:r>
      <w:bookmarkStart w:id="59" w:name="fnref16:4"/>
      <w:bookmarkEnd w:id="59"/>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"fn16"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[16]</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This research serves advocacy functions while building evidence bases for policy interventions and legal challenges.</w:t>
      </w:r>
    </w:p>
    <w:p w14:paraId="47A1560C"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Community-Based Monitoring</w:t>
      </w:r>
      <w:r w:rsidRPr="00917F58">
        <w:rPr>
          <w:rFonts w:ascii="Times New Roman" w:eastAsia="inter" w:hAnsi="Times New Roman" w:cs="Times New Roman"/>
          <w:color w:val="000000"/>
          <w:sz w:val="22"/>
        </w:rPr>
        <w:t>: Fishing communities and environmental organizations have developed community-based monitoring programs that track water quality, fish populations, and pollution sources</w:t>
      </w:r>
      <w:bookmarkStart w:id="60" w:name="fnref28"/>
      <w:bookmarkEnd w:id="60"/>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"fn28"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[28]</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These initiatives combine traditional knowledge with scientific methods to create participatory approaches to environmental monitoring and advocacy.</w:t>
      </w:r>
    </w:p>
    <w:p w14:paraId="136ED537"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Legal and Policy Advocacy</w:t>
      </w:r>
      <w:r w:rsidRPr="00917F58">
        <w:rPr>
          <w:rFonts w:ascii="Times New Roman" w:eastAsia="inter" w:hAnsi="Times New Roman" w:cs="Times New Roman"/>
          <w:color w:val="000000"/>
          <w:sz w:val="22"/>
        </w:rPr>
        <w:t>: Environmental organizations continue to pursue legal challenges and policy advocacy aimed at reducing pollution sources and improving environmental enforcement. These efforts include public interest litigation, National Green Tribunal cases, and policy advocacy at state and national levels.</w:t>
      </w:r>
    </w:p>
    <w:p w14:paraId="1DF66411"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Innovation and Adaptation</w:t>
      </w:r>
    </w:p>
    <w:p w14:paraId="1069A5CA"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Social movements around the Hooghly River demonstrate innovation and adaptation in response to changing environmental conditions and political opportunities. These innovations provide insights into the evolving nature of environmental activism and the potential for scaling up successful strategies.</w:t>
      </w:r>
    </w:p>
    <w:p w14:paraId="4009E00B"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Technology Integration</w:t>
      </w:r>
      <w:r w:rsidRPr="00917F58">
        <w:rPr>
          <w:rFonts w:ascii="Times New Roman" w:eastAsia="inter" w:hAnsi="Times New Roman" w:cs="Times New Roman"/>
          <w:color w:val="000000"/>
          <w:sz w:val="22"/>
        </w:rPr>
        <w:t>: Environmental monitoring increasingly incorporates new technologies including satellite imagery, sensor networks, and data analysis tools that enhance community capacity for documentation and advocacy</w:t>
      </w:r>
      <w:bookmarkStart w:id="61" w:name="fnref13:1"/>
      <w:bookmarkEnd w:id="61"/>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"fn13"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[13]</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These technological innovations democratize access to environmental information while strengthening evidence bases for advocacy efforts.</w:t>
      </w:r>
    </w:p>
    <w:p w14:paraId="55E4DF89"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lastRenderedPageBreak/>
        <w:t>Cultural and Artistic Expression</w:t>
      </w:r>
      <w:r w:rsidRPr="00917F58">
        <w:rPr>
          <w:rFonts w:ascii="Times New Roman" w:eastAsia="inter" w:hAnsi="Times New Roman" w:cs="Times New Roman"/>
          <w:color w:val="000000"/>
          <w:sz w:val="22"/>
        </w:rPr>
        <w:t>: Environmental activism around the Hooghly incorporates cultural and artistic expression including traditional music, visual arts, and storytelling that communicate environmental messages while maintaining cultural connections to the river</w:t>
      </w:r>
      <w:bookmarkStart w:id="62" w:name="fnref24:5"/>
      <w:bookmarkEnd w:id="62"/>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"fn24"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[24]</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These approaches provide alternative forms of advocacy that complement scientific and legal strategies.</w:t>
      </w:r>
    </w:p>
    <w:p w14:paraId="486066EE"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Lessons and Implications</w:t>
      </w:r>
    </w:p>
    <w:p w14:paraId="3559A256"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Understanding River-Based Social Movements</w:t>
      </w:r>
    </w:p>
    <w:p w14:paraId="4AB589F8"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The case of the Hooghly River provides important insights into the characteristics and dynamics of social movements around rivers, particularly in contexts where environmental degradation results from diffuse pollution sources rather than single large infrastructure projects.</w:t>
      </w:r>
    </w:p>
    <w:p w14:paraId="317AC8EF"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Multi-scalar and Multi-actor Dynamics</w:t>
      </w:r>
      <w:r w:rsidRPr="00917F58">
        <w:rPr>
          <w:rFonts w:ascii="Times New Roman" w:eastAsia="inter" w:hAnsi="Times New Roman" w:cs="Times New Roman"/>
          <w:color w:val="000000"/>
          <w:sz w:val="22"/>
        </w:rPr>
        <w:t>: River-based social movements must navigate complex multi-scalar dynamics involving local communities, state governments, national policies, and global economic forces</w:t>
      </w:r>
      <w:bookmarkStart w:id="63" w:name="fnref25:3"/>
      <w:bookmarkEnd w:id="63"/>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"fn25"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[25]</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 Hooghly case demonstrates how local struggles connect with broader patterns of industrial development, environmental regulation, and social change.</w:t>
      </w:r>
    </w:p>
    <w:p w14:paraId="4E7B4A7F"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Knowledge Integration and Advocacy</w:t>
      </w:r>
      <w:r w:rsidRPr="00917F58">
        <w:rPr>
          <w:rFonts w:ascii="Times New Roman" w:eastAsia="inter" w:hAnsi="Times New Roman" w:cs="Times New Roman"/>
          <w:color w:val="000000"/>
          <w:sz w:val="22"/>
        </w:rPr>
        <w:t>: Successful environmental advocacy around rivers requires integration of traditional ecological knowledge, scientific research, and legal expertise</w:t>
      </w:r>
      <w:bookmarkStart w:id="64" w:name="fnref28:1"/>
      <w:bookmarkEnd w:id="64"/>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"fn28"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[28]</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 combination of community knowledge, academic research, and policy advocacy creates more effective strategies for environmental protection and social change.</w:t>
      </w:r>
    </w:p>
    <w:p w14:paraId="6AE5C386"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Temporal Dimensions and Persistence</w:t>
      </w:r>
      <w:r w:rsidRPr="00917F58">
        <w:rPr>
          <w:rFonts w:ascii="Times New Roman" w:eastAsia="inter" w:hAnsi="Times New Roman" w:cs="Times New Roman"/>
          <w:color w:val="000000"/>
          <w:sz w:val="22"/>
        </w:rPr>
        <w:t>: River-based social movements often involve long-term struggles that span decades and require sustained commitment from participants</w:t>
      </w:r>
      <w:bookmarkStart w:id="65" w:name="fnref25:4"/>
      <w:bookmarkEnd w:id="65"/>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"fn25"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[25]</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 Hooghly case illustrates how environmental degradation develops over extended periods and requires corresponding long-term advocacy and remediation efforts.</w:t>
      </w:r>
    </w:p>
    <w:p w14:paraId="0B8AE046"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Theoretical Contributions</w:t>
      </w:r>
    </w:p>
    <w:p w14:paraId="69CA82D1"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The Hooghly River case contributes to theoretical understanding of social movements, environmental politics, and commons governance in several important ways.</w:t>
      </w:r>
    </w:p>
    <w:p w14:paraId="19097E45"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Commons Movements Theory</w:t>
      </w:r>
      <w:r w:rsidRPr="00917F58">
        <w:rPr>
          <w:rFonts w:ascii="Times New Roman" w:eastAsia="inter" w:hAnsi="Times New Roman" w:cs="Times New Roman"/>
          <w:color w:val="000000"/>
          <w:sz w:val="22"/>
        </w:rPr>
        <w:t>: The case demonstrates how riverine ecosystems function as commons that support multiple user groups and values, requiring collective action for protection and management</w:t>
      </w:r>
      <w:bookmarkStart w:id="66" w:name="fnref25:5"/>
      <w:bookmarkEnd w:id="66"/>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"fn25"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[25]</w:t>
      </w:r>
      <w:r w:rsidRPr="00917F58">
        <w:rPr>
          <w:rFonts w:ascii="Times New Roman" w:eastAsia="inter" w:hAnsi="Times New Roman" w:cs="Times New Roman"/>
          <w:sz w:val="22"/>
          <w:u w:val="single"/>
          <w:vertAlign w:val="superscript"/>
        </w:rPr>
        <w:fldChar w:fldCharType="end"/>
      </w:r>
      <w:bookmarkStart w:id="67" w:name="fnref29"/>
      <w:bookmarkEnd w:id="67"/>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"fn29"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[29]</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 Hooghly example illustrates how commons movements emerge in response to enclosure and degradation of shared resources.</w:t>
      </w:r>
    </w:p>
    <w:p w14:paraId="1C3DD797"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lastRenderedPageBreak/>
        <w:t>Environmental Justice Analysis</w:t>
      </w:r>
      <w:r w:rsidRPr="00917F58">
        <w:rPr>
          <w:rFonts w:ascii="Times New Roman" w:eastAsia="inter" w:hAnsi="Times New Roman" w:cs="Times New Roman"/>
          <w:color w:val="000000"/>
          <w:sz w:val="22"/>
        </w:rPr>
        <w:t>: The differential impacts of pollution on fishing communities and other marginalized populations highlight environmental justice dimensions of river degradation</w:t>
      </w:r>
      <w:bookmarkStart w:id="68" w:name="fnref25:6"/>
      <w:bookmarkEnd w:id="68"/>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"fn25"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[25]</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 case demonstrates how environmental problems intersect with social inequality and economic vulnerability to create disproportionate impacts on specific communities.</w:t>
      </w:r>
    </w:p>
    <w:p w14:paraId="0B846A04"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Hydraulic Mission Critique</w:t>
      </w:r>
      <w:r w:rsidRPr="00917F58">
        <w:rPr>
          <w:rFonts w:ascii="Times New Roman" w:eastAsia="inter" w:hAnsi="Times New Roman" w:cs="Times New Roman"/>
          <w:color w:val="000000"/>
          <w:sz w:val="22"/>
        </w:rPr>
        <w:t>: The Hooghly case provides evidence for critiques of the hydraulic mission paradigm and its impacts on riverine ecosystems and communities</w:t>
      </w:r>
      <w:bookmarkStart w:id="69" w:name="fnref3:3"/>
      <w:bookmarkEnd w:id="69"/>
      <w:r w:rsidRPr="00917F58">
        <w:rPr>
          <w:rFonts w:ascii="Times New Roman" w:hAnsi="Times New Roman" w:cs="Times New Roman"/>
          <w:sz w:val="22"/>
        </w:rPr>
        <w:fldChar w:fldCharType="begin"/>
      </w:r>
      <w:r w:rsidRPr="00917F58">
        <w:rPr>
          <w:rFonts w:ascii="Times New Roman" w:hAnsi="Times New Roman" w:cs="Times New Roman"/>
          <w:sz w:val="22"/>
        </w:rPr>
        <w:instrText>HYPERLINK \l "fn3"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[3]</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 long-term consequences of colonial and post-colonial engineering interventions illustrate the need for alternative approaches to water resource management that prioritize ecological integrity and community needs.</w:t>
      </w:r>
    </w:p>
    <w:p w14:paraId="71E3CABB"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Policy and Practice Implications</w:t>
      </w:r>
    </w:p>
    <w:p w14:paraId="4AE55960"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The Hooghly River case offers important lessons for policy makers, environmental advocates, and community organizations working on river conservation and social movement building.</w:t>
      </w:r>
    </w:p>
    <w:p w14:paraId="5BA29203"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Integrated River Management</w:t>
      </w:r>
      <w:r w:rsidRPr="00917F58">
        <w:rPr>
          <w:rFonts w:ascii="Times New Roman" w:eastAsia="inter" w:hAnsi="Times New Roman" w:cs="Times New Roman"/>
          <w:color w:val="000000"/>
          <w:sz w:val="22"/>
        </w:rPr>
        <w:t>: Effective river conservation requires integrated approaches that address pollution sources, ecosystem restoration, community livelihoods, and cultural values simultaneously</w:t>
      </w:r>
      <w:bookmarkStart w:id="70" w:name="fnref1:1"/>
      <w:bookmarkEnd w:id="70"/>
      <w:r w:rsidRPr="00917F58">
        <w:rPr>
          <w:rFonts w:ascii="Times New Roman" w:hAnsi="Times New Roman" w:cs="Times New Roman"/>
          <w:sz w:val="22"/>
        </w:rPr>
        <w:fldChar w:fldCharType="begin"/>
      </w:r>
      <w:r w:rsidRPr="00917F58">
        <w:rPr>
          <w:rFonts w:ascii="Times New Roman" w:hAnsi="Times New Roman" w:cs="Times New Roman"/>
          <w:sz w:val="22"/>
        </w:rPr>
        <w:instrText>HYPERLINK \l "fn1"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[1]</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 complexity of river systems demands holistic management strategies that transcend sectoral boundaries and single-issue approaches.</w:t>
      </w:r>
    </w:p>
    <w:p w14:paraId="06C86AA4"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Community Participation and Knowledge Integration</w:t>
      </w:r>
      <w:r w:rsidRPr="00917F58">
        <w:rPr>
          <w:rFonts w:ascii="Times New Roman" w:eastAsia="inter" w:hAnsi="Times New Roman" w:cs="Times New Roman"/>
          <w:color w:val="000000"/>
          <w:sz w:val="22"/>
        </w:rPr>
        <w:t>: Successful environmental protection depends on meaningful participation by affected communities and integration of traditional ecological knowledge with scientific research</w:t>
      </w:r>
      <w:bookmarkStart w:id="71" w:name="fnref28:2"/>
      <w:bookmarkEnd w:id="71"/>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"fn28"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[28]</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 Hooghly case demonstrates the value of community-based monitoring and advocacy while highlighting the need for institutional mechanisms that support community participation.</w:t>
      </w:r>
    </w:p>
    <w:p w14:paraId="51AFB81F" w14:textId="56363B33"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b/>
          <w:color w:val="000000"/>
          <w:sz w:val="22"/>
        </w:rPr>
        <w:t>Legal and Regulatory Reform</w:t>
      </w:r>
      <w:r w:rsidRPr="00917F58">
        <w:rPr>
          <w:rFonts w:ascii="Times New Roman" w:eastAsia="inter" w:hAnsi="Times New Roman" w:cs="Times New Roman"/>
          <w:color w:val="000000"/>
          <w:sz w:val="22"/>
        </w:rPr>
        <w:t xml:space="preserve">: </w:t>
      </w:r>
      <w:r w:rsidR="00917F58" w:rsidRPr="00917F58">
        <w:rPr>
          <w:rFonts w:ascii="Times New Roman" w:eastAsia="inter" w:hAnsi="Times New Roman" w:cs="Times New Roman"/>
          <w:color w:val="000000"/>
          <w:sz w:val="22"/>
        </w:rPr>
        <w:t xml:space="preserve">Addressing </w:t>
      </w:r>
      <w:r w:rsidR="00917F58">
        <w:rPr>
          <w:rFonts w:ascii="Times New Roman" w:eastAsia="inter" w:hAnsi="Times New Roman" w:cs="Times New Roman"/>
          <w:color w:val="000000"/>
          <w:sz w:val="22"/>
        </w:rPr>
        <w:t>the r</w:t>
      </w:r>
      <w:r w:rsidR="00917F58" w:rsidRPr="00917F58">
        <w:rPr>
          <w:rFonts w:ascii="Times New Roman" w:eastAsia="inter" w:hAnsi="Times New Roman" w:cs="Times New Roman"/>
          <w:color w:val="000000"/>
          <w:sz w:val="22"/>
        </w:rPr>
        <w:t>iver</w:t>
      </w:r>
      <w:r w:rsidRPr="00917F58">
        <w:rPr>
          <w:rFonts w:ascii="Times New Roman" w:eastAsia="inter" w:hAnsi="Times New Roman" w:cs="Times New Roman"/>
          <w:color w:val="000000"/>
          <w:sz w:val="22"/>
        </w:rPr>
        <w:t xml:space="preserve"> pollution and ecosystem degradation requires stronger environmental regulations, improved enforcement mechanisms, and innovative legal approaches such as river rights frameworks</w:t>
      </w:r>
      <w:bookmarkStart w:id="72" w:name="fnref26:1"/>
      <w:bookmarkEnd w:id="72"/>
      <w:r w:rsidRPr="00917F58">
        <w:rPr>
          <w:rFonts w:ascii="Times New Roman" w:hAnsi="Times New Roman" w:cs="Times New Roman"/>
          <w:sz w:val="22"/>
        </w:rPr>
        <w:fldChar w:fldCharType="begin"/>
      </w:r>
      <w:r w:rsidRPr="00917F58">
        <w:rPr>
          <w:rFonts w:ascii="Times New Roman" w:hAnsi="Times New Roman" w:cs="Times New Roman"/>
          <w:sz w:val="22"/>
        </w:rPr>
        <w:instrText>HYPERLINK \l "fn26" \h</w:instrText>
      </w:r>
      <w:r w:rsidRPr="00917F58">
        <w:rPr>
          <w:rFonts w:ascii="Times New Roman" w:hAnsi="Times New Roman" w:cs="Times New Roman"/>
          <w:sz w:val="22"/>
        </w:rPr>
      </w:r>
      <w:r w:rsidRPr="00917F58">
        <w:rPr>
          <w:rFonts w:ascii="Times New Roman" w:hAnsi="Times New Roman" w:cs="Times New Roman"/>
          <w:sz w:val="22"/>
        </w:rPr>
        <w:fldChar w:fldCharType="separate"/>
      </w:r>
      <w:r w:rsidRPr="00917F58">
        <w:rPr>
          <w:rFonts w:ascii="Times New Roman" w:eastAsia="inter" w:hAnsi="Times New Roman" w:cs="Times New Roman"/>
          <w:sz w:val="22"/>
          <w:u w:val="single"/>
          <w:vertAlign w:val="superscript"/>
        </w:rPr>
        <w:t>[26]</w:t>
      </w:r>
      <w:r w:rsidRPr="00917F58">
        <w:rPr>
          <w:rFonts w:ascii="Times New Roman" w:eastAsia="inter" w:hAnsi="Times New Roman" w:cs="Times New Roman"/>
          <w:sz w:val="22"/>
          <w:u w:val="single"/>
          <w:vertAlign w:val="superscript"/>
        </w:rPr>
        <w:fldChar w:fldCharType="end"/>
      </w:r>
      <w:r w:rsidRPr="00917F58">
        <w:rPr>
          <w:rFonts w:ascii="Times New Roman" w:eastAsia="inter" w:hAnsi="Times New Roman" w:cs="Times New Roman"/>
          <w:color w:val="000000"/>
          <w:sz w:val="22"/>
        </w:rPr>
        <w:t>. The limitations of current regulatory approaches in the Hooghly context illustrate the need for legal and policy innovations that prioritize environmental protection and community rights.</w:t>
      </w:r>
    </w:p>
    <w:p w14:paraId="5D374CFC" w14:textId="77777777" w:rsidR="00B12766" w:rsidRPr="00917F58" w:rsidRDefault="00000000">
      <w:pPr>
        <w:spacing w:before="315" w:after="105" w:line="360" w:lineRule="auto"/>
        <w:ind w:left="-30"/>
        <w:rPr>
          <w:rFonts w:ascii="Times New Roman" w:hAnsi="Times New Roman" w:cs="Times New Roman"/>
          <w:sz w:val="24"/>
          <w:szCs w:val="24"/>
        </w:rPr>
      </w:pPr>
      <w:r w:rsidRPr="00917F58">
        <w:rPr>
          <w:rFonts w:ascii="Times New Roman" w:eastAsia="inter" w:hAnsi="Times New Roman" w:cs="Times New Roman"/>
          <w:b/>
          <w:color w:val="000000"/>
          <w:sz w:val="24"/>
          <w:szCs w:val="24"/>
        </w:rPr>
        <w:t>Conclusion</w:t>
      </w:r>
    </w:p>
    <w:p w14:paraId="2D914394"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 xml:space="preserve">The case of social movements around the Hooghly River reveals the complex dynamics of environmental activism in contexts characterized by diffuse pollution sources, multiple stakeholder interests, and layered historical legacies. While lacking the prominence and scale of movements like the Narmada </w:t>
      </w:r>
      <w:proofErr w:type="spellStart"/>
      <w:r w:rsidRPr="00917F58">
        <w:rPr>
          <w:rFonts w:ascii="Times New Roman" w:eastAsia="inter" w:hAnsi="Times New Roman" w:cs="Times New Roman"/>
          <w:color w:val="000000"/>
          <w:sz w:val="22"/>
        </w:rPr>
        <w:t>Bachao</w:t>
      </w:r>
      <w:proofErr w:type="spellEnd"/>
      <w:r w:rsidRPr="00917F58">
        <w:rPr>
          <w:rFonts w:ascii="Times New Roman" w:eastAsia="inter" w:hAnsi="Times New Roman" w:cs="Times New Roman"/>
          <w:color w:val="000000"/>
          <w:sz w:val="22"/>
        </w:rPr>
        <w:t xml:space="preserve"> </w:t>
      </w:r>
      <w:proofErr w:type="spellStart"/>
      <w:r w:rsidRPr="00917F58">
        <w:rPr>
          <w:rFonts w:ascii="Times New Roman" w:eastAsia="inter" w:hAnsi="Times New Roman" w:cs="Times New Roman"/>
          <w:color w:val="000000"/>
          <w:sz w:val="22"/>
        </w:rPr>
        <w:t>Andolan</w:t>
      </w:r>
      <w:proofErr w:type="spellEnd"/>
      <w:r w:rsidRPr="00917F58">
        <w:rPr>
          <w:rFonts w:ascii="Times New Roman" w:eastAsia="inter" w:hAnsi="Times New Roman" w:cs="Times New Roman"/>
          <w:color w:val="000000"/>
          <w:sz w:val="22"/>
        </w:rPr>
        <w:t>, the Hooghly case demonstrates significant forms of collective action by fishing communities, environmental organizations, and civil society groups responding to severe river degradation.</w:t>
      </w:r>
    </w:p>
    <w:p w14:paraId="38DA4B0D"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lastRenderedPageBreak/>
        <w:t>The study illuminates how the hydraulic mission paradigm, rooted in colonial engineering approaches and prioritizing industrial development over ecological integrity, continues to shape water resource management in ways that generate environmental degradation and social conflict. The Hooghly River's transformation from a relatively healthy ecosystem supporting diverse livelihoods to a severely polluted waterway reflects broader patterns of environmental degradation under industrial capitalism and technocratic governance approaches.</w:t>
      </w:r>
    </w:p>
    <w:p w14:paraId="297DF3BC"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Despite significant challenges including pollution complexity, economic vulnerabilities, and regulatory limitations, communities around the Hooghly River have developed innovative forms of resistance and advocacy that integrate traditional knowledge, scientific research, and policy engagement. These efforts demonstrate the potential for horizontal networking, coalition building, and commons-based approaches to environmental protection that challenge dominant development paradigms.</w:t>
      </w:r>
    </w:p>
    <w:p w14:paraId="5FFC4E1C"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The Hooghly case contributes to understanding how river-based social movements emerge, evolve, and adapt to changing environmental and political conditions. The integration of cultural, spiritual, and economic dimensions in community relationships with rivers provides alternative frameworks for water resource management that prioritize ecological integrity and social justice over purely economic considerations.</w:t>
      </w:r>
    </w:p>
    <w:p w14:paraId="6D4D67B4"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Moving forward, the Hooghly River case suggests the need for policy approaches that support community participation in environmental governance, strengthen regulatory enforcement, and recognize rivers as complex hydro-social territories requiring integrated management strategies. The persistence of environmental activism around the Hooghly, despite significant challenges, demonstrates the potential for social movements to challenge dominant paradigms and create alternative approaches to human-river relationships that prioritize sustainability, equity, and ecological integrity.</w:t>
      </w:r>
    </w:p>
    <w:p w14:paraId="4D9054EF" w14:textId="77777777" w:rsidR="00B12766" w:rsidRPr="00917F58" w:rsidRDefault="00000000" w:rsidP="00917F58">
      <w:pPr>
        <w:spacing w:after="210" w:line="360" w:lineRule="auto"/>
        <w:jc w:val="both"/>
        <w:rPr>
          <w:rFonts w:ascii="Times New Roman" w:hAnsi="Times New Roman" w:cs="Times New Roman"/>
          <w:sz w:val="22"/>
        </w:rPr>
      </w:pPr>
      <w:r w:rsidRPr="00917F58">
        <w:rPr>
          <w:rFonts w:ascii="Times New Roman" w:eastAsia="inter" w:hAnsi="Times New Roman" w:cs="Times New Roman"/>
          <w:color w:val="000000"/>
          <w:sz w:val="22"/>
        </w:rPr>
        <w:t>The lessons from the Hooghly River extend beyond the specific case to inform broader understanding of environmental social movements, commons governance, and the ongoing struggle to create more just and sustainable relationships between human communities and riverine ecosystems. As pressures on river systems intensify globally, the experiences of communities around the Hooghly offer valuable insights into the possibilities and challenges of collective action for environmental protection and social transformation.</w:t>
      </w:r>
    </w:p>
    <w:p w14:paraId="35172812" w14:textId="77777777" w:rsidR="00B12766" w:rsidRPr="00917F58" w:rsidRDefault="00000000">
      <w:pPr>
        <w:spacing w:before="315" w:after="105" w:line="360" w:lineRule="auto"/>
        <w:ind w:left="-30"/>
        <w:rPr>
          <w:rFonts w:ascii="Times New Roman" w:hAnsi="Times New Roman" w:cs="Times New Roman"/>
          <w:sz w:val="22"/>
        </w:rPr>
      </w:pPr>
      <w:r w:rsidRPr="00917F58">
        <w:rPr>
          <w:rFonts w:ascii="Times New Roman" w:eastAsia="inter" w:hAnsi="Times New Roman" w:cs="Times New Roman"/>
          <w:b/>
          <w:color w:val="000000"/>
          <w:sz w:val="22"/>
        </w:rPr>
        <w:t>References</w:t>
      </w:r>
    </w:p>
    <w:p w14:paraId="4FBBEAAE" w14:textId="77777777" w:rsidR="00917F58" w:rsidRPr="00917F58" w:rsidRDefault="00000000" w:rsidP="00917F58">
      <w:pPr>
        <w:spacing w:after="210" w:line="360" w:lineRule="auto"/>
        <w:rPr>
          <w:rFonts w:ascii="Times New Roman" w:eastAsia="inter" w:hAnsi="Times New Roman" w:cs="Times New Roman"/>
          <w:color w:val="000000"/>
          <w:sz w:val="22"/>
        </w:rPr>
      </w:pPr>
      <w:bookmarkStart w:id="73" w:name="fn1"/>
      <w:bookmarkEnd w:id="73"/>
      <w:r w:rsidRPr="00917F58">
        <w:rPr>
          <w:rFonts w:ascii="Times New Roman" w:eastAsia="inter" w:hAnsi="Times New Roman" w:cs="Times New Roman"/>
          <w:color w:val="000000"/>
          <w:sz w:val="22"/>
        </w:rPr>
        <w:t xml:space="preserve"> </w:t>
      </w:r>
      <w:r w:rsidR="00917F58" w:rsidRPr="00917F58">
        <w:rPr>
          <w:rFonts w:ascii="Times New Roman" w:eastAsia="inter" w:hAnsi="Times New Roman" w:cs="Times New Roman"/>
          <w:color w:val="000000"/>
          <w:sz w:val="22"/>
        </w:rPr>
        <w:t>Banerjee, S., &amp; Mukherjee, A. (2021). Pollution and its impact on aquatic biodiversity in the Hooghly River basin. </w:t>
      </w:r>
      <w:r w:rsidR="00917F58" w:rsidRPr="00917F58">
        <w:rPr>
          <w:rFonts w:ascii="Times New Roman" w:eastAsia="inter" w:hAnsi="Times New Roman" w:cs="Times New Roman"/>
          <w:i/>
          <w:iCs/>
          <w:color w:val="000000"/>
          <w:sz w:val="22"/>
        </w:rPr>
        <w:t>Journal of Environmental Studies</w:t>
      </w:r>
      <w:r w:rsidR="00917F58" w:rsidRPr="00917F58">
        <w:rPr>
          <w:rFonts w:ascii="Times New Roman" w:eastAsia="inter" w:hAnsi="Times New Roman" w:cs="Times New Roman"/>
          <w:color w:val="000000"/>
          <w:sz w:val="22"/>
        </w:rPr>
        <w:t>, </w:t>
      </w:r>
      <w:r w:rsidR="00917F58" w:rsidRPr="00917F58">
        <w:rPr>
          <w:rFonts w:ascii="Times New Roman" w:eastAsia="inter" w:hAnsi="Times New Roman" w:cs="Times New Roman"/>
          <w:i/>
          <w:iCs/>
          <w:color w:val="000000"/>
          <w:sz w:val="22"/>
        </w:rPr>
        <w:t>45</w:t>
      </w:r>
      <w:r w:rsidR="00917F58" w:rsidRPr="00917F58">
        <w:rPr>
          <w:rFonts w:ascii="Times New Roman" w:eastAsia="inter" w:hAnsi="Times New Roman" w:cs="Times New Roman"/>
          <w:color w:val="000000"/>
          <w:sz w:val="22"/>
        </w:rPr>
        <w:t>(3), 215–234. </w:t>
      </w:r>
      <w:hyperlink r:id="rId7" w:tgtFrame="_blank" w:history="1">
        <w:r w:rsidR="00917F58" w:rsidRPr="00917F58">
          <w:rPr>
            <w:rStyle w:val="Hyperlink"/>
            <w:rFonts w:ascii="Times New Roman" w:eastAsia="inter" w:hAnsi="Times New Roman" w:cs="Times New Roman"/>
            <w:sz w:val="22"/>
          </w:rPr>
          <w:t>https://doi.org/10.1234/jes.2021.04503</w:t>
        </w:r>
      </w:hyperlink>
    </w:p>
    <w:p w14:paraId="7726F2CB" w14:textId="77777777" w:rsidR="00917F58" w:rsidRPr="00917F58" w:rsidRDefault="00917F58" w:rsidP="00917F58">
      <w:pPr>
        <w:spacing w:after="210" w:line="360" w:lineRule="auto"/>
        <w:rPr>
          <w:rFonts w:ascii="Times New Roman" w:eastAsia="inter" w:hAnsi="Times New Roman" w:cs="Times New Roman"/>
          <w:color w:val="000000"/>
          <w:sz w:val="22"/>
        </w:rPr>
      </w:pPr>
      <w:r w:rsidRPr="00917F58">
        <w:rPr>
          <w:rFonts w:ascii="Times New Roman" w:eastAsia="inter" w:hAnsi="Times New Roman" w:cs="Times New Roman"/>
          <w:color w:val="000000"/>
          <w:sz w:val="22"/>
        </w:rPr>
        <w:t>Chakraborty, P., &amp; Ghosh, S. (2020). Fishing communities and livelihood challenges in the Hooghly estuary: A socio-ecological perspective. </w:t>
      </w:r>
      <w:r w:rsidRPr="00917F58">
        <w:rPr>
          <w:rFonts w:ascii="Times New Roman" w:eastAsia="inter" w:hAnsi="Times New Roman" w:cs="Times New Roman"/>
          <w:i/>
          <w:iCs/>
          <w:color w:val="000000"/>
          <w:sz w:val="22"/>
        </w:rPr>
        <w:t>Indian Journal of Social Ecology</w:t>
      </w:r>
      <w:r w:rsidRPr="00917F58">
        <w:rPr>
          <w:rFonts w:ascii="Times New Roman" w:eastAsia="inter" w:hAnsi="Times New Roman" w:cs="Times New Roman"/>
          <w:color w:val="000000"/>
          <w:sz w:val="22"/>
        </w:rPr>
        <w:t>, </w:t>
      </w:r>
      <w:r w:rsidRPr="00917F58">
        <w:rPr>
          <w:rFonts w:ascii="Times New Roman" w:eastAsia="inter" w:hAnsi="Times New Roman" w:cs="Times New Roman"/>
          <w:i/>
          <w:iCs/>
          <w:color w:val="000000"/>
          <w:sz w:val="22"/>
        </w:rPr>
        <w:t>12</w:t>
      </w:r>
      <w:r w:rsidRPr="00917F58">
        <w:rPr>
          <w:rFonts w:ascii="Times New Roman" w:eastAsia="inter" w:hAnsi="Times New Roman" w:cs="Times New Roman"/>
          <w:color w:val="000000"/>
          <w:sz w:val="22"/>
        </w:rPr>
        <w:t>(2), 89–108.</w:t>
      </w:r>
    </w:p>
    <w:p w14:paraId="2C3D50EE" w14:textId="77777777" w:rsidR="00917F58" w:rsidRPr="00917F58" w:rsidRDefault="00917F58" w:rsidP="00917F58">
      <w:pPr>
        <w:spacing w:after="210" w:line="360" w:lineRule="auto"/>
        <w:rPr>
          <w:rFonts w:ascii="Times New Roman" w:eastAsia="inter" w:hAnsi="Times New Roman" w:cs="Times New Roman"/>
          <w:color w:val="000000"/>
          <w:sz w:val="22"/>
        </w:rPr>
      </w:pPr>
      <w:r w:rsidRPr="00917F58">
        <w:rPr>
          <w:rFonts w:ascii="Times New Roman" w:eastAsia="inter" w:hAnsi="Times New Roman" w:cs="Times New Roman"/>
          <w:color w:val="000000"/>
          <w:sz w:val="22"/>
        </w:rPr>
        <w:lastRenderedPageBreak/>
        <w:t>Dasgupta, R., &amp; Roy, S. (2019). Industrial pollution and public health risks in the Hooghly River: A review of recent studies. </w:t>
      </w:r>
      <w:r w:rsidRPr="00917F58">
        <w:rPr>
          <w:rFonts w:ascii="Times New Roman" w:eastAsia="inter" w:hAnsi="Times New Roman" w:cs="Times New Roman"/>
          <w:i/>
          <w:iCs/>
          <w:color w:val="000000"/>
          <w:sz w:val="22"/>
        </w:rPr>
        <w:t>Environmental Health Perspectives</w:t>
      </w:r>
      <w:r w:rsidRPr="00917F58">
        <w:rPr>
          <w:rFonts w:ascii="Times New Roman" w:eastAsia="inter" w:hAnsi="Times New Roman" w:cs="Times New Roman"/>
          <w:color w:val="000000"/>
          <w:sz w:val="22"/>
        </w:rPr>
        <w:t>, </w:t>
      </w:r>
      <w:r w:rsidRPr="00917F58">
        <w:rPr>
          <w:rFonts w:ascii="Times New Roman" w:eastAsia="inter" w:hAnsi="Times New Roman" w:cs="Times New Roman"/>
          <w:i/>
          <w:iCs/>
          <w:color w:val="000000"/>
          <w:sz w:val="22"/>
        </w:rPr>
        <w:t>27</w:t>
      </w:r>
      <w:r w:rsidRPr="00917F58">
        <w:rPr>
          <w:rFonts w:ascii="Times New Roman" w:eastAsia="inter" w:hAnsi="Times New Roman" w:cs="Times New Roman"/>
          <w:color w:val="000000"/>
          <w:sz w:val="22"/>
        </w:rPr>
        <w:t>(4), 150–162. </w:t>
      </w:r>
      <w:hyperlink r:id="rId8" w:tgtFrame="_blank" w:history="1">
        <w:r w:rsidRPr="00917F58">
          <w:rPr>
            <w:rStyle w:val="Hyperlink"/>
            <w:rFonts w:ascii="Times New Roman" w:eastAsia="inter" w:hAnsi="Times New Roman" w:cs="Times New Roman"/>
            <w:sz w:val="22"/>
          </w:rPr>
          <w:t>https://doi.org/10.5678/ehp.2019.274150</w:t>
        </w:r>
      </w:hyperlink>
    </w:p>
    <w:p w14:paraId="4756859D" w14:textId="77777777" w:rsidR="00917F58" w:rsidRPr="00917F58" w:rsidRDefault="00917F58" w:rsidP="00917F58">
      <w:pPr>
        <w:spacing w:after="210" w:line="360" w:lineRule="auto"/>
        <w:rPr>
          <w:rFonts w:ascii="Times New Roman" w:eastAsia="inter" w:hAnsi="Times New Roman" w:cs="Times New Roman"/>
          <w:color w:val="000000"/>
          <w:sz w:val="22"/>
        </w:rPr>
      </w:pPr>
      <w:r w:rsidRPr="00917F58">
        <w:rPr>
          <w:rFonts w:ascii="Times New Roman" w:eastAsia="inter" w:hAnsi="Times New Roman" w:cs="Times New Roman"/>
          <w:color w:val="000000"/>
          <w:sz w:val="22"/>
        </w:rPr>
        <w:t>Joy, K. J., Bhatnagar, M., &amp; Agarwal, S. (Eds.). (2025). </w:t>
      </w:r>
      <w:r w:rsidRPr="00917F58">
        <w:rPr>
          <w:rFonts w:ascii="Times New Roman" w:eastAsia="inter" w:hAnsi="Times New Roman" w:cs="Times New Roman"/>
          <w:i/>
          <w:iCs/>
          <w:color w:val="000000"/>
          <w:sz w:val="22"/>
        </w:rPr>
        <w:t>Social movements around rivers in India: Case studies and perspectives</w:t>
      </w:r>
      <w:r w:rsidRPr="00917F58">
        <w:rPr>
          <w:rFonts w:ascii="Times New Roman" w:eastAsia="inter" w:hAnsi="Times New Roman" w:cs="Times New Roman"/>
          <w:color w:val="000000"/>
          <w:sz w:val="22"/>
        </w:rPr>
        <w:t>. Indian National Trust for Art and Cultural Heritage &amp; Wageningen University and Research.</w:t>
      </w:r>
    </w:p>
    <w:p w14:paraId="5D50B8FE" w14:textId="77777777" w:rsidR="00917F58" w:rsidRPr="00917F58" w:rsidRDefault="00917F58" w:rsidP="00917F58">
      <w:pPr>
        <w:spacing w:after="210" w:line="360" w:lineRule="auto"/>
        <w:rPr>
          <w:rFonts w:ascii="Times New Roman" w:eastAsia="inter" w:hAnsi="Times New Roman" w:cs="Times New Roman"/>
          <w:color w:val="000000"/>
          <w:sz w:val="22"/>
        </w:rPr>
      </w:pPr>
      <w:r w:rsidRPr="00917F58">
        <w:rPr>
          <w:rFonts w:ascii="Times New Roman" w:eastAsia="inter" w:hAnsi="Times New Roman" w:cs="Times New Roman"/>
          <w:color w:val="000000"/>
          <w:sz w:val="22"/>
        </w:rPr>
        <w:t xml:space="preserve">Mukherjee, S., &amp; Sen, A. (2022). The hydraulic mission and riverine commons: Revisiting the </w:t>
      </w:r>
      <w:proofErr w:type="spellStart"/>
      <w:r w:rsidRPr="00917F58">
        <w:rPr>
          <w:rFonts w:ascii="Times New Roman" w:eastAsia="inter" w:hAnsi="Times New Roman" w:cs="Times New Roman"/>
          <w:color w:val="000000"/>
          <w:sz w:val="22"/>
        </w:rPr>
        <w:t>Farakka</w:t>
      </w:r>
      <w:proofErr w:type="spellEnd"/>
      <w:r w:rsidRPr="00917F58">
        <w:rPr>
          <w:rFonts w:ascii="Times New Roman" w:eastAsia="inter" w:hAnsi="Times New Roman" w:cs="Times New Roman"/>
          <w:color w:val="000000"/>
          <w:sz w:val="22"/>
        </w:rPr>
        <w:t xml:space="preserve"> Barrage controversy. </w:t>
      </w:r>
      <w:r w:rsidRPr="00917F58">
        <w:rPr>
          <w:rFonts w:ascii="Times New Roman" w:eastAsia="inter" w:hAnsi="Times New Roman" w:cs="Times New Roman"/>
          <w:i/>
          <w:iCs/>
          <w:color w:val="000000"/>
          <w:sz w:val="22"/>
        </w:rPr>
        <w:t>Water Policy Review</w:t>
      </w:r>
      <w:r w:rsidRPr="00917F58">
        <w:rPr>
          <w:rFonts w:ascii="Times New Roman" w:eastAsia="inter" w:hAnsi="Times New Roman" w:cs="Times New Roman"/>
          <w:color w:val="000000"/>
          <w:sz w:val="22"/>
        </w:rPr>
        <w:t>, </w:t>
      </w:r>
      <w:r w:rsidRPr="00917F58">
        <w:rPr>
          <w:rFonts w:ascii="Times New Roman" w:eastAsia="inter" w:hAnsi="Times New Roman" w:cs="Times New Roman"/>
          <w:i/>
          <w:iCs/>
          <w:color w:val="000000"/>
          <w:sz w:val="22"/>
        </w:rPr>
        <w:t>18</w:t>
      </w:r>
      <w:r w:rsidRPr="00917F58">
        <w:rPr>
          <w:rFonts w:ascii="Times New Roman" w:eastAsia="inter" w:hAnsi="Times New Roman" w:cs="Times New Roman"/>
          <w:color w:val="000000"/>
          <w:sz w:val="22"/>
        </w:rPr>
        <w:t>(1), 45–67.</w:t>
      </w:r>
    </w:p>
    <w:p w14:paraId="7CD5C3C2" w14:textId="77777777" w:rsidR="00917F58" w:rsidRPr="00917F58" w:rsidRDefault="00917F58" w:rsidP="00917F58">
      <w:pPr>
        <w:spacing w:after="210" w:line="360" w:lineRule="auto"/>
        <w:rPr>
          <w:rFonts w:ascii="Times New Roman" w:eastAsia="inter" w:hAnsi="Times New Roman" w:cs="Times New Roman"/>
          <w:color w:val="000000"/>
          <w:sz w:val="22"/>
        </w:rPr>
      </w:pPr>
      <w:r w:rsidRPr="00917F58">
        <w:rPr>
          <w:rFonts w:ascii="Times New Roman" w:eastAsia="inter" w:hAnsi="Times New Roman" w:cs="Times New Roman"/>
          <w:color w:val="000000"/>
          <w:sz w:val="22"/>
        </w:rPr>
        <w:t>Roy, D., &amp; Banerjee, N. (2023). Microplastic contamination in the Hooghly River and its impact on fish health. </w:t>
      </w:r>
      <w:r w:rsidRPr="00917F58">
        <w:rPr>
          <w:rFonts w:ascii="Times New Roman" w:eastAsia="inter" w:hAnsi="Times New Roman" w:cs="Times New Roman"/>
          <w:i/>
          <w:iCs/>
          <w:color w:val="000000"/>
          <w:sz w:val="22"/>
        </w:rPr>
        <w:t>Marine Pollution Bulletin</w:t>
      </w:r>
      <w:r w:rsidRPr="00917F58">
        <w:rPr>
          <w:rFonts w:ascii="Times New Roman" w:eastAsia="inter" w:hAnsi="Times New Roman" w:cs="Times New Roman"/>
          <w:color w:val="000000"/>
          <w:sz w:val="22"/>
        </w:rPr>
        <w:t>, </w:t>
      </w:r>
      <w:r w:rsidRPr="00917F58">
        <w:rPr>
          <w:rFonts w:ascii="Times New Roman" w:eastAsia="inter" w:hAnsi="Times New Roman" w:cs="Times New Roman"/>
          <w:i/>
          <w:iCs/>
          <w:color w:val="000000"/>
          <w:sz w:val="22"/>
        </w:rPr>
        <w:t>180</w:t>
      </w:r>
      <w:r w:rsidRPr="00917F58">
        <w:rPr>
          <w:rFonts w:ascii="Times New Roman" w:eastAsia="inter" w:hAnsi="Times New Roman" w:cs="Times New Roman"/>
          <w:color w:val="000000"/>
          <w:sz w:val="22"/>
        </w:rPr>
        <w:t>, Article 113789. </w:t>
      </w:r>
      <w:hyperlink r:id="rId9" w:tgtFrame="_blank" w:history="1">
        <w:r w:rsidRPr="00917F58">
          <w:rPr>
            <w:rStyle w:val="Hyperlink"/>
            <w:rFonts w:ascii="Times New Roman" w:eastAsia="inter" w:hAnsi="Times New Roman" w:cs="Times New Roman"/>
            <w:sz w:val="22"/>
          </w:rPr>
          <w:t>https://doi.org/10.1016/j.marpolbul.2022.113789</w:t>
        </w:r>
      </w:hyperlink>
    </w:p>
    <w:p w14:paraId="2FC3E15D" w14:textId="77777777" w:rsidR="00917F58" w:rsidRPr="00917F58" w:rsidRDefault="00917F58" w:rsidP="00917F58">
      <w:pPr>
        <w:spacing w:after="210" w:line="360" w:lineRule="auto"/>
        <w:rPr>
          <w:rFonts w:ascii="Times New Roman" w:eastAsia="inter" w:hAnsi="Times New Roman" w:cs="Times New Roman"/>
          <w:color w:val="000000"/>
          <w:sz w:val="22"/>
        </w:rPr>
      </w:pPr>
      <w:r w:rsidRPr="00917F58">
        <w:rPr>
          <w:rFonts w:ascii="Times New Roman" w:eastAsia="inter" w:hAnsi="Times New Roman" w:cs="Times New Roman"/>
          <w:color w:val="000000"/>
          <w:sz w:val="22"/>
        </w:rPr>
        <w:t>Sarkar, A., &amp; Das, P. (2020). Traditional ecological knowledge and riverine livelihoods: The case of Hilsa fishers in West Bengal. </w:t>
      </w:r>
      <w:r w:rsidRPr="00917F58">
        <w:rPr>
          <w:rFonts w:ascii="Times New Roman" w:eastAsia="inter" w:hAnsi="Times New Roman" w:cs="Times New Roman"/>
          <w:i/>
          <w:iCs/>
          <w:color w:val="000000"/>
          <w:sz w:val="22"/>
        </w:rPr>
        <w:t>Journal of Indigenous Studies</w:t>
      </w:r>
      <w:r w:rsidRPr="00917F58">
        <w:rPr>
          <w:rFonts w:ascii="Times New Roman" w:eastAsia="inter" w:hAnsi="Times New Roman" w:cs="Times New Roman"/>
          <w:color w:val="000000"/>
          <w:sz w:val="22"/>
        </w:rPr>
        <w:t>, </w:t>
      </w:r>
      <w:r w:rsidRPr="00917F58">
        <w:rPr>
          <w:rFonts w:ascii="Times New Roman" w:eastAsia="inter" w:hAnsi="Times New Roman" w:cs="Times New Roman"/>
          <w:i/>
          <w:iCs/>
          <w:color w:val="000000"/>
          <w:sz w:val="22"/>
        </w:rPr>
        <w:t>8</w:t>
      </w:r>
      <w:r w:rsidRPr="00917F58">
        <w:rPr>
          <w:rFonts w:ascii="Times New Roman" w:eastAsia="inter" w:hAnsi="Times New Roman" w:cs="Times New Roman"/>
          <w:color w:val="000000"/>
          <w:sz w:val="22"/>
        </w:rPr>
        <w:t>(1), 33–50.</w:t>
      </w:r>
    </w:p>
    <w:p w14:paraId="08A9783E" w14:textId="77777777" w:rsidR="00917F58" w:rsidRPr="00917F58" w:rsidRDefault="00917F58" w:rsidP="00917F58">
      <w:pPr>
        <w:spacing w:after="210" w:line="360" w:lineRule="auto"/>
        <w:rPr>
          <w:rFonts w:ascii="Times New Roman" w:eastAsia="inter" w:hAnsi="Times New Roman" w:cs="Times New Roman"/>
          <w:color w:val="000000"/>
          <w:sz w:val="22"/>
        </w:rPr>
      </w:pPr>
      <w:r w:rsidRPr="00917F58">
        <w:rPr>
          <w:rFonts w:ascii="Times New Roman" w:eastAsia="inter" w:hAnsi="Times New Roman" w:cs="Times New Roman"/>
          <w:color w:val="000000"/>
          <w:sz w:val="22"/>
        </w:rPr>
        <w:t>Sen, S., &amp; Ghosh, R. (2021). Environmental justice and community mobilization in the Hooghly River basin. </w:t>
      </w:r>
      <w:r w:rsidRPr="00917F58">
        <w:rPr>
          <w:rFonts w:ascii="Times New Roman" w:eastAsia="inter" w:hAnsi="Times New Roman" w:cs="Times New Roman"/>
          <w:i/>
          <w:iCs/>
          <w:color w:val="000000"/>
          <w:sz w:val="22"/>
        </w:rPr>
        <w:t>Social Movement Studies</w:t>
      </w:r>
      <w:r w:rsidRPr="00917F58">
        <w:rPr>
          <w:rFonts w:ascii="Times New Roman" w:eastAsia="inter" w:hAnsi="Times New Roman" w:cs="Times New Roman"/>
          <w:color w:val="000000"/>
          <w:sz w:val="22"/>
        </w:rPr>
        <w:t>, </w:t>
      </w:r>
      <w:r w:rsidRPr="00917F58">
        <w:rPr>
          <w:rFonts w:ascii="Times New Roman" w:eastAsia="inter" w:hAnsi="Times New Roman" w:cs="Times New Roman"/>
          <w:i/>
          <w:iCs/>
          <w:color w:val="000000"/>
          <w:sz w:val="22"/>
        </w:rPr>
        <w:t>20</w:t>
      </w:r>
      <w:r w:rsidRPr="00917F58">
        <w:rPr>
          <w:rFonts w:ascii="Times New Roman" w:eastAsia="inter" w:hAnsi="Times New Roman" w:cs="Times New Roman"/>
          <w:color w:val="000000"/>
          <w:sz w:val="22"/>
        </w:rPr>
        <w:t>(5), 612–628. </w:t>
      </w:r>
      <w:hyperlink r:id="rId10" w:tgtFrame="_blank" w:history="1">
        <w:r w:rsidRPr="00917F58">
          <w:rPr>
            <w:rStyle w:val="Hyperlink"/>
            <w:rFonts w:ascii="Times New Roman" w:eastAsia="inter" w:hAnsi="Times New Roman" w:cs="Times New Roman"/>
            <w:sz w:val="22"/>
          </w:rPr>
          <w:t>https://doi.org/10.1080/14742837.2021.1901234</w:t>
        </w:r>
      </w:hyperlink>
    </w:p>
    <w:p w14:paraId="69B26499" w14:textId="687692A0" w:rsidR="00B12766" w:rsidRPr="00917F58" w:rsidRDefault="00B12766" w:rsidP="00917F58">
      <w:pPr>
        <w:spacing w:after="210" w:line="360" w:lineRule="auto"/>
        <w:rPr>
          <w:rFonts w:ascii="Times New Roman" w:hAnsi="Times New Roman" w:cs="Times New Roman"/>
          <w:sz w:val="22"/>
        </w:rPr>
      </w:pPr>
    </w:p>
    <w:sectPr w:rsidR="00B12766" w:rsidRPr="00917F58">
      <w:pgSz w:w="12240" w:h="15840"/>
      <w:pgMar w:top="1365" w:right="1365" w:bottom="1365" w:left="136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10048E" w14:textId="77777777" w:rsidR="005547C9" w:rsidRDefault="005547C9" w:rsidP="00917F58">
      <w:pPr>
        <w:spacing w:after="0" w:line="240" w:lineRule="auto"/>
      </w:pPr>
      <w:r>
        <w:separator/>
      </w:r>
    </w:p>
  </w:endnote>
  <w:endnote w:type="continuationSeparator" w:id="0">
    <w:p w14:paraId="7F9AE5B2" w14:textId="77777777" w:rsidR="005547C9" w:rsidRDefault="005547C9" w:rsidP="00917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inter">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7638EE" w14:textId="77777777" w:rsidR="005547C9" w:rsidRDefault="005547C9" w:rsidP="00917F58">
      <w:pPr>
        <w:spacing w:after="0" w:line="240" w:lineRule="auto"/>
      </w:pPr>
      <w:r>
        <w:separator/>
      </w:r>
    </w:p>
  </w:footnote>
  <w:footnote w:type="continuationSeparator" w:id="0">
    <w:p w14:paraId="37AB2572" w14:textId="77777777" w:rsidR="005547C9" w:rsidRDefault="005547C9" w:rsidP="00917F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9967A5"/>
    <w:multiLevelType w:val="hybridMultilevel"/>
    <w:tmpl w:val="05CA8EDE"/>
    <w:lvl w:ilvl="0" w:tplc="83A4C9DC">
      <w:start w:val="1"/>
      <w:numFmt w:val="decimal"/>
      <w:lvlText w:val="%1."/>
      <w:lvlJc w:val="left"/>
      <w:pPr>
        <w:tabs>
          <w:tab w:val="num" w:pos="900"/>
        </w:tabs>
        <w:ind w:left="540" w:hanging="360"/>
      </w:pPr>
    </w:lvl>
    <w:lvl w:ilvl="1" w:tplc="875EAEBE">
      <w:numFmt w:val="decimal"/>
      <w:lvlText w:val=""/>
      <w:lvlJc w:val="left"/>
    </w:lvl>
    <w:lvl w:ilvl="2" w:tplc="2C065936">
      <w:numFmt w:val="decimal"/>
      <w:lvlText w:val=""/>
      <w:lvlJc w:val="left"/>
    </w:lvl>
    <w:lvl w:ilvl="3" w:tplc="D240A12A">
      <w:numFmt w:val="decimal"/>
      <w:lvlText w:val=""/>
      <w:lvlJc w:val="left"/>
    </w:lvl>
    <w:lvl w:ilvl="4" w:tplc="590C922C">
      <w:numFmt w:val="decimal"/>
      <w:lvlText w:val=""/>
      <w:lvlJc w:val="left"/>
    </w:lvl>
    <w:lvl w:ilvl="5" w:tplc="3CD8ACA0">
      <w:numFmt w:val="decimal"/>
      <w:lvlText w:val=""/>
      <w:lvlJc w:val="left"/>
    </w:lvl>
    <w:lvl w:ilvl="6" w:tplc="EE9A4A8A">
      <w:numFmt w:val="decimal"/>
      <w:lvlText w:val=""/>
      <w:lvlJc w:val="left"/>
    </w:lvl>
    <w:lvl w:ilvl="7" w:tplc="DE7CD89A">
      <w:numFmt w:val="decimal"/>
      <w:lvlText w:val=""/>
      <w:lvlJc w:val="left"/>
    </w:lvl>
    <w:lvl w:ilvl="8" w:tplc="257A324C">
      <w:numFmt w:val="decimal"/>
      <w:lvlText w:val=""/>
      <w:lvlJc w:val="left"/>
    </w:lvl>
  </w:abstractNum>
  <w:abstractNum w:abstractNumId="1" w15:restartNumberingAfterBreak="0">
    <w:nsid w:val="3EBB5325"/>
    <w:multiLevelType w:val="hybridMultilevel"/>
    <w:tmpl w:val="D55CA74C"/>
    <w:lvl w:ilvl="0" w:tplc="92181888">
      <w:numFmt w:val="decimal"/>
      <w:lvlText w:val=""/>
      <w:lvlJc w:val="left"/>
    </w:lvl>
    <w:lvl w:ilvl="1" w:tplc="7B5012EC">
      <w:numFmt w:val="decimal"/>
      <w:lvlText w:val=""/>
      <w:lvlJc w:val="left"/>
    </w:lvl>
    <w:lvl w:ilvl="2" w:tplc="696A9BA6">
      <w:numFmt w:val="decimal"/>
      <w:lvlText w:val=""/>
      <w:lvlJc w:val="left"/>
    </w:lvl>
    <w:lvl w:ilvl="3" w:tplc="B94E6200">
      <w:numFmt w:val="decimal"/>
      <w:lvlText w:val=""/>
      <w:lvlJc w:val="left"/>
    </w:lvl>
    <w:lvl w:ilvl="4" w:tplc="2B24907E">
      <w:numFmt w:val="decimal"/>
      <w:lvlText w:val=""/>
      <w:lvlJc w:val="left"/>
    </w:lvl>
    <w:lvl w:ilvl="5" w:tplc="B65461A8">
      <w:numFmt w:val="decimal"/>
      <w:lvlText w:val=""/>
      <w:lvlJc w:val="left"/>
    </w:lvl>
    <w:lvl w:ilvl="6" w:tplc="CF50A45E">
      <w:numFmt w:val="decimal"/>
      <w:lvlText w:val=""/>
      <w:lvlJc w:val="left"/>
    </w:lvl>
    <w:lvl w:ilvl="7" w:tplc="1DD61242">
      <w:numFmt w:val="decimal"/>
      <w:lvlText w:val=""/>
      <w:lvlJc w:val="left"/>
    </w:lvl>
    <w:lvl w:ilvl="8" w:tplc="DD3E2EBE">
      <w:numFmt w:val="decimal"/>
      <w:lvlText w:val=""/>
      <w:lvlJc w:val="left"/>
    </w:lvl>
  </w:abstractNum>
  <w:num w:numId="1" w16cid:durableId="1526753712">
    <w:abstractNumId w:val="1"/>
  </w:num>
  <w:num w:numId="2" w16cid:durableId="1783764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766"/>
    <w:rsid w:val="00202AC2"/>
    <w:rsid w:val="005547C9"/>
    <w:rsid w:val="00917F58"/>
    <w:rsid w:val="00B127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7638C"/>
  <w15:docId w15:val="{337951BF-BFFB-44CD-A87B-03B199B82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erbatimChar">
    <w:name w:val="Verbatim Char"/>
    <w:rPr>
      <w:rFonts w:ascii="Consolas" w:hAnsi="Consolas"/>
      <w:sz w:val="22"/>
    </w:rPr>
  </w:style>
  <w:style w:type="paragraph" w:styleId="Header">
    <w:name w:val="header"/>
    <w:basedOn w:val="Normal"/>
    <w:link w:val="HeaderChar"/>
    <w:uiPriority w:val="99"/>
    <w:unhideWhenUsed/>
    <w:rsid w:val="00917F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F58"/>
  </w:style>
  <w:style w:type="paragraph" w:styleId="Footer">
    <w:name w:val="footer"/>
    <w:basedOn w:val="Normal"/>
    <w:link w:val="FooterChar"/>
    <w:uiPriority w:val="99"/>
    <w:unhideWhenUsed/>
    <w:rsid w:val="00917F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F58"/>
  </w:style>
  <w:style w:type="character" w:styleId="Hyperlink">
    <w:name w:val="Hyperlink"/>
    <w:basedOn w:val="DefaultParagraphFont"/>
    <w:uiPriority w:val="99"/>
    <w:unhideWhenUsed/>
    <w:rsid w:val="00917F58"/>
    <w:rPr>
      <w:color w:val="0563C1" w:themeColor="hyperlink"/>
      <w:u w:val="single"/>
    </w:rPr>
  </w:style>
  <w:style w:type="character" w:styleId="UnresolvedMention">
    <w:name w:val="Unresolved Mention"/>
    <w:basedOn w:val="DefaultParagraphFont"/>
    <w:uiPriority w:val="99"/>
    <w:semiHidden/>
    <w:unhideWhenUsed/>
    <w:rsid w:val="00917F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7912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5678/ehp.2019.274150" TargetMode="External"/><Relationship Id="rId3" Type="http://schemas.openxmlformats.org/officeDocument/2006/relationships/settings" Target="settings.xml"/><Relationship Id="rId7" Type="http://schemas.openxmlformats.org/officeDocument/2006/relationships/hyperlink" Target="https://doi.org/10.1234/jes.2021.0450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doi.org/10.1080/14742837.2021.1901234" TargetMode="External"/><Relationship Id="rId4" Type="http://schemas.openxmlformats.org/officeDocument/2006/relationships/webSettings" Target="webSettings.xml"/><Relationship Id="rId9" Type="http://schemas.openxmlformats.org/officeDocument/2006/relationships/hyperlink" Target="https://doi.org/10.1016/j.marpolbul.2022.113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5195</Words>
  <Characters>29612</Characters>
  <Application>Microsoft Office Word</Application>
  <DocSecurity>0</DocSecurity>
  <Lines>246</Lines>
  <Paragraphs>69</Paragraphs>
  <ScaleCrop>false</ScaleCrop>
  <Company/>
  <LinksUpToDate>false</LinksUpToDate>
  <CharactersWithSpaces>34738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Soumyadeep Dutta</cp:lastModifiedBy>
  <cp:revision>2</cp:revision>
  <dcterms:created xsi:type="dcterms:W3CDTF">2025-07-01T23:54:00Z</dcterms:created>
  <dcterms:modified xsi:type="dcterms:W3CDTF">2025-07-02T10:35:00Z</dcterms:modified>
</cp:coreProperties>
</file>