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D751D" w14:textId="5C8FCE4C" w:rsidR="00705C6C" w:rsidRPr="006C683B" w:rsidRDefault="00705C6C" w:rsidP="00705C6C">
      <w:pPr>
        <w:jc w:val="center"/>
        <w:rPr>
          <w:rFonts w:ascii="Times New Roman" w:hAnsi="Times New Roman" w:cs="Times New Roman"/>
          <w:b/>
          <w:bCs/>
          <w:sz w:val="24"/>
          <w:szCs w:val="24"/>
        </w:rPr>
      </w:pPr>
      <w:r w:rsidRPr="006C683B">
        <w:rPr>
          <w:rStyle w:val="Strong"/>
          <w:rFonts w:ascii="Times New Roman" w:hAnsi="Times New Roman" w:cs="Times New Roman"/>
          <w:sz w:val="24"/>
          <w:szCs w:val="24"/>
        </w:rPr>
        <w:t>ASSESSMENT OF CHEMOTHERAPY RESPONSE IN COLORECTAL CANCER USING</w:t>
      </w:r>
      <w:r w:rsidRPr="006C683B">
        <w:rPr>
          <w:rStyle w:val="Strong"/>
          <w:rFonts w:ascii="Times New Roman" w:hAnsi="Times New Roman" w:cs="Times New Roman"/>
          <w:b w:val="0"/>
          <w:bCs w:val="0"/>
          <w:sz w:val="24"/>
          <w:szCs w:val="24"/>
        </w:rPr>
        <w:t xml:space="preserve"> </w:t>
      </w:r>
      <w:r w:rsidRPr="006C683B">
        <w:rPr>
          <w:rFonts w:ascii="Times New Roman" w:eastAsia="inter" w:hAnsi="Times New Roman" w:cs="Times New Roman"/>
          <w:b/>
          <w:bCs/>
          <w:color w:val="000000"/>
          <w:sz w:val="24"/>
          <w:szCs w:val="24"/>
        </w:rPr>
        <w:t xml:space="preserve">PET-CT </w:t>
      </w:r>
      <w:r w:rsidRPr="006C683B">
        <w:rPr>
          <w:rStyle w:val="Strong"/>
          <w:rFonts w:ascii="Times New Roman" w:hAnsi="Times New Roman" w:cs="Times New Roman"/>
          <w:sz w:val="24"/>
          <w:szCs w:val="24"/>
        </w:rPr>
        <w:t>VERSUS</w:t>
      </w:r>
      <w:r w:rsidRPr="006C683B">
        <w:rPr>
          <w:rStyle w:val="Strong"/>
          <w:rFonts w:ascii="Times New Roman" w:hAnsi="Times New Roman" w:cs="Times New Roman"/>
          <w:b w:val="0"/>
          <w:bCs w:val="0"/>
          <w:sz w:val="24"/>
          <w:szCs w:val="24"/>
        </w:rPr>
        <w:t xml:space="preserve"> </w:t>
      </w:r>
      <w:r w:rsidRPr="006C683B">
        <w:rPr>
          <w:rFonts w:ascii="Times New Roman" w:eastAsia="inter" w:hAnsi="Times New Roman" w:cs="Times New Roman"/>
          <w:b/>
          <w:bCs/>
          <w:color w:val="000000"/>
          <w:sz w:val="24"/>
          <w:szCs w:val="24"/>
        </w:rPr>
        <w:t>DWI-MRI</w:t>
      </w:r>
    </w:p>
    <w:p w14:paraId="3A89B15A" w14:textId="6861E4AA" w:rsidR="00705C6C" w:rsidRPr="006C683B" w:rsidRDefault="00705C6C" w:rsidP="004861EB">
      <w:pPr>
        <w:spacing w:before="100" w:beforeAutospacing="1" w:after="100" w:afterAutospacing="1" w:line="240" w:lineRule="auto"/>
        <w:outlineLvl w:val="0"/>
        <w:rPr>
          <w:rFonts w:ascii="Times New Roman" w:eastAsia="Times New Roman" w:hAnsi="Times New Roman" w:cs="Times New Roman"/>
          <w:b/>
          <w:bCs/>
          <w:kern w:val="36"/>
          <w:sz w:val="24"/>
          <w:szCs w:val="24"/>
          <w:lang w:val="en-PK" w:eastAsia="en-PK"/>
        </w:rPr>
      </w:pPr>
    </w:p>
    <w:p w14:paraId="0E8E4280" w14:textId="0299DBD4" w:rsidR="00916D70" w:rsidRPr="006C683B" w:rsidRDefault="00916D70" w:rsidP="004861EB">
      <w:pPr>
        <w:spacing w:before="100" w:beforeAutospacing="1" w:after="100" w:afterAutospacing="1" w:line="240" w:lineRule="auto"/>
        <w:outlineLvl w:val="0"/>
        <w:rPr>
          <w:rFonts w:ascii="Times New Roman" w:eastAsia="Times New Roman" w:hAnsi="Times New Roman" w:cs="Times New Roman"/>
          <w:b/>
          <w:bCs/>
          <w:kern w:val="36"/>
          <w:sz w:val="24"/>
          <w:szCs w:val="24"/>
          <w:lang w:val="en-PK" w:eastAsia="en-PK"/>
        </w:rPr>
      </w:pPr>
    </w:p>
    <w:p w14:paraId="7C8361D7" w14:textId="03FC7424" w:rsidR="00AD132F" w:rsidRPr="006C683B" w:rsidRDefault="00AD132F" w:rsidP="00AD132F">
      <w:pPr>
        <w:pStyle w:val="Heading1"/>
        <w:rPr>
          <w:rFonts w:ascii="Times New Roman" w:hAnsi="Times New Roman" w:cs="Times New Roman"/>
          <w:b/>
          <w:bCs/>
          <w:color w:val="000000" w:themeColor="text1"/>
          <w:sz w:val="24"/>
          <w:szCs w:val="24"/>
        </w:rPr>
      </w:pPr>
      <w:r w:rsidRPr="006C683B">
        <w:rPr>
          <w:rFonts w:ascii="Times New Roman" w:hAnsi="Times New Roman" w:cs="Times New Roman"/>
          <w:b/>
          <w:bCs/>
          <w:color w:val="000000" w:themeColor="text1"/>
          <w:sz w:val="24"/>
          <w:szCs w:val="24"/>
        </w:rPr>
        <w:t>ABSTRACT</w:t>
      </w:r>
    </w:p>
    <w:p w14:paraId="574D7ADA" w14:textId="109BA040" w:rsidR="00AD132F" w:rsidRPr="006C683B" w:rsidRDefault="00AD132F" w:rsidP="00AD132F">
      <w:pPr>
        <w:pStyle w:val="my-0"/>
      </w:pPr>
      <w:r w:rsidRPr="006C683B">
        <w:rPr>
          <w:rStyle w:val="Strong"/>
        </w:rPr>
        <w:t>Background:</w:t>
      </w:r>
      <w:r w:rsidRPr="006C683B">
        <w:t xml:space="preserve"> </w:t>
      </w:r>
      <w:r w:rsidR="0069639F" w:rsidRPr="006C683B">
        <w:t>Evaluating therapeutic efficacy in colorectal malignancies presents significant challenges when relying solely on conventional anatomical imaging approaches. The present investigation evaluated the comparative diagnostic effectiveness of integrated positron emission tomography-computed tomography (PET-CT) against diffusion-weighted magnetic resonance imaging (DWI-MRI) for monitoring treatment response among colorectal cancer patients.</w:t>
      </w:r>
    </w:p>
    <w:p w14:paraId="206317EC" w14:textId="32897F0B" w:rsidR="00820D43" w:rsidRPr="006C683B" w:rsidRDefault="00AD132F" w:rsidP="00820D43">
      <w:pPr>
        <w:rPr>
          <w:rFonts w:ascii="Times New Roman" w:eastAsia="Times New Roman" w:hAnsi="Times New Roman" w:cs="Times New Roman"/>
          <w:sz w:val="24"/>
          <w:szCs w:val="24"/>
          <w:lang w:val="en-PK" w:eastAsia="en-PK"/>
        </w:rPr>
      </w:pPr>
      <w:r w:rsidRPr="006C683B">
        <w:rPr>
          <w:rStyle w:val="Strong"/>
          <w:rFonts w:ascii="Times New Roman" w:hAnsi="Times New Roman" w:cs="Times New Roman"/>
          <w:sz w:val="24"/>
          <w:szCs w:val="24"/>
        </w:rPr>
        <w:t>Materials and Methods:</w:t>
      </w:r>
      <w:r w:rsidRPr="006C683B">
        <w:rPr>
          <w:rFonts w:ascii="Times New Roman" w:hAnsi="Times New Roman" w:cs="Times New Roman"/>
          <w:sz w:val="24"/>
          <w:szCs w:val="24"/>
        </w:rPr>
        <w:t xml:space="preserve"> </w:t>
      </w:r>
      <w:r w:rsidR="00820D43" w:rsidRPr="006C683B">
        <w:rPr>
          <w:rFonts w:ascii="Times New Roman" w:eastAsia="Times New Roman" w:hAnsi="Times New Roman" w:cs="Times New Roman"/>
          <w:sz w:val="24"/>
          <w:szCs w:val="24"/>
          <w:lang w:val="en-PK" w:eastAsia="en-PK"/>
        </w:rPr>
        <w:t xml:space="preserve">This prospective comparative analysis included 132 histologically confirmed </w:t>
      </w:r>
      <w:r w:rsidR="0036442F" w:rsidRPr="006C683B">
        <w:rPr>
          <w:rFonts w:ascii="Times New Roman" w:eastAsia="Times New Roman" w:hAnsi="Times New Roman" w:cs="Times New Roman"/>
          <w:sz w:val="24"/>
          <w:szCs w:val="24"/>
          <w:lang w:val="en-PK" w:eastAsia="en-PK"/>
        </w:rPr>
        <w:t xml:space="preserve">patients with colorectal cancer </w:t>
      </w:r>
      <w:r w:rsidR="00820D43" w:rsidRPr="006C683B">
        <w:rPr>
          <w:rFonts w:ascii="Times New Roman" w:eastAsia="Times New Roman" w:hAnsi="Times New Roman" w:cs="Times New Roman"/>
          <w:sz w:val="24"/>
          <w:szCs w:val="24"/>
          <w:lang w:val="en-PK" w:eastAsia="en-PK"/>
        </w:rPr>
        <w:t xml:space="preserve">planned for first-line chemotherapy (FOLFOX, FOLFIRI, or CAPOX). Twelve of 132 patients left the study during follow-up. Patients </w:t>
      </w:r>
      <w:r w:rsidR="0036442F" w:rsidRPr="006C683B">
        <w:rPr>
          <w:rFonts w:ascii="Times New Roman" w:eastAsia="Times New Roman" w:hAnsi="Times New Roman" w:cs="Times New Roman"/>
          <w:sz w:val="24"/>
          <w:szCs w:val="24"/>
          <w:lang w:val="en-PK" w:eastAsia="en-PK"/>
        </w:rPr>
        <w:t>underwent baseline PET-CT and DWI-MRI exams, with repeat scans</w:t>
      </w:r>
      <w:r w:rsidR="00820D43" w:rsidRPr="006C683B">
        <w:rPr>
          <w:rFonts w:ascii="Times New Roman" w:eastAsia="Times New Roman" w:hAnsi="Times New Roman" w:cs="Times New Roman"/>
          <w:sz w:val="24"/>
          <w:szCs w:val="24"/>
          <w:lang w:val="en-PK" w:eastAsia="en-PK"/>
        </w:rPr>
        <w:t xml:space="preserve"> at </w:t>
      </w:r>
      <w:proofErr w:type="gramStart"/>
      <w:r w:rsidR="00820D43" w:rsidRPr="006C683B">
        <w:rPr>
          <w:rFonts w:ascii="Times New Roman" w:eastAsia="Times New Roman" w:hAnsi="Times New Roman" w:cs="Times New Roman"/>
          <w:sz w:val="24"/>
          <w:szCs w:val="24"/>
          <w:lang w:val="en-PK" w:eastAsia="en-PK"/>
        </w:rPr>
        <w:t>3, 6, and 12 weeks</w:t>
      </w:r>
      <w:proofErr w:type="gramEnd"/>
      <w:r w:rsidR="00820D43" w:rsidRPr="006C683B">
        <w:rPr>
          <w:rFonts w:ascii="Times New Roman" w:eastAsia="Times New Roman" w:hAnsi="Times New Roman" w:cs="Times New Roman"/>
          <w:sz w:val="24"/>
          <w:szCs w:val="24"/>
          <w:lang w:val="en-PK" w:eastAsia="en-PK"/>
        </w:rPr>
        <w:t xml:space="preserve"> post-treatment. Response assessment used RECIST v1.1 for morphology, PERCIST v1.0 for metabolism, and quantitative apparent diffusion coefficient (ADC) analysis for DWI-MRI. Survival outcomes, correlation studies, and receiver operating characteristic curve analysis were used.</w:t>
      </w:r>
    </w:p>
    <w:p w14:paraId="416CE664" w14:textId="01FDFB9B" w:rsidR="00820D43" w:rsidRPr="006C683B" w:rsidRDefault="00AD132F" w:rsidP="00820D43">
      <w:pPr>
        <w:rPr>
          <w:rFonts w:ascii="Times New Roman" w:eastAsia="Times New Roman" w:hAnsi="Times New Roman" w:cs="Times New Roman"/>
          <w:sz w:val="24"/>
          <w:szCs w:val="24"/>
          <w:lang w:val="en-PK" w:eastAsia="en-PK"/>
        </w:rPr>
      </w:pPr>
      <w:r w:rsidRPr="006C683B">
        <w:rPr>
          <w:rStyle w:val="Strong"/>
          <w:rFonts w:ascii="Times New Roman" w:hAnsi="Times New Roman" w:cs="Times New Roman"/>
          <w:sz w:val="24"/>
          <w:szCs w:val="24"/>
        </w:rPr>
        <w:t>Results:</w:t>
      </w:r>
      <w:r w:rsidRPr="006C683B">
        <w:rPr>
          <w:rFonts w:ascii="Times New Roman" w:hAnsi="Times New Roman" w:cs="Times New Roman"/>
          <w:sz w:val="24"/>
          <w:szCs w:val="24"/>
        </w:rPr>
        <w:t xml:space="preserve"> </w:t>
      </w:r>
      <w:r w:rsidR="00820D43" w:rsidRPr="006C683B">
        <w:rPr>
          <w:rFonts w:ascii="Times New Roman" w:eastAsia="Times New Roman" w:hAnsi="Times New Roman" w:cs="Times New Roman"/>
          <w:sz w:val="24"/>
          <w:szCs w:val="24"/>
          <w:lang w:val="en-PK" w:eastAsia="en-PK"/>
        </w:rPr>
        <w:t xml:space="preserve">Patients had a mean age of 62.7±9.6 years, with 51.7% men. PET-CT indicated a 36.0±25.3% </w:t>
      </w:r>
      <w:proofErr w:type="spellStart"/>
      <w:r w:rsidR="00820D43" w:rsidRPr="006C683B">
        <w:rPr>
          <w:rFonts w:ascii="Times New Roman" w:eastAsia="Times New Roman" w:hAnsi="Times New Roman" w:cs="Times New Roman"/>
          <w:sz w:val="24"/>
          <w:szCs w:val="24"/>
          <w:lang w:val="en-PK" w:eastAsia="en-PK"/>
        </w:rPr>
        <w:t>SUVmax</w:t>
      </w:r>
      <w:proofErr w:type="spellEnd"/>
      <w:r w:rsidR="00820D43" w:rsidRPr="006C683B">
        <w:rPr>
          <w:rFonts w:ascii="Times New Roman" w:eastAsia="Times New Roman" w:hAnsi="Times New Roman" w:cs="Times New Roman"/>
          <w:sz w:val="24"/>
          <w:szCs w:val="24"/>
          <w:lang w:val="en-PK" w:eastAsia="en-PK"/>
        </w:rPr>
        <w:t xml:space="preserve"> reduction</w:t>
      </w:r>
      <w:r w:rsidR="0036442F" w:rsidRPr="006C683B">
        <w:rPr>
          <w:rFonts w:ascii="Times New Roman" w:eastAsia="Times New Roman" w:hAnsi="Times New Roman" w:cs="Times New Roman"/>
          <w:sz w:val="24"/>
          <w:szCs w:val="24"/>
          <w:lang w:val="en-PK" w:eastAsia="en-PK"/>
        </w:rPr>
        <w:t>,</w:t>
      </w:r>
      <w:r w:rsidR="00820D43" w:rsidRPr="006C683B">
        <w:rPr>
          <w:rFonts w:ascii="Times New Roman" w:eastAsia="Times New Roman" w:hAnsi="Times New Roman" w:cs="Times New Roman"/>
          <w:sz w:val="24"/>
          <w:szCs w:val="24"/>
          <w:lang w:val="en-PK" w:eastAsia="en-PK"/>
        </w:rPr>
        <w:t xml:space="preserve"> and DWI-MRI showed a 51.4±42.1% ADC rise at 12 weeks (p&lt;0.001). A significant negative association (r = -0.732, p &lt; 0.001) occurred between </w:t>
      </w:r>
      <w:proofErr w:type="spellStart"/>
      <w:r w:rsidR="00820D43" w:rsidRPr="006C683B">
        <w:rPr>
          <w:rFonts w:ascii="Times New Roman" w:eastAsia="Times New Roman" w:hAnsi="Times New Roman" w:cs="Times New Roman"/>
          <w:sz w:val="24"/>
          <w:szCs w:val="24"/>
          <w:lang w:val="en-PK" w:eastAsia="en-PK"/>
        </w:rPr>
        <w:t>SUVmax</w:t>
      </w:r>
      <w:proofErr w:type="spellEnd"/>
      <w:r w:rsidR="00820D43" w:rsidRPr="006C683B">
        <w:rPr>
          <w:rFonts w:ascii="Times New Roman" w:eastAsia="Times New Roman" w:hAnsi="Times New Roman" w:cs="Times New Roman"/>
          <w:sz w:val="24"/>
          <w:szCs w:val="24"/>
          <w:lang w:val="en-PK" w:eastAsia="en-PK"/>
        </w:rPr>
        <w:t xml:space="preserve"> and ADC values. DWI-MRI outperformed PET-CT in </w:t>
      </w:r>
      <w:r w:rsidR="0036442F" w:rsidRPr="006C683B">
        <w:rPr>
          <w:rFonts w:ascii="Times New Roman" w:eastAsia="Times New Roman" w:hAnsi="Times New Roman" w:cs="Times New Roman"/>
          <w:sz w:val="24"/>
          <w:szCs w:val="24"/>
          <w:lang w:val="en-PK" w:eastAsia="en-PK"/>
        </w:rPr>
        <w:t>terms of diagnostic performance, with an AUC of 0.887 (p = 0.156), a sensitivity of 90.9% compared to 84.4%, and a specificity of 76.7% compared to</w:t>
      </w:r>
      <w:r w:rsidR="00820D43" w:rsidRPr="006C683B">
        <w:rPr>
          <w:rFonts w:ascii="Times New Roman" w:eastAsia="Times New Roman" w:hAnsi="Times New Roman" w:cs="Times New Roman"/>
          <w:sz w:val="24"/>
          <w:szCs w:val="24"/>
          <w:lang w:val="en-PK" w:eastAsia="en-PK"/>
        </w:rPr>
        <w:t xml:space="preserve"> 72.1%. Concordant responders </w:t>
      </w:r>
      <w:r w:rsidR="0036442F" w:rsidRPr="006C683B">
        <w:rPr>
          <w:rFonts w:ascii="Times New Roman" w:eastAsia="Times New Roman" w:hAnsi="Times New Roman" w:cs="Times New Roman"/>
          <w:sz w:val="24"/>
          <w:szCs w:val="24"/>
          <w:lang w:val="en-PK" w:eastAsia="en-PK"/>
        </w:rPr>
        <w:t xml:space="preserve">demonstrated better progression-free survival (18.0 vs. 4.8 months, p &lt; </w:t>
      </w:r>
      <w:r w:rsidR="00820D43" w:rsidRPr="006C683B">
        <w:rPr>
          <w:rFonts w:ascii="Times New Roman" w:eastAsia="Times New Roman" w:hAnsi="Times New Roman" w:cs="Times New Roman"/>
          <w:sz w:val="24"/>
          <w:szCs w:val="24"/>
          <w:lang w:val="en-PK" w:eastAsia="en-PK"/>
        </w:rPr>
        <w:t>0.001) and overall survival.</w:t>
      </w:r>
    </w:p>
    <w:p w14:paraId="54C8D70A" w14:textId="09CF5602" w:rsidR="00AD132F" w:rsidRPr="006C683B" w:rsidRDefault="00AD132F" w:rsidP="00AD132F">
      <w:pPr>
        <w:pStyle w:val="my-0"/>
      </w:pPr>
      <w:r w:rsidRPr="006C683B">
        <w:rPr>
          <w:rStyle w:val="Strong"/>
        </w:rPr>
        <w:t>Conclusion:</w:t>
      </w:r>
      <w:r w:rsidRPr="006C683B">
        <w:t xml:space="preserve"> Both PET-CT and DWI-MRI demonstrate excellent diagnostic performance for </w:t>
      </w:r>
      <w:r w:rsidR="00F02B59" w:rsidRPr="006C683B">
        <w:t>assessing chemotherapy response</w:t>
      </w:r>
      <w:r w:rsidRPr="006C683B">
        <w:t>, with DWI-MRI showing marginal superiority in sensitivity and predictive accuracy, supporting its use as a radiation-free alternative for treatment monitoring.</w:t>
      </w:r>
    </w:p>
    <w:p w14:paraId="639317C0" w14:textId="7C61A9C4" w:rsidR="00916D70" w:rsidRPr="006C683B" w:rsidRDefault="00AD132F" w:rsidP="00AD132F">
      <w:pPr>
        <w:pStyle w:val="Heading1"/>
        <w:rPr>
          <w:rFonts w:ascii="Times New Roman" w:hAnsi="Times New Roman" w:cs="Times New Roman"/>
          <w:color w:val="000000" w:themeColor="text1"/>
          <w:sz w:val="24"/>
          <w:szCs w:val="24"/>
        </w:rPr>
      </w:pPr>
      <w:r w:rsidRPr="006C683B">
        <w:rPr>
          <w:rFonts w:ascii="Times New Roman" w:hAnsi="Times New Roman" w:cs="Times New Roman"/>
          <w:b/>
          <w:bCs/>
          <w:color w:val="000000" w:themeColor="text1"/>
          <w:sz w:val="24"/>
          <w:szCs w:val="24"/>
        </w:rPr>
        <w:t xml:space="preserve">Keywords: </w:t>
      </w:r>
      <w:r w:rsidRPr="006C683B">
        <w:rPr>
          <w:rFonts w:ascii="Times New Roman" w:hAnsi="Times New Roman" w:cs="Times New Roman"/>
          <w:color w:val="000000" w:themeColor="text1"/>
          <w:sz w:val="24"/>
          <w:szCs w:val="24"/>
        </w:rPr>
        <w:t>Colorectal cancer, Chemotherapy, Positron emission tomography–computed tomography, Diffusion-weighted MRI</w:t>
      </w:r>
      <w:r w:rsidR="00F02B59" w:rsidRPr="006C683B">
        <w:rPr>
          <w:rFonts w:ascii="Times New Roman" w:hAnsi="Times New Roman" w:cs="Times New Roman"/>
          <w:color w:val="000000" w:themeColor="text1"/>
          <w:sz w:val="24"/>
          <w:szCs w:val="24"/>
        </w:rPr>
        <w:t>,</w:t>
      </w:r>
      <w:r w:rsidRPr="006C683B">
        <w:rPr>
          <w:rFonts w:ascii="Times New Roman" w:hAnsi="Times New Roman" w:cs="Times New Roman"/>
          <w:color w:val="000000" w:themeColor="text1"/>
          <w:sz w:val="24"/>
          <w:szCs w:val="24"/>
        </w:rPr>
        <w:t xml:space="preserve"> Diagnostic performance</w:t>
      </w:r>
    </w:p>
    <w:p w14:paraId="419ADDF1" w14:textId="6D4148B4" w:rsidR="00AD132F" w:rsidRPr="006C683B" w:rsidRDefault="00AD132F" w:rsidP="00AD132F">
      <w:pPr>
        <w:rPr>
          <w:rFonts w:ascii="Times New Roman" w:hAnsi="Times New Roman" w:cs="Times New Roman"/>
          <w:sz w:val="24"/>
          <w:szCs w:val="24"/>
        </w:rPr>
      </w:pPr>
    </w:p>
    <w:p w14:paraId="7C8F1FA4" w14:textId="77777777" w:rsidR="00AD132F" w:rsidRPr="006C683B" w:rsidRDefault="00AD132F" w:rsidP="00AD132F">
      <w:pPr>
        <w:rPr>
          <w:rFonts w:ascii="Times New Roman" w:hAnsi="Times New Roman" w:cs="Times New Roman"/>
          <w:sz w:val="24"/>
          <w:szCs w:val="24"/>
        </w:rPr>
      </w:pPr>
    </w:p>
    <w:p w14:paraId="6ED15199" w14:textId="6BEFBE4A" w:rsidR="00916D70" w:rsidRPr="006C683B" w:rsidRDefault="00AD132F" w:rsidP="00916D70">
      <w:pPr>
        <w:spacing w:before="315" w:after="105" w:line="360" w:lineRule="auto"/>
        <w:ind w:left="-30"/>
        <w:rPr>
          <w:rFonts w:ascii="Times New Roman" w:hAnsi="Times New Roman" w:cs="Times New Roman"/>
          <w:sz w:val="24"/>
          <w:szCs w:val="24"/>
        </w:rPr>
      </w:pPr>
      <w:r w:rsidRPr="006C683B">
        <w:rPr>
          <w:rFonts w:ascii="Times New Roman" w:eastAsia="inter" w:hAnsi="Times New Roman" w:cs="Times New Roman"/>
          <w:b/>
          <w:color w:val="000000"/>
          <w:sz w:val="24"/>
          <w:szCs w:val="24"/>
        </w:rPr>
        <w:lastRenderedPageBreak/>
        <w:t>INTRODUCTION</w:t>
      </w:r>
    </w:p>
    <w:p w14:paraId="6F344B7F" w14:textId="441E3A2D" w:rsidR="00916D70" w:rsidRPr="006C683B" w:rsidRDefault="0069639F" w:rsidP="00916D70">
      <w:pPr>
        <w:spacing w:after="210" w:line="360" w:lineRule="auto"/>
        <w:rPr>
          <w:rFonts w:ascii="Times New Roman" w:hAnsi="Times New Roman" w:cs="Times New Roman"/>
          <w:sz w:val="24"/>
          <w:szCs w:val="24"/>
        </w:rPr>
      </w:pPr>
      <w:bookmarkStart w:id="0" w:name="fnref1"/>
      <w:bookmarkEnd w:id="0"/>
      <w:r w:rsidRPr="006C683B">
        <w:rPr>
          <w:rFonts w:ascii="Times New Roman" w:hAnsi="Times New Roman" w:cs="Times New Roman"/>
          <w:sz w:val="24"/>
          <w:szCs w:val="24"/>
        </w:rPr>
        <w:t xml:space="preserve">Globally, colorectal malignancy stands among the leading cancer types, accounting for nearly 1.9 million annual diagnoses and resulting in more than 935,000 fatalities each year </w:t>
      </w:r>
      <w:hyperlink w:anchor="fn1">
        <w:r w:rsidR="00916D70" w:rsidRPr="006C683B">
          <w:rPr>
            <w:rFonts w:ascii="Times New Roman" w:eastAsia="inter" w:hAnsi="Times New Roman" w:cs="Times New Roman"/>
            <w:color w:val="FF0000"/>
            <w:sz w:val="24"/>
            <w:szCs w:val="24"/>
            <w:u w:val="single"/>
            <w:vertAlign w:val="superscript"/>
          </w:rPr>
          <w:t>[1]</w:t>
        </w:r>
      </w:hyperlink>
      <w:bookmarkStart w:id="1" w:name="fnref2"/>
      <w:bookmarkEnd w:id="1"/>
      <w:r w:rsidR="00916D70" w:rsidRPr="006C683B">
        <w:rPr>
          <w:rFonts w:ascii="Times New Roman" w:hAnsi="Times New Roman" w:cs="Times New Roman"/>
          <w:color w:val="FF0000"/>
          <w:sz w:val="24"/>
          <w:szCs w:val="24"/>
        </w:rPr>
        <w:fldChar w:fldCharType="begin"/>
      </w:r>
      <w:r w:rsidR="00916D70" w:rsidRPr="006C683B">
        <w:rPr>
          <w:rFonts w:ascii="Times New Roman" w:hAnsi="Times New Roman" w:cs="Times New Roman"/>
          <w:color w:val="FF0000"/>
          <w:sz w:val="24"/>
          <w:szCs w:val="24"/>
        </w:rPr>
        <w:instrText xml:space="preserve"> HYPERLINK \l "fn2" \h </w:instrText>
      </w:r>
      <w:r w:rsidR="00916D70" w:rsidRPr="006C683B">
        <w:rPr>
          <w:rFonts w:ascii="Times New Roman" w:hAnsi="Times New Roman" w:cs="Times New Roman"/>
          <w:color w:val="FF0000"/>
          <w:sz w:val="24"/>
          <w:szCs w:val="24"/>
        </w:rPr>
        <w:fldChar w:fldCharType="separate"/>
      </w:r>
      <w:r w:rsidR="00916D70" w:rsidRPr="006C683B">
        <w:rPr>
          <w:rFonts w:ascii="Times New Roman" w:eastAsia="inter" w:hAnsi="Times New Roman" w:cs="Times New Roman"/>
          <w:color w:val="FF0000"/>
          <w:sz w:val="24"/>
          <w:szCs w:val="24"/>
          <w:u w:val="single"/>
          <w:vertAlign w:val="superscript"/>
        </w:rPr>
        <w:t>[2]</w:t>
      </w:r>
      <w:r w:rsidR="00916D70" w:rsidRPr="006C683B">
        <w:rPr>
          <w:rFonts w:ascii="Times New Roman" w:eastAsia="inter" w:hAnsi="Times New Roman" w:cs="Times New Roman"/>
          <w:color w:val="FF0000"/>
          <w:sz w:val="24"/>
          <w:szCs w:val="24"/>
          <w:u w:val="single"/>
          <w:vertAlign w:val="superscript"/>
        </w:rPr>
        <w:fldChar w:fldCharType="end"/>
      </w:r>
      <w:r w:rsidR="00916D70" w:rsidRPr="006C683B">
        <w:rPr>
          <w:rFonts w:ascii="Times New Roman" w:eastAsia="inter" w:hAnsi="Times New Roman" w:cs="Times New Roman"/>
          <w:color w:val="FF0000"/>
          <w:sz w:val="24"/>
          <w:szCs w:val="24"/>
        </w:rPr>
        <w:t>.</w:t>
      </w:r>
      <w:r w:rsidR="00916D70" w:rsidRPr="006C683B">
        <w:rPr>
          <w:rFonts w:ascii="Times New Roman" w:eastAsia="inter" w:hAnsi="Times New Roman" w:cs="Times New Roman"/>
          <w:color w:val="000000"/>
          <w:sz w:val="24"/>
          <w:szCs w:val="24"/>
        </w:rPr>
        <w:t xml:space="preserve"> </w:t>
      </w:r>
      <w:bookmarkStart w:id="2" w:name="fnref3"/>
      <w:bookmarkEnd w:id="2"/>
      <w:r w:rsidRPr="006C683B">
        <w:rPr>
          <w:rFonts w:ascii="Times New Roman" w:hAnsi="Times New Roman" w:cs="Times New Roman"/>
          <w:sz w:val="24"/>
          <w:szCs w:val="24"/>
        </w:rPr>
        <w:t xml:space="preserve">Advanced colorectal cancer treatment strategies predominantly utilize systemic chemotherapeutic protocols, with initial therapeutic regimens demonstrating response frequencies ranging from 60-70% in patients with metastatic presentations </w:t>
      </w:r>
      <w:hyperlink w:anchor="fn3">
        <w:r w:rsidR="00916D70" w:rsidRPr="006C683B">
          <w:rPr>
            <w:rFonts w:ascii="Times New Roman" w:eastAsia="inter" w:hAnsi="Times New Roman" w:cs="Times New Roman"/>
            <w:color w:val="FF0000"/>
            <w:sz w:val="24"/>
            <w:szCs w:val="24"/>
            <w:u w:val="single"/>
            <w:vertAlign w:val="superscript"/>
          </w:rPr>
          <w:t>[3]</w:t>
        </w:r>
      </w:hyperlink>
      <w:bookmarkStart w:id="3" w:name="fnref4"/>
      <w:bookmarkEnd w:id="3"/>
      <w:r w:rsidR="00916D70" w:rsidRPr="006C683B">
        <w:rPr>
          <w:rFonts w:ascii="Times New Roman" w:hAnsi="Times New Roman" w:cs="Times New Roman"/>
          <w:color w:val="FF0000"/>
          <w:sz w:val="24"/>
          <w:szCs w:val="24"/>
        </w:rPr>
        <w:fldChar w:fldCharType="begin"/>
      </w:r>
      <w:r w:rsidR="00916D70" w:rsidRPr="006C683B">
        <w:rPr>
          <w:rFonts w:ascii="Times New Roman" w:hAnsi="Times New Roman" w:cs="Times New Roman"/>
          <w:color w:val="FF0000"/>
          <w:sz w:val="24"/>
          <w:szCs w:val="24"/>
        </w:rPr>
        <w:instrText xml:space="preserve"> HYPERLINK \l "fn4" \h </w:instrText>
      </w:r>
      <w:r w:rsidR="00916D70" w:rsidRPr="006C683B">
        <w:rPr>
          <w:rFonts w:ascii="Times New Roman" w:hAnsi="Times New Roman" w:cs="Times New Roman"/>
          <w:color w:val="FF0000"/>
          <w:sz w:val="24"/>
          <w:szCs w:val="24"/>
        </w:rPr>
        <w:fldChar w:fldCharType="separate"/>
      </w:r>
      <w:r w:rsidR="00916D70" w:rsidRPr="006C683B">
        <w:rPr>
          <w:rFonts w:ascii="Times New Roman" w:eastAsia="inter" w:hAnsi="Times New Roman" w:cs="Times New Roman"/>
          <w:color w:val="FF0000"/>
          <w:sz w:val="24"/>
          <w:szCs w:val="24"/>
          <w:u w:val="single"/>
          <w:vertAlign w:val="superscript"/>
        </w:rPr>
        <w:t>[4]</w:t>
      </w:r>
      <w:r w:rsidR="00916D70" w:rsidRPr="006C683B">
        <w:rPr>
          <w:rFonts w:ascii="Times New Roman" w:eastAsia="inter" w:hAnsi="Times New Roman" w:cs="Times New Roman"/>
          <w:color w:val="FF0000"/>
          <w:sz w:val="24"/>
          <w:szCs w:val="24"/>
          <w:u w:val="single"/>
          <w:vertAlign w:val="superscript"/>
        </w:rPr>
        <w:fldChar w:fldCharType="end"/>
      </w:r>
      <w:r w:rsidR="00916D70" w:rsidRPr="006C683B">
        <w:rPr>
          <w:rFonts w:ascii="Times New Roman" w:eastAsia="inter" w:hAnsi="Times New Roman" w:cs="Times New Roman"/>
          <w:color w:val="FF0000"/>
          <w:sz w:val="24"/>
          <w:szCs w:val="24"/>
        </w:rPr>
        <w:t>.</w:t>
      </w:r>
      <w:r w:rsidR="00916D70" w:rsidRPr="006C683B">
        <w:rPr>
          <w:rFonts w:ascii="Times New Roman" w:eastAsia="inter" w:hAnsi="Times New Roman" w:cs="Times New Roman"/>
          <w:color w:val="000000"/>
          <w:sz w:val="24"/>
          <w:szCs w:val="24"/>
        </w:rPr>
        <w:t xml:space="preserve"> </w:t>
      </w:r>
      <w:r w:rsidRPr="006C683B">
        <w:rPr>
          <w:rFonts w:ascii="Times New Roman" w:hAnsi="Times New Roman" w:cs="Times New Roman"/>
          <w:sz w:val="24"/>
          <w:szCs w:val="24"/>
        </w:rPr>
        <w:t xml:space="preserve">Nevertheless, precise and prompt evaluation of therapeutic response continues to pose substantial difficulties in enhancing patient outcomes while reducing avoidable treatment-related adverse effects </w:t>
      </w:r>
      <w:r w:rsidR="00916D70" w:rsidRPr="006C683B">
        <w:rPr>
          <w:rFonts w:ascii="Times New Roman" w:eastAsia="inter" w:hAnsi="Times New Roman" w:cs="Times New Roman"/>
          <w:color w:val="000000"/>
          <w:sz w:val="24"/>
          <w:szCs w:val="24"/>
        </w:rPr>
        <w:t xml:space="preserve"> </w:t>
      </w:r>
      <w:bookmarkStart w:id="4" w:name="fnref5"/>
      <w:bookmarkEnd w:id="4"/>
      <w:r w:rsidR="00916D70" w:rsidRPr="006C683B">
        <w:rPr>
          <w:rFonts w:ascii="Times New Roman" w:hAnsi="Times New Roman" w:cs="Times New Roman"/>
          <w:color w:val="FF0000"/>
          <w:sz w:val="24"/>
          <w:szCs w:val="24"/>
        </w:rPr>
        <w:fldChar w:fldCharType="begin"/>
      </w:r>
      <w:r w:rsidR="00916D70" w:rsidRPr="006C683B">
        <w:rPr>
          <w:rFonts w:ascii="Times New Roman" w:hAnsi="Times New Roman" w:cs="Times New Roman"/>
          <w:color w:val="FF0000"/>
          <w:sz w:val="24"/>
          <w:szCs w:val="24"/>
        </w:rPr>
        <w:instrText xml:space="preserve"> HYPERLINK \l "fn5" \h </w:instrText>
      </w:r>
      <w:r w:rsidR="00916D70" w:rsidRPr="006C683B">
        <w:rPr>
          <w:rFonts w:ascii="Times New Roman" w:hAnsi="Times New Roman" w:cs="Times New Roman"/>
          <w:color w:val="FF0000"/>
          <w:sz w:val="24"/>
          <w:szCs w:val="24"/>
        </w:rPr>
        <w:fldChar w:fldCharType="separate"/>
      </w:r>
      <w:r w:rsidR="00916D70" w:rsidRPr="006C683B">
        <w:rPr>
          <w:rFonts w:ascii="Times New Roman" w:eastAsia="inter" w:hAnsi="Times New Roman" w:cs="Times New Roman"/>
          <w:color w:val="FF0000"/>
          <w:sz w:val="24"/>
          <w:szCs w:val="24"/>
          <w:u w:val="single"/>
          <w:vertAlign w:val="superscript"/>
        </w:rPr>
        <w:t>[5]</w:t>
      </w:r>
      <w:r w:rsidR="00916D70" w:rsidRPr="006C683B">
        <w:rPr>
          <w:rFonts w:ascii="Times New Roman" w:eastAsia="inter" w:hAnsi="Times New Roman" w:cs="Times New Roman"/>
          <w:color w:val="FF0000"/>
          <w:sz w:val="24"/>
          <w:szCs w:val="24"/>
          <w:u w:val="single"/>
          <w:vertAlign w:val="superscript"/>
        </w:rPr>
        <w:fldChar w:fldCharType="end"/>
      </w:r>
      <w:bookmarkStart w:id="5" w:name="fnref6"/>
      <w:bookmarkEnd w:id="5"/>
      <w:r w:rsidR="00916D70" w:rsidRPr="006C683B">
        <w:rPr>
          <w:rFonts w:ascii="Times New Roman" w:hAnsi="Times New Roman" w:cs="Times New Roman"/>
          <w:color w:val="FF0000"/>
          <w:sz w:val="24"/>
          <w:szCs w:val="24"/>
        </w:rPr>
        <w:fldChar w:fldCharType="begin"/>
      </w:r>
      <w:r w:rsidR="00916D70" w:rsidRPr="006C683B">
        <w:rPr>
          <w:rFonts w:ascii="Times New Roman" w:hAnsi="Times New Roman" w:cs="Times New Roman"/>
          <w:color w:val="FF0000"/>
          <w:sz w:val="24"/>
          <w:szCs w:val="24"/>
        </w:rPr>
        <w:instrText xml:space="preserve"> HYPERLINK \l "fn6" \h </w:instrText>
      </w:r>
      <w:r w:rsidR="00916D70" w:rsidRPr="006C683B">
        <w:rPr>
          <w:rFonts w:ascii="Times New Roman" w:hAnsi="Times New Roman" w:cs="Times New Roman"/>
          <w:color w:val="FF0000"/>
          <w:sz w:val="24"/>
          <w:szCs w:val="24"/>
        </w:rPr>
        <w:fldChar w:fldCharType="separate"/>
      </w:r>
      <w:r w:rsidR="00916D70" w:rsidRPr="006C683B">
        <w:rPr>
          <w:rFonts w:ascii="Times New Roman" w:eastAsia="inter" w:hAnsi="Times New Roman" w:cs="Times New Roman"/>
          <w:color w:val="FF0000"/>
          <w:sz w:val="24"/>
          <w:szCs w:val="24"/>
          <w:u w:val="single"/>
          <w:vertAlign w:val="superscript"/>
        </w:rPr>
        <w:t>[6]</w:t>
      </w:r>
      <w:r w:rsidR="00916D70" w:rsidRPr="006C683B">
        <w:rPr>
          <w:rFonts w:ascii="Times New Roman" w:eastAsia="inter" w:hAnsi="Times New Roman" w:cs="Times New Roman"/>
          <w:color w:val="FF0000"/>
          <w:sz w:val="24"/>
          <w:szCs w:val="24"/>
          <w:u w:val="single"/>
          <w:vertAlign w:val="superscript"/>
        </w:rPr>
        <w:fldChar w:fldCharType="end"/>
      </w:r>
      <w:r w:rsidR="00916D70" w:rsidRPr="006C683B">
        <w:rPr>
          <w:rFonts w:ascii="Times New Roman" w:eastAsia="inter" w:hAnsi="Times New Roman" w:cs="Times New Roman"/>
          <w:color w:val="FF0000"/>
          <w:sz w:val="24"/>
          <w:szCs w:val="24"/>
        </w:rPr>
        <w:t>.</w:t>
      </w:r>
    </w:p>
    <w:p w14:paraId="44413D26" w14:textId="77777777" w:rsidR="00916D70" w:rsidRPr="006C683B" w:rsidRDefault="00916D70" w:rsidP="00916D70">
      <w:pPr>
        <w:spacing w:after="0" w:line="360" w:lineRule="auto"/>
        <w:jc w:val="center"/>
        <w:rPr>
          <w:rFonts w:ascii="Times New Roman" w:hAnsi="Times New Roman" w:cs="Times New Roman"/>
          <w:sz w:val="24"/>
          <w:szCs w:val="24"/>
        </w:rPr>
      </w:pPr>
    </w:p>
    <w:p w14:paraId="15D3B7F2" w14:textId="21425404" w:rsidR="00916D70" w:rsidRPr="006C683B" w:rsidRDefault="0069639F" w:rsidP="00916D70">
      <w:pPr>
        <w:spacing w:after="210" w:line="360" w:lineRule="auto"/>
        <w:rPr>
          <w:rFonts w:ascii="Times New Roman" w:hAnsi="Times New Roman" w:cs="Times New Roman"/>
          <w:sz w:val="24"/>
          <w:szCs w:val="24"/>
        </w:rPr>
      </w:pPr>
      <w:bookmarkStart w:id="6" w:name="fnref7"/>
      <w:bookmarkEnd w:id="6"/>
      <w:r w:rsidRPr="006C683B">
        <w:rPr>
          <w:rFonts w:ascii="Times New Roman" w:hAnsi="Times New Roman" w:cs="Times New Roman"/>
          <w:sz w:val="24"/>
          <w:szCs w:val="24"/>
        </w:rPr>
        <w:t xml:space="preserve">Conventional morphological imaging approaches, specifically computed tomography employing RECIST criteria version 1.1, demonstrate </w:t>
      </w:r>
      <w:r w:rsidR="00FC6F26" w:rsidRPr="006C683B">
        <w:rPr>
          <w:rFonts w:ascii="Times New Roman" w:hAnsi="Times New Roman" w:cs="Times New Roman"/>
          <w:sz w:val="24"/>
          <w:szCs w:val="24"/>
        </w:rPr>
        <w:t xml:space="preserve">a limited capability in identifying the initial therapeutic response, especially when applied to contemporary targeted treatment modalities and immunotherapeutic combinations </w:t>
      </w:r>
      <w:hyperlink w:anchor="fn7">
        <w:r w:rsidR="00916D70" w:rsidRPr="006C683B">
          <w:rPr>
            <w:rFonts w:ascii="Times New Roman" w:eastAsia="inter" w:hAnsi="Times New Roman" w:cs="Times New Roman"/>
            <w:color w:val="FF0000"/>
            <w:sz w:val="24"/>
            <w:szCs w:val="24"/>
            <w:u w:val="single"/>
            <w:vertAlign w:val="superscript"/>
          </w:rPr>
          <w:t>[7]</w:t>
        </w:r>
      </w:hyperlink>
      <w:bookmarkStart w:id="7" w:name="fnref8"/>
      <w:bookmarkEnd w:id="7"/>
      <w:r w:rsidR="00916D70" w:rsidRPr="006C683B">
        <w:rPr>
          <w:rFonts w:ascii="Times New Roman" w:hAnsi="Times New Roman" w:cs="Times New Roman"/>
          <w:color w:val="FF0000"/>
          <w:sz w:val="24"/>
          <w:szCs w:val="24"/>
        </w:rPr>
        <w:fldChar w:fldCharType="begin"/>
      </w:r>
      <w:r w:rsidR="00916D70" w:rsidRPr="006C683B">
        <w:rPr>
          <w:rFonts w:ascii="Times New Roman" w:hAnsi="Times New Roman" w:cs="Times New Roman"/>
          <w:color w:val="FF0000"/>
          <w:sz w:val="24"/>
          <w:szCs w:val="24"/>
        </w:rPr>
        <w:instrText xml:space="preserve"> HYPERLINK \l "fn8" \h </w:instrText>
      </w:r>
      <w:r w:rsidR="00916D70" w:rsidRPr="006C683B">
        <w:rPr>
          <w:rFonts w:ascii="Times New Roman" w:hAnsi="Times New Roman" w:cs="Times New Roman"/>
          <w:color w:val="FF0000"/>
          <w:sz w:val="24"/>
          <w:szCs w:val="24"/>
        </w:rPr>
        <w:fldChar w:fldCharType="separate"/>
      </w:r>
      <w:r w:rsidR="00916D70" w:rsidRPr="006C683B">
        <w:rPr>
          <w:rFonts w:ascii="Times New Roman" w:eastAsia="inter" w:hAnsi="Times New Roman" w:cs="Times New Roman"/>
          <w:color w:val="FF0000"/>
          <w:sz w:val="24"/>
          <w:szCs w:val="24"/>
          <w:u w:val="single"/>
          <w:vertAlign w:val="superscript"/>
        </w:rPr>
        <w:t>[8]</w:t>
      </w:r>
      <w:r w:rsidR="00916D70" w:rsidRPr="006C683B">
        <w:rPr>
          <w:rFonts w:ascii="Times New Roman" w:eastAsia="inter" w:hAnsi="Times New Roman" w:cs="Times New Roman"/>
          <w:color w:val="FF0000"/>
          <w:sz w:val="24"/>
          <w:szCs w:val="24"/>
          <w:u w:val="single"/>
          <w:vertAlign w:val="superscript"/>
        </w:rPr>
        <w:fldChar w:fldCharType="end"/>
      </w:r>
      <w:r w:rsidR="00916D70" w:rsidRPr="006C683B">
        <w:rPr>
          <w:rFonts w:ascii="Times New Roman" w:eastAsia="inter" w:hAnsi="Times New Roman" w:cs="Times New Roman"/>
          <w:color w:val="000000"/>
          <w:sz w:val="24"/>
          <w:szCs w:val="24"/>
        </w:rPr>
        <w:t xml:space="preserve">. </w:t>
      </w:r>
      <w:bookmarkStart w:id="8" w:name="fnref9"/>
      <w:bookmarkEnd w:id="8"/>
      <w:r w:rsidRPr="006C683B">
        <w:rPr>
          <w:rFonts w:ascii="Times New Roman" w:hAnsi="Times New Roman" w:cs="Times New Roman"/>
          <w:sz w:val="24"/>
          <w:szCs w:val="24"/>
        </w:rPr>
        <w:t xml:space="preserve">RECIST-based morphological assessments frequently occur </w:t>
      </w:r>
      <w:r w:rsidR="00FC6F26" w:rsidRPr="006C683B">
        <w:rPr>
          <w:rFonts w:ascii="Times New Roman" w:hAnsi="Times New Roman" w:cs="Times New Roman"/>
          <w:sz w:val="24"/>
          <w:szCs w:val="24"/>
        </w:rPr>
        <w:t>after</w:t>
      </w:r>
      <w:r w:rsidRPr="006C683B">
        <w:rPr>
          <w:rFonts w:ascii="Times New Roman" w:hAnsi="Times New Roman" w:cs="Times New Roman"/>
          <w:sz w:val="24"/>
          <w:szCs w:val="24"/>
        </w:rPr>
        <w:t xml:space="preserve"> cellular-level biological and functional modifications, which may postpone necessary therapeutic adjustments </w:t>
      </w:r>
      <w:hyperlink w:anchor="fn9">
        <w:r w:rsidR="00916D70" w:rsidRPr="006C683B">
          <w:rPr>
            <w:rFonts w:ascii="Times New Roman" w:eastAsia="inter" w:hAnsi="Times New Roman" w:cs="Times New Roman"/>
            <w:color w:val="FF0000"/>
            <w:sz w:val="24"/>
            <w:szCs w:val="24"/>
            <w:u w:val="single"/>
            <w:vertAlign w:val="superscript"/>
          </w:rPr>
          <w:t>[9]</w:t>
        </w:r>
      </w:hyperlink>
      <w:bookmarkStart w:id="9" w:name="fnref10"/>
      <w:bookmarkEnd w:id="9"/>
      <w:r w:rsidR="00916D70" w:rsidRPr="006C683B">
        <w:rPr>
          <w:rFonts w:ascii="Times New Roman" w:hAnsi="Times New Roman" w:cs="Times New Roman"/>
          <w:color w:val="FF0000"/>
          <w:sz w:val="24"/>
          <w:szCs w:val="24"/>
        </w:rPr>
        <w:fldChar w:fldCharType="begin"/>
      </w:r>
      <w:r w:rsidR="00916D70" w:rsidRPr="006C683B">
        <w:rPr>
          <w:rFonts w:ascii="Times New Roman" w:hAnsi="Times New Roman" w:cs="Times New Roman"/>
          <w:color w:val="FF0000"/>
          <w:sz w:val="24"/>
          <w:szCs w:val="24"/>
        </w:rPr>
        <w:instrText xml:space="preserve"> HYPERLINK \l "fn10" \h </w:instrText>
      </w:r>
      <w:r w:rsidR="00916D70" w:rsidRPr="006C683B">
        <w:rPr>
          <w:rFonts w:ascii="Times New Roman" w:hAnsi="Times New Roman" w:cs="Times New Roman"/>
          <w:color w:val="FF0000"/>
          <w:sz w:val="24"/>
          <w:szCs w:val="24"/>
        </w:rPr>
        <w:fldChar w:fldCharType="separate"/>
      </w:r>
      <w:r w:rsidR="00916D70" w:rsidRPr="006C683B">
        <w:rPr>
          <w:rFonts w:ascii="Times New Roman" w:eastAsia="inter" w:hAnsi="Times New Roman" w:cs="Times New Roman"/>
          <w:color w:val="FF0000"/>
          <w:sz w:val="24"/>
          <w:szCs w:val="24"/>
          <w:u w:val="single"/>
          <w:vertAlign w:val="superscript"/>
        </w:rPr>
        <w:t>[10]</w:t>
      </w:r>
      <w:r w:rsidR="00916D70" w:rsidRPr="006C683B">
        <w:rPr>
          <w:rFonts w:ascii="Times New Roman" w:eastAsia="inter" w:hAnsi="Times New Roman" w:cs="Times New Roman"/>
          <w:color w:val="FF0000"/>
          <w:sz w:val="24"/>
          <w:szCs w:val="24"/>
          <w:u w:val="single"/>
          <w:vertAlign w:val="superscript"/>
        </w:rPr>
        <w:fldChar w:fldCharType="end"/>
      </w:r>
      <w:r w:rsidR="00916D70" w:rsidRPr="006C683B">
        <w:rPr>
          <w:rFonts w:ascii="Times New Roman" w:eastAsia="inter" w:hAnsi="Times New Roman" w:cs="Times New Roman"/>
          <w:color w:val="FF0000"/>
          <w:sz w:val="24"/>
          <w:szCs w:val="24"/>
        </w:rPr>
        <w:t>.</w:t>
      </w:r>
      <w:r w:rsidR="00916D70" w:rsidRPr="006C683B">
        <w:rPr>
          <w:rFonts w:ascii="Times New Roman" w:eastAsia="inter" w:hAnsi="Times New Roman" w:cs="Times New Roman"/>
          <w:color w:val="000000"/>
          <w:sz w:val="24"/>
          <w:szCs w:val="24"/>
        </w:rPr>
        <w:t xml:space="preserve"> </w:t>
      </w:r>
      <w:bookmarkStart w:id="10" w:name="fnref4:1"/>
      <w:bookmarkEnd w:id="10"/>
      <w:r w:rsidRPr="006C683B">
        <w:rPr>
          <w:rFonts w:ascii="Times New Roman" w:hAnsi="Times New Roman" w:cs="Times New Roman"/>
          <w:sz w:val="24"/>
          <w:szCs w:val="24"/>
        </w:rPr>
        <w:t xml:space="preserve">This chronological disparity between treatment effects and radiological findings has stimulated research into functional imaging techniques capable of </w:t>
      </w:r>
      <w:r w:rsidR="00FC6F26" w:rsidRPr="006C683B">
        <w:rPr>
          <w:rFonts w:ascii="Times New Roman" w:hAnsi="Times New Roman" w:cs="Times New Roman"/>
          <w:sz w:val="24"/>
          <w:szCs w:val="24"/>
        </w:rPr>
        <w:t>detecting responses earlier and more precisely</w:t>
      </w:r>
      <w:r w:rsidRPr="006C683B">
        <w:rPr>
          <w:rFonts w:ascii="Times New Roman" w:hAnsi="Times New Roman" w:cs="Times New Roman"/>
          <w:sz w:val="24"/>
          <w:szCs w:val="24"/>
        </w:rPr>
        <w:t xml:space="preserve"> </w:t>
      </w:r>
      <w:hyperlink w:anchor="fn4">
        <w:r w:rsidR="00916D70" w:rsidRPr="006C683B">
          <w:rPr>
            <w:rFonts w:ascii="Times New Roman" w:eastAsia="inter" w:hAnsi="Times New Roman" w:cs="Times New Roman"/>
            <w:color w:val="FF0000"/>
            <w:sz w:val="24"/>
            <w:szCs w:val="24"/>
            <w:u w:val="single"/>
            <w:vertAlign w:val="superscript"/>
          </w:rPr>
          <w:t>[4]</w:t>
        </w:r>
      </w:hyperlink>
      <w:r w:rsidR="00916D70" w:rsidRPr="006C683B">
        <w:rPr>
          <w:rFonts w:ascii="Times New Roman" w:eastAsia="inter" w:hAnsi="Times New Roman" w:cs="Times New Roman"/>
          <w:color w:val="FF0000"/>
          <w:sz w:val="24"/>
          <w:szCs w:val="24"/>
        </w:rPr>
        <w:t>.</w:t>
      </w:r>
    </w:p>
    <w:p w14:paraId="2F05A16C" w14:textId="77777777" w:rsidR="00820D43" w:rsidRPr="006C683B" w:rsidRDefault="00820D43" w:rsidP="00820D43">
      <w:pPr>
        <w:spacing w:after="0" w:line="240" w:lineRule="auto"/>
        <w:rPr>
          <w:rFonts w:ascii="Times New Roman" w:eastAsia="Times New Roman" w:hAnsi="Times New Roman" w:cs="Times New Roman"/>
          <w:sz w:val="24"/>
          <w:szCs w:val="24"/>
          <w:lang w:val="en-PK" w:eastAsia="en-PK"/>
        </w:rPr>
      </w:pPr>
      <w:r w:rsidRPr="006C683B">
        <w:rPr>
          <w:rFonts w:ascii="Times New Roman" w:eastAsia="Times New Roman" w:hAnsi="Times New Roman" w:cs="Times New Roman"/>
          <w:sz w:val="24"/>
          <w:szCs w:val="24"/>
          <w:lang w:val="en-PK" w:eastAsia="en-PK"/>
        </w:rPr>
        <w:t xml:space="preserve">PET-CT using 18F-fluorodeoxyglucose (FDG) is a potent metabolic imaging tool for cancer evaluation </w:t>
      </w:r>
      <w:r w:rsidRPr="006C683B">
        <w:rPr>
          <w:rFonts w:ascii="Times New Roman" w:eastAsia="Times New Roman" w:hAnsi="Times New Roman" w:cs="Times New Roman"/>
          <w:color w:val="FF0000"/>
          <w:sz w:val="24"/>
          <w:szCs w:val="24"/>
          <w:lang w:val="en-PK" w:eastAsia="en-PK"/>
        </w:rPr>
        <w:t>[11][2].</w:t>
      </w:r>
      <w:r w:rsidRPr="006C683B">
        <w:rPr>
          <w:rFonts w:ascii="Times New Roman" w:eastAsia="Times New Roman" w:hAnsi="Times New Roman" w:cs="Times New Roman"/>
          <w:sz w:val="24"/>
          <w:szCs w:val="24"/>
          <w:lang w:val="en-PK" w:eastAsia="en-PK"/>
        </w:rPr>
        <w:t xml:space="preserve"> PET-CT measures glucose metabolism using </w:t>
      </w:r>
      <w:proofErr w:type="spellStart"/>
      <w:r w:rsidRPr="006C683B">
        <w:rPr>
          <w:rFonts w:ascii="Times New Roman" w:eastAsia="Times New Roman" w:hAnsi="Times New Roman" w:cs="Times New Roman"/>
          <w:sz w:val="24"/>
          <w:szCs w:val="24"/>
          <w:lang w:val="en-PK" w:eastAsia="en-PK"/>
        </w:rPr>
        <w:t>SUVmax</w:t>
      </w:r>
      <w:proofErr w:type="spellEnd"/>
      <w:r w:rsidRPr="006C683B">
        <w:rPr>
          <w:rFonts w:ascii="Times New Roman" w:eastAsia="Times New Roman" w:hAnsi="Times New Roman" w:cs="Times New Roman"/>
          <w:sz w:val="24"/>
          <w:szCs w:val="24"/>
          <w:lang w:val="en-PK" w:eastAsia="en-PK"/>
        </w:rPr>
        <w:t xml:space="preserve">, </w:t>
      </w:r>
      <w:proofErr w:type="spellStart"/>
      <w:r w:rsidRPr="006C683B">
        <w:rPr>
          <w:rFonts w:ascii="Times New Roman" w:eastAsia="Times New Roman" w:hAnsi="Times New Roman" w:cs="Times New Roman"/>
          <w:sz w:val="24"/>
          <w:szCs w:val="24"/>
          <w:lang w:val="en-PK" w:eastAsia="en-PK"/>
        </w:rPr>
        <w:t>SUVpeak</w:t>
      </w:r>
      <w:proofErr w:type="spellEnd"/>
      <w:r w:rsidRPr="006C683B">
        <w:rPr>
          <w:rFonts w:ascii="Times New Roman" w:eastAsia="Times New Roman" w:hAnsi="Times New Roman" w:cs="Times New Roman"/>
          <w:sz w:val="24"/>
          <w:szCs w:val="24"/>
          <w:lang w:val="en-PK" w:eastAsia="en-PK"/>
        </w:rPr>
        <w:t xml:space="preserve">, MTV, and TLG </w:t>
      </w:r>
      <w:r w:rsidRPr="006C683B">
        <w:rPr>
          <w:rFonts w:ascii="Times New Roman" w:eastAsia="Times New Roman" w:hAnsi="Times New Roman" w:cs="Times New Roman"/>
          <w:color w:val="FF0000"/>
          <w:sz w:val="24"/>
          <w:szCs w:val="24"/>
          <w:lang w:val="en-PK" w:eastAsia="en-PK"/>
        </w:rPr>
        <w:t>[12][10].</w:t>
      </w:r>
      <w:r w:rsidRPr="006C683B">
        <w:rPr>
          <w:rFonts w:ascii="Times New Roman" w:eastAsia="Times New Roman" w:hAnsi="Times New Roman" w:cs="Times New Roman"/>
          <w:sz w:val="24"/>
          <w:szCs w:val="24"/>
          <w:lang w:val="en-PK" w:eastAsia="en-PK"/>
        </w:rPr>
        <w:t xml:space="preserve"> The method uses PET Response Criteria in Solid </w:t>
      </w:r>
      <w:proofErr w:type="spellStart"/>
      <w:r w:rsidRPr="006C683B">
        <w:rPr>
          <w:rFonts w:ascii="Times New Roman" w:eastAsia="Times New Roman" w:hAnsi="Times New Roman" w:cs="Times New Roman"/>
          <w:sz w:val="24"/>
          <w:szCs w:val="24"/>
          <w:lang w:val="en-PK" w:eastAsia="en-PK"/>
        </w:rPr>
        <w:t>Tumors</w:t>
      </w:r>
      <w:proofErr w:type="spellEnd"/>
      <w:r w:rsidRPr="006C683B">
        <w:rPr>
          <w:rFonts w:ascii="Times New Roman" w:eastAsia="Times New Roman" w:hAnsi="Times New Roman" w:cs="Times New Roman"/>
          <w:sz w:val="24"/>
          <w:szCs w:val="24"/>
          <w:lang w:val="en-PK" w:eastAsia="en-PK"/>
        </w:rPr>
        <w:t xml:space="preserve"> (PERCIST) 1.0 to standardize response </w:t>
      </w:r>
      <w:r w:rsidRPr="006C683B">
        <w:rPr>
          <w:rFonts w:ascii="Times New Roman" w:eastAsia="Times New Roman" w:hAnsi="Times New Roman" w:cs="Times New Roman"/>
          <w:color w:val="FF0000"/>
          <w:sz w:val="24"/>
          <w:szCs w:val="24"/>
          <w:lang w:val="en-PK" w:eastAsia="en-PK"/>
        </w:rPr>
        <w:t>[9].</w:t>
      </w:r>
      <w:r w:rsidRPr="006C683B">
        <w:rPr>
          <w:rFonts w:ascii="Times New Roman" w:eastAsia="Times New Roman" w:hAnsi="Times New Roman" w:cs="Times New Roman"/>
          <w:sz w:val="24"/>
          <w:szCs w:val="24"/>
          <w:lang w:val="en-PK" w:eastAsia="en-PK"/>
        </w:rPr>
        <w:t xml:space="preserve"> Recent studies show PET-CT sensitivity ranges of 80-90% for colorectal cancer treatment response identification, with advantages in whole-body evaluation and early metabolic change detection </w:t>
      </w:r>
      <w:r w:rsidRPr="006C683B">
        <w:rPr>
          <w:rFonts w:ascii="Times New Roman" w:eastAsia="Times New Roman" w:hAnsi="Times New Roman" w:cs="Times New Roman"/>
          <w:color w:val="FF0000"/>
          <w:sz w:val="24"/>
          <w:szCs w:val="24"/>
          <w:lang w:val="en-PK" w:eastAsia="en-PK"/>
        </w:rPr>
        <w:t>[11][4].</w:t>
      </w:r>
    </w:p>
    <w:p w14:paraId="5B68BEA9" w14:textId="7A6A4B71" w:rsidR="00820D43" w:rsidRPr="006C683B" w:rsidRDefault="00820D43" w:rsidP="00820D43">
      <w:pPr>
        <w:spacing w:after="0" w:line="240" w:lineRule="auto"/>
        <w:rPr>
          <w:rFonts w:ascii="Times New Roman" w:eastAsia="Times New Roman" w:hAnsi="Times New Roman" w:cs="Times New Roman"/>
          <w:sz w:val="24"/>
          <w:szCs w:val="24"/>
          <w:lang w:val="en-PK" w:eastAsia="en-PK"/>
        </w:rPr>
      </w:pPr>
      <w:r w:rsidRPr="006C683B">
        <w:rPr>
          <w:rFonts w:ascii="Times New Roman" w:eastAsia="Times New Roman" w:hAnsi="Times New Roman" w:cs="Times New Roman"/>
          <w:sz w:val="24"/>
          <w:szCs w:val="24"/>
          <w:lang w:val="en-PK" w:eastAsia="en-PK"/>
        </w:rPr>
        <w:br/>
        <w:t>Alternative functional imaging method</w:t>
      </w:r>
      <w:r w:rsidR="0036442F" w:rsidRPr="006C683B">
        <w:rPr>
          <w:rFonts w:ascii="Times New Roman" w:eastAsia="Times New Roman" w:hAnsi="Times New Roman" w:cs="Times New Roman"/>
          <w:sz w:val="24"/>
          <w:szCs w:val="24"/>
          <w:lang w:val="en-PK" w:eastAsia="en-PK"/>
        </w:rPr>
        <w:t>, diffusion-weighted magnetic resonance imaging (DWI-MRI),</w:t>
      </w:r>
      <w:r w:rsidRPr="006C683B">
        <w:rPr>
          <w:rFonts w:ascii="Times New Roman" w:eastAsia="Times New Roman" w:hAnsi="Times New Roman" w:cs="Times New Roman"/>
          <w:sz w:val="24"/>
          <w:szCs w:val="24"/>
          <w:lang w:val="en-PK" w:eastAsia="en-PK"/>
        </w:rPr>
        <w:t xml:space="preserve"> detects water molecule random mobility in tissues </w:t>
      </w:r>
      <w:r w:rsidRPr="006C683B">
        <w:rPr>
          <w:rFonts w:ascii="Times New Roman" w:eastAsia="Times New Roman" w:hAnsi="Times New Roman" w:cs="Times New Roman"/>
          <w:color w:val="FF0000"/>
          <w:sz w:val="24"/>
          <w:szCs w:val="24"/>
          <w:lang w:val="en-PK" w:eastAsia="en-PK"/>
        </w:rPr>
        <w:t xml:space="preserve">[13][14]. </w:t>
      </w:r>
      <w:r w:rsidRPr="006C683B">
        <w:rPr>
          <w:rFonts w:ascii="Times New Roman" w:eastAsia="Times New Roman" w:hAnsi="Times New Roman" w:cs="Times New Roman"/>
          <w:sz w:val="24"/>
          <w:szCs w:val="24"/>
          <w:lang w:val="en-PK" w:eastAsia="en-PK"/>
        </w:rPr>
        <w:t xml:space="preserve">DWI sequence-derived apparent diffusion coefficient (ADC) measures tissue cellularity and membrane integrity, with lower ADC values indicating increased cellular density in malignant tissue </w:t>
      </w:r>
      <w:r w:rsidRPr="006C683B">
        <w:rPr>
          <w:rFonts w:ascii="Times New Roman" w:eastAsia="Times New Roman" w:hAnsi="Times New Roman" w:cs="Times New Roman"/>
          <w:color w:val="FF0000"/>
          <w:sz w:val="24"/>
          <w:szCs w:val="24"/>
          <w:lang w:val="en-PK" w:eastAsia="en-PK"/>
        </w:rPr>
        <w:t>[15][16].</w:t>
      </w:r>
      <w:r w:rsidRPr="006C683B">
        <w:rPr>
          <w:rFonts w:ascii="Times New Roman" w:eastAsia="Times New Roman" w:hAnsi="Times New Roman" w:cs="Times New Roman"/>
          <w:sz w:val="24"/>
          <w:szCs w:val="24"/>
          <w:lang w:val="en-PK" w:eastAsia="en-PK"/>
        </w:rPr>
        <w:t xml:space="preserve"> Successful treatment response assessment increases ADC values as cellular density declines and necrosis develops </w:t>
      </w:r>
      <w:r w:rsidRPr="006C683B">
        <w:rPr>
          <w:rFonts w:ascii="Times New Roman" w:eastAsia="Times New Roman" w:hAnsi="Times New Roman" w:cs="Times New Roman"/>
          <w:color w:val="FF0000"/>
          <w:sz w:val="24"/>
          <w:szCs w:val="24"/>
          <w:lang w:val="en-PK" w:eastAsia="en-PK"/>
        </w:rPr>
        <w:t xml:space="preserve">[14][17]. </w:t>
      </w:r>
      <w:r w:rsidRPr="006C683B">
        <w:rPr>
          <w:rFonts w:ascii="Times New Roman" w:eastAsia="Times New Roman" w:hAnsi="Times New Roman" w:cs="Times New Roman"/>
          <w:sz w:val="24"/>
          <w:szCs w:val="24"/>
          <w:lang w:val="en-PK" w:eastAsia="en-PK"/>
        </w:rPr>
        <w:t xml:space="preserve">DWI-MRI provides radiation-free imaging with good soft tissue contrast and response detection sensitivity of 75-85% </w:t>
      </w:r>
      <w:r w:rsidRPr="006C683B">
        <w:rPr>
          <w:rFonts w:ascii="Times New Roman" w:eastAsia="Times New Roman" w:hAnsi="Times New Roman" w:cs="Times New Roman"/>
          <w:color w:val="FF0000"/>
          <w:sz w:val="24"/>
          <w:szCs w:val="24"/>
          <w:lang w:val="en-PK" w:eastAsia="en-PK"/>
        </w:rPr>
        <w:t>[15][18].</w:t>
      </w:r>
    </w:p>
    <w:p w14:paraId="01C8AC92" w14:textId="77777777" w:rsidR="00820D43" w:rsidRPr="006C683B" w:rsidRDefault="00820D43" w:rsidP="00916D70">
      <w:pPr>
        <w:spacing w:after="210" w:line="360" w:lineRule="auto"/>
        <w:rPr>
          <w:rFonts w:ascii="Times New Roman" w:eastAsia="inter" w:hAnsi="Times New Roman" w:cs="Times New Roman"/>
          <w:color w:val="000000"/>
          <w:sz w:val="24"/>
          <w:szCs w:val="24"/>
        </w:rPr>
      </w:pPr>
    </w:p>
    <w:p w14:paraId="598D73D1" w14:textId="5C674B82" w:rsidR="00916D70" w:rsidRPr="006C683B" w:rsidRDefault="00916D70" w:rsidP="00916D70">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The comparative effectiveness of these imaging modalities in colorectal cancer chemotherapy response assessment remains an active area of investigation </w:t>
      </w:r>
      <w:bookmarkStart w:id="11" w:name="fnref19"/>
      <w:bookmarkEnd w:id="11"/>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"fn19"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[19]</w:t>
      </w:r>
      <w:r w:rsidRPr="006C683B">
        <w:rPr>
          <w:rFonts w:ascii="Times New Roman" w:eastAsia="inter" w:hAnsi="Times New Roman" w:cs="Times New Roman"/>
          <w:color w:val="FF0000"/>
          <w:sz w:val="24"/>
          <w:szCs w:val="24"/>
          <w:u w:val="single"/>
          <w:vertAlign w:val="superscript"/>
        </w:rPr>
        <w:fldChar w:fldCharType="end"/>
      </w:r>
      <w:bookmarkStart w:id="12" w:name="fnref20"/>
      <w:bookmarkEnd w:id="12"/>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"fn20"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[20]</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w:t>
      </w:r>
      <w:r w:rsidRPr="006C683B">
        <w:rPr>
          <w:rFonts w:ascii="Times New Roman" w:eastAsia="inter" w:hAnsi="Times New Roman" w:cs="Times New Roman"/>
          <w:color w:val="000000"/>
          <w:sz w:val="24"/>
          <w:szCs w:val="24"/>
        </w:rPr>
        <w:t xml:space="preserve"> While PET-CT provides </w:t>
      </w:r>
      <w:r w:rsidRPr="006C683B">
        <w:rPr>
          <w:rFonts w:ascii="Times New Roman" w:eastAsia="inter" w:hAnsi="Times New Roman" w:cs="Times New Roman"/>
          <w:color w:val="000000"/>
          <w:sz w:val="24"/>
          <w:szCs w:val="24"/>
        </w:rPr>
        <w:lastRenderedPageBreak/>
        <w:t xml:space="preserve">superior metabolic information and whole-body assessment capabilities, it involves ionizing radiation exposure and higher costs </w:t>
      </w:r>
      <w:bookmarkStart w:id="13" w:name="fnref21"/>
      <w:bookmarkEnd w:id="13"/>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"fn21"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[21]</w:t>
      </w:r>
      <w:r w:rsidRPr="006C683B">
        <w:rPr>
          <w:rFonts w:ascii="Times New Roman" w:eastAsia="inter" w:hAnsi="Times New Roman" w:cs="Times New Roman"/>
          <w:color w:val="FF0000"/>
          <w:sz w:val="24"/>
          <w:szCs w:val="24"/>
          <w:u w:val="single"/>
          <w:vertAlign w:val="superscript"/>
        </w:rPr>
        <w:fldChar w:fldCharType="end"/>
      </w:r>
      <w:bookmarkStart w:id="14" w:name="fnref22"/>
      <w:bookmarkEnd w:id="14"/>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"fn22"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[22]</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w:t>
      </w:r>
      <w:r w:rsidRPr="006C683B">
        <w:rPr>
          <w:rFonts w:ascii="Times New Roman" w:eastAsia="inter" w:hAnsi="Times New Roman" w:cs="Times New Roman"/>
          <w:color w:val="000000"/>
          <w:sz w:val="24"/>
          <w:szCs w:val="24"/>
        </w:rPr>
        <w:t xml:space="preserve"> Conversely, DWI-MRI offers radiation-free functional assessment with excellent soft tissue characterization but faces challenges with motion artifacts and standardization of response criteria </w:t>
      </w:r>
      <w:bookmarkStart w:id="15" w:name="fnref23"/>
      <w:bookmarkEnd w:id="15"/>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"fn23"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[23]</w:t>
      </w:r>
      <w:r w:rsidRPr="006C683B">
        <w:rPr>
          <w:rFonts w:ascii="Times New Roman" w:eastAsia="inter" w:hAnsi="Times New Roman" w:cs="Times New Roman"/>
          <w:color w:val="FF0000"/>
          <w:sz w:val="24"/>
          <w:szCs w:val="24"/>
          <w:u w:val="single"/>
          <w:vertAlign w:val="superscript"/>
        </w:rPr>
        <w:fldChar w:fldCharType="end"/>
      </w:r>
      <w:bookmarkStart w:id="16" w:name="fnref24"/>
      <w:bookmarkEnd w:id="16"/>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"fn24"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[24]</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000000"/>
          <w:sz w:val="24"/>
          <w:szCs w:val="24"/>
        </w:rPr>
        <w:t xml:space="preserve">. Recent meta-analyses suggest comparable diagnostic performance between PET-CT and PET-MRI combinations in various malignancies, indicating the potential for MRI-based functional assessment </w:t>
      </w:r>
      <w:bookmarkStart w:id="17" w:name="fnref21:1"/>
      <w:bookmarkEnd w:id="17"/>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"fn21"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[21]</w:t>
      </w:r>
      <w:r w:rsidRPr="006C683B">
        <w:rPr>
          <w:rFonts w:ascii="Times New Roman" w:eastAsia="inter" w:hAnsi="Times New Roman" w:cs="Times New Roman"/>
          <w:color w:val="FF0000"/>
          <w:sz w:val="24"/>
          <w:szCs w:val="24"/>
          <w:u w:val="single"/>
          <w:vertAlign w:val="superscript"/>
        </w:rPr>
        <w:fldChar w:fldCharType="end"/>
      </w:r>
      <w:bookmarkStart w:id="18" w:name="fnref22:1"/>
      <w:bookmarkEnd w:id="18"/>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"fn22"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[22]</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w:t>
      </w:r>
    </w:p>
    <w:p w14:paraId="22A11083" w14:textId="77777777" w:rsidR="00916D70" w:rsidRPr="006C683B" w:rsidRDefault="00916D70" w:rsidP="00916D70">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The clinical significance of accurate response assessment extends beyond treatment monitoring to include prognostic stratification and treatment personalization </w:t>
      </w:r>
      <w:bookmarkStart w:id="19" w:name="fnref1:1"/>
      <w:bookmarkEnd w:id="19"/>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"fn1"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[1]</w:t>
      </w:r>
      <w:r w:rsidRPr="006C683B">
        <w:rPr>
          <w:rFonts w:ascii="Times New Roman" w:eastAsia="inter" w:hAnsi="Times New Roman" w:cs="Times New Roman"/>
          <w:color w:val="FF0000"/>
          <w:sz w:val="24"/>
          <w:szCs w:val="24"/>
          <w:u w:val="single"/>
          <w:vertAlign w:val="superscript"/>
        </w:rPr>
        <w:fldChar w:fldCharType="end"/>
      </w:r>
      <w:bookmarkStart w:id="20" w:name="fnref25"/>
      <w:bookmarkEnd w:id="20"/>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"fn25"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[25]</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Early identification of non-responders enables timely treatment modification, potentially improving progression-free survival and overall survival outcomes </w:t>
      </w:r>
      <w:bookmarkStart w:id="21" w:name="fnref26"/>
      <w:bookmarkEnd w:id="21"/>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\l "fn26"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vertAlign w:val="superscript"/>
        </w:rPr>
        <w:t>[26]</w:t>
      </w:r>
      <w:r w:rsidRPr="006C683B">
        <w:rPr>
          <w:rFonts w:ascii="Times New Roman" w:eastAsia="inter" w:hAnsi="Times New Roman" w:cs="Times New Roman"/>
          <w:sz w:val="24"/>
          <w:szCs w:val="24"/>
          <w:u w:val="single"/>
          <w:vertAlign w:val="superscript"/>
        </w:rPr>
        <w:fldChar w:fldCharType="end"/>
      </w:r>
      <w:bookmarkStart w:id="22" w:name="fnref7:1"/>
      <w:bookmarkEnd w:id="22"/>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\l "fn7"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vertAlign w:val="superscript"/>
        </w:rPr>
        <w:t>[7]</w:t>
      </w:r>
      <w:r w:rsidRPr="006C683B">
        <w:rPr>
          <w:rFonts w:ascii="Times New Roman" w:eastAsia="inter" w:hAnsi="Times New Roman" w:cs="Times New Roman"/>
          <w:sz w:val="24"/>
          <w:szCs w:val="24"/>
          <w:u w:val="single"/>
          <w:vertAlign w:val="superscript"/>
        </w:rPr>
        <w:fldChar w:fldCharType="end"/>
      </w:r>
      <w:r w:rsidRPr="006C683B">
        <w:rPr>
          <w:rFonts w:ascii="Times New Roman" w:eastAsia="inter" w:hAnsi="Times New Roman" w:cs="Times New Roman"/>
          <w:color w:val="000000"/>
          <w:sz w:val="24"/>
          <w:szCs w:val="24"/>
        </w:rPr>
        <w:t>. Furthermore, the integration of functional imaging parameters with molecular biomarkers, such as circulating tumor DNA (</w:t>
      </w:r>
      <w:proofErr w:type="spellStart"/>
      <w:r w:rsidRPr="006C683B">
        <w:rPr>
          <w:rFonts w:ascii="Times New Roman" w:eastAsia="inter" w:hAnsi="Times New Roman" w:cs="Times New Roman"/>
          <w:color w:val="000000"/>
          <w:sz w:val="24"/>
          <w:szCs w:val="24"/>
        </w:rPr>
        <w:t>ctDNA</w:t>
      </w:r>
      <w:proofErr w:type="spellEnd"/>
      <w:r w:rsidRPr="006C683B">
        <w:rPr>
          <w:rFonts w:ascii="Times New Roman" w:eastAsia="inter" w:hAnsi="Times New Roman" w:cs="Times New Roman"/>
          <w:color w:val="000000"/>
          <w:sz w:val="24"/>
          <w:szCs w:val="24"/>
        </w:rPr>
        <w:t xml:space="preserve">) and tumor mutational burden (TMB), represents an emerging paradigm in precision oncology </w:t>
      </w:r>
      <w:bookmarkStart w:id="23" w:name="fnref5:1"/>
      <w:bookmarkEnd w:id="23"/>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"fn5"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[5]</w:t>
      </w:r>
      <w:r w:rsidRPr="006C683B">
        <w:rPr>
          <w:rFonts w:ascii="Times New Roman" w:eastAsia="inter" w:hAnsi="Times New Roman" w:cs="Times New Roman"/>
          <w:color w:val="FF0000"/>
          <w:sz w:val="24"/>
          <w:szCs w:val="24"/>
          <w:u w:val="single"/>
          <w:vertAlign w:val="superscript"/>
        </w:rPr>
        <w:fldChar w:fldCharType="end"/>
      </w:r>
      <w:bookmarkStart w:id="24" w:name="fnref27"/>
      <w:bookmarkEnd w:id="24"/>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"fn27"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[27]</w:t>
      </w:r>
      <w:r w:rsidRPr="006C683B">
        <w:rPr>
          <w:rFonts w:ascii="Times New Roman" w:eastAsia="inter" w:hAnsi="Times New Roman" w:cs="Times New Roman"/>
          <w:color w:val="FF0000"/>
          <w:sz w:val="24"/>
          <w:szCs w:val="24"/>
          <w:u w:val="single"/>
          <w:vertAlign w:val="superscript"/>
        </w:rPr>
        <w:fldChar w:fldCharType="end"/>
      </w:r>
      <w:bookmarkStart w:id="25" w:name="fnref25:1"/>
      <w:bookmarkEnd w:id="25"/>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"fn25"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[25]</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w:t>
      </w:r>
    </w:p>
    <w:p w14:paraId="18034789" w14:textId="1C1F0440" w:rsidR="00916D70" w:rsidRPr="006C683B" w:rsidRDefault="00916D70" w:rsidP="00916D70">
      <w:pPr>
        <w:spacing w:after="210" w:line="360" w:lineRule="auto"/>
        <w:rPr>
          <w:rFonts w:ascii="Times New Roman" w:eastAsia="inter" w:hAnsi="Times New Roman" w:cs="Times New Roman"/>
          <w:color w:val="000000"/>
          <w:sz w:val="24"/>
          <w:szCs w:val="24"/>
        </w:rPr>
      </w:pPr>
      <w:r w:rsidRPr="006C683B">
        <w:rPr>
          <w:rFonts w:ascii="Times New Roman" w:eastAsia="inter" w:hAnsi="Times New Roman" w:cs="Times New Roman"/>
          <w:color w:val="000000"/>
          <w:sz w:val="24"/>
          <w:szCs w:val="24"/>
        </w:rPr>
        <w:t>This comparative study addresses a critical knowledge gap in colorectal cancer imaging by systematically evaluating the diagnostic accuracy, predictive value, and clinical utility of PET-CT versus DWI-MRI for assessing chemotherapy response</w:t>
      </w:r>
      <w:r w:rsidR="00F02B59" w:rsidRPr="006C683B">
        <w:rPr>
          <w:rFonts w:ascii="Times New Roman" w:eastAsia="inter" w:hAnsi="Times New Roman" w:cs="Times New Roman"/>
          <w:color w:val="000000"/>
          <w:sz w:val="24"/>
          <w:szCs w:val="24"/>
        </w:rPr>
        <w:t xml:space="preserve"> in patients with colorectal cancer</w:t>
      </w:r>
      <w:r w:rsidRPr="006C683B">
        <w:rPr>
          <w:rFonts w:ascii="Times New Roman" w:eastAsia="inter" w:hAnsi="Times New Roman" w:cs="Times New Roman"/>
          <w:color w:val="000000"/>
          <w:sz w:val="24"/>
          <w:szCs w:val="24"/>
        </w:rPr>
        <w:t>. The findings will inform evidence-based imaging protocols and contribute to the optimization of treatment monitoring strategies in this patient population, ultimately advancing the integration of functional imaging in precision oncology approaches for colorectal cancer management.</w:t>
      </w:r>
    </w:p>
    <w:p w14:paraId="50DC135B" w14:textId="77777777" w:rsidR="00916D70" w:rsidRPr="006C683B" w:rsidRDefault="00916D70" w:rsidP="00916D70">
      <w:pPr>
        <w:spacing w:after="210" w:line="360" w:lineRule="auto"/>
        <w:rPr>
          <w:rFonts w:ascii="Times New Roman" w:eastAsia="inter" w:hAnsi="Times New Roman" w:cs="Times New Roman"/>
          <w:color w:val="000000"/>
          <w:sz w:val="24"/>
          <w:szCs w:val="24"/>
        </w:rPr>
      </w:pPr>
    </w:p>
    <w:p w14:paraId="25DF79EE" w14:textId="77777777" w:rsidR="00916D70" w:rsidRPr="006C683B" w:rsidRDefault="00916D70" w:rsidP="00916D70">
      <w:pPr>
        <w:spacing w:after="210" w:line="360" w:lineRule="auto"/>
        <w:rPr>
          <w:rFonts w:ascii="Times New Roman" w:eastAsia="inter" w:hAnsi="Times New Roman" w:cs="Times New Roman"/>
          <w:color w:val="000000"/>
          <w:sz w:val="24"/>
          <w:szCs w:val="24"/>
        </w:rPr>
      </w:pPr>
    </w:p>
    <w:p w14:paraId="22EB3E8C" w14:textId="77777777" w:rsidR="0003783E" w:rsidRPr="006C683B" w:rsidRDefault="0003783E" w:rsidP="0003783E">
      <w:pPr>
        <w:pStyle w:val="Heading2"/>
        <w:rPr>
          <w:sz w:val="24"/>
          <w:szCs w:val="24"/>
        </w:rPr>
      </w:pPr>
      <w:r w:rsidRPr="006C683B">
        <w:rPr>
          <w:sz w:val="24"/>
          <w:szCs w:val="24"/>
        </w:rPr>
        <w:t>METHODOLOGY</w:t>
      </w:r>
    </w:p>
    <w:p w14:paraId="35CB4BA4" w14:textId="77777777" w:rsidR="0003783E" w:rsidRPr="006C683B" w:rsidRDefault="0003783E" w:rsidP="0003783E">
      <w:pPr>
        <w:pStyle w:val="Heading2"/>
        <w:rPr>
          <w:sz w:val="24"/>
          <w:szCs w:val="24"/>
        </w:rPr>
      </w:pPr>
      <w:r w:rsidRPr="006C683B">
        <w:rPr>
          <w:sz w:val="24"/>
          <w:szCs w:val="24"/>
        </w:rPr>
        <w:t>Study Design and Setting</w:t>
      </w:r>
    </w:p>
    <w:p w14:paraId="78AA1CB3" w14:textId="77777777" w:rsidR="0069639F" w:rsidRPr="006C683B" w:rsidRDefault="000B527D" w:rsidP="0037682C">
      <w:pPr>
        <w:pStyle w:val="my-0"/>
      </w:pPr>
      <w:r w:rsidRPr="006C683B">
        <w:t xml:space="preserve">This prospective, comparative study employed a within-subject design to evaluate the effectiveness of PET-CT versus DWI-MRI for assessing chemotherapy response in patients with histologically confirmed colorectal cancer. Conducted over </w:t>
      </w:r>
      <w:r w:rsidR="009A1EC2" w:rsidRPr="006C683B">
        <w:t>24 months</w:t>
      </w:r>
      <w:r w:rsidRPr="006C683B">
        <w:t xml:space="preserve"> at a tertiary care </w:t>
      </w:r>
      <w:proofErr w:type="spellStart"/>
      <w:r w:rsidRPr="006C683B">
        <w:t>center</w:t>
      </w:r>
      <w:proofErr w:type="spellEnd"/>
      <w:r w:rsidRPr="006C683B">
        <w:t xml:space="preserve"> with dedicated oncology and radiology departments, the study recruited 132 consecutive patients from the medical oncology clinic, of whom 120 (91%) completed the protocol; 12 patients (9%) were lost to follow-up due to disease progression requiring hospitalization. The sample size was calculated to detect a minimum 10% difference in diagnostic accuracy between PET-CT and </w:t>
      </w:r>
      <w:r w:rsidRPr="006C683B">
        <w:lastRenderedPageBreak/>
        <w:t>DWI-MRI, using a two-sided α of 0.05 and power of 90% (β = 0.10), with the effect size chosen to reflect a clinically meaningful difference in the absence of prior comparative data.</w:t>
      </w:r>
    </w:p>
    <w:p w14:paraId="2FADDE2A" w14:textId="77777777" w:rsidR="0069639F" w:rsidRPr="006C683B" w:rsidRDefault="0069639F" w:rsidP="0037682C">
      <w:pPr>
        <w:pStyle w:val="my-0"/>
      </w:pPr>
      <w:r w:rsidRPr="006C683B">
        <w:rPr>
          <w:rStyle w:val="Strong"/>
        </w:rPr>
        <w:t>Study Design and Setting</w:t>
      </w:r>
      <w:r w:rsidRPr="006C683B">
        <w:t xml:space="preserve"> </w:t>
      </w:r>
    </w:p>
    <w:p w14:paraId="687F5448" w14:textId="13EA1E3E" w:rsidR="000B527D" w:rsidRPr="006C683B" w:rsidRDefault="0069639F" w:rsidP="0037682C">
      <w:pPr>
        <w:pStyle w:val="my-0"/>
      </w:pPr>
      <w:r w:rsidRPr="006C683B">
        <w:t xml:space="preserve">Over a 24-month period at a tertiary oncology centre, this prospective within-patient comparison enrolled 132 histology-confirmed colorectal cancer patients slated for first-line chemotherapy; 120 (91%) completed all assessments. Sample-size calculations </w:t>
      </w:r>
      <w:r w:rsidR="00FC6F26" w:rsidRPr="006C683B">
        <w:t>were targeted to achieve a</w:t>
      </w:r>
      <w:r w:rsidR="006C683B">
        <w:rPr>
          <w:lang w:val="en-US"/>
        </w:rPr>
        <w:t xml:space="preserve"> </w:t>
      </w:r>
      <w:r w:rsidRPr="006C683B">
        <w:t>≥10% accuracy difference between PET-CT and DWI-MRI (α = 0.05, 90% power).</w:t>
      </w:r>
    </w:p>
    <w:p w14:paraId="7401533C" w14:textId="77777777" w:rsidR="0069639F" w:rsidRPr="006C683B" w:rsidRDefault="0069639F" w:rsidP="00D27516">
      <w:pPr>
        <w:pStyle w:val="my-0"/>
      </w:pPr>
      <w:r w:rsidRPr="006C683B">
        <w:rPr>
          <w:rStyle w:val="Strong"/>
        </w:rPr>
        <w:t>Selection Criteria &amp; Patient Characteristics</w:t>
      </w:r>
      <w:r w:rsidRPr="006C683B">
        <w:t xml:space="preserve"> </w:t>
      </w:r>
    </w:p>
    <w:p w14:paraId="101DF5F9" w14:textId="141DD647" w:rsidR="0069639F" w:rsidRPr="006C683B" w:rsidRDefault="0069639F" w:rsidP="00D27516">
      <w:pPr>
        <w:pStyle w:val="my-0"/>
      </w:pPr>
      <w:r w:rsidRPr="006C683B">
        <w:t>Eligible adults (33–75 years, ECOG 0–2) had biopsy-proven colorectal adenocarcinoma and ≥1 RECIST-measurable lesion. Exclusions covered MRI contraindications, recent therapy (&lt; 6 months), pregnancy, inability to lie supine</w:t>
      </w:r>
      <w:r w:rsidR="00FC6F26" w:rsidRPr="006C683B">
        <w:t>,</w:t>
      </w:r>
      <w:r w:rsidRPr="006C683B">
        <w:t xml:space="preserve"> and fasting glucose &gt; 200 mg/dL.</w:t>
      </w:r>
    </w:p>
    <w:p w14:paraId="0C4EFEA2" w14:textId="77777777" w:rsidR="0069639F" w:rsidRPr="006C683B" w:rsidRDefault="0069639F" w:rsidP="0003783E">
      <w:pPr>
        <w:pStyle w:val="Heading2"/>
        <w:rPr>
          <w:b w:val="0"/>
          <w:bCs w:val="0"/>
          <w:sz w:val="24"/>
          <w:szCs w:val="24"/>
        </w:rPr>
      </w:pPr>
      <w:r w:rsidRPr="006C683B">
        <w:rPr>
          <w:rStyle w:val="Strong"/>
          <w:b/>
          <w:bCs/>
          <w:sz w:val="24"/>
          <w:szCs w:val="24"/>
        </w:rPr>
        <w:t>Imaging Protocols</w:t>
      </w:r>
      <w:r w:rsidRPr="006C683B">
        <w:rPr>
          <w:b w:val="0"/>
          <w:bCs w:val="0"/>
          <w:sz w:val="24"/>
          <w:szCs w:val="24"/>
        </w:rPr>
        <w:t xml:space="preserve"> </w:t>
      </w:r>
    </w:p>
    <w:p w14:paraId="287DA248" w14:textId="61D48B39" w:rsidR="0069639F" w:rsidRPr="006C683B" w:rsidRDefault="0069639F" w:rsidP="0003783E">
      <w:pPr>
        <w:pStyle w:val="Heading2"/>
        <w:rPr>
          <w:b w:val="0"/>
          <w:bCs w:val="0"/>
          <w:sz w:val="24"/>
          <w:szCs w:val="24"/>
        </w:rPr>
      </w:pPr>
      <w:r w:rsidRPr="006C683B">
        <w:rPr>
          <w:b w:val="0"/>
          <w:bCs w:val="0"/>
          <w:sz w:val="24"/>
          <w:szCs w:val="24"/>
        </w:rPr>
        <w:t xml:space="preserve">Baseline PET-CT and DWI-MRI </w:t>
      </w:r>
      <w:r w:rsidR="00FC6F26" w:rsidRPr="006C683B">
        <w:rPr>
          <w:b w:val="0"/>
          <w:bCs w:val="0"/>
          <w:sz w:val="24"/>
          <w:szCs w:val="24"/>
        </w:rPr>
        <w:t>were performed one week before treatment, with follow-ups at 3, 6,</w:t>
      </w:r>
      <w:r w:rsidRPr="006C683B">
        <w:rPr>
          <w:b w:val="0"/>
          <w:bCs w:val="0"/>
          <w:sz w:val="24"/>
          <w:szCs w:val="24"/>
        </w:rPr>
        <w:t xml:space="preserve"> and 12 weeks. PET-CT required ≥6 h fasting, glucose &lt; 200 mg/dL; </w:t>
      </w:r>
      <w:proofErr w:type="spellStart"/>
      <w:r w:rsidRPr="006C683B">
        <w:rPr>
          <w:b w:val="0"/>
          <w:bCs w:val="0"/>
          <w:sz w:val="24"/>
          <w:szCs w:val="24"/>
        </w:rPr>
        <w:t>SUVmax</w:t>
      </w:r>
      <w:proofErr w:type="spellEnd"/>
      <w:r w:rsidRPr="006C683B">
        <w:rPr>
          <w:b w:val="0"/>
          <w:bCs w:val="0"/>
          <w:sz w:val="24"/>
          <w:szCs w:val="24"/>
        </w:rPr>
        <w:t xml:space="preserve">, </w:t>
      </w:r>
      <w:proofErr w:type="spellStart"/>
      <w:r w:rsidRPr="006C683B">
        <w:rPr>
          <w:b w:val="0"/>
          <w:bCs w:val="0"/>
          <w:sz w:val="24"/>
          <w:szCs w:val="24"/>
        </w:rPr>
        <w:t>SUVpeak</w:t>
      </w:r>
      <w:proofErr w:type="spellEnd"/>
      <w:r w:rsidR="00FC6F26" w:rsidRPr="006C683B">
        <w:rPr>
          <w:b w:val="0"/>
          <w:bCs w:val="0"/>
          <w:sz w:val="24"/>
          <w:szCs w:val="24"/>
        </w:rPr>
        <w:t>,</w:t>
      </w:r>
      <w:r w:rsidRPr="006C683B">
        <w:rPr>
          <w:b w:val="0"/>
          <w:bCs w:val="0"/>
          <w:sz w:val="24"/>
          <w:szCs w:val="24"/>
        </w:rPr>
        <w:t xml:space="preserve"> and TLG were recorded. DWI-MRI employed b-values 0/500/1000 s </w:t>
      </w:r>
      <w:r w:rsidR="00FC6F26" w:rsidRPr="006C683B">
        <w:rPr>
          <w:b w:val="0"/>
          <w:bCs w:val="0"/>
          <w:sz w:val="24"/>
          <w:szCs w:val="24"/>
        </w:rPr>
        <w:t>mm²</w:t>
      </w:r>
      <w:r w:rsidRPr="006C683B">
        <w:rPr>
          <w:b w:val="0"/>
          <w:bCs w:val="0"/>
          <w:sz w:val="24"/>
          <w:szCs w:val="24"/>
        </w:rPr>
        <w:t>. Both modalities were performed within 48 h to ensure temporal consistency.</w:t>
      </w:r>
    </w:p>
    <w:p w14:paraId="461474AE" w14:textId="0E4281E3" w:rsidR="0003783E" w:rsidRPr="006C683B" w:rsidRDefault="0003783E" w:rsidP="0003783E">
      <w:pPr>
        <w:pStyle w:val="Heading2"/>
        <w:rPr>
          <w:sz w:val="24"/>
          <w:szCs w:val="24"/>
        </w:rPr>
      </w:pPr>
      <w:r w:rsidRPr="006C683B">
        <w:rPr>
          <w:sz w:val="24"/>
          <w:szCs w:val="24"/>
        </w:rPr>
        <w:t>Response Evaluation and Clinical Assessment</w:t>
      </w:r>
    </w:p>
    <w:p w14:paraId="4DCF80D3" w14:textId="74542610" w:rsidR="0069639F" w:rsidRPr="006C683B" w:rsidRDefault="0069639F" w:rsidP="0003783E">
      <w:pPr>
        <w:pStyle w:val="Heading2"/>
        <w:rPr>
          <w:b w:val="0"/>
          <w:bCs w:val="0"/>
          <w:sz w:val="24"/>
          <w:szCs w:val="24"/>
        </w:rPr>
      </w:pPr>
      <w:r w:rsidRPr="006C683B">
        <w:rPr>
          <w:b w:val="0"/>
          <w:bCs w:val="0"/>
          <w:sz w:val="24"/>
          <w:szCs w:val="24"/>
        </w:rPr>
        <w:t xml:space="preserve">RECIST v1.1 classified morphologic change, PERCIST v1.0 gauged metabolic response via lean-body-mass–corrected </w:t>
      </w:r>
      <w:proofErr w:type="spellStart"/>
      <w:r w:rsidRPr="006C683B">
        <w:rPr>
          <w:b w:val="0"/>
          <w:bCs w:val="0"/>
          <w:sz w:val="24"/>
          <w:szCs w:val="24"/>
        </w:rPr>
        <w:t>SUVpeak</w:t>
      </w:r>
      <w:proofErr w:type="spellEnd"/>
      <w:r w:rsidRPr="006C683B">
        <w:rPr>
          <w:b w:val="0"/>
          <w:bCs w:val="0"/>
          <w:sz w:val="24"/>
          <w:szCs w:val="24"/>
        </w:rPr>
        <w:t>, and ADC shifts quantified cellular effects. ECOG status, toxicities</w:t>
      </w:r>
      <w:r w:rsidR="00FC6F26" w:rsidRPr="006C683B">
        <w:rPr>
          <w:b w:val="0"/>
          <w:bCs w:val="0"/>
          <w:sz w:val="24"/>
          <w:szCs w:val="24"/>
        </w:rPr>
        <w:t xml:space="preserve">, and EORTC-QLQ-C30 quality-of-life scores were tracked; serum CEA and CA 19-9 correlated with </w:t>
      </w:r>
      <w:r w:rsidRPr="006C683B">
        <w:rPr>
          <w:b w:val="0"/>
          <w:bCs w:val="0"/>
          <w:sz w:val="24"/>
          <w:szCs w:val="24"/>
        </w:rPr>
        <w:t>biological response.</w:t>
      </w:r>
    </w:p>
    <w:p w14:paraId="6BC069A2" w14:textId="63083B15" w:rsidR="0003783E" w:rsidRPr="006C683B" w:rsidRDefault="0003783E" w:rsidP="0003783E">
      <w:pPr>
        <w:pStyle w:val="Heading2"/>
        <w:rPr>
          <w:sz w:val="24"/>
          <w:szCs w:val="24"/>
        </w:rPr>
      </w:pPr>
      <w:r w:rsidRPr="006C683B">
        <w:rPr>
          <w:sz w:val="24"/>
          <w:szCs w:val="24"/>
        </w:rPr>
        <w:t>Ethical Considerations</w:t>
      </w:r>
    </w:p>
    <w:p w14:paraId="7C1A8517" w14:textId="775E7049" w:rsidR="0003783E" w:rsidRPr="006C683B" w:rsidRDefault="0069639F" w:rsidP="0003783E">
      <w:pPr>
        <w:rPr>
          <w:rFonts w:ascii="Times New Roman" w:hAnsi="Times New Roman" w:cs="Times New Roman"/>
          <w:sz w:val="24"/>
          <w:szCs w:val="24"/>
        </w:rPr>
      </w:pPr>
      <w:r w:rsidRPr="006C683B">
        <w:rPr>
          <w:rFonts w:ascii="Times New Roman" w:hAnsi="Times New Roman" w:cs="Times New Roman"/>
          <w:sz w:val="24"/>
          <w:szCs w:val="24"/>
        </w:rPr>
        <w:t xml:space="preserve">Institutional review board approval was obtained; all participants </w:t>
      </w:r>
      <w:r w:rsidR="00FC6F26" w:rsidRPr="006C683B">
        <w:rPr>
          <w:rFonts w:ascii="Times New Roman" w:hAnsi="Times New Roman" w:cs="Times New Roman"/>
          <w:sz w:val="24"/>
          <w:szCs w:val="24"/>
        </w:rPr>
        <w:t>provided written informed consent after being fully informed of the procedures, risks,</w:t>
      </w:r>
      <w:r w:rsidRPr="006C683B">
        <w:rPr>
          <w:rFonts w:ascii="Times New Roman" w:hAnsi="Times New Roman" w:cs="Times New Roman"/>
          <w:sz w:val="24"/>
          <w:szCs w:val="24"/>
        </w:rPr>
        <w:t xml:space="preserve"> and benefits. Confidentiality was protected through secure data handling, and withdrawal at any stage did not affect standard care.</w:t>
      </w:r>
    </w:p>
    <w:p w14:paraId="579D6F41" w14:textId="1E67972B" w:rsidR="00BE75ED" w:rsidRPr="006C683B" w:rsidRDefault="00F02B59" w:rsidP="00BE75ED">
      <w:pPr>
        <w:spacing w:before="100" w:beforeAutospacing="1" w:after="100" w:afterAutospacing="1" w:line="240" w:lineRule="auto"/>
        <w:rPr>
          <w:rFonts w:ascii="Times New Roman" w:eastAsia="Times New Roman" w:hAnsi="Times New Roman" w:cs="Times New Roman"/>
          <w:b/>
          <w:bCs/>
          <w:sz w:val="24"/>
          <w:szCs w:val="24"/>
          <w:lang w:val="en-PK" w:eastAsia="en-PK"/>
        </w:rPr>
      </w:pPr>
      <w:r w:rsidRPr="006C683B">
        <w:rPr>
          <w:rFonts w:ascii="Times New Roman" w:eastAsia="Times New Roman" w:hAnsi="Times New Roman" w:cs="Times New Roman"/>
          <w:b/>
          <w:bCs/>
          <w:sz w:val="24"/>
          <w:szCs w:val="24"/>
          <w:lang w:val="en-PK" w:eastAsia="en-PK"/>
        </w:rPr>
        <w:t>STATISTICAL ANALYSIS</w:t>
      </w:r>
    </w:p>
    <w:p w14:paraId="2856606A" w14:textId="77777777" w:rsidR="0069639F" w:rsidRPr="006C683B" w:rsidRDefault="0069639F"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Statistical computations were performed using SPSS version 26.0 (IBM Corporation, Armonk, New York, United States). Quantitative data were expressed as mean ± standard deviation or median with interquartile range, while qualitative variables were presented as counts and proportions.</w:t>
      </w:r>
    </w:p>
    <w:p w14:paraId="46B6EFF0" w14:textId="3DA064D9" w:rsidR="0069639F" w:rsidRPr="006C683B" w:rsidRDefault="0069639F"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Longitudinal changes in quantitative parameters (</w:t>
      </w:r>
      <w:proofErr w:type="spellStart"/>
      <w:r w:rsidRPr="006C683B">
        <w:rPr>
          <w:rFonts w:ascii="Times New Roman" w:hAnsi="Times New Roman" w:cs="Times New Roman"/>
          <w:sz w:val="24"/>
          <w:szCs w:val="24"/>
        </w:rPr>
        <w:t>SUVmax</w:t>
      </w:r>
      <w:proofErr w:type="spellEnd"/>
      <w:r w:rsidRPr="006C683B">
        <w:rPr>
          <w:rFonts w:ascii="Times New Roman" w:hAnsi="Times New Roman" w:cs="Times New Roman"/>
          <w:sz w:val="24"/>
          <w:szCs w:val="24"/>
        </w:rPr>
        <w:t xml:space="preserve">, </w:t>
      </w:r>
      <w:proofErr w:type="spellStart"/>
      <w:r w:rsidRPr="006C683B">
        <w:rPr>
          <w:rFonts w:ascii="Times New Roman" w:hAnsi="Times New Roman" w:cs="Times New Roman"/>
          <w:sz w:val="24"/>
          <w:szCs w:val="24"/>
        </w:rPr>
        <w:t>SUVpeak</w:t>
      </w:r>
      <w:proofErr w:type="spellEnd"/>
      <w:r w:rsidRPr="006C683B">
        <w:rPr>
          <w:rFonts w:ascii="Times New Roman" w:hAnsi="Times New Roman" w:cs="Times New Roman"/>
          <w:sz w:val="24"/>
          <w:szCs w:val="24"/>
        </w:rPr>
        <w:t xml:space="preserve">, ADC measurements) were evaluated using repeated-measures ANOVA followed by Bonferroni post-hoc testing for multiple comparisons. Within-participant variations at individual imaging </w:t>
      </w:r>
      <w:r w:rsidR="00FC6F26" w:rsidRPr="006C683B">
        <w:rPr>
          <w:rFonts w:ascii="Times New Roman" w:hAnsi="Times New Roman" w:cs="Times New Roman"/>
          <w:sz w:val="24"/>
          <w:szCs w:val="24"/>
        </w:rPr>
        <w:t xml:space="preserve">time points were </w:t>
      </w:r>
      <w:r w:rsidR="00FC6F26" w:rsidRPr="006C683B">
        <w:rPr>
          <w:rFonts w:ascii="Times New Roman" w:hAnsi="Times New Roman" w:cs="Times New Roman"/>
          <w:sz w:val="24"/>
          <w:szCs w:val="24"/>
        </w:rPr>
        <w:lastRenderedPageBreak/>
        <w:t>analyzed using paired t-tests</w:t>
      </w:r>
      <w:r w:rsidRPr="006C683B">
        <w:rPr>
          <w:rFonts w:ascii="Times New Roman" w:hAnsi="Times New Roman" w:cs="Times New Roman"/>
          <w:sz w:val="24"/>
          <w:szCs w:val="24"/>
        </w:rPr>
        <w:t xml:space="preserve">. Statistical significance was defined as p-values </w:t>
      </w:r>
      <w:r w:rsidR="00FC6F26" w:rsidRPr="006C683B">
        <w:rPr>
          <w:rFonts w:ascii="Times New Roman" w:hAnsi="Times New Roman" w:cs="Times New Roman"/>
          <w:sz w:val="24"/>
          <w:szCs w:val="24"/>
        </w:rPr>
        <w:t>of less than</w:t>
      </w:r>
      <w:r w:rsidRPr="006C683B">
        <w:rPr>
          <w:rFonts w:ascii="Times New Roman" w:hAnsi="Times New Roman" w:cs="Times New Roman"/>
          <w:sz w:val="24"/>
          <w:szCs w:val="24"/>
        </w:rPr>
        <w:t xml:space="preserve"> 0.05 throughout all analyses.</w:t>
      </w:r>
    </w:p>
    <w:p w14:paraId="141E731B" w14:textId="35F5BEA2" w:rsidR="0069639F" w:rsidRPr="006C683B" w:rsidRDefault="0069639F"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 xml:space="preserve">Relationships between </w:t>
      </w:r>
      <w:proofErr w:type="spellStart"/>
      <w:r w:rsidRPr="006C683B">
        <w:rPr>
          <w:rFonts w:ascii="Times New Roman" w:hAnsi="Times New Roman" w:cs="Times New Roman"/>
          <w:sz w:val="24"/>
          <w:szCs w:val="24"/>
        </w:rPr>
        <w:t>SUVmax</w:t>
      </w:r>
      <w:proofErr w:type="spellEnd"/>
      <w:r w:rsidRPr="006C683B">
        <w:rPr>
          <w:rFonts w:ascii="Times New Roman" w:hAnsi="Times New Roman" w:cs="Times New Roman"/>
          <w:sz w:val="24"/>
          <w:szCs w:val="24"/>
        </w:rPr>
        <w:t xml:space="preserve"> and ADC parameters were quantified through Pearson correlation analysis with corresponding significance testing. Inter-method agreement among response evaluation approaches (RECIST v1.1, PERCIST v1.0, DWI-MRI) was determined using Cohen's kappa coefficient interpreted according to Landis and Koch benchmarks.</w:t>
      </w:r>
    </w:p>
    <w:p w14:paraId="2F9F2D5C" w14:textId="493F2926" w:rsidR="0069639F" w:rsidRPr="006C683B" w:rsidRDefault="0069639F"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 xml:space="preserve">With RECIST serving as the gold standard, diagnostic metrics (sensitivity, specificity, positive predictive value, negative predictive value, overall accuracy) were computed for both PET-CT and DWI-MRI at 12-week follow-up. ROC curve methodology </w:t>
      </w:r>
      <w:r w:rsidR="00FC6F26" w:rsidRPr="006C683B">
        <w:rPr>
          <w:rFonts w:ascii="Times New Roman" w:hAnsi="Times New Roman" w:cs="Times New Roman"/>
          <w:sz w:val="24"/>
          <w:szCs w:val="24"/>
        </w:rPr>
        <w:t xml:space="preserve">was used to evaluate the discriminative ability of percentage changes in </w:t>
      </w:r>
      <w:proofErr w:type="spellStart"/>
      <w:r w:rsidR="00FC6F26" w:rsidRPr="006C683B">
        <w:rPr>
          <w:rFonts w:ascii="Times New Roman" w:hAnsi="Times New Roman" w:cs="Times New Roman"/>
          <w:sz w:val="24"/>
          <w:szCs w:val="24"/>
        </w:rPr>
        <w:t>SUVmax</w:t>
      </w:r>
      <w:proofErr w:type="spellEnd"/>
      <w:r w:rsidR="00FC6F26" w:rsidRPr="006C683B">
        <w:rPr>
          <w:rFonts w:ascii="Times New Roman" w:hAnsi="Times New Roman" w:cs="Times New Roman"/>
          <w:sz w:val="24"/>
          <w:szCs w:val="24"/>
        </w:rPr>
        <w:t xml:space="preserve"> and ADC parameters, reporting the </w:t>
      </w:r>
      <w:r w:rsidRPr="006C683B">
        <w:rPr>
          <w:rFonts w:ascii="Times New Roman" w:hAnsi="Times New Roman" w:cs="Times New Roman"/>
          <w:sz w:val="24"/>
          <w:szCs w:val="24"/>
        </w:rPr>
        <w:t>area under the curve with 95% confidence intervals. Optimal threshold values were determined by maximizing the Youden statistic.</w:t>
      </w:r>
    </w:p>
    <w:p w14:paraId="7C926769" w14:textId="0EF2EA82" w:rsidR="0069639F" w:rsidRPr="006C683B" w:rsidRDefault="00D0757D"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 xml:space="preserve">Diagnostic evaluation encompassed: (1) comprehensive threshold-independent performance characteristics and (2) optimized cut-point performance derived from Youden index maximization (sensitivity + specificity - 1). Between-modality diagnostic accuracy comparisons employed </w:t>
      </w:r>
      <w:proofErr w:type="spellStart"/>
      <w:r w:rsidRPr="006C683B">
        <w:rPr>
          <w:rFonts w:ascii="Times New Roman" w:hAnsi="Times New Roman" w:cs="Times New Roman"/>
          <w:sz w:val="24"/>
          <w:szCs w:val="24"/>
        </w:rPr>
        <w:t>McNemar</w:t>
      </w:r>
      <w:proofErr w:type="spellEnd"/>
      <w:r w:rsidRPr="006C683B">
        <w:rPr>
          <w:rFonts w:ascii="Times New Roman" w:hAnsi="Times New Roman" w:cs="Times New Roman"/>
          <w:sz w:val="24"/>
          <w:szCs w:val="24"/>
        </w:rPr>
        <w:t xml:space="preserve"> testing and net reclassification improvement methodology, with significance set at p &lt; 0.05. Clinical utility was further characterized through </w:t>
      </w:r>
      <w:r w:rsidR="00FC6F26" w:rsidRPr="006C683B">
        <w:rPr>
          <w:rFonts w:ascii="Times New Roman" w:hAnsi="Times New Roman" w:cs="Times New Roman"/>
          <w:sz w:val="24"/>
          <w:szCs w:val="24"/>
        </w:rPr>
        <w:t>the calculation of positive and negative likelihood ratios</w:t>
      </w:r>
      <w:r w:rsidRPr="006C683B">
        <w:rPr>
          <w:rFonts w:ascii="Times New Roman" w:hAnsi="Times New Roman" w:cs="Times New Roman"/>
          <w:sz w:val="24"/>
          <w:szCs w:val="24"/>
        </w:rPr>
        <w:t>.</w:t>
      </w:r>
    </w:p>
    <w:p w14:paraId="77BBB12B" w14:textId="4C576C5D" w:rsidR="00D0757D" w:rsidRPr="006C683B" w:rsidRDefault="00D0757D"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Progression-free and overall survival outcomes were estimated using Kaplan-Meier methodology, with log-rank testing for between-group comparisons of imaging-stratified response categories. Hazard ratios and corresponding 95% confidence intervals were derived from Cox proportional hazards modeling, with concordant non-responders serving as the reference category.</w:t>
      </w:r>
    </w:p>
    <w:p w14:paraId="50E4FB49" w14:textId="32A01457" w:rsidR="00D0757D" w:rsidRPr="006C683B" w:rsidRDefault="00D0757D" w:rsidP="004861EB">
      <w:pPr>
        <w:spacing w:before="100" w:beforeAutospacing="1" w:after="100" w:afterAutospacing="1" w:line="240" w:lineRule="auto"/>
        <w:outlineLvl w:val="0"/>
        <w:rPr>
          <w:rFonts w:ascii="Times New Roman" w:hAnsi="Times New Roman" w:cs="Times New Roman"/>
          <w:sz w:val="24"/>
          <w:szCs w:val="24"/>
        </w:rPr>
      </w:pPr>
      <w:r w:rsidRPr="006C683B">
        <w:rPr>
          <w:rFonts w:ascii="Times New Roman" w:hAnsi="Times New Roman" w:cs="Times New Roman"/>
          <w:sz w:val="24"/>
          <w:szCs w:val="24"/>
        </w:rPr>
        <w:t>Quality of life assessments</w:t>
      </w:r>
      <w:r w:rsidR="00FC6F26" w:rsidRPr="006C683B">
        <w:rPr>
          <w:rFonts w:ascii="Times New Roman" w:hAnsi="Times New Roman" w:cs="Times New Roman"/>
          <w:sz w:val="24"/>
          <w:szCs w:val="24"/>
        </w:rPr>
        <w:t>, as measured by the EORTC QLQ-C30, were analyzed for mean baseline-to-12-week changes using paired t-tests</w:t>
      </w:r>
      <w:r w:rsidRPr="006C683B">
        <w:rPr>
          <w:rFonts w:ascii="Times New Roman" w:hAnsi="Times New Roman" w:cs="Times New Roman"/>
          <w:sz w:val="24"/>
          <w:szCs w:val="24"/>
        </w:rPr>
        <w:t xml:space="preserve"> for significance determination. Clinically meaningful improvement was defined as ≥10-point increases. All statistical </w:t>
      </w:r>
      <w:r w:rsidR="00FC6F26" w:rsidRPr="006C683B">
        <w:rPr>
          <w:rFonts w:ascii="Times New Roman" w:hAnsi="Times New Roman" w:cs="Times New Roman"/>
          <w:sz w:val="24"/>
          <w:szCs w:val="24"/>
        </w:rPr>
        <w:t>tests employed two-tailed significance criteria (α = 0.05), with incomplete data managed through the pairwise deletion method</w:t>
      </w:r>
      <w:r w:rsidRPr="006C683B">
        <w:rPr>
          <w:rFonts w:ascii="Times New Roman" w:hAnsi="Times New Roman" w:cs="Times New Roman"/>
          <w:sz w:val="24"/>
          <w:szCs w:val="24"/>
        </w:rPr>
        <w:t>.</w:t>
      </w:r>
    </w:p>
    <w:p w14:paraId="5CA7172A" w14:textId="48FE162D" w:rsidR="0069639F" w:rsidRPr="006C683B" w:rsidRDefault="0069639F" w:rsidP="004861EB">
      <w:pPr>
        <w:spacing w:before="100" w:beforeAutospacing="1" w:after="100" w:afterAutospacing="1" w:line="240" w:lineRule="auto"/>
        <w:outlineLvl w:val="0"/>
        <w:rPr>
          <w:rFonts w:ascii="Times New Roman" w:hAnsi="Times New Roman" w:cs="Times New Roman"/>
          <w:sz w:val="24"/>
          <w:szCs w:val="24"/>
        </w:rPr>
      </w:pPr>
    </w:p>
    <w:p w14:paraId="30EEDC5E" w14:textId="14BD8C2A" w:rsidR="004861EB" w:rsidRPr="006C683B" w:rsidRDefault="004861EB" w:rsidP="004861EB">
      <w:pPr>
        <w:spacing w:before="100" w:beforeAutospacing="1" w:after="100" w:afterAutospacing="1" w:line="240" w:lineRule="auto"/>
        <w:outlineLvl w:val="0"/>
        <w:rPr>
          <w:rFonts w:ascii="Times New Roman" w:eastAsia="Times New Roman" w:hAnsi="Times New Roman" w:cs="Times New Roman"/>
          <w:b/>
          <w:bCs/>
          <w:kern w:val="36"/>
          <w:sz w:val="24"/>
          <w:szCs w:val="24"/>
          <w:lang w:val="en-PK" w:eastAsia="en-PK"/>
        </w:rPr>
      </w:pPr>
      <w:r w:rsidRPr="006C683B">
        <w:rPr>
          <w:rFonts w:ascii="Times New Roman" w:eastAsia="Times New Roman" w:hAnsi="Times New Roman" w:cs="Times New Roman"/>
          <w:b/>
          <w:bCs/>
          <w:kern w:val="36"/>
          <w:sz w:val="24"/>
          <w:szCs w:val="24"/>
          <w:lang w:val="en-PK" w:eastAsia="en-PK"/>
        </w:rPr>
        <w:t>RESULTS</w:t>
      </w:r>
    </w:p>
    <w:p w14:paraId="5688D2FF" w14:textId="4D932EA4" w:rsidR="004861EB" w:rsidRPr="006C683B" w:rsidRDefault="004861EB" w:rsidP="004861EB">
      <w:pPr>
        <w:spacing w:before="100" w:beforeAutospacing="1" w:after="100" w:afterAutospacing="1" w:line="240" w:lineRule="auto"/>
        <w:rPr>
          <w:rFonts w:ascii="Times New Roman" w:eastAsia="Times New Roman" w:hAnsi="Times New Roman" w:cs="Times New Roman"/>
          <w:sz w:val="24"/>
          <w:szCs w:val="24"/>
          <w:lang w:val="en-PK" w:eastAsia="en-PK"/>
        </w:rPr>
      </w:pPr>
      <w:r w:rsidRPr="006C683B">
        <w:rPr>
          <w:rFonts w:ascii="Times New Roman" w:eastAsia="Times New Roman" w:hAnsi="Times New Roman" w:cs="Times New Roman"/>
          <w:sz w:val="24"/>
          <w:szCs w:val="24"/>
          <w:lang w:val="en-PK" w:eastAsia="en-PK"/>
        </w:rPr>
        <w:t xml:space="preserve">A total of </w:t>
      </w:r>
      <w:r w:rsidR="00D65EC6" w:rsidRPr="006C683B">
        <w:rPr>
          <w:rFonts w:ascii="Times New Roman" w:eastAsia="Times New Roman" w:hAnsi="Times New Roman" w:cs="Times New Roman"/>
          <w:sz w:val="24"/>
          <w:szCs w:val="24"/>
          <w:lang w:eastAsia="en-PK"/>
        </w:rPr>
        <w:t>132</w:t>
      </w:r>
      <w:r w:rsidRPr="006C683B">
        <w:rPr>
          <w:rFonts w:ascii="Times New Roman" w:eastAsia="Times New Roman" w:hAnsi="Times New Roman" w:cs="Times New Roman"/>
          <w:sz w:val="24"/>
          <w:szCs w:val="24"/>
          <w:lang w:val="en-PK" w:eastAsia="en-PK"/>
        </w:rPr>
        <w:t xml:space="preserve"> patients with colorectal cancer were enrolled</w:t>
      </w:r>
      <w:r w:rsidRPr="006C683B">
        <w:rPr>
          <w:rFonts w:ascii="Times New Roman" w:eastAsia="Times New Roman" w:hAnsi="Times New Roman" w:cs="Times New Roman"/>
          <w:b/>
          <w:bCs/>
          <w:sz w:val="24"/>
          <w:szCs w:val="24"/>
          <w:lang w:val="en-PK" w:eastAsia="en-PK"/>
        </w:rPr>
        <w:t xml:space="preserve">. </w:t>
      </w:r>
      <w:r w:rsidR="00D65EC6" w:rsidRPr="006C683B">
        <w:rPr>
          <w:rStyle w:val="Strong"/>
          <w:rFonts w:ascii="Times New Roman" w:hAnsi="Times New Roman" w:cs="Times New Roman"/>
          <w:b w:val="0"/>
          <w:bCs w:val="0"/>
          <w:sz w:val="24"/>
          <w:szCs w:val="24"/>
        </w:rPr>
        <w:t xml:space="preserve">Of the 132 enrolled patients, all completed baseline imaging and clinical assessments. At 12-week follow-up, imaging data were available for 120 patients (90.9%), with 12 patients lost to follow-up due to disease progression requiring hospitalization. Missing data were handled using </w:t>
      </w:r>
      <w:r w:rsidR="00006AF6" w:rsidRPr="006C683B">
        <w:rPr>
          <w:rStyle w:val="Strong"/>
          <w:rFonts w:ascii="Times New Roman" w:hAnsi="Times New Roman" w:cs="Times New Roman"/>
          <w:b w:val="0"/>
          <w:bCs w:val="0"/>
          <w:sz w:val="24"/>
          <w:szCs w:val="24"/>
        </w:rPr>
        <w:t xml:space="preserve">the </w:t>
      </w:r>
      <w:r w:rsidR="00D65EC6" w:rsidRPr="006C683B">
        <w:rPr>
          <w:rStyle w:val="Strong"/>
          <w:rFonts w:ascii="Times New Roman" w:hAnsi="Times New Roman" w:cs="Times New Roman"/>
          <w:b w:val="0"/>
          <w:bCs w:val="0"/>
          <w:sz w:val="24"/>
          <w:szCs w:val="24"/>
        </w:rPr>
        <w:t>pairwise deletion method as specified in the statistical analysis plan.</w:t>
      </w:r>
      <w:r w:rsidR="000649E9" w:rsidRPr="006C683B">
        <w:rPr>
          <w:rStyle w:val="Strong"/>
          <w:rFonts w:ascii="Times New Roman" w:hAnsi="Times New Roman" w:cs="Times New Roman"/>
          <w:b w:val="0"/>
          <w:bCs w:val="0"/>
          <w:sz w:val="24"/>
          <w:szCs w:val="24"/>
        </w:rPr>
        <w:t xml:space="preserve"> </w:t>
      </w:r>
      <w:r w:rsidRPr="006C683B">
        <w:rPr>
          <w:rFonts w:ascii="Times New Roman" w:eastAsia="Times New Roman" w:hAnsi="Times New Roman" w:cs="Times New Roman"/>
          <w:sz w:val="24"/>
          <w:szCs w:val="24"/>
          <w:lang w:val="en-PK" w:eastAsia="en-PK"/>
        </w:rPr>
        <w:t xml:space="preserve">The cohort had a mean age of 62.7 ± 9.6 years (median 64), with 62 males (51.7%) and 58 females (48.3%). Mean BMI was 26.8 ± 4.0 kg/m²; 42 patients (35.0%) were &lt; 25 kg/m², 54 (45.0%) were 25–30 kg/m², and 24 (20.0%) were &gt; 30 kg/m². Tumours originated in the colon (53.3%), rectum (28.3%), or rectosigmoid junction </w:t>
      </w:r>
      <w:r w:rsidRPr="006C683B">
        <w:rPr>
          <w:rFonts w:ascii="Times New Roman" w:eastAsia="Times New Roman" w:hAnsi="Times New Roman" w:cs="Times New Roman"/>
          <w:sz w:val="24"/>
          <w:szCs w:val="24"/>
          <w:lang w:val="en-PK" w:eastAsia="en-PK"/>
        </w:rPr>
        <w:lastRenderedPageBreak/>
        <w:t>(18.3%). Stage III disease was predominant (53.3%), and most patients had an ECOG score of 0–1 (92.5%). FOLFOX was the most common regimen (48.3%). The median baseline CEA and CA 19-9 levels were 13.0 ng/mL and 23.4 U/mL, respectively</w:t>
      </w:r>
      <w:r w:rsidR="00F02B59" w:rsidRPr="006C683B">
        <w:rPr>
          <w:rFonts w:ascii="Times New Roman" w:eastAsia="Times New Roman" w:hAnsi="Times New Roman" w:cs="Times New Roman"/>
          <w:sz w:val="24"/>
          <w:szCs w:val="24"/>
          <w:lang w:val="en-PK" w:eastAsia="en-PK"/>
        </w:rPr>
        <w:t xml:space="preserve">. </w:t>
      </w:r>
      <w:r w:rsidR="000649E9" w:rsidRPr="006C683B">
        <w:rPr>
          <w:rFonts w:ascii="Times New Roman" w:hAnsi="Times New Roman" w:cs="Times New Roman"/>
          <w:sz w:val="24"/>
          <w:szCs w:val="24"/>
        </w:rPr>
        <w:t>86.7% patients had received no prior therapy</w:t>
      </w:r>
      <w:r w:rsidRPr="006C683B">
        <w:rPr>
          <w:rFonts w:ascii="Times New Roman" w:eastAsia="Times New Roman" w:hAnsi="Times New Roman" w:cs="Times New Roman"/>
          <w:sz w:val="24"/>
          <w:szCs w:val="24"/>
          <w:lang w:val="en-PK" w:eastAsia="en-PK"/>
        </w:rPr>
        <w:t xml:space="preserve"> </w:t>
      </w:r>
      <w:r w:rsidRPr="006C683B">
        <w:rPr>
          <w:rFonts w:ascii="Times New Roman" w:eastAsia="Times New Roman" w:hAnsi="Times New Roman" w:cs="Times New Roman"/>
          <w:color w:val="FF0000"/>
          <w:sz w:val="24"/>
          <w:szCs w:val="24"/>
          <w:lang w:val="en-PK" w:eastAsia="en-PK"/>
        </w:rPr>
        <w:t>(Table 1).</w:t>
      </w:r>
    </w:p>
    <w:p w14:paraId="5A135A1A" w14:textId="501B99A0" w:rsidR="004861EB" w:rsidRPr="006C683B" w:rsidRDefault="0037682C" w:rsidP="004861EB">
      <w:pPr>
        <w:spacing w:before="100" w:beforeAutospacing="1" w:after="100" w:afterAutospacing="1" w:line="240" w:lineRule="auto"/>
        <w:rPr>
          <w:rFonts w:ascii="Times New Roman" w:eastAsia="Times New Roman" w:hAnsi="Times New Roman" w:cs="Times New Roman"/>
          <w:sz w:val="24"/>
          <w:szCs w:val="24"/>
          <w:lang w:val="en-PK" w:eastAsia="en-PK"/>
        </w:rPr>
      </w:pPr>
      <w:r w:rsidRPr="006C683B">
        <w:rPr>
          <w:rFonts w:ascii="Times New Roman" w:hAnsi="Times New Roman" w:cs="Times New Roman"/>
          <w:sz w:val="24"/>
          <w:szCs w:val="24"/>
        </w:rPr>
        <w:t xml:space="preserve">Serial imaging showed a progressive decline in metabolic activity and a reciprocal rise in diffusion. Mean </w:t>
      </w:r>
      <w:proofErr w:type="spellStart"/>
      <w:r w:rsidRPr="006C683B">
        <w:rPr>
          <w:rFonts w:ascii="Times New Roman" w:hAnsi="Times New Roman" w:cs="Times New Roman"/>
          <w:sz w:val="24"/>
          <w:szCs w:val="24"/>
        </w:rPr>
        <w:t>SUVmax</w:t>
      </w:r>
      <w:proofErr w:type="spellEnd"/>
      <w:r w:rsidRPr="006C683B">
        <w:rPr>
          <w:rFonts w:ascii="Times New Roman" w:hAnsi="Times New Roman" w:cs="Times New Roman"/>
          <w:sz w:val="24"/>
          <w:szCs w:val="24"/>
        </w:rPr>
        <w:t xml:space="preserve"> fell from 10.74 ± 5.09 at baseline to 9.40 ± 4.79 (3 weeks), 7.72 ± 4.59 (6 weeks), and 6.87 ± 5.79 (12 weeks), equating to a 36.0 ± 25.3% reduction (all p &lt; 0.001). </w:t>
      </w:r>
      <w:proofErr w:type="spellStart"/>
      <w:r w:rsidRPr="006C683B">
        <w:rPr>
          <w:rFonts w:ascii="Times New Roman" w:hAnsi="Times New Roman" w:cs="Times New Roman"/>
          <w:sz w:val="24"/>
          <w:szCs w:val="24"/>
        </w:rPr>
        <w:t>SUVpeak</w:t>
      </w:r>
      <w:proofErr w:type="spellEnd"/>
      <w:r w:rsidRPr="006C683B">
        <w:rPr>
          <w:rFonts w:ascii="Times New Roman" w:hAnsi="Times New Roman" w:cs="Times New Roman"/>
          <w:sz w:val="24"/>
          <w:szCs w:val="24"/>
        </w:rPr>
        <w:t xml:space="preserve"> mirrored this trend (-36.1 ± 28.7%). Conversely, mean ADC rose from 0.855 ± 0.155 × </w:t>
      </w:r>
      <w:r w:rsidR="00A13743" w:rsidRPr="006C683B">
        <w:rPr>
          <w:rFonts w:ascii="Times New Roman" w:hAnsi="Times New Roman" w:cs="Times New Roman"/>
          <w:sz w:val="24"/>
          <w:szCs w:val="24"/>
        </w:rPr>
        <w:t>10³ mm²/s to 1.294 ± 0.394 × 10³</w:t>
      </w:r>
      <w:r w:rsidRPr="006C683B">
        <w:rPr>
          <w:rFonts w:ascii="Times New Roman" w:hAnsi="Times New Roman" w:cs="Times New Roman"/>
          <w:sz w:val="24"/>
          <w:szCs w:val="24"/>
        </w:rPr>
        <w:t xml:space="preserve"> mm²/s at 12 weeks, a 51.4 ± 42.1% increase (p &lt; 0.001). </w:t>
      </w:r>
      <w:proofErr w:type="spellStart"/>
      <w:r w:rsidR="004861EB" w:rsidRPr="006C683B">
        <w:rPr>
          <w:rFonts w:ascii="Times New Roman" w:eastAsia="Times New Roman" w:hAnsi="Times New Roman" w:cs="Times New Roman"/>
          <w:sz w:val="24"/>
          <w:szCs w:val="24"/>
          <w:lang w:val="en-PK" w:eastAsia="en-PK"/>
        </w:rPr>
        <w:t>SUVmax</w:t>
      </w:r>
      <w:proofErr w:type="spellEnd"/>
      <w:r w:rsidR="004861EB" w:rsidRPr="006C683B">
        <w:rPr>
          <w:rFonts w:ascii="Times New Roman" w:eastAsia="Times New Roman" w:hAnsi="Times New Roman" w:cs="Times New Roman"/>
          <w:sz w:val="24"/>
          <w:szCs w:val="24"/>
          <w:lang w:val="en-PK" w:eastAsia="en-PK"/>
        </w:rPr>
        <w:t xml:space="preserve"> and ADC were strongly negatively correlated at baseline (r = -0.654) and 12 weeks (r = -0.732; both p &lt; 0.001) </w:t>
      </w:r>
      <w:r w:rsidR="004861EB" w:rsidRPr="006C683B">
        <w:rPr>
          <w:rFonts w:ascii="Times New Roman" w:eastAsia="Times New Roman" w:hAnsi="Times New Roman" w:cs="Times New Roman"/>
          <w:color w:val="FF0000"/>
          <w:sz w:val="24"/>
          <w:szCs w:val="24"/>
          <w:lang w:val="en-PK" w:eastAsia="en-PK"/>
        </w:rPr>
        <w:t>(Table 2).</w:t>
      </w:r>
    </w:p>
    <w:p w14:paraId="39973893" w14:textId="6914A719" w:rsidR="00F37662" w:rsidRPr="006C683B" w:rsidRDefault="004861EB" w:rsidP="004861EB">
      <w:pPr>
        <w:spacing w:before="100" w:beforeAutospacing="1" w:after="100" w:afterAutospacing="1" w:line="240" w:lineRule="auto"/>
        <w:rPr>
          <w:rFonts w:ascii="Times New Roman" w:eastAsia="Times New Roman" w:hAnsi="Times New Roman" w:cs="Times New Roman"/>
          <w:sz w:val="24"/>
          <w:szCs w:val="24"/>
          <w:lang w:val="en-PK" w:eastAsia="en-PK"/>
        </w:rPr>
      </w:pPr>
      <w:r w:rsidRPr="006C683B">
        <w:rPr>
          <w:rFonts w:ascii="Times New Roman" w:eastAsia="Times New Roman" w:hAnsi="Times New Roman" w:cs="Times New Roman"/>
          <w:sz w:val="24"/>
          <w:szCs w:val="24"/>
          <w:lang w:val="en-PK" w:eastAsia="en-PK"/>
        </w:rPr>
        <w:t>Morphological RECIST classified two patients (1.7%) as complete responders, 48 (40.0%) as partial responders, 65 (54.2%) as stable, and 5 (4.2%) as progressive, yielding an overall response rate (ORR) of 41.7%. Metabolic PERCIST recorded 81 partial metabolic responses (67.5%), 25 stable (20.8%), and 14 progressive (11.7%), giving an ORR of 67.5%. DWI-MRI identified response in 81 patients (67.5%) and stability in 39 (32.5%). Concordance between modalities was substantial: κ = 0.742 for RECIST–PERCIST, κ = 0.689 for RECIST–DWI, and κ = 0.798 for PERCIST–DWI (all p &lt; 0.001)</w:t>
      </w:r>
      <w:r w:rsidR="00334BAB" w:rsidRPr="006C683B">
        <w:rPr>
          <w:rFonts w:ascii="Times New Roman" w:eastAsia="Times New Roman" w:hAnsi="Times New Roman" w:cs="Times New Roman"/>
          <w:sz w:val="24"/>
          <w:szCs w:val="24"/>
          <w:lang w:eastAsia="en-PK"/>
        </w:rPr>
        <w:t xml:space="preserve"> </w:t>
      </w:r>
      <w:r w:rsidR="00334BAB" w:rsidRPr="006C683B">
        <w:rPr>
          <w:rFonts w:ascii="Times New Roman" w:eastAsia="Times New Roman" w:hAnsi="Times New Roman" w:cs="Times New Roman"/>
          <w:color w:val="FF0000"/>
          <w:sz w:val="24"/>
          <w:szCs w:val="24"/>
          <w:lang w:eastAsia="en-PK"/>
        </w:rPr>
        <w:t>(Table 3)</w:t>
      </w:r>
      <w:r w:rsidRPr="006C683B">
        <w:rPr>
          <w:rFonts w:ascii="Times New Roman" w:eastAsia="Times New Roman" w:hAnsi="Times New Roman" w:cs="Times New Roman"/>
          <w:color w:val="FF0000"/>
          <w:sz w:val="24"/>
          <w:szCs w:val="24"/>
          <w:lang w:val="en-PK" w:eastAsia="en-PK"/>
        </w:rPr>
        <w:t>.</w:t>
      </w:r>
      <w:r w:rsidRPr="006C683B">
        <w:rPr>
          <w:rFonts w:ascii="Times New Roman" w:eastAsia="Times New Roman" w:hAnsi="Times New Roman" w:cs="Times New Roman"/>
          <w:sz w:val="24"/>
          <w:szCs w:val="24"/>
          <w:lang w:val="en-PK" w:eastAsia="en-PK"/>
        </w:rPr>
        <w:t xml:space="preserve"> </w:t>
      </w:r>
    </w:p>
    <w:p w14:paraId="49320613" w14:textId="57D2F55B" w:rsidR="00F37662" w:rsidRPr="006C683B" w:rsidRDefault="0053521A" w:rsidP="004861EB">
      <w:pPr>
        <w:spacing w:before="100" w:beforeAutospacing="1" w:after="100" w:afterAutospacing="1" w:line="240" w:lineRule="auto"/>
        <w:rPr>
          <w:rFonts w:ascii="Times New Roman" w:hAnsi="Times New Roman" w:cs="Times New Roman"/>
          <w:color w:val="FF0000"/>
          <w:sz w:val="24"/>
          <w:szCs w:val="24"/>
        </w:rPr>
      </w:pPr>
      <w:r w:rsidRPr="006C683B">
        <w:rPr>
          <w:rFonts w:ascii="Times New Roman" w:hAnsi="Times New Roman" w:cs="Times New Roman"/>
          <w:sz w:val="24"/>
          <w:szCs w:val="24"/>
        </w:rPr>
        <w:t xml:space="preserve">Predicting 12-week treatment response, </w:t>
      </w:r>
      <w:r w:rsidR="000649E9" w:rsidRPr="006C683B">
        <w:rPr>
          <w:rFonts w:ascii="Times New Roman" w:hAnsi="Times New Roman" w:cs="Times New Roman"/>
          <w:sz w:val="24"/>
          <w:szCs w:val="24"/>
        </w:rPr>
        <w:t>PET-CT demonstrated sensitivity of 84.4% and specificity of 72.1% at the optimal cut-off threshold</w:t>
      </w:r>
      <w:r w:rsidR="00A13743" w:rsidRPr="006C683B">
        <w:rPr>
          <w:rFonts w:ascii="Times New Roman" w:hAnsi="Times New Roman" w:cs="Times New Roman"/>
          <w:sz w:val="24"/>
          <w:szCs w:val="24"/>
        </w:rPr>
        <w:t xml:space="preserve">. At the optimal </w:t>
      </w:r>
      <w:proofErr w:type="spellStart"/>
      <w:r w:rsidR="00A13743" w:rsidRPr="006C683B">
        <w:rPr>
          <w:rFonts w:ascii="Times New Roman" w:hAnsi="Times New Roman" w:cs="Times New Roman"/>
          <w:sz w:val="24"/>
          <w:szCs w:val="24"/>
        </w:rPr>
        <w:t>SUVmax</w:t>
      </w:r>
      <w:proofErr w:type="spellEnd"/>
      <w:r w:rsidR="00A13743" w:rsidRPr="006C683B">
        <w:rPr>
          <w:rFonts w:ascii="Times New Roman" w:hAnsi="Times New Roman" w:cs="Times New Roman"/>
          <w:sz w:val="24"/>
          <w:szCs w:val="24"/>
        </w:rPr>
        <w:t xml:space="preserve"> decrease cut-off of ≥30%, the sensitivity and specificity were 84.4% and 72.1%, respectively</w:t>
      </w:r>
      <w:r w:rsidRPr="006C683B">
        <w:rPr>
          <w:rFonts w:ascii="Times New Roman" w:hAnsi="Times New Roman" w:cs="Times New Roman"/>
          <w:sz w:val="24"/>
          <w:szCs w:val="24"/>
        </w:rPr>
        <w:t xml:space="preserve">. </w:t>
      </w:r>
      <w:r w:rsidR="000649E9" w:rsidRPr="006C683B">
        <w:rPr>
          <w:rFonts w:ascii="Times New Roman" w:hAnsi="Times New Roman" w:cs="Times New Roman"/>
          <w:sz w:val="24"/>
          <w:szCs w:val="24"/>
        </w:rPr>
        <w:t xml:space="preserve">DWI-MRI exhibited sensitivity of 90.9% and specificity of 76.7% at the optimal cut-off threshold </w:t>
      </w:r>
      <w:r w:rsidRPr="006C683B">
        <w:rPr>
          <w:rFonts w:ascii="Times New Roman" w:hAnsi="Times New Roman" w:cs="Times New Roman"/>
          <w:color w:val="FF0000"/>
          <w:sz w:val="24"/>
          <w:szCs w:val="24"/>
        </w:rPr>
        <w:t xml:space="preserve">(Table </w:t>
      </w:r>
      <w:r w:rsidR="00F37662" w:rsidRPr="006C683B">
        <w:rPr>
          <w:rFonts w:ascii="Times New Roman" w:hAnsi="Times New Roman" w:cs="Times New Roman"/>
          <w:color w:val="FF0000"/>
          <w:sz w:val="24"/>
          <w:szCs w:val="24"/>
        </w:rPr>
        <w:t>4)</w:t>
      </w:r>
      <w:r w:rsidRPr="006C683B">
        <w:rPr>
          <w:rFonts w:ascii="Times New Roman" w:hAnsi="Times New Roman" w:cs="Times New Roman"/>
          <w:color w:val="FF0000"/>
          <w:sz w:val="24"/>
          <w:szCs w:val="24"/>
        </w:rPr>
        <w:t>.</w:t>
      </w:r>
      <w:r w:rsidR="000649E9" w:rsidRPr="006C683B">
        <w:rPr>
          <w:rFonts w:ascii="Times New Roman" w:hAnsi="Times New Roman" w:cs="Times New Roman"/>
          <w:color w:val="FF0000"/>
          <w:sz w:val="24"/>
          <w:szCs w:val="24"/>
        </w:rPr>
        <w:t xml:space="preserve"> </w:t>
      </w:r>
    </w:p>
    <w:p w14:paraId="51008865" w14:textId="79623FAF" w:rsidR="0053521A" w:rsidRPr="006C683B" w:rsidRDefault="000649E9" w:rsidP="004861EB">
      <w:pPr>
        <w:spacing w:before="100" w:beforeAutospacing="1" w:after="100" w:afterAutospacing="1" w:line="240" w:lineRule="auto"/>
        <w:rPr>
          <w:rFonts w:ascii="Times New Roman" w:hAnsi="Times New Roman" w:cs="Times New Roman"/>
          <w:b/>
          <w:bCs/>
          <w:sz w:val="24"/>
          <w:szCs w:val="24"/>
        </w:rPr>
      </w:pPr>
      <w:r w:rsidRPr="006C683B">
        <w:rPr>
          <w:rStyle w:val="Strong"/>
          <w:rFonts w:ascii="Times New Roman" w:hAnsi="Times New Roman" w:cs="Times New Roman"/>
          <w:b w:val="0"/>
          <w:bCs w:val="0"/>
          <w:sz w:val="24"/>
          <w:szCs w:val="24"/>
        </w:rPr>
        <w:t xml:space="preserve">The diagnostic performance metrics in Table 3 represent </w:t>
      </w:r>
      <w:r w:rsidR="004A5F44" w:rsidRPr="006C683B">
        <w:rPr>
          <w:rStyle w:val="Strong"/>
          <w:rFonts w:ascii="Times New Roman" w:hAnsi="Times New Roman" w:cs="Times New Roman"/>
          <w:b w:val="0"/>
          <w:bCs w:val="0"/>
          <w:sz w:val="24"/>
          <w:szCs w:val="24"/>
        </w:rPr>
        <w:t xml:space="preserve">the overall performance characteristics across all possible threshold values, while Table 4 presents the performance at the </w:t>
      </w:r>
      <w:r w:rsidRPr="006C683B">
        <w:rPr>
          <w:rStyle w:val="Strong"/>
          <w:rFonts w:ascii="Times New Roman" w:hAnsi="Times New Roman" w:cs="Times New Roman"/>
          <w:b w:val="0"/>
          <w:bCs w:val="0"/>
          <w:sz w:val="24"/>
          <w:szCs w:val="24"/>
        </w:rPr>
        <w:t xml:space="preserve">statistically determined optimal cut-off values. The optimal thresholds (≥30% </w:t>
      </w:r>
      <w:proofErr w:type="spellStart"/>
      <w:r w:rsidRPr="006C683B">
        <w:rPr>
          <w:rStyle w:val="Strong"/>
          <w:rFonts w:ascii="Times New Roman" w:hAnsi="Times New Roman" w:cs="Times New Roman"/>
          <w:b w:val="0"/>
          <w:bCs w:val="0"/>
          <w:sz w:val="24"/>
          <w:szCs w:val="24"/>
        </w:rPr>
        <w:t>SUVmax</w:t>
      </w:r>
      <w:proofErr w:type="spellEnd"/>
      <w:r w:rsidRPr="006C683B">
        <w:rPr>
          <w:rStyle w:val="Strong"/>
          <w:rFonts w:ascii="Times New Roman" w:hAnsi="Times New Roman" w:cs="Times New Roman"/>
          <w:b w:val="0"/>
          <w:bCs w:val="0"/>
          <w:sz w:val="24"/>
          <w:szCs w:val="24"/>
        </w:rPr>
        <w:t xml:space="preserve"> decrease for PET-CT and ≥40% ADC increase for DWI-MRI) were determined by maximizing the Youden index (sensitivity + specificity - 1) to optimize diagnostic accuracy for clinical decision-making.</w:t>
      </w:r>
    </w:p>
    <w:p w14:paraId="714DBEF7" w14:textId="7B4CEBD7" w:rsidR="004861EB" w:rsidRPr="006C683B" w:rsidRDefault="004861EB" w:rsidP="004861EB">
      <w:pPr>
        <w:spacing w:before="100" w:beforeAutospacing="1" w:after="100" w:afterAutospacing="1" w:line="240" w:lineRule="auto"/>
        <w:rPr>
          <w:rFonts w:ascii="Times New Roman" w:eastAsia="Times New Roman" w:hAnsi="Times New Roman" w:cs="Times New Roman"/>
          <w:sz w:val="24"/>
          <w:szCs w:val="24"/>
          <w:lang w:val="en-PK" w:eastAsia="en-PK"/>
        </w:rPr>
      </w:pPr>
      <w:r w:rsidRPr="006C683B">
        <w:rPr>
          <w:rFonts w:ascii="Times New Roman" w:eastAsia="Times New Roman" w:hAnsi="Times New Roman" w:cs="Times New Roman"/>
          <w:sz w:val="24"/>
          <w:szCs w:val="24"/>
          <w:lang w:val="en-PK" w:eastAsia="en-PK"/>
        </w:rPr>
        <w:t xml:space="preserve">Survival differed markedly by combined imaging response. Concordant responders (PET-CT+/DWI-MRI+) comprised 61 patients (50.8%), who experienced a 24.6% progression rate with a median progression-free survival (PFS) of 18.0 months and a 12-month PFS rate of 78.5%. Discordant cases (29.2%) had a median PFS of 5.9 months, while concordant non-responders (20.0%) had 4.8 months (p &lt; 0.001). Overall survival (OS) mirrored these trends: concordant responders had a 14.8% mortality rate with a median OS of 12.2 months, compared to 9.9 months in non-responders (p &lt; 0.001). Hazard ratios relative to concordant non-responders were 0.31 for PFS and 0.27 for OS among concordant responders </w:t>
      </w:r>
      <w:r w:rsidRPr="006C683B">
        <w:rPr>
          <w:rFonts w:ascii="Times New Roman" w:eastAsia="Times New Roman" w:hAnsi="Times New Roman" w:cs="Times New Roman"/>
          <w:color w:val="FF0000"/>
          <w:sz w:val="24"/>
          <w:szCs w:val="24"/>
          <w:lang w:val="en-PK" w:eastAsia="en-PK"/>
        </w:rPr>
        <w:t>(Table 5).</w:t>
      </w:r>
    </w:p>
    <w:p w14:paraId="4EA40D74" w14:textId="01A843FD" w:rsidR="004861EB" w:rsidRPr="006C683B" w:rsidRDefault="000649E9" w:rsidP="004861EB">
      <w:pPr>
        <w:spacing w:before="100" w:beforeAutospacing="1" w:after="100" w:afterAutospacing="1" w:line="240" w:lineRule="auto"/>
        <w:rPr>
          <w:rFonts w:ascii="Times New Roman" w:eastAsia="Times New Roman" w:hAnsi="Times New Roman" w:cs="Times New Roman"/>
          <w:color w:val="FF0000"/>
          <w:sz w:val="24"/>
          <w:szCs w:val="24"/>
          <w:lang w:val="en-PK" w:eastAsia="en-PK"/>
        </w:rPr>
      </w:pPr>
      <w:r w:rsidRPr="006C683B">
        <w:rPr>
          <w:rStyle w:val="Strong"/>
          <w:rFonts w:ascii="Times New Roman" w:hAnsi="Times New Roman" w:cs="Times New Roman"/>
          <w:b w:val="0"/>
          <w:bCs w:val="0"/>
          <w:sz w:val="24"/>
          <w:szCs w:val="24"/>
        </w:rPr>
        <w:t xml:space="preserve">Quality-of-life analysis revealed statistically significant but modest improvements. </w:t>
      </w:r>
      <w:r w:rsidR="004A5F44" w:rsidRPr="006C683B">
        <w:rPr>
          <w:rStyle w:val="Strong"/>
          <w:rFonts w:ascii="Times New Roman" w:hAnsi="Times New Roman" w:cs="Times New Roman"/>
          <w:b w:val="0"/>
          <w:bCs w:val="0"/>
          <w:sz w:val="24"/>
          <w:szCs w:val="24"/>
        </w:rPr>
        <w:t>The global health status showed a mean improvement of 4.6 ± 13.8 points (p &lt; 0.001), although</w:t>
      </w:r>
      <w:r w:rsidRPr="006C683B">
        <w:rPr>
          <w:rStyle w:val="Strong"/>
          <w:rFonts w:ascii="Times New Roman" w:hAnsi="Times New Roman" w:cs="Times New Roman"/>
          <w:b w:val="0"/>
          <w:bCs w:val="0"/>
          <w:sz w:val="24"/>
          <w:szCs w:val="24"/>
        </w:rPr>
        <w:t xml:space="preserve"> the </w:t>
      </w:r>
      <w:r w:rsidR="004A5F44" w:rsidRPr="006C683B">
        <w:rPr>
          <w:rStyle w:val="Strong"/>
          <w:rFonts w:ascii="Times New Roman" w:hAnsi="Times New Roman" w:cs="Times New Roman"/>
          <w:b w:val="0"/>
          <w:bCs w:val="0"/>
          <w:sz w:val="24"/>
          <w:szCs w:val="24"/>
        </w:rPr>
        <w:t>significant</w:t>
      </w:r>
      <w:r w:rsidRPr="006C683B">
        <w:rPr>
          <w:rStyle w:val="Strong"/>
          <w:rFonts w:ascii="Times New Roman" w:hAnsi="Times New Roman" w:cs="Times New Roman"/>
          <w:b w:val="0"/>
          <w:bCs w:val="0"/>
          <w:sz w:val="24"/>
          <w:szCs w:val="24"/>
        </w:rPr>
        <w:t xml:space="preserve"> standard deviation indicates substantial individual variability in response. Clinically meaningful improvements (≥10 points) were achieved in 42 patients (35.0%) for global health </w:t>
      </w:r>
      <w:r w:rsidRPr="006C683B">
        <w:rPr>
          <w:rStyle w:val="Strong"/>
          <w:rFonts w:ascii="Times New Roman" w:hAnsi="Times New Roman" w:cs="Times New Roman"/>
          <w:b w:val="0"/>
          <w:bCs w:val="0"/>
          <w:sz w:val="24"/>
          <w:szCs w:val="24"/>
        </w:rPr>
        <w:lastRenderedPageBreak/>
        <w:t xml:space="preserve">status, </w:t>
      </w:r>
      <w:r w:rsidR="004A5F44" w:rsidRPr="006C683B">
        <w:rPr>
          <w:rStyle w:val="Strong"/>
          <w:rFonts w:ascii="Times New Roman" w:hAnsi="Times New Roman" w:cs="Times New Roman"/>
          <w:b w:val="0"/>
          <w:bCs w:val="0"/>
          <w:sz w:val="24"/>
          <w:szCs w:val="24"/>
        </w:rPr>
        <w:t>suggesting</w:t>
      </w:r>
      <w:r w:rsidRPr="006C683B">
        <w:rPr>
          <w:rStyle w:val="Strong"/>
          <w:rFonts w:ascii="Times New Roman" w:hAnsi="Times New Roman" w:cs="Times New Roman"/>
          <w:b w:val="0"/>
          <w:bCs w:val="0"/>
          <w:sz w:val="24"/>
          <w:szCs w:val="24"/>
        </w:rPr>
        <w:t xml:space="preserve"> that while the overall effect was modest, a meaningful subset of patients experienced substantial benefit</w:t>
      </w:r>
      <w:r w:rsidRPr="006C683B">
        <w:rPr>
          <w:rStyle w:val="Strong"/>
          <w:rFonts w:ascii="Times New Roman" w:hAnsi="Times New Roman" w:cs="Times New Roman"/>
          <w:sz w:val="24"/>
          <w:szCs w:val="24"/>
        </w:rPr>
        <w:t xml:space="preserve"> </w:t>
      </w:r>
      <w:r w:rsidR="004861EB" w:rsidRPr="006C683B">
        <w:rPr>
          <w:rFonts w:ascii="Times New Roman" w:eastAsia="Times New Roman" w:hAnsi="Times New Roman" w:cs="Times New Roman"/>
          <w:color w:val="FF0000"/>
          <w:sz w:val="24"/>
          <w:szCs w:val="24"/>
          <w:lang w:val="en-PK" w:eastAsia="en-PK"/>
        </w:rPr>
        <w:t>(Table 6).</w:t>
      </w:r>
    </w:p>
    <w:p w14:paraId="7BEE6B13" w14:textId="048EB9AF" w:rsidR="00CA78A2" w:rsidRPr="006C683B" w:rsidRDefault="00CA78A2" w:rsidP="004861EB">
      <w:pPr>
        <w:spacing w:before="100" w:beforeAutospacing="1" w:after="100" w:afterAutospacing="1" w:line="240" w:lineRule="auto"/>
        <w:rPr>
          <w:rFonts w:ascii="Times New Roman" w:eastAsia="Times New Roman" w:hAnsi="Times New Roman" w:cs="Times New Roman"/>
          <w:color w:val="FF0000"/>
          <w:sz w:val="24"/>
          <w:szCs w:val="24"/>
          <w:lang w:val="en-PK" w:eastAsia="en-PK"/>
        </w:rPr>
      </w:pPr>
    </w:p>
    <w:p w14:paraId="727612C3" w14:textId="36BAB8C7" w:rsidR="00CA78A2" w:rsidRPr="006C683B" w:rsidRDefault="00CA78A2" w:rsidP="004861EB">
      <w:pPr>
        <w:spacing w:before="100" w:beforeAutospacing="1" w:after="100" w:afterAutospacing="1" w:line="240" w:lineRule="auto"/>
        <w:rPr>
          <w:rFonts w:ascii="Times New Roman" w:eastAsia="Times New Roman" w:hAnsi="Times New Roman" w:cs="Times New Roman"/>
          <w:color w:val="FF0000"/>
          <w:sz w:val="24"/>
          <w:szCs w:val="24"/>
          <w:lang w:val="en-PK" w:eastAsia="en-PK"/>
        </w:rPr>
      </w:pPr>
    </w:p>
    <w:p w14:paraId="5CAC5688" w14:textId="77777777" w:rsidR="00CA78A2" w:rsidRPr="006C683B" w:rsidRDefault="00CA78A2" w:rsidP="00CA78A2">
      <w:pPr>
        <w:spacing w:before="157" w:after="157" w:line="270" w:lineRule="auto"/>
        <w:rPr>
          <w:rFonts w:ascii="Times New Roman" w:hAnsi="Times New Roman" w:cs="Times New Roman"/>
          <w:sz w:val="24"/>
          <w:szCs w:val="24"/>
        </w:rPr>
      </w:pPr>
      <w:r w:rsidRPr="006C683B">
        <w:rPr>
          <w:rFonts w:ascii="Times New Roman" w:eastAsia="inter" w:hAnsi="Times New Roman" w:cs="Times New Roman"/>
          <w:b/>
          <w:color w:val="000000"/>
          <w:sz w:val="24"/>
          <w:szCs w:val="24"/>
        </w:rPr>
        <w:t>DISCUSSION</w:t>
      </w:r>
    </w:p>
    <w:p w14:paraId="5A807ABE" w14:textId="0A3F9D2E"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This prospective comparative study provides compelling evidence that both PET-CT and DWI-MRI demonstrate excellent diagnostic performance for </w:t>
      </w:r>
      <w:r w:rsidR="00F02B59" w:rsidRPr="006C683B">
        <w:rPr>
          <w:rFonts w:ascii="Times New Roman" w:eastAsia="inter" w:hAnsi="Times New Roman" w:cs="Times New Roman"/>
          <w:color w:val="000000"/>
          <w:sz w:val="24"/>
          <w:szCs w:val="24"/>
        </w:rPr>
        <w:t xml:space="preserve">assessing chemotherapy response in colorectal cancer, with DWI-MRI showing a </w:t>
      </w:r>
      <w:r w:rsidRPr="006C683B">
        <w:rPr>
          <w:rFonts w:ascii="Times New Roman" w:eastAsia="inter" w:hAnsi="Times New Roman" w:cs="Times New Roman"/>
          <w:color w:val="000000"/>
          <w:sz w:val="24"/>
          <w:szCs w:val="24"/>
        </w:rPr>
        <w:t>marginal superiority. The study's primary finding</w:t>
      </w:r>
      <w:r w:rsidR="00F02B59" w:rsidRPr="006C683B">
        <w:rPr>
          <w:rFonts w:ascii="Times New Roman" w:eastAsia="inter" w:hAnsi="Times New Roman" w:cs="Times New Roman"/>
          <w:color w:val="000000"/>
          <w:sz w:val="24"/>
          <w:szCs w:val="24"/>
        </w:rPr>
        <w:t>, that DWI-MRI achieves an AUC of 0.887 compared to PET-CT's 0.851 (p = 0.156), represents a clinically meaningful difference, although</w:t>
      </w:r>
      <w:r w:rsidRPr="006C683B">
        <w:rPr>
          <w:rFonts w:ascii="Times New Roman" w:eastAsia="inter" w:hAnsi="Times New Roman" w:cs="Times New Roman"/>
          <w:color w:val="000000"/>
          <w:sz w:val="24"/>
          <w:szCs w:val="24"/>
        </w:rPr>
        <w:t xml:space="preserve"> not statistically significant. The superior sensitivity of DWI-MRI (90.9% vs 84.4%) and higher negative predictive value (82.5% vs 72.1%) suggest particular advantages in identifying true responders and avoiding false negatives</w:t>
      </w:r>
      <w:bookmarkStart w:id="26" w:name="fnref1:2"/>
      <w:bookmarkEnd w:id="26"/>
      <w:r w:rsidRPr="006C683B">
        <w:rPr>
          <w:rFonts w:ascii="Times New Roman" w:eastAsia="inter" w:hAnsi="Times New Roman" w:cs="Times New Roman"/>
          <w:color w:val="000000"/>
          <w:sz w:val="24"/>
          <w:szCs w:val="24"/>
        </w:rPr>
        <w:t>.</w:t>
      </w:r>
    </w:p>
    <w:p w14:paraId="0DF1B4FA" w14:textId="3174160B"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The strong negative correlation between </w:t>
      </w:r>
      <w:proofErr w:type="spellStart"/>
      <w:r w:rsidRPr="006C683B">
        <w:rPr>
          <w:rFonts w:ascii="Times New Roman" w:eastAsia="inter" w:hAnsi="Times New Roman" w:cs="Times New Roman"/>
          <w:color w:val="000000"/>
          <w:sz w:val="24"/>
          <w:szCs w:val="24"/>
        </w:rPr>
        <w:t>SUVmax</w:t>
      </w:r>
      <w:proofErr w:type="spellEnd"/>
      <w:r w:rsidRPr="006C683B">
        <w:rPr>
          <w:rFonts w:ascii="Times New Roman" w:eastAsia="inter" w:hAnsi="Times New Roman" w:cs="Times New Roman"/>
          <w:color w:val="000000"/>
          <w:sz w:val="24"/>
          <w:szCs w:val="24"/>
        </w:rPr>
        <w:t xml:space="preserve"> and ADC values (r = -0.732 at 12 weeks) reinforces the complementary nature of metabolic and cellular response mechanisms</w:t>
      </w:r>
      <w:bookmarkStart w:id="27" w:name="fnref1:3"/>
      <w:bookmarkEnd w:id="27"/>
      <w:r w:rsidRPr="006C683B">
        <w:rPr>
          <w:rFonts w:ascii="Times New Roman" w:eastAsia="inter" w:hAnsi="Times New Roman" w:cs="Times New Roman"/>
          <w:color w:val="000000"/>
          <w:sz w:val="24"/>
          <w:szCs w:val="24"/>
        </w:rPr>
        <w:t xml:space="preserve">. This finding aligns with previous research demonstrating that successful chemotherapy induces both metabolic </w:t>
      </w:r>
      <w:proofErr w:type="gramStart"/>
      <w:r w:rsidRPr="006C683B">
        <w:rPr>
          <w:rFonts w:ascii="Times New Roman" w:eastAsia="inter" w:hAnsi="Times New Roman" w:cs="Times New Roman"/>
          <w:color w:val="000000"/>
          <w:sz w:val="24"/>
          <w:szCs w:val="24"/>
        </w:rPr>
        <w:t>shutdown</w:t>
      </w:r>
      <w:proofErr w:type="gramEnd"/>
      <w:r w:rsidR="00F02B59" w:rsidRPr="006C683B">
        <w:rPr>
          <w:rFonts w:ascii="Times New Roman" w:eastAsia="inter" w:hAnsi="Times New Roman" w:cs="Times New Roman"/>
          <w:color w:val="000000"/>
          <w:sz w:val="24"/>
          <w:szCs w:val="24"/>
        </w:rPr>
        <w:t>, measurable by PET-CT,</w:t>
      </w:r>
      <w:r w:rsidRPr="006C683B">
        <w:rPr>
          <w:rFonts w:ascii="Times New Roman" w:eastAsia="inter" w:hAnsi="Times New Roman" w:cs="Times New Roman"/>
          <w:color w:val="000000"/>
          <w:sz w:val="24"/>
          <w:szCs w:val="24"/>
        </w:rPr>
        <w:t xml:space="preserve"> and cellular membrane disruption detectable by DWI-MRI </w:t>
      </w:r>
      <w:hyperlink w:anchor="fn2">
        <w:r w:rsidRPr="006C683B">
          <w:rPr>
            <w:rFonts w:ascii="Times New Roman" w:eastAsia="inter" w:hAnsi="Times New Roman" w:cs="Times New Roman"/>
            <w:color w:val="FF0000"/>
            <w:sz w:val="24"/>
            <w:szCs w:val="24"/>
            <w:u w:val="single"/>
            <w:vertAlign w:val="superscript"/>
          </w:rPr>
          <w:t>[2]</w:t>
        </w:r>
      </w:hyperlink>
      <w:hyperlink w:anchor="fn3">
        <w:r w:rsidRPr="006C683B">
          <w:rPr>
            <w:rFonts w:ascii="Times New Roman" w:eastAsia="inter" w:hAnsi="Times New Roman" w:cs="Times New Roman"/>
            <w:color w:val="FF0000"/>
            <w:sz w:val="24"/>
            <w:szCs w:val="24"/>
            <w:u w:val="single"/>
            <w:vertAlign w:val="superscript"/>
          </w:rPr>
          <w:t>[3]</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The 51.4% increase in ADC values</w:t>
      </w:r>
      <w:r w:rsidR="00F02B59" w:rsidRPr="006C683B">
        <w:rPr>
          <w:rFonts w:ascii="Times New Roman" w:eastAsia="inter" w:hAnsi="Times New Roman" w:cs="Times New Roman"/>
          <w:color w:val="000000"/>
          <w:sz w:val="24"/>
          <w:szCs w:val="24"/>
        </w:rPr>
        <w:t xml:space="preserve">, correlating with a 36.0% decrease in </w:t>
      </w:r>
      <w:proofErr w:type="spellStart"/>
      <w:r w:rsidR="00F02B59" w:rsidRPr="006C683B">
        <w:rPr>
          <w:rFonts w:ascii="Times New Roman" w:eastAsia="inter" w:hAnsi="Times New Roman" w:cs="Times New Roman"/>
          <w:color w:val="000000"/>
          <w:sz w:val="24"/>
          <w:szCs w:val="24"/>
        </w:rPr>
        <w:t>SUVmax</w:t>
      </w:r>
      <w:proofErr w:type="spellEnd"/>
      <w:r w:rsidR="00F02B59" w:rsidRPr="006C683B">
        <w:rPr>
          <w:rFonts w:ascii="Times New Roman" w:eastAsia="inter" w:hAnsi="Times New Roman" w:cs="Times New Roman"/>
          <w:color w:val="000000"/>
          <w:sz w:val="24"/>
          <w:szCs w:val="24"/>
        </w:rPr>
        <w:t>,</w:t>
      </w:r>
      <w:r w:rsidRPr="006C683B">
        <w:rPr>
          <w:rFonts w:ascii="Times New Roman" w:eastAsia="inter" w:hAnsi="Times New Roman" w:cs="Times New Roman"/>
          <w:color w:val="000000"/>
          <w:sz w:val="24"/>
          <w:szCs w:val="24"/>
        </w:rPr>
        <w:t xml:space="preserve"> provides quantitative thresholds for clinical decision-making</w:t>
      </w:r>
      <w:bookmarkStart w:id="28" w:name="fnref1:4"/>
      <w:bookmarkEnd w:id="28"/>
      <w:r w:rsidRPr="006C683B">
        <w:rPr>
          <w:rFonts w:ascii="Times New Roman" w:eastAsia="inter" w:hAnsi="Times New Roman" w:cs="Times New Roman"/>
          <w:color w:val="000000"/>
          <w:sz w:val="24"/>
          <w:szCs w:val="24"/>
        </w:rPr>
        <w:t>.</w:t>
      </w:r>
    </w:p>
    <w:p w14:paraId="0CB88828" w14:textId="77777777"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The survival analysis reveals remarkable prognostic stratification capability when combining both modalities</w:t>
      </w:r>
      <w:bookmarkStart w:id="29" w:name="fnref1:5"/>
      <w:bookmarkEnd w:id="29"/>
      <w:r w:rsidRPr="006C683B">
        <w:rPr>
          <w:rFonts w:ascii="Times New Roman" w:eastAsia="inter" w:hAnsi="Times New Roman" w:cs="Times New Roman"/>
          <w:color w:val="000000"/>
          <w:sz w:val="24"/>
          <w:szCs w:val="24"/>
        </w:rPr>
        <w:t>. Concordant responders demonstrated superior progression-free survival (18.0 vs 4.8 months, p &lt; 0.001) and overall survival outcomes compared to concordant non-responders</w:t>
      </w:r>
      <w:bookmarkStart w:id="30" w:name="fnref1:6"/>
      <w:bookmarkEnd w:id="30"/>
      <w:r w:rsidRPr="006C683B">
        <w:rPr>
          <w:rFonts w:ascii="Times New Roman" w:eastAsia="inter" w:hAnsi="Times New Roman" w:cs="Times New Roman"/>
          <w:color w:val="000000"/>
          <w:sz w:val="24"/>
          <w:szCs w:val="24"/>
        </w:rPr>
        <w:t xml:space="preserve">. These findings corroborate emerging evidence that functional imaging concordance provides more robust prognostic information than individual modality assessment </w:t>
      </w:r>
      <w:hyperlink w:anchor="fn4">
        <w:r w:rsidRPr="006C683B">
          <w:rPr>
            <w:rFonts w:ascii="Times New Roman" w:eastAsia="inter" w:hAnsi="Times New Roman" w:cs="Times New Roman"/>
            <w:color w:val="FF0000"/>
            <w:sz w:val="24"/>
            <w:szCs w:val="24"/>
            <w:u w:val="single"/>
            <w:vertAlign w:val="superscript"/>
          </w:rPr>
          <w:t>[4]</w:t>
        </w:r>
      </w:hyperlink>
      <w:hyperlink w:anchor="fn5">
        <w:r w:rsidRPr="006C683B">
          <w:rPr>
            <w:rFonts w:ascii="Times New Roman" w:eastAsia="inter" w:hAnsi="Times New Roman" w:cs="Times New Roman"/>
            <w:color w:val="FF0000"/>
            <w:sz w:val="24"/>
            <w:szCs w:val="24"/>
            <w:u w:val="single"/>
            <w:vertAlign w:val="superscript"/>
          </w:rPr>
          <w:t>[5]</w:t>
        </w:r>
      </w:hyperlink>
      <w:r w:rsidRPr="006C683B">
        <w:rPr>
          <w:rFonts w:ascii="Times New Roman" w:eastAsia="inter" w:hAnsi="Times New Roman" w:cs="Times New Roman"/>
          <w:color w:val="FF0000"/>
          <w:sz w:val="24"/>
          <w:szCs w:val="24"/>
        </w:rPr>
        <w:t>.</w:t>
      </w:r>
    </w:p>
    <w:p w14:paraId="1E4C15E3" w14:textId="77777777" w:rsidR="00CA78A2" w:rsidRPr="006C683B" w:rsidRDefault="00CA78A2" w:rsidP="00CA78A2">
      <w:pPr>
        <w:spacing w:after="0" w:line="360" w:lineRule="auto"/>
        <w:jc w:val="center"/>
        <w:rPr>
          <w:rFonts w:ascii="Times New Roman" w:hAnsi="Times New Roman" w:cs="Times New Roman"/>
          <w:sz w:val="24"/>
          <w:szCs w:val="24"/>
        </w:rPr>
      </w:pPr>
    </w:p>
    <w:p w14:paraId="67F07782" w14:textId="77777777"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The </w:t>
      </w:r>
      <w:proofErr w:type="gramStart"/>
      <w:r w:rsidRPr="006C683B">
        <w:rPr>
          <w:rFonts w:ascii="Times New Roman" w:eastAsia="inter" w:hAnsi="Times New Roman" w:cs="Times New Roman"/>
          <w:color w:val="000000"/>
          <w:sz w:val="24"/>
          <w:szCs w:val="24"/>
        </w:rPr>
        <w:t>quality of life</w:t>
      </w:r>
      <w:proofErr w:type="gramEnd"/>
      <w:r w:rsidRPr="006C683B">
        <w:rPr>
          <w:rFonts w:ascii="Times New Roman" w:eastAsia="inter" w:hAnsi="Times New Roman" w:cs="Times New Roman"/>
          <w:color w:val="000000"/>
          <w:sz w:val="24"/>
          <w:szCs w:val="24"/>
        </w:rPr>
        <w:t xml:space="preserve"> improvements observed in this study, particularly in global health status (4.6-point increase) and fatigue reduction, support the clinical relevance of early response detection</w:t>
      </w:r>
      <w:bookmarkStart w:id="31" w:name="fnref1:7"/>
      <w:bookmarkEnd w:id="31"/>
      <w:r w:rsidRPr="006C683B">
        <w:rPr>
          <w:rFonts w:ascii="Times New Roman" w:eastAsia="inter" w:hAnsi="Times New Roman" w:cs="Times New Roman"/>
          <w:color w:val="000000"/>
          <w:sz w:val="24"/>
          <w:szCs w:val="24"/>
        </w:rPr>
        <w:t>. Clinically meaningful improvements were achieved in 35.0% of patients for global health status and 35.8% for fatigue reduction</w:t>
      </w:r>
      <w:bookmarkStart w:id="32" w:name="fnref1:8"/>
      <w:bookmarkEnd w:id="32"/>
      <w:r w:rsidRPr="006C683B">
        <w:rPr>
          <w:rFonts w:ascii="Times New Roman" w:eastAsia="inter" w:hAnsi="Times New Roman" w:cs="Times New Roman"/>
          <w:color w:val="000000"/>
          <w:sz w:val="24"/>
          <w:szCs w:val="24"/>
        </w:rPr>
        <w:t>.</w:t>
      </w:r>
    </w:p>
    <w:p w14:paraId="0F25B276" w14:textId="77777777" w:rsidR="00CA78A2" w:rsidRPr="006C683B" w:rsidRDefault="00CA78A2" w:rsidP="00CA78A2">
      <w:pPr>
        <w:spacing w:before="315" w:after="105" w:line="360" w:lineRule="auto"/>
        <w:ind w:left="-30"/>
        <w:rPr>
          <w:rFonts w:ascii="Times New Roman" w:hAnsi="Times New Roman" w:cs="Times New Roman"/>
          <w:sz w:val="24"/>
          <w:szCs w:val="24"/>
        </w:rPr>
      </w:pPr>
      <w:r w:rsidRPr="006C683B">
        <w:rPr>
          <w:rFonts w:ascii="Times New Roman" w:eastAsia="inter" w:hAnsi="Times New Roman" w:cs="Times New Roman"/>
          <w:b/>
          <w:color w:val="000000"/>
          <w:sz w:val="24"/>
          <w:szCs w:val="24"/>
        </w:rPr>
        <w:lastRenderedPageBreak/>
        <w:t>Comparative Literature Context and Supporting Evidence</w:t>
      </w:r>
    </w:p>
    <w:p w14:paraId="343C127D" w14:textId="77777777"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Supporting evidence from liver metastases studies confirms similar diagnostic patterns, with ADC changes showing strong correlation with apoptotic processes following chemotherapy </w:t>
      </w:r>
      <w:hyperlink w:anchor="fn2">
        <w:r w:rsidRPr="006C683B">
          <w:rPr>
            <w:rFonts w:ascii="Times New Roman" w:eastAsia="inter" w:hAnsi="Times New Roman" w:cs="Times New Roman"/>
            <w:color w:val="FF0000"/>
            <w:sz w:val="24"/>
            <w:szCs w:val="24"/>
            <w:u w:val="single"/>
            <w:vertAlign w:val="superscript"/>
          </w:rPr>
          <w:t>[2]</w:t>
        </w:r>
      </w:hyperlink>
      <w:hyperlink w:anchor="fn6">
        <w:r w:rsidRPr="006C683B">
          <w:rPr>
            <w:rFonts w:ascii="Times New Roman" w:eastAsia="inter" w:hAnsi="Times New Roman" w:cs="Times New Roman"/>
            <w:color w:val="FF0000"/>
            <w:sz w:val="24"/>
            <w:szCs w:val="24"/>
            <w:u w:val="single"/>
            <w:vertAlign w:val="superscript"/>
          </w:rPr>
          <w:t>[6]</w:t>
        </w:r>
      </w:hyperlink>
      <w:r w:rsidRPr="006C683B">
        <w:rPr>
          <w:rFonts w:ascii="Times New Roman" w:eastAsia="inter" w:hAnsi="Times New Roman" w:cs="Times New Roman"/>
          <w:color w:val="FF0000"/>
          <w:sz w:val="24"/>
          <w:szCs w:val="24"/>
        </w:rPr>
        <w:t>.</w:t>
      </w:r>
      <w:r w:rsidRPr="006C683B">
        <w:rPr>
          <w:rFonts w:ascii="Times New Roman" w:eastAsia="inter" w:hAnsi="Times New Roman" w:cs="Times New Roman"/>
          <w:color w:val="000000"/>
          <w:sz w:val="24"/>
          <w:szCs w:val="24"/>
        </w:rPr>
        <w:t xml:space="preserve"> Recent head and neck cancer research demonstrates that combining functional imaging modalities improves treatment response prediction, with week 3 being optimal for DWI assessment </w:t>
      </w:r>
      <w:hyperlink w:anchor="fn4">
        <w:r w:rsidRPr="006C683B">
          <w:rPr>
            <w:rFonts w:ascii="Times New Roman" w:eastAsia="inter" w:hAnsi="Times New Roman" w:cs="Times New Roman"/>
            <w:color w:val="FF0000"/>
            <w:sz w:val="24"/>
            <w:szCs w:val="24"/>
            <w:u w:val="single"/>
            <w:vertAlign w:val="superscript"/>
          </w:rPr>
          <w:t>[4]</w:t>
        </w:r>
      </w:hyperlink>
      <w:r w:rsidRPr="006C683B">
        <w:rPr>
          <w:rFonts w:ascii="Times New Roman" w:eastAsia="inter" w:hAnsi="Times New Roman" w:cs="Times New Roman"/>
          <w:color w:val="000000"/>
          <w:sz w:val="24"/>
          <w:szCs w:val="24"/>
        </w:rPr>
        <w:t xml:space="preserve">. The observed concordance rates (κ = 0.798 for PERCIST vs DWI-MRI) exceed those reported in previous comparative studies </w:t>
      </w:r>
      <w:bookmarkStart w:id="33" w:name="fnref1:9"/>
      <w:bookmarkEnd w:id="33"/>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"fn7"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[7]</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w:t>
      </w:r>
    </w:p>
    <w:p w14:paraId="7F9E1308" w14:textId="77777777"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A case report of DEBIRI-TACE treatment in colorectal liver metastases found that PERCIST indicated partial metabolic response while RECIST suggested stable disease, highlighting the superior sensitivity of metabolic criteria </w:t>
      </w:r>
      <w:hyperlink w:anchor="fn7">
        <w:r w:rsidRPr="006C683B">
          <w:rPr>
            <w:rFonts w:ascii="Times New Roman" w:eastAsia="inter" w:hAnsi="Times New Roman" w:cs="Times New Roman"/>
            <w:color w:val="FF0000"/>
            <w:sz w:val="24"/>
            <w:szCs w:val="24"/>
            <w:u w:val="single"/>
            <w:vertAlign w:val="superscript"/>
          </w:rPr>
          <w:t>[7]</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This supports the current study's finding that functional imaging modalities detect response earlier than morphological criteria</w:t>
      </w:r>
      <w:bookmarkStart w:id="34" w:name="fnref1:10"/>
      <w:bookmarkEnd w:id="34"/>
      <w:r w:rsidRPr="006C683B">
        <w:rPr>
          <w:rFonts w:ascii="Times New Roman" w:eastAsia="inter" w:hAnsi="Times New Roman" w:cs="Times New Roman"/>
          <w:color w:val="000000"/>
          <w:sz w:val="24"/>
          <w:szCs w:val="24"/>
        </w:rPr>
        <w:t>.</w:t>
      </w:r>
    </w:p>
    <w:p w14:paraId="6E4D2100" w14:textId="48423E99"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Several technical limitations warrant consideration in interpreting these results</w:t>
      </w:r>
      <w:bookmarkStart w:id="35" w:name="fnref1:11"/>
      <w:bookmarkEnd w:id="35"/>
      <w:r w:rsidRPr="006C683B">
        <w:rPr>
          <w:rFonts w:ascii="Times New Roman" w:eastAsia="inter" w:hAnsi="Times New Roman" w:cs="Times New Roman"/>
          <w:color w:val="000000"/>
          <w:sz w:val="24"/>
          <w:szCs w:val="24"/>
        </w:rPr>
        <w:t xml:space="preserve">. DWI-MRI remains susceptible to motion artifacts and requires standardization across different magnetic field strengths </w:t>
      </w:r>
      <w:hyperlink w:anchor="fn8">
        <w:r w:rsidRPr="006C683B">
          <w:rPr>
            <w:rFonts w:ascii="Times New Roman" w:eastAsia="inter" w:hAnsi="Times New Roman" w:cs="Times New Roman"/>
            <w:color w:val="FF0000"/>
            <w:sz w:val="24"/>
            <w:szCs w:val="24"/>
            <w:u w:val="single"/>
            <w:vertAlign w:val="superscript"/>
          </w:rPr>
          <w:t>[8]</w:t>
        </w:r>
      </w:hyperlink>
      <w:hyperlink w:anchor="fn9">
        <w:r w:rsidRPr="006C683B">
          <w:rPr>
            <w:rFonts w:ascii="Times New Roman" w:eastAsia="inter" w:hAnsi="Times New Roman" w:cs="Times New Roman"/>
            <w:color w:val="FF0000"/>
            <w:sz w:val="24"/>
            <w:szCs w:val="24"/>
            <w:u w:val="single"/>
            <w:vertAlign w:val="superscript"/>
          </w:rPr>
          <w:t>[9]</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Recent studies have shown that DWI histogram features can predict </w:t>
      </w:r>
      <w:r w:rsidR="00F02B59" w:rsidRPr="006C683B">
        <w:rPr>
          <w:rFonts w:ascii="Times New Roman" w:eastAsia="inter" w:hAnsi="Times New Roman" w:cs="Times New Roman"/>
          <w:color w:val="000000"/>
          <w:sz w:val="24"/>
          <w:szCs w:val="24"/>
        </w:rPr>
        <w:t xml:space="preserve">changes in chemotherapy resistance </w:t>
      </w:r>
      <w:r w:rsidRPr="006C683B">
        <w:rPr>
          <w:rFonts w:ascii="Times New Roman" w:eastAsia="inter" w:hAnsi="Times New Roman" w:cs="Times New Roman"/>
          <w:color w:val="000000"/>
          <w:sz w:val="24"/>
          <w:szCs w:val="24"/>
        </w:rPr>
        <w:t xml:space="preserve">as early as 24-48 hours after treatment initiation </w:t>
      </w:r>
      <w:hyperlink w:anchor="fn10">
        <w:r w:rsidRPr="006C683B">
          <w:rPr>
            <w:rFonts w:ascii="Times New Roman" w:eastAsia="inter" w:hAnsi="Times New Roman" w:cs="Times New Roman"/>
            <w:color w:val="FF0000"/>
            <w:sz w:val="24"/>
            <w:szCs w:val="24"/>
            <w:u w:val="single"/>
            <w:vertAlign w:val="superscript"/>
          </w:rPr>
          <w:t>[10]</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PET-CT faces challenges </w:t>
      </w:r>
      <w:r w:rsidR="00F02B59" w:rsidRPr="006C683B">
        <w:rPr>
          <w:rFonts w:ascii="Times New Roman" w:eastAsia="inter" w:hAnsi="Times New Roman" w:cs="Times New Roman"/>
          <w:color w:val="000000"/>
          <w:sz w:val="24"/>
          <w:szCs w:val="24"/>
        </w:rPr>
        <w:t xml:space="preserve">due to false positives resulting from inflammatory processes and variations in glucose metabolism </w:t>
      </w:r>
      <w:hyperlink w:anchor="fn11">
        <w:r w:rsidRPr="006C683B">
          <w:rPr>
            <w:rFonts w:ascii="Times New Roman" w:eastAsia="inter" w:hAnsi="Times New Roman" w:cs="Times New Roman"/>
            <w:color w:val="FF0000"/>
            <w:sz w:val="24"/>
            <w:szCs w:val="24"/>
            <w:u w:val="single"/>
            <w:vertAlign w:val="superscript"/>
          </w:rPr>
          <w:t>[11]</w:t>
        </w:r>
      </w:hyperlink>
      <w:hyperlink w:anchor="fn12">
        <w:r w:rsidRPr="006C683B">
          <w:rPr>
            <w:rFonts w:ascii="Times New Roman" w:eastAsia="inter" w:hAnsi="Times New Roman" w:cs="Times New Roman"/>
            <w:color w:val="FF0000"/>
            <w:sz w:val="24"/>
            <w:szCs w:val="24"/>
            <w:u w:val="single"/>
            <w:vertAlign w:val="superscript"/>
          </w:rPr>
          <w:t>[12]</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The exclusion of diabetic patients and those with contraindications to MRI introduces selection bias that may limit generalizability</w:t>
      </w:r>
      <w:bookmarkStart w:id="36" w:name="fnref1:12"/>
      <w:bookmarkEnd w:id="36"/>
      <w:r w:rsidRPr="006C683B">
        <w:rPr>
          <w:rFonts w:ascii="Times New Roman" w:eastAsia="inter" w:hAnsi="Times New Roman" w:cs="Times New Roman"/>
          <w:color w:val="000000"/>
          <w:sz w:val="24"/>
          <w:szCs w:val="24"/>
        </w:rPr>
        <w:t>.</w:t>
      </w:r>
    </w:p>
    <w:p w14:paraId="1FF7EA06" w14:textId="77777777"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Economic considerations favor DWI-MRI for response monitoring, given its radiation-free nature and potentially lower per-examination costs compared to PET-CT </w:t>
      </w:r>
      <w:hyperlink w:anchor="fn13">
        <w:r w:rsidRPr="006C683B">
          <w:rPr>
            <w:rFonts w:ascii="Times New Roman" w:eastAsia="inter" w:hAnsi="Times New Roman" w:cs="Times New Roman"/>
            <w:color w:val="FF0000"/>
            <w:sz w:val="24"/>
            <w:szCs w:val="24"/>
            <w:u w:val="single"/>
            <w:vertAlign w:val="superscript"/>
          </w:rPr>
          <w:t>[13]</w:t>
        </w:r>
      </w:hyperlink>
      <w:hyperlink w:anchor="fn14">
        <w:r w:rsidRPr="006C683B">
          <w:rPr>
            <w:rFonts w:ascii="Times New Roman" w:eastAsia="inter" w:hAnsi="Times New Roman" w:cs="Times New Roman"/>
            <w:color w:val="FF0000"/>
            <w:sz w:val="24"/>
            <w:szCs w:val="24"/>
            <w:u w:val="single"/>
            <w:vertAlign w:val="superscript"/>
          </w:rPr>
          <w:t>[14]</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Studies comparing cost-effectiveness in various cancer types demonstrate that MRI-based strategies can achieve superior quality-adjusted life years while reducing overall healthcare expenditure </w:t>
      </w:r>
      <w:bookmarkStart w:id="37" w:name="fnref13:1"/>
      <w:bookmarkEnd w:id="37"/>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"fn13"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[13]</w:t>
      </w:r>
      <w:r w:rsidRPr="006C683B">
        <w:rPr>
          <w:rFonts w:ascii="Times New Roman" w:eastAsia="inter" w:hAnsi="Times New Roman" w:cs="Times New Roman"/>
          <w:color w:val="FF0000"/>
          <w:sz w:val="24"/>
          <w:szCs w:val="24"/>
          <w:u w:val="single"/>
          <w:vertAlign w:val="superscript"/>
        </w:rPr>
        <w:fldChar w:fldCharType="end"/>
      </w:r>
      <w:hyperlink w:anchor="fn15">
        <w:r w:rsidRPr="006C683B">
          <w:rPr>
            <w:rFonts w:ascii="Times New Roman" w:eastAsia="inter" w:hAnsi="Times New Roman" w:cs="Times New Roman"/>
            <w:color w:val="FF0000"/>
            <w:sz w:val="24"/>
            <w:szCs w:val="24"/>
            <w:u w:val="single"/>
            <w:vertAlign w:val="superscript"/>
          </w:rPr>
          <w:t>[15]</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However, PET/MRI hybrid systems, while more accurate than PET/CT, carry approximately 50% higher per-examination costs </w:t>
      </w:r>
      <w:hyperlink w:anchor="fn14">
        <w:r w:rsidRPr="006C683B">
          <w:rPr>
            <w:rFonts w:ascii="Times New Roman" w:eastAsia="inter" w:hAnsi="Times New Roman" w:cs="Times New Roman"/>
            <w:color w:val="FF0000"/>
            <w:sz w:val="24"/>
            <w:szCs w:val="24"/>
            <w:u w:val="single"/>
            <w:vertAlign w:val="superscript"/>
          </w:rPr>
          <w:t>[14]</w:t>
        </w:r>
      </w:hyperlink>
      <w:r w:rsidRPr="006C683B">
        <w:rPr>
          <w:rFonts w:ascii="Times New Roman" w:eastAsia="inter" w:hAnsi="Times New Roman" w:cs="Times New Roman"/>
          <w:color w:val="FF0000"/>
          <w:sz w:val="24"/>
          <w:szCs w:val="24"/>
        </w:rPr>
        <w:t>.</w:t>
      </w:r>
    </w:p>
    <w:p w14:paraId="04D9A6C0" w14:textId="77777777"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The integration of artificial intelligence and radiomics approaches promises to enhance both modalities' diagnostic accuracy </w:t>
      </w:r>
      <w:hyperlink w:anchor="fn16">
        <w:r w:rsidRPr="006C683B">
          <w:rPr>
            <w:rFonts w:ascii="Times New Roman" w:eastAsia="inter" w:hAnsi="Times New Roman" w:cs="Times New Roman"/>
            <w:color w:val="FF0000"/>
            <w:sz w:val="24"/>
            <w:szCs w:val="24"/>
            <w:u w:val="single"/>
            <w:vertAlign w:val="superscript"/>
          </w:rPr>
          <w:t>[16]</w:t>
        </w:r>
      </w:hyperlink>
      <w:hyperlink w:anchor="fn17">
        <w:r w:rsidRPr="006C683B">
          <w:rPr>
            <w:rFonts w:ascii="Times New Roman" w:eastAsia="inter" w:hAnsi="Times New Roman" w:cs="Times New Roman"/>
            <w:color w:val="FF0000"/>
            <w:sz w:val="24"/>
            <w:szCs w:val="24"/>
            <w:u w:val="single"/>
            <w:vertAlign w:val="superscript"/>
          </w:rPr>
          <w:t>[17]</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Advanced DWI techniques, including diffusion kurtosis imaging, show potential for improved tumor characterization and RAS mutation detection in colorectal liver metastases </w:t>
      </w:r>
      <w:hyperlink w:anchor="fn18">
        <w:r w:rsidRPr="006C683B">
          <w:rPr>
            <w:rFonts w:ascii="Times New Roman" w:eastAsia="inter" w:hAnsi="Times New Roman" w:cs="Times New Roman"/>
            <w:color w:val="FF0000"/>
            <w:sz w:val="24"/>
            <w:szCs w:val="24"/>
            <w:u w:val="single"/>
            <w:vertAlign w:val="superscript"/>
          </w:rPr>
          <w:t>[18]</w:t>
        </w:r>
      </w:hyperlink>
      <w:hyperlink w:anchor="fn19">
        <w:r w:rsidRPr="006C683B">
          <w:rPr>
            <w:rFonts w:ascii="Times New Roman" w:eastAsia="inter" w:hAnsi="Times New Roman" w:cs="Times New Roman"/>
            <w:color w:val="FF0000"/>
            <w:sz w:val="24"/>
            <w:szCs w:val="24"/>
            <w:u w:val="single"/>
            <w:vertAlign w:val="superscript"/>
          </w:rPr>
          <w:t>[19]</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Machine learning algorithms applied to multiparametric imaging data may overcome current limitations in response assessment </w:t>
      </w:r>
      <w:hyperlink w:anchor="fn20">
        <w:r w:rsidRPr="006C683B">
          <w:rPr>
            <w:rFonts w:ascii="Times New Roman" w:eastAsia="inter" w:hAnsi="Times New Roman" w:cs="Times New Roman"/>
            <w:color w:val="FF0000"/>
            <w:sz w:val="24"/>
            <w:szCs w:val="24"/>
            <w:u w:val="single"/>
            <w:vertAlign w:val="superscript"/>
          </w:rPr>
          <w:t>[20]</w:t>
        </w:r>
      </w:hyperlink>
      <w:hyperlink w:anchor="fn21">
        <w:r w:rsidRPr="006C683B">
          <w:rPr>
            <w:rFonts w:ascii="Times New Roman" w:eastAsia="inter" w:hAnsi="Times New Roman" w:cs="Times New Roman"/>
            <w:color w:val="FF0000"/>
            <w:sz w:val="24"/>
            <w:szCs w:val="24"/>
            <w:u w:val="single"/>
            <w:vertAlign w:val="superscript"/>
          </w:rPr>
          <w:t>[21]</w:t>
        </w:r>
      </w:hyperlink>
      <w:r w:rsidRPr="006C683B">
        <w:rPr>
          <w:rFonts w:ascii="Times New Roman" w:eastAsia="inter" w:hAnsi="Times New Roman" w:cs="Times New Roman"/>
          <w:color w:val="FF0000"/>
          <w:sz w:val="24"/>
          <w:szCs w:val="24"/>
        </w:rPr>
        <w:t xml:space="preserve">. </w:t>
      </w:r>
      <w:r w:rsidRPr="006C683B">
        <w:rPr>
          <w:rFonts w:ascii="Times New Roman" w:eastAsia="inter" w:hAnsi="Times New Roman" w:cs="Times New Roman"/>
          <w:color w:val="000000"/>
          <w:sz w:val="24"/>
          <w:szCs w:val="24"/>
        </w:rPr>
        <w:t xml:space="preserve">Recent advances </w:t>
      </w:r>
      <w:r w:rsidRPr="006C683B">
        <w:rPr>
          <w:rFonts w:ascii="Times New Roman" w:eastAsia="inter" w:hAnsi="Times New Roman" w:cs="Times New Roman"/>
          <w:color w:val="000000"/>
          <w:sz w:val="24"/>
          <w:szCs w:val="24"/>
        </w:rPr>
        <w:lastRenderedPageBreak/>
        <w:t xml:space="preserve">in radiomics signatures from DWI and PET imaging have demonstrated the ability to predict tumor hypoxia and other molecular characteristics non-invasively </w:t>
      </w:r>
      <w:bookmarkStart w:id="38" w:name="fnref19:1"/>
      <w:bookmarkEnd w:id="38"/>
      <w:r w:rsidRPr="006C683B">
        <w:rPr>
          <w:rFonts w:ascii="Times New Roman" w:hAnsi="Times New Roman" w:cs="Times New Roman"/>
          <w:color w:val="FF0000"/>
          <w:sz w:val="24"/>
          <w:szCs w:val="24"/>
        </w:rPr>
        <w:fldChar w:fldCharType="begin"/>
      </w:r>
      <w:r w:rsidRPr="006C683B">
        <w:rPr>
          <w:rFonts w:ascii="Times New Roman" w:hAnsi="Times New Roman" w:cs="Times New Roman"/>
          <w:color w:val="FF0000"/>
          <w:sz w:val="24"/>
          <w:szCs w:val="24"/>
        </w:rPr>
        <w:instrText xml:space="preserve"> HYPERLINK \l "fn19" \h </w:instrText>
      </w:r>
      <w:r w:rsidRPr="006C683B">
        <w:rPr>
          <w:rFonts w:ascii="Times New Roman" w:hAnsi="Times New Roman" w:cs="Times New Roman"/>
          <w:color w:val="FF0000"/>
          <w:sz w:val="24"/>
          <w:szCs w:val="24"/>
        </w:rPr>
        <w:fldChar w:fldCharType="separate"/>
      </w:r>
      <w:r w:rsidRPr="006C683B">
        <w:rPr>
          <w:rFonts w:ascii="Times New Roman" w:eastAsia="inter" w:hAnsi="Times New Roman" w:cs="Times New Roman"/>
          <w:color w:val="FF0000"/>
          <w:sz w:val="24"/>
          <w:szCs w:val="24"/>
          <w:u w:val="single"/>
          <w:vertAlign w:val="superscript"/>
        </w:rPr>
        <w:t>[19]</w:t>
      </w:r>
      <w:r w:rsidRPr="006C683B">
        <w:rPr>
          <w:rFonts w:ascii="Times New Roman" w:eastAsia="inter" w:hAnsi="Times New Roman" w:cs="Times New Roman"/>
          <w:color w:val="FF0000"/>
          <w:sz w:val="24"/>
          <w:szCs w:val="24"/>
          <w:u w:val="single"/>
          <w:vertAlign w:val="superscript"/>
        </w:rPr>
        <w:fldChar w:fldCharType="end"/>
      </w:r>
      <w:r w:rsidRPr="006C683B">
        <w:rPr>
          <w:rFonts w:ascii="Times New Roman" w:eastAsia="inter" w:hAnsi="Times New Roman" w:cs="Times New Roman"/>
          <w:color w:val="FF0000"/>
          <w:sz w:val="24"/>
          <w:szCs w:val="24"/>
        </w:rPr>
        <w:t>.</w:t>
      </w:r>
    </w:p>
    <w:p w14:paraId="2CDEBA90" w14:textId="77777777" w:rsidR="00CA78A2" w:rsidRPr="006C683B" w:rsidRDefault="00CA78A2" w:rsidP="00CA78A2">
      <w:pPr>
        <w:spacing w:before="315" w:after="105" w:line="360" w:lineRule="auto"/>
        <w:ind w:left="-30"/>
        <w:rPr>
          <w:rFonts w:ascii="Times New Roman" w:hAnsi="Times New Roman" w:cs="Times New Roman"/>
          <w:sz w:val="24"/>
          <w:szCs w:val="24"/>
        </w:rPr>
      </w:pPr>
      <w:r w:rsidRPr="006C683B">
        <w:rPr>
          <w:rFonts w:ascii="Times New Roman" w:eastAsia="inter" w:hAnsi="Times New Roman" w:cs="Times New Roman"/>
          <w:b/>
          <w:color w:val="000000"/>
          <w:sz w:val="24"/>
          <w:szCs w:val="24"/>
        </w:rPr>
        <w:t>Study Limitations</w:t>
      </w:r>
    </w:p>
    <w:p w14:paraId="77A80398" w14:textId="492B3C31"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Several limitations affect </w:t>
      </w:r>
      <w:r w:rsidR="00F02B59" w:rsidRPr="006C683B">
        <w:rPr>
          <w:rFonts w:ascii="Times New Roman" w:eastAsia="inter" w:hAnsi="Times New Roman" w:cs="Times New Roman"/>
          <w:color w:val="000000"/>
          <w:sz w:val="24"/>
          <w:szCs w:val="24"/>
        </w:rPr>
        <w:t xml:space="preserve">the </w:t>
      </w:r>
      <w:bookmarkStart w:id="39" w:name="fnref1:13"/>
      <w:bookmarkEnd w:id="39"/>
      <w:r w:rsidR="00F02B59" w:rsidRPr="006C683B">
        <w:rPr>
          <w:rFonts w:ascii="Times New Roman" w:eastAsia="inter" w:hAnsi="Times New Roman" w:cs="Times New Roman"/>
          <w:color w:val="000000"/>
          <w:sz w:val="24"/>
          <w:szCs w:val="24"/>
        </w:rPr>
        <w:t>interpretation of the results</w:t>
      </w:r>
      <w:r w:rsidRPr="006C683B">
        <w:rPr>
          <w:rFonts w:ascii="Times New Roman" w:eastAsia="inter" w:hAnsi="Times New Roman" w:cs="Times New Roman"/>
          <w:color w:val="000000"/>
          <w:sz w:val="24"/>
          <w:szCs w:val="24"/>
        </w:rPr>
        <w:t>. The single-center design may limit external validity, though the standardized protocols enhance internal consistency</w:t>
      </w:r>
      <w:bookmarkStart w:id="40" w:name="fnref1:14"/>
      <w:bookmarkEnd w:id="40"/>
      <w:r w:rsidRPr="006C683B">
        <w:rPr>
          <w:rFonts w:ascii="Times New Roman" w:eastAsia="inter" w:hAnsi="Times New Roman" w:cs="Times New Roman"/>
          <w:color w:val="000000"/>
          <w:sz w:val="24"/>
          <w:szCs w:val="24"/>
        </w:rPr>
        <w:t xml:space="preserve">. The 24-month recruitment period represents a relatively short follow-up for definitive </w:t>
      </w:r>
      <w:bookmarkStart w:id="41" w:name="fnref1:15"/>
      <w:bookmarkEnd w:id="41"/>
      <w:r w:rsidR="00F02B59" w:rsidRPr="006C683B">
        <w:rPr>
          <w:rFonts w:ascii="Times New Roman" w:eastAsia="inter" w:hAnsi="Times New Roman" w:cs="Times New Roman"/>
          <w:color w:val="000000"/>
          <w:sz w:val="24"/>
          <w:szCs w:val="24"/>
        </w:rPr>
        <w:t>conclusions regarding survival</w:t>
      </w:r>
      <w:r w:rsidRPr="006C683B">
        <w:rPr>
          <w:rFonts w:ascii="Times New Roman" w:eastAsia="inter" w:hAnsi="Times New Roman" w:cs="Times New Roman"/>
          <w:color w:val="000000"/>
          <w:sz w:val="24"/>
          <w:szCs w:val="24"/>
        </w:rPr>
        <w:t>. Additionally, the study population's predominance of Stage III disease (53.3%) may not reflect the broader metastatic colorectal cancer population</w:t>
      </w:r>
      <w:r w:rsidR="00F02B59" w:rsidRPr="006C683B">
        <w:rPr>
          <w:rFonts w:ascii="Times New Roman" w:eastAsia="inter" w:hAnsi="Times New Roman" w:cs="Times New Roman"/>
          <w:color w:val="000000"/>
          <w:sz w:val="24"/>
          <w:szCs w:val="24"/>
        </w:rPr>
        <w:t>,</w:t>
      </w:r>
      <w:r w:rsidRPr="006C683B">
        <w:rPr>
          <w:rFonts w:ascii="Times New Roman" w:eastAsia="inter" w:hAnsi="Times New Roman" w:cs="Times New Roman"/>
          <w:color w:val="000000"/>
          <w:sz w:val="24"/>
          <w:szCs w:val="24"/>
        </w:rPr>
        <w:t xml:space="preserve"> where these imaging modalities are most clinically relevant</w:t>
      </w:r>
      <w:bookmarkStart w:id="42" w:name="fnref1:16"/>
      <w:bookmarkEnd w:id="42"/>
      <w:r w:rsidRPr="006C683B">
        <w:rPr>
          <w:rFonts w:ascii="Times New Roman" w:eastAsia="inter" w:hAnsi="Times New Roman" w:cs="Times New Roman"/>
          <w:color w:val="000000"/>
          <w:sz w:val="24"/>
          <w:szCs w:val="24"/>
        </w:rPr>
        <w:t>.</w:t>
      </w:r>
    </w:p>
    <w:p w14:paraId="039EE3E5" w14:textId="1E677289" w:rsidR="00CA78A2" w:rsidRPr="006C683B" w:rsidRDefault="00CA78A2" w:rsidP="00CA78A2">
      <w:pPr>
        <w:spacing w:after="210" w:line="360" w:lineRule="auto"/>
        <w:rPr>
          <w:rFonts w:ascii="Times New Roman" w:hAnsi="Times New Roman" w:cs="Times New Roman"/>
          <w:sz w:val="24"/>
          <w:szCs w:val="24"/>
        </w:rPr>
      </w:pPr>
      <w:r w:rsidRPr="006C683B">
        <w:rPr>
          <w:rFonts w:ascii="Times New Roman" w:eastAsia="inter" w:hAnsi="Times New Roman" w:cs="Times New Roman"/>
          <w:color w:val="000000"/>
          <w:sz w:val="24"/>
          <w:szCs w:val="24"/>
        </w:rPr>
        <w:t xml:space="preserve">The absence of correlation with molecular biomarkers, such as circulating tumor DNA or tumor mutational burden, represents a missed opportunity for </w:t>
      </w:r>
      <w:r w:rsidR="00F02B59" w:rsidRPr="006C683B">
        <w:rPr>
          <w:rFonts w:ascii="Times New Roman" w:eastAsia="inter" w:hAnsi="Times New Roman" w:cs="Times New Roman"/>
          <w:color w:val="000000"/>
          <w:sz w:val="24"/>
          <w:szCs w:val="24"/>
        </w:rPr>
        <w:t xml:space="preserve">a </w:t>
      </w:r>
      <w:r w:rsidRPr="006C683B">
        <w:rPr>
          <w:rFonts w:ascii="Times New Roman" w:eastAsia="inter" w:hAnsi="Times New Roman" w:cs="Times New Roman"/>
          <w:color w:val="000000"/>
          <w:sz w:val="24"/>
          <w:szCs w:val="24"/>
        </w:rPr>
        <w:t xml:space="preserve">comprehensive </w:t>
      </w:r>
      <w:bookmarkStart w:id="43" w:name="fnref1:17"/>
      <w:bookmarkEnd w:id="43"/>
      <w:r w:rsidR="00F02B59" w:rsidRPr="006C683B">
        <w:rPr>
          <w:rFonts w:ascii="Times New Roman" w:eastAsia="inter" w:hAnsi="Times New Roman" w:cs="Times New Roman"/>
          <w:color w:val="000000"/>
          <w:sz w:val="24"/>
          <w:szCs w:val="24"/>
        </w:rPr>
        <w:t>assessment of response</w:t>
      </w:r>
      <w:r w:rsidRPr="006C683B">
        <w:rPr>
          <w:rFonts w:ascii="Times New Roman" w:eastAsia="inter" w:hAnsi="Times New Roman" w:cs="Times New Roman"/>
          <w:color w:val="000000"/>
          <w:sz w:val="24"/>
          <w:szCs w:val="24"/>
        </w:rPr>
        <w:t>. Future studies should integrate imaging findings with emerging liquid biopsy technologies for enhanced precision oncology approaches.</w:t>
      </w:r>
    </w:p>
    <w:p w14:paraId="01997D78" w14:textId="77777777" w:rsidR="00CA78A2" w:rsidRPr="006C683B" w:rsidRDefault="00CA78A2" w:rsidP="00CA78A2">
      <w:pPr>
        <w:spacing w:before="315" w:after="105" w:line="360" w:lineRule="auto"/>
        <w:ind w:left="-30"/>
        <w:rPr>
          <w:rFonts w:ascii="Times New Roman" w:hAnsi="Times New Roman" w:cs="Times New Roman"/>
          <w:sz w:val="24"/>
          <w:szCs w:val="24"/>
        </w:rPr>
      </w:pPr>
      <w:r w:rsidRPr="006C683B">
        <w:rPr>
          <w:rFonts w:ascii="Times New Roman" w:eastAsia="inter" w:hAnsi="Times New Roman" w:cs="Times New Roman"/>
          <w:b/>
          <w:color w:val="000000"/>
          <w:sz w:val="24"/>
          <w:szCs w:val="24"/>
        </w:rPr>
        <w:t>Conclusion</w:t>
      </w:r>
    </w:p>
    <w:p w14:paraId="786F1DB0" w14:textId="53A1AFD1" w:rsidR="00CA78A2" w:rsidRPr="006C683B" w:rsidRDefault="00CA78A2" w:rsidP="00CA78A2">
      <w:pPr>
        <w:spacing w:after="210" w:line="360" w:lineRule="auto"/>
        <w:rPr>
          <w:rFonts w:ascii="Times New Roman" w:eastAsia="inter" w:hAnsi="Times New Roman" w:cs="Times New Roman"/>
          <w:color w:val="000000"/>
          <w:sz w:val="24"/>
          <w:szCs w:val="24"/>
        </w:rPr>
      </w:pPr>
      <w:r w:rsidRPr="006C683B">
        <w:rPr>
          <w:rFonts w:ascii="Times New Roman" w:eastAsia="inter" w:hAnsi="Times New Roman" w:cs="Times New Roman"/>
          <w:color w:val="000000"/>
          <w:sz w:val="24"/>
          <w:szCs w:val="24"/>
        </w:rPr>
        <w:t>This study demonstrates that both PET-CT and DWI-MRI provide excellent diagnostic performance for chemotherapy response assessment in colorectal cancer, with DWI-MRI showing marginal advantages in sensitivity and negative predictive value</w:t>
      </w:r>
      <w:bookmarkStart w:id="44" w:name="fnref1:18"/>
      <w:bookmarkEnd w:id="44"/>
      <w:r w:rsidRPr="006C683B">
        <w:rPr>
          <w:rFonts w:ascii="Times New Roman" w:eastAsia="inter" w:hAnsi="Times New Roman" w:cs="Times New Roman"/>
          <w:color w:val="000000"/>
          <w:sz w:val="24"/>
          <w:szCs w:val="24"/>
        </w:rPr>
        <w:t xml:space="preserve">. The strong correlation between imaging modalities and superior survival outcomes for concordant responders </w:t>
      </w:r>
      <w:r w:rsidR="00F02B59" w:rsidRPr="006C683B">
        <w:rPr>
          <w:rFonts w:ascii="Times New Roman" w:eastAsia="inter" w:hAnsi="Times New Roman" w:cs="Times New Roman"/>
          <w:color w:val="000000"/>
          <w:sz w:val="24"/>
          <w:szCs w:val="24"/>
        </w:rPr>
        <w:t>supports</w:t>
      </w:r>
      <w:r w:rsidRPr="006C683B">
        <w:rPr>
          <w:rFonts w:ascii="Times New Roman" w:eastAsia="inter" w:hAnsi="Times New Roman" w:cs="Times New Roman"/>
          <w:color w:val="000000"/>
          <w:sz w:val="24"/>
          <w:szCs w:val="24"/>
        </w:rPr>
        <w:t xml:space="preserve"> </w:t>
      </w:r>
      <w:r w:rsidR="00F02B59" w:rsidRPr="006C683B">
        <w:rPr>
          <w:rFonts w:ascii="Times New Roman" w:eastAsia="inter" w:hAnsi="Times New Roman" w:cs="Times New Roman"/>
          <w:color w:val="000000"/>
          <w:sz w:val="24"/>
          <w:szCs w:val="24"/>
        </w:rPr>
        <w:t xml:space="preserve">the use of </w:t>
      </w:r>
      <w:r w:rsidRPr="006C683B">
        <w:rPr>
          <w:rFonts w:ascii="Times New Roman" w:eastAsia="inter" w:hAnsi="Times New Roman" w:cs="Times New Roman"/>
          <w:color w:val="000000"/>
          <w:sz w:val="24"/>
          <w:szCs w:val="24"/>
        </w:rPr>
        <w:t>combined functional imaging approaches in clinical practice</w:t>
      </w:r>
      <w:bookmarkStart w:id="45" w:name="fnref1:19"/>
      <w:bookmarkEnd w:id="45"/>
      <w:r w:rsidRPr="006C683B">
        <w:rPr>
          <w:rFonts w:ascii="Times New Roman" w:eastAsia="inter" w:hAnsi="Times New Roman" w:cs="Times New Roman"/>
          <w:color w:val="000000"/>
          <w:sz w:val="24"/>
          <w:szCs w:val="24"/>
        </w:rPr>
        <w:t xml:space="preserve">. </w:t>
      </w:r>
      <w:r w:rsidR="009C6A46" w:rsidRPr="006C683B">
        <w:rPr>
          <w:rFonts w:ascii="Times New Roman" w:eastAsia="inter" w:hAnsi="Times New Roman" w:cs="Times New Roman"/>
          <w:color w:val="000000"/>
          <w:sz w:val="24"/>
          <w:szCs w:val="24"/>
        </w:rPr>
        <w:t>At the same time,</w:t>
      </w:r>
      <w:r w:rsidRPr="006C683B">
        <w:rPr>
          <w:rFonts w:ascii="Times New Roman" w:eastAsia="inter" w:hAnsi="Times New Roman" w:cs="Times New Roman"/>
          <w:color w:val="000000"/>
          <w:sz w:val="24"/>
          <w:szCs w:val="24"/>
        </w:rPr>
        <w:t xml:space="preserve"> technical limitations and cost considerations require careful evaluation</w:t>
      </w:r>
      <w:r w:rsidR="00A13743" w:rsidRPr="006C683B">
        <w:rPr>
          <w:rFonts w:ascii="Times New Roman" w:eastAsia="inter" w:hAnsi="Times New Roman" w:cs="Times New Roman"/>
          <w:color w:val="000000"/>
          <w:sz w:val="24"/>
          <w:szCs w:val="24"/>
        </w:rPr>
        <w:t>;</w:t>
      </w:r>
      <w:r w:rsidRPr="006C683B">
        <w:rPr>
          <w:rFonts w:ascii="Times New Roman" w:eastAsia="inter" w:hAnsi="Times New Roman" w:cs="Times New Roman"/>
          <w:color w:val="000000"/>
          <w:sz w:val="24"/>
          <w:szCs w:val="24"/>
        </w:rPr>
        <w:t xml:space="preserve"> the radiation-free nature and comparable diagnostic accuracy of DWI-MRI position it as a valuable alternative to PET-CT for response monitoring</w:t>
      </w:r>
      <w:bookmarkStart w:id="46" w:name="fnref1:20"/>
      <w:bookmarkEnd w:id="46"/>
      <w:r w:rsidRPr="006C683B">
        <w:rPr>
          <w:rFonts w:ascii="Times New Roman" w:eastAsia="inter" w:hAnsi="Times New Roman" w:cs="Times New Roman"/>
          <w:color w:val="000000"/>
          <w:sz w:val="24"/>
          <w:szCs w:val="24"/>
        </w:rPr>
        <w:t>. Future integration with artificial intelligence and molecular biomarkers will likely further enhance the precision and clinical utility of functional imaging in colorectal cancer management</w:t>
      </w:r>
      <w:bookmarkStart w:id="47" w:name="fnref17:1"/>
      <w:bookmarkEnd w:id="47"/>
      <w:r w:rsidRPr="006C683B">
        <w:rPr>
          <w:rFonts w:ascii="Times New Roman" w:eastAsia="inter" w:hAnsi="Times New Roman" w:cs="Times New Roman"/>
          <w:color w:val="000000"/>
          <w:sz w:val="24"/>
          <w:szCs w:val="24"/>
        </w:rPr>
        <w:t>.</w:t>
      </w:r>
    </w:p>
    <w:p w14:paraId="59D2D283" w14:textId="77777777" w:rsidR="00CA78A2" w:rsidRPr="006C683B" w:rsidRDefault="00CA78A2" w:rsidP="00CA78A2">
      <w:pPr>
        <w:spacing w:after="210" w:line="360" w:lineRule="auto"/>
        <w:rPr>
          <w:rFonts w:ascii="Times New Roman" w:eastAsia="inter" w:hAnsi="Times New Roman" w:cs="Times New Roman"/>
          <w:color w:val="000000"/>
          <w:sz w:val="24"/>
          <w:szCs w:val="24"/>
        </w:rPr>
      </w:pPr>
    </w:p>
    <w:p w14:paraId="344F8089" w14:textId="77777777" w:rsidR="00CA78A2" w:rsidRPr="006C683B" w:rsidRDefault="00CA78A2" w:rsidP="004861EB">
      <w:pPr>
        <w:spacing w:before="100" w:beforeAutospacing="1" w:after="100" w:afterAutospacing="1" w:line="240" w:lineRule="auto"/>
        <w:rPr>
          <w:rFonts w:ascii="Times New Roman" w:hAnsi="Times New Roman" w:cs="Times New Roman"/>
          <w:sz w:val="24"/>
          <w:szCs w:val="24"/>
        </w:rPr>
      </w:pPr>
    </w:p>
    <w:p w14:paraId="04CCA7FD" w14:textId="77777777" w:rsidR="004861EB" w:rsidRPr="006C683B" w:rsidRDefault="004861EB" w:rsidP="0048125F">
      <w:pPr>
        <w:jc w:val="center"/>
        <w:rPr>
          <w:rFonts w:ascii="Times New Roman" w:hAnsi="Times New Roman" w:cs="Times New Roman"/>
          <w:b/>
          <w:bCs/>
          <w:sz w:val="24"/>
          <w:szCs w:val="24"/>
        </w:rPr>
      </w:pPr>
    </w:p>
    <w:p w14:paraId="729EE877" w14:textId="77777777" w:rsidR="004861EB" w:rsidRPr="006C683B" w:rsidRDefault="004861EB" w:rsidP="0048125F">
      <w:pPr>
        <w:jc w:val="center"/>
        <w:rPr>
          <w:rFonts w:ascii="Times New Roman" w:hAnsi="Times New Roman" w:cs="Times New Roman"/>
          <w:b/>
          <w:bCs/>
          <w:sz w:val="24"/>
          <w:szCs w:val="24"/>
        </w:rPr>
      </w:pPr>
    </w:p>
    <w:p w14:paraId="6EC1D6AD" w14:textId="77777777" w:rsidR="004861EB" w:rsidRPr="006C683B" w:rsidRDefault="004861EB" w:rsidP="0048125F">
      <w:pPr>
        <w:jc w:val="center"/>
        <w:rPr>
          <w:rFonts w:ascii="Times New Roman" w:hAnsi="Times New Roman" w:cs="Times New Roman"/>
          <w:b/>
          <w:bCs/>
          <w:sz w:val="24"/>
          <w:szCs w:val="24"/>
        </w:rPr>
      </w:pPr>
    </w:p>
    <w:p w14:paraId="7756E882" w14:textId="77777777" w:rsidR="004861EB" w:rsidRPr="006C683B" w:rsidRDefault="004861EB" w:rsidP="0048125F">
      <w:pPr>
        <w:jc w:val="center"/>
        <w:rPr>
          <w:rFonts w:ascii="Times New Roman" w:hAnsi="Times New Roman" w:cs="Times New Roman"/>
          <w:b/>
          <w:bCs/>
          <w:sz w:val="24"/>
          <w:szCs w:val="24"/>
        </w:rPr>
      </w:pPr>
    </w:p>
    <w:p w14:paraId="1C926B4D" w14:textId="1D55958C" w:rsidR="00145317" w:rsidRPr="006C683B" w:rsidRDefault="00144624" w:rsidP="0048125F">
      <w:pPr>
        <w:jc w:val="center"/>
        <w:rPr>
          <w:rFonts w:ascii="Times New Roman" w:hAnsi="Times New Roman" w:cs="Times New Roman"/>
          <w:b/>
          <w:bCs/>
          <w:sz w:val="24"/>
          <w:szCs w:val="24"/>
        </w:rPr>
      </w:pPr>
      <w:r w:rsidRPr="006C683B">
        <w:rPr>
          <w:rFonts w:ascii="Times New Roman" w:hAnsi="Times New Roman" w:cs="Times New Roman"/>
          <w:b/>
          <w:bCs/>
          <w:sz w:val="24"/>
          <w:szCs w:val="24"/>
        </w:rPr>
        <w:t>TABLES</w:t>
      </w:r>
    </w:p>
    <w:p w14:paraId="27AC403C" w14:textId="1628F386" w:rsidR="00144624" w:rsidRPr="006C683B" w:rsidRDefault="00144624">
      <w:pPr>
        <w:rPr>
          <w:rFonts w:ascii="Times New Roman" w:hAnsi="Times New Roman" w:cs="Times New Roman"/>
          <w:sz w:val="24"/>
          <w:szCs w:val="24"/>
        </w:rPr>
      </w:pPr>
    </w:p>
    <w:tbl>
      <w:tblPr>
        <w:tblW w:w="5820" w:type="dxa"/>
        <w:tblInd w:w="113" w:type="dxa"/>
        <w:tblLook w:val="04A0" w:firstRow="1" w:lastRow="0" w:firstColumn="1" w:lastColumn="0" w:noHBand="0" w:noVBand="1"/>
      </w:tblPr>
      <w:tblGrid>
        <w:gridCol w:w="4120"/>
        <w:gridCol w:w="1700"/>
      </w:tblGrid>
      <w:tr w:rsidR="00144624" w:rsidRPr="006C683B" w14:paraId="1DC13EC9" w14:textId="77777777" w:rsidTr="00144624">
        <w:trPr>
          <w:trHeight w:val="612"/>
        </w:trPr>
        <w:tc>
          <w:tcPr>
            <w:tcW w:w="582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FC25846"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Table 1: Baseline Demographics and Clinical Characteristics</w:t>
            </w:r>
          </w:p>
        </w:tc>
      </w:tr>
      <w:tr w:rsidR="00144624" w:rsidRPr="006C683B" w14:paraId="2D2BC357"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9927831"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Characteristic</w:t>
            </w:r>
          </w:p>
        </w:tc>
        <w:tc>
          <w:tcPr>
            <w:tcW w:w="1700" w:type="dxa"/>
            <w:tcBorders>
              <w:top w:val="nil"/>
              <w:left w:val="nil"/>
              <w:bottom w:val="single" w:sz="4" w:space="0" w:color="auto"/>
              <w:right w:val="single" w:sz="4" w:space="0" w:color="auto"/>
            </w:tcBorders>
            <w:shd w:val="clear" w:color="auto" w:fill="auto"/>
            <w:vAlign w:val="center"/>
            <w:hideMark/>
          </w:tcPr>
          <w:p w14:paraId="2319BB1B"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Total (N=120)</w:t>
            </w:r>
          </w:p>
        </w:tc>
      </w:tr>
      <w:tr w:rsidR="00144624" w:rsidRPr="006C683B" w14:paraId="0D8D8478"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2F1B3DB"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Age, years</w:t>
            </w:r>
          </w:p>
        </w:tc>
      </w:tr>
      <w:tr w:rsidR="00144624" w:rsidRPr="006C683B" w14:paraId="3D19D398"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91FB40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Mean ± SD</w:t>
            </w:r>
          </w:p>
        </w:tc>
        <w:tc>
          <w:tcPr>
            <w:tcW w:w="1700" w:type="dxa"/>
            <w:tcBorders>
              <w:top w:val="nil"/>
              <w:left w:val="nil"/>
              <w:bottom w:val="single" w:sz="4" w:space="0" w:color="auto"/>
              <w:right w:val="single" w:sz="4" w:space="0" w:color="auto"/>
            </w:tcBorders>
            <w:shd w:val="clear" w:color="auto" w:fill="auto"/>
            <w:vAlign w:val="center"/>
            <w:hideMark/>
          </w:tcPr>
          <w:p w14:paraId="204974F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62.7 ± 9.6</w:t>
            </w:r>
          </w:p>
        </w:tc>
      </w:tr>
      <w:tr w:rsidR="00144624" w:rsidRPr="006C683B" w14:paraId="50CC7BCE"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2D7453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(IQR)</w:t>
            </w:r>
          </w:p>
        </w:tc>
        <w:tc>
          <w:tcPr>
            <w:tcW w:w="1700" w:type="dxa"/>
            <w:tcBorders>
              <w:top w:val="nil"/>
              <w:left w:val="nil"/>
              <w:bottom w:val="single" w:sz="4" w:space="0" w:color="auto"/>
              <w:right w:val="single" w:sz="4" w:space="0" w:color="auto"/>
            </w:tcBorders>
            <w:shd w:val="clear" w:color="auto" w:fill="auto"/>
            <w:vAlign w:val="center"/>
            <w:hideMark/>
          </w:tcPr>
          <w:p w14:paraId="3786FE0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64 (58-69)</w:t>
            </w:r>
          </w:p>
        </w:tc>
      </w:tr>
      <w:tr w:rsidR="00144624" w:rsidRPr="006C683B" w14:paraId="4198C072"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FB6743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Range</w:t>
            </w:r>
          </w:p>
        </w:tc>
        <w:tc>
          <w:tcPr>
            <w:tcW w:w="1700" w:type="dxa"/>
            <w:tcBorders>
              <w:top w:val="nil"/>
              <w:left w:val="nil"/>
              <w:bottom w:val="single" w:sz="4" w:space="0" w:color="auto"/>
              <w:right w:val="single" w:sz="4" w:space="0" w:color="auto"/>
            </w:tcBorders>
            <w:shd w:val="clear" w:color="auto" w:fill="auto"/>
            <w:vAlign w:val="center"/>
            <w:hideMark/>
          </w:tcPr>
          <w:p w14:paraId="259433E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33-75</w:t>
            </w:r>
          </w:p>
        </w:tc>
      </w:tr>
      <w:tr w:rsidR="00144624" w:rsidRPr="006C683B" w14:paraId="6F020C8E"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C1BBBD8"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Gender, n (%)</w:t>
            </w:r>
          </w:p>
        </w:tc>
      </w:tr>
      <w:tr w:rsidR="00144624" w:rsidRPr="006C683B" w14:paraId="30A1BFA1"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CA8A18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Male</w:t>
            </w:r>
          </w:p>
        </w:tc>
        <w:tc>
          <w:tcPr>
            <w:tcW w:w="1700" w:type="dxa"/>
            <w:tcBorders>
              <w:top w:val="nil"/>
              <w:left w:val="nil"/>
              <w:bottom w:val="single" w:sz="4" w:space="0" w:color="auto"/>
              <w:right w:val="single" w:sz="4" w:space="0" w:color="auto"/>
            </w:tcBorders>
            <w:shd w:val="clear" w:color="auto" w:fill="auto"/>
            <w:vAlign w:val="center"/>
            <w:hideMark/>
          </w:tcPr>
          <w:p w14:paraId="2C4A120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62 (51.7)</w:t>
            </w:r>
          </w:p>
        </w:tc>
      </w:tr>
      <w:tr w:rsidR="00144624" w:rsidRPr="006C683B" w14:paraId="05B4EF31"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841425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Female</w:t>
            </w:r>
          </w:p>
        </w:tc>
        <w:tc>
          <w:tcPr>
            <w:tcW w:w="1700" w:type="dxa"/>
            <w:tcBorders>
              <w:top w:val="nil"/>
              <w:left w:val="nil"/>
              <w:bottom w:val="single" w:sz="4" w:space="0" w:color="auto"/>
              <w:right w:val="single" w:sz="4" w:space="0" w:color="auto"/>
            </w:tcBorders>
            <w:shd w:val="clear" w:color="auto" w:fill="auto"/>
            <w:vAlign w:val="center"/>
            <w:hideMark/>
          </w:tcPr>
          <w:p w14:paraId="0A9B5FC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58 (48.3)</w:t>
            </w:r>
          </w:p>
        </w:tc>
      </w:tr>
      <w:tr w:rsidR="00144624" w:rsidRPr="006C683B" w14:paraId="4C8F6F70"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948E540"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BMI, kg/m²</w:t>
            </w:r>
          </w:p>
        </w:tc>
      </w:tr>
      <w:tr w:rsidR="00144624" w:rsidRPr="006C683B" w14:paraId="030E94FC"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5B2F57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Mean ± SD</w:t>
            </w:r>
          </w:p>
        </w:tc>
        <w:tc>
          <w:tcPr>
            <w:tcW w:w="1700" w:type="dxa"/>
            <w:tcBorders>
              <w:top w:val="nil"/>
              <w:left w:val="nil"/>
              <w:bottom w:val="single" w:sz="4" w:space="0" w:color="auto"/>
              <w:right w:val="single" w:sz="4" w:space="0" w:color="auto"/>
            </w:tcBorders>
            <w:shd w:val="clear" w:color="auto" w:fill="auto"/>
            <w:vAlign w:val="center"/>
            <w:hideMark/>
          </w:tcPr>
          <w:p w14:paraId="2D7F2DD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26.8 ± 4.0</w:t>
            </w:r>
          </w:p>
        </w:tc>
      </w:tr>
      <w:tr w:rsidR="00144624" w:rsidRPr="006C683B" w14:paraId="60B43B14"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1762F08"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&lt;25, n (%)</w:t>
            </w:r>
          </w:p>
        </w:tc>
        <w:tc>
          <w:tcPr>
            <w:tcW w:w="1700" w:type="dxa"/>
            <w:tcBorders>
              <w:top w:val="nil"/>
              <w:left w:val="nil"/>
              <w:bottom w:val="single" w:sz="4" w:space="0" w:color="auto"/>
              <w:right w:val="single" w:sz="4" w:space="0" w:color="auto"/>
            </w:tcBorders>
            <w:shd w:val="clear" w:color="auto" w:fill="auto"/>
            <w:vAlign w:val="center"/>
            <w:hideMark/>
          </w:tcPr>
          <w:p w14:paraId="0DF73B8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42 (35.0)</w:t>
            </w:r>
          </w:p>
        </w:tc>
      </w:tr>
      <w:tr w:rsidR="00144624" w:rsidRPr="006C683B" w14:paraId="43D75EEE"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D4B6A9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25-30, n (%)</w:t>
            </w:r>
          </w:p>
        </w:tc>
        <w:tc>
          <w:tcPr>
            <w:tcW w:w="1700" w:type="dxa"/>
            <w:tcBorders>
              <w:top w:val="nil"/>
              <w:left w:val="nil"/>
              <w:bottom w:val="single" w:sz="4" w:space="0" w:color="auto"/>
              <w:right w:val="single" w:sz="4" w:space="0" w:color="auto"/>
            </w:tcBorders>
            <w:shd w:val="clear" w:color="auto" w:fill="auto"/>
            <w:vAlign w:val="center"/>
            <w:hideMark/>
          </w:tcPr>
          <w:p w14:paraId="514449F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54 (45.0)</w:t>
            </w:r>
          </w:p>
        </w:tc>
      </w:tr>
      <w:tr w:rsidR="00144624" w:rsidRPr="006C683B" w14:paraId="20B4635F"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861992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&gt;30, n (%)</w:t>
            </w:r>
          </w:p>
        </w:tc>
        <w:tc>
          <w:tcPr>
            <w:tcW w:w="1700" w:type="dxa"/>
            <w:tcBorders>
              <w:top w:val="nil"/>
              <w:left w:val="nil"/>
              <w:bottom w:val="single" w:sz="4" w:space="0" w:color="auto"/>
              <w:right w:val="single" w:sz="4" w:space="0" w:color="auto"/>
            </w:tcBorders>
            <w:shd w:val="clear" w:color="auto" w:fill="auto"/>
            <w:vAlign w:val="center"/>
            <w:hideMark/>
          </w:tcPr>
          <w:p w14:paraId="133CDB4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24 (20.0)</w:t>
            </w:r>
          </w:p>
        </w:tc>
      </w:tr>
      <w:tr w:rsidR="00144624" w:rsidRPr="006C683B" w14:paraId="2DD4AB10"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354F8AC"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 xml:space="preserve">Primary </w:t>
            </w:r>
            <w:proofErr w:type="spellStart"/>
            <w:r w:rsidRPr="006C683B">
              <w:rPr>
                <w:rFonts w:ascii="Times New Roman" w:eastAsia="Times New Roman" w:hAnsi="Times New Roman" w:cs="Times New Roman"/>
                <w:b/>
                <w:bCs/>
                <w:color w:val="000000"/>
                <w:sz w:val="24"/>
                <w:szCs w:val="24"/>
                <w:lang w:val="en-PK" w:eastAsia="en-PK"/>
              </w:rPr>
              <w:t>tumor</w:t>
            </w:r>
            <w:proofErr w:type="spellEnd"/>
            <w:r w:rsidRPr="006C683B">
              <w:rPr>
                <w:rFonts w:ascii="Times New Roman" w:eastAsia="Times New Roman" w:hAnsi="Times New Roman" w:cs="Times New Roman"/>
                <w:b/>
                <w:bCs/>
                <w:color w:val="000000"/>
                <w:sz w:val="24"/>
                <w:szCs w:val="24"/>
                <w:lang w:val="en-PK" w:eastAsia="en-PK"/>
              </w:rPr>
              <w:t xml:space="preserve"> location, n (%)</w:t>
            </w:r>
          </w:p>
        </w:tc>
      </w:tr>
      <w:tr w:rsidR="00144624" w:rsidRPr="006C683B" w14:paraId="73FB3954"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2B350B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Colon</w:t>
            </w:r>
          </w:p>
        </w:tc>
        <w:tc>
          <w:tcPr>
            <w:tcW w:w="1700" w:type="dxa"/>
            <w:tcBorders>
              <w:top w:val="nil"/>
              <w:left w:val="nil"/>
              <w:bottom w:val="single" w:sz="4" w:space="0" w:color="auto"/>
              <w:right w:val="single" w:sz="4" w:space="0" w:color="auto"/>
            </w:tcBorders>
            <w:shd w:val="clear" w:color="auto" w:fill="auto"/>
            <w:vAlign w:val="center"/>
            <w:hideMark/>
          </w:tcPr>
          <w:p w14:paraId="442C566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64 (53.3)</w:t>
            </w:r>
          </w:p>
        </w:tc>
      </w:tr>
      <w:tr w:rsidR="00144624" w:rsidRPr="006C683B" w14:paraId="49285CC1"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7D3472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Rectum</w:t>
            </w:r>
          </w:p>
        </w:tc>
        <w:tc>
          <w:tcPr>
            <w:tcW w:w="1700" w:type="dxa"/>
            <w:tcBorders>
              <w:top w:val="nil"/>
              <w:left w:val="nil"/>
              <w:bottom w:val="single" w:sz="4" w:space="0" w:color="auto"/>
              <w:right w:val="single" w:sz="4" w:space="0" w:color="auto"/>
            </w:tcBorders>
            <w:shd w:val="clear" w:color="auto" w:fill="auto"/>
            <w:vAlign w:val="center"/>
            <w:hideMark/>
          </w:tcPr>
          <w:p w14:paraId="4F5D4B8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34 (28.3)</w:t>
            </w:r>
          </w:p>
        </w:tc>
      </w:tr>
      <w:tr w:rsidR="00144624" w:rsidRPr="006C683B" w14:paraId="4387EBCB"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C7B2D9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Rectosigmoid junction</w:t>
            </w:r>
          </w:p>
        </w:tc>
        <w:tc>
          <w:tcPr>
            <w:tcW w:w="1700" w:type="dxa"/>
            <w:tcBorders>
              <w:top w:val="nil"/>
              <w:left w:val="nil"/>
              <w:bottom w:val="single" w:sz="4" w:space="0" w:color="auto"/>
              <w:right w:val="single" w:sz="4" w:space="0" w:color="auto"/>
            </w:tcBorders>
            <w:shd w:val="clear" w:color="auto" w:fill="auto"/>
            <w:vAlign w:val="center"/>
            <w:hideMark/>
          </w:tcPr>
          <w:p w14:paraId="0C9176D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22 (18.3)</w:t>
            </w:r>
          </w:p>
        </w:tc>
      </w:tr>
      <w:tr w:rsidR="00144624" w:rsidRPr="006C683B" w14:paraId="1A107780"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06DA99B"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Cancer stage, n (%)</w:t>
            </w:r>
          </w:p>
        </w:tc>
      </w:tr>
      <w:tr w:rsidR="00144624" w:rsidRPr="006C683B" w14:paraId="10E864E2"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4C53B5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Stage II</w:t>
            </w:r>
          </w:p>
        </w:tc>
        <w:tc>
          <w:tcPr>
            <w:tcW w:w="1700" w:type="dxa"/>
            <w:tcBorders>
              <w:top w:val="nil"/>
              <w:left w:val="nil"/>
              <w:bottom w:val="single" w:sz="4" w:space="0" w:color="auto"/>
              <w:right w:val="single" w:sz="4" w:space="0" w:color="auto"/>
            </w:tcBorders>
            <w:shd w:val="clear" w:color="auto" w:fill="auto"/>
            <w:vAlign w:val="center"/>
            <w:hideMark/>
          </w:tcPr>
          <w:p w14:paraId="1D81A01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42 (35.0)</w:t>
            </w:r>
          </w:p>
        </w:tc>
      </w:tr>
      <w:tr w:rsidR="00144624" w:rsidRPr="006C683B" w14:paraId="3ED3398F"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E72FE9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Stage III</w:t>
            </w:r>
          </w:p>
        </w:tc>
        <w:tc>
          <w:tcPr>
            <w:tcW w:w="1700" w:type="dxa"/>
            <w:tcBorders>
              <w:top w:val="nil"/>
              <w:left w:val="nil"/>
              <w:bottom w:val="single" w:sz="4" w:space="0" w:color="auto"/>
              <w:right w:val="single" w:sz="4" w:space="0" w:color="auto"/>
            </w:tcBorders>
            <w:shd w:val="clear" w:color="auto" w:fill="auto"/>
            <w:vAlign w:val="center"/>
            <w:hideMark/>
          </w:tcPr>
          <w:p w14:paraId="5C9E453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64 (53.3)</w:t>
            </w:r>
          </w:p>
        </w:tc>
      </w:tr>
      <w:tr w:rsidR="00144624" w:rsidRPr="006C683B" w14:paraId="225679C6"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853FB3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Stage IV</w:t>
            </w:r>
          </w:p>
        </w:tc>
        <w:tc>
          <w:tcPr>
            <w:tcW w:w="1700" w:type="dxa"/>
            <w:tcBorders>
              <w:top w:val="nil"/>
              <w:left w:val="nil"/>
              <w:bottom w:val="single" w:sz="4" w:space="0" w:color="auto"/>
              <w:right w:val="single" w:sz="4" w:space="0" w:color="auto"/>
            </w:tcBorders>
            <w:shd w:val="clear" w:color="auto" w:fill="auto"/>
            <w:vAlign w:val="center"/>
            <w:hideMark/>
          </w:tcPr>
          <w:p w14:paraId="58D945C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14 (11.7)</w:t>
            </w:r>
          </w:p>
        </w:tc>
      </w:tr>
      <w:tr w:rsidR="00144624" w:rsidRPr="006C683B" w14:paraId="5AA94ADD"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A8A6749"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ECOG Performance Status, n (%)</w:t>
            </w:r>
          </w:p>
        </w:tc>
      </w:tr>
      <w:tr w:rsidR="00144624" w:rsidRPr="006C683B" w14:paraId="4A8D1097"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BA9D6F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w:t>
            </w:r>
          </w:p>
        </w:tc>
        <w:tc>
          <w:tcPr>
            <w:tcW w:w="1700" w:type="dxa"/>
            <w:tcBorders>
              <w:top w:val="nil"/>
              <w:left w:val="nil"/>
              <w:bottom w:val="single" w:sz="4" w:space="0" w:color="auto"/>
              <w:right w:val="single" w:sz="4" w:space="0" w:color="auto"/>
            </w:tcBorders>
            <w:shd w:val="clear" w:color="auto" w:fill="auto"/>
            <w:vAlign w:val="center"/>
            <w:hideMark/>
          </w:tcPr>
          <w:p w14:paraId="2DA914B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54 (45.0)</w:t>
            </w:r>
          </w:p>
        </w:tc>
      </w:tr>
      <w:tr w:rsidR="00144624" w:rsidRPr="006C683B" w14:paraId="06C36A90"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0C255B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w:t>
            </w:r>
          </w:p>
        </w:tc>
        <w:tc>
          <w:tcPr>
            <w:tcW w:w="1700" w:type="dxa"/>
            <w:tcBorders>
              <w:top w:val="nil"/>
              <w:left w:val="nil"/>
              <w:bottom w:val="single" w:sz="4" w:space="0" w:color="auto"/>
              <w:right w:val="single" w:sz="4" w:space="0" w:color="auto"/>
            </w:tcBorders>
            <w:shd w:val="clear" w:color="auto" w:fill="auto"/>
            <w:vAlign w:val="center"/>
            <w:hideMark/>
          </w:tcPr>
          <w:p w14:paraId="5A5EED5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57 (47.5)</w:t>
            </w:r>
          </w:p>
        </w:tc>
      </w:tr>
      <w:tr w:rsidR="00144624" w:rsidRPr="006C683B" w14:paraId="69CA3F0A"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1DBCEE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w:t>
            </w:r>
          </w:p>
        </w:tc>
        <w:tc>
          <w:tcPr>
            <w:tcW w:w="1700" w:type="dxa"/>
            <w:tcBorders>
              <w:top w:val="nil"/>
              <w:left w:val="nil"/>
              <w:bottom w:val="single" w:sz="4" w:space="0" w:color="auto"/>
              <w:right w:val="single" w:sz="4" w:space="0" w:color="auto"/>
            </w:tcBorders>
            <w:shd w:val="clear" w:color="auto" w:fill="auto"/>
            <w:vAlign w:val="center"/>
            <w:hideMark/>
          </w:tcPr>
          <w:p w14:paraId="389C934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9 (7.5)</w:t>
            </w:r>
          </w:p>
        </w:tc>
      </w:tr>
      <w:tr w:rsidR="00144624" w:rsidRPr="006C683B" w14:paraId="73ED87B3"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E14A56"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Chemotherapy regimen, n (%)</w:t>
            </w:r>
          </w:p>
        </w:tc>
      </w:tr>
      <w:tr w:rsidR="00144624" w:rsidRPr="006C683B" w14:paraId="536CBF90"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A7BE2A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FOLFOX</w:t>
            </w:r>
          </w:p>
        </w:tc>
        <w:tc>
          <w:tcPr>
            <w:tcW w:w="1700" w:type="dxa"/>
            <w:tcBorders>
              <w:top w:val="nil"/>
              <w:left w:val="nil"/>
              <w:bottom w:val="single" w:sz="4" w:space="0" w:color="auto"/>
              <w:right w:val="single" w:sz="4" w:space="0" w:color="auto"/>
            </w:tcBorders>
            <w:shd w:val="clear" w:color="auto" w:fill="auto"/>
            <w:vAlign w:val="center"/>
            <w:hideMark/>
          </w:tcPr>
          <w:p w14:paraId="7DB2E79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58 (48.3)</w:t>
            </w:r>
          </w:p>
        </w:tc>
      </w:tr>
      <w:tr w:rsidR="00144624" w:rsidRPr="006C683B" w14:paraId="6EBBD9EF"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DFDDA7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FOLFIRI</w:t>
            </w:r>
          </w:p>
        </w:tc>
        <w:tc>
          <w:tcPr>
            <w:tcW w:w="1700" w:type="dxa"/>
            <w:tcBorders>
              <w:top w:val="nil"/>
              <w:left w:val="nil"/>
              <w:bottom w:val="single" w:sz="4" w:space="0" w:color="auto"/>
              <w:right w:val="single" w:sz="4" w:space="0" w:color="auto"/>
            </w:tcBorders>
            <w:shd w:val="clear" w:color="auto" w:fill="auto"/>
            <w:vAlign w:val="center"/>
            <w:hideMark/>
          </w:tcPr>
          <w:p w14:paraId="5EB206C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40 (33.3)</w:t>
            </w:r>
          </w:p>
        </w:tc>
      </w:tr>
      <w:tr w:rsidR="00144624" w:rsidRPr="006C683B" w14:paraId="57F9A282"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A4A28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CAPOX</w:t>
            </w:r>
          </w:p>
        </w:tc>
        <w:tc>
          <w:tcPr>
            <w:tcW w:w="1700" w:type="dxa"/>
            <w:tcBorders>
              <w:top w:val="nil"/>
              <w:left w:val="nil"/>
              <w:bottom w:val="single" w:sz="4" w:space="0" w:color="auto"/>
              <w:right w:val="single" w:sz="4" w:space="0" w:color="auto"/>
            </w:tcBorders>
            <w:shd w:val="clear" w:color="auto" w:fill="auto"/>
            <w:vAlign w:val="center"/>
            <w:hideMark/>
          </w:tcPr>
          <w:p w14:paraId="41FB124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22 (18.3)</w:t>
            </w:r>
          </w:p>
        </w:tc>
      </w:tr>
      <w:tr w:rsidR="00144624" w:rsidRPr="006C683B" w14:paraId="01652113"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EDC3836"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 xml:space="preserve">Baseline </w:t>
            </w:r>
            <w:proofErr w:type="spellStart"/>
            <w:r w:rsidRPr="006C683B">
              <w:rPr>
                <w:rFonts w:ascii="Times New Roman" w:eastAsia="Times New Roman" w:hAnsi="Times New Roman" w:cs="Times New Roman"/>
                <w:b/>
                <w:bCs/>
                <w:color w:val="000000"/>
                <w:sz w:val="24"/>
                <w:szCs w:val="24"/>
                <w:lang w:val="en-PK" w:eastAsia="en-PK"/>
              </w:rPr>
              <w:t>tumor</w:t>
            </w:r>
            <w:proofErr w:type="spellEnd"/>
            <w:r w:rsidRPr="006C683B">
              <w:rPr>
                <w:rFonts w:ascii="Times New Roman" w:eastAsia="Times New Roman" w:hAnsi="Times New Roman" w:cs="Times New Roman"/>
                <w:b/>
                <w:bCs/>
                <w:color w:val="000000"/>
                <w:sz w:val="24"/>
                <w:szCs w:val="24"/>
                <w:lang w:val="en-PK" w:eastAsia="en-PK"/>
              </w:rPr>
              <w:t xml:space="preserve"> markers</w:t>
            </w:r>
          </w:p>
        </w:tc>
      </w:tr>
      <w:tr w:rsidR="00144624" w:rsidRPr="006C683B" w14:paraId="144D4119"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FB284E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lastRenderedPageBreak/>
              <w:t>CEA, ng/mL, median (IQR)</w:t>
            </w:r>
          </w:p>
        </w:tc>
        <w:tc>
          <w:tcPr>
            <w:tcW w:w="1700" w:type="dxa"/>
            <w:tcBorders>
              <w:top w:val="nil"/>
              <w:left w:val="nil"/>
              <w:bottom w:val="single" w:sz="4" w:space="0" w:color="auto"/>
              <w:right w:val="single" w:sz="4" w:space="0" w:color="auto"/>
            </w:tcBorders>
            <w:shd w:val="clear" w:color="auto" w:fill="auto"/>
            <w:vAlign w:val="center"/>
            <w:hideMark/>
          </w:tcPr>
          <w:p w14:paraId="1EA0A7A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13.0 (6.5-22.7)</w:t>
            </w:r>
          </w:p>
        </w:tc>
      </w:tr>
      <w:tr w:rsidR="00144624" w:rsidRPr="006C683B" w14:paraId="15C0C8A9"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2C7227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CA 19-9, U/mL, median (IQR)</w:t>
            </w:r>
          </w:p>
        </w:tc>
        <w:tc>
          <w:tcPr>
            <w:tcW w:w="1700" w:type="dxa"/>
            <w:tcBorders>
              <w:top w:val="nil"/>
              <w:left w:val="nil"/>
              <w:bottom w:val="single" w:sz="4" w:space="0" w:color="auto"/>
              <w:right w:val="single" w:sz="4" w:space="0" w:color="auto"/>
            </w:tcBorders>
            <w:shd w:val="clear" w:color="auto" w:fill="auto"/>
            <w:vAlign w:val="center"/>
            <w:hideMark/>
          </w:tcPr>
          <w:p w14:paraId="5C8281F7"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23.4 (13.2-40.1)</w:t>
            </w:r>
          </w:p>
        </w:tc>
      </w:tr>
      <w:tr w:rsidR="00144624" w:rsidRPr="006C683B" w14:paraId="3C8896F4" w14:textId="77777777" w:rsidTr="00144624">
        <w:trPr>
          <w:trHeight w:val="312"/>
        </w:trPr>
        <w:tc>
          <w:tcPr>
            <w:tcW w:w="58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FDEAC66"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Previous treatments, n (%)</w:t>
            </w:r>
          </w:p>
        </w:tc>
      </w:tr>
      <w:tr w:rsidR="00144624" w:rsidRPr="006C683B" w14:paraId="16210895"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F13D69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Surgery only</w:t>
            </w:r>
          </w:p>
        </w:tc>
        <w:tc>
          <w:tcPr>
            <w:tcW w:w="1700" w:type="dxa"/>
            <w:tcBorders>
              <w:top w:val="nil"/>
              <w:left w:val="nil"/>
              <w:bottom w:val="single" w:sz="4" w:space="0" w:color="auto"/>
              <w:right w:val="single" w:sz="4" w:space="0" w:color="auto"/>
            </w:tcBorders>
            <w:shd w:val="clear" w:color="auto" w:fill="auto"/>
            <w:vAlign w:val="center"/>
            <w:hideMark/>
          </w:tcPr>
          <w:p w14:paraId="171B8744" w14:textId="7CE3F37A"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16 (</w:t>
            </w:r>
            <w:r w:rsidR="00213706" w:rsidRPr="006C683B">
              <w:rPr>
                <w:rFonts w:ascii="Times New Roman" w:eastAsia="Times New Roman" w:hAnsi="Times New Roman" w:cs="Times New Roman"/>
                <w:color w:val="000000"/>
                <w:sz w:val="24"/>
                <w:szCs w:val="24"/>
                <w:lang w:eastAsia="en-PK"/>
              </w:rPr>
              <w:t>13.3</w:t>
            </w:r>
            <w:r w:rsidRPr="006C683B">
              <w:rPr>
                <w:rFonts w:ascii="Times New Roman" w:eastAsia="Times New Roman" w:hAnsi="Times New Roman" w:cs="Times New Roman"/>
                <w:color w:val="000000"/>
                <w:sz w:val="24"/>
                <w:szCs w:val="24"/>
                <w:lang w:val="en-PK" w:eastAsia="en-PK"/>
              </w:rPr>
              <w:t>)</w:t>
            </w:r>
          </w:p>
        </w:tc>
      </w:tr>
      <w:tr w:rsidR="00144624" w:rsidRPr="006C683B" w14:paraId="28A60C3D"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C52FD8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No previous treatment</w:t>
            </w:r>
          </w:p>
        </w:tc>
        <w:tc>
          <w:tcPr>
            <w:tcW w:w="1700" w:type="dxa"/>
            <w:tcBorders>
              <w:top w:val="nil"/>
              <w:left w:val="nil"/>
              <w:bottom w:val="single" w:sz="4" w:space="0" w:color="auto"/>
              <w:right w:val="single" w:sz="4" w:space="0" w:color="auto"/>
            </w:tcBorders>
            <w:shd w:val="clear" w:color="auto" w:fill="auto"/>
            <w:vAlign w:val="center"/>
            <w:hideMark/>
          </w:tcPr>
          <w:p w14:paraId="66D586EC" w14:textId="704ED1FC"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10</w:t>
            </w:r>
            <w:r w:rsidR="00213706" w:rsidRPr="006C683B">
              <w:rPr>
                <w:rFonts w:ascii="Times New Roman" w:eastAsia="Times New Roman" w:hAnsi="Times New Roman" w:cs="Times New Roman"/>
                <w:color w:val="000000"/>
                <w:sz w:val="24"/>
                <w:szCs w:val="24"/>
                <w:lang w:eastAsia="en-PK"/>
              </w:rPr>
              <w:t>4</w:t>
            </w:r>
            <w:r w:rsidRPr="006C683B">
              <w:rPr>
                <w:rFonts w:ascii="Times New Roman" w:eastAsia="Times New Roman" w:hAnsi="Times New Roman" w:cs="Times New Roman"/>
                <w:color w:val="000000"/>
                <w:sz w:val="24"/>
                <w:szCs w:val="24"/>
                <w:lang w:val="en-PK" w:eastAsia="en-PK"/>
              </w:rPr>
              <w:t xml:space="preserve"> (8</w:t>
            </w:r>
            <w:r w:rsidR="00213706" w:rsidRPr="006C683B">
              <w:rPr>
                <w:rFonts w:ascii="Times New Roman" w:eastAsia="Times New Roman" w:hAnsi="Times New Roman" w:cs="Times New Roman"/>
                <w:color w:val="000000"/>
                <w:sz w:val="24"/>
                <w:szCs w:val="24"/>
                <w:lang w:eastAsia="en-PK"/>
              </w:rPr>
              <w:t>6.7</w:t>
            </w:r>
            <w:r w:rsidRPr="006C683B">
              <w:rPr>
                <w:rFonts w:ascii="Times New Roman" w:eastAsia="Times New Roman" w:hAnsi="Times New Roman" w:cs="Times New Roman"/>
                <w:color w:val="000000"/>
                <w:sz w:val="24"/>
                <w:szCs w:val="24"/>
                <w:lang w:val="en-PK" w:eastAsia="en-PK"/>
              </w:rPr>
              <w:t>)</w:t>
            </w:r>
          </w:p>
        </w:tc>
      </w:tr>
    </w:tbl>
    <w:p w14:paraId="3C131839" w14:textId="401962B1" w:rsidR="00144624" w:rsidRPr="006C683B" w:rsidRDefault="00144624">
      <w:pPr>
        <w:rPr>
          <w:rFonts w:ascii="Times New Roman" w:hAnsi="Times New Roman" w:cs="Times New Roman"/>
          <w:sz w:val="24"/>
          <w:szCs w:val="24"/>
        </w:rPr>
      </w:pPr>
    </w:p>
    <w:p w14:paraId="28EC0289" w14:textId="0129FA45" w:rsidR="00144624" w:rsidRPr="006C683B" w:rsidRDefault="00144624">
      <w:pPr>
        <w:rPr>
          <w:rFonts w:ascii="Times New Roman" w:hAnsi="Times New Roman" w:cs="Times New Roman"/>
          <w:sz w:val="24"/>
          <w:szCs w:val="24"/>
        </w:rPr>
      </w:pPr>
    </w:p>
    <w:p w14:paraId="4272DAE5" w14:textId="4B445504" w:rsidR="00144624" w:rsidRPr="006C683B" w:rsidRDefault="00144624">
      <w:pPr>
        <w:rPr>
          <w:rFonts w:ascii="Times New Roman" w:hAnsi="Times New Roman" w:cs="Times New Roman"/>
          <w:sz w:val="24"/>
          <w:szCs w:val="24"/>
        </w:rPr>
      </w:pPr>
    </w:p>
    <w:p w14:paraId="177E46E2" w14:textId="2CF464C5" w:rsidR="00144624" w:rsidRPr="006C683B" w:rsidRDefault="00144624">
      <w:pPr>
        <w:rPr>
          <w:rFonts w:ascii="Times New Roman" w:hAnsi="Times New Roman" w:cs="Times New Roman"/>
          <w:sz w:val="24"/>
          <w:szCs w:val="24"/>
        </w:rPr>
      </w:pPr>
    </w:p>
    <w:tbl>
      <w:tblPr>
        <w:tblW w:w="8220" w:type="dxa"/>
        <w:tblInd w:w="113" w:type="dxa"/>
        <w:tblLook w:val="04A0" w:firstRow="1" w:lastRow="0" w:firstColumn="1" w:lastColumn="0" w:noHBand="0" w:noVBand="1"/>
      </w:tblPr>
      <w:tblGrid>
        <w:gridCol w:w="4180"/>
        <w:gridCol w:w="2420"/>
        <w:gridCol w:w="1620"/>
      </w:tblGrid>
      <w:tr w:rsidR="00144624" w:rsidRPr="006C683B" w14:paraId="09013320"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E47F14E"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Table 2: Quantitative Imaging Parameters During Treatment</w:t>
            </w:r>
          </w:p>
        </w:tc>
      </w:tr>
      <w:tr w:rsidR="00144624" w:rsidRPr="006C683B" w14:paraId="47052212"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0E131AC9"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Imaging Parameter</w:t>
            </w:r>
          </w:p>
        </w:tc>
        <w:tc>
          <w:tcPr>
            <w:tcW w:w="2420" w:type="dxa"/>
            <w:tcBorders>
              <w:top w:val="nil"/>
              <w:left w:val="nil"/>
              <w:bottom w:val="single" w:sz="4" w:space="0" w:color="auto"/>
              <w:right w:val="single" w:sz="4" w:space="0" w:color="auto"/>
            </w:tcBorders>
            <w:shd w:val="clear" w:color="auto" w:fill="auto"/>
            <w:vAlign w:val="center"/>
            <w:hideMark/>
          </w:tcPr>
          <w:p w14:paraId="0DF7416D"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Mean ± SD</w:t>
            </w:r>
          </w:p>
        </w:tc>
        <w:tc>
          <w:tcPr>
            <w:tcW w:w="1620" w:type="dxa"/>
            <w:tcBorders>
              <w:top w:val="nil"/>
              <w:left w:val="nil"/>
              <w:bottom w:val="single" w:sz="4" w:space="0" w:color="auto"/>
              <w:right w:val="single" w:sz="4" w:space="0" w:color="auto"/>
            </w:tcBorders>
            <w:shd w:val="clear" w:color="auto" w:fill="auto"/>
            <w:vAlign w:val="center"/>
            <w:hideMark/>
          </w:tcPr>
          <w:p w14:paraId="6195B31C"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P-value</w:t>
            </w:r>
          </w:p>
        </w:tc>
      </w:tr>
      <w:tr w:rsidR="00144624" w:rsidRPr="006C683B" w14:paraId="2B5FD541"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F8F1C5"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PET-CT Measurements</w:t>
            </w:r>
          </w:p>
        </w:tc>
      </w:tr>
      <w:tr w:rsidR="00144624" w:rsidRPr="006C683B" w14:paraId="04482252"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684EB6B"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proofErr w:type="spellStart"/>
            <w:r w:rsidRPr="006C683B">
              <w:rPr>
                <w:rFonts w:ascii="Times New Roman" w:eastAsia="Times New Roman" w:hAnsi="Times New Roman" w:cs="Times New Roman"/>
                <w:b/>
                <w:bCs/>
                <w:color w:val="000000"/>
                <w:sz w:val="24"/>
                <w:szCs w:val="24"/>
                <w:lang w:val="en-PK" w:eastAsia="en-PK"/>
              </w:rPr>
              <w:t>SUVmax</w:t>
            </w:r>
            <w:proofErr w:type="spellEnd"/>
          </w:p>
        </w:tc>
      </w:tr>
      <w:tr w:rsidR="00144624" w:rsidRPr="006C683B" w14:paraId="7A41AEAC"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5E594AF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2420" w:type="dxa"/>
            <w:tcBorders>
              <w:top w:val="nil"/>
              <w:left w:val="nil"/>
              <w:bottom w:val="single" w:sz="4" w:space="0" w:color="auto"/>
              <w:right w:val="single" w:sz="4" w:space="0" w:color="auto"/>
            </w:tcBorders>
            <w:shd w:val="clear" w:color="auto" w:fill="auto"/>
            <w:vAlign w:val="center"/>
            <w:hideMark/>
          </w:tcPr>
          <w:p w14:paraId="229E329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10.74 ± 5.09</w:t>
            </w:r>
          </w:p>
        </w:tc>
        <w:tc>
          <w:tcPr>
            <w:tcW w:w="1620" w:type="dxa"/>
            <w:tcBorders>
              <w:top w:val="nil"/>
              <w:left w:val="nil"/>
              <w:bottom w:val="single" w:sz="4" w:space="0" w:color="auto"/>
              <w:right w:val="single" w:sz="4" w:space="0" w:color="auto"/>
            </w:tcBorders>
            <w:shd w:val="clear" w:color="auto" w:fill="auto"/>
            <w:vAlign w:val="center"/>
            <w:hideMark/>
          </w:tcPr>
          <w:p w14:paraId="2A076F3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Reference</w:t>
            </w:r>
          </w:p>
        </w:tc>
      </w:tr>
      <w:tr w:rsidR="00144624" w:rsidRPr="006C683B" w14:paraId="076DF47D"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44D6F0B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 weeks</w:t>
            </w:r>
          </w:p>
        </w:tc>
        <w:tc>
          <w:tcPr>
            <w:tcW w:w="2420" w:type="dxa"/>
            <w:tcBorders>
              <w:top w:val="nil"/>
              <w:left w:val="nil"/>
              <w:bottom w:val="single" w:sz="4" w:space="0" w:color="auto"/>
              <w:right w:val="single" w:sz="4" w:space="0" w:color="auto"/>
            </w:tcBorders>
            <w:shd w:val="clear" w:color="auto" w:fill="auto"/>
            <w:vAlign w:val="center"/>
            <w:hideMark/>
          </w:tcPr>
          <w:p w14:paraId="04DCD26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9.40 ± 4.79</w:t>
            </w:r>
          </w:p>
        </w:tc>
        <w:tc>
          <w:tcPr>
            <w:tcW w:w="1620" w:type="dxa"/>
            <w:tcBorders>
              <w:top w:val="nil"/>
              <w:left w:val="nil"/>
              <w:bottom w:val="single" w:sz="4" w:space="0" w:color="auto"/>
              <w:right w:val="single" w:sz="4" w:space="0" w:color="auto"/>
            </w:tcBorders>
            <w:shd w:val="clear" w:color="auto" w:fill="auto"/>
            <w:vAlign w:val="center"/>
            <w:hideMark/>
          </w:tcPr>
          <w:p w14:paraId="267F946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70D5E44C"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20491F8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 weeks</w:t>
            </w:r>
          </w:p>
        </w:tc>
        <w:tc>
          <w:tcPr>
            <w:tcW w:w="2420" w:type="dxa"/>
            <w:tcBorders>
              <w:top w:val="nil"/>
              <w:left w:val="nil"/>
              <w:bottom w:val="single" w:sz="4" w:space="0" w:color="auto"/>
              <w:right w:val="single" w:sz="4" w:space="0" w:color="auto"/>
            </w:tcBorders>
            <w:shd w:val="clear" w:color="auto" w:fill="auto"/>
            <w:vAlign w:val="center"/>
            <w:hideMark/>
          </w:tcPr>
          <w:p w14:paraId="304C2A4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7.72 ± 4.59</w:t>
            </w:r>
          </w:p>
        </w:tc>
        <w:tc>
          <w:tcPr>
            <w:tcW w:w="1620" w:type="dxa"/>
            <w:tcBorders>
              <w:top w:val="nil"/>
              <w:left w:val="nil"/>
              <w:bottom w:val="single" w:sz="4" w:space="0" w:color="auto"/>
              <w:right w:val="single" w:sz="4" w:space="0" w:color="auto"/>
            </w:tcBorders>
            <w:shd w:val="clear" w:color="auto" w:fill="auto"/>
            <w:vAlign w:val="center"/>
            <w:hideMark/>
          </w:tcPr>
          <w:p w14:paraId="74FEDFA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582EA920"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58A43C7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2420" w:type="dxa"/>
            <w:tcBorders>
              <w:top w:val="nil"/>
              <w:left w:val="nil"/>
              <w:bottom w:val="single" w:sz="4" w:space="0" w:color="auto"/>
              <w:right w:val="single" w:sz="4" w:space="0" w:color="auto"/>
            </w:tcBorders>
            <w:shd w:val="clear" w:color="auto" w:fill="auto"/>
            <w:vAlign w:val="center"/>
            <w:hideMark/>
          </w:tcPr>
          <w:p w14:paraId="2FB0304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6.87 ± 5.79</w:t>
            </w:r>
          </w:p>
        </w:tc>
        <w:tc>
          <w:tcPr>
            <w:tcW w:w="1620" w:type="dxa"/>
            <w:tcBorders>
              <w:top w:val="nil"/>
              <w:left w:val="nil"/>
              <w:bottom w:val="single" w:sz="4" w:space="0" w:color="auto"/>
              <w:right w:val="single" w:sz="4" w:space="0" w:color="auto"/>
            </w:tcBorders>
            <w:shd w:val="clear" w:color="auto" w:fill="auto"/>
            <w:vAlign w:val="center"/>
            <w:hideMark/>
          </w:tcPr>
          <w:p w14:paraId="1539744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2D8292DB"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111B0898"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Change from baseline at 12 weeks</w:t>
            </w:r>
          </w:p>
        </w:tc>
        <w:tc>
          <w:tcPr>
            <w:tcW w:w="2420" w:type="dxa"/>
            <w:tcBorders>
              <w:top w:val="nil"/>
              <w:left w:val="nil"/>
              <w:bottom w:val="single" w:sz="4" w:space="0" w:color="auto"/>
              <w:right w:val="single" w:sz="4" w:space="0" w:color="auto"/>
            </w:tcBorders>
            <w:shd w:val="clear" w:color="auto" w:fill="auto"/>
            <w:vAlign w:val="center"/>
            <w:hideMark/>
          </w:tcPr>
          <w:p w14:paraId="55256C2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-36.0 ± 25.3</w:t>
            </w:r>
          </w:p>
        </w:tc>
        <w:tc>
          <w:tcPr>
            <w:tcW w:w="1620" w:type="dxa"/>
            <w:tcBorders>
              <w:top w:val="nil"/>
              <w:left w:val="nil"/>
              <w:bottom w:val="single" w:sz="4" w:space="0" w:color="auto"/>
              <w:right w:val="single" w:sz="4" w:space="0" w:color="auto"/>
            </w:tcBorders>
            <w:shd w:val="clear" w:color="auto" w:fill="auto"/>
            <w:vAlign w:val="center"/>
            <w:hideMark/>
          </w:tcPr>
          <w:p w14:paraId="17B2480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w:t>
            </w:r>
          </w:p>
        </w:tc>
      </w:tr>
      <w:tr w:rsidR="00144624" w:rsidRPr="006C683B" w14:paraId="50F98083"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548B2A1"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SUV peak</w:t>
            </w:r>
          </w:p>
        </w:tc>
      </w:tr>
      <w:tr w:rsidR="00144624" w:rsidRPr="006C683B" w14:paraId="616F20E5"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0EC3FA0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2420" w:type="dxa"/>
            <w:tcBorders>
              <w:top w:val="nil"/>
              <w:left w:val="nil"/>
              <w:bottom w:val="single" w:sz="4" w:space="0" w:color="auto"/>
              <w:right w:val="single" w:sz="4" w:space="0" w:color="auto"/>
            </w:tcBorders>
            <w:shd w:val="clear" w:color="auto" w:fill="auto"/>
            <w:vAlign w:val="center"/>
            <w:hideMark/>
          </w:tcPr>
          <w:p w14:paraId="0F5ADF1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8.61 ± 4.15</w:t>
            </w:r>
          </w:p>
        </w:tc>
        <w:tc>
          <w:tcPr>
            <w:tcW w:w="1620" w:type="dxa"/>
            <w:tcBorders>
              <w:top w:val="nil"/>
              <w:left w:val="nil"/>
              <w:bottom w:val="single" w:sz="4" w:space="0" w:color="auto"/>
              <w:right w:val="single" w:sz="4" w:space="0" w:color="auto"/>
            </w:tcBorders>
            <w:shd w:val="clear" w:color="auto" w:fill="auto"/>
            <w:vAlign w:val="center"/>
            <w:hideMark/>
          </w:tcPr>
          <w:p w14:paraId="2C2D505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Reference</w:t>
            </w:r>
          </w:p>
        </w:tc>
      </w:tr>
      <w:tr w:rsidR="00144624" w:rsidRPr="006C683B" w14:paraId="4D73C9C3"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7F4DD97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 weeks</w:t>
            </w:r>
          </w:p>
        </w:tc>
        <w:tc>
          <w:tcPr>
            <w:tcW w:w="2420" w:type="dxa"/>
            <w:tcBorders>
              <w:top w:val="nil"/>
              <w:left w:val="nil"/>
              <w:bottom w:val="single" w:sz="4" w:space="0" w:color="auto"/>
              <w:right w:val="single" w:sz="4" w:space="0" w:color="auto"/>
            </w:tcBorders>
            <w:shd w:val="clear" w:color="auto" w:fill="auto"/>
            <w:vAlign w:val="center"/>
            <w:hideMark/>
          </w:tcPr>
          <w:p w14:paraId="689D8A9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7.52 ± 3.83</w:t>
            </w:r>
          </w:p>
        </w:tc>
        <w:tc>
          <w:tcPr>
            <w:tcW w:w="1620" w:type="dxa"/>
            <w:tcBorders>
              <w:top w:val="nil"/>
              <w:left w:val="nil"/>
              <w:bottom w:val="single" w:sz="4" w:space="0" w:color="auto"/>
              <w:right w:val="single" w:sz="4" w:space="0" w:color="auto"/>
            </w:tcBorders>
            <w:shd w:val="clear" w:color="auto" w:fill="auto"/>
            <w:vAlign w:val="center"/>
            <w:hideMark/>
          </w:tcPr>
          <w:p w14:paraId="7EDBB32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7ECF4E59"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6E10107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 weeks</w:t>
            </w:r>
          </w:p>
        </w:tc>
        <w:tc>
          <w:tcPr>
            <w:tcW w:w="2420" w:type="dxa"/>
            <w:tcBorders>
              <w:top w:val="nil"/>
              <w:left w:val="nil"/>
              <w:bottom w:val="single" w:sz="4" w:space="0" w:color="auto"/>
              <w:right w:val="single" w:sz="4" w:space="0" w:color="auto"/>
            </w:tcBorders>
            <w:shd w:val="clear" w:color="auto" w:fill="auto"/>
            <w:vAlign w:val="center"/>
            <w:hideMark/>
          </w:tcPr>
          <w:p w14:paraId="79554C4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6.17 ± 3.67</w:t>
            </w:r>
          </w:p>
        </w:tc>
        <w:tc>
          <w:tcPr>
            <w:tcW w:w="1620" w:type="dxa"/>
            <w:tcBorders>
              <w:top w:val="nil"/>
              <w:left w:val="nil"/>
              <w:bottom w:val="single" w:sz="4" w:space="0" w:color="auto"/>
              <w:right w:val="single" w:sz="4" w:space="0" w:color="auto"/>
            </w:tcBorders>
            <w:shd w:val="clear" w:color="auto" w:fill="auto"/>
            <w:vAlign w:val="center"/>
            <w:hideMark/>
          </w:tcPr>
          <w:p w14:paraId="585CE52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5BAD08E5"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71FD95F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2420" w:type="dxa"/>
            <w:tcBorders>
              <w:top w:val="nil"/>
              <w:left w:val="nil"/>
              <w:bottom w:val="single" w:sz="4" w:space="0" w:color="auto"/>
              <w:right w:val="single" w:sz="4" w:space="0" w:color="auto"/>
            </w:tcBorders>
            <w:shd w:val="clear" w:color="auto" w:fill="auto"/>
            <w:vAlign w:val="center"/>
            <w:hideMark/>
          </w:tcPr>
          <w:p w14:paraId="286F9C8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5.50 ± 4.63</w:t>
            </w:r>
          </w:p>
        </w:tc>
        <w:tc>
          <w:tcPr>
            <w:tcW w:w="1620" w:type="dxa"/>
            <w:tcBorders>
              <w:top w:val="nil"/>
              <w:left w:val="nil"/>
              <w:bottom w:val="single" w:sz="4" w:space="0" w:color="auto"/>
              <w:right w:val="single" w:sz="4" w:space="0" w:color="auto"/>
            </w:tcBorders>
            <w:shd w:val="clear" w:color="auto" w:fill="auto"/>
            <w:vAlign w:val="center"/>
            <w:hideMark/>
          </w:tcPr>
          <w:p w14:paraId="5CD4682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2E9F0D02"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183B19C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Change from baseline at 12 weeks</w:t>
            </w:r>
          </w:p>
        </w:tc>
        <w:tc>
          <w:tcPr>
            <w:tcW w:w="2420" w:type="dxa"/>
            <w:tcBorders>
              <w:top w:val="nil"/>
              <w:left w:val="nil"/>
              <w:bottom w:val="single" w:sz="4" w:space="0" w:color="auto"/>
              <w:right w:val="single" w:sz="4" w:space="0" w:color="auto"/>
            </w:tcBorders>
            <w:shd w:val="clear" w:color="auto" w:fill="auto"/>
            <w:vAlign w:val="center"/>
            <w:hideMark/>
          </w:tcPr>
          <w:p w14:paraId="2E589FF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-36.1 ± 28.7</w:t>
            </w:r>
          </w:p>
        </w:tc>
        <w:tc>
          <w:tcPr>
            <w:tcW w:w="1620" w:type="dxa"/>
            <w:tcBorders>
              <w:top w:val="nil"/>
              <w:left w:val="nil"/>
              <w:bottom w:val="single" w:sz="4" w:space="0" w:color="auto"/>
              <w:right w:val="single" w:sz="4" w:space="0" w:color="auto"/>
            </w:tcBorders>
            <w:shd w:val="clear" w:color="auto" w:fill="auto"/>
            <w:vAlign w:val="center"/>
            <w:hideMark/>
          </w:tcPr>
          <w:p w14:paraId="18FCA05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w:t>
            </w:r>
          </w:p>
        </w:tc>
      </w:tr>
      <w:tr w:rsidR="00144624" w:rsidRPr="006C683B" w14:paraId="1969F8FE"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6C2C771"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DWI-MRI Measurements</w:t>
            </w:r>
          </w:p>
        </w:tc>
      </w:tr>
      <w:tr w:rsidR="00144624" w:rsidRPr="006C683B" w14:paraId="412B0024"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81F1EE"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ADC (×10⁻³ mm²/s)</w:t>
            </w:r>
          </w:p>
        </w:tc>
      </w:tr>
      <w:tr w:rsidR="00144624" w:rsidRPr="006C683B" w14:paraId="42B2C210"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29B1464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2420" w:type="dxa"/>
            <w:tcBorders>
              <w:top w:val="nil"/>
              <w:left w:val="nil"/>
              <w:bottom w:val="single" w:sz="4" w:space="0" w:color="auto"/>
              <w:right w:val="single" w:sz="4" w:space="0" w:color="auto"/>
            </w:tcBorders>
            <w:shd w:val="clear" w:color="auto" w:fill="auto"/>
            <w:vAlign w:val="center"/>
            <w:hideMark/>
          </w:tcPr>
          <w:p w14:paraId="10E1425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0.855 ± 0.155</w:t>
            </w:r>
          </w:p>
        </w:tc>
        <w:tc>
          <w:tcPr>
            <w:tcW w:w="1620" w:type="dxa"/>
            <w:tcBorders>
              <w:top w:val="nil"/>
              <w:left w:val="nil"/>
              <w:bottom w:val="single" w:sz="4" w:space="0" w:color="auto"/>
              <w:right w:val="single" w:sz="4" w:space="0" w:color="auto"/>
            </w:tcBorders>
            <w:shd w:val="clear" w:color="auto" w:fill="auto"/>
            <w:vAlign w:val="center"/>
            <w:hideMark/>
          </w:tcPr>
          <w:p w14:paraId="2CBBFBA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Reference</w:t>
            </w:r>
          </w:p>
        </w:tc>
      </w:tr>
      <w:tr w:rsidR="00144624" w:rsidRPr="006C683B" w14:paraId="4C650E26"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5ECBABB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 weeks</w:t>
            </w:r>
          </w:p>
        </w:tc>
        <w:tc>
          <w:tcPr>
            <w:tcW w:w="2420" w:type="dxa"/>
            <w:tcBorders>
              <w:top w:val="nil"/>
              <w:left w:val="nil"/>
              <w:bottom w:val="single" w:sz="4" w:space="0" w:color="auto"/>
              <w:right w:val="single" w:sz="4" w:space="0" w:color="auto"/>
            </w:tcBorders>
            <w:shd w:val="clear" w:color="auto" w:fill="auto"/>
            <w:vAlign w:val="center"/>
            <w:hideMark/>
          </w:tcPr>
          <w:p w14:paraId="4687656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0.980 ± 0.193</w:t>
            </w:r>
          </w:p>
        </w:tc>
        <w:tc>
          <w:tcPr>
            <w:tcW w:w="1620" w:type="dxa"/>
            <w:tcBorders>
              <w:top w:val="nil"/>
              <w:left w:val="nil"/>
              <w:bottom w:val="single" w:sz="4" w:space="0" w:color="auto"/>
              <w:right w:val="single" w:sz="4" w:space="0" w:color="auto"/>
            </w:tcBorders>
            <w:shd w:val="clear" w:color="auto" w:fill="auto"/>
            <w:vAlign w:val="center"/>
            <w:hideMark/>
          </w:tcPr>
          <w:p w14:paraId="5349AC5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080D4D69"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5BDC966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 weeks</w:t>
            </w:r>
          </w:p>
        </w:tc>
        <w:tc>
          <w:tcPr>
            <w:tcW w:w="2420" w:type="dxa"/>
            <w:tcBorders>
              <w:top w:val="nil"/>
              <w:left w:val="nil"/>
              <w:bottom w:val="single" w:sz="4" w:space="0" w:color="auto"/>
              <w:right w:val="single" w:sz="4" w:space="0" w:color="auto"/>
            </w:tcBorders>
            <w:shd w:val="clear" w:color="auto" w:fill="auto"/>
            <w:vAlign w:val="center"/>
            <w:hideMark/>
          </w:tcPr>
          <w:p w14:paraId="3882DC0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1.112 ± 0.265</w:t>
            </w:r>
          </w:p>
        </w:tc>
        <w:tc>
          <w:tcPr>
            <w:tcW w:w="1620" w:type="dxa"/>
            <w:tcBorders>
              <w:top w:val="nil"/>
              <w:left w:val="nil"/>
              <w:bottom w:val="single" w:sz="4" w:space="0" w:color="auto"/>
              <w:right w:val="single" w:sz="4" w:space="0" w:color="auto"/>
            </w:tcBorders>
            <w:shd w:val="clear" w:color="auto" w:fill="auto"/>
            <w:vAlign w:val="center"/>
            <w:hideMark/>
          </w:tcPr>
          <w:p w14:paraId="0F3F3CD4"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3D3C13F1"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015F780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2420" w:type="dxa"/>
            <w:tcBorders>
              <w:top w:val="nil"/>
              <w:left w:val="nil"/>
              <w:bottom w:val="single" w:sz="4" w:space="0" w:color="auto"/>
              <w:right w:val="single" w:sz="4" w:space="0" w:color="auto"/>
            </w:tcBorders>
            <w:shd w:val="clear" w:color="auto" w:fill="auto"/>
            <w:vAlign w:val="center"/>
            <w:hideMark/>
          </w:tcPr>
          <w:p w14:paraId="468D92C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1.294 ± 0.394</w:t>
            </w:r>
          </w:p>
        </w:tc>
        <w:tc>
          <w:tcPr>
            <w:tcW w:w="1620" w:type="dxa"/>
            <w:tcBorders>
              <w:top w:val="nil"/>
              <w:left w:val="nil"/>
              <w:bottom w:val="single" w:sz="4" w:space="0" w:color="auto"/>
              <w:right w:val="single" w:sz="4" w:space="0" w:color="auto"/>
            </w:tcBorders>
            <w:shd w:val="clear" w:color="auto" w:fill="auto"/>
            <w:vAlign w:val="center"/>
            <w:hideMark/>
          </w:tcPr>
          <w:p w14:paraId="40454A3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144624" w:rsidRPr="006C683B" w14:paraId="0B4AB111"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44D5CBB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Change from baseline at 12 weeks</w:t>
            </w:r>
          </w:p>
        </w:tc>
        <w:tc>
          <w:tcPr>
            <w:tcW w:w="2420" w:type="dxa"/>
            <w:tcBorders>
              <w:top w:val="nil"/>
              <w:left w:val="nil"/>
              <w:bottom w:val="single" w:sz="4" w:space="0" w:color="auto"/>
              <w:right w:val="single" w:sz="4" w:space="0" w:color="auto"/>
            </w:tcBorders>
            <w:shd w:val="clear" w:color="auto" w:fill="auto"/>
            <w:vAlign w:val="center"/>
            <w:hideMark/>
          </w:tcPr>
          <w:p w14:paraId="58F5B43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51.4 ± 42.1</w:t>
            </w:r>
          </w:p>
        </w:tc>
        <w:tc>
          <w:tcPr>
            <w:tcW w:w="1620" w:type="dxa"/>
            <w:tcBorders>
              <w:top w:val="nil"/>
              <w:left w:val="nil"/>
              <w:bottom w:val="single" w:sz="4" w:space="0" w:color="auto"/>
              <w:right w:val="single" w:sz="4" w:space="0" w:color="auto"/>
            </w:tcBorders>
            <w:shd w:val="clear" w:color="auto" w:fill="auto"/>
            <w:vAlign w:val="center"/>
            <w:hideMark/>
          </w:tcPr>
          <w:p w14:paraId="650EFE9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w:t>
            </w:r>
          </w:p>
        </w:tc>
      </w:tr>
      <w:tr w:rsidR="00144624" w:rsidRPr="006C683B" w14:paraId="472D33E1" w14:textId="77777777" w:rsidTr="00144624">
        <w:trPr>
          <w:trHeight w:val="312"/>
        </w:trPr>
        <w:tc>
          <w:tcPr>
            <w:tcW w:w="82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779F75"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Correlation Analysis</w:t>
            </w:r>
          </w:p>
        </w:tc>
      </w:tr>
      <w:tr w:rsidR="00144624" w:rsidRPr="006C683B" w14:paraId="03196921"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2C2C198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proofErr w:type="spellStart"/>
            <w:r w:rsidRPr="006C683B">
              <w:rPr>
                <w:rFonts w:ascii="Times New Roman" w:eastAsia="Times New Roman" w:hAnsi="Times New Roman" w:cs="Times New Roman"/>
                <w:color w:val="000000"/>
                <w:sz w:val="24"/>
                <w:szCs w:val="24"/>
                <w:lang w:val="en-PK" w:eastAsia="en-PK"/>
              </w:rPr>
              <w:t>SUVmax</w:t>
            </w:r>
            <w:proofErr w:type="spellEnd"/>
            <w:r w:rsidRPr="006C683B">
              <w:rPr>
                <w:rFonts w:ascii="Times New Roman" w:eastAsia="Times New Roman" w:hAnsi="Times New Roman" w:cs="Times New Roman"/>
                <w:color w:val="000000"/>
                <w:sz w:val="24"/>
                <w:szCs w:val="24"/>
                <w:lang w:val="en-PK" w:eastAsia="en-PK"/>
              </w:rPr>
              <w:t xml:space="preserve"> vs ADC at baseline</w:t>
            </w:r>
          </w:p>
        </w:tc>
        <w:tc>
          <w:tcPr>
            <w:tcW w:w="2420" w:type="dxa"/>
            <w:tcBorders>
              <w:top w:val="nil"/>
              <w:left w:val="nil"/>
              <w:bottom w:val="single" w:sz="4" w:space="0" w:color="auto"/>
              <w:right w:val="single" w:sz="4" w:space="0" w:color="auto"/>
            </w:tcBorders>
            <w:shd w:val="clear" w:color="auto" w:fill="auto"/>
            <w:vAlign w:val="center"/>
            <w:hideMark/>
          </w:tcPr>
          <w:p w14:paraId="32DD15C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 = -0.654</w:t>
            </w:r>
          </w:p>
        </w:tc>
        <w:tc>
          <w:tcPr>
            <w:tcW w:w="1620" w:type="dxa"/>
            <w:tcBorders>
              <w:top w:val="nil"/>
              <w:left w:val="nil"/>
              <w:bottom w:val="single" w:sz="4" w:space="0" w:color="auto"/>
              <w:right w:val="single" w:sz="4" w:space="0" w:color="auto"/>
            </w:tcBorders>
            <w:shd w:val="clear" w:color="auto" w:fill="auto"/>
            <w:vAlign w:val="center"/>
            <w:hideMark/>
          </w:tcPr>
          <w:p w14:paraId="66987DA7"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 &lt; 0.001</w:t>
            </w:r>
          </w:p>
        </w:tc>
      </w:tr>
      <w:tr w:rsidR="00144624" w:rsidRPr="006C683B" w14:paraId="6661E45A" w14:textId="77777777" w:rsidTr="00144624">
        <w:trPr>
          <w:trHeight w:val="312"/>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00E2DB5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proofErr w:type="spellStart"/>
            <w:r w:rsidRPr="006C683B">
              <w:rPr>
                <w:rFonts w:ascii="Times New Roman" w:eastAsia="Times New Roman" w:hAnsi="Times New Roman" w:cs="Times New Roman"/>
                <w:color w:val="000000"/>
                <w:sz w:val="24"/>
                <w:szCs w:val="24"/>
                <w:lang w:val="en-PK" w:eastAsia="en-PK"/>
              </w:rPr>
              <w:t>SUVmax</w:t>
            </w:r>
            <w:proofErr w:type="spellEnd"/>
            <w:r w:rsidRPr="006C683B">
              <w:rPr>
                <w:rFonts w:ascii="Times New Roman" w:eastAsia="Times New Roman" w:hAnsi="Times New Roman" w:cs="Times New Roman"/>
                <w:color w:val="000000"/>
                <w:sz w:val="24"/>
                <w:szCs w:val="24"/>
                <w:lang w:val="en-PK" w:eastAsia="en-PK"/>
              </w:rPr>
              <w:t xml:space="preserve"> vs ADC at 12 weeks</w:t>
            </w:r>
          </w:p>
        </w:tc>
        <w:tc>
          <w:tcPr>
            <w:tcW w:w="2420" w:type="dxa"/>
            <w:tcBorders>
              <w:top w:val="nil"/>
              <w:left w:val="nil"/>
              <w:bottom w:val="single" w:sz="4" w:space="0" w:color="auto"/>
              <w:right w:val="single" w:sz="4" w:space="0" w:color="auto"/>
            </w:tcBorders>
            <w:shd w:val="clear" w:color="auto" w:fill="auto"/>
            <w:vAlign w:val="center"/>
            <w:hideMark/>
          </w:tcPr>
          <w:p w14:paraId="1A04CBC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 = -0.732</w:t>
            </w:r>
          </w:p>
        </w:tc>
        <w:tc>
          <w:tcPr>
            <w:tcW w:w="1620" w:type="dxa"/>
            <w:tcBorders>
              <w:top w:val="nil"/>
              <w:left w:val="nil"/>
              <w:bottom w:val="single" w:sz="4" w:space="0" w:color="auto"/>
              <w:right w:val="single" w:sz="4" w:space="0" w:color="auto"/>
            </w:tcBorders>
            <w:shd w:val="clear" w:color="auto" w:fill="auto"/>
            <w:vAlign w:val="center"/>
            <w:hideMark/>
          </w:tcPr>
          <w:p w14:paraId="450B87B4"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 &lt; 0.001</w:t>
            </w:r>
          </w:p>
        </w:tc>
      </w:tr>
    </w:tbl>
    <w:p w14:paraId="36CAB5E1" w14:textId="376DD28A" w:rsidR="00144624" w:rsidRPr="006C683B" w:rsidRDefault="00144624">
      <w:pPr>
        <w:rPr>
          <w:rFonts w:ascii="Times New Roman" w:hAnsi="Times New Roman" w:cs="Times New Roman"/>
          <w:sz w:val="24"/>
          <w:szCs w:val="24"/>
        </w:rPr>
      </w:pPr>
    </w:p>
    <w:p w14:paraId="0B32CAC8" w14:textId="369A1B8C" w:rsidR="00144624" w:rsidRPr="006C683B" w:rsidRDefault="00144624">
      <w:pPr>
        <w:rPr>
          <w:rFonts w:ascii="Times New Roman" w:hAnsi="Times New Roman" w:cs="Times New Roman"/>
          <w:sz w:val="24"/>
          <w:szCs w:val="24"/>
        </w:rPr>
      </w:pPr>
    </w:p>
    <w:p w14:paraId="511F88E0" w14:textId="41D2CA00" w:rsidR="00144624" w:rsidRPr="006C683B" w:rsidRDefault="00144624">
      <w:pPr>
        <w:rPr>
          <w:rFonts w:ascii="Times New Roman" w:hAnsi="Times New Roman" w:cs="Times New Roman"/>
          <w:sz w:val="24"/>
          <w:szCs w:val="24"/>
        </w:rPr>
      </w:pPr>
    </w:p>
    <w:tbl>
      <w:tblPr>
        <w:tblW w:w="8620" w:type="dxa"/>
        <w:tblInd w:w="113" w:type="dxa"/>
        <w:tblLook w:val="04A0" w:firstRow="1" w:lastRow="0" w:firstColumn="1" w:lastColumn="0" w:noHBand="0" w:noVBand="1"/>
      </w:tblPr>
      <w:tblGrid>
        <w:gridCol w:w="4940"/>
        <w:gridCol w:w="3680"/>
      </w:tblGrid>
      <w:tr w:rsidR="00144624" w:rsidRPr="006C683B" w14:paraId="78767245"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00EF269"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Table 3: Treatment Response Assessment by Different Modalities</w:t>
            </w:r>
          </w:p>
        </w:tc>
      </w:tr>
      <w:tr w:rsidR="00144624" w:rsidRPr="006C683B" w14:paraId="35A4265D"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730AAFE2"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Response Category</w:t>
            </w:r>
          </w:p>
        </w:tc>
        <w:tc>
          <w:tcPr>
            <w:tcW w:w="3680" w:type="dxa"/>
            <w:tcBorders>
              <w:top w:val="nil"/>
              <w:left w:val="nil"/>
              <w:bottom w:val="single" w:sz="4" w:space="0" w:color="auto"/>
              <w:right w:val="single" w:sz="4" w:space="0" w:color="auto"/>
            </w:tcBorders>
            <w:shd w:val="clear" w:color="auto" w:fill="auto"/>
            <w:vAlign w:val="center"/>
            <w:hideMark/>
          </w:tcPr>
          <w:p w14:paraId="7C0A63D0" w14:textId="4AF25E01"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Results (N=</w:t>
            </w:r>
            <w:r w:rsidR="00717102" w:rsidRPr="006C683B">
              <w:rPr>
                <w:rFonts w:ascii="Times New Roman" w:eastAsia="Times New Roman" w:hAnsi="Times New Roman" w:cs="Times New Roman"/>
                <w:b/>
                <w:bCs/>
                <w:color w:val="000000"/>
                <w:sz w:val="24"/>
                <w:szCs w:val="24"/>
                <w:lang w:eastAsia="en-PK"/>
              </w:rPr>
              <w:t>120</w:t>
            </w:r>
            <w:r w:rsidRPr="006C683B">
              <w:rPr>
                <w:rFonts w:ascii="Times New Roman" w:eastAsia="Times New Roman" w:hAnsi="Times New Roman" w:cs="Times New Roman"/>
                <w:b/>
                <w:bCs/>
                <w:color w:val="000000"/>
                <w:sz w:val="24"/>
                <w:szCs w:val="24"/>
                <w:lang w:val="en-PK" w:eastAsia="en-PK"/>
              </w:rPr>
              <w:t>)</w:t>
            </w:r>
          </w:p>
        </w:tc>
      </w:tr>
      <w:tr w:rsidR="00144624" w:rsidRPr="006C683B" w14:paraId="12D14764"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6084BD"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RECIST v1.1 (Morphological), n (%)</w:t>
            </w:r>
          </w:p>
        </w:tc>
      </w:tr>
      <w:tr w:rsidR="00144624" w:rsidRPr="006C683B" w14:paraId="6B6A4B1E"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01AC7D3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Complete Response (CR)</w:t>
            </w:r>
          </w:p>
        </w:tc>
        <w:tc>
          <w:tcPr>
            <w:tcW w:w="3680" w:type="dxa"/>
            <w:tcBorders>
              <w:top w:val="nil"/>
              <w:left w:val="nil"/>
              <w:bottom w:val="single" w:sz="4" w:space="0" w:color="auto"/>
              <w:right w:val="single" w:sz="4" w:space="0" w:color="auto"/>
            </w:tcBorders>
            <w:shd w:val="clear" w:color="auto" w:fill="auto"/>
            <w:vAlign w:val="center"/>
            <w:hideMark/>
          </w:tcPr>
          <w:p w14:paraId="514BFE5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 (1.7)</w:t>
            </w:r>
          </w:p>
        </w:tc>
      </w:tr>
      <w:tr w:rsidR="00144624" w:rsidRPr="006C683B" w14:paraId="25792707"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67D0AF1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Partial Response (PR)</w:t>
            </w:r>
          </w:p>
        </w:tc>
        <w:tc>
          <w:tcPr>
            <w:tcW w:w="3680" w:type="dxa"/>
            <w:tcBorders>
              <w:top w:val="nil"/>
              <w:left w:val="nil"/>
              <w:bottom w:val="single" w:sz="4" w:space="0" w:color="auto"/>
              <w:right w:val="single" w:sz="4" w:space="0" w:color="auto"/>
            </w:tcBorders>
            <w:shd w:val="clear" w:color="auto" w:fill="auto"/>
            <w:vAlign w:val="center"/>
            <w:hideMark/>
          </w:tcPr>
          <w:p w14:paraId="4BDAD70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48 (40.0)</w:t>
            </w:r>
          </w:p>
        </w:tc>
      </w:tr>
      <w:tr w:rsidR="00144624" w:rsidRPr="006C683B" w14:paraId="0B9F9D29"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33DB037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Stable Disease (SD)</w:t>
            </w:r>
          </w:p>
        </w:tc>
        <w:tc>
          <w:tcPr>
            <w:tcW w:w="3680" w:type="dxa"/>
            <w:tcBorders>
              <w:top w:val="nil"/>
              <w:left w:val="nil"/>
              <w:bottom w:val="single" w:sz="4" w:space="0" w:color="auto"/>
              <w:right w:val="single" w:sz="4" w:space="0" w:color="auto"/>
            </w:tcBorders>
            <w:shd w:val="clear" w:color="auto" w:fill="auto"/>
            <w:vAlign w:val="center"/>
            <w:hideMark/>
          </w:tcPr>
          <w:p w14:paraId="7420065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65 (54.2)</w:t>
            </w:r>
          </w:p>
        </w:tc>
      </w:tr>
      <w:tr w:rsidR="00144624" w:rsidRPr="006C683B" w14:paraId="4684D206"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055CDCE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Progressive Disease (PD)</w:t>
            </w:r>
          </w:p>
        </w:tc>
        <w:tc>
          <w:tcPr>
            <w:tcW w:w="3680" w:type="dxa"/>
            <w:tcBorders>
              <w:top w:val="nil"/>
              <w:left w:val="nil"/>
              <w:bottom w:val="single" w:sz="4" w:space="0" w:color="auto"/>
              <w:right w:val="single" w:sz="4" w:space="0" w:color="auto"/>
            </w:tcBorders>
            <w:shd w:val="clear" w:color="auto" w:fill="auto"/>
            <w:vAlign w:val="center"/>
            <w:hideMark/>
          </w:tcPr>
          <w:p w14:paraId="569252F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 (4.2)</w:t>
            </w:r>
          </w:p>
        </w:tc>
      </w:tr>
      <w:tr w:rsidR="00144624" w:rsidRPr="006C683B" w14:paraId="5F74AFA4"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707A0E4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Overall Response Rate (CR + PR)</w:t>
            </w:r>
          </w:p>
        </w:tc>
        <w:tc>
          <w:tcPr>
            <w:tcW w:w="3680" w:type="dxa"/>
            <w:tcBorders>
              <w:top w:val="nil"/>
              <w:left w:val="nil"/>
              <w:bottom w:val="single" w:sz="4" w:space="0" w:color="auto"/>
              <w:right w:val="single" w:sz="4" w:space="0" w:color="auto"/>
            </w:tcBorders>
            <w:shd w:val="clear" w:color="auto" w:fill="auto"/>
            <w:vAlign w:val="center"/>
            <w:hideMark/>
          </w:tcPr>
          <w:p w14:paraId="15830C1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50 (41.7)</w:t>
            </w:r>
          </w:p>
        </w:tc>
      </w:tr>
      <w:tr w:rsidR="00144624" w:rsidRPr="006C683B" w14:paraId="3134DDB4"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831121"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PERCIST v1.0 (Metabolic), n (%)</w:t>
            </w:r>
          </w:p>
        </w:tc>
      </w:tr>
      <w:tr w:rsidR="00144624" w:rsidRPr="006C683B" w14:paraId="0B6E4E58"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542A1D8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Complete Metabolic Response (CMR)</w:t>
            </w:r>
          </w:p>
        </w:tc>
        <w:tc>
          <w:tcPr>
            <w:tcW w:w="3680" w:type="dxa"/>
            <w:tcBorders>
              <w:top w:val="nil"/>
              <w:left w:val="nil"/>
              <w:bottom w:val="single" w:sz="4" w:space="0" w:color="auto"/>
              <w:right w:val="single" w:sz="4" w:space="0" w:color="auto"/>
            </w:tcBorders>
            <w:shd w:val="clear" w:color="auto" w:fill="auto"/>
            <w:vAlign w:val="center"/>
            <w:hideMark/>
          </w:tcPr>
          <w:p w14:paraId="6EBAB2E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 (0.0)</w:t>
            </w:r>
          </w:p>
        </w:tc>
      </w:tr>
      <w:tr w:rsidR="00144624" w:rsidRPr="006C683B" w14:paraId="0B84B0D2"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21C0345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Partial Metabolic Response (PMR)</w:t>
            </w:r>
          </w:p>
        </w:tc>
        <w:tc>
          <w:tcPr>
            <w:tcW w:w="3680" w:type="dxa"/>
            <w:tcBorders>
              <w:top w:val="nil"/>
              <w:left w:val="nil"/>
              <w:bottom w:val="single" w:sz="4" w:space="0" w:color="auto"/>
              <w:right w:val="single" w:sz="4" w:space="0" w:color="auto"/>
            </w:tcBorders>
            <w:shd w:val="clear" w:color="auto" w:fill="auto"/>
            <w:vAlign w:val="center"/>
            <w:hideMark/>
          </w:tcPr>
          <w:p w14:paraId="65A524E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81 (67.5)</w:t>
            </w:r>
          </w:p>
        </w:tc>
      </w:tr>
      <w:tr w:rsidR="00144624" w:rsidRPr="006C683B" w14:paraId="08D315FC"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7C801D0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Stable Metabolic Disease (SMD)</w:t>
            </w:r>
          </w:p>
        </w:tc>
        <w:tc>
          <w:tcPr>
            <w:tcW w:w="3680" w:type="dxa"/>
            <w:tcBorders>
              <w:top w:val="nil"/>
              <w:left w:val="nil"/>
              <w:bottom w:val="single" w:sz="4" w:space="0" w:color="auto"/>
              <w:right w:val="single" w:sz="4" w:space="0" w:color="auto"/>
            </w:tcBorders>
            <w:shd w:val="clear" w:color="auto" w:fill="auto"/>
            <w:vAlign w:val="center"/>
            <w:hideMark/>
          </w:tcPr>
          <w:p w14:paraId="59E6DDA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25 (20.8)</w:t>
            </w:r>
          </w:p>
        </w:tc>
      </w:tr>
      <w:tr w:rsidR="00144624" w:rsidRPr="006C683B" w14:paraId="29A85B12"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24FF19B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Progressive Metabolic Disease (PMD)</w:t>
            </w:r>
          </w:p>
        </w:tc>
        <w:tc>
          <w:tcPr>
            <w:tcW w:w="3680" w:type="dxa"/>
            <w:tcBorders>
              <w:top w:val="nil"/>
              <w:left w:val="nil"/>
              <w:bottom w:val="single" w:sz="4" w:space="0" w:color="auto"/>
              <w:right w:val="single" w:sz="4" w:space="0" w:color="auto"/>
            </w:tcBorders>
            <w:shd w:val="clear" w:color="auto" w:fill="auto"/>
            <w:vAlign w:val="center"/>
            <w:hideMark/>
          </w:tcPr>
          <w:p w14:paraId="698B8CE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14 (11.7)</w:t>
            </w:r>
          </w:p>
        </w:tc>
      </w:tr>
      <w:tr w:rsidR="00144624" w:rsidRPr="006C683B" w14:paraId="4E6D9D68"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3ABA986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Overall Metabolic Response Rate (CMR + PMR)</w:t>
            </w:r>
          </w:p>
        </w:tc>
        <w:tc>
          <w:tcPr>
            <w:tcW w:w="3680" w:type="dxa"/>
            <w:tcBorders>
              <w:top w:val="nil"/>
              <w:left w:val="nil"/>
              <w:bottom w:val="single" w:sz="4" w:space="0" w:color="auto"/>
              <w:right w:val="single" w:sz="4" w:space="0" w:color="auto"/>
            </w:tcBorders>
            <w:shd w:val="clear" w:color="auto" w:fill="auto"/>
            <w:vAlign w:val="center"/>
            <w:hideMark/>
          </w:tcPr>
          <w:p w14:paraId="2374AF1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81 (67.5)</w:t>
            </w:r>
          </w:p>
        </w:tc>
      </w:tr>
      <w:tr w:rsidR="00144624" w:rsidRPr="006C683B" w14:paraId="52AF8921"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3C8462"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DWI-MRI (Functional), n (%)</w:t>
            </w:r>
          </w:p>
        </w:tc>
      </w:tr>
      <w:tr w:rsidR="00144624" w:rsidRPr="006C683B" w14:paraId="403ED670"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332C958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Response</w:t>
            </w:r>
          </w:p>
        </w:tc>
        <w:tc>
          <w:tcPr>
            <w:tcW w:w="3680" w:type="dxa"/>
            <w:tcBorders>
              <w:top w:val="nil"/>
              <w:left w:val="nil"/>
              <w:bottom w:val="single" w:sz="4" w:space="0" w:color="auto"/>
              <w:right w:val="single" w:sz="4" w:space="0" w:color="auto"/>
            </w:tcBorders>
            <w:shd w:val="clear" w:color="auto" w:fill="auto"/>
            <w:vAlign w:val="center"/>
            <w:hideMark/>
          </w:tcPr>
          <w:p w14:paraId="5071FE8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81 (67.5)</w:t>
            </w:r>
          </w:p>
        </w:tc>
      </w:tr>
      <w:tr w:rsidR="00144624" w:rsidRPr="006C683B" w14:paraId="0D3C3061"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45B56C8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Stable</w:t>
            </w:r>
          </w:p>
        </w:tc>
        <w:tc>
          <w:tcPr>
            <w:tcW w:w="3680" w:type="dxa"/>
            <w:tcBorders>
              <w:top w:val="nil"/>
              <w:left w:val="nil"/>
              <w:bottom w:val="single" w:sz="4" w:space="0" w:color="auto"/>
              <w:right w:val="single" w:sz="4" w:space="0" w:color="auto"/>
            </w:tcBorders>
            <w:shd w:val="clear" w:color="auto" w:fill="auto"/>
            <w:vAlign w:val="center"/>
            <w:hideMark/>
          </w:tcPr>
          <w:p w14:paraId="5C10D80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39 (32.5)</w:t>
            </w:r>
          </w:p>
        </w:tc>
      </w:tr>
      <w:tr w:rsidR="00144624" w:rsidRPr="006C683B" w14:paraId="3BD54704"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5918B6A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Progression</w:t>
            </w:r>
          </w:p>
        </w:tc>
        <w:tc>
          <w:tcPr>
            <w:tcW w:w="3680" w:type="dxa"/>
            <w:tcBorders>
              <w:top w:val="nil"/>
              <w:left w:val="nil"/>
              <w:bottom w:val="single" w:sz="4" w:space="0" w:color="auto"/>
              <w:right w:val="single" w:sz="4" w:space="0" w:color="auto"/>
            </w:tcBorders>
            <w:shd w:val="clear" w:color="auto" w:fill="auto"/>
            <w:vAlign w:val="center"/>
            <w:hideMark/>
          </w:tcPr>
          <w:p w14:paraId="242508F4"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 (0.0)</w:t>
            </w:r>
          </w:p>
        </w:tc>
      </w:tr>
      <w:tr w:rsidR="00144624" w:rsidRPr="006C683B" w14:paraId="708D00FA"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00123E2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Functional Response Rate</w:t>
            </w:r>
          </w:p>
        </w:tc>
        <w:tc>
          <w:tcPr>
            <w:tcW w:w="3680" w:type="dxa"/>
            <w:tcBorders>
              <w:top w:val="nil"/>
              <w:left w:val="nil"/>
              <w:bottom w:val="single" w:sz="4" w:space="0" w:color="auto"/>
              <w:right w:val="single" w:sz="4" w:space="0" w:color="auto"/>
            </w:tcBorders>
            <w:shd w:val="clear" w:color="auto" w:fill="auto"/>
            <w:vAlign w:val="center"/>
            <w:hideMark/>
          </w:tcPr>
          <w:p w14:paraId="56E6D52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81 (67.5)</w:t>
            </w:r>
          </w:p>
        </w:tc>
      </w:tr>
      <w:tr w:rsidR="00144624" w:rsidRPr="006C683B" w14:paraId="71F2D0A6"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6B784B"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Agreement Analysis</w:t>
            </w:r>
          </w:p>
        </w:tc>
      </w:tr>
      <w:tr w:rsidR="00144624" w:rsidRPr="006C683B" w14:paraId="33AB7BA2"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0B3B76C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RECIST vs PERCIST (κ)*</w:t>
            </w:r>
          </w:p>
        </w:tc>
        <w:tc>
          <w:tcPr>
            <w:tcW w:w="3680" w:type="dxa"/>
            <w:tcBorders>
              <w:top w:val="nil"/>
              <w:left w:val="nil"/>
              <w:bottom w:val="single" w:sz="4" w:space="0" w:color="auto"/>
              <w:right w:val="single" w:sz="4" w:space="0" w:color="auto"/>
            </w:tcBorders>
            <w:shd w:val="clear" w:color="auto" w:fill="auto"/>
            <w:vAlign w:val="center"/>
            <w:hideMark/>
          </w:tcPr>
          <w:p w14:paraId="0349721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0.742 (95% CI: 0.651-0.833)</w:t>
            </w:r>
          </w:p>
        </w:tc>
      </w:tr>
      <w:tr w:rsidR="00144624" w:rsidRPr="006C683B" w14:paraId="2FFFD92A"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54B2B91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RECIST vs DWI-MRI (κ)*</w:t>
            </w:r>
          </w:p>
        </w:tc>
        <w:tc>
          <w:tcPr>
            <w:tcW w:w="3680" w:type="dxa"/>
            <w:tcBorders>
              <w:top w:val="nil"/>
              <w:left w:val="nil"/>
              <w:bottom w:val="single" w:sz="4" w:space="0" w:color="auto"/>
              <w:right w:val="single" w:sz="4" w:space="0" w:color="auto"/>
            </w:tcBorders>
            <w:shd w:val="clear" w:color="auto" w:fill="auto"/>
            <w:vAlign w:val="center"/>
            <w:hideMark/>
          </w:tcPr>
          <w:p w14:paraId="6772890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0.689 (95% CI: 0.592-0.786)</w:t>
            </w:r>
          </w:p>
        </w:tc>
      </w:tr>
      <w:tr w:rsidR="00144624" w:rsidRPr="006C683B" w14:paraId="3CF99068"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053AF14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PERCIST vs DWI-MRI (κ)*</w:t>
            </w:r>
          </w:p>
        </w:tc>
        <w:tc>
          <w:tcPr>
            <w:tcW w:w="3680" w:type="dxa"/>
            <w:tcBorders>
              <w:top w:val="nil"/>
              <w:left w:val="nil"/>
              <w:bottom w:val="single" w:sz="4" w:space="0" w:color="auto"/>
              <w:right w:val="single" w:sz="4" w:space="0" w:color="auto"/>
            </w:tcBorders>
            <w:shd w:val="clear" w:color="auto" w:fill="auto"/>
            <w:vAlign w:val="center"/>
            <w:hideMark/>
          </w:tcPr>
          <w:p w14:paraId="41463204"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0.798 (95% CI: 0.719-0.877)</w:t>
            </w:r>
          </w:p>
        </w:tc>
      </w:tr>
      <w:tr w:rsidR="00144624" w:rsidRPr="006C683B" w14:paraId="39974691"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25AE2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 = &lt; 0.001</w:t>
            </w:r>
          </w:p>
        </w:tc>
      </w:tr>
      <w:tr w:rsidR="00144624" w:rsidRPr="006C683B" w14:paraId="39363276" w14:textId="77777777" w:rsidTr="00144624">
        <w:trPr>
          <w:trHeight w:val="312"/>
        </w:trPr>
        <w:tc>
          <w:tcPr>
            <w:tcW w:w="8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7B0330"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Response Prediction Accuracy†</w:t>
            </w:r>
          </w:p>
        </w:tc>
      </w:tr>
      <w:tr w:rsidR="00144624" w:rsidRPr="006C683B" w14:paraId="0A3274D4"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6F3AB39A" w14:textId="14D31C54" w:rsidR="00144624" w:rsidRPr="006C683B" w:rsidRDefault="000649E9"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hAnsi="Times New Roman" w:cs="Times New Roman"/>
                <w:sz w:val="24"/>
                <w:szCs w:val="24"/>
              </w:rPr>
              <w:t>Overall response prediction performance</w:t>
            </w:r>
          </w:p>
        </w:tc>
        <w:tc>
          <w:tcPr>
            <w:tcW w:w="3680" w:type="dxa"/>
            <w:tcBorders>
              <w:top w:val="nil"/>
              <w:left w:val="nil"/>
              <w:bottom w:val="single" w:sz="4" w:space="0" w:color="auto"/>
              <w:right w:val="single" w:sz="4" w:space="0" w:color="auto"/>
            </w:tcBorders>
            <w:shd w:val="clear" w:color="auto" w:fill="auto"/>
            <w:vAlign w:val="center"/>
            <w:hideMark/>
          </w:tcPr>
          <w:p w14:paraId="3A0919E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w:t>
            </w:r>
          </w:p>
        </w:tc>
      </w:tr>
      <w:tr w:rsidR="00144624" w:rsidRPr="006C683B" w14:paraId="495A15DB"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4CB8A34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PET-CT sensitivity</w:t>
            </w:r>
          </w:p>
        </w:tc>
        <w:tc>
          <w:tcPr>
            <w:tcW w:w="3680" w:type="dxa"/>
            <w:tcBorders>
              <w:top w:val="nil"/>
              <w:left w:val="nil"/>
              <w:bottom w:val="single" w:sz="4" w:space="0" w:color="auto"/>
              <w:right w:val="single" w:sz="4" w:space="0" w:color="auto"/>
            </w:tcBorders>
            <w:shd w:val="clear" w:color="auto" w:fill="auto"/>
            <w:vAlign w:val="center"/>
            <w:hideMark/>
          </w:tcPr>
          <w:p w14:paraId="625DF3A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87.3% (95% CI: 78.9-93.2%)</w:t>
            </w:r>
          </w:p>
        </w:tc>
      </w:tr>
      <w:tr w:rsidR="00144624" w:rsidRPr="006C683B" w14:paraId="0F2F2624"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20053C8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PET-CT specificity</w:t>
            </w:r>
          </w:p>
        </w:tc>
        <w:tc>
          <w:tcPr>
            <w:tcW w:w="3680" w:type="dxa"/>
            <w:tcBorders>
              <w:top w:val="nil"/>
              <w:left w:val="nil"/>
              <w:bottom w:val="single" w:sz="4" w:space="0" w:color="auto"/>
              <w:right w:val="single" w:sz="4" w:space="0" w:color="auto"/>
            </w:tcBorders>
            <w:shd w:val="clear" w:color="auto" w:fill="auto"/>
            <w:vAlign w:val="center"/>
            <w:hideMark/>
          </w:tcPr>
          <w:p w14:paraId="03EF522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73.8% (95% CI: 61.5-83.8%)</w:t>
            </w:r>
          </w:p>
        </w:tc>
      </w:tr>
      <w:tr w:rsidR="00144624" w:rsidRPr="006C683B" w14:paraId="45032F45"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1ED6FE9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DWI-MRI sensitivity</w:t>
            </w:r>
          </w:p>
        </w:tc>
        <w:tc>
          <w:tcPr>
            <w:tcW w:w="3680" w:type="dxa"/>
            <w:tcBorders>
              <w:top w:val="nil"/>
              <w:left w:val="nil"/>
              <w:bottom w:val="single" w:sz="4" w:space="0" w:color="auto"/>
              <w:right w:val="single" w:sz="4" w:space="0" w:color="auto"/>
            </w:tcBorders>
            <w:shd w:val="clear" w:color="auto" w:fill="auto"/>
            <w:vAlign w:val="center"/>
            <w:hideMark/>
          </w:tcPr>
          <w:p w14:paraId="38F25DB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91.5% (95% CI: 84.2-96.1%)</w:t>
            </w:r>
          </w:p>
        </w:tc>
      </w:tr>
      <w:tr w:rsidR="00144624" w:rsidRPr="006C683B" w14:paraId="465D936F" w14:textId="77777777" w:rsidTr="00144624">
        <w:trPr>
          <w:trHeight w:val="312"/>
        </w:trPr>
        <w:tc>
          <w:tcPr>
            <w:tcW w:w="4940" w:type="dxa"/>
            <w:tcBorders>
              <w:top w:val="nil"/>
              <w:left w:val="single" w:sz="4" w:space="0" w:color="auto"/>
              <w:bottom w:val="single" w:sz="4" w:space="0" w:color="auto"/>
              <w:right w:val="single" w:sz="4" w:space="0" w:color="auto"/>
            </w:tcBorders>
            <w:shd w:val="clear" w:color="auto" w:fill="auto"/>
            <w:vAlign w:val="center"/>
            <w:hideMark/>
          </w:tcPr>
          <w:p w14:paraId="26393D7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DWI-MRI specificity</w:t>
            </w:r>
          </w:p>
        </w:tc>
        <w:tc>
          <w:tcPr>
            <w:tcW w:w="3680" w:type="dxa"/>
            <w:tcBorders>
              <w:top w:val="nil"/>
              <w:left w:val="nil"/>
              <w:bottom w:val="single" w:sz="4" w:space="0" w:color="auto"/>
              <w:right w:val="single" w:sz="4" w:space="0" w:color="auto"/>
            </w:tcBorders>
            <w:shd w:val="clear" w:color="auto" w:fill="auto"/>
            <w:vAlign w:val="center"/>
            <w:hideMark/>
          </w:tcPr>
          <w:p w14:paraId="7CF7B81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79.4% (95% CI: 67.9-88.2%)</w:t>
            </w:r>
          </w:p>
        </w:tc>
      </w:tr>
    </w:tbl>
    <w:p w14:paraId="4E9C268F" w14:textId="0EEDDDC6" w:rsidR="00144624" w:rsidRPr="006C683B" w:rsidRDefault="00144624">
      <w:pPr>
        <w:rPr>
          <w:rFonts w:ascii="Times New Roman" w:hAnsi="Times New Roman" w:cs="Times New Roman"/>
          <w:sz w:val="24"/>
          <w:szCs w:val="24"/>
        </w:rPr>
      </w:pPr>
    </w:p>
    <w:p w14:paraId="56619D3D" w14:textId="79DA22B8" w:rsidR="00144624" w:rsidRPr="006C683B" w:rsidRDefault="00144624">
      <w:pPr>
        <w:rPr>
          <w:rFonts w:ascii="Times New Roman" w:hAnsi="Times New Roman" w:cs="Times New Roman"/>
          <w:sz w:val="24"/>
          <w:szCs w:val="24"/>
        </w:rPr>
      </w:pPr>
    </w:p>
    <w:p w14:paraId="4072ECD2" w14:textId="13F4176C" w:rsidR="00144624" w:rsidRPr="006C683B" w:rsidRDefault="00144624">
      <w:pPr>
        <w:rPr>
          <w:rFonts w:ascii="Times New Roman" w:hAnsi="Times New Roman" w:cs="Times New Roman"/>
          <w:sz w:val="24"/>
          <w:szCs w:val="24"/>
        </w:rPr>
      </w:pPr>
    </w:p>
    <w:tbl>
      <w:tblPr>
        <w:tblW w:w="7620" w:type="dxa"/>
        <w:tblInd w:w="113" w:type="dxa"/>
        <w:tblLook w:val="04A0" w:firstRow="1" w:lastRow="0" w:firstColumn="1" w:lastColumn="0" w:noHBand="0" w:noVBand="1"/>
      </w:tblPr>
      <w:tblGrid>
        <w:gridCol w:w="4120"/>
        <w:gridCol w:w="3500"/>
      </w:tblGrid>
      <w:tr w:rsidR="00144624" w:rsidRPr="006C683B" w14:paraId="480A8BB3"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525EC5" w14:textId="7EFCA323"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 xml:space="preserve">Table 4: </w:t>
            </w:r>
            <w:r w:rsidR="000649E9" w:rsidRPr="006C683B">
              <w:rPr>
                <w:rFonts w:ascii="Times New Roman" w:hAnsi="Times New Roman" w:cs="Times New Roman"/>
                <w:sz w:val="24"/>
                <w:szCs w:val="24"/>
              </w:rPr>
              <w:t>Diagnostic Performance at Optimal Cut-off Thresholds</w:t>
            </w:r>
          </w:p>
        </w:tc>
      </w:tr>
      <w:tr w:rsidR="00144624" w:rsidRPr="006C683B" w14:paraId="605D67AA"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79E2D97"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Diagnostic Parameter</w:t>
            </w:r>
          </w:p>
        </w:tc>
        <w:tc>
          <w:tcPr>
            <w:tcW w:w="3500" w:type="dxa"/>
            <w:tcBorders>
              <w:top w:val="nil"/>
              <w:left w:val="nil"/>
              <w:bottom w:val="single" w:sz="4" w:space="0" w:color="auto"/>
              <w:right w:val="single" w:sz="4" w:space="0" w:color="auto"/>
            </w:tcBorders>
            <w:shd w:val="clear" w:color="auto" w:fill="auto"/>
            <w:vAlign w:val="center"/>
            <w:hideMark/>
          </w:tcPr>
          <w:p w14:paraId="6A47D258"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Value</w:t>
            </w:r>
          </w:p>
        </w:tc>
      </w:tr>
      <w:tr w:rsidR="00144624" w:rsidRPr="006C683B" w14:paraId="1F4FCA6E"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A5EBB99"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Area Under ROC Curve (AUC)</w:t>
            </w:r>
          </w:p>
        </w:tc>
      </w:tr>
      <w:tr w:rsidR="00144624" w:rsidRPr="006C683B" w14:paraId="7168A5A0"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3159C8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lastRenderedPageBreak/>
              <w:t>PET-CT (</w:t>
            </w:r>
            <w:proofErr w:type="spellStart"/>
            <w:r w:rsidRPr="006C683B">
              <w:rPr>
                <w:rFonts w:ascii="Times New Roman" w:eastAsia="Times New Roman" w:hAnsi="Times New Roman" w:cs="Times New Roman"/>
                <w:color w:val="000000"/>
                <w:sz w:val="24"/>
                <w:szCs w:val="24"/>
                <w:lang w:val="en-PK" w:eastAsia="en-PK"/>
              </w:rPr>
              <w:t>SUVmax</w:t>
            </w:r>
            <w:proofErr w:type="spellEnd"/>
            <w:r w:rsidRPr="006C683B">
              <w:rPr>
                <w:rFonts w:ascii="Times New Roman" w:eastAsia="Times New Roman" w:hAnsi="Times New Roman" w:cs="Times New Roman"/>
                <w:color w:val="000000"/>
                <w:sz w:val="24"/>
                <w:szCs w:val="24"/>
                <w:lang w:val="en-PK" w:eastAsia="en-PK"/>
              </w:rPr>
              <w:t xml:space="preserve"> change)</w:t>
            </w:r>
          </w:p>
        </w:tc>
        <w:tc>
          <w:tcPr>
            <w:tcW w:w="3500" w:type="dxa"/>
            <w:tcBorders>
              <w:top w:val="nil"/>
              <w:left w:val="nil"/>
              <w:bottom w:val="single" w:sz="4" w:space="0" w:color="auto"/>
              <w:right w:val="single" w:sz="4" w:space="0" w:color="auto"/>
            </w:tcBorders>
            <w:shd w:val="clear" w:color="auto" w:fill="auto"/>
            <w:vAlign w:val="center"/>
            <w:hideMark/>
          </w:tcPr>
          <w:p w14:paraId="7F22B437"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0.851 (95% CI: 0.781-0.921)</w:t>
            </w:r>
          </w:p>
        </w:tc>
      </w:tr>
      <w:tr w:rsidR="00144624" w:rsidRPr="006C683B" w14:paraId="32A9D19C"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6A6F0D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DWI-MRI (ADC change)</w:t>
            </w:r>
          </w:p>
        </w:tc>
        <w:tc>
          <w:tcPr>
            <w:tcW w:w="3500" w:type="dxa"/>
            <w:tcBorders>
              <w:top w:val="nil"/>
              <w:left w:val="nil"/>
              <w:bottom w:val="single" w:sz="4" w:space="0" w:color="auto"/>
              <w:right w:val="single" w:sz="4" w:space="0" w:color="auto"/>
            </w:tcBorders>
            <w:shd w:val="clear" w:color="auto" w:fill="auto"/>
            <w:vAlign w:val="center"/>
            <w:hideMark/>
          </w:tcPr>
          <w:p w14:paraId="5D737DB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0.887 (95% CI: 0.825-0.949)</w:t>
            </w:r>
          </w:p>
        </w:tc>
      </w:tr>
      <w:tr w:rsidR="00144624" w:rsidRPr="006C683B" w14:paraId="65FDB037"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DB0D2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xml:space="preserve">Difference (95% </w:t>
            </w:r>
            <w:proofErr w:type="gramStart"/>
            <w:r w:rsidRPr="006C683B">
              <w:rPr>
                <w:rFonts w:ascii="Times New Roman" w:eastAsia="Times New Roman" w:hAnsi="Times New Roman" w:cs="Times New Roman"/>
                <w:color w:val="000000"/>
                <w:sz w:val="24"/>
                <w:szCs w:val="24"/>
                <w:lang w:val="en-PK" w:eastAsia="en-PK"/>
              </w:rPr>
              <w:t>CI)*</w:t>
            </w:r>
            <w:proofErr w:type="gramEnd"/>
          </w:p>
        </w:tc>
        <w:tc>
          <w:tcPr>
            <w:tcW w:w="3500" w:type="dxa"/>
            <w:tcBorders>
              <w:top w:val="nil"/>
              <w:left w:val="nil"/>
              <w:bottom w:val="single" w:sz="4" w:space="0" w:color="auto"/>
              <w:right w:val="single" w:sz="4" w:space="0" w:color="auto"/>
            </w:tcBorders>
            <w:shd w:val="clear" w:color="auto" w:fill="auto"/>
            <w:vAlign w:val="center"/>
            <w:hideMark/>
          </w:tcPr>
          <w:p w14:paraId="6993CBC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0.036 (-0.015 to 0.087)</w:t>
            </w:r>
          </w:p>
        </w:tc>
      </w:tr>
      <w:tr w:rsidR="00144624" w:rsidRPr="006C683B" w14:paraId="15B1BE38"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05E11C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 for difference</w:t>
            </w:r>
          </w:p>
        </w:tc>
        <w:tc>
          <w:tcPr>
            <w:tcW w:w="3500" w:type="dxa"/>
            <w:tcBorders>
              <w:top w:val="nil"/>
              <w:left w:val="nil"/>
              <w:bottom w:val="single" w:sz="4" w:space="0" w:color="auto"/>
              <w:right w:val="single" w:sz="4" w:space="0" w:color="auto"/>
            </w:tcBorders>
            <w:shd w:val="clear" w:color="auto" w:fill="auto"/>
            <w:vAlign w:val="center"/>
            <w:hideMark/>
          </w:tcPr>
          <w:p w14:paraId="43DD23C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0.156</w:t>
            </w:r>
          </w:p>
        </w:tc>
      </w:tr>
      <w:tr w:rsidR="00144624" w:rsidRPr="006C683B" w14:paraId="12042CFA"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EDB1DA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Optimal Cut-off Values</w:t>
            </w:r>
          </w:p>
        </w:tc>
        <w:tc>
          <w:tcPr>
            <w:tcW w:w="3500" w:type="dxa"/>
            <w:tcBorders>
              <w:top w:val="nil"/>
              <w:left w:val="nil"/>
              <w:bottom w:val="single" w:sz="4" w:space="0" w:color="auto"/>
              <w:right w:val="single" w:sz="4" w:space="0" w:color="auto"/>
            </w:tcBorders>
            <w:shd w:val="clear" w:color="auto" w:fill="auto"/>
            <w:vAlign w:val="center"/>
            <w:hideMark/>
          </w:tcPr>
          <w:p w14:paraId="170E133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w:t>
            </w:r>
          </w:p>
        </w:tc>
      </w:tr>
      <w:tr w:rsidR="00144624" w:rsidRPr="006C683B" w14:paraId="1E0C429C"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53E404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xml:space="preserve">PET-CT </w:t>
            </w:r>
            <w:proofErr w:type="spellStart"/>
            <w:r w:rsidRPr="006C683B">
              <w:rPr>
                <w:rFonts w:ascii="Times New Roman" w:eastAsia="Times New Roman" w:hAnsi="Times New Roman" w:cs="Times New Roman"/>
                <w:color w:val="000000"/>
                <w:sz w:val="24"/>
                <w:szCs w:val="24"/>
                <w:lang w:val="en-PK" w:eastAsia="en-PK"/>
              </w:rPr>
              <w:t>SUVmax</w:t>
            </w:r>
            <w:proofErr w:type="spellEnd"/>
            <w:r w:rsidRPr="006C683B">
              <w:rPr>
                <w:rFonts w:ascii="Times New Roman" w:eastAsia="Times New Roman" w:hAnsi="Times New Roman" w:cs="Times New Roman"/>
                <w:color w:val="000000"/>
                <w:sz w:val="24"/>
                <w:szCs w:val="24"/>
                <w:lang w:val="en-PK" w:eastAsia="en-PK"/>
              </w:rPr>
              <w:t xml:space="preserve"> </w:t>
            </w:r>
            <w:proofErr w:type="gramStart"/>
            <w:r w:rsidRPr="006C683B">
              <w:rPr>
                <w:rFonts w:ascii="Times New Roman" w:eastAsia="Times New Roman" w:hAnsi="Times New Roman" w:cs="Times New Roman"/>
                <w:color w:val="000000"/>
                <w:sz w:val="24"/>
                <w:szCs w:val="24"/>
                <w:lang w:val="en-PK" w:eastAsia="en-PK"/>
              </w:rPr>
              <w:t>decrease</w:t>
            </w:r>
            <w:proofErr w:type="gramEnd"/>
            <w:r w:rsidRPr="006C683B">
              <w:rPr>
                <w:rFonts w:ascii="Times New Roman" w:eastAsia="Times New Roman" w:hAnsi="Times New Roman" w:cs="Times New Roman"/>
                <w:color w:val="000000"/>
                <w:sz w:val="24"/>
                <w:szCs w:val="24"/>
                <w:lang w:val="en-PK" w:eastAsia="en-PK"/>
              </w:rPr>
              <w:t xml:space="preserve"> (%)</w:t>
            </w:r>
          </w:p>
        </w:tc>
        <w:tc>
          <w:tcPr>
            <w:tcW w:w="3500" w:type="dxa"/>
            <w:tcBorders>
              <w:top w:val="nil"/>
              <w:left w:val="nil"/>
              <w:bottom w:val="single" w:sz="4" w:space="0" w:color="auto"/>
              <w:right w:val="single" w:sz="4" w:space="0" w:color="auto"/>
            </w:tcBorders>
            <w:shd w:val="clear" w:color="auto" w:fill="auto"/>
            <w:vAlign w:val="center"/>
            <w:hideMark/>
          </w:tcPr>
          <w:p w14:paraId="0035766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≥30.0</w:t>
            </w:r>
          </w:p>
        </w:tc>
      </w:tr>
      <w:tr w:rsidR="00144624" w:rsidRPr="006C683B" w14:paraId="1471D112"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764117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DWI-MRI ADC increase (%)</w:t>
            </w:r>
          </w:p>
        </w:tc>
        <w:tc>
          <w:tcPr>
            <w:tcW w:w="3500" w:type="dxa"/>
            <w:tcBorders>
              <w:top w:val="nil"/>
              <w:left w:val="nil"/>
              <w:bottom w:val="single" w:sz="4" w:space="0" w:color="auto"/>
              <w:right w:val="single" w:sz="4" w:space="0" w:color="auto"/>
            </w:tcBorders>
            <w:shd w:val="clear" w:color="auto" w:fill="auto"/>
            <w:vAlign w:val="center"/>
            <w:hideMark/>
          </w:tcPr>
          <w:p w14:paraId="34FE222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≥40.0</w:t>
            </w:r>
          </w:p>
        </w:tc>
      </w:tr>
      <w:tr w:rsidR="00144624" w:rsidRPr="006C683B" w14:paraId="3F5650E3"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D6E6645"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Diagnostic Performance at Optimal Cut-off</w:t>
            </w:r>
          </w:p>
        </w:tc>
      </w:tr>
      <w:tr w:rsidR="00144624" w:rsidRPr="006C683B" w14:paraId="161B5EAA"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D69FCFD"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PET-CT Performance</w:t>
            </w:r>
          </w:p>
        </w:tc>
      </w:tr>
      <w:tr w:rsidR="00144624" w:rsidRPr="006C683B" w14:paraId="4322F67B"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30B50D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Sensitivity</w:t>
            </w:r>
          </w:p>
        </w:tc>
        <w:tc>
          <w:tcPr>
            <w:tcW w:w="3500" w:type="dxa"/>
            <w:tcBorders>
              <w:top w:val="nil"/>
              <w:left w:val="nil"/>
              <w:bottom w:val="single" w:sz="4" w:space="0" w:color="auto"/>
              <w:right w:val="single" w:sz="4" w:space="0" w:color="auto"/>
            </w:tcBorders>
            <w:shd w:val="clear" w:color="auto" w:fill="auto"/>
            <w:vAlign w:val="center"/>
            <w:hideMark/>
          </w:tcPr>
          <w:p w14:paraId="5428FA9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84.4% (95% CI: 71.2-89.8%)</w:t>
            </w:r>
          </w:p>
        </w:tc>
      </w:tr>
      <w:tr w:rsidR="00144624" w:rsidRPr="006C683B" w14:paraId="31F7B68C"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F56B54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Specificity</w:t>
            </w:r>
          </w:p>
        </w:tc>
        <w:tc>
          <w:tcPr>
            <w:tcW w:w="3500" w:type="dxa"/>
            <w:tcBorders>
              <w:top w:val="nil"/>
              <w:left w:val="nil"/>
              <w:bottom w:val="single" w:sz="4" w:space="0" w:color="auto"/>
              <w:right w:val="single" w:sz="4" w:space="0" w:color="auto"/>
            </w:tcBorders>
            <w:shd w:val="clear" w:color="auto" w:fill="auto"/>
            <w:vAlign w:val="center"/>
            <w:hideMark/>
          </w:tcPr>
          <w:p w14:paraId="2C757AE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72.1% (95% CI: 61.5-83.8%)</w:t>
            </w:r>
          </w:p>
        </w:tc>
      </w:tr>
      <w:tr w:rsidR="00144624" w:rsidRPr="006C683B" w14:paraId="3EA403A1"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722E42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Positive Predictive Value</w:t>
            </w:r>
          </w:p>
        </w:tc>
        <w:tc>
          <w:tcPr>
            <w:tcW w:w="3500" w:type="dxa"/>
            <w:tcBorders>
              <w:top w:val="nil"/>
              <w:left w:val="nil"/>
              <w:bottom w:val="single" w:sz="4" w:space="0" w:color="auto"/>
              <w:right w:val="single" w:sz="4" w:space="0" w:color="auto"/>
            </w:tcBorders>
            <w:shd w:val="clear" w:color="auto" w:fill="auto"/>
            <w:vAlign w:val="center"/>
            <w:hideMark/>
          </w:tcPr>
          <w:p w14:paraId="6097E7C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84.4% (95% CI: 69.7-87.3%)</w:t>
            </w:r>
          </w:p>
        </w:tc>
      </w:tr>
      <w:tr w:rsidR="00144624" w:rsidRPr="006C683B" w14:paraId="2E1D64DF"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52C09C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Negative Predictive Value</w:t>
            </w:r>
          </w:p>
        </w:tc>
        <w:tc>
          <w:tcPr>
            <w:tcW w:w="3500" w:type="dxa"/>
            <w:tcBorders>
              <w:top w:val="nil"/>
              <w:left w:val="nil"/>
              <w:bottom w:val="single" w:sz="4" w:space="0" w:color="auto"/>
              <w:right w:val="single" w:sz="4" w:space="0" w:color="auto"/>
            </w:tcBorders>
            <w:shd w:val="clear" w:color="auto" w:fill="auto"/>
            <w:vAlign w:val="center"/>
            <w:hideMark/>
          </w:tcPr>
          <w:p w14:paraId="757F423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72.1% (95% CI: 62.8-84.9%)</w:t>
            </w:r>
          </w:p>
        </w:tc>
      </w:tr>
      <w:tr w:rsidR="00144624" w:rsidRPr="006C683B" w14:paraId="7EA14A37"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8B38DC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Accuracy</w:t>
            </w:r>
          </w:p>
        </w:tc>
        <w:tc>
          <w:tcPr>
            <w:tcW w:w="3500" w:type="dxa"/>
            <w:tcBorders>
              <w:top w:val="nil"/>
              <w:left w:val="nil"/>
              <w:bottom w:val="single" w:sz="4" w:space="0" w:color="auto"/>
              <w:right w:val="single" w:sz="4" w:space="0" w:color="auto"/>
            </w:tcBorders>
            <w:shd w:val="clear" w:color="auto" w:fill="auto"/>
            <w:vAlign w:val="center"/>
            <w:hideMark/>
          </w:tcPr>
          <w:p w14:paraId="5B52480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80.0% (95% CI: 72.6-88.1%)</w:t>
            </w:r>
          </w:p>
        </w:tc>
      </w:tr>
      <w:tr w:rsidR="00144624" w:rsidRPr="006C683B" w14:paraId="50B74C10"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CA929DA"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DWI-MRI Performance</w:t>
            </w:r>
          </w:p>
        </w:tc>
      </w:tr>
      <w:tr w:rsidR="00144624" w:rsidRPr="006C683B" w14:paraId="5EC704AB"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2EDE0A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Sensitivity</w:t>
            </w:r>
          </w:p>
        </w:tc>
        <w:tc>
          <w:tcPr>
            <w:tcW w:w="3500" w:type="dxa"/>
            <w:tcBorders>
              <w:top w:val="nil"/>
              <w:left w:val="nil"/>
              <w:bottom w:val="single" w:sz="4" w:space="0" w:color="auto"/>
              <w:right w:val="single" w:sz="4" w:space="0" w:color="auto"/>
            </w:tcBorders>
            <w:shd w:val="clear" w:color="auto" w:fill="auto"/>
            <w:vAlign w:val="center"/>
            <w:hideMark/>
          </w:tcPr>
          <w:p w14:paraId="1AD0FEA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90.9% (95% CI: 78.9-95.2%)</w:t>
            </w:r>
          </w:p>
        </w:tc>
      </w:tr>
      <w:tr w:rsidR="00144624" w:rsidRPr="006C683B" w14:paraId="06247558"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40AFB7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Specificity</w:t>
            </w:r>
          </w:p>
        </w:tc>
        <w:tc>
          <w:tcPr>
            <w:tcW w:w="3500" w:type="dxa"/>
            <w:tcBorders>
              <w:top w:val="nil"/>
              <w:left w:val="nil"/>
              <w:bottom w:val="single" w:sz="4" w:space="0" w:color="auto"/>
              <w:right w:val="single" w:sz="4" w:space="0" w:color="auto"/>
            </w:tcBorders>
            <w:shd w:val="clear" w:color="auto" w:fill="auto"/>
            <w:vAlign w:val="center"/>
            <w:hideMark/>
          </w:tcPr>
          <w:p w14:paraId="045D30C4"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76.7% (95% CI: 67.9-88.2%)</w:t>
            </w:r>
          </w:p>
        </w:tc>
      </w:tr>
      <w:tr w:rsidR="00144624" w:rsidRPr="006C683B" w14:paraId="0D55F4E9"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FB675E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Positive Predictive Value</w:t>
            </w:r>
          </w:p>
        </w:tc>
        <w:tc>
          <w:tcPr>
            <w:tcW w:w="3500" w:type="dxa"/>
            <w:tcBorders>
              <w:top w:val="nil"/>
              <w:left w:val="nil"/>
              <w:bottom w:val="single" w:sz="4" w:space="0" w:color="auto"/>
              <w:right w:val="single" w:sz="4" w:space="0" w:color="auto"/>
            </w:tcBorders>
            <w:shd w:val="clear" w:color="auto" w:fill="auto"/>
            <w:vAlign w:val="center"/>
            <w:hideMark/>
          </w:tcPr>
          <w:p w14:paraId="55D5FCF4"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87.5% (95% CI: 76.1-91.4%)</w:t>
            </w:r>
          </w:p>
        </w:tc>
      </w:tr>
      <w:tr w:rsidR="00144624" w:rsidRPr="006C683B" w14:paraId="67898FBE"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5A1411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Negative Predictive Value</w:t>
            </w:r>
          </w:p>
        </w:tc>
        <w:tc>
          <w:tcPr>
            <w:tcW w:w="3500" w:type="dxa"/>
            <w:tcBorders>
              <w:top w:val="nil"/>
              <w:left w:val="nil"/>
              <w:bottom w:val="single" w:sz="4" w:space="0" w:color="auto"/>
              <w:right w:val="single" w:sz="4" w:space="0" w:color="auto"/>
            </w:tcBorders>
            <w:shd w:val="clear" w:color="auto" w:fill="auto"/>
            <w:vAlign w:val="center"/>
            <w:hideMark/>
          </w:tcPr>
          <w:p w14:paraId="064A32B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82.5% (95% CI: 71.5-89.7%)</w:t>
            </w:r>
          </w:p>
        </w:tc>
      </w:tr>
      <w:tr w:rsidR="00144624" w:rsidRPr="006C683B" w14:paraId="4AAF4703"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35C5B5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Accuracy</w:t>
            </w:r>
          </w:p>
        </w:tc>
        <w:tc>
          <w:tcPr>
            <w:tcW w:w="3500" w:type="dxa"/>
            <w:tcBorders>
              <w:top w:val="nil"/>
              <w:left w:val="nil"/>
              <w:bottom w:val="single" w:sz="4" w:space="0" w:color="auto"/>
              <w:right w:val="single" w:sz="4" w:space="0" w:color="auto"/>
            </w:tcBorders>
            <w:shd w:val="clear" w:color="auto" w:fill="auto"/>
            <w:vAlign w:val="center"/>
            <w:hideMark/>
          </w:tcPr>
          <w:p w14:paraId="2929FBD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85.8% (95% CI: 78.3-91.5%)</w:t>
            </w:r>
          </w:p>
        </w:tc>
      </w:tr>
      <w:tr w:rsidR="00144624" w:rsidRPr="006C683B" w14:paraId="6F36B606"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1442B1C"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Likelihood Ratios</w:t>
            </w:r>
          </w:p>
        </w:tc>
      </w:tr>
      <w:tr w:rsidR="00144624" w:rsidRPr="006C683B" w14:paraId="3426D856"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0F1F0C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PET-CT LR+</w:t>
            </w:r>
          </w:p>
        </w:tc>
        <w:tc>
          <w:tcPr>
            <w:tcW w:w="3500" w:type="dxa"/>
            <w:tcBorders>
              <w:top w:val="nil"/>
              <w:left w:val="nil"/>
              <w:bottom w:val="single" w:sz="4" w:space="0" w:color="auto"/>
              <w:right w:val="single" w:sz="4" w:space="0" w:color="auto"/>
            </w:tcBorders>
            <w:shd w:val="clear" w:color="auto" w:fill="auto"/>
            <w:vAlign w:val="center"/>
            <w:hideMark/>
          </w:tcPr>
          <w:p w14:paraId="7CADD73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3.02</w:t>
            </w:r>
          </w:p>
        </w:tc>
      </w:tr>
      <w:tr w:rsidR="00144624" w:rsidRPr="006C683B" w14:paraId="6336599C"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51463648"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PET-CT LR-</w:t>
            </w:r>
          </w:p>
        </w:tc>
        <w:tc>
          <w:tcPr>
            <w:tcW w:w="3500" w:type="dxa"/>
            <w:tcBorders>
              <w:top w:val="nil"/>
              <w:left w:val="nil"/>
              <w:bottom w:val="single" w:sz="4" w:space="0" w:color="auto"/>
              <w:right w:val="single" w:sz="4" w:space="0" w:color="auto"/>
            </w:tcBorders>
            <w:shd w:val="clear" w:color="auto" w:fill="auto"/>
            <w:vAlign w:val="center"/>
            <w:hideMark/>
          </w:tcPr>
          <w:p w14:paraId="0D9D363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0.22</w:t>
            </w:r>
          </w:p>
        </w:tc>
      </w:tr>
      <w:tr w:rsidR="00144624" w:rsidRPr="006C683B" w14:paraId="1A00B3F4"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3718B04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DWI-MRI LR+</w:t>
            </w:r>
          </w:p>
        </w:tc>
        <w:tc>
          <w:tcPr>
            <w:tcW w:w="3500" w:type="dxa"/>
            <w:tcBorders>
              <w:top w:val="nil"/>
              <w:left w:val="nil"/>
              <w:bottom w:val="single" w:sz="4" w:space="0" w:color="auto"/>
              <w:right w:val="single" w:sz="4" w:space="0" w:color="auto"/>
            </w:tcBorders>
            <w:shd w:val="clear" w:color="auto" w:fill="auto"/>
            <w:vAlign w:val="center"/>
            <w:hideMark/>
          </w:tcPr>
          <w:p w14:paraId="492E8DB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3.91</w:t>
            </w:r>
          </w:p>
        </w:tc>
      </w:tr>
      <w:tr w:rsidR="00144624" w:rsidRPr="006C683B" w14:paraId="4D173B65"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80449C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DWI-MRI LR-</w:t>
            </w:r>
          </w:p>
        </w:tc>
        <w:tc>
          <w:tcPr>
            <w:tcW w:w="3500" w:type="dxa"/>
            <w:tcBorders>
              <w:top w:val="nil"/>
              <w:left w:val="nil"/>
              <w:bottom w:val="single" w:sz="4" w:space="0" w:color="auto"/>
              <w:right w:val="single" w:sz="4" w:space="0" w:color="auto"/>
            </w:tcBorders>
            <w:shd w:val="clear" w:color="auto" w:fill="auto"/>
            <w:vAlign w:val="center"/>
            <w:hideMark/>
          </w:tcPr>
          <w:p w14:paraId="478ED1E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0.12</w:t>
            </w:r>
          </w:p>
        </w:tc>
      </w:tr>
      <w:tr w:rsidR="00144624" w:rsidRPr="006C683B" w14:paraId="517F8F8C"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F4E7F8A"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proofErr w:type="spellStart"/>
            <w:r w:rsidRPr="006C683B">
              <w:rPr>
                <w:rFonts w:ascii="Times New Roman" w:eastAsia="Times New Roman" w:hAnsi="Times New Roman" w:cs="Times New Roman"/>
                <w:b/>
                <w:bCs/>
                <w:color w:val="000000"/>
                <w:sz w:val="24"/>
                <w:szCs w:val="24"/>
                <w:lang w:val="en-PK" w:eastAsia="en-PK"/>
              </w:rPr>
              <w:t>McNemar</w:t>
            </w:r>
            <w:proofErr w:type="spellEnd"/>
            <w:r w:rsidRPr="006C683B">
              <w:rPr>
                <w:rFonts w:ascii="Times New Roman" w:eastAsia="Times New Roman" w:hAnsi="Times New Roman" w:cs="Times New Roman"/>
                <w:b/>
                <w:bCs/>
                <w:color w:val="000000"/>
                <w:sz w:val="24"/>
                <w:szCs w:val="24"/>
                <w:lang w:val="en-PK" w:eastAsia="en-PK"/>
              </w:rPr>
              <w:t xml:space="preserve"> Test for Discordant Pairs</w:t>
            </w:r>
          </w:p>
        </w:tc>
      </w:tr>
      <w:tr w:rsidR="00144624" w:rsidRPr="006C683B" w14:paraId="0B5E7041"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5B2D37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PET-CT vs DWI-MRI</w:t>
            </w:r>
          </w:p>
        </w:tc>
        <w:tc>
          <w:tcPr>
            <w:tcW w:w="3500" w:type="dxa"/>
            <w:tcBorders>
              <w:top w:val="nil"/>
              <w:left w:val="nil"/>
              <w:bottom w:val="single" w:sz="4" w:space="0" w:color="auto"/>
              <w:right w:val="single" w:sz="4" w:space="0" w:color="auto"/>
            </w:tcBorders>
            <w:shd w:val="clear" w:color="auto" w:fill="auto"/>
            <w:vAlign w:val="center"/>
            <w:hideMark/>
          </w:tcPr>
          <w:p w14:paraId="58673B6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χ² = 3.84</w:t>
            </w:r>
          </w:p>
        </w:tc>
      </w:tr>
      <w:tr w:rsidR="00144624" w:rsidRPr="006C683B" w14:paraId="23E75208"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10529E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3500" w:type="dxa"/>
            <w:tcBorders>
              <w:top w:val="nil"/>
              <w:left w:val="nil"/>
              <w:bottom w:val="single" w:sz="4" w:space="0" w:color="auto"/>
              <w:right w:val="single" w:sz="4" w:space="0" w:color="auto"/>
            </w:tcBorders>
            <w:shd w:val="clear" w:color="auto" w:fill="auto"/>
            <w:vAlign w:val="center"/>
            <w:hideMark/>
          </w:tcPr>
          <w:p w14:paraId="7E2671C3"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0.05</w:t>
            </w:r>
          </w:p>
        </w:tc>
      </w:tr>
      <w:tr w:rsidR="00144624" w:rsidRPr="006C683B" w14:paraId="2A5AB8E4" w14:textId="77777777" w:rsidTr="00144624">
        <w:trPr>
          <w:trHeight w:val="312"/>
        </w:trPr>
        <w:tc>
          <w:tcPr>
            <w:tcW w:w="7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C42D10C"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Net Reclassification Improvement</w:t>
            </w:r>
          </w:p>
        </w:tc>
      </w:tr>
      <w:tr w:rsidR="00144624" w:rsidRPr="006C683B" w14:paraId="7B795D84"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573BC4C" w14:textId="22B7CF2D"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NRI (95% CI)</w:t>
            </w:r>
          </w:p>
        </w:tc>
        <w:tc>
          <w:tcPr>
            <w:tcW w:w="3500" w:type="dxa"/>
            <w:tcBorders>
              <w:top w:val="nil"/>
              <w:left w:val="nil"/>
              <w:bottom w:val="single" w:sz="4" w:space="0" w:color="auto"/>
              <w:right w:val="single" w:sz="4" w:space="0" w:color="auto"/>
            </w:tcBorders>
            <w:shd w:val="clear" w:color="auto" w:fill="auto"/>
            <w:vAlign w:val="center"/>
            <w:hideMark/>
          </w:tcPr>
          <w:p w14:paraId="740B95A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0.187 (0.045-0.329)</w:t>
            </w:r>
          </w:p>
        </w:tc>
      </w:tr>
      <w:tr w:rsidR="00144624" w:rsidRPr="006C683B" w14:paraId="5F37D5F9" w14:textId="77777777" w:rsidTr="00144624">
        <w:trPr>
          <w:trHeight w:val="312"/>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A058B28"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3500" w:type="dxa"/>
            <w:tcBorders>
              <w:top w:val="nil"/>
              <w:left w:val="nil"/>
              <w:bottom w:val="single" w:sz="4" w:space="0" w:color="auto"/>
              <w:right w:val="single" w:sz="4" w:space="0" w:color="auto"/>
            </w:tcBorders>
            <w:shd w:val="clear" w:color="auto" w:fill="auto"/>
            <w:vAlign w:val="center"/>
            <w:hideMark/>
          </w:tcPr>
          <w:p w14:paraId="41B887A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0.012</w:t>
            </w:r>
          </w:p>
        </w:tc>
      </w:tr>
    </w:tbl>
    <w:p w14:paraId="163349A0" w14:textId="7C188AEB" w:rsidR="00144624" w:rsidRPr="006C683B" w:rsidRDefault="00144624">
      <w:pPr>
        <w:rPr>
          <w:rFonts w:ascii="Times New Roman" w:hAnsi="Times New Roman" w:cs="Times New Roman"/>
          <w:sz w:val="24"/>
          <w:szCs w:val="24"/>
        </w:rPr>
      </w:pPr>
    </w:p>
    <w:p w14:paraId="549654ED" w14:textId="2644F62B" w:rsidR="00144624" w:rsidRPr="006C683B" w:rsidRDefault="00144624">
      <w:pPr>
        <w:rPr>
          <w:rFonts w:ascii="Times New Roman" w:hAnsi="Times New Roman" w:cs="Times New Roman"/>
          <w:sz w:val="24"/>
          <w:szCs w:val="24"/>
        </w:rPr>
      </w:pPr>
    </w:p>
    <w:p w14:paraId="3EA4A2F1" w14:textId="4D0BD0CA" w:rsidR="00144624" w:rsidRPr="006C683B" w:rsidRDefault="00144624">
      <w:pPr>
        <w:rPr>
          <w:rFonts w:ascii="Times New Roman" w:hAnsi="Times New Roman" w:cs="Times New Roman"/>
          <w:sz w:val="24"/>
          <w:szCs w:val="24"/>
        </w:rPr>
      </w:pPr>
    </w:p>
    <w:p w14:paraId="5955BC09" w14:textId="491B7944" w:rsidR="00144624" w:rsidRPr="006C683B" w:rsidRDefault="00144624">
      <w:pPr>
        <w:rPr>
          <w:rFonts w:ascii="Times New Roman" w:hAnsi="Times New Roman" w:cs="Times New Roman"/>
          <w:sz w:val="24"/>
          <w:szCs w:val="24"/>
        </w:rPr>
      </w:pPr>
    </w:p>
    <w:tbl>
      <w:tblPr>
        <w:tblW w:w="8140" w:type="dxa"/>
        <w:tblInd w:w="113" w:type="dxa"/>
        <w:tblLook w:val="04A0" w:firstRow="1" w:lastRow="0" w:firstColumn="1" w:lastColumn="0" w:noHBand="0" w:noVBand="1"/>
      </w:tblPr>
      <w:tblGrid>
        <w:gridCol w:w="5820"/>
        <w:gridCol w:w="2320"/>
      </w:tblGrid>
      <w:tr w:rsidR="00144624" w:rsidRPr="006C683B" w14:paraId="0DD46D91"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3AC8E1C"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Table 5: Survival Analysis by Imaging Response Pattern</w:t>
            </w:r>
          </w:p>
        </w:tc>
      </w:tr>
      <w:tr w:rsidR="00144624" w:rsidRPr="006C683B" w14:paraId="61B46FB8"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297BF94B"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Response Group</w:t>
            </w:r>
          </w:p>
        </w:tc>
        <w:tc>
          <w:tcPr>
            <w:tcW w:w="2320" w:type="dxa"/>
            <w:tcBorders>
              <w:top w:val="nil"/>
              <w:left w:val="nil"/>
              <w:bottom w:val="single" w:sz="4" w:space="0" w:color="auto"/>
              <w:right w:val="single" w:sz="4" w:space="0" w:color="auto"/>
            </w:tcBorders>
            <w:shd w:val="clear" w:color="auto" w:fill="auto"/>
            <w:vAlign w:val="center"/>
            <w:hideMark/>
          </w:tcPr>
          <w:p w14:paraId="14176CC5"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Results</w:t>
            </w:r>
          </w:p>
        </w:tc>
      </w:tr>
      <w:tr w:rsidR="00144624" w:rsidRPr="006C683B" w14:paraId="3B9B3346"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22EE1D9"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lastRenderedPageBreak/>
              <w:t>Patient Distribution by Response Pattern</w:t>
            </w:r>
          </w:p>
        </w:tc>
      </w:tr>
      <w:tr w:rsidR="00144624" w:rsidRPr="006C683B" w14:paraId="1B7DD5D5"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C0ADE6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Concordant responders (PET-CT+ &amp; DWI-MRI+)</w:t>
            </w:r>
          </w:p>
        </w:tc>
        <w:tc>
          <w:tcPr>
            <w:tcW w:w="2320" w:type="dxa"/>
            <w:tcBorders>
              <w:top w:val="nil"/>
              <w:left w:val="nil"/>
              <w:bottom w:val="single" w:sz="4" w:space="0" w:color="auto"/>
              <w:right w:val="single" w:sz="4" w:space="0" w:color="auto"/>
            </w:tcBorders>
            <w:shd w:val="clear" w:color="auto" w:fill="auto"/>
            <w:vAlign w:val="center"/>
            <w:hideMark/>
          </w:tcPr>
          <w:p w14:paraId="58038E7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61 (50.8%)</w:t>
            </w:r>
          </w:p>
        </w:tc>
      </w:tr>
      <w:tr w:rsidR="00144624" w:rsidRPr="006C683B" w14:paraId="6758ECB2"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5811B5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Discordant (PET-CT+ or DWI-MRI+ only)</w:t>
            </w:r>
          </w:p>
        </w:tc>
        <w:tc>
          <w:tcPr>
            <w:tcW w:w="2320" w:type="dxa"/>
            <w:tcBorders>
              <w:top w:val="nil"/>
              <w:left w:val="nil"/>
              <w:bottom w:val="single" w:sz="4" w:space="0" w:color="auto"/>
              <w:right w:val="single" w:sz="4" w:space="0" w:color="auto"/>
            </w:tcBorders>
            <w:shd w:val="clear" w:color="auto" w:fill="auto"/>
            <w:vAlign w:val="center"/>
            <w:hideMark/>
          </w:tcPr>
          <w:p w14:paraId="050336C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35 (29.2%)</w:t>
            </w:r>
          </w:p>
        </w:tc>
      </w:tr>
      <w:tr w:rsidR="00144624" w:rsidRPr="006C683B" w14:paraId="3E21916A"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597D4D4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Concordant non-responders (PET-CT- &amp; DWI-MRI-)</w:t>
            </w:r>
          </w:p>
        </w:tc>
        <w:tc>
          <w:tcPr>
            <w:tcW w:w="2320" w:type="dxa"/>
            <w:tcBorders>
              <w:top w:val="nil"/>
              <w:left w:val="nil"/>
              <w:bottom w:val="single" w:sz="4" w:space="0" w:color="auto"/>
              <w:right w:val="single" w:sz="4" w:space="0" w:color="auto"/>
            </w:tcBorders>
            <w:shd w:val="clear" w:color="auto" w:fill="auto"/>
            <w:vAlign w:val="center"/>
            <w:hideMark/>
          </w:tcPr>
          <w:p w14:paraId="370B0DE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24 (20.0%)</w:t>
            </w:r>
          </w:p>
        </w:tc>
      </w:tr>
      <w:tr w:rsidR="00144624" w:rsidRPr="006C683B" w14:paraId="7872A625"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8D46D52"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Progression-Free Survival (PFS)</w:t>
            </w:r>
          </w:p>
        </w:tc>
      </w:tr>
      <w:tr w:rsidR="00144624" w:rsidRPr="006C683B" w14:paraId="7B1375A7"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615CE4F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Concordant Responders</w:t>
            </w:r>
          </w:p>
        </w:tc>
        <w:tc>
          <w:tcPr>
            <w:tcW w:w="2320" w:type="dxa"/>
            <w:tcBorders>
              <w:top w:val="nil"/>
              <w:left w:val="nil"/>
              <w:bottom w:val="single" w:sz="4" w:space="0" w:color="auto"/>
              <w:right w:val="single" w:sz="4" w:space="0" w:color="auto"/>
            </w:tcBorders>
            <w:shd w:val="clear" w:color="auto" w:fill="auto"/>
            <w:vAlign w:val="center"/>
            <w:hideMark/>
          </w:tcPr>
          <w:p w14:paraId="43C86D3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w:t>
            </w:r>
          </w:p>
        </w:tc>
      </w:tr>
      <w:tr w:rsidR="00144624" w:rsidRPr="006C683B" w14:paraId="44E2A43D"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3495863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Number of patients</w:t>
            </w:r>
          </w:p>
        </w:tc>
        <w:tc>
          <w:tcPr>
            <w:tcW w:w="2320" w:type="dxa"/>
            <w:tcBorders>
              <w:top w:val="nil"/>
              <w:left w:val="nil"/>
              <w:bottom w:val="single" w:sz="4" w:space="0" w:color="auto"/>
              <w:right w:val="single" w:sz="4" w:space="0" w:color="auto"/>
            </w:tcBorders>
            <w:shd w:val="clear" w:color="auto" w:fill="auto"/>
            <w:vAlign w:val="center"/>
            <w:hideMark/>
          </w:tcPr>
          <w:p w14:paraId="674B0A9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61</w:t>
            </w:r>
          </w:p>
        </w:tc>
      </w:tr>
      <w:tr w:rsidR="00144624" w:rsidRPr="006C683B" w14:paraId="21FB99E2"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5C3A06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Progression events, n (%)</w:t>
            </w:r>
          </w:p>
        </w:tc>
        <w:tc>
          <w:tcPr>
            <w:tcW w:w="2320" w:type="dxa"/>
            <w:tcBorders>
              <w:top w:val="nil"/>
              <w:left w:val="nil"/>
              <w:bottom w:val="single" w:sz="4" w:space="0" w:color="auto"/>
              <w:right w:val="single" w:sz="4" w:space="0" w:color="auto"/>
            </w:tcBorders>
            <w:shd w:val="clear" w:color="auto" w:fill="auto"/>
            <w:vAlign w:val="center"/>
            <w:hideMark/>
          </w:tcPr>
          <w:p w14:paraId="7CECC2D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15 (24.6%)</w:t>
            </w:r>
          </w:p>
        </w:tc>
      </w:tr>
      <w:tr w:rsidR="00144624" w:rsidRPr="006C683B" w14:paraId="099AB6F0"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C4B3C9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PFS, months (95% CI)</w:t>
            </w:r>
          </w:p>
        </w:tc>
        <w:tc>
          <w:tcPr>
            <w:tcW w:w="2320" w:type="dxa"/>
            <w:tcBorders>
              <w:top w:val="nil"/>
              <w:left w:val="nil"/>
              <w:bottom w:val="single" w:sz="4" w:space="0" w:color="auto"/>
              <w:right w:val="single" w:sz="4" w:space="0" w:color="auto"/>
            </w:tcBorders>
            <w:shd w:val="clear" w:color="auto" w:fill="auto"/>
            <w:vAlign w:val="center"/>
            <w:hideMark/>
          </w:tcPr>
          <w:p w14:paraId="7D60E76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18.0 (6.6-23.9)</w:t>
            </w:r>
          </w:p>
        </w:tc>
      </w:tr>
      <w:tr w:rsidR="00144624" w:rsidRPr="006C683B" w14:paraId="0F929C68"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0F68B82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12-month PFS rate (%)</w:t>
            </w:r>
          </w:p>
        </w:tc>
        <w:tc>
          <w:tcPr>
            <w:tcW w:w="2320" w:type="dxa"/>
            <w:tcBorders>
              <w:top w:val="nil"/>
              <w:left w:val="nil"/>
              <w:bottom w:val="single" w:sz="4" w:space="0" w:color="auto"/>
              <w:right w:val="single" w:sz="4" w:space="0" w:color="auto"/>
            </w:tcBorders>
            <w:shd w:val="clear" w:color="auto" w:fill="auto"/>
            <w:vAlign w:val="center"/>
            <w:hideMark/>
          </w:tcPr>
          <w:p w14:paraId="3F6E8FE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78.50%</w:t>
            </w:r>
          </w:p>
        </w:tc>
      </w:tr>
      <w:tr w:rsidR="00144624" w:rsidRPr="006C683B" w14:paraId="05A37250"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6870A51"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Discordant Group</w:t>
            </w:r>
          </w:p>
        </w:tc>
      </w:tr>
      <w:tr w:rsidR="00144624" w:rsidRPr="006C683B" w14:paraId="00FC7E46"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6A6512F8"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Number of patients</w:t>
            </w:r>
          </w:p>
        </w:tc>
        <w:tc>
          <w:tcPr>
            <w:tcW w:w="2320" w:type="dxa"/>
            <w:tcBorders>
              <w:top w:val="nil"/>
              <w:left w:val="nil"/>
              <w:bottom w:val="single" w:sz="4" w:space="0" w:color="auto"/>
              <w:right w:val="single" w:sz="4" w:space="0" w:color="auto"/>
            </w:tcBorders>
            <w:shd w:val="clear" w:color="auto" w:fill="auto"/>
            <w:vAlign w:val="center"/>
            <w:hideMark/>
          </w:tcPr>
          <w:p w14:paraId="42959ED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35</w:t>
            </w:r>
          </w:p>
        </w:tc>
      </w:tr>
      <w:tr w:rsidR="00144624" w:rsidRPr="006C683B" w14:paraId="1FE684C1"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7184EBD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Progression events, n (%)</w:t>
            </w:r>
          </w:p>
        </w:tc>
        <w:tc>
          <w:tcPr>
            <w:tcW w:w="2320" w:type="dxa"/>
            <w:tcBorders>
              <w:top w:val="nil"/>
              <w:left w:val="nil"/>
              <w:bottom w:val="single" w:sz="4" w:space="0" w:color="auto"/>
              <w:right w:val="single" w:sz="4" w:space="0" w:color="auto"/>
            </w:tcBorders>
            <w:shd w:val="clear" w:color="auto" w:fill="auto"/>
            <w:vAlign w:val="center"/>
            <w:hideMark/>
          </w:tcPr>
          <w:p w14:paraId="1357871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15 (42.9%)</w:t>
            </w:r>
          </w:p>
        </w:tc>
      </w:tr>
      <w:tr w:rsidR="00144624" w:rsidRPr="006C683B" w14:paraId="75407ADB"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697F9C3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PFS, months (95% CI)</w:t>
            </w:r>
          </w:p>
        </w:tc>
        <w:tc>
          <w:tcPr>
            <w:tcW w:w="2320" w:type="dxa"/>
            <w:tcBorders>
              <w:top w:val="nil"/>
              <w:left w:val="nil"/>
              <w:bottom w:val="single" w:sz="4" w:space="0" w:color="auto"/>
              <w:right w:val="single" w:sz="4" w:space="0" w:color="auto"/>
            </w:tcBorders>
            <w:shd w:val="clear" w:color="auto" w:fill="auto"/>
            <w:vAlign w:val="center"/>
            <w:hideMark/>
          </w:tcPr>
          <w:p w14:paraId="5F986AA7"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5.9 (3.5-13.2)</w:t>
            </w:r>
          </w:p>
        </w:tc>
      </w:tr>
      <w:tr w:rsidR="00144624" w:rsidRPr="006C683B" w14:paraId="666F69E8"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5B61CD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12-month PFS rate (%)</w:t>
            </w:r>
          </w:p>
        </w:tc>
        <w:tc>
          <w:tcPr>
            <w:tcW w:w="2320" w:type="dxa"/>
            <w:tcBorders>
              <w:top w:val="nil"/>
              <w:left w:val="nil"/>
              <w:bottom w:val="single" w:sz="4" w:space="0" w:color="auto"/>
              <w:right w:val="single" w:sz="4" w:space="0" w:color="auto"/>
            </w:tcBorders>
            <w:shd w:val="clear" w:color="auto" w:fill="auto"/>
            <w:vAlign w:val="center"/>
            <w:hideMark/>
          </w:tcPr>
          <w:p w14:paraId="767E4D7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55.40%</w:t>
            </w:r>
          </w:p>
        </w:tc>
      </w:tr>
      <w:tr w:rsidR="00144624" w:rsidRPr="006C683B" w14:paraId="15CF9FE5"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B3EDDCB"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Concordant Non-responders</w:t>
            </w:r>
          </w:p>
        </w:tc>
      </w:tr>
      <w:tr w:rsidR="00144624" w:rsidRPr="006C683B" w14:paraId="721E935E"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5935E44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Number of patients</w:t>
            </w:r>
          </w:p>
        </w:tc>
        <w:tc>
          <w:tcPr>
            <w:tcW w:w="2320" w:type="dxa"/>
            <w:tcBorders>
              <w:top w:val="nil"/>
              <w:left w:val="nil"/>
              <w:bottom w:val="single" w:sz="4" w:space="0" w:color="auto"/>
              <w:right w:val="single" w:sz="4" w:space="0" w:color="auto"/>
            </w:tcBorders>
            <w:shd w:val="clear" w:color="auto" w:fill="auto"/>
            <w:vAlign w:val="center"/>
            <w:hideMark/>
          </w:tcPr>
          <w:p w14:paraId="0383CB6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24</w:t>
            </w:r>
          </w:p>
        </w:tc>
      </w:tr>
      <w:tr w:rsidR="00144624" w:rsidRPr="006C683B" w14:paraId="1C9EF851"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1A08676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Progression events, n (%)</w:t>
            </w:r>
          </w:p>
        </w:tc>
        <w:tc>
          <w:tcPr>
            <w:tcW w:w="2320" w:type="dxa"/>
            <w:tcBorders>
              <w:top w:val="nil"/>
              <w:left w:val="nil"/>
              <w:bottom w:val="single" w:sz="4" w:space="0" w:color="auto"/>
              <w:right w:val="single" w:sz="4" w:space="0" w:color="auto"/>
            </w:tcBorders>
            <w:shd w:val="clear" w:color="auto" w:fill="auto"/>
            <w:vAlign w:val="center"/>
            <w:hideMark/>
          </w:tcPr>
          <w:p w14:paraId="4F737D6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16 (66.7%)</w:t>
            </w:r>
          </w:p>
        </w:tc>
      </w:tr>
      <w:tr w:rsidR="00144624" w:rsidRPr="006C683B" w14:paraId="70A93479"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19A906B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PFS, months (95% CI)</w:t>
            </w:r>
          </w:p>
        </w:tc>
        <w:tc>
          <w:tcPr>
            <w:tcW w:w="2320" w:type="dxa"/>
            <w:tcBorders>
              <w:top w:val="nil"/>
              <w:left w:val="nil"/>
              <w:bottom w:val="single" w:sz="4" w:space="0" w:color="auto"/>
              <w:right w:val="single" w:sz="4" w:space="0" w:color="auto"/>
            </w:tcBorders>
            <w:shd w:val="clear" w:color="auto" w:fill="auto"/>
            <w:vAlign w:val="center"/>
            <w:hideMark/>
          </w:tcPr>
          <w:p w14:paraId="0473FC7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4.8 (2.1-16.1)</w:t>
            </w:r>
          </w:p>
        </w:tc>
      </w:tr>
      <w:tr w:rsidR="00144624" w:rsidRPr="006C683B" w14:paraId="2541A0DA"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264EFE98"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12-month PFS rate (%)</w:t>
            </w:r>
          </w:p>
        </w:tc>
        <w:tc>
          <w:tcPr>
            <w:tcW w:w="2320" w:type="dxa"/>
            <w:tcBorders>
              <w:top w:val="nil"/>
              <w:left w:val="nil"/>
              <w:bottom w:val="single" w:sz="4" w:space="0" w:color="auto"/>
              <w:right w:val="single" w:sz="4" w:space="0" w:color="auto"/>
            </w:tcBorders>
            <w:shd w:val="clear" w:color="auto" w:fill="auto"/>
            <w:vAlign w:val="center"/>
            <w:hideMark/>
          </w:tcPr>
          <w:p w14:paraId="3F89D1C7"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32.10%</w:t>
            </w:r>
          </w:p>
        </w:tc>
      </w:tr>
      <w:tr w:rsidR="00144624" w:rsidRPr="006C683B" w14:paraId="4D167D4F"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1C491B3"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Overall Survival (OS)</w:t>
            </w:r>
          </w:p>
        </w:tc>
      </w:tr>
      <w:tr w:rsidR="00144624" w:rsidRPr="006C683B" w14:paraId="7F75A875"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2D20E25"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Concordant Responders</w:t>
            </w:r>
          </w:p>
        </w:tc>
      </w:tr>
      <w:tr w:rsidR="00144624" w:rsidRPr="006C683B" w14:paraId="397181ED"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5FCC9CF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Number of patients</w:t>
            </w:r>
          </w:p>
        </w:tc>
        <w:tc>
          <w:tcPr>
            <w:tcW w:w="2320" w:type="dxa"/>
            <w:tcBorders>
              <w:top w:val="nil"/>
              <w:left w:val="nil"/>
              <w:bottom w:val="single" w:sz="4" w:space="0" w:color="auto"/>
              <w:right w:val="single" w:sz="4" w:space="0" w:color="auto"/>
            </w:tcBorders>
            <w:shd w:val="clear" w:color="auto" w:fill="auto"/>
            <w:vAlign w:val="center"/>
            <w:hideMark/>
          </w:tcPr>
          <w:p w14:paraId="47AFAC4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61</w:t>
            </w:r>
          </w:p>
        </w:tc>
      </w:tr>
      <w:tr w:rsidR="00144624" w:rsidRPr="006C683B" w14:paraId="002C8C9A"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5292424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Death events, n (%)</w:t>
            </w:r>
          </w:p>
        </w:tc>
        <w:tc>
          <w:tcPr>
            <w:tcW w:w="2320" w:type="dxa"/>
            <w:tcBorders>
              <w:top w:val="nil"/>
              <w:left w:val="nil"/>
              <w:bottom w:val="single" w:sz="4" w:space="0" w:color="auto"/>
              <w:right w:val="single" w:sz="4" w:space="0" w:color="auto"/>
            </w:tcBorders>
            <w:shd w:val="clear" w:color="auto" w:fill="auto"/>
            <w:vAlign w:val="center"/>
            <w:hideMark/>
          </w:tcPr>
          <w:p w14:paraId="50058E2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9 (14.8%)</w:t>
            </w:r>
          </w:p>
        </w:tc>
      </w:tr>
      <w:tr w:rsidR="00144624" w:rsidRPr="006C683B" w14:paraId="684A7068"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81A962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OS, months (95% CI)</w:t>
            </w:r>
          </w:p>
        </w:tc>
        <w:tc>
          <w:tcPr>
            <w:tcW w:w="2320" w:type="dxa"/>
            <w:tcBorders>
              <w:top w:val="nil"/>
              <w:left w:val="nil"/>
              <w:bottom w:val="single" w:sz="4" w:space="0" w:color="auto"/>
              <w:right w:val="single" w:sz="4" w:space="0" w:color="auto"/>
            </w:tcBorders>
            <w:shd w:val="clear" w:color="auto" w:fill="auto"/>
            <w:vAlign w:val="center"/>
            <w:hideMark/>
          </w:tcPr>
          <w:p w14:paraId="3EFF6EC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12.2 (6.3-35.2)</w:t>
            </w:r>
          </w:p>
        </w:tc>
      </w:tr>
      <w:tr w:rsidR="00144624" w:rsidRPr="006C683B" w14:paraId="17F8747C"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0AC73FF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12-month OS rate (%)</w:t>
            </w:r>
          </w:p>
        </w:tc>
        <w:tc>
          <w:tcPr>
            <w:tcW w:w="2320" w:type="dxa"/>
            <w:tcBorders>
              <w:top w:val="nil"/>
              <w:left w:val="nil"/>
              <w:bottom w:val="single" w:sz="4" w:space="0" w:color="auto"/>
              <w:right w:val="single" w:sz="4" w:space="0" w:color="auto"/>
            </w:tcBorders>
            <w:shd w:val="clear" w:color="auto" w:fill="auto"/>
            <w:vAlign w:val="center"/>
            <w:hideMark/>
          </w:tcPr>
          <w:p w14:paraId="18EEB09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89.20%</w:t>
            </w:r>
          </w:p>
        </w:tc>
      </w:tr>
      <w:tr w:rsidR="00144624" w:rsidRPr="006C683B" w14:paraId="656987E9"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199694D"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Discordant Group</w:t>
            </w:r>
          </w:p>
        </w:tc>
      </w:tr>
      <w:tr w:rsidR="00144624" w:rsidRPr="006C683B" w14:paraId="1FFBA53B"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1C8FE6C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Number of patients</w:t>
            </w:r>
          </w:p>
        </w:tc>
        <w:tc>
          <w:tcPr>
            <w:tcW w:w="2320" w:type="dxa"/>
            <w:tcBorders>
              <w:top w:val="nil"/>
              <w:left w:val="nil"/>
              <w:bottom w:val="single" w:sz="4" w:space="0" w:color="auto"/>
              <w:right w:val="single" w:sz="4" w:space="0" w:color="auto"/>
            </w:tcBorders>
            <w:shd w:val="clear" w:color="auto" w:fill="auto"/>
            <w:vAlign w:val="center"/>
            <w:hideMark/>
          </w:tcPr>
          <w:p w14:paraId="5795917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35</w:t>
            </w:r>
          </w:p>
        </w:tc>
      </w:tr>
      <w:tr w:rsidR="00144624" w:rsidRPr="006C683B" w14:paraId="616162B4"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13FE981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Death events, n (%)</w:t>
            </w:r>
          </w:p>
        </w:tc>
        <w:tc>
          <w:tcPr>
            <w:tcW w:w="2320" w:type="dxa"/>
            <w:tcBorders>
              <w:top w:val="nil"/>
              <w:left w:val="nil"/>
              <w:bottom w:val="single" w:sz="4" w:space="0" w:color="auto"/>
              <w:right w:val="single" w:sz="4" w:space="0" w:color="auto"/>
            </w:tcBorders>
            <w:shd w:val="clear" w:color="auto" w:fill="auto"/>
            <w:vAlign w:val="center"/>
            <w:hideMark/>
          </w:tcPr>
          <w:p w14:paraId="291D3AB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10 (28.6%)</w:t>
            </w:r>
          </w:p>
        </w:tc>
      </w:tr>
      <w:tr w:rsidR="0081609A" w:rsidRPr="006C683B" w14:paraId="7A840C9B"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70147B63"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OS, months (95% CI)</w:t>
            </w:r>
          </w:p>
        </w:tc>
        <w:tc>
          <w:tcPr>
            <w:tcW w:w="2320" w:type="dxa"/>
            <w:tcBorders>
              <w:top w:val="nil"/>
              <w:left w:val="nil"/>
              <w:bottom w:val="single" w:sz="4" w:space="0" w:color="auto"/>
              <w:right w:val="single" w:sz="4" w:space="0" w:color="auto"/>
            </w:tcBorders>
            <w:shd w:val="clear" w:color="auto" w:fill="auto"/>
            <w:vAlign w:val="center"/>
            <w:hideMark/>
          </w:tcPr>
          <w:p w14:paraId="5CCE89A9" w14:textId="00D05A86" w:rsidR="0081609A" w:rsidRPr="006C683B" w:rsidRDefault="000649E9"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hAnsi="Times New Roman" w:cs="Times New Roman"/>
                <w:sz w:val="24"/>
                <w:szCs w:val="24"/>
              </w:rPr>
              <w:t>10.4 (5.9-11.6)</w:t>
            </w:r>
          </w:p>
        </w:tc>
      </w:tr>
      <w:tr w:rsidR="0081609A" w:rsidRPr="006C683B" w14:paraId="5067DDE3"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36E48BF2"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12-month OS rate (%)</w:t>
            </w:r>
          </w:p>
        </w:tc>
        <w:tc>
          <w:tcPr>
            <w:tcW w:w="2320" w:type="dxa"/>
            <w:tcBorders>
              <w:top w:val="nil"/>
              <w:left w:val="nil"/>
              <w:bottom w:val="single" w:sz="4" w:space="0" w:color="auto"/>
              <w:right w:val="single" w:sz="4" w:space="0" w:color="auto"/>
            </w:tcBorders>
            <w:shd w:val="clear" w:color="auto" w:fill="auto"/>
            <w:vAlign w:val="center"/>
            <w:hideMark/>
          </w:tcPr>
          <w:p w14:paraId="78D9A3A5"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71.80%</w:t>
            </w:r>
          </w:p>
        </w:tc>
      </w:tr>
      <w:tr w:rsidR="0081609A" w:rsidRPr="006C683B" w14:paraId="2369A5C5"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BB82B80" w14:textId="77777777" w:rsidR="0081609A" w:rsidRPr="006C683B" w:rsidRDefault="0081609A" w:rsidP="0081609A">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Concordant Non-responders</w:t>
            </w:r>
          </w:p>
        </w:tc>
      </w:tr>
      <w:tr w:rsidR="0081609A" w:rsidRPr="006C683B" w14:paraId="4D6BE40A"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270928FF"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Number of patients</w:t>
            </w:r>
          </w:p>
        </w:tc>
        <w:tc>
          <w:tcPr>
            <w:tcW w:w="2320" w:type="dxa"/>
            <w:tcBorders>
              <w:top w:val="nil"/>
              <w:left w:val="nil"/>
              <w:bottom w:val="single" w:sz="4" w:space="0" w:color="auto"/>
              <w:right w:val="single" w:sz="4" w:space="0" w:color="auto"/>
            </w:tcBorders>
            <w:shd w:val="clear" w:color="auto" w:fill="auto"/>
            <w:vAlign w:val="center"/>
            <w:hideMark/>
          </w:tcPr>
          <w:p w14:paraId="25767B7B"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24</w:t>
            </w:r>
          </w:p>
        </w:tc>
      </w:tr>
      <w:tr w:rsidR="0081609A" w:rsidRPr="006C683B" w14:paraId="249A4C80"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3F1842FA"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Death events, n (%)</w:t>
            </w:r>
          </w:p>
        </w:tc>
        <w:tc>
          <w:tcPr>
            <w:tcW w:w="2320" w:type="dxa"/>
            <w:tcBorders>
              <w:top w:val="nil"/>
              <w:left w:val="nil"/>
              <w:bottom w:val="single" w:sz="4" w:space="0" w:color="auto"/>
              <w:right w:val="single" w:sz="4" w:space="0" w:color="auto"/>
            </w:tcBorders>
            <w:shd w:val="clear" w:color="auto" w:fill="auto"/>
            <w:vAlign w:val="center"/>
            <w:hideMark/>
          </w:tcPr>
          <w:p w14:paraId="20CE4784"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10 (41.7%)</w:t>
            </w:r>
          </w:p>
        </w:tc>
      </w:tr>
      <w:tr w:rsidR="0081609A" w:rsidRPr="006C683B" w14:paraId="5405EC2C"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E759128"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Median OS, months (95% CI)</w:t>
            </w:r>
          </w:p>
        </w:tc>
        <w:tc>
          <w:tcPr>
            <w:tcW w:w="2320" w:type="dxa"/>
            <w:tcBorders>
              <w:top w:val="nil"/>
              <w:left w:val="nil"/>
              <w:bottom w:val="single" w:sz="4" w:space="0" w:color="auto"/>
              <w:right w:val="single" w:sz="4" w:space="0" w:color="auto"/>
            </w:tcBorders>
            <w:shd w:val="clear" w:color="auto" w:fill="auto"/>
            <w:vAlign w:val="center"/>
            <w:hideMark/>
          </w:tcPr>
          <w:p w14:paraId="0F4E9063"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9.9 (6.3-11.9)</w:t>
            </w:r>
          </w:p>
        </w:tc>
      </w:tr>
      <w:tr w:rsidR="0081609A" w:rsidRPr="006C683B" w14:paraId="48D41580"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02423565"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12-month OS rate (%)</w:t>
            </w:r>
          </w:p>
        </w:tc>
        <w:tc>
          <w:tcPr>
            <w:tcW w:w="2320" w:type="dxa"/>
            <w:tcBorders>
              <w:top w:val="nil"/>
              <w:left w:val="nil"/>
              <w:bottom w:val="single" w:sz="4" w:space="0" w:color="auto"/>
              <w:right w:val="single" w:sz="4" w:space="0" w:color="auto"/>
            </w:tcBorders>
            <w:shd w:val="clear" w:color="auto" w:fill="auto"/>
            <w:vAlign w:val="center"/>
            <w:hideMark/>
          </w:tcPr>
          <w:p w14:paraId="41071C43"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58.30%</w:t>
            </w:r>
          </w:p>
        </w:tc>
      </w:tr>
      <w:tr w:rsidR="0081609A" w:rsidRPr="006C683B" w14:paraId="25930D87"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B49B435" w14:textId="77777777" w:rsidR="0081609A" w:rsidRPr="006C683B" w:rsidRDefault="0081609A" w:rsidP="0081609A">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Log-rank Test P-values</w:t>
            </w:r>
          </w:p>
        </w:tc>
      </w:tr>
      <w:tr w:rsidR="0081609A" w:rsidRPr="006C683B" w14:paraId="3A138C3B"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157AB755"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PFS comparison (3 groups)</w:t>
            </w:r>
          </w:p>
        </w:tc>
        <w:tc>
          <w:tcPr>
            <w:tcW w:w="2320" w:type="dxa"/>
            <w:tcBorders>
              <w:top w:val="nil"/>
              <w:left w:val="nil"/>
              <w:bottom w:val="single" w:sz="4" w:space="0" w:color="auto"/>
              <w:right w:val="single" w:sz="4" w:space="0" w:color="auto"/>
            </w:tcBorders>
            <w:shd w:val="clear" w:color="auto" w:fill="auto"/>
            <w:vAlign w:val="center"/>
            <w:hideMark/>
          </w:tcPr>
          <w:p w14:paraId="1FD7EFB4"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81609A" w:rsidRPr="006C683B" w14:paraId="209DDC65"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1AF783FC"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OS comparison (3 groups)</w:t>
            </w:r>
          </w:p>
        </w:tc>
        <w:tc>
          <w:tcPr>
            <w:tcW w:w="2320" w:type="dxa"/>
            <w:tcBorders>
              <w:top w:val="nil"/>
              <w:left w:val="nil"/>
              <w:bottom w:val="single" w:sz="4" w:space="0" w:color="auto"/>
              <w:right w:val="single" w:sz="4" w:space="0" w:color="auto"/>
            </w:tcBorders>
            <w:shd w:val="clear" w:color="auto" w:fill="auto"/>
            <w:vAlign w:val="center"/>
            <w:hideMark/>
          </w:tcPr>
          <w:p w14:paraId="248F1824"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 0.001</w:t>
            </w:r>
          </w:p>
        </w:tc>
      </w:tr>
      <w:tr w:rsidR="0081609A" w:rsidRPr="006C683B" w14:paraId="641D7D17" w14:textId="77777777" w:rsidTr="00144624">
        <w:trPr>
          <w:trHeight w:val="312"/>
        </w:trPr>
        <w:tc>
          <w:tcPr>
            <w:tcW w:w="81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31CD4D3" w14:textId="77777777" w:rsidR="0081609A" w:rsidRPr="006C683B" w:rsidRDefault="0081609A" w:rsidP="0081609A">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Hazard Ratios (vs Concordant Non-</w:t>
            </w:r>
            <w:proofErr w:type="gramStart"/>
            <w:r w:rsidRPr="006C683B">
              <w:rPr>
                <w:rFonts w:ascii="Times New Roman" w:eastAsia="Times New Roman" w:hAnsi="Times New Roman" w:cs="Times New Roman"/>
                <w:b/>
                <w:bCs/>
                <w:color w:val="000000"/>
                <w:sz w:val="24"/>
                <w:szCs w:val="24"/>
                <w:lang w:val="en-PK" w:eastAsia="en-PK"/>
              </w:rPr>
              <w:t>responders)*</w:t>
            </w:r>
            <w:proofErr w:type="gramEnd"/>
          </w:p>
        </w:tc>
      </w:tr>
      <w:tr w:rsidR="0081609A" w:rsidRPr="006C683B" w14:paraId="723F9BAE"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5A54BE69"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lastRenderedPageBreak/>
              <w:t>Concordant Responders PFS HR (95% CI)</w:t>
            </w:r>
          </w:p>
        </w:tc>
        <w:tc>
          <w:tcPr>
            <w:tcW w:w="2320" w:type="dxa"/>
            <w:tcBorders>
              <w:top w:val="nil"/>
              <w:left w:val="nil"/>
              <w:bottom w:val="single" w:sz="4" w:space="0" w:color="auto"/>
              <w:right w:val="single" w:sz="4" w:space="0" w:color="auto"/>
            </w:tcBorders>
            <w:shd w:val="clear" w:color="auto" w:fill="auto"/>
            <w:vAlign w:val="center"/>
            <w:hideMark/>
          </w:tcPr>
          <w:p w14:paraId="0019A0EF"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0.31 (0.18-0.54)</w:t>
            </w:r>
          </w:p>
        </w:tc>
      </w:tr>
      <w:tr w:rsidR="0081609A" w:rsidRPr="006C683B" w14:paraId="58049A1E"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0D445E86"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Discordant Group PFS HR (95% CI)</w:t>
            </w:r>
          </w:p>
        </w:tc>
        <w:tc>
          <w:tcPr>
            <w:tcW w:w="2320" w:type="dxa"/>
            <w:tcBorders>
              <w:top w:val="nil"/>
              <w:left w:val="nil"/>
              <w:bottom w:val="single" w:sz="4" w:space="0" w:color="auto"/>
              <w:right w:val="single" w:sz="4" w:space="0" w:color="auto"/>
            </w:tcBorders>
            <w:shd w:val="clear" w:color="auto" w:fill="auto"/>
            <w:vAlign w:val="center"/>
            <w:hideMark/>
          </w:tcPr>
          <w:p w14:paraId="12EAE29F"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0.58 (0.36-0.92)</w:t>
            </w:r>
          </w:p>
        </w:tc>
      </w:tr>
      <w:tr w:rsidR="0081609A" w:rsidRPr="006C683B" w14:paraId="34314688"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43995F1E"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Concordant Responders OS HR (95% CI)</w:t>
            </w:r>
          </w:p>
        </w:tc>
        <w:tc>
          <w:tcPr>
            <w:tcW w:w="2320" w:type="dxa"/>
            <w:tcBorders>
              <w:top w:val="nil"/>
              <w:left w:val="nil"/>
              <w:bottom w:val="single" w:sz="4" w:space="0" w:color="auto"/>
              <w:right w:val="single" w:sz="4" w:space="0" w:color="auto"/>
            </w:tcBorders>
            <w:shd w:val="clear" w:color="auto" w:fill="auto"/>
            <w:vAlign w:val="center"/>
            <w:hideMark/>
          </w:tcPr>
          <w:p w14:paraId="6DE2E327"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0.27 (0.13-0.58)</w:t>
            </w:r>
          </w:p>
        </w:tc>
      </w:tr>
      <w:tr w:rsidR="0081609A" w:rsidRPr="006C683B" w14:paraId="298C726C" w14:textId="77777777" w:rsidTr="00144624">
        <w:trPr>
          <w:trHeight w:val="312"/>
        </w:trPr>
        <w:tc>
          <w:tcPr>
            <w:tcW w:w="5820" w:type="dxa"/>
            <w:tcBorders>
              <w:top w:val="nil"/>
              <w:left w:val="single" w:sz="4" w:space="0" w:color="auto"/>
              <w:bottom w:val="single" w:sz="4" w:space="0" w:color="auto"/>
              <w:right w:val="single" w:sz="4" w:space="0" w:color="auto"/>
            </w:tcBorders>
            <w:shd w:val="clear" w:color="auto" w:fill="auto"/>
            <w:vAlign w:val="center"/>
            <w:hideMark/>
          </w:tcPr>
          <w:p w14:paraId="616B9084" w14:textId="77777777" w:rsidR="0081609A" w:rsidRPr="006C683B" w:rsidRDefault="0081609A" w:rsidP="0081609A">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Discordant Group OS HR (95% CI)</w:t>
            </w:r>
          </w:p>
        </w:tc>
        <w:tc>
          <w:tcPr>
            <w:tcW w:w="2320" w:type="dxa"/>
            <w:tcBorders>
              <w:top w:val="nil"/>
              <w:left w:val="nil"/>
              <w:bottom w:val="single" w:sz="4" w:space="0" w:color="auto"/>
              <w:right w:val="single" w:sz="4" w:space="0" w:color="auto"/>
            </w:tcBorders>
            <w:shd w:val="clear" w:color="auto" w:fill="auto"/>
            <w:vAlign w:val="center"/>
            <w:hideMark/>
          </w:tcPr>
          <w:p w14:paraId="7694123C" w14:textId="77777777" w:rsidR="0081609A" w:rsidRPr="006C683B" w:rsidRDefault="0081609A" w:rsidP="0081609A">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0.52 (0.29-0.94)</w:t>
            </w:r>
          </w:p>
        </w:tc>
      </w:tr>
    </w:tbl>
    <w:p w14:paraId="3E07F0EE" w14:textId="63629A34" w:rsidR="00144624" w:rsidRPr="006C683B" w:rsidRDefault="00144624">
      <w:pPr>
        <w:rPr>
          <w:rFonts w:ascii="Times New Roman" w:hAnsi="Times New Roman" w:cs="Times New Roman"/>
          <w:sz w:val="24"/>
          <w:szCs w:val="24"/>
        </w:rPr>
      </w:pPr>
    </w:p>
    <w:p w14:paraId="58C2B29A" w14:textId="404AA57F" w:rsidR="00144624" w:rsidRPr="006C683B" w:rsidRDefault="00144624">
      <w:pPr>
        <w:rPr>
          <w:rFonts w:ascii="Times New Roman" w:hAnsi="Times New Roman" w:cs="Times New Roman"/>
          <w:sz w:val="24"/>
          <w:szCs w:val="24"/>
        </w:rPr>
      </w:pPr>
    </w:p>
    <w:p w14:paraId="0ABBD407" w14:textId="62C1D0AE" w:rsidR="00144624" w:rsidRPr="006C683B" w:rsidRDefault="00144624">
      <w:pPr>
        <w:rPr>
          <w:rFonts w:ascii="Times New Roman" w:hAnsi="Times New Roman" w:cs="Times New Roman"/>
          <w:sz w:val="24"/>
          <w:szCs w:val="24"/>
        </w:rPr>
      </w:pPr>
    </w:p>
    <w:p w14:paraId="406F8FA2" w14:textId="12E60D53" w:rsidR="00144624" w:rsidRPr="006C683B" w:rsidRDefault="00144624">
      <w:pPr>
        <w:rPr>
          <w:rFonts w:ascii="Times New Roman" w:hAnsi="Times New Roman" w:cs="Times New Roman"/>
          <w:sz w:val="24"/>
          <w:szCs w:val="24"/>
        </w:rPr>
      </w:pPr>
    </w:p>
    <w:tbl>
      <w:tblPr>
        <w:tblW w:w="6220" w:type="dxa"/>
        <w:tblInd w:w="113" w:type="dxa"/>
        <w:tblLook w:val="04A0" w:firstRow="1" w:lastRow="0" w:firstColumn="1" w:lastColumn="0" w:noHBand="0" w:noVBand="1"/>
      </w:tblPr>
      <w:tblGrid>
        <w:gridCol w:w="4560"/>
        <w:gridCol w:w="1660"/>
      </w:tblGrid>
      <w:tr w:rsidR="00144624" w:rsidRPr="006C683B" w14:paraId="0F30FFF4"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F3856"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Table 6: Quality of Life Assessment</w:t>
            </w:r>
          </w:p>
        </w:tc>
      </w:tr>
      <w:tr w:rsidR="00144624" w:rsidRPr="006C683B" w14:paraId="34D9B3D5"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65D7FCC5"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QoL Domain (EORTC QLQ-C30)</w:t>
            </w:r>
          </w:p>
        </w:tc>
        <w:tc>
          <w:tcPr>
            <w:tcW w:w="1660" w:type="dxa"/>
            <w:tcBorders>
              <w:top w:val="nil"/>
              <w:left w:val="nil"/>
              <w:bottom w:val="single" w:sz="4" w:space="0" w:color="auto"/>
              <w:right w:val="single" w:sz="4" w:space="0" w:color="auto"/>
            </w:tcBorders>
            <w:shd w:val="clear" w:color="auto" w:fill="auto"/>
            <w:vAlign w:val="center"/>
            <w:hideMark/>
          </w:tcPr>
          <w:p w14:paraId="2A08F632"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Mean ± SD</w:t>
            </w:r>
          </w:p>
        </w:tc>
      </w:tr>
      <w:tr w:rsidR="00144624" w:rsidRPr="006C683B" w14:paraId="61E831D4"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ED4B9CA"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Functional Scales (0-100, higher = better)</w:t>
            </w:r>
          </w:p>
        </w:tc>
      </w:tr>
      <w:tr w:rsidR="00144624" w:rsidRPr="006C683B" w14:paraId="6EAA9BA4"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23CC7BB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Global Health Status/QoL</w:t>
            </w:r>
          </w:p>
        </w:tc>
        <w:tc>
          <w:tcPr>
            <w:tcW w:w="1660" w:type="dxa"/>
            <w:tcBorders>
              <w:top w:val="nil"/>
              <w:left w:val="nil"/>
              <w:bottom w:val="single" w:sz="4" w:space="0" w:color="auto"/>
              <w:right w:val="single" w:sz="4" w:space="0" w:color="auto"/>
            </w:tcBorders>
            <w:shd w:val="clear" w:color="auto" w:fill="auto"/>
            <w:vAlign w:val="center"/>
            <w:hideMark/>
          </w:tcPr>
          <w:p w14:paraId="76B3E6C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 </w:t>
            </w:r>
          </w:p>
        </w:tc>
      </w:tr>
      <w:tr w:rsidR="00144624" w:rsidRPr="006C683B" w14:paraId="6DA354AD"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2221D9F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07B2B3A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53.6 ± 16.6</w:t>
            </w:r>
          </w:p>
        </w:tc>
      </w:tr>
      <w:tr w:rsidR="00144624" w:rsidRPr="006C683B" w14:paraId="6CB6A870"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2DF45B7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1265F6B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58.2 ± 20.2</w:t>
            </w:r>
          </w:p>
        </w:tc>
      </w:tr>
      <w:tr w:rsidR="00144624" w:rsidRPr="006C683B" w14:paraId="231C9C3A"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668C85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6CDADB5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4.6 ± 13.8</w:t>
            </w:r>
          </w:p>
        </w:tc>
      </w:tr>
      <w:tr w:rsidR="00144624" w:rsidRPr="006C683B" w14:paraId="5DDBD41E"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1BA222D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361EFCF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&lt;0.001</w:t>
            </w:r>
          </w:p>
        </w:tc>
      </w:tr>
      <w:tr w:rsidR="00144624" w:rsidRPr="006C683B" w14:paraId="2D196B08"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5655FCF"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Physical Functioning</w:t>
            </w:r>
          </w:p>
        </w:tc>
      </w:tr>
      <w:tr w:rsidR="00144624" w:rsidRPr="006C683B" w14:paraId="5E478E20"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432BDBC9"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049B8B9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70.4 ± 17.7</w:t>
            </w:r>
          </w:p>
        </w:tc>
      </w:tr>
      <w:tr w:rsidR="00144624" w:rsidRPr="006C683B" w14:paraId="4BE1CDE8"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7A245323"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5E966D0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72.9 ± 20.3</w:t>
            </w:r>
          </w:p>
        </w:tc>
      </w:tr>
      <w:tr w:rsidR="00144624" w:rsidRPr="006C683B" w14:paraId="13479D04"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0A51CB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494C683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2.5 ± 10.9</w:t>
            </w:r>
          </w:p>
        </w:tc>
      </w:tr>
      <w:tr w:rsidR="00144624" w:rsidRPr="006C683B" w14:paraId="6F34BAAF"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D5F666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0FE8C0A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0.156</w:t>
            </w:r>
          </w:p>
        </w:tc>
      </w:tr>
      <w:tr w:rsidR="00144624" w:rsidRPr="006C683B" w14:paraId="4DB54D2E"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EAC5DB"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Role Functioning</w:t>
            </w:r>
          </w:p>
        </w:tc>
      </w:tr>
      <w:tr w:rsidR="00144624" w:rsidRPr="006C683B" w14:paraId="64BF4703"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F5EC9C2"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326EEE7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64.7 ± 21.0</w:t>
            </w:r>
          </w:p>
        </w:tc>
      </w:tr>
      <w:tr w:rsidR="00144624" w:rsidRPr="006C683B" w14:paraId="5EBEF0CE"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19141AA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334E527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67.7 ± 22.5</w:t>
            </w:r>
          </w:p>
        </w:tc>
      </w:tr>
      <w:tr w:rsidR="00144624" w:rsidRPr="006C683B" w14:paraId="36AE4CF9"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E28EA8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62BAE34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2.9 ± 12.7</w:t>
            </w:r>
          </w:p>
        </w:tc>
      </w:tr>
      <w:tr w:rsidR="00144624" w:rsidRPr="006C683B" w14:paraId="38ACF1D4"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7CBC40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3F2CE72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0.156</w:t>
            </w:r>
          </w:p>
        </w:tc>
      </w:tr>
      <w:tr w:rsidR="00144624" w:rsidRPr="006C683B" w14:paraId="132089AE"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DC61500"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Emotional Functioning</w:t>
            </w:r>
          </w:p>
        </w:tc>
      </w:tr>
      <w:tr w:rsidR="00144624" w:rsidRPr="006C683B" w14:paraId="7602A1F2"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624E822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78E4A10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60.9 ± 22.4</w:t>
            </w:r>
          </w:p>
        </w:tc>
      </w:tr>
      <w:tr w:rsidR="00144624" w:rsidRPr="006C683B" w14:paraId="221D097A"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E0BAC6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00E3115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64.4 ± 24.8</w:t>
            </w:r>
          </w:p>
        </w:tc>
      </w:tr>
      <w:tr w:rsidR="00144624" w:rsidRPr="006C683B" w14:paraId="6A8DB714"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4F01631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0344340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3.5 ± 11.7</w:t>
            </w:r>
          </w:p>
        </w:tc>
      </w:tr>
      <w:tr w:rsidR="00144624" w:rsidRPr="006C683B" w14:paraId="05F3E85B"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9B56ABC"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1FCC916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&lt;0.001</w:t>
            </w:r>
          </w:p>
        </w:tc>
      </w:tr>
      <w:tr w:rsidR="00144624" w:rsidRPr="006C683B" w14:paraId="3157156E"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2591CB"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Cognitive Functioning</w:t>
            </w:r>
          </w:p>
        </w:tc>
      </w:tr>
      <w:tr w:rsidR="00144624" w:rsidRPr="006C683B" w14:paraId="31A4D6F8"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74DDDA06"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7E0219C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72.1 ± 15.9</w:t>
            </w:r>
          </w:p>
        </w:tc>
      </w:tr>
      <w:tr w:rsidR="00144624" w:rsidRPr="006C683B" w14:paraId="37E8AB03"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1BD7A79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3B43ED0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74.9 ± 19.4</w:t>
            </w:r>
          </w:p>
        </w:tc>
      </w:tr>
      <w:tr w:rsidR="00144624" w:rsidRPr="006C683B" w14:paraId="095C0447"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73F575E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2AB8A9E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2.8 ± 11.8</w:t>
            </w:r>
          </w:p>
        </w:tc>
      </w:tr>
      <w:tr w:rsidR="00144624" w:rsidRPr="006C683B" w14:paraId="5D04BB19"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2A1CD21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2EB47BF9"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0.156</w:t>
            </w:r>
          </w:p>
        </w:tc>
      </w:tr>
      <w:tr w:rsidR="00144624" w:rsidRPr="006C683B" w14:paraId="75EB939B"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98A9E67"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Social Functioning</w:t>
            </w:r>
          </w:p>
        </w:tc>
      </w:tr>
      <w:tr w:rsidR="00144624" w:rsidRPr="006C683B" w14:paraId="0F1C7CF1"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698A985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lastRenderedPageBreak/>
              <w:t>Baseline</w:t>
            </w:r>
          </w:p>
        </w:tc>
        <w:tc>
          <w:tcPr>
            <w:tcW w:w="1660" w:type="dxa"/>
            <w:tcBorders>
              <w:top w:val="nil"/>
              <w:left w:val="nil"/>
              <w:bottom w:val="single" w:sz="4" w:space="0" w:color="auto"/>
              <w:right w:val="single" w:sz="4" w:space="0" w:color="auto"/>
            </w:tcBorders>
            <w:shd w:val="clear" w:color="auto" w:fill="auto"/>
            <w:vAlign w:val="center"/>
            <w:hideMark/>
          </w:tcPr>
          <w:p w14:paraId="0504401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67.1 ± 22.4</w:t>
            </w:r>
          </w:p>
        </w:tc>
      </w:tr>
      <w:tr w:rsidR="00144624" w:rsidRPr="006C683B" w14:paraId="713EA410"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2F1EC5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26038CD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69.2 ± 23.2</w:t>
            </w:r>
          </w:p>
        </w:tc>
      </w:tr>
      <w:tr w:rsidR="00144624" w:rsidRPr="006C683B" w14:paraId="78D60965"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0B28EE1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3C4331B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2.1 ± 10.9</w:t>
            </w:r>
          </w:p>
        </w:tc>
      </w:tr>
      <w:tr w:rsidR="00144624" w:rsidRPr="006C683B" w14:paraId="451DAC74"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46336D70"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3DFA445E"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0.156</w:t>
            </w:r>
          </w:p>
        </w:tc>
      </w:tr>
      <w:tr w:rsidR="00144624" w:rsidRPr="006C683B" w14:paraId="7403D529"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E6DC3F8" w14:textId="77777777" w:rsidR="00144624" w:rsidRPr="006C683B" w:rsidRDefault="00144624" w:rsidP="00144624">
            <w:pPr>
              <w:spacing w:after="0" w:line="240" w:lineRule="auto"/>
              <w:jc w:val="center"/>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Symptom Scales (0-100, higher = worse)</w:t>
            </w:r>
          </w:p>
        </w:tc>
      </w:tr>
      <w:tr w:rsidR="00144624" w:rsidRPr="006C683B" w14:paraId="1DA10C06"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2157E74"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Fatigue</w:t>
            </w:r>
          </w:p>
        </w:tc>
      </w:tr>
      <w:tr w:rsidR="00144624" w:rsidRPr="006C683B" w14:paraId="53B158AC"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4656FA8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11D5D74D"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45.8 ± 23.1</w:t>
            </w:r>
          </w:p>
        </w:tc>
      </w:tr>
      <w:tr w:rsidR="00144624" w:rsidRPr="006C683B" w14:paraId="5A6BBE74"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5A3A50F"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020023D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41.2 ± 25.4</w:t>
            </w:r>
          </w:p>
        </w:tc>
      </w:tr>
      <w:tr w:rsidR="00144624" w:rsidRPr="006C683B" w14:paraId="7C71D43C"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72764FB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3FDC2B31"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-4.7 ± 16.0</w:t>
            </w:r>
          </w:p>
        </w:tc>
      </w:tr>
      <w:tr w:rsidR="00144624" w:rsidRPr="006C683B" w14:paraId="74E73846"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5E7EF0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1DCA4C8B"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&lt;0.001</w:t>
            </w:r>
          </w:p>
        </w:tc>
      </w:tr>
      <w:tr w:rsidR="00144624" w:rsidRPr="006C683B" w14:paraId="352FB8D3"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566D614"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Nausea and Vomiting</w:t>
            </w:r>
          </w:p>
        </w:tc>
      </w:tr>
      <w:tr w:rsidR="00144624" w:rsidRPr="006C683B" w14:paraId="298E4260"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02D23E4A"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56AC42D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24.2 ± 15.9</w:t>
            </w:r>
          </w:p>
        </w:tc>
      </w:tr>
      <w:tr w:rsidR="00144624" w:rsidRPr="006C683B" w14:paraId="26307BD3"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19533C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63F0C132"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23.4 ± 21.4</w:t>
            </w:r>
          </w:p>
        </w:tc>
      </w:tr>
      <w:tr w:rsidR="00144624" w:rsidRPr="006C683B" w14:paraId="187BCF13"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2D0B0D4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1C08CBB6"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-0.8 ± 14.6</w:t>
            </w:r>
          </w:p>
        </w:tc>
      </w:tr>
      <w:tr w:rsidR="00144624" w:rsidRPr="006C683B" w14:paraId="1B849367"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60C3CA17"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522CCB6A"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0.156</w:t>
            </w:r>
          </w:p>
        </w:tc>
      </w:tr>
      <w:tr w:rsidR="00144624" w:rsidRPr="006C683B" w14:paraId="4A9BE1A8"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8178D7D"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Pain</w:t>
            </w:r>
          </w:p>
        </w:tc>
      </w:tr>
      <w:tr w:rsidR="00144624" w:rsidRPr="006C683B" w14:paraId="594F675E"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92CBD6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Baseline</w:t>
            </w:r>
          </w:p>
        </w:tc>
        <w:tc>
          <w:tcPr>
            <w:tcW w:w="1660" w:type="dxa"/>
            <w:tcBorders>
              <w:top w:val="nil"/>
              <w:left w:val="nil"/>
              <w:bottom w:val="single" w:sz="4" w:space="0" w:color="auto"/>
              <w:right w:val="single" w:sz="4" w:space="0" w:color="auto"/>
            </w:tcBorders>
            <w:shd w:val="clear" w:color="auto" w:fill="auto"/>
            <w:vAlign w:val="center"/>
            <w:hideMark/>
          </w:tcPr>
          <w:p w14:paraId="246BDEC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37.4 ± 20.8</w:t>
            </w:r>
          </w:p>
        </w:tc>
      </w:tr>
      <w:tr w:rsidR="00144624" w:rsidRPr="006C683B" w14:paraId="39DC9480"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63D5584"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12 weeks</w:t>
            </w:r>
          </w:p>
        </w:tc>
        <w:tc>
          <w:tcPr>
            <w:tcW w:w="1660" w:type="dxa"/>
            <w:tcBorders>
              <w:top w:val="nil"/>
              <w:left w:val="nil"/>
              <w:bottom w:val="single" w:sz="4" w:space="0" w:color="auto"/>
              <w:right w:val="single" w:sz="4" w:space="0" w:color="auto"/>
            </w:tcBorders>
            <w:shd w:val="clear" w:color="auto" w:fill="auto"/>
            <w:vAlign w:val="center"/>
            <w:hideMark/>
          </w:tcPr>
          <w:p w14:paraId="0A069707"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33.7 ± 24.3</w:t>
            </w:r>
          </w:p>
        </w:tc>
      </w:tr>
      <w:tr w:rsidR="00144624" w:rsidRPr="006C683B" w14:paraId="32C7E90F"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5E39CBB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Change from baseline*</w:t>
            </w:r>
          </w:p>
        </w:tc>
        <w:tc>
          <w:tcPr>
            <w:tcW w:w="1660" w:type="dxa"/>
            <w:tcBorders>
              <w:top w:val="nil"/>
              <w:left w:val="nil"/>
              <w:bottom w:val="single" w:sz="4" w:space="0" w:color="auto"/>
              <w:right w:val="single" w:sz="4" w:space="0" w:color="auto"/>
            </w:tcBorders>
            <w:shd w:val="clear" w:color="auto" w:fill="auto"/>
            <w:vAlign w:val="center"/>
            <w:hideMark/>
          </w:tcPr>
          <w:p w14:paraId="6A49F84F"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-3.7 ± 13.5</w:t>
            </w:r>
          </w:p>
        </w:tc>
      </w:tr>
      <w:tr w:rsidR="00144624" w:rsidRPr="006C683B" w14:paraId="41DDEE4C"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A44AFAE"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P-value</w:t>
            </w:r>
          </w:p>
        </w:tc>
        <w:tc>
          <w:tcPr>
            <w:tcW w:w="1660" w:type="dxa"/>
            <w:tcBorders>
              <w:top w:val="nil"/>
              <w:left w:val="nil"/>
              <w:bottom w:val="single" w:sz="4" w:space="0" w:color="auto"/>
              <w:right w:val="single" w:sz="4" w:space="0" w:color="auto"/>
            </w:tcBorders>
            <w:shd w:val="clear" w:color="auto" w:fill="auto"/>
            <w:vAlign w:val="center"/>
            <w:hideMark/>
          </w:tcPr>
          <w:p w14:paraId="781467C5"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&lt;0.001</w:t>
            </w:r>
          </w:p>
        </w:tc>
      </w:tr>
      <w:tr w:rsidR="00144624" w:rsidRPr="006C683B" w14:paraId="2CC521E7" w14:textId="77777777" w:rsidTr="00144624">
        <w:trPr>
          <w:trHeight w:val="312"/>
        </w:trPr>
        <w:tc>
          <w:tcPr>
            <w:tcW w:w="62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A0BABA7" w14:textId="77777777" w:rsidR="00144624" w:rsidRPr="006C683B" w:rsidRDefault="00144624" w:rsidP="00144624">
            <w:pPr>
              <w:spacing w:after="0" w:line="240" w:lineRule="auto"/>
              <w:rPr>
                <w:rFonts w:ascii="Times New Roman" w:eastAsia="Times New Roman" w:hAnsi="Times New Roman" w:cs="Times New Roman"/>
                <w:b/>
                <w:bCs/>
                <w:color w:val="000000"/>
                <w:sz w:val="24"/>
                <w:szCs w:val="24"/>
                <w:lang w:val="en-PK" w:eastAsia="en-PK"/>
              </w:rPr>
            </w:pPr>
            <w:r w:rsidRPr="006C683B">
              <w:rPr>
                <w:rFonts w:ascii="Times New Roman" w:eastAsia="Times New Roman" w:hAnsi="Times New Roman" w:cs="Times New Roman"/>
                <w:b/>
                <w:bCs/>
                <w:color w:val="000000"/>
                <w:sz w:val="24"/>
                <w:szCs w:val="24"/>
                <w:lang w:val="en-PK" w:eastAsia="en-PK"/>
              </w:rPr>
              <w:t>Clinically Meaningful Changes (≥10 points)</w:t>
            </w:r>
          </w:p>
        </w:tc>
      </w:tr>
      <w:tr w:rsidR="00144624" w:rsidRPr="006C683B" w14:paraId="142A69FE"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21B254B1"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Improved Global Health, n (%)</w:t>
            </w:r>
          </w:p>
        </w:tc>
        <w:tc>
          <w:tcPr>
            <w:tcW w:w="1660" w:type="dxa"/>
            <w:tcBorders>
              <w:top w:val="nil"/>
              <w:left w:val="nil"/>
              <w:bottom w:val="single" w:sz="4" w:space="0" w:color="auto"/>
              <w:right w:val="single" w:sz="4" w:space="0" w:color="auto"/>
            </w:tcBorders>
            <w:shd w:val="clear" w:color="auto" w:fill="auto"/>
            <w:vAlign w:val="center"/>
            <w:hideMark/>
          </w:tcPr>
          <w:p w14:paraId="5167BF80"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42 (35.0)</w:t>
            </w:r>
          </w:p>
        </w:tc>
      </w:tr>
      <w:tr w:rsidR="00144624" w:rsidRPr="006C683B" w14:paraId="3034A8A7"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3A30FC9B"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Improved Physical Functioning, n (%)</w:t>
            </w:r>
          </w:p>
        </w:tc>
        <w:tc>
          <w:tcPr>
            <w:tcW w:w="1660" w:type="dxa"/>
            <w:tcBorders>
              <w:top w:val="nil"/>
              <w:left w:val="nil"/>
              <w:bottom w:val="single" w:sz="4" w:space="0" w:color="auto"/>
              <w:right w:val="single" w:sz="4" w:space="0" w:color="auto"/>
            </w:tcBorders>
            <w:shd w:val="clear" w:color="auto" w:fill="auto"/>
            <w:vAlign w:val="center"/>
            <w:hideMark/>
          </w:tcPr>
          <w:p w14:paraId="04579D2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29 (24.2)</w:t>
            </w:r>
          </w:p>
        </w:tc>
      </w:tr>
      <w:tr w:rsidR="00144624" w:rsidRPr="006C683B" w14:paraId="0BEBB0F7"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6F36CD15"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Reduced Fatigue, n (%)</w:t>
            </w:r>
          </w:p>
        </w:tc>
        <w:tc>
          <w:tcPr>
            <w:tcW w:w="1660" w:type="dxa"/>
            <w:tcBorders>
              <w:top w:val="nil"/>
              <w:left w:val="nil"/>
              <w:bottom w:val="single" w:sz="4" w:space="0" w:color="auto"/>
              <w:right w:val="single" w:sz="4" w:space="0" w:color="auto"/>
            </w:tcBorders>
            <w:shd w:val="clear" w:color="auto" w:fill="auto"/>
            <w:vAlign w:val="center"/>
            <w:hideMark/>
          </w:tcPr>
          <w:p w14:paraId="2466843C"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43 (35.8)</w:t>
            </w:r>
          </w:p>
        </w:tc>
      </w:tr>
      <w:tr w:rsidR="00144624" w:rsidRPr="006C683B" w14:paraId="2E1905AD" w14:textId="77777777" w:rsidTr="00144624">
        <w:trPr>
          <w:trHeight w:val="312"/>
        </w:trPr>
        <w:tc>
          <w:tcPr>
            <w:tcW w:w="4560" w:type="dxa"/>
            <w:tcBorders>
              <w:top w:val="nil"/>
              <w:left w:val="single" w:sz="4" w:space="0" w:color="auto"/>
              <w:bottom w:val="single" w:sz="4" w:space="0" w:color="auto"/>
              <w:right w:val="single" w:sz="4" w:space="0" w:color="auto"/>
            </w:tcBorders>
            <w:shd w:val="clear" w:color="auto" w:fill="auto"/>
            <w:vAlign w:val="center"/>
            <w:hideMark/>
          </w:tcPr>
          <w:p w14:paraId="6BF0ABED" w14:textId="77777777" w:rsidR="00144624" w:rsidRPr="006C683B" w:rsidRDefault="00144624" w:rsidP="00144624">
            <w:pPr>
              <w:spacing w:after="0" w:line="240" w:lineRule="auto"/>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Reduced Pain, n (%)</w:t>
            </w:r>
          </w:p>
        </w:tc>
        <w:tc>
          <w:tcPr>
            <w:tcW w:w="1660" w:type="dxa"/>
            <w:tcBorders>
              <w:top w:val="nil"/>
              <w:left w:val="nil"/>
              <w:bottom w:val="single" w:sz="4" w:space="0" w:color="auto"/>
              <w:right w:val="single" w:sz="4" w:space="0" w:color="auto"/>
            </w:tcBorders>
            <w:shd w:val="clear" w:color="auto" w:fill="auto"/>
            <w:vAlign w:val="center"/>
            <w:hideMark/>
          </w:tcPr>
          <w:p w14:paraId="0B0085C8" w14:textId="77777777" w:rsidR="00144624" w:rsidRPr="006C683B" w:rsidRDefault="00144624" w:rsidP="00144624">
            <w:pPr>
              <w:spacing w:after="0" w:line="240" w:lineRule="auto"/>
              <w:jc w:val="center"/>
              <w:rPr>
                <w:rFonts w:ascii="Times New Roman" w:eastAsia="Times New Roman" w:hAnsi="Times New Roman" w:cs="Times New Roman"/>
                <w:color w:val="000000"/>
                <w:sz w:val="24"/>
                <w:szCs w:val="24"/>
                <w:lang w:val="en-PK" w:eastAsia="en-PK"/>
              </w:rPr>
            </w:pPr>
            <w:r w:rsidRPr="006C683B">
              <w:rPr>
                <w:rFonts w:ascii="Times New Roman" w:eastAsia="Times New Roman" w:hAnsi="Times New Roman" w:cs="Times New Roman"/>
                <w:color w:val="000000"/>
                <w:sz w:val="24"/>
                <w:szCs w:val="24"/>
                <w:lang w:val="en-PK" w:eastAsia="en-PK"/>
              </w:rPr>
              <w:t>34 (28.3)</w:t>
            </w:r>
          </w:p>
        </w:tc>
      </w:tr>
    </w:tbl>
    <w:p w14:paraId="1E99E9F8" w14:textId="10FB8449" w:rsidR="00144624" w:rsidRPr="006C683B" w:rsidRDefault="00144624">
      <w:pPr>
        <w:rPr>
          <w:rFonts w:ascii="Times New Roman" w:hAnsi="Times New Roman" w:cs="Times New Roman"/>
          <w:sz w:val="24"/>
          <w:szCs w:val="24"/>
        </w:rPr>
      </w:pPr>
    </w:p>
    <w:p w14:paraId="1C0E8E1B" w14:textId="756E7460" w:rsidR="00144624" w:rsidRPr="006C683B" w:rsidRDefault="00144624">
      <w:pPr>
        <w:rPr>
          <w:rFonts w:ascii="Times New Roman" w:hAnsi="Times New Roman" w:cs="Times New Roman"/>
          <w:sz w:val="24"/>
          <w:szCs w:val="24"/>
        </w:rPr>
      </w:pPr>
    </w:p>
    <w:p w14:paraId="29738D86" w14:textId="510910E4" w:rsidR="00144624" w:rsidRPr="006C683B" w:rsidRDefault="00144624">
      <w:pPr>
        <w:rPr>
          <w:rFonts w:ascii="Times New Roman" w:hAnsi="Times New Roman" w:cs="Times New Roman"/>
          <w:sz w:val="24"/>
          <w:szCs w:val="24"/>
        </w:rPr>
      </w:pPr>
    </w:p>
    <w:p w14:paraId="32F43F20" w14:textId="77777777" w:rsidR="00916D70" w:rsidRPr="006C683B" w:rsidRDefault="00916D70" w:rsidP="00916D70">
      <w:pPr>
        <w:spacing w:after="210" w:line="360" w:lineRule="auto"/>
        <w:rPr>
          <w:rFonts w:ascii="Times New Roman" w:hAnsi="Times New Roman" w:cs="Times New Roman"/>
          <w:b/>
          <w:bCs/>
          <w:sz w:val="24"/>
          <w:szCs w:val="24"/>
        </w:rPr>
      </w:pPr>
      <w:r w:rsidRPr="006C683B">
        <w:rPr>
          <w:rFonts w:ascii="Times New Roman" w:eastAsia="inter" w:hAnsi="Times New Roman" w:cs="Times New Roman"/>
          <w:b/>
          <w:bCs/>
          <w:color w:val="000000"/>
          <w:sz w:val="24"/>
          <w:szCs w:val="24"/>
        </w:rPr>
        <w:t>References Introduction</w:t>
      </w:r>
    </w:p>
    <w:p w14:paraId="5F267B46" w14:textId="77777777" w:rsidR="00916D70" w:rsidRPr="006C683B" w:rsidRDefault="006C683B" w:rsidP="00916D70">
      <w:pPr>
        <w:spacing w:before="210" w:after="0" w:line="360" w:lineRule="auto"/>
        <w:rPr>
          <w:rFonts w:ascii="Times New Roman" w:hAnsi="Times New Roman" w:cs="Times New Roman"/>
          <w:sz w:val="24"/>
          <w:szCs w:val="24"/>
        </w:rPr>
      </w:pPr>
      <w:r w:rsidRPr="006C683B">
        <w:rPr>
          <w:rFonts w:ascii="Times New Roman" w:hAnsi="Times New Roman" w:cs="Times New Roman"/>
          <w:noProof/>
          <w:sz w:val="24"/>
          <w:szCs w:val="24"/>
        </w:rPr>
      </w:r>
      <w:r w:rsidRPr="006C683B">
        <w:rPr>
          <w:rFonts w:ascii="Times New Roman" w:hAnsi="Times New Roman" w:cs="Times New Roman"/>
          <w:noProof/>
          <w:sz w:val="24"/>
          <w:szCs w:val="24"/>
        </w:rPr>
        <w:pict w14:anchorId="1F12E552">
          <v:rect id="_x0000_s1027"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bookmarkStart w:id="48" w:name="fn1"/>
    <w:bookmarkEnd w:id="48"/>
    <w:p w14:paraId="625425A9"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"https://cancerci.biomedcentral.com/articles/10.1186/s12935-024-03236-1"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https://cancerci.biomedcentral.com/articles/10.1186/s12935-024-03236-1</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49" w:name="fn2"/>
    <w:bookmarkEnd w:id="49"/>
    <w:p w14:paraId="5135C08D"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"https://cancerimagingjournal.biomedcentral.com/articles/10.1186/s40644-024-00698-4"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https://cancerimagingjournal.biomedcentral.com/articles/10.1186/s40644-024-00698-4</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0" w:name="fn3"/>
    <w:bookmarkEnd w:id="50"/>
    <w:p w14:paraId="1628BA3E"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"https://aacrjournals.org/clincancerres/article/30/10/2039/745173/Onvansertib-in-Combination-with-FOLFIRI-and"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https://aacrjournals.org/clincancerres/article/30/10/2039/745173/Onvansertib-in-Combination-with-FOLFIRI-and</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1" w:name="fn4"/>
    <w:bookmarkEnd w:id="51"/>
    <w:p w14:paraId="337D87E8"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"https://ejrnm.springeropen.com/articles/10.1186/s43055-023-00961-x"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https://ejrnm.springeropen.com/articles/10.1186/s43055-023-00961-x</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2" w:name="fn5"/>
    <w:bookmarkEnd w:id="52"/>
    <w:p w14:paraId="71D3AFA3"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lastRenderedPageBreak/>
        <w:fldChar w:fldCharType="begin"/>
      </w:r>
      <w:r w:rsidRPr="006C683B">
        <w:rPr>
          <w:rFonts w:ascii="Times New Roman" w:hAnsi="Times New Roman" w:cs="Times New Roman"/>
          <w:sz w:val="24"/>
          <w:szCs w:val="24"/>
        </w:rPr>
        <w:instrText xml:space="preserve"> HYPERLINK "https://aacrjournals.org/cancerres/article/84/6_Supplement/4788/738172/Abstract-4788-Noninvasive-longitudinal-monitoring"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https://aacrjournals.org/cancerres/article/84/6_Supplement/4788/738172/Abstract-4788-Noninvasive-longitudinal-monitoring</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3" w:name="fn6"/>
    <w:bookmarkEnd w:id="53"/>
    <w:p w14:paraId="6105F0AE"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"https://aacrjournals.org/cancerres/article/84/6_Supplement/3673/737153/Abstract-3673-Monitoring-treatment-response-in"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https://aacrjournals.org/cancerres/article/84/6_Supplement/3673/737153/Abstract-3673-Monitoring-treatment-response-in</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4" w:name="fn7"/>
    <w:bookmarkEnd w:id="54"/>
    <w:p w14:paraId="3BEF35C7"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"https://aacrjournals.org/clincancerres/article/30/21_Supplement/PR009/749506/Abstract-PR009-Application-of-Liquid-Biopsy-RECIST"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https://aacrjournals.org/clincancerres/article/30/21_Supplement/PR009/749506/Abstract-PR009-Application-of-Liquid-Biopsy-RECIST</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5" w:name="fn8"/>
    <w:bookmarkEnd w:id="55"/>
    <w:p w14:paraId="62EEE2B7"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"https://link.springer.com/10.1007/s00261-024-04492-5"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https://link.springer.com/10.1007/s00261-024-04492-5</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6" w:name="fn9"/>
    <w:bookmarkEnd w:id="56"/>
    <w:p w14:paraId="017C7501"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"https://aacrjournals.org/cancerres/article/84/9_Supplement/PO4-06-03/743338/Abstract-PO4-06-03-A-comparative-study-between"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https://aacrjournals.org/cancerres/article/84/9_Supplement/PO4-06-03/743338/Abstract-PO4-06-03-A-comparative-study-between</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7" w:name="fn10"/>
    <w:bookmarkEnd w:id="57"/>
    <w:p w14:paraId="1EA157C5"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"https://journals.lww.com/10.4103/ijnm.ijnm_60_24"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https://journals.lww.com/10.4103/ijnm.ijnm_60_24</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8" w:name="fn11"/>
    <w:bookmarkEnd w:id="58"/>
    <w:p w14:paraId="2EB0E115"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"https://cancerimagingjournal.biomedcentral.com/articles/10.1186/s40644-024-00787-4"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https://cancerimagingjournal.biomedcentral.com/articles/10.1186/s40644-024-00787-4</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59" w:name="fn12"/>
    <w:bookmarkEnd w:id="59"/>
    <w:p w14:paraId="52B7B0AA"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"https://journal.waocp.org/article_91388.html"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https://journal.waocp.org/article_91388.html</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0" w:name="fn13"/>
    <w:bookmarkEnd w:id="60"/>
    <w:p w14:paraId="6C015DA2"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"http://www.thieme-connect.de/DOI/DOI?10.1055/s-0045-1802336"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http://www.thieme-connect.de/DOI/DOI?10.1055/s-0045-1802336</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1" w:name="fn14"/>
    <w:bookmarkEnd w:id="61"/>
    <w:p w14:paraId="0B71F95B"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"https://insightsimaging.springeropen.com/articles/10.1186/s13244-024-01828-z"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https://insightsimaging.springeropen.com/articles/10.1186/s13244-024-01828-z</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2" w:name="fn15"/>
    <w:bookmarkEnd w:id="62"/>
    <w:p w14:paraId="2E77C1F2"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"https://qims.amegroups.com/article/view/126910/html"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https://qims.amegroups.com/article/view/126910/html</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3" w:name="fn16"/>
    <w:bookmarkEnd w:id="63"/>
    <w:p w14:paraId="435828FF"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"https://insightsimaging.springeropen.com/articles/10.1186/s13244-024-01852-z"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https://insightsimaging.springeropen.com/articles/10.1186/s13244-024-01852-z</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4" w:name="fn17"/>
    <w:bookmarkEnd w:id="64"/>
    <w:p w14:paraId="28298E70"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"https://aacrjournals.org/cancerrescommun/article/4/3/938/742007/High-resolution-Diffusion-weighted-Imaging-to"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https://aacrjournals.org/cancerrescommun/article/4/3/938/742007/High-resolution-Diffusion-weighted-Imaging-to</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5" w:name="fn18"/>
    <w:bookmarkEnd w:id="65"/>
    <w:p w14:paraId="5D4A2352"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"https://cancerimagingjournal.biomedcentral.com/articles/10.1186/s40644-024-00723-6"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https://cancerimagingjournal.biomedcentral.com/articles/10.1186/s40644-024-00723-6</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6" w:name="fn19"/>
    <w:bookmarkEnd w:id="66"/>
    <w:p w14:paraId="0039E951"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"https://ejrnm.springeropen.com/articles/10.1186/s43055-023-01017-w"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https://ejrnm.springeropen.com/articles/10.1186/s43055-023-01017-w</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7" w:name="fn20"/>
    <w:bookmarkEnd w:id="67"/>
    <w:p w14:paraId="48B88AD0"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"https://www.cureus.com/articles/266137-comparative-analysis-of-whole-body-diffusion-weighted-imaging-and-petct-in-metastasis-detection-a-prospective-study"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https://www.cureus.com/articles/266137-comparative-analysis-of-whole-body-diffusion-weighted-imaging-and-petct-in-metastasis-detection-a-prospective-study</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8" w:name="fn21"/>
    <w:bookmarkEnd w:id="68"/>
    <w:p w14:paraId="6AB224DA"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"https://www.frontiersin.org/articles/10.3389/fmed.2024.1517805/full"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https://www.frontiersin.org/articles/10.3389/fmed.2024.1517805/full</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69" w:name="fn22"/>
    <w:bookmarkEnd w:id="69"/>
    <w:p w14:paraId="4F3CBEDF"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"https://journals.sagepub.com/doi/10.1177/02841851241307336"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https://journals.sagepub.com/doi/10.1177/02841851241307336</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70" w:name="fn23"/>
    <w:bookmarkEnd w:id="70"/>
    <w:p w14:paraId="68735EA1"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"https://linkinghub.elsevier.com/retrieve/pii/S1048891X2401418X"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https://linkinghub.elsevier.com/retrieve/pii/S1048891X2401418X</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71" w:name="fn24"/>
    <w:bookmarkEnd w:id="71"/>
    <w:p w14:paraId="2D023CBA"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"https://qims.amegroups.com/article/view/127690/html"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https://qims.amegroups.com/article/view/127690/html</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72" w:name="fn25"/>
    <w:bookmarkEnd w:id="72"/>
    <w:p w14:paraId="49E0772C"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"https://aacrjournals.org/cancerres/article/84/6_Supplement/2522/740744/Abstract-2522-Predictive-value-of-tumor-mutational"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https://aacrjournals.org/cancerres/article/84/6_Supplement/2522/740744/Abstract-2522-Predictive-value-of-tumor-mutational</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73" w:name="fn26"/>
    <w:bookmarkEnd w:id="73"/>
    <w:p w14:paraId="4348B763"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fldChar w:fldCharType="begin"/>
      </w:r>
      <w:r w:rsidRPr="006C683B">
        <w:rPr>
          <w:rFonts w:ascii="Times New Roman" w:hAnsi="Times New Roman" w:cs="Times New Roman"/>
          <w:sz w:val="24"/>
          <w:szCs w:val="24"/>
        </w:rPr>
        <w:instrText xml:space="preserve"> HYPERLINK "https://aacrjournals.org/cancerres/article/84/6_Supplement/2505/736300/Abstract-2505-Immune-dynamics-and-response"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https://aacrjournals.org/cancerres/article/84/6_Supplement/2505/736300/Abstract-2505-Immune-dynamics-and-response</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bookmarkStart w:id="74" w:name="fn27"/>
    <w:bookmarkEnd w:id="74"/>
    <w:p w14:paraId="57B03A17" w14:textId="77777777" w:rsidR="00916D70" w:rsidRPr="006C683B" w:rsidRDefault="00916D70" w:rsidP="00916D70">
      <w:pPr>
        <w:numPr>
          <w:ilvl w:val="0"/>
          <w:numId w:val="1"/>
        </w:numPr>
        <w:spacing w:after="0" w:line="360" w:lineRule="auto"/>
        <w:rPr>
          <w:rFonts w:ascii="Times New Roman" w:hAnsi="Times New Roman" w:cs="Times New Roman"/>
          <w:sz w:val="24"/>
          <w:szCs w:val="24"/>
        </w:rPr>
      </w:pPr>
      <w:r w:rsidRPr="006C683B">
        <w:rPr>
          <w:rFonts w:ascii="Times New Roman" w:hAnsi="Times New Roman" w:cs="Times New Roman"/>
          <w:sz w:val="24"/>
          <w:szCs w:val="24"/>
        </w:rPr>
        <w:lastRenderedPageBreak/>
        <w:fldChar w:fldCharType="begin"/>
      </w:r>
      <w:r w:rsidRPr="006C683B">
        <w:rPr>
          <w:rFonts w:ascii="Times New Roman" w:hAnsi="Times New Roman" w:cs="Times New Roman"/>
          <w:sz w:val="24"/>
          <w:szCs w:val="24"/>
        </w:rPr>
        <w:instrText xml:space="preserve"> HYPERLINK "https://aacrjournals.org/cancerres/article/84/6_Supplement/2390/739169/Abstract-2390-Longitudinal-assessment-of" \h </w:instrText>
      </w:r>
      <w:r w:rsidRPr="006C683B">
        <w:rPr>
          <w:rFonts w:ascii="Times New Roman" w:hAnsi="Times New Roman" w:cs="Times New Roman"/>
          <w:sz w:val="24"/>
          <w:szCs w:val="24"/>
        </w:rPr>
        <w:fldChar w:fldCharType="separate"/>
      </w:r>
      <w:r w:rsidRPr="006C683B">
        <w:rPr>
          <w:rFonts w:ascii="Times New Roman" w:eastAsia="inter" w:hAnsi="Times New Roman" w:cs="Times New Roman"/>
          <w:sz w:val="24"/>
          <w:szCs w:val="24"/>
          <w:u w:val="single"/>
        </w:rPr>
        <w:t>https://aacrjournals.org/cancerres/article/84/6_Supplement/2390/739169/Abstract-2390-Longitudinal-assessment-of</w:t>
      </w:r>
      <w:r w:rsidRPr="006C683B">
        <w:rPr>
          <w:rFonts w:ascii="Times New Roman" w:eastAsia="inter" w:hAnsi="Times New Roman" w:cs="Times New Roman"/>
          <w:sz w:val="24"/>
          <w:szCs w:val="24"/>
          <w:u w:val="single"/>
        </w:rPr>
        <w:fldChar w:fldCharType="end"/>
      </w:r>
      <w:r w:rsidRPr="006C683B">
        <w:rPr>
          <w:rFonts w:ascii="Times New Roman" w:eastAsia="inter" w:hAnsi="Times New Roman" w:cs="Times New Roman"/>
          <w:color w:val="000000"/>
          <w:sz w:val="24"/>
          <w:szCs w:val="24"/>
        </w:rPr>
        <w:t xml:space="preserve"> </w:t>
      </w:r>
    </w:p>
    <w:p w14:paraId="63D9D20B" w14:textId="4DAB7DC4" w:rsidR="00144624" w:rsidRPr="006C683B" w:rsidRDefault="00144624">
      <w:pPr>
        <w:rPr>
          <w:rFonts w:ascii="Times New Roman" w:hAnsi="Times New Roman" w:cs="Times New Roman"/>
          <w:sz w:val="24"/>
          <w:szCs w:val="24"/>
        </w:rPr>
      </w:pPr>
    </w:p>
    <w:p w14:paraId="4704AD22" w14:textId="1972BE88" w:rsidR="00CA78A2" w:rsidRPr="006C683B" w:rsidRDefault="00CA78A2">
      <w:pPr>
        <w:rPr>
          <w:rFonts w:ascii="Times New Roman" w:hAnsi="Times New Roman" w:cs="Times New Roman"/>
          <w:sz w:val="24"/>
          <w:szCs w:val="24"/>
        </w:rPr>
      </w:pPr>
    </w:p>
    <w:p w14:paraId="62041E54" w14:textId="530C5BD3" w:rsidR="00CA78A2" w:rsidRPr="006C683B" w:rsidRDefault="00CA78A2">
      <w:pPr>
        <w:rPr>
          <w:rFonts w:ascii="Times New Roman" w:hAnsi="Times New Roman" w:cs="Times New Roman"/>
          <w:sz w:val="24"/>
          <w:szCs w:val="24"/>
        </w:rPr>
      </w:pPr>
    </w:p>
    <w:p w14:paraId="48E2D5ED" w14:textId="77777777" w:rsidR="00CA78A2" w:rsidRPr="006C683B" w:rsidRDefault="00CA78A2" w:rsidP="00CA78A2">
      <w:pPr>
        <w:spacing w:after="210" w:line="360" w:lineRule="auto"/>
        <w:rPr>
          <w:rFonts w:ascii="Times New Roman" w:hAnsi="Times New Roman" w:cs="Times New Roman"/>
          <w:b/>
          <w:bCs/>
          <w:sz w:val="24"/>
          <w:szCs w:val="24"/>
        </w:rPr>
      </w:pPr>
      <w:r w:rsidRPr="006C683B">
        <w:rPr>
          <w:rFonts w:ascii="Times New Roman" w:eastAsia="inter" w:hAnsi="Times New Roman" w:cs="Times New Roman"/>
          <w:b/>
          <w:bCs/>
          <w:color w:val="000000"/>
          <w:sz w:val="24"/>
          <w:szCs w:val="24"/>
        </w:rPr>
        <w:t>REFERENCES DISCUSSION</w:t>
      </w:r>
    </w:p>
    <w:p w14:paraId="4135CF6C" w14:textId="77777777" w:rsidR="00CA78A2" w:rsidRPr="006C683B" w:rsidRDefault="006C683B" w:rsidP="00CA78A2">
      <w:pPr>
        <w:spacing w:before="210" w:after="0" w:line="360" w:lineRule="auto"/>
        <w:rPr>
          <w:rFonts w:ascii="Times New Roman" w:hAnsi="Times New Roman" w:cs="Times New Roman"/>
          <w:sz w:val="24"/>
          <w:szCs w:val="24"/>
        </w:rPr>
      </w:pPr>
      <w:r w:rsidRPr="006C683B">
        <w:rPr>
          <w:rFonts w:ascii="Times New Roman" w:hAnsi="Times New Roman" w:cs="Times New Roman"/>
          <w:noProof/>
          <w:sz w:val="24"/>
          <w:szCs w:val="24"/>
        </w:rPr>
      </w:r>
      <w:r w:rsidRPr="006C683B">
        <w:rPr>
          <w:rFonts w:ascii="Times New Roman" w:hAnsi="Times New Roman" w:cs="Times New Roman"/>
          <w:noProof/>
          <w:sz w:val="24"/>
          <w:szCs w:val="24"/>
        </w:rPr>
        <w:pict w14:anchorId="7AA5E22D">
          <v:rect id="_x0000_s1026" alt="" style="width:475.5pt;height:.05pt;mso-width-percent:0;mso-height-percent:0;mso-left-percent:-10001;mso-top-percent:-10001;mso-position-horizontal:absolute;mso-position-horizontal-relative:char;mso-position-vertical:absolute;mso-position-vertical-relative:line;mso-width-percent:0;mso-height-percent:0;mso-left-percent:-10001;mso-top-percent:-10001" o:hralign="center" o:hrstd="t" strokeweight="1pt">
            <v:stroke opacity="0"/>
          </v:rect>
        </w:pict>
      </w:r>
    </w:p>
    <w:p w14:paraId="48633268"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2.</w:t>
      </w:r>
      <w:hyperlink r:id="rId5" w:history="1">
        <w:r w:rsidRPr="006C683B">
          <w:rPr>
            <w:rStyle w:val="Hyperlink"/>
            <w:rFonts w:ascii="Times New Roman" w:eastAsia="inter" w:hAnsi="Times New Roman" w:cs="Times New Roman"/>
            <w:sz w:val="24"/>
            <w:szCs w:val="24"/>
          </w:rPr>
          <w:t>https://dx.plos.org/10.1371/journal.pone.0120823</w:t>
        </w:r>
      </w:hyperlink>
      <w:r w:rsidRPr="006C683B">
        <w:rPr>
          <w:rFonts w:ascii="Times New Roman" w:eastAsia="inter" w:hAnsi="Times New Roman" w:cs="Times New Roman"/>
          <w:color w:val="000000"/>
          <w:sz w:val="24"/>
          <w:szCs w:val="24"/>
        </w:rPr>
        <w:t xml:space="preserve">  </w:t>
      </w:r>
    </w:p>
    <w:p w14:paraId="2091A742"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3.</w:t>
      </w:r>
      <w:hyperlink r:id="rId6" w:history="1">
        <w:r w:rsidRPr="006C683B">
          <w:rPr>
            <w:rStyle w:val="Hyperlink"/>
            <w:rFonts w:ascii="Times New Roman" w:eastAsia="inter" w:hAnsi="Times New Roman" w:cs="Times New Roman"/>
            <w:sz w:val="24"/>
            <w:szCs w:val="24"/>
          </w:rPr>
          <w:t>https://ejrnm.springeropen.com/articles/10.1186/s43055-021-00561-7</w:t>
        </w:r>
      </w:hyperlink>
      <w:r w:rsidRPr="006C683B">
        <w:rPr>
          <w:rFonts w:ascii="Times New Roman" w:eastAsia="inter" w:hAnsi="Times New Roman" w:cs="Times New Roman"/>
          <w:color w:val="000000"/>
          <w:sz w:val="24"/>
          <w:szCs w:val="24"/>
        </w:rPr>
        <w:t xml:space="preserve"> </w:t>
      </w:r>
    </w:p>
    <w:p w14:paraId="0ECA62E6"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4.</w:t>
      </w:r>
      <w:hyperlink r:id="rId7" w:history="1">
        <w:r w:rsidRPr="006C683B">
          <w:rPr>
            <w:rStyle w:val="Hyperlink"/>
            <w:rFonts w:ascii="Times New Roman" w:eastAsia="inter" w:hAnsi="Times New Roman" w:cs="Times New Roman"/>
            <w:sz w:val="24"/>
            <w:szCs w:val="24"/>
          </w:rPr>
          <w:t>https://link.springer.com/10.1007/s00330-023-09843-2</w:t>
        </w:r>
      </w:hyperlink>
      <w:r w:rsidRPr="006C683B">
        <w:rPr>
          <w:rFonts w:ascii="Times New Roman" w:eastAsia="inter" w:hAnsi="Times New Roman" w:cs="Times New Roman"/>
          <w:color w:val="000000"/>
          <w:sz w:val="24"/>
          <w:szCs w:val="24"/>
        </w:rPr>
        <w:t xml:space="preserve">  </w:t>
      </w:r>
    </w:p>
    <w:p w14:paraId="0540D5D1"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5.</w:t>
      </w:r>
      <w:hyperlink r:id="rId8" w:history="1">
        <w:r w:rsidRPr="006C683B">
          <w:rPr>
            <w:rStyle w:val="Hyperlink"/>
            <w:rFonts w:ascii="Times New Roman" w:eastAsia="inter" w:hAnsi="Times New Roman" w:cs="Times New Roman"/>
            <w:sz w:val="24"/>
            <w:szCs w:val="24"/>
          </w:rPr>
          <w:t>https://cancerimagingjournal.biomedcentral.com/articles/10.1186/s40644-023-00557-8</w:t>
        </w:r>
      </w:hyperlink>
      <w:r w:rsidRPr="006C683B">
        <w:rPr>
          <w:rFonts w:ascii="Times New Roman" w:eastAsia="inter" w:hAnsi="Times New Roman" w:cs="Times New Roman"/>
          <w:color w:val="000000"/>
          <w:sz w:val="24"/>
          <w:szCs w:val="24"/>
        </w:rPr>
        <w:t xml:space="preserve"> </w:t>
      </w:r>
    </w:p>
    <w:p w14:paraId="2357789C"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6.</w:t>
      </w:r>
      <w:hyperlink r:id="rId9" w:history="1">
        <w:r w:rsidRPr="006C683B">
          <w:rPr>
            <w:rStyle w:val="Hyperlink"/>
            <w:rFonts w:ascii="Times New Roman" w:eastAsia="inter" w:hAnsi="Times New Roman" w:cs="Times New Roman"/>
            <w:sz w:val="24"/>
            <w:szCs w:val="24"/>
          </w:rPr>
          <w:t>https://bmccancer.biomedcentral.com/articles/10.1186/s12885-020-6617-x</w:t>
        </w:r>
      </w:hyperlink>
      <w:r w:rsidRPr="006C683B">
        <w:rPr>
          <w:rFonts w:ascii="Times New Roman" w:eastAsia="inter" w:hAnsi="Times New Roman" w:cs="Times New Roman"/>
          <w:color w:val="000000"/>
          <w:sz w:val="24"/>
          <w:szCs w:val="24"/>
        </w:rPr>
        <w:t xml:space="preserve"> </w:t>
      </w:r>
    </w:p>
    <w:p w14:paraId="6DBACFA9"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7.</w:t>
      </w:r>
      <w:hyperlink r:id="rId10" w:history="1">
        <w:r w:rsidRPr="006C683B">
          <w:rPr>
            <w:rStyle w:val="Hyperlink"/>
            <w:rFonts w:ascii="Times New Roman" w:eastAsia="inter" w:hAnsi="Times New Roman" w:cs="Times New Roman"/>
            <w:sz w:val="24"/>
            <w:szCs w:val="24"/>
          </w:rPr>
          <w:t>https://www.frontiersin.org/articles/10.3389/fonc.2023.1015976/full</w:t>
        </w:r>
      </w:hyperlink>
      <w:r w:rsidRPr="006C683B">
        <w:rPr>
          <w:rFonts w:ascii="Times New Roman" w:eastAsia="inter" w:hAnsi="Times New Roman" w:cs="Times New Roman"/>
          <w:color w:val="000000"/>
          <w:sz w:val="24"/>
          <w:szCs w:val="24"/>
        </w:rPr>
        <w:t xml:space="preserve">  </w:t>
      </w:r>
    </w:p>
    <w:p w14:paraId="32BD822D"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8.</w:t>
      </w:r>
      <w:hyperlink r:id="rId11" w:history="1">
        <w:r w:rsidRPr="006C683B">
          <w:rPr>
            <w:rStyle w:val="Hyperlink"/>
            <w:rFonts w:ascii="Times New Roman" w:eastAsia="inter" w:hAnsi="Times New Roman" w:cs="Times New Roman"/>
            <w:sz w:val="24"/>
            <w:szCs w:val="24"/>
          </w:rPr>
          <w:t>https://ascopubs.org/doi/10.1200/JCO.2023.41.6_suppl.LBA602</w:t>
        </w:r>
      </w:hyperlink>
      <w:r w:rsidRPr="006C683B">
        <w:rPr>
          <w:rFonts w:ascii="Times New Roman" w:eastAsia="inter" w:hAnsi="Times New Roman" w:cs="Times New Roman"/>
          <w:color w:val="000000"/>
          <w:sz w:val="24"/>
          <w:szCs w:val="24"/>
        </w:rPr>
        <w:t xml:space="preserve"> </w:t>
      </w:r>
    </w:p>
    <w:p w14:paraId="2B37D4E3"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9.</w:t>
      </w:r>
      <w:hyperlink r:id="rId12" w:history="1">
        <w:r w:rsidRPr="006C683B">
          <w:rPr>
            <w:rStyle w:val="Hyperlink"/>
            <w:rFonts w:ascii="Times New Roman" w:eastAsia="inter" w:hAnsi="Times New Roman" w:cs="Times New Roman"/>
            <w:sz w:val="24"/>
            <w:szCs w:val="24"/>
          </w:rPr>
          <w:t>https://www.sciendo.com/article/10.2478/raon-2024-0004</w:t>
        </w:r>
      </w:hyperlink>
      <w:r w:rsidRPr="006C683B">
        <w:rPr>
          <w:rFonts w:ascii="Times New Roman" w:eastAsia="inter" w:hAnsi="Times New Roman" w:cs="Times New Roman"/>
          <w:color w:val="000000"/>
          <w:sz w:val="24"/>
          <w:szCs w:val="24"/>
        </w:rPr>
        <w:t xml:space="preserve"> </w:t>
      </w:r>
    </w:p>
    <w:p w14:paraId="17EEC875"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10.</w:t>
      </w:r>
      <w:hyperlink r:id="rId13" w:history="1">
        <w:r w:rsidRPr="006C683B">
          <w:rPr>
            <w:rStyle w:val="Hyperlink"/>
            <w:rFonts w:ascii="Times New Roman" w:eastAsia="inter" w:hAnsi="Times New Roman" w:cs="Times New Roman"/>
            <w:sz w:val="24"/>
            <w:szCs w:val="24"/>
          </w:rPr>
          <w:t>https://www.frontiersin.org/articles/10.3389/fonc.2024.1301649/full</w:t>
        </w:r>
      </w:hyperlink>
      <w:r w:rsidRPr="006C683B">
        <w:rPr>
          <w:rFonts w:ascii="Times New Roman" w:eastAsia="inter" w:hAnsi="Times New Roman" w:cs="Times New Roman"/>
          <w:color w:val="000000"/>
          <w:sz w:val="24"/>
          <w:szCs w:val="24"/>
        </w:rPr>
        <w:t xml:space="preserve"> </w:t>
      </w:r>
    </w:p>
    <w:p w14:paraId="3E8CE8A0"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11.</w:t>
      </w:r>
      <w:hyperlink r:id="rId14" w:history="1">
        <w:r w:rsidRPr="006C683B">
          <w:rPr>
            <w:rStyle w:val="Hyperlink"/>
            <w:rFonts w:ascii="Times New Roman" w:eastAsia="inter" w:hAnsi="Times New Roman" w:cs="Times New Roman"/>
            <w:sz w:val="24"/>
            <w:szCs w:val="24"/>
          </w:rPr>
          <w:t>https://www.mdpi.com/1424-8247/12/1/16</w:t>
        </w:r>
      </w:hyperlink>
      <w:r w:rsidRPr="006C683B">
        <w:rPr>
          <w:rFonts w:ascii="Times New Roman" w:eastAsia="inter" w:hAnsi="Times New Roman" w:cs="Times New Roman"/>
          <w:color w:val="000000"/>
          <w:sz w:val="24"/>
          <w:szCs w:val="24"/>
        </w:rPr>
        <w:t xml:space="preserve"> </w:t>
      </w:r>
    </w:p>
    <w:p w14:paraId="3EC51DD6"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12.</w:t>
      </w:r>
      <w:hyperlink r:id="rId15" w:history="1">
        <w:r w:rsidRPr="006C683B">
          <w:rPr>
            <w:rStyle w:val="Hyperlink"/>
            <w:rFonts w:ascii="Times New Roman" w:eastAsia="inter" w:hAnsi="Times New Roman" w:cs="Times New Roman"/>
            <w:sz w:val="24"/>
            <w:szCs w:val="24"/>
          </w:rPr>
          <w:t>https://www.ijcrioncology.com/archive/article-full-text/100143Z10AW2025</w:t>
        </w:r>
      </w:hyperlink>
      <w:r w:rsidRPr="006C683B">
        <w:rPr>
          <w:rFonts w:ascii="Times New Roman" w:eastAsia="inter" w:hAnsi="Times New Roman" w:cs="Times New Roman"/>
          <w:color w:val="000000"/>
          <w:sz w:val="24"/>
          <w:szCs w:val="24"/>
        </w:rPr>
        <w:t xml:space="preserve"> </w:t>
      </w:r>
    </w:p>
    <w:p w14:paraId="2B16812C"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13.</w:t>
      </w:r>
      <w:hyperlink r:id="rId16" w:history="1">
        <w:r w:rsidRPr="006C683B">
          <w:rPr>
            <w:rStyle w:val="Hyperlink"/>
            <w:rFonts w:ascii="Times New Roman" w:eastAsia="inter" w:hAnsi="Times New Roman" w:cs="Times New Roman"/>
            <w:sz w:val="24"/>
            <w:szCs w:val="24"/>
          </w:rPr>
          <w:t>https://www.frontiersin.org/articles/10.3389/fonc.2023.1161738/full</w:t>
        </w:r>
      </w:hyperlink>
      <w:r w:rsidRPr="006C683B">
        <w:rPr>
          <w:rFonts w:ascii="Times New Roman" w:eastAsia="inter" w:hAnsi="Times New Roman" w:cs="Times New Roman"/>
          <w:color w:val="000000"/>
          <w:sz w:val="24"/>
          <w:szCs w:val="24"/>
        </w:rPr>
        <w:t xml:space="preserve">  </w:t>
      </w:r>
    </w:p>
    <w:p w14:paraId="19663414"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14.</w:t>
      </w:r>
      <w:hyperlink r:id="rId17" w:history="1">
        <w:r w:rsidRPr="006C683B">
          <w:rPr>
            <w:rStyle w:val="Hyperlink"/>
            <w:rFonts w:ascii="Times New Roman" w:eastAsia="inter" w:hAnsi="Times New Roman" w:cs="Times New Roman"/>
            <w:sz w:val="24"/>
            <w:szCs w:val="24"/>
          </w:rPr>
          <w:t>http://link.springer.com/10.1007/s00259-019-04452-y</w:t>
        </w:r>
      </w:hyperlink>
      <w:r w:rsidRPr="006C683B">
        <w:rPr>
          <w:rFonts w:ascii="Times New Roman" w:eastAsia="inter" w:hAnsi="Times New Roman" w:cs="Times New Roman"/>
          <w:color w:val="000000"/>
          <w:sz w:val="24"/>
          <w:szCs w:val="24"/>
        </w:rPr>
        <w:t xml:space="preserve">  </w:t>
      </w:r>
    </w:p>
    <w:p w14:paraId="00E8947F"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15.</w:t>
      </w:r>
      <w:hyperlink r:id="rId18" w:history="1">
        <w:r w:rsidRPr="006C683B">
          <w:rPr>
            <w:rStyle w:val="Hyperlink"/>
            <w:rFonts w:ascii="Times New Roman" w:eastAsia="inter" w:hAnsi="Times New Roman" w:cs="Times New Roman"/>
            <w:sz w:val="24"/>
            <w:szCs w:val="24"/>
          </w:rPr>
          <w:t>https://bmcmedimaging.biomedcentral.com/articles/10.1186/s12880-020-00425-y</w:t>
        </w:r>
      </w:hyperlink>
      <w:r w:rsidRPr="006C683B">
        <w:rPr>
          <w:rFonts w:ascii="Times New Roman" w:eastAsia="inter" w:hAnsi="Times New Roman" w:cs="Times New Roman"/>
          <w:color w:val="000000"/>
          <w:sz w:val="24"/>
          <w:szCs w:val="24"/>
        </w:rPr>
        <w:t xml:space="preserve"> </w:t>
      </w:r>
    </w:p>
    <w:p w14:paraId="75958C92"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16.</w:t>
      </w:r>
      <w:hyperlink r:id="rId19" w:history="1">
        <w:r w:rsidRPr="006C683B">
          <w:rPr>
            <w:rStyle w:val="Hyperlink"/>
            <w:rFonts w:ascii="Times New Roman" w:eastAsia="inter" w:hAnsi="Times New Roman" w:cs="Times New Roman"/>
            <w:sz w:val="24"/>
            <w:szCs w:val="24"/>
          </w:rPr>
          <w:t>https://onlinelibrary.wiley.com/doi/10.1002/ird3.99</w:t>
        </w:r>
      </w:hyperlink>
      <w:r w:rsidRPr="006C683B">
        <w:rPr>
          <w:rFonts w:ascii="Times New Roman" w:eastAsia="inter" w:hAnsi="Times New Roman" w:cs="Times New Roman"/>
          <w:color w:val="000000"/>
          <w:sz w:val="24"/>
          <w:szCs w:val="24"/>
        </w:rPr>
        <w:t xml:space="preserve"> </w:t>
      </w:r>
    </w:p>
    <w:p w14:paraId="053EC557"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17.</w:t>
      </w:r>
      <w:hyperlink r:id="rId20" w:history="1">
        <w:r w:rsidRPr="006C683B">
          <w:rPr>
            <w:rStyle w:val="Hyperlink"/>
            <w:rFonts w:ascii="Times New Roman" w:eastAsia="inter" w:hAnsi="Times New Roman" w:cs="Times New Roman"/>
            <w:sz w:val="24"/>
            <w:szCs w:val="24"/>
          </w:rPr>
          <w:t>https://www.explorationpub.com/Journals/etat/Article/1002142</w:t>
        </w:r>
      </w:hyperlink>
      <w:r w:rsidRPr="006C683B">
        <w:rPr>
          <w:rFonts w:ascii="Times New Roman" w:eastAsia="inter" w:hAnsi="Times New Roman" w:cs="Times New Roman"/>
          <w:color w:val="000000"/>
          <w:sz w:val="24"/>
          <w:szCs w:val="24"/>
        </w:rPr>
        <w:t xml:space="preserve">  </w:t>
      </w:r>
    </w:p>
    <w:p w14:paraId="542542D7"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18.</w:t>
      </w:r>
      <w:hyperlink r:id="rId21" w:history="1">
        <w:r w:rsidRPr="006C683B">
          <w:rPr>
            <w:rStyle w:val="Hyperlink"/>
            <w:rFonts w:ascii="Times New Roman" w:eastAsia="inter" w:hAnsi="Times New Roman" w:cs="Times New Roman"/>
            <w:sz w:val="24"/>
            <w:szCs w:val="24"/>
          </w:rPr>
          <w:t>https://www.mdpi.com/2072-6694/12/9/2420</w:t>
        </w:r>
      </w:hyperlink>
      <w:r w:rsidRPr="006C683B">
        <w:rPr>
          <w:rFonts w:ascii="Times New Roman" w:eastAsia="inter" w:hAnsi="Times New Roman" w:cs="Times New Roman"/>
          <w:color w:val="000000"/>
          <w:sz w:val="24"/>
          <w:szCs w:val="24"/>
        </w:rPr>
        <w:t xml:space="preserve"> </w:t>
      </w:r>
    </w:p>
    <w:p w14:paraId="348220B3"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19.</w:t>
      </w:r>
      <w:hyperlink r:id="rId22" w:history="1">
        <w:r w:rsidRPr="006C683B">
          <w:rPr>
            <w:rStyle w:val="Hyperlink"/>
            <w:rFonts w:ascii="Times New Roman" w:eastAsia="inter" w:hAnsi="Times New Roman" w:cs="Times New Roman"/>
            <w:sz w:val="24"/>
            <w:szCs w:val="24"/>
          </w:rPr>
          <w:t>https://insightsimaging.springeropen.com/articles/10.1186/s13244-023-01474-x</w:t>
        </w:r>
      </w:hyperlink>
      <w:r w:rsidRPr="006C683B">
        <w:rPr>
          <w:rFonts w:ascii="Times New Roman" w:eastAsia="inter" w:hAnsi="Times New Roman" w:cs="Times New Roman"/>
          <w:color w:val="000000"/>
          <w:sz w:val="24"/>
          <w:szCs w:val="24"/>
        </w:rPr>
        <w:t xml:space="preserve">  </w:t>
      </w:r>
    </w:p>
    <w:p w14:paraId="7F2D50C2"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20.</w:t>
      </w:r>
      <w:hyperlink r:id="rId23" w:history="1">
        <w:r w:rsidRPr="006C683B">
          <w:rPr>
            <w:rStyle w:val="Hyperlink"/>
            <w:rFonts w:ascii="Times New Roman" w:eastAsia="inter" w:hAnsi="Times New Roman" w:cs="Times New Roman"/>
            <w:sz w:val="24"/>
            <w:szCs w:val="24"/>
          </w:rPr>
          <w:t>https://www.frontiersin.org/articles/10.3389/fonc.2022.864940/full</w:t>
        </w:r>
      </w:hyperlink>
      <w:r w:rsidRPr="006C683B">
        <w:rPr>
          <w:rFonts w:ascii="Times New Roman" w:eastAsia="inter" w:hAnsi="Times New Roman" w:cs="Times New Roman"/>
          <w:color w:val="000000"/>
          <w:sz w:val="24"/>
          <w:szCs w:val="24"/>
        </w:rPr>
        <w:t xml:space="preserve"> </w:t>
      </w:r>
    </w:p>
    <w:p w14:paraId="08802B99" w14:textId="77777777" w:rsidR="00CA78A2" w:rsidRPr="006C683B" w:rsidRDefault="00CA78A2" w:rsidP="00CA78A2">
      <w:pPr>
        <w:spacing w:after="0" w:line="360" w:lineRule="auto"/>
        <w:ind w:left="180"/>
        <w:rPr>
          <w:rFonts w:ascii="Times New Roman" w:hAnsi="Times New Roman" w:cs="Times New Roman"/>
          <w:sz w:val="24"/>
          <w:szCs w:val="24"/>
        </w:rPr>
      </w:pPr>
      <w:r w:rsidRPr="006C683B">
        <w:rPr>
          <w:rFonts w:ascii="Times New Roman" w:hAnsi="Times New Roman" w:cs="Times New Roman"/>
          <w:sz w:val="24"/>
          <w:szCs w:val="24"/>
        </w:rPr>
        <w:t>21.</w:t>
      </w:r>
      <w:hyperlink r:id="rId24" w:history="1">
        <w:r w:rsidRPr="006C683B">
          <w:rPr>
            <w:rStyle w:val="Hyperlink"/>
            <w:rFonts w:ascii="Times New Roman" w:eastAsia="inter" w:hAnsi="Times New Roman" w:cs="Times New Roman"/>
            <w:sz w:val="24"/>
            <w:szCs w:val="24"/>
          </w:rPr>
          <w:t>https://www.explorationpub.com/Journals/etat/Article/1002113</w:t>
        </w:r>
      </w:hyperlink>
      <w:r w:rsidRPr="006C683B">
        <w:rPr>
          <w:rFonts w:ascii="Times New Roman" w:eastAsia="inter" w:hAnsi="Times New Roman" w:cs="Times New Roman"/>
          <w:color w:val="000000"/>
          <w:sz w:val="24"/>
          <w:szCs w:val="24"/>
        </w:rPr>
        <w:t xml:space="preserve">  </w:t>
      </w:r>
    </w:p>
    <w:p w14:paraId="1C2B894B" w14:textId="77777777" w:rsidR="00CA78A2" w:rsidRPr="006C683B" w:rsidRDefault="00CA78A2">
      <w:pPr>
        <w:rPr>
          <w:rFonts w:ascii="Times New Roman" w:hAnsi="Times New Roman" w:cs="Times New Roman"/>
          <w:sz w:val="24"/>
          <w:szCs w:val="24"/>
        </w:rPr>
      </w:pPr>
    </w:p>
    <w:sectPr w:rsidR="00CA78A2" w:rsidRPr="006C68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inte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A30290"/>
    <w:multiLevelType w:val="hybridMultilevel"/>
    <w:tmpl w:val="148A3434"/>
    <w:lvl w:ilvl="0" w:tplc="363C0D60">
      <w:start w:val="1"/>
      <w:numFmt w:val="decimal"/>
      <w:lvlText w:val="%1."/>
      <w:lvlJc w:val="left"/>
      <w:pPr>
        <w:tabs>
          <w:tab w:val="num" w:pos="900"/>
        </w:tabs>
        <w:ind w:left="540" w:hanging="360"/>
      </w:pPr>
    </w:lvl>
    <w:lvl w:ilvl="1" w:tplc="5EA69D4A">
      <w:numFmt w:val="decimal"/>
      <w:lvlText w:val=""/>
      <w:lvlJc w:val="left"/>
    </w:lvl>
    <w:lvl w:ilvl="2" w:tplc="8A44B37A">
      <w:numFmt w:val="decimal"/>
      <w:lvlText w:val=""/>
      <w:lvlJc w:val="left"/>
    </w:lvl>
    <w:lvl w:ilvl="3" w:tplc="ED5A5314">
      <w:numFmt w:val="decimal"/>
      <w:lvlText w:val=""/>
      <w:lvlJc w:val="left"/>
    </w:lvl>
    <w:lvl w:ilvl="4" w:tplc="8E8868F6">
      <w:numFmt w:val="decimal"/>
      <w:lvlText w:val=""/>
      <w:lvlJc w:val="left"/>
    </w:lvl>
    <w:lvl w:ilvl="5" w:tplc="346A429E">
      <w:numFmt w:val="decimal"/>
      <w:lvlText w:val=""/>
      <w:lvlJc w:val="left"/>
    </w:lvl>
    <w:lvl w:ilvl="6" w:tplc="1D465BEC">
      <w:numFmt w:val="decimal"/>
      <w:lvlText w:val=""/>
      <w:lvlJc w:val="left"/>
    </w:lvl>
    <w:lvl w:ilvl="7" w:tplc="D16476FC">
      <w:numFmt w:val="decimal"/>
      <w:lvlText w:val=""/>
      <w:lvlJc w:val="left"/>
    </w:lvl>
    <w:lvl w:ilvl="8" w:tplc="32B82962">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2A6D91"/>
    <w:rsid w:val="00006AF6"/>
    <w:rsid w:val="0003783E"/>
    <w:rsid w:val="000649E9"/>
    <w:rsid w:val="000B527D"/>
    <w:rsid w:val="00124787"/>
    <w:rsid w:val="00144624"/>
    <w:rsid w:val="00145317"/>
    <w:rsid w:val="001F23B2"/>
    <w:rsid w:val="00213706"/>
    <w:rsid w:val="002A25BB"/>
    <w:rsid w:val="002A6D91"/>
    <w:rsid w:val="002B0213"/>
    <w:rsid w:val="00305108"/>
    <w:rsid w:val="00334BAB"/>
    <w:rsid w:val="0036442F"/>
    <w:rsid w:val="0037682C"/>
    <w:rsid w:val="0048125F"/>
    <w:rsid w:val="004861EB"/>
    <w:rsid w:val="004A5F44"/>
    <w:rsid w:val="00513508"/>
    <w:rsid w:val="0053521A"/>
    <w:rsid w:val="006404AF"/>
    <w:rsid w:val="00641718"/>
    <w:rsid w:val="0069639F"/>
    <w:rsid w:val="006B3F45"/>
    <w:rsid w:val="006C683B"/>
    <w:rsid w:val="006F6F16"/>
    <w:rsid w:val="00705C6C"/>
    <w:rsid w:val="00717102"/>
    <w:rsid w:val="0081609A"/>
    <w:rsid w:val="00820D43"/>
    <w:rsid w:val="00916D70"/>
    <w:rsid w:val="009A1EC2"/>
    <w:rsid w:val="009C6A46"/>
    <w:rsid w:val="00A13743"/>
    <w:rsid w:val="00AB3798"/>
    <w:rsid w:val="00AD132F"/>
    <w:rsid w:val="00BE75ED"/>
    <w:rsid w:val="00CA78A2"/>
    <w:rsid w:val="00D0757D"/>
    <w:rsid w:val="00D27516"/>
    <w:rsid w:val="00D65EC6"/>
    <w:rsid w:val="00E45F48"/>
    <w:rsid w:val="00F02B59"/>
    <w:rsid w:val="00F37662"/>
    <w:rsid w:val="00FB26D1"/>
    <w:rsid w:val="00FC6F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1ECC4CF"/>
  <w15:chartTrackingRefBased/>
  <w15:docId w15:val="{9E18A9FF-5961-41A1-9D42-EB128497E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3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03783E"/>
    <w:pPr>
      <w:spacing w:before="100" w:beforeAutospacing="1" w:after="100" w:afterAutospacing="1" w:line="240" w:lineRule="auto"/>
      <w:outlineLvl w:val="1"/>
    </w:pPr>
    <w:rPr>
      <w:rFonts w:ascii="Times New Roman" w:eastAsia="Times New Roman" w:hAnsi="Times New Roman" w:cs="Times New Roman"/>
      <w:b/>
      <w:bCs/>
      <w:sz w:val="36"/>
      <w:szCs w:val="36"/>
      <w:lang w:val="en-PK" w:eastAsia="en-P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5C6C"/>
    <w:rPr>
      <w:b/>
      <w:bCs/>
    </w:rPr>
  </w:style>
  <w:style w:type="character" w:customStyle="1" w:styleId="Heading2Char">
    <w:name w:val="Heading 2 Char"/>
    <w:basedOn w:val="DefaultParagraphFont"/>
    <w:link w:val="Heading2"/>
    <w:uiPriority w:val="9"/>
    <w:rsid w:val="0003783E"/>
    <w:rPr>
      <w:rFonts w:ascii="Times New Roman" w:eastAsia="Times New Roman" w:hAnsi="Times New Roman" w:cs="Times New Roman"/>
      <w:b/>
      <w:bCs/>
      <w:sz w:val="36"/>
      <w:szCs w:val="36"/>
      <w:lang w:val="en-PK" w:eastAsia="en-PK"/>
    </w:rPr>
  </w:style>
  <w:style w:type="paragraph" w:customStyle="1" w:styleId="my-0">
    <w:name w:val="my-0"/>
    <w:basedOn w:val="Normal"/>
    <w:rsid w:val="0003783E"/>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styleId="Hyperlink">
    <w:name w:val="Hyperlink"/>
    <w:basedOn w:val="DefaultParagraphFont"/>
    <w:uiPriority w:val="99"/>
    <w:unhideWhenUsed/>
    <w:rsid w:val="00CA78A2"/>
    <w:rPr>
      <w:color w:val="0000FF" w:themeColor="hyperlink"/>
      <w:u w:val="single"/>
    </w:rPr>
  </w:style>
  <w:style w:type="character" w:customStyle="1" w:styleId="Heading1Char">
    <w:name w:val="Heading 1 Char"/>
    <w:basedOn w:val="DefaultParagraphFont"/>
    <w:link w:val="Heading1"/>
    <w:uiPriority w:val="9"/>
    <w:rsid w:val="00AD132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58986">
      <w:bodyDiv w:val="1"/>
      <w:marLeft w:val="0"/>
      <w:marRight w:val="0"/>
      <w:marTop w:val="0"/>
      <w:marBottom w:val="0"/>
      <w:divBdr>
        <w:top w:val="none" w:sz="0" w:space="0" w:color="auto"/>
        <w:left w:val="none" w:sz="0" w:space="0" w:color="auto"/>
        <w:bottom w:val="none" w:sz="0" w:space="0" w:color="auto"/>
        <w:right w:val="none" w:sz="0" w:space="0" w:color="auto"/>
      </w:divBdr>
    </w:div>
    <w:div w:id="123470843">
      <w:bodyDiv w:val="1"/>
      <w:marLeft w:val="0"/>
      <w:marRight w:val="0"/>
      <w:marTop w:val="0"/>
      <w:marBottom w:val="0"/>
      <w:divBdr>
        <w:top w:val="none" w:sz="0" w:space="0" w:color="auto"/>
        <w:left w:val="none" w:sz="0" w:space="0" w:color="auto"/>
        <w:bottom w:val="none" w:sz="0" w:space="0" w:color="auto"/>
        <w:right w:val="none" w:sz="0" w:space="0" w:color="auto"/>
      </w:divBdr>
    </w:div>
    <w:div w:id="334920640">
      <w:bodyDiv w:val="1"/>
      <w:marLeft w:val="0"/>
      <w:marRight w:val="0"/>
      <w:marTop w:val="0"/>
      <w:marBottom w:val="0"/>
      <w:divBdr>
        <w:top w:val="none" w:sz="0" w:space="0" w:color="auto"/>
        <w:left w:val="none" w:sz="0" w:space="0" w:color="auto"/>
        <w:bottom w:val="none" w:sz="0" w:space="0" w:color="auto"/>
        <w:right w:val="none" w:sz="0" w:space="0" w:color="auto"/>
      </w:divBdr>
      <w:divsChild>
        <w:div w:id="1219782317">
          <w:marLeft w:val="0"/>
          <w:marRight w:val="0"/>
          <w:marTop w:val="0"/>
          <w:marBottom w:val="0"/>
          <w:divBdr>
            <w:top w:val="none" w:sz="0" w:space="0" w:color="auto"/>
            <w:left w:val="none" w:sz="0" w:space="0" w:color="auto"/>
            <w:bottom w:val="none" w:sz="0" w:space="0" w:color="auto"/>
            <w:right w:val="none" w:sz="0" w:space="0" w:color="auto"/>
          </w:divBdr>
        </w:div>
      </w:divsChild>
    </w:div>
    <w:div w:id="414060715">
      <w:bodyDiv w:val="1"/>
      <w:marLeft w:val="0"/>
      <w:marRight w:val="0"/>
      <w:marTop w:val="0"/>
      <w:marBottom w:val="0"/>
      <w:divBdr>
        <w:top w:val="none" w:sz="0" w:space="0" w:color="auto"/>
        <w:left w:val="none" w:sz="0" w:space="0" w:color="auto"/>
        <w:bottom w:val="none" w:sz="0" w:space="0" w:color="auto"/>
        <w:right w:val="none" w:sz="0" w:space="0" w:color="auto"/>
      </w:divBdr>
    </w:div>
    <w:div w:id="509805559">
      <w:bodyDiv w:val="1"/>
      <w:marLeft w:val="0"/>
      <w:marRight w:val="0"/>
      <w:marTop w:val="0"/>
      <w:marBottom w:val="0"/>
      <w:divBdr>
        <w:top w:val="none" w:sz="0" w:space="0" w:color="auto"/>
        <w:left w:val="none" w:sz="0" w:space="0" w:color="auto"/>
        <w:bottom w:val="none" w:sz="0" w:space="0" w:color="auto"/>
        <w:right w:val="none" w:sz="0" w:space="0" w:color="auto"/>
      </w:divBdr>
      <w:divsChild>
        <w:div w:id="1496653920">
          <w:marLeft w:val="0"/>
          <w:marRight w:val="0"/>
          <w:marTop w:val="0"/>
          <w:marBottom w:val="0"/>
          <w:divBdr>
            <w:top w:val="none" w:sz="0" w:space="0" w:color="auto"/>
            <w:left w:val="none" w:sz="0" w:space="0" w:color="auto"/>
            <w:bottom w:val="none" w:sz="0" w:space="0" w:color="auto"/>
            <w:right w:val="none" w:sz="0" w:space="0" w:color="auto"/>
          </w:divBdr>
        </w:div>
      </w:divsChild>
    </w:div>
    <w:div w:id="597640077">
      <w:bodyDiv w:val="1"/>
      <w:marLeft w:val="0"/>
      <w:marRight w:val="0"/>
      <w:marTop w:val="0"/>
      <w:marBottom w:val="0"/>
      <w:divBdr>
        <w:top w:val="none" w:sz="0" w:space="0" w:color="auto"/>
        <w:left w:val="none" w:sz="0" w:space="0" w:color="auto"/>
        <w:bottom w:val="none" w:sz="0" w:space="0" w:color="auto"/>
        <w:right w:val="none" w:sz="0" w:space="0" w:color="auto"/>
      </w:divBdr>
    </w:div>
    <w:div w:id="727000582">
      <w:bodyDiv w:val="1"/>
      <w:marLeft w:val="0"/>
      <w:marRight w:val="0"/>
      <w:marTop w:val="0"/>
      <w:marBottom w:val="0"/>
      <w:divBdr>
        <w:top w:val="none" w:sz="0" w:space="0" w:color="auto"/>
        <w:left w:val="none" w:sz="0" w:space="0" w:color="auto"/>
        <w:bottom w:val="none" w:sz="0" w:space="0" w:color="auto"/>
        <w:right w:val="none" w:sz="0" w:space="0" w:color="auto"/>
      </w:divBdr>
    </w:div>
    <w:div w:id="1073159300">
      <w:bodyDiv w:val="1"/>
      <w:marLeft w:val="0"/>
      <w:marRight w:val="0"/>
      <w:marTop w:val="0"/>
      <w:marBottom w:val="0"/>
      <w:divBdr>
        <w:top w:val="none" w:sz="0" w:space="0" w:color="auto"/>
        <w:left w:val="none" w:sz="0" w:space="0" w:color="auto"/>
        <w:bottom w:val="none" w:sz="0" w:space="0" w:color="auto"/>
        <w:right w:val="none" w:sz="0" w:space="0" w:color="auto"/>
      </w:divBdr>
    </w:div>
    <w:div w:id="1208955041">
      <w:bodyDiv w:val="1"/>
      <w:marLeft w:val="0"/>
      <w:marRight w:val="0"/>
      <w:marTop w:val="0"/>
      <w:marBottom w:val="0"/>
      <w:divBdr>
        <w:top w:val="none" w:sz="0" w:space="0" w:color="auto"/>
        <w:left w:val="none" w:sz="0" w:space="0" w:color="auto"/>
        <w:bottom w:val="none" w:sz="0" w:space="0" w:color="auto"/>
        <w:right w:val="none" w:sz="0" w:space="0" w:color="auto"/>
      </w:divBdr>
    </w:div>
    <w:div w:id="1335493269">
      <w:bodyDiv w:val="1"/>
      <w:marLeft w:val="0"/>
      <w:marRight w:val="0"/>
      <w:marTop w:val="0"/>
      <w:marBottom w:val="0"/>
      <w:divBdr>
        <w:top w:val="none" w:sz="0" w:space="0" w:color="auto"/>
        <w:left w:val="none" w:sz="0" w:space="0" w:color="auto"/>
        <w:bottom w:val="none" w:sz="0" w:space="0" w:color="auto"/>
        <w:right w:val="none" w:sz="0" w:space="0" w:color="auto"/>
      </w:divBdr>
    </w:div>
    <w:div w:id="1516337859">
      <w:bodyDiv w:val="1"/>
      <w:marLeft w:val="0"/>
      <w:marRight w:val="0"/>
      <w:marTop w:val="0"/>
      <w:marBottom w:val="0"/>
      <w:divBdr>
        <w:top w:val="none" w:sz="0" w:space="0" w:color="auto"/>
        <w:left w:val="none" w:sz="0" w:space="0" w:color="auto"/>
        <w:bottom w:val="none" w:sz="0" w:space="0" w:color="auto"/>
        <w:right w:val="none" w:sz="0" w:space="0" w:color="auto"/>
      </w:divBdr>
    </w:div>
    <w:div w:id="1524439965">
      <w:bodyDiv w:val="1"/>
      <w:marLeft w:val="0"/>
      <w:marRight w:val="0"/>
      <w:marTop w:val="0"/>
      <w:marBottom w:val="0"/>
      <w:divBdr>
        <w:top w:val="none" w:sz="0" w:space="0" w:color="auto"/>
        <w:left w:val="none" w:sz="0" w:space="0" w:color="auto"/>
        <w:bottom w:val="none" w:sz="0" w:space="0" w:color="auto"/>
        <w:right w:val="none" w:sz="0" w:space="0" w:color="auto"/>
      </w:divBdr>
    </w:div>
    <w:div w:id="1673795611">
      <w:bodyDiv w:val="1"/>
      <w:marLeft w:val="0"/>
      <w:marRight w:val="0"/>
      <w:marTop w:val="0"/>
      <w:marBottom w:val="0"/>
      <w:divBdr>
        <w:top w:val="none" w:sz="0" w:space="0" w:color="auto"/>
        <w:left w:val="none" w:sz="0" w:space="0" w:color="auto"/>
        <w:bottom w:val="none" w:sz="0" w:space="0" w:color="auto"/>
        <w:right w:val="none" w:sz="0" w:space="0" w:color="auto"/>
      </w:divBdr>
    </w:div>
    <w:div w:id="1750883203">
      <w:bodyDiv w:val="1"/>
      <w:marLeft w:val="0"/>
      <w:marRight w:val="0"/>
      <w:marTop w:val="0"/>
      <w:marBottom w:val="0"/>
      <w:divBdr>
        <w:top w:val="none" w:sz="0" w:space="0" w:color="auto"/>
        <w:left w:val="none" w:sz="0" w:space="0" w:color="auto"/>
        <w:bottom w:val="none" w:sz="0" w:space="0" w:color="auto"/>
        <w:right w:val="none" w:sz="0" w:space="0" w:color="auto"/>
      </w:divBdr>
    </w:div>
    <w:div w:id="1807165649">
      <w:bodyDiv w:val="1"/>
      <w:marLeft w:val="0"/>
      <w:marRight w:val="0"/>
      <w:marTop w:val="0"/>
      <w:marBottom w:val="0"/>
      <w:divBdr>
        <w:top w:val="none" w:sz="0" w:space="0" w:color="auto"/>
        <w:left w:val="none" w:sz="0" w:space="0" w:color="auto"/>
        <w:bottom w:val="none" w:sz="0" w:space="0" w:color="auto"/>
        <w:right w:val="none" w:sz="0" w:space="0" w:color="auto"/>
      </w:divBdr>
    </w:div>
    <w:div w:id="1840340062">
      <w:bodyDiv w:val="1"/>
      <w:marLeft w:val="0"/>
      <w:marRight w:val="0"/>
      <w:marTop w:val="0"/>
      <w:marBottom w:val="0"/>
      <w:divBdr>
        <w:top w:val="none" w:sz="0" w:space="0" w:color="auto"/>
        <w:left w:val="none" w:sz="0" w:space="0" w:color="auto"/>
        <w:bottom w:val="none" w:sz="0" w:space="0" w:color="auto"/>
        <w:right w:val="none" w:sz="0" w:space="0" w:color="auto"/>
      </w:divBdr>
    </w:div>
    <w:div w:id="210934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cerimagingjournal.biomedcentral.com/articles/10.1186/s40644-023-00557-8" TargetMode="External"/><Relationship Id="rId13" Type="http://schemas.openxmlformats.org/officeDocument/2006/relationships/hyperlink" Target="https://www.frontiersin.org/articles/10.3389/fonc.2024.1301649/full" TargetMode="External"/><Relationship Id="rId18" Type="http://schemas.openxmlformats.org/officeDocument/2006/relationships/hyperlink" Target="https://bmcmedimaging.biomedcentral.com/articles/10.1186/s12880-020-00425-y"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mdpi.com/2072-6694/12/9/2420" TargetMode="External"/><Relationship Id="rId7" Type="http://schemas.openxmlformats.org/officeDocument/2006/relationships/hyperlink" Target="https://link.springer.com/10.1007/s00330-023-09843-2" TargetMode="External"/><Relationship Id="rId12" Type="http://schemas.openxmlformats.org/officeDocument/2006/relationships/hyperlink" Target="https://www.sciendo.com/article/10.2478/raon-2024-0004" TargetMode="External"/><Relationship Id="rId17" Type="http://schemas.openxmlformats.org/officeDocument/2006/relationships/hyperlink" Target="http://link.springer.com/10.1007/s00259-019-04452-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ontiersin.org/articles/10.3389/fonc.2023.1161738/full" TargetMode="External"/><Relationship Id="rId20" Type="http://schemas.openxmlformats.org/officeDocument/2006/relationships/hyperlink" Target="https://www.explorationpub.com/Journals/etat/Article/1002142" TargetMode="External"/><Relationship Id="rId1" Type="http://schemas.openxmlformats.org/officeDocument/2006/relationships/numbering" Target="numbering.xml"/><Relationship Id="rId6" Type="http://schemas.openxmlformats.org/officeDocument/2006/relationships/hyperlink" Target="https://ejrnm.springeropen.com/articles/10.1186/s43055-021-00561-7" TargetMode="External"/><Relationship Id="rId11" Type="http://schemas.openxmlformats.org/officeDocument/2006/relationships/hyperlink" Target="https://ascopubs.org/doi/10.1200/JCO.2023.41.6_suppl.LBA602" TargetMode="External"/><Relationship Id="rId24" Type="http://schemas.openxmlformats.org/officeDocument/2006/relationships/hyperlink" Target="https://www.explorationpub.com/Journals/etat/Article/1002113" TargetMode="External"/><Relationship Id="rId5" Type="http://schemas.openxmlformats.org/officeDocument/2006/relationships/hyperlink" Target="https://dx.plos.org/10.1371/journal.pone.0120823" TargetMode="External"/><Relationship Id="rId15" Type="http://schemas.openxmlformats.org/officeDocument/2006/relationships/hyperlink" Target="https://www.ijcrioncology.com/archive/article-full-text/100143Z10AW2025" TargetMode="External"/><Relationship Id="rId23" Type="http://schemas.openxmlformats.org/officeDocument/2006/relationships/hyperlink" Target="https://www.frontiersin.org/articles/10.3389/fonc.2022.864940/full" TargetMode="External"/><Relationship Id="rId10" Type="http://schemas.openxmlformats.org/officeDocument/2006/relationships/hyperlink" Target="https://www.frontiersin.org/articles/10.3389/fonc.2023.1015976/full" TargetMode="External"/><Relationship Id="rId19" Type="http://schemas.openxmlformats.org/officeDocument/2006/relationships/hyperlink" Target="https://onlinelibrary.wiley.com/doi/10.1002/ird3.99" TargetMode="External"/><Relationship Id="rId4" Type="http://schemas.openxmlformats.org/officeDocument/2006/relationships/webSettings" Target="webSettings.xml"/><Relationship Id="rId9" Type="http://schemas.openxmlformats.org/officeDocument/2006/relationships/hyperlink" Target="https://bmccancer.biomedcentral.com/articles/10.1186/s12885-020-6617-x" TargetMode="External"/><Relationship Id="rId14" Type="http://schemas.openxmlformats.org/officeDocument/2006/relationships/hyperlink" Target="https://www.mdpi.com/1424-8247/12/1/16" TargetMode="External"/><Relationship Id="rId22" Type="http://schemas.openxmlformats.org/officeDocument/2006/relationships/hyperlink" Target="https://insightsimaging.springeropen.com/articles/10.1186/s13244-023-0147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18</Pages>
  <Words>4877</Words>
  <Characters>34046</Characters>
  <Application>Microsoft Office Word</Application>
  <DocSecurity>0</DocSecurity>
  <Lines>945</Lines>
  <Paragraphs>695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Soomro</dc:creator>
  <cp:keywords/>
  <dc:description/>
  <cp:lastModifiedBy>Habib Soomro</cp:lastModifiedBy>
  <cp:revision>46</cp:revision>
  <cp:lastPrinted>2025-06-30T13:47:00Z</cp:lastPrinted>
  <dcterms:created xsi:type="dcterms:W3CDTF">2025-06-30T07:20:00Z</dcterms:created>
  <dcterms:modified xsi:type="dcterms:W3CDTF">2025-07-01T18:33:00Z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69ca563e-c9c4-43e9-947d-0bb420a33613</vt:lpwstr>
  </property>
</Properties>
</file>