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colors4.xml" ContentType="application/vnd.openxmlformats-officedocument.drawingml.diagramColors+xml"/>
  <Override PartName="/word/diagrams/colors5.xml" ContentType="application/vnd.openxmlformats-officedocument.drawingml.diagramColors+xml"/>
  <Override PartName="/word/diagrams/colors6.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ata5.xml" ContentType="application/vnd.openxmlformats-officedocument.drawingml.diagramData+xml"/>
  <Override PartName="/word/diagrams/data6.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drawing5.xml" ContentType="application/vnd.ms-office.drawingml.diagramDrawing+xml"/>
  <Override PartName="/word/diagrams/drawing6.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layout4.xml" ContentType="application/vnd.openxmlformats-officedocument.drawingml.diagramLayout+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iagrams/quickStyle4.xml" ContentType="application/vnd.openxmlformats-officedocument.drawingml.diagramStyle+xml"/>
  <Override PartName="/word/diagrams/quickStyle5.xml" ContentType="application/vnd.openxmlformats-officedocument.drawingml.diagramStyle+xml"/>
  <Override PartName="/word/diagrams/quickStyle6.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14CAE154">
      <w:pPr>
        <w:spacing w:line="240" w:lineRule="auto"/>
        <w:ind w:firstLine="2380" w:firstLineChars="850"/>
        <w:rPr>
          <w:rFonts w:hint="default" w:ascii="Times New Roman" w:hAnsi="Times New Roman" w:cs="Times New Roman"/>
          <w:b w:val="0"/>
          <w:bCs w:val="0"/>
          <w:sz w:val="28"/>
          <w:szCs w:val="28"/>
          <w:u w:val="single"/>
          <w:lang w:val="en-US"/>
        </w:rPr>
      </w:pPr>
    </w:p>
    <w:p w14:paraId="039B163F">
      <w:pPr>
        <w:spacing w:line="240" w:lineRule="auto"/>
        <w:ind w:firstLine="2380" w:firstLineChars="850"/>
        <w:rPr>
          <w:rFonts w:hint="default" w:ascii="Times New Roman" w:hAnsi="Times New Roman" w:cs="Times New Roman"/>
          <w:b w:val="0"/>
          <w:bCs w:val="0"/>
          <w:sz w:val="28"/>
          <w:szCs w:val="28"/>
          <w:u w:val="single"/>
          <w:lang w:val="en-US"/>
        </w:rPr>
      </w:pPr>
    </w:p>
    <w:p w14:paraId="6DDAD4A4">
      <w:pPr>
        <w:spacing w:line="240" w:lineRule="auto"/>
        <w:ind w:firstLine="2380" w:firstLineChars="850"/>
        <w:rPr>
          <w:rFonts w:hint="default" w:ascii="Times New Roman" w:hAnsi="Times New Roman" w:cs="Times New Roman"/>
          <w:b w:val="0"/>
          <w:bCs w:val="0"/>
          <w:sz w:val="28"/>
          <w:szCs w:val="28"/>
          <w:u w:val="single"/>
          <w:lang w:val="en-US"/>
        </w:rPr>
      </w:pPr>
    </w:p>
    <w:p w14:paraId="216972DE">
      <w:pPr>
        <w:spacing w:line="240" w:lineRule="auto"/>
        <w:ind w:firstLine="2380" w:firstLineChars="850"/>
        <w:rPr>
          <w:rFonts w:hint="default" w:ascii="Times New Roman" w:hAnsi="Times New Roman" w:cs="Times New Roman"/>
          <w:b w:val="0"/>
          <w:bCs w:val="0"/>
          <w:sz w:val="28"/>
          <w:szCs w:val="28"/>
          <w:u w:val="single"/>
          <w:lang w:val="en-US"/>
        </w:rPr>
      </w:pPr>
    </w:p>
    <w:p w14:paraId="113F5CD9">
      <w:pPr>
        <w:spacing w:line="240" w:lineRule="auto"/>
        <w:ind w:firstLine="2380" w:firstLineChars="850"/>
        <w:rPr>
          <w:rFonts w:hint="default" w:ascii="Times New Roman" w:hAnsi="Times New Roman" w:cs="Times New Roman"/>
          <w:b w:val="0"/>
          <w:bCs w:val="0"/>
          <w:sz w:val="28"/>
          <w:szCs w:val="28"/>
          <w:u w:val="single"/>
          <w:lang w:val="en-US"/>
        </w:rPr>
      </w:pPr>
    </w:p>
    <w:p w14:paraId="7A1825EA">
      <w:pPr>
        <w:spacing w:line="240" w:lineRule="auto"/>
        <w:ind w:firstLine="2380" w:firstLineChars="850"/>
        <w:rPr>
          <w:rFonts w:hint="default" w:ascii="Times New Roman" w:hAnsi="Times New Roman" w:cs="Times New Roman"/>
          <w:b w:val="0"/>
          <w:bCs w:val="0"/>
          <w:sz w:val="28"/>
          <w:szCs w:val="28"/>
          <w:u w:val="single"/>
          <w:lang w:val="en-US"/>
        </w:rPr>
      </w:pPr>
    </w:p>
    <w:p w14:paraId="5FB89C10">
      <w:pPr>
        <w:spacing w:line="240" w:lineRule="auto"/>
        <w:ind w:firstLine="2380" w:firstLineChars="850"/>
        <w:rPr>
          <w:rFonts w:hint="default" w:ascii="Times New Roman" w:hAnsi="Times New Roman" w:cs="Times New Roman"/>
          <w:b w:val="0"/>
          <w:bCs w:val="0"/>
          <w:sz w:val="28"/>
          <w:szCs w:val="28"/>
          <w:u w:val="single"/>
          <w:lang w:val="en-US"/>
        </w:rPr>
      </w:pPr>
    </w:p>
    <w:p w14:paraId="6603F5EA">
      <w:pPr>
        <w:spacing w:line="240" w:lineRule="auto"/>
        <w:ind w:firstLine="2380" w:firstLineChars="850"/>
        <w:rPr>
          <w:rFonts w:hint="default" w:ascii="Times New Roman" w:hAnsi="Times New Roman" w:cs="Times New Roman"/>
          <w:b w:val="0"/>
          <w:bCs w:val="0"/>
          <w:sz w:val="28"/>
          <w:szCs w:val="28"/>
          <w:u w:val="single"/>
          <w:lang w:val="en-US"/>
        </w:rPr>
      </w:pPr>
    </w:p>
    <w:p w14:paraId="1CFECF01">
      <w:pPr>
        <w:spacing w:line="240" w:lineRule="auto"/>
        <w:ind w:firstLine="2380" w:firstLineChars="850"/>
        <w:rPr>
          <w:rFonts w:hint="default" w:ascii="Times New Roman" w:hAnsi="Times New Roman" w:cs="Times New Roman"/>
          <w:b w:val="0"/>
          <w:bCs w:val="0"/>
          <w:sz w:val="28"/>
          <w:szCs w:val="28"/>
          <w:u w:val="single"/>
          <w:lang w:val="en-US"/>
        </w:rPr>
      </w:pPr>
    </w:p>
    <w:p w14:paraId="53F41026">
      <w:pPr>
        <w:spacing w:line="240" w:lineRule="auto"/>
        <w:ind w:firstLine="2380" w:firstLineChars="850"/>
        <w:rPr>
          <w:rFonts w:hint="default" w:ascii="Times New Roman" w:hAnsi="Times New Roman" w:cs="Times New Roman"/>
          <w:b w:val="0"/>
          <w:bCs w:val="0"/>
          <w:sz w:val="28"/>
          <w:szCs w:val="28"/>
          <w:u w:val="single"/>
          <w:lang w:val="en-US"/>
        </w:rPr>
      </w:pPr>
    </w:p>
    <w:p w14:paraId="07B1FF2B">
      <w:pPr>
        <w:spacing w:line="240" w:lineRule="auto"/>
        <w:ind w:firstLine="2040" w:firstLineChars="850"/>
        <w:rPr>
          <w:rFonts w:hint="default" w:ascii="Times New Roman" w:hAnsi="Times New Roman" w:cs="Times New Roman"/>
          <w:b w:val="0"/>
          <w:bCs w:val="0"/>
          <w:sz w:val="24"/>
          <w:szCs w:val="24"/>
          <w:u w:val="single"/>
          <w:lang w:val="en-US"/>
        </w:rPr>
      </w:pPr>
    </w:p>
    <w:p w14:paraId="50550173">
      <w:pPr>
        <w:spacing w:line="240" w:lineRule="auto"/>
        <w:ind w:firstLine="2400" w:firstLineChars="1000"/>
        <w:rPr>
          <w:rFonts w:hint="default" w:ascii="Times New Roman" w:hAnsi="Times New Roman" w:cs="Times New Roman"/>
          <w:b w:val="0"/>
          <w:bCs w:val="0"/>
          <w:sz w:val="24"/>
          <w:szCs w:val="24"/>
          <w:u w:val="single"/>
          <w:lang w:val="en-US"/>
        </w:rPr>
      </w:pPr>
    </w:p>
    <w:p w14:paraId="0A908A0E">
      <w:pPr>
        <w:spacing w:line="240" w:lineRule="auto"/>
        <w:ind w:firstLine="2400" w:firstLineChars="1000"/>
        <w:rPr>
          <w:rFonts w:hint="default" w:ascii="Times New Roman" w:hAnsi="Times New Roman" w:cs="Times New Roman"/>
          <w:b w:val="0"/>
          <w:bCs w:val="0"/>
          <w:sz w:val="24"/>
          <w:szCs w:val="24"/>
          <w:u w:val="single"/>
          <w:lang w:val="en-US"/>
        </w:rPr>
      </w:pPr>
    </w:p>
    <w:p w14:paraId="7A8F66FA">
      <w:pPr>
        <w:spacing w:line="240" w:lineRule="auto"/>
        <w:ind w:firstLine="2400" w:firstLineChars="1000"/>
        <w:rPr>
          <w:rFonts w:hint="default" w:ascii="Times New Roman" w:hAnsi="Times New Roman" w:cs="Times New Roman"/>
          <w:b w:val="0"/>
          <w:bCs w:val="0"/>
          <w:sz w:val="24"/>
          <w:szCs w:val="24"/>
          <w:u w:val="single"/>
          <w:lang w:val="en-US"/>
        </w:rPr>
      </w:pPr>
    </w:p>
    <w:p w14:paraId="6046A026">
      <w:pPr>
        <w:spacing w:line="240" w:lineRule="auto"/>
        <w:ind w:firstLine="2400" w:firstLineChars="1000"/>
        <w:rPr>
          <w:rFonts w:hint="default" w:ascii="Times New Roman" w:hAnsi="Times New Roman" w:cs="Times New Roman"/>
          <w:b w:val="0"/>
          <w:bCs w:val="0"/>
          <w:sz w:val="24"/>
          <w:szCs w:val="24"/>
          <w:u w:val="single"/>
          <w:lang w:val="en-US"/>
        </w:rPr>
      </w:pPr>
    </w:p>
    <w:p w14:paraId="28AF4564">
      <w:pPr>
        <w:spacing w:line="240" w:lineRule="auto"/>
        <w:ind w:firstLine="2400" w:firstLineChars="1000"/>
        <w:rPr>
          <w:rFonts w:hint="default" w:ascii="Times New Roman" w:hAnsi="Times New Roman" w:cs="Times New Roman"/>
          <w:b w:val="0"/>
          <w:bCs w:val="0"/>
          <w:sz w:val="24"/>
          <w:szCs w:val="24"/>
          <w:u w:val="single"/>
          <w:lang w:val="en-US"/>
        </w:rPr>
      </w:pPr>
    </w:p>
    <w:p w14:paraId="200F5571">
      <w:pPr>
        <w:spacing w:line="240" w:lineRule="auto"/>
        <w:ind w:firstLine="2400" w:firstLineChars="1000"/>
        <w:rPr>
          <w:rFonts w:hint="default" w:ascii="Times New Roman" w:hAnsi="Times New Roman" w:cs="Times New Roman"/>
          <w:b w:val="0"/>
          <w:bCs w:val="0"/>
          <w:sz w:val="24"/>
          <w:szCs w:val="24"/>
          <w:u w:val="single"/>
          <w:lang w:val="en-US"/>
        </w:rPr>
      </w:pPr>
    </w:p>
    <w:p w14:paraId="1E3B3984">
      <w:pPr>
        <w:spacing w:line="240" w:lineRule="auto"/>
        <w:ind w:firstLine="2400" w:firstLineChars="1000"/>
        <w:rPr>
          <w:rFonts w:hint="default" w:ascii="Times New Roman" w:hAnsi="Times New Roman" w:cs="Times New Roman"/>
          <w:b w:val="0"/>
          <w:bCs w:val="0"/>
          <w:sz w:val="24"/>
          <w:szCs w:val="24"/>
          <w:u w:val="single"/>
          <w:lang w:val="en-US"/>
        </w:rPr>
      </w:pPr>
    </w:p>
    <w:p w14:paraId="1125FEA4">
      <w:pPr>
        <w:spacing w:line="240" w:lineRule="auto"/>
        <w:ind w:firstLine="3122" w:firstLineChars="1300"/>
        <w:rPr>
          <w:rFonts w:hint="default" w:ascii="Times New Roman" w:hAnsi="Times New Roman" w:cs="Times New Roman"/>
          <w:b w:val="0"/>
          <w:bCs w:val="0"/>
          <w:sz w:val="24"/>
          <w:szCs w:val="24"/>
          <w:u w:val="none"/>
          <w:lang w:val="en-US"/>
        </w:rPr>
      </w:pPr>
      <w:r>
        <w:rPr>
          <w:rFonts w:hint="default" w:ascii="Times New Roman" w:hAnsi="Times New Roman" w:cs="Times New Roman"/>
          <w:b/>
          <w:bCs/>
          <w:sz w:val="24"/>
          <w:szCs w:val="24"/>
          <w:u w:val="single"/>
          <w:lang w:val="en-US"/>
        </w:rPr>
        <w:t>ACHIEVING CARBON NEUTRALITY</w:t>
      </w:r>
      <w:r>
        <w:rPr>
          <w:rFonts w:hint="default" w:ascii="Times New Roman" w:hAnsi="Times New Roman" w:cs="Times New Roman"/>
          <w:b w:val="0"/>
          <w:bCs w:val="0"/>
          <w:sz w:val="24"/>
          <w:szCs w:val="24"/>
          <w:u w:val="none"/>
          <w:lang w:val="en-US"/>
        </w:rPr>
        <w:t xml:space="preserve"> </w:t>
      </w:r>
    </w:p>
    <w:p w14:paraId="4C7495E6">
      <w:pPr>
        <w:spacing w:line="240" w:lineRule="auto"/>
        <w:ind w:firstLine="2040" w:firstLineChars="850"/>
        <w:rPr>
          <w:rFonts w:hint="default" w:ascii="Times New Roman" w:hAnsi="Times New Roman" w:cs="Times New Roman"/>
          <w:b w:val="0"/>
          <w:bCs w:val="0"/>
          <w:sz w:val="24"/>
          <w:szCs w:val="24"/>
          <w:u w:val="none"/>
          <w:lang w:val="en-US"/>
        </w:rPr>
      </w:pPr>
      <w:r>
        <w:rPr>
          <w:rFonts w:hint="default" w:ascii="Times New Roman" w:hAnsi="Times New Roman" w:cs="Times New Roman"/>
          <w:b w:val="0"/>
          <w:bCs w:val="0"/>
          <w:sz w:val="24"/>
          <w:szCs w:val="24"/>
          <w:u w:val="none"/>
          <w:lang w:val="en-US"/>
        </w:rPr>
        <w:t xml:space="preserve"> </w:t>
      </w:r>
    </w:p>
    <w:p w14:paraId="7A15A065">
      <w:pPr>
        <w:spacing w:line="240" w:lineRule="auto"/>
        <w:rPr>
          <w:rFonts w:hint="default" w:ascii="Times New Roman" w:hAnsi="Times New Roman" w:cs="Times New Roman"/>
          <w:b w:val="0"/>
          <w:bCs w:val="0"/>
          <w:sz w:val="24"/>
          <w:szCs w:val="24"/>
          <w:u w:val="none"/>
          <w:lang w:val="en-US"/>
        </w:rPr>
      </w:pPr>
      <w:r>
        <w:rPr>
          <w:rFonts w:hint="default" w:ascii="Times New Roman" w:hAnsi="Times New Roman" w:cs="Times New Roman"/>
          <w:b w:val="0"/>
          <w:bCs w:val="0"/>
          <w:sz w:val="24"/>
          <w:szCs w:val="24"/>
          <w:u w:val="none"/>
          <w:lang w:val="en-US"/>
        </w:rPr>
        <w:t xml:space="preserve">                                                                         </w:t>
      </w:r>
      <w:r>
        <w:rPr>
          <w:rFonts w:hint="default" w:ascii="Times New Roman" w:hAnsi="Times New Roman" w:cs="Times New Roman"/>
          <w:b/>
          <w:bCs/>
          <w:sz w:val="24"/>
          <w:szCs w:val="24"/>
          <w:u w:val="single"/>
          <w:lang w:val="en-US"/>
        </w:rPr>
        <w:t>THROUGH</w:t>
      </w:r>
      <w:r>
        <w:rPr>
          <w:rFonts w:hint="default" w:ascii="Times New Roman" w:hAnsi="Times New Roman" w:cs="Times New Roman"/>
          <w:b w:val="0"/>
          <w:bCs w:val="0"/>
          <w:sz w:val="24"/>
          <w:szCs w:val="24"/>
          <w:u w:val="none"/>
          <w:lang w:val="en-US"/>
        </w:rPr>
        <w:t xml:space="preserve"> </w:t>
      </w:r>
    </w:p>
    <w:p w14:paraId="65A0EF63">
      <w:pPr>
        <w:spacing w:line="240" w:lineRule="auto"/>
        <w:rPr>
          <w:rFonts w:hint="default" w:ascii="Times New Roman" w:hAnsi="Times New Roman" w:cs="Times New Roman"/>
          <w:b w:val="0"/>
          <w:bCs w:val="0"/>
          <w:sz w:val="24"/>
          <w:szCs w:val="24"/>
          <w:u w:val="none"/>
          <w:lang w:val="en-US"/>
        </w:rPr>
      </w:pPr>
    </w:p>
    <w:p w14:paraId="13923ABC">
      <w:pPr>
        <w:spacing w:line="240" w:lineRule="auto"/>
        <w:ind w:left="3720" w:hanging="3720" w:hangingChars="1550"/>
        <w:rPr>
          <w:rFonts w:hint="default" w:ascii="Times New Roman" w:hAnsi="Times New Roman" w:cs="Times New Roman"/>
          <w:b w:val="0"/>
          <w:bCs w:val="0"/>
          <w:sz w:val="24"/>
          <w:szCs w:val="24"/>
          <w:u w:val="none"/>
          <w:lang w:val="en-US"/>
        </w:rPr>
      </w:pPr>
      <w:r>
        <w:rPr>
          <w:rFonts w:hint="default" w:ascii="Times New Roman" w:hAnsi="Times New Roman" w:cs="Times New Roman"/>
          <w:b w:val="0"/>
          <w:bCs w:val="0"/>
          <w:sz w:val="24"/>
          <w:szCs w:val="24"/>
          <w:u w:val="none"/>
          <w:lang w:val="en-US"/>
        </w:rPr>
        <w:t xml:space="preserve">                        </w:t>
      </w:r>
      <w:r>
        <w:rPr>
          <w:rFonts w:hint="default" w:ascii="Times New Roman" w:hAnsi="Times New Roman" w:cs="Times New Roman"/>
          <w:b/>
          <w:bCs/>
          <w:sz w:val="24"/>
          <w:szCs w:val="24"/>
          <w:u w:val="single"/>
          <w:lang w:val="en-US"/>
        </w:rPr>
        <w:t>CIRCULAR ECONOMY  IN SOUTH ASIA (BANGLADESH ,INDIA,  NEPAL,</w:t>
      </w:r>
      <w:r>
        <w:rPr>
          <w:rFonts w:hint="default" w:ascii="Times New Roman" w:hAnsi="Times New Roman" w:cs="Times New Roman"/>
          <w:b w:val="0"/>
          <w:bCs w:val="0"/>
          <w:sz w:val="24"/>
          <w:szCs w:val="24"/>
          <w:u w:val="none"/>
          <w:lang w:val="en-US"/>
        </w:rPr>
        <w:t xml:space="preserve"> </w:t>
      </w:r>
    </w:p>
    <w:p w14:paraId="4AC72028">
      <w:pPr>
        <w:spacing w:line="240" w:lineRule="auto"/>
        <w:rPr>
          <w:rFonts w:hint="default" w:ascii="Times New Roman" w:hAnsi="Times New Roman" w:cs="Times New Roman"/>
          <w:b w:val="0"/>
          <w:bCs w:val="0"/>
          <w:sz w:val="24"/>
          <w:szCs w:val="24"/>
          <w:u w:val="none"/>
          <w:lang w:val="en-US"/>
        </w:rPr>
      </w:pPr>
    </w:p>
    <w:p w14:paraId="56610771">
      <w:pPr>
        <w:spacing w:line="240" w:lineRule="auto"/>
        <w:ind w:firstLine="3602" w:firstLineChars="1500"/>
        <w:rPr>
          <w:rFonts w:hint="default" w:ascii="Times New Roman" w:hAnsi="Times New Roman" w:cs="Times New Roman"/>
          <w:b/>
          <w:bCs/>
          <w:sz w:val="24"/>
          <w:szCs w:val="24"/>
          <w:u w:val="none"/>
          <w:lang w:val="en-US"/>
        </w:rPr>
        <w:sectPr>
          <w:pgSz w:w="11906" w:h="16838"/>
          <w:pgMar w:top="720" w:right="720" w:bottom="720" w:left="720" w:header="720" w:footer="720" w:gutter="0"/>
          <w:cols w:space="720" w:num="1"/>
          <w:docGrid w:linePitch="360" w:charSpace="0"/>
        </w:sectPr>
      </w:pPr>
      <w:r>
        <w:rPr>
          <w:rFonts w:hint="default" w:ascii="Times New Roman" w:hAnsi="Times New Roman" w:cs="Times New Roman"/>
          <w:b/>
          <w:bCs/>
          <w:sz w:val="24"/>
          <w:szCs w:val="24"/>
          <w:u w:val="single"/>
          <w:lang w:val="en-US"/>
        </w:rPr>
        <w:t>PAKISTAN , SRI LANKA</w:t>
      </w:r>
      <w:r>
        <w:rPr>
          <w:rFonts w:hint="default" w:ascii="Times New Roman" w:hAnsi="Times New Roman" w:cs="Times New Roman"/>
          <w:b w:val="0"/>
          <w:bCs w:val="0"/>
          <w:sz w:val="24"/>
          <w:szCs w:val="24"/>
          <w:u w:val="single"/>
          <w:lang w:val="en-US"/>
        </w:rPr>
        <w:t xml:space="preserve">) </w:t>
      </w:r>
    </w:p>
    <w:p w14:paraId="5CDAF177">
      <w:pPr>
        <w:spacing w:line="240" w:lineRule="auto"/>
        <w:rPr>
          <w:rFonts w:hint="default" w:ascii="Times New Roman" w:hAnsi="Times New Roman" w:cs="Times New Roman"/>
          <w:b/>
          <w:bCs/>
          <w:sz w:val="24"/>
          <w:szCs w:val="24"/>
          <w:u w:val="none"/>
          <w:lang w:val="en-US"/>
        </w:rPr>
      </w:pPr>
      <w:r>
        <w:rPr>
          <w:rFonts w:hint="default" w:ascii="Times New Roman" w:hAnsi="Times New Roman" w:cs="Times New Roman"/>
          <w:b/>
          <w:bCs/>
          <w:sz w:val="24"/>
          <w:szCs w:val="24"/>
          <w:u w:val="none"/>
          <w:lang w:val="en-US"/>
        </w:rPr>
        <w:t xml:space="preserve">           </w:t>
      </w:r>
      <w:r>
        <w:rPr>
          <w:rFonts w:hint="default" w:ascii="Times New Roman" w:hAnsi="Times New Roman" w:cs="Times New Roman"/>
          <w:b/>
          <w:bCs/>
          <w:sz w:val="24"/>
          <w:szCs w:val="24"/>
          <w:u w:val="single"/>
          <w:lang w:val="en-US"/>
        </w:rPr>
        <w:t xml:space="preserve">Achieving Carbon Neutrality through Circular Economy in South Asia </w:t>
      </w:r>
      <w:r>
        <w:rPr>
          <w:rFonts w:hint="default" w:ascii="Times New Roman" w:hAnsi="Times New Roman" w:cs="Times New Roman"/>
          <w:b/>
          <w:bCs/>
          <w:sz w:val="24"/>
          <w:szCs w:val="24"/>
          <w:u w:val="none"/>
          <w:lang w:val="en-US"/>
        </w:rPr>
        <w:t xml:space="preserve">                                           </w:t>
      </w:r>
    </w:p>
    <w:p w14:paraId="6AA4D1A9">
      <w:pPr>
        <w:spacing w:line="240" w:lineRule="auto"/>
        <w:rPr>
          <w:rFonts w:hint="default" w:ascii="Times New Roman" w:hAnsi="Times New Roman" w:cs="Times New Roman"/>
          <w:b/>
          <w:bCs/>
          <w:sz w:val="24"/>
          <w:szCs w:val="24"/>
          <w:u w:val="none"/>
          <w:lang w:val="en-US"/>
        </w:rPr>
      </w:pPr>
    </w:p>
    <w:p w14:paraId="23D6161D">
      <w:pPr>
        <w:spacing w:line="360" w:lineRule="auto"/>
        <w:rPr>
          <w:rFonts w:hint="default" w:ascii="Times New Roman" w:hAnsi="Times New Roman" w:cs="Times New Roman"/>
          <w:sz w:val="24"/>
          <w:szCs w:val="24"/>
          <w:u w:val="none"/>
          <w:lang w:val="en-US"/>
        </w:rPr>
      </w:pPr>
      <w:r>
        <w:rPr>
          <w:rFonts w:hint="default" w:ascii="Times New Roman" w:hAnsi="Times New Roman" w:cs="Times New Roman"/>
          <w:sz w:val="24"/>
          <w:szCs w:val="24"/>
          <w:u w:val="none"/>
          <w:lang w:val="en-US"/>
        </w:rPr>
        <w:t>Jannat Akhtar, M.A. Student, Department of Economics, University of Jammu, Jammu , Jammu &amp; Kashmir - 180006, India .  Email: jannatakhtar827@gmail.com</w:t>
      </w:r>
    </w:p>
    <w:p w14:paraId="4447210C">
      <w:pPr>
        <w:spacing w:line="360" w:lineRule="auto"/>
        <w:rPr>
          <w:rFonts w:hint="default" w:ascii="Times New Roman" w:hAnsi="Times New Roman" w:cs="Times New Roman"/>
          <w:sz w:val="28"/>
          <w:szCs w:val="28"/>
          <w:u w:val="none"/>
          <w:lang w:val="en-US"/>
        </w:rPr>
      </w:pPr>
      <w:r>
        <w:rPr>
          <w:sz w:val="28"/>
        </w:rPr>
        <mc:AlternateContent>
          <mc:Choice Requires="wps">
            <w:drawing>
              <wp:anchor distT="0" distB="0" distL="114300" distR="114300" simplePos="0" relativeHeight="251665408" behindDoc="0" locked="0" layoutInCell="1" allowOverlap="1">
                <wp:simplePos x="0" y="0"/>
                <wp:positionH relativeFrom="column">
                  <wp:posOffset>40640</wp:posOffset>
                </wp:positionH>
                <wp:positionV relativeFrom="paragraph">
                  <wp:posOffset>177165</wp:posOffset>
                </wp:positionV>
                <wp:extent cx="6606540" cy="3950335"/>
                <wp:effectExtent l="4445" t="4445" r="18415" b="7620"/>
                <wp:wrapNone/>
                <wp:docPr id="5" name="Text Box 5"/>
                <wp:cNvGraphicFramePr/>
                <a:graphic xmlns:a="http://schemas.openxmlformats.org/drawingml/2006/main">
                  <a:graphicData uri="http://schemas.microsoft.com/office/word/2010/wordprocessingShape">
                    <wps:wsp>
                      <wps:cNvSpPr txBox="1"/>
                      <wps:spPr>
                        <a:xfrm>
                          <a:off x="730250" y="788035"/>
                          <a:ext cx="6606540" cy="39503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6E1A5D8">
                            <w:pPr>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Abstract</w:t>
                            </w:r>
                          </w:p>
                          <w:p w14:paraId="47DF71F1">
                            <w:pPr>
                              <w:rPr>
                                <w:rFonts w:hint="default" w:ascii="Times New Roman" w:hAnsi="Times New Roman" w:cs="Times New Roman"/>
                                <w:sz w:val="24"/>
                                <w:szCs w:val="24"/>
                                <w:u w:val="none"/>
                                <w:lang w:val="en-US"/>
                              </w:rPr>
                            </w:pPr>
                            <w:r>
                              <w:rPr>
                                <w:rFonts w:hint="default"/>
                                <w:lang w:val="en-US"/>
                              </w:rPr>
                              <w:t xml:space="preserve"> </w:t>
                            </w:r>
                          </w:p>
                          <w:p w14:paraId="5ABD74A6">
                            <w:pPr>
                              <w:spacing w:line="360" w:lineRule="auto"/>
                              <w:rPr>
                                <w:rFonts w:hint="default" w:ascii="Times New Roman" w:hAnsi="Times New Roman"/>
                                <w:sz w:val="24"/>
                                <w:szCs w:val="24"/>
                                <w:u w:val="none"/>
                                <w:lang w:val="en-US"/>
                              </w:rPr>
                            </w:pPr>
                            <w:r>
                              <w:rPr>
                                <w:rFonts w:hint="default" w:ascii="Times New Roman" w:hAnsi="Times New Roman" w:cs="Times New Roman"/>
                                <w:sz w:val="24"/>
                                <w:szCs w:val="24"/>
                                <w:u w:val="none"/>
                                <w:lang w:val="en-US"/>
                              </w:rPr>
                              <w:t>The circular economy (CE) approach is essential for carbon neutrality and sustainable development, yet its  adoption in South Asia remains limited. This paper aims to explore various pathways towards achieving carbon neutrality through the lens of circular economy practices especially  in regions such as : India, Bangladesh, Pakistan, Nepal, and Sri Lanka. Based on a descriptive analysis of qualitative and quantitative data from various sources , the research evaluates circular economy  practices, policy frameworks, and environmental effects.Findings confirm that large-scale implementation of circular economy  is hampered by policy loopholes, technological barriers, financial limitations, and insufficient public awareness. Nevertheless, prospects for future development include policy coordination, regional integration, and expanded investment in environmentally friendly technologies.The paper emphasizes the imperative of more effective policy measures, public-private collaboration, and increased community involvement to encourage circular economy adoption . It seeks to establish a comprehensive framework for understanding how these nations can mitigate carbon emissions while concurrently fostering economic growth and sustainablility ,which is crucial in combating climate change.</w:t>
                            </w:r>
                          </w:p>
                          <w:p w14:paraId="4DBE4BB8">
                            <w:pPr>
                              <w:rPr>
                                <w:rFonts w:hint="default"/>
                                <w:lang w:val="en-US"/>
                              </w:rPr>
                            </w:pPr>
                          </w:p>
                        </w:txbxContent>
                      </wps:txbx>
                      <wps:bodyPr rot="0" spcFirstLastPara="0" vertOverflow="overflow" horzOverflow="overflow" vert="horz" wrap="square" lIns="91440" tIns="45720" rIns="91440" bIns="4572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2pt;margin-top:13.95pt;height:311.05pt;width:520.2pt;z-index:251665408;mso-width-relative:page;mso-height-relative:page;" fillcolor="#FFFFFF [3201]" filled="t" stroked="t" coordsize="21600,21600" o:gfxdata="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F3WzDNUAAAAJ&#10;AQAADwAAAAAAAAABACAAAAAiAAAAZHJzL2Rvd25yZXYueG1sUEsBAhQAFAAAAAgAh07iQGXq/RxY&#10;AgAAzQQAAA4AAAAAAAAAAQAgAAAAJAEAAGRycy9lMm9Eb2MueG1sUEsFBgAAAAAGAAYAWQEAAO4F&#10;AAAAAA==&#10;">
                <v:fill on="t" focussize="0,0"/>
                <v:stroke weight="0.5pt" color="#000000 [3204]" joinstyle="round"/>
                <v:imagedata o:title=""/>
                <o:lock v:ext="edit" aspectratio="f"/>
                <v:textbox>
                  <w:txbxContent>
                    <w:p w14:paraId="26E1A5D8">
                      <w:pPr>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Abstract</w:t>
                      </w:r>
                    </w:p>
                    <w:p w14:paraId="47DF71F1">
                      <w:pPr>
                        <w:rPr>
                          <w:rFonts w:hint="default" w:ascii="Times New Roman" w:hAnsi="Times New Roman" w:cs="Times New Roman"/>
                          <w:sz w:val="24"/>
                          <w:szCs w:val="24"/>
                          <w:u w:val="none"/>
                          <w:lang w:val="en-US"/>
                        </w:rPr>
                      </w:pPr>
                      <w:r>
                        <w:rPr>
                          <w:rFonts w:hint="default"/>
                          <w:lang w:val="en-US"/>
                        </w:rPr>
                        <w:t xml:space="preserve"> </w:t>
                      </w:r>
                    </w:p>
                    <w:p w14:paraId="5ABD74A6">
                      <w:pPr>
                        <w:spacing w:line="360" w:lineRule="auto"/>
                        <w:rPr>
                          <w:rFonts w:hint="default" w:ascii="Times New Roman" w:hAnsi="Times New Roman"/>
                          <w:sz w:val="24"/>
                          <w:szCs w:val="24"/>
                          <w:u w:val="none"/>
                          <w:lang w:val="en-US"/>
                        </w:rPr>
                      </w:pPr>
                      <w:r>
                        <w:rPr>
                          <w:rFonts w:hint="default" w:ascii="Times New Roman" w:hAnsi="Times New Roman" w:cs="Times New Roman"/>
                          <w:sz w:val="24"/>
                          <w:szCs w:val="24"/>
                          <w:u w:val="none"/>
                          <w:lang w:val="en-US"/>
                        </w:rPr>
                        <w:t>The circular economy (CE) approach is essential for carbon neutrality and sustainable development, yet its  adoption in South Asia remains limited. This paper aims to explore various pathways towards achieving carbon neutrality through the lens of circular economy practices especially  in regions such as : India, Bangladesh, Pakistan, Nepal, and Sri Lanka. Based on a descriptive analysis of qualitative and quantitative data from various sources , the research evaluates circular economy  practices, policy frameworks, and environmental effects.Findings confirm that large-scale implementation of circular economy  is hampered by policy loopholes, technological barriers, financial limitations, and insufficient public awareness. Nevertheless, prospects for future development include policy coordination, regional integration, and expanded investment in environmentally friendly technologies.The paper emphasizes the imperative of more effective policy measures, public-private collaboration, and increased community involvement to encourage circular economy adoption . It seeks to establish a comprehensive framework for understanding how these nations can mitigate carbon emissions while concurrently fostering economic growth and sustainablility ,which is crucial in combating climate change.</w:t>
                      </w:r>
                    </w:p>
                    <w:p w14:paraId="4DBE4BB8">
                      <w:pPr>
                        <w:rPr>
                          <w:rFonts w:hint="default"/>
                          <w:lang w:val="en-US"/>
                        </w:rPr>
                      </w:pPr>
                    </w:p>
                  </w:txbxContent>
                </v:textbox>
              </v:shape>
            </w:pict>
          </mc:Fallback>
        </mc:AlternateContent>
      </w:r>
    </w:p>
    <w:p w14:paraId="17FB5FB3">
      <w:pPr>
        <w:spacing w:line="240" w:lineRule="auto"/>
        <w:rPr>
          <w:rFonts w:hint="default" w:ascii="Times New Roman" w:hAnsi="Times New Roman" w:cs="Times New Roman"/>
          <w:sz w:val="28"/>
          <w:szCs w:val="28"/>
          <w:u w:val="none"/>
          <w:lang w:val="en-US"/>
        </w:rPr>
      </w:pPr>
    </w:p>
    <w:p w14:paraId="40C74CC0">
      <w:pPr>
        <w:spacing w:line="240" w:lineRule="auto"/>
        <w:rPr>
          <w:rFonts w:hint="default" w:ascii="Times New Roman" w:hAnsi="Times New Roman" w:cs="Times New Roman"/>
          <w:sz w:val="28"/>
          <w:szCs w:val="28"/>
          <w:u w:val="none"/>
          <w:lang w:val="en-US"/>
        </w:rPr>
      </w:pPr>
    </w:p>
    <w:p w14:paraId="3308F6AF">
      <w:pPr>
        <w:spacing w:line="240" w:lineRule="auto"/>
        <w:rPr>
          <w:rFonts w:hint="default" w:ascii="Times New Roman" w:hAnsi="Times New Roman" w:cs="Times New Roman"/>
          <w:sz w:val="28"/>
          <w:szCs w:val="28"/>
          <w:u w:val="none"/>
          <w:lang w:val="en-US"/>
        </w:rPr>
      </w:pPr>
    </w:p>
    <w:p w14:paraId="3A9431A2">
      <w:pPr>
        <w:spacing w:line="240" w:lineRule="auto"/>
        <w:rPr>
          <w:rFonts w:hint="default" w:ascii="Times New Roman" w:hAnsi="Times New Roman" w:cs="Times New Roman"/>
          <w:sz w:val="28"/>
          <w:szCs w:val="28"/>
          <w:u w:val="none"/>
          <w:lang w:val="en-US"/>
        </w:rPr>
      </w:pPr>
    </w:p>
    <w:p w14:paraId="586AF328">
      <w:pPr>
        <w:spacing w:line="240" w:lineRule="auto"/>
        <w:rPr>
          <w:rFonts w:hint="default" w:ascii="Times New Roman" w:hAnsi="Times New Roman" w:cs="Times New Roman"/>
          <w:sz w:val="28"/>
          <w:szCs w:val="28"/>
          <w:u w:val="none"/>
          <w:lang w:val="en-US"/>
        </w:rPr>
      </w:pPr>
    </w:p>
    <w:p w14:paraId="6270C9E9">
      <w:pPr>
        <w:spacing w:line="240" w:lineRule="auto"/>
        <w:rPr>
          <w:rFonts w:hint="default" w:ascii="Times New Roman" w:hAnsi="Times New Roman" w:cs="Times New Roman"/>
          <w:sz w:val="28"/>
          <w:szCs w:val="28"/>
          <w:u w:val="none"/>
          <w:lang w:val="en-US"/>
        </w:rPr>
      </w:pPr>
    </w:p>
    <w:p w14:paraId="4DEDCD61">
      <w:pPr>
        <w:spacing w:line="240" w:lineRule="auto"/>
        <w:rPr>
          <w:rFonts w:hint="default" w:ascii="Times New Roman" w:hAnsi="Times New Roman" w:cs="Times New Roman"/>
          <w:sz w:val="28"/>
          <w:szCs w:val="28"/>
          <w:u w:val="none"/>
          <w:lang w:val="en-US"/>
        </w:rPr>
      </w:pPr>
    </w:p>
    <w:p w14:paraId="4383F71B">
      <w:pPr>
        <w:spacing w:line="240" w:lineRule="auto"/>
        <w:rPr>
          <w:rFonts w:hint="default" w:ascii="Times New Roman" w:hAnsi="Times New Roman" w:cs="Times New Roman"/>
          <w:sz w:val="28"/>
          <w:szCs w:val="28"/>
          <w:u w:val="none"/>
          <w:lang w:val="en-US"/>
        </w:rPr>
      </w:pPr>
    </w:p>
    <w:p w14:paraId="6E2BE8CD">
      <w:pPr>
        <w:spacing w:line="240" w:lineRule="auto"/>
        <w:rPr>
          <w:rFonts w:hint="default" w:ascii="Times New Roman" w:hAnsi="Times New Roman" w:cs="Times New Roman"/>
          <w:sz w:val="28"/>
          <w:szCs w:val="28"/>
          <w:u w:val="none"/>
          <w:lang w:val="en-US"/>
        </w:rPr>
      </w:pPr>
    </w:p>
    <w:p w14:paraId="39C84365">
      <w:pPr>
        <w:spacing w:line="240" w:lineRule="auto"/>
        <w:rPr>
          <w:rFonts w:hint="default" w:ascii="Times New Roman" w:hAnsi="Times New Roman" w:cs="Times New Roman"/>
          <w:sz w:val="28"/>
          <w:szCs w:val="28"/>
          <w:u w:val="none"/>
          <w:lang w:val="en-US"/>
        </w:rPr>
      </w:pPr>
    </w:p>
    <w:p w14:paraId="26A6EF57">
      <w:pPr>
        <w:spacing w:line="240" w:lineRule="auto"/>
        <w:rPr>
          <w:rFonts w:hint="default" w:ascii="Times New Roman" w:hAnsi="Times New Roman" w:cs="Times New Roman"/>
          <w:sz w:val="28"/>
          <w:szCs w:val="28"/>
          <w:u w:val="none"/>
          <w:lang w:val="en-US"/>
        </w:rPr>
      </w:pPr>
    </w:p>
    <w:p w14:paraId="43EAE7E7">
      <w:pPr>
        <w:spacing w:line="240" w:lineRule="auto"/>
        <w:rPr>
          <w:rFonts w:hint="default" w:ascii="Times New Roman" w:hAnsi="Times New Roman" w:cs="Times New Roman"/>
          <w:sz w:val="28"/>
          <w:szCs w:val="28"/>
          <w:u w:val="none"/>
          <w:lang w:val="en-US"/>
        </w:rPr>
      </w:pPr>
    </w:p>
    <w:p w14:paraId="4A73827E">
      <w:pPr>
        <w:spacing w:line="240" w:lineRule="auto"/>
        <w:rPr>
          <w:rFonts w:hint="default" w:ascii="Times New Roman" w:hAnsi="Times New Roman" w:cs="Times New Roman"/>
          <w:sz w:val="28"/>
          <w:szCs w:val="28"/>
          <w:u w:val="none"/>
          <w:lang w:val="en-US"/>
        </w:rPr>
      </w:pPr>
    </w:p>
    <w:p w14:paraId="10844F0F">
      <w:pPr>
        <w:numPr>
          <w:ilvl w:val="0"/>
          <w:numId w:val="0"/>
        </w:numPr>
        <w:spacing w:line="240" w:lineRule="auto"/>
        <w:ind w:firstLine="560" w:firstLineChars="200"/>
        <w:rPr>
          <w:rFonts w:hint="default" w:ascii="Times New Roman" w:hAnsi="Times New Roman" w:cs="Times New Roman"/>
          <w:b/>
          <w:bCs/>
          <w:sz w:val="24"/>
          <w:szCs w:val="24"/>
          <w:u w:val="none"/>
          <w:lang w:val="en-US"/>
        </w:rPr>
      </w:pPr>
      <w:r>
        <w:rPr>
          <w:rFonts w:hint="default" w:ascii="Times New Roman" w:hAnsi="Times New Roman" w:cs="Times New Roman"/>
          <w:sz w:val="28"/>
          <w:szCs w:val="28"/>
          <w:u w:val="none"/>
          <w:lang w:val="en-US"/>
        </w:rPr>
        <w:t xml:space="preserve">   </w:t>
      </w:r>
    </w:p>
    <w:p w14:paraId="337F766E">
      <w:pPr>
        <w:numPr>
          <w:ilvl w:val="0"/>
          <w:numId w:val="0"/>
        </w:numPr>
        <w:spacing w:line="240" w:lineRule="auto"/>
        <w:rPr>
          <w:rFonts w:hint="default" w:ascii="Times New Roman" w:hAnsi="Times New Roman" w:cs="Times New Roman"/>
          <w:sz w:val="28"/>
          <w:szCs w:val="28"/>
          <w:u w:val="none"/>
          <w:lang w:val="en-US"/>
        </w:rPr>
      </w:pPr>
    </w:p>
    <w:p w14:paraId="7BF4EC59">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ind w:firstLine="480" w:firstLineChars="200"/>
        <w:textAlignment w:val="auto"/>
        <w:rPr>
          <w:rFonts w:hint="default" w:ascii="Times New Roman" w:hAnsi="Times New Roman" w:cs="Times New Roman"/>
          <w:b/>
          <w:bCs/>
          <w:sz w:val="24"/>
          <w:szCs w:val="24"/>
          <w:u w:val="single"/>
          <w:lang w:val="en-US"/>
        </w:rPr>
      </w:pPr>
    </w:p>
    <w:p w14:paraId="27F4D65B">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ind w:firstLine="480" w:firstLineChars="200"/>
        <w:textAlignment w:val="auto"/>
        <w:rPr>
          <w:rFonts w:hint="default" w:ascii="Times New Roman" w:hAnsi="Times New Roman" w:cs="Times New Roman"/>
          <w:b/>
          <w:bCs/>
          <w:sz w:val="24"/>
          <w:szCs w:val="24"/>
          <w:u w:val="single"/>
          <w:lang w:val="en-US"/>
        </w:rPr>
      </w:pPr>
    </w:p>
    <w:p w14:paraId="0AE716A9">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textAlignment w:val="auto"/>
        <w:rPr>
          <w:rFonts w:hint="default" w:ascii="Times New Roman" w:hAnsi="Times New Roman" w:cs="Times New Roman"/>
          <w:sz w:val="24"/>
          <w:szCs w:val="24"/>
          <w:u w:val="none"/>
          <w:lang w:val="en-US"/>
        </w:rPr>
      </w:pPr>
      <w:r>
        <w:rPr>
          <w:rFonts w:hint="default" w:ascii="Times New Roman" w:hAnsi="Times New Roman" w:cs="Times New Roman"/>
          <w:b/>
          <w:bCs/>
          <w:sz w:val="24"/>
          <w:szCs w:val="24"/>
          <w:u w:val="single"/>
          <w:lang w:val="en-US"/>
        </w:rPr>
        <w:t>Introduction</w:t>
      </w:r>
      <w:r>
        <w:rPr>
          <w:rFonts w:hint="default" w:ascii="Times New Roman" w:hAnsi="Times New Roman" w:cs="Times New Roman"/>
          <w:sz w:val="24"/>
          <w:szCs w:val="24"/>
          <w:u w:val="none"/>
          <w:lang w:val="en-US"/>
        </w:rPr>
        <w:t xml:space="preserve"> </w:t>
      </w:r>
    </w:p>
    <w:p w14:paraId="48EAE927">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cs="Times New Roman"/>
          <w:sz w:val="24"/>
          <w:szCs w:val="24"/>
          <w:u w:val="none"/>
          <w:lang w:val="en-US"/>
        </w:rPr>
        <w:t>The pressing need for carbon neutrality represents one of the most significant challenges and opportunities of our time,particularly in the context of South Asia. A number of attempts have been made by international organisations  to address the issues faced  by the countries globally  due to climate change through  establishing specific goals and implementation plans such as Kyoto Protocol , Paris Agreement, United Nation Climate Change Conferences (COP 26) and Sustainable Development Goals. The Intergovernmental Panel On Climate Change (IPCC)  has highlighted the need to limit global warming to 1.5</w:t>
      </w:r>
      <w:r>
        <w:rPr>
          <w:rFonts w:hint="default" w:ascii="Times New Roman" w:hAnsi="Times New Roman" w:eastAsia="SimSun" w:cs="Times New Roman"/>
          <w:b/>
          <w:bCs/>
          <w:sz w:val="24"/>
          <w:szCs w:val="24"/>
          <w:u w:val="none"/>
          <w:lang w:val="en-US"/>
        </w:rPr>
        <w:t xml:space="preserve">℃ </w:t>
      </w:r>
      <w:r>
        <w:rPr>
          <w:rFonts w:hint="default" w:ascii="Times New Roman" w:hAnsi="Times New Roman" w:eastAsia="SimSun" w:cs="Times New Roman"/>
          <w:b w:val="0"/>
          <w:bCs w:val="0"/>
          <w:sz w:val="24"/>
          <w:szCs w:val="24"/>
          <w:u w:val="none"/>
          <w:lang w:val="en-US"/>
        </w:rPr>
        <w:t>above pre - industrial levels,a key goal of Paris Agreement , calling on countries to reduce greenhouse gases emissions, particularly CO</w:t>
      </w:r>
      <w:r>
        <w:rPr>
          <w:rFonts w:hint="default" w:ascii="Times New Roman" w:hAnsi="Times New Roman" w:eastAsia="SimSun" w:cs="Times New Roman"/>
          <w:b w:val="0"/>
          <w:bCs w:val="0"/>
          <w:sz w:val="24"/>
          <w:szCs w:val="24"/>
          <w:u w:val="none"/>
          <w:vertAlign w:val="subscript"/>
          <w:lang w:val="en-US"/>
        </w:rPr>
        <w:t xml:space="preserve">2   </w:t>
      </w:r>
      <w:r>
        <w:rPr>
          <w:rFonts w:hint="default" w:ascii="Times New Roman" w:hAnsi="Times New Roman" w:eastAsia="SimSun" w:cs="Times New Roman"/>
          <w:b w:val="0"/>
          <w:bCs w:val="0"/>
          <w:sz w:val="24"/>
          <w:szCs w:val="24"/>
          <w:u w:val="none"/>
          <w:vertAlign w:val="baseline"/>
          <w:lang w:val="en-US"/>
        </w:rPr>
        <w:t xml:space="preserve">with a goal of </w:t>
      </w:r>
      <w:r>
        <w:rPr>
          <w:rFonts w:hint="default" w:ascii="Times New Roman" w:hAnsi="Times New Roman" w:eastAsia="SimSun" w:cs="Times New Roman"/>
          <w:b w:val="0"/>
          <w:bCs w:val="0"/>
          <w:sz w:val="24"/>
          <w:szCs w:val="24"/>
          <w:u w:val="none"/>
          <w:lang w:val="en-US"/>
        </w:rPr>
        <w:t xml:space="preserve"> achieving carbon neutrality or Net - Zero Emissions by 2050. Failure to act could result in devastating impacts including rising sea levels, extreme weather events and irreversible loss of biodiversity. </w:t>
      </w:r>
    </w:p>
    <w:p w14:paraId="73278B11">
      <w:pPr>
        <w:keepNext w:val="0"/>
        <w:keepLines w:val="0"/>
        <w:widowControl/>
        <w:suppressLineNumbers w:val="0"/>
        <w:spacing w:line="360" w:lineRule="auto"/>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Despite having relatively low per capita emissions, South Asia, which is home to approximately 1.8 billion people, is disproportionately affected by climate change. The global risks consultancy firm Maplecroft recently surveyed 170 countries to create the Climate Change Vulnerability Index (CCVI), which found that South Asia and Africa are the "most climate-vulnerable" regions of the world. Rising sea levels, more frequent flooding, heat waves, and decreased agricultural output as a result of fast urbanization and industrialization are all signs of climate change's effects in South Asia. South Asia's expanding economies need to figure out how to match their economic objectives with environmental sustainability as the global movement towards carbon neutrality picks up steam.</w:t>
      </w:r>
    </w:p>
    <w:p w14:paraId="4F18F478">
      <w:pPr>
        <w:bidi w:val="0"/>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cs="Times New Roman"/>
          <w:sz w:val="24"/>
          <w:szCs w:val="24"/>
          <w:lang w:val="en-US"/>
        </w:rPr>
        <w:t>.</w:t>
      </w:r>
      <w:r>
        <w:rPr>
          <w:rFonts w:hint="default" w:ascii="Times New Roman" w:hAnsi="Times New Roman" w:eastAsia="SimSun"/>
          <w:b w:val="0"/>
          <w:bCs w:val="0"/>
          <w:sz w:val="24"/>
          <w:szCs w:val="24"/>
          <w:u w:val="none"/>
          <w:lang w:val="en-US"/>
        </w:rPr>
        <w:t>“Carbon neutrality means net zero carbon,” says Ken Gillingham, Associate Professor of Economics. “This means that any actions that lead to emissions would be accompanied by other actions that confidently reduce – or offset – emissions.” In contrast to ‘net zero carbon’, Gillingham explains that ‘zero carbon’ means having no emissions at all – something he deems to be impossible in today’s society – and ‘carbon-positive’ means that you sequester more carbon emissions than you emit.( Yale Experts explains carbon Neutrality,2020 )</w:t>
      </w:r>
      <w:r>
        <w:rPr>
          <w:rFonts w:hint="default" w:ascii="Times New Roman" w:hAnsi="Times New Roman" w:eastAsia="SimSun" w:cs="Times New Roman"/>
          <w:b w:val="0"/>
          <w:bCs w:val="0"/>
          <w:sz w:val="24"/>
          <w:szCs w:val="24"/>
          <w:u w:val="none"/>
          <w:lang w:val="en-US"/>
        </w:rPr>
        <w:t xml:space="preserve">                     </w:t>
      </w:r>
    </w:p>
    <w:p w14:paraId="560E002B">
      <w:pPr>
        <w:bidi w:val="0"/>
        <w:spacing w:line="360" w:lineRule="auto"/>
        <w:ind w:firstLine="3000" w:firstLineChars="1250"/>
        <w:rPr>
          <w:rFonts w:hint="default" w:ascii="Times New Roman" w:hAnsi="Times New Roman" w:eastAsia="SimSun" w:cs="Times New Roman"/>
          <w:b/>
          <w:bCs/>
          <w:sz w:val="24"/>
          <w:szCs w:val="24"/>
          <w:u w:val="none"/>
          <w:lang w:val="en-US"/>
        </w:rPr>
      </w:pPr>
      <w:r>
        <w:rPr>
          <w:rFonts w:hint="default" w:ascii="Times New Roman" w:hAnsi="Times New Roman" w:eastAsia="SimSun" w:cs="Times New Roman"/>
          <w:b w:val="0"/>
          <w:bCs w:val="0"/>
          <w:sz w:val="24"/>
          <w:szCs w:val="24"/>
          <w:u w:val="none"/>
          <w:lang w:val="en-US"/>
        </w:rPr>
        <w:t xml:space="preserve">Key strategies to Achieve Carbon Neutrality </w:t>
      </w:r>
    </w:p>
    <w:p w14:paraId="0CDFAE59">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ind w:leftChars="0"/>
        <w:textAlignment w:val="auto"/>
        <w:rPr>
          <w:rFonts w:hint="default" w:ascii="Times New Roman" w:hAnsi="Times New Roman" w:eastAsia="SimSun" w:cs="Times New Roman"/>
          <w:b/>
          <w:bCs/>
          <w:sz w:val="24"/>
          <w:szCs w:val="24"/>
          <w:u w:val="none"/>
          <w:lang w:val="en-US"/>
        </w:rPr>
      </w:pPr>
      <w:r>
        <w:rPr>
          <w:rFonts w:hint="default" w:ascii="Times New Roman" w:hAnsi="Times New Roman" w:eastAsia="SimSun" w:cs="Times New Roman"/>
          <w:b/>
          <w:bCs/>
          <w:sz w:val="24"/>
          <w:szCs w:val="24"/>
          <w:u w:val="none"/>
          <w:lang w:val="en-US"/>
        </w:rPr>
        <w:drawing>
          <wp:inline distT="0" distB="0" distL="114300" distR="114300">
            <wp:extent cx="6530340" cy="2103120"/>
            <wp:effectExtent l="0" t="6350" r="0" b="3937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r>
        <w:rPr>
          <w:rFonts w:hint="default" w:ascii="Times New Roman" w:hAnsi="Times New Roman" w:eastAsia="SimSun" w:cs="Times New Roman"/>
          <w:b/>
          <w:bCs/>
          <w:sz w:val="24"/>
          <w:szCs w:val="24"/>
          <w:u w:val="none"/>
          <w:lang w:val="en-US"/>
        </w:rPr>
        <w:t xml:space="preserve">  Source - Author’s own creation                       </w:t>
      </w:r>
    </w:p>
    <w:p w14:paraId="0832D40B">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leftChars="0"/>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bCs/>
          <w:sz w:val="24"/>
          <w:szCs w:val="24"/>
          <w:u w:val="none"/>
          <w:lang w:val="en-US"/>
        </w:rPr>
        <w:t xml:space="preserve"> Objectives of Carbon Neutrality- </w:t>
      </w:r>
      <w:r>
        <w:rPr>
          <w:rFonts w:hint="default" w:ascii="Times New Roman" w:hAnsi="Times New Roman" w:eastAsia="SimSun" w:cs="Times New Roman"/>
          <w:b w:val="0"/>
          <w:bCs w:val="0"/>
          <w:sz w:val="24"/>
          <w:szCs w:val="24"/>
          <w:u w:val="none"/>
          <w:lang w:val="en-US"/>
        </w:rPr>
        <w:t xml:space="preserve"> 1)Reduce carbon  emission    2)  To increase absorption capacity</w:t>
      </w:r>
    </w:p>
    <w:p w14:paraId="50836EE3">
      <w:pPr>
        <w:keepNext w:val="0"/>
        <w:keepLines w:val="0"/>
        <w:pageBreakBefore w:val="0"/>
        <w:widowControl/>
        <w:numPr>
          <w:ilvl w:val="0"/>
          <w:numId w:val="1"/>
        </w:numPr>
        <w:kinsoku/>
        <w:wordWrap/>
        <w:overflowPunct/>
        <w:topLinePunct w:val="0"/>
        <w:autoSpaceDE/>
        <w:autoSpaceDN/>
        <w:bidi w:val="0"/>
        <w:adjustRightInd/>
        <w:snapToGrid/>
        <w:spacing w:before="361" w:beforeLines="100" w:after="361" w:afterLines="100" w:line="240" w:lineRule="auto"/>
        <w:ind w:firstLine="120" w:firstLineChars="50"/>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Improve climate resilience                                                        4) Promote sustainable development   </w:t>
      </w:r>
    </w:p>
    <w:p w14:paraId="603B5384">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120" w:firstLineChars="50"/>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5)Support  technological innovation                                             6) Enhancing energy efficiency    </w:t>
      </w:r>
    </w:p>
    <w:p w14:paraId="003227B0">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 7)Reduce dependence  on fossil fuels                                             8)  Improve air quality and public health</w:t>
      </w:r>
    </w:p>
    <w:p w14:paraId="3CD48EEF">
      <w:pPr>
        <w:keepNext w:val="0"/>
        <w:keepLines w:val="0"/>
        <w:pageBreakBefore w:val="0"/>
        <w:widowControl/>
        <w:numPr>
          <w:ilvl w:val="0"/>
          <w:numId w:val="2"/>
        </w:numPr>
        <w:kinsoku/>
        <w:wordWrap/>
        <w:overflowPunct/>
        <w:topLinePunct w:val="0"/>
        <w:autoSpaceDE/>
        <w:autoSpaceDN/>
        <w:bidi w:val="0"/>
        <w:adjustRightInd/>
        <w:snapToGrid/>
        <w:spacing w:before="361" w:beforeLines="100" w:after="361" w:afterLines="100" w:line="240" w:lineRule="auto"/>
        <w:ind w:firstLine="1560" w:firstLineChars="650"/>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              Protect  biodiversity and ecosystem</w:t>
      </w:r>
    </w:p>
    <w:p w14:paraId="1C3E2A0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textAlignment w:val="auto"/>
        <w:rPr>
          <w:rFonts w:hint="default" w:ascii="Times New Roman" w:hAnsi="Times New Roman" w:eastAsia="SimSun" w:cs="Times New Roman"/>
          <w:b w:val="0"/>
          <w:bCs w:val="0"/>
          <w:sz w:val="24"/>
          <w:szCs w:val="24"/>
          <w:u w:val="none"/>
          <w:lang w:val="en-US"/>
        </w:rPr>
        <w:sectPr>
          <w:pgSz w:w="11906" w:h="16838"/>
          <w:pgMar w:top="720" w:right="720" w:bottom="720" w:left="720" w:header="720" w:footer="720" w:gutter="0"/>
          <w:cols w:space="720" w:num="1"/>
          <w:docGrid w:linePitch="360" w:charSpace="0"/>
        </w:sectPr>
      </w:pPr>
      <w:r>
        <w:rPr>
          <w:rFonts w:hint="default" w:ascii="Times New Roman" w:hAnsi="Times New Roman" w:cs="Times New Roman"/>
          <w:sz w:val="24"/>
          <w:lang w:val="en-US"/>
        </w:rPr>
        <mc:AlternateContent>
          <mc:Choice Requires="wps">
            <w:drawing>
              <wp:anchor distT="0" distB="0" distL="114300" distR="114300" simplePos="0" relativeHeight="251664384" behindDoc="0" locked="0" layoutInCell="1" allowOverlap="1">
                <wp:simplePos x="0" y="0"/>
                <wp:positionH relativeFrom="column">
                  <wp:posOffset>1887855</wp:posOffset>
                </wp:positionH>
                <wp:positionV relativeFrom="paragraph">
                  <wp:posOffset>4178300</wp:posOffset>
                </wp:positionV>
                <wp:extent cx="1227455" cy="76200"/>
                <wp:effectExtent l="4445" t="4445" r="17780" b="10795"/>
                <wp:wrapNone/>
                <wp:docPr id="9" name="Text Box 9"/>
                <wp:cNvGraphicFramePr/>
                <a:graphic xmlns:a="http://schemas.openxmlformats.org/drawingml/2006/main">
                  <a:graphicData uri="http://schemas.microsoft.com/office/word/2010/wordprocessingShape">
                    <wps:wsp>
                      <wps:cNvSpPr txBox="1"/>
                      <wps:spPr>
                        <a:xfrm flipV="1">
                          <a:off x="3128645" y="3730625"/>
                          <a:ext cx="1227455" cy="762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802EC41">
                            <w:pPr>
                              <w:rPr>
                                <w:rFonts w:hint="default" w:ascii="Arial" w:hAnsi="Arial" w:cs="Arial"/>
                                <w:b/>
                                <w:bCs/>
                                <w:sz w:val="24"/>
                                <w:szCs w:val="24"/>
                                <w:vertAlign w:val="baseline"/>
                                <w:lang w:val="en-US"/>
                              </w:rPr>
                            </w:pPr>
                            <w:r>
                              <w:rPr>
                                <w:rFonts w:hint="default" w:ascii="Arial" w:hAnsi="Arial" w:cs="Arial"/>
                                <w:b/>
                                <w:bCs/>
                                <w:sz w:val="24"/>
                                <w:szCs w:val="24"/>
                                <w:lang w:val="en-US"/>
                              </w:rPr>
                              <w:t>Amount of CO</w:t>
                            </w:r>
                            <w:r>
                              <w:rPr>
                                <w:rFonts w:hint="default" w:ascii="Arial" w:hAnsi="Arial" w:cs="Arial"/>
                                <w:b/>
                                <w:bCs/>
                                <w:sz w:val="24"/>
                                <w:szCs w:val="24"/>
                                <w:vertAlign w:val="subscript"/>
                                <w:lang w:val="en-US"/>
                              </w:rPr>
                              <w:t xml:space="preserve">2  </w:t>
                            </w:r>
                            <w:r>
                              <w:rPr>
                                <w:rFonts w:hint="default" w:ascii="Arial" w:hAnsi="Arial" w:cs="Arial"/>
                                <w:b/>
                                <w:bCs/>
                                <w:sz w:val="24"/>
                                <w:szCs w:val="24"/>
                                <w:vertAlign w:val="baseline"/>
                                <w:lang w:val="en-US"/>
                              </w:rPr>
                              <w:t>released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flip:y;margin-left:148.65pt;margin-top:329pt;height:6pt;width:96.65pt;z-index:251664384;mso-width-relative:page;mso-height-relative:page;" fillcolor="#FFFFFF [3201]" filled="t" stroked="t" coordsize="21600,21600" o:gfxdata="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7uVPC&#10;2gAAAAsBAAAPAAAAAAAAAAEAIAAAACIAAABkcnMvZG93bnJldi54bWxQSwECFAAUAAAACACHTuJA&#10;EIlMFlgCAADLBAAADgAAAAAAAAABACAAAAApAQAAZHJzL2Uyb0RvYy54bWxQSwUGAAAAAAYABgBZ&#10;AQAA8wUAAAAA&#10;">
                <v:fill on="t" focussize="0,0"/>
                <v:stroke weight="0.5pt" color="#000000 [3204]" joinstyle="round"/>
                <v:imagedata o:title=""/>
                <o:lock v:ext="edit" aspectratio="f"/>
                <v:textbox>
                  <w:txbxContent>
                    <w:p w14:paraId="1802EC41">
                      <w:pPr>
                        <w:rPr>
                          <w:rFonts w:hint="default" w:ascii="Arial" w:hAnsi="Arial" w:cs="Arial"/>
                          <w:b/>
                          <w:bCs/>
                          <w:sz w:val="24"/>
                          <w:szCs w:val="24"/>
                          <w:vertAlign w:val="baseline"/>
                          <w:lang w:val="en-US"/>
                        </w:rPr>
                      </w:pPr>
                      <w:r>
                        <w:rPr>
                          <w:rFonts w:hint="default" w:ascii="Arial" w:hAnsi="Arial" w:cs="Arial"/>
                          <w:b/>
                          <w:bCs/>
                          <w:sz w:val="24"/>
                          <w:szCs w:val="24"/>
                          <w:lang w:val="en-US"/>
                        </w:rPr>
                        <w:t>Amount of CO</w:t>
                      </w:r>
                      <w:r>
                        <w:rPr>
                          <w:rFonts w:hint="default" w:ascii="Arial" w:hAnsi="Arial" w:cs="Arial"/>
                          <w:b/>
                          <w:bCs/>
                          <w:sz w:val="24"/>
                          <w:szCs w:val="24"/>
                          <w:vertAlign w:val="subscript"/>
                          <w:lang w:val="en-US"/>
                        </w:rPr>
                        <w:t xml:space="preserve">2  </w:t>
                      </w:r>
                      <w:r>
                        <w:rPr>
                          <w:rFonts w:hint="default" w:ascii="Arial" w:hAnsi="Arial" w:cs="Arial"/>
                          <w:b/>
                          <w:bCs/>
                          <w:sz w:val="24"/>
                          <w:szCs w:val="24"/>
                          <w:vertAlign w:val="baseline"/>
                          <w:lang w:val="en-US"/>
                        </w:rPr>
                        <w:t>released</w:t>
                      </w:r>
                    </w:p>
                  </w:txbxContent>
                </v:textbox>
              </v:shape>
            </w:pict>
          </mc:Fallback>
        </mc:AlternateContent>
      </w:r>
      <w:r>
        <w:rPr>
          <w:rFonts w:hint="default" w:ascii="Times New Roman" w:hAnsi="Times New Roman" w:eastAsia="SimSun" w:cs="Times New Roman"/>
          <w:sz w:val="24"/>
          <w:szCs w:val="24"/>
        </w:rPr>
        <w:t xml:space="preserve">The global focus on carbon neutrality intensified after the 2015 Paris Agreement, where 196 countries committed to limit global warming to </w:t>
      </w:r>
      <w:r>
        <w:rPr>
          <w:rFonts w:hint="default" w:ascii="Times New Roman" w:hAnsi="Times New Roman" w:eastAsia="SimSun" w:cs="Times New Roman"/>
          <w:sz w:val="24"/>
          <w:szCs w:val="24"/>
          <w:lang w:val="en-US"/>
        </w:rPr>
        <w:t>leve</w:t>
      </w:r>
      <w:r>
        <w:rPr>
          <w:rFonts w:hint="default" w:ascii="Times New Roman" w:hAnsi="Times New Roman" w:eastAsia="SimSun" w:cs="Times New Roman"/>
          <w:sz w:val="24"/>
          <w:szCs w:val="24"/>
        </w:rPr>
        <w:t>l below 2°C, ideally to 1.5°C</w:t>
      </w:r>
      <w:r>
        <w:rPr>
          <w:rFonts w:ascii="SimSun" w:hAnsi="SimSun" w:eastAsia="SimSun" w:cs="SimSun"/>
          <w:sz w:val="24"/>
          <w:szCs w:val="24"/>
        </w:rPr>
        <w:t>.</w:t>
      </w:r>
      <w:r>
        <w:rPr>
          <w:rFonts w:hint="default" w:ascii="Times New Roman" w:hAnsi="Times New Roman" w:eastAsia="SimSun" w:cs="Times New Roman"/>
          <w:sz w:val="24"/>
          <w:szCs w:val="24"/>
        </w:rPr>
        <w:t xml:space="preserve">Under this agreement, countries have pledged to reach net-zero emissions </w:t>
      </w:r>
      <w:r>
        <w:rPr>
          <w:rFonts w:hint="default" w:ascii="Times New Roman" w:hAnsi="Times New Roman" w:eastAsia="SimSun" w:cs="Times New Roman"/>
          <w:sz w:val="24"/>
          <w:szCs w:val="24"/>
          <w:lang w:val="en-US"/>
        </w:rPr>
        <w:t>by</w:t>
      </w:r>
      <w:r>
        <w:rPr>
          <w:rFonts w:hint="default" w:ascii="Times New Roman" w:hAnsi="Times New Roman" w:eastAsia="SimSun" w:cs="Times New Roman"/>
          <w:sz w:val="24"/>
          <w:szCs w:val="24"/>
        </w:rPr>
        <w:t xml:space="preserve"> mid-21st century</w:t>
      </w:r>
      <w:r>
        <w:rPr>
          <w:rFonts w:ascii="SimSun" w:hAnsi="SimSun" w:eastAsia="SimSun" w:cs="SimSun"/>
          <w:sz w:val="24"/>
          <w:szCs w:val="24"/>
        </w:rPr>
        <w:t>.</w:t>
      </w:r>
      <w:r>
        <w:rPr>
          <w:rFonts w:hint="default" w:ascii="Times New Roman" w:hAnsi="Times New Roman" w:eastAsia="SimSun" w:cs="Times New Roman"/>
          <w:b w:val="0"/>
          <w:bCs w:val="0"/>
          <w:sz w:val="24"/>
          <w:szCs w:val="24"/>
          <w:u w:val="none"/>
          <w:lang w:val="en-US"/>
        </w:rPr>
        <w:t xml:space="preserve"> Enviromentalists and researchers believed that it is the essential step for mitigating climate change caused by green house gas emissions . Defining carbon neutrality in the context of South Asia is essential for grounding our analysis. Carbon neutrality refers to the balance between emitting carbon and absorbing carbon from the atmosphere , ultimately aiming to reduce net emissions to zero.</w:t>
      </w:r>
      <w:r>
        <w:rPr>
          <w:rFonts w:hint="default" w:ascii="Times New Roman" w:hAnsi="Times New Roman" w:eastAsia="SimSun" w:cs="Times New Roman"/>
          <w:sz w:val="24"/>
          <w:szCs w:val="24"/>
        </w:rPr>
        <w:t>In South Asia, a region characterized by rapid population growth and industrialisation, achieving this balance poses unique challenges and opportunities. Thus, the significance of carbon neutrality extends beyond environmental considerations; it encompasses socio-economic impacts, public health, and implications for sustainable development</w:t>
      </w:r>
      <w:r>
        <w:rPr>
          <w:rFonts w:hint="default" w:ascii="Times New Roman" w:hAnsi="Times New Roman" w:eastAsia="SimSun" w:cs="Times New Roman"/>
          <w:sz w:val="24"/>
          <w:szCs w:val="24"/>
          <w:lang w:val="en-US"/>
        </w:rPr>
        <w:t>.</w:t>
      </w:r>
    </w:p>
    <w:p w14:paraId="72E2D322">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                                                                    Carbon Neutrality</w:t>
      </w:r>
    </w:p>
    <w:p w14:paraId="6FD19FCA">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ind w:left="3720" w:leftChars="0" w:hanging="3720" w:hangingChars="1550"/>
        <w:textAlignment w:val="auto"/>
        <w:rPr>
          <w:rFonts w:hint="default" w:ascii="Times New Roman" w:hAnsi="Times New Roman" w:eastAsia="SimSun" w:cs="Times New Roman"/>
          <w:b w:val="0"/>
          <w:bCs w:val="0"/>
          <w:sz w:val="24"/>
          <w:szCs w:val="24"/>
          <w:u w:val="none"/>
          <w:lang w:val="en-US"/>
        </w:rPr>
      </w:pPr>
      <w:r>
        <w:rPr>
          <w:rFonts w:hint="default" w:ascii="Times New Roman" w:hAnsi="Times New Roman" w:cs="Times New Roman"/>
          <w:sz w:val="24"/>
          <w:lang w:val="en-US"/>
        </w:rPr>
        <mc:AlternateContent>
          <mc:Choice Requires="wps">
            <w:drawing>
              <wp:anchor distT="0" distB="0" distL="114300" distR="114300" simplePos="0" relativeHeight="251659264" behindDoc="0" locked="0" layoutInCell="1" allowOverlap="1">
                <wp:simplePos x="0" y="0"/>
                <wp:positionH relativeFrom="column">
                  <wp:posOffset>-977265</wp:posOffset>
                </wp:positionH>
                <wp:positionV relativeFrom="paragraph">
                  <wp:posOffset>614045</wp:posOffset>
                </wp:positionV>
                <wp:extent cx="7620" cy="429260"/>
                <wp:effectExtent l="4445" t="0" r="18415" b="12700"/>
                <wp:wrapNone/>
                <wp:docPr id="17" name="Straight Connector 17"/>
                <wp:cNvGraphicFramePr/>
                <a:graphic xmlns:a="http://schemas.openxmlformats.org/drawingml/2006/main">
                  <a:graphicData uri="http://schemas.microsoft.com/office/word/2010/wordprocessingShape">
                    <wps:wsp>
                      <wps:cNvCnPr/>
                      <wps:spPr>
                        <a:xfrm>
                          <a:off x="1878965" y="4375785"/>
                          <a:ext cx="7620" cy="429260"/>
                        </a:xfrm>
                        <a:prstGeom prst="line">
                          <a:avLst/>
                        </a:prstGeom>
                        <a:ln w="6350" cap="flat" cmpd="sng" algn="ctr">
                          <a:solidFill>
                            <a:schemeClr val="accent1"/>
                          </a:solidFill>
                          <a:prstDash val="dash"/>
                          <a:miter lim="800000"/>
                        </a:ln>
                      </wps:spPr>
                      <wps:style>
                        <a:lnRef idx="0">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76.95pt;margin-top:48.35pt;height:33.8pt;width:0.6pt;z-index:251659264;mso-width-relative:page;mso-height-relative:page;" filled="f" stroked="t" coordsize="21600,21600" o:gfxdata="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Po&#10;aRvYAAAADAEAAA8AAAAAAAAAAQAgAAAAIgAAAGRycy9kb3ducmV2LnhtbFBLAQIUABQAAAAIAIdO&#10;4kBs9Sr46gEAAMMDAAAOAAAAAAAAAAEAIAAAACcBAABkcnMvZTJvRG9jLnhtbFBLBQYAAAAABgAG&#10;AFkBAACDBQAAAAA=&#10;">
                <v:fill on="f" focussize="0,0"/>
                <v:stroke weight="0.5pt" color="#5B9BD5 [3204]" miterlimit="8" joinstyle="miter" dashstyle="dash"/>
                <v:imagedata o:title=""/>
                <o:lock v:ext="edit" aspectratio="f"/>
              </v:line>
            </w:pict>
          </mc:Fallback>
        </mc:AlternateContent>
      </w:r>
      <w:r>
        <w:rPr>
          <w:rFonts w:hint="default" w:ascii="Times New Roman" w:hAnsi="Times New Roman" w:eastAsia="SimSun" w:cs="Times New Roman"/>
          <w:b w:val="0"/>
          <w:bCs w:val="0"/>
          <w:sz w:val="24"/>
          <w:szCs w:val="24"/>
          <w:u w:val="none"/>
          <w:lang w:val="en-US"/>
        </w:rPr>
        <w:t xml:space="preserve">        </w:t>
      </w:r>
      <w:r>
        <w:rPr>
          <w:rFonts w:hint="default" w:ascii="Times New Roman" w:hAnsi="Times New Roman" w:eastAsia="SimSun" w:cs="Times New Roman"/>
          <w:b w:val="0"/>
          <w:bCs w:val="0"/>
          <w:sz w:val="24"/>
          <w:szCs w:val="24"/>
          <w:u w:val="none"/>
          <w:lang w:val="en-US"/>
        </w:rPr>
        <w:drawing>
          <wp:inline distT="0" distB="0" distL="114300" distR="114300">
            <wp:extent cx="6006465" cy="2286000"/>
            <wp:effectExtent l="9525" t="9525" r="19050" b="20955"/>
            <wp:docPr id="13" name="Picture 13" descr="Cropped_ClimateActive_Infographics_RGB_FA_02_watermarked_What does it mean to be carbon neu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ropped_ClimateActive_Infographics_RGB_FA_02_watermarked_What does it mean to be carbon neutral"/>
                    <pic:cNvPicPr>
                      <a:picLocks noChangeAspect="1"/>
                    </pic:cNvPicPr>
                  </pic:nvPicPr>
                  <pic:blipFill>
                    <a:blip r:embed="rId9"/>
                    <a:stretch>
                      <a:fillRect/>
                    </a:stretch>
                  </pic:blipFill>
                  <pic:spPr>
                    <a:xfrm>
                      <a:off x="0" y="0"/>
                      <a:ext cx="6006465" cy="2286000"/>
                    </a:xfrm>
                    <a:prstGeom prst="rect">
                      <a:avLst/>
                    </a:prstGeom>
                    <a:ln>
                      <a:solidFill>
                        <a:schemeClr val="tx1"/>
                      </a:solidFill>
                    </a:ln>
                  </pic:spPr>
                </pic:pic>
              </a:graphicData>
            </a:graphic>
          </wp:inline>
        </w:drawing>
      </w:r>
      <w:r>
        <w:rPr>
          <w:rFonts w:hint="default" w:ascii="Times New Roman" w:hAnsi="Times New Roman" w:eastAsia="SimSun" w:cs="Times New Roman"/>
          <w:b w:val="0"/>
          <w:bCs w:val="0"/>
          <w:sz w:val="24"/>
          <w:szCs w:val="24"/>
          <w:u w:val="none"/>
          <w:lang w:val="en-US"/>
        </w:rPr>
        <w:t xml:space="preserve">     Source - Climate Active </w:t>
      </w:r>
    </w:p>
    <w:p w14:paraId="026BFF9F">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360" w:lineRule="auto"/>
        <w:ind w:left="2880" w:leftChars="0" w:hanging="2880" w:hangingChars="1200"/>
        <w:textAlignment w:val="auto"/>
        <w:rPr>
          <w:rFonts w:hint="default" w:ascii="Times New Roman" w:hAnsi="Times New Roman" w:eastAsia="SimSun" w:cs="Times New Roman"/>
          <w:b w:val="0"/>
          <w:bCs w:val="0"/>
          <w:sz w:val="22"/>
          <w:szCs w:val="22"/>
          <w:u w:val="none"/>
          <w:lang w:val="en-US"/>
        </w:rPr>
      </w:pPr>
      <w:r>
        <w:rPr>
          <w:rFonts w:hint="default" w:ascii="Times New Roman" w:hAnsi="Times New Roman" w:eastAsia="SimSun" w:cs="Times New Roman"/>
          <w:b w:val="0"/>
          <w:bCs w:val="0"/>
          <w:sz w:val="24"/>
          <w:szCs w:val="24"/>
          <w:u w:val="none"/>
          <w:lang w:val="en-US"/>
        </w:rPr>
        <w:t xml:space="preserve">       Role of carbon neutrality in mitigating climate change and promoting sustainable development </w:t>
      </w:r>
    </w:p>
    <w:p w14:paraId="1EA5EBD8">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u w:val="single"/>
        </w:rPr>
        <w:t>Reduces Greenhouse Gas Emissions</w:t>
      </w:r>
      <w:r>
        <w:rPr>
          <w:rFonts w:hint="default" w:ascii="Times New Roman" w:hAnsi="Times New Roman" w:cs="Times New Roman"/>
          <w:b w:val="0"/>
          <w:bCs w:val="0"/>
          <w:sz w:val="24"/>
          <w:szCs w:val="24"/>
        </w:rPr>
        <w:t xml:space="preserve"> – Balances carbon emissions with removal mechanisms</w:t>
      </w:r>
    </w:p>
    <w:p w14:paraId="4D777F17">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Supports Global Climate Goals</w:t>
      </w:r>
      <w:r>
        <w:rPr>
          <w:rFonts w:hint="default" w:ascii="Times New Roman" w:hAnsi="Times New Roman" w:cs="Times New Roman"/>
          <w:b w:val="0"/>
          <w:bCs w:val="0"/>
          <w:sz w:val="24"/>
          <w:szCs w:val="24"/>
        </w:rPr>
        <w:t xml:space="preserve"> – Aligns with the Paris Agreement's 1.5°C target.</w:t>
      </w:r>
    </w:p>
    <w:p w14:paraId="2088B280">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Boosts Renewable Energy</w:t>
      </w:r>
      <w:r>
        <w:rPr>
          <w:rFonts w:hint="default" w:ascii="Times New Roman" w:hAnsi="Times New Roman" w:cs="Times New Roman"/>
          <w:b w:val="0"/>
          <w:bCs w:val="0"/>
          <w:sz w:val="24"/>
          <w:szCs w:val="24"/>
        </w:rPr>
        <w:t xml:space="preserve"> – Promotes solar, wind, and hydro energy adoption.</w:t>
      </w:r>
    </w:p>
    <w:p w14:paraId="7A38F2C1">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Encourages Green Innovation</w:t>
      </w:r>
      <w:r>
        <w:rPr>
          <w:rFonts w:hint="default" w:ascii="Times New Roman" w:hAnsi="Times New Roman" w:cs="Times New Roman"/>
          <w:b w:val="0"/>
          <w:bCs w:val="0"/>
          <w:sz w:val="24"/>
          <w:szCs w:val="24"/>
        </w:rPr>
        <w:t xml:space="preserve"> – Drives investments in clean technology and industries.</w:t>
      </w:r>
    </w:p>
    <w:p w14:paraId="14C7D416">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Improves Air Quality</w:t>
      </w:r>
      <w:r>
        <w:rPr>
          <w:rFonts w:hint="default" w:ascii="Times New Roman" w:hAnsi="Times New Roman" w:cs="Times New Roman"/>
          <w:b w:val="0"/>
          <w:bCs w:val="0"/>
          <w:sz w:val="24"/>
          <w:szCs w:val="24"/>
        </w:rPr>
        <w:t xml:space="preserve"> – Reduces pollution-related health risks.</w:t>
      </w:r>
    </w:p>
    <w:p w14:paraId="2C7E319D">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Creates Sustainable Jobs</w:t>
      </w:r>
      <w:r>
        <w:rPr>
          <w:rFonts w:hint="default" w:ascii="Times New Roman" w:hAnsi="Times New Roman" w:cs="Times New Roman"/>
          <w:b w:val="0"/>
          <w:bCs w:val="0"/>
          <w:sz w:val="24"/>
          <w:szCs w:val="24"/>
        </w:rPr>
        <w:t xml:space="preserve"> – Supports employment in the green economy.</w:t>
      </w:r>
    </w:p>
    <w:p w14:paraId="5CA6B0D6">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Enhances Energy Security</w:t>
      </w:r>
      <w:r>
        <w:rPr>
          <w:rFonts w:hint="default" w:ascii="Times New Roman" w:hAnsi="Times New Roman" w:cs="Times New Roman"/>
          <w:b w:val="0"/>
          <w:bCs w:val="0"/>
          <w:sz w:val="24"/>
          <w:szCs w:val="24"/>
        </w:rPr>
        <w:t xml:space="preserve"> – Reduces dependence on fossil fuels.</w:t>
      </w:r>
    </w:p>
    <w:p w14:paraId="3BA3BFE7">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Protects Ecosystems</w:t>
      </w:r>
      <w:r>
        <w:rPr>
          <w:rFonts w:hint="default" w:ascii="Times New Roman" w:hAnsi="Times New Roman" w:cs="Times New Roman"/>
          <w:b w:val="0"/>
          <w:bCs w:val="0"/>
          <w:sz w:val="24"/>
          <w:szCs w:val="24"/>
        </w:rPr>
        <w:t xml:space="preserve"> – Preserves forests, biodiversity, and water resources.</w:t>
      </w:r>
    </w:p>
    <w:p w14:paraId="36E4D41B">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Promotes Climate Justice</w:t>
      </w:r>
      <w:r>
        <w:rPr>
          <w:rFonts w:hint="default" w:ascii="Times New Roman" w:hAnsi="Times New Roman" w:cs="Times New Roman"/>
          <w:b w:val="0"/>
          <w:bCs w:val="0"/>
          <w:sz w:val="24"/>
          <w:szCs w:val="24"/>
        </w:rPr>
        <w:t xml:space="preserve"> – Benefits vulnerable communities most affected by climate change.</w:t>
      </w:r>
    </w:p>
    <w:p w14:paraId="4C995F1F">
      <w:pPr>
        <w:keepNext w:val="0"/>
        <w:keepLines w:val="0"/>
        <w:widowControl/>
        <w:numPr>
          <w:ilvl w:val="0"/>
          <w:numId w:val="0"/>
        </w:numPr>
        <w:suppressLineNumbers w:val="0"/>
        <w:spacing w:before="0" w:beforeAutospacing="1" w:after="0" w:afterAutospacing="1"/>
        <w:ind w:leftChars="0"/>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Strengthens Policy Actions</w:t>
      </w:r>
      <w:r>
        <w:rPr>
          <w:rFonts w:hint="default" w:ascii="Times New Roman" w:hAnsi="Times New Roman" w:cs="Times New Roman"/>
          <w:b w:val="0"/>
          <w:bCs w:val="0"/>
          <w:sz w:val="24"/>
          <w:szCs w:val="24"/>
        </w:rPr>
        <w:t xml:space="preserve"> – Encourages carbon pricing, regulations, and international cooperation.</w:t>
      </w:r>
    </w:p>
    <w:p w14:paraId="5777662D">
      <w:pPr>
        <w:keepNext w:val="0"/>
        <w:keepLines w:val="0"/>
        <w:widowControl/>
        <w:numPr>
          <w:ilvl w:val="0"/>
          <w:numId w:val="0"/>
        </w:numPr>
        <w:suppressLineNumbers w:val="0"/>
        <w:spacing w:before="0" w:beforeAutospacing="1" w:after="0" w:afterAutospacing="1"/>
        <w:rPr>
          <w:rFonts w:hint="default" w:ascii="Times New Roman" w:hAnsi="Times New Roman" w:cs="Times New Roman"/>
          <w:b w:val="0"/>
          <w:bCs w:val="0"/>
          <w:sz w:val="24"/>
          <w:szCs w:val="24"/>
        </w:rPr>
      </w:pPr>
      <w:r>
        <w:rPr>
          <w:rStyle w:val="14"/>
          <w:rFonts w:hint="default" w:ascii="Times New Roman" w:hAnsi="Times New Roman" w:cs="Times New Roman"/>
          <w:b w:val="0"/>
          <w:bCs w:val="0"/>
          <w:sz w:val="24"/>
          <w:szCs w:val="24"/>
        </w:rPr>
        <w:t>Encourages Corporate Responsibility</w:t>
      </w:r>
      <w:r>
        <w:rPr>
          <w:rFonts w:hint="default" w:ascii="Times New Roman" w:hAnsi="Times New Roman" w:cs="Times New Roman"/>
          <w:b w:val="0"/>
          <w:bCs w:val="0"/>
          <w:sz w:val="24"/>
          <w:szCs w:val="24"/>
        </w:rPr>
        <w:t xml:space="preserve"> – Businesses adopt carbon-neutral strategies for sustainability.</w:t>
      </w:r>
    </w:p>
    <w:p w14:paraId="3C09CB13">
      <w:pPr>
        <w:keepNext w:val="0"/>
        <w:keepLines w:val="0"/>
        <w:widowControl/>
        <w:numPr>
          <w:ilvl w:val="0"/>
          <w:numId w:val="0"/>
        </w:numPr>
        <w:suppressLineNumbers w:val="0"/>
        <w:spacing w:before="0" w:beforeAutospacing="1" w:after="0" w:afterAutospacing="1"/>
        <w:rPr>
          <w:rFonts w:hint="default" w:ascii="Times New Roman" w:hAnsi="Times New Roman" w:cs="Times New Roman"/>
          <w:b w:val="0"/>
          <w:bCs w:val="0"/>
          <w:sz w:val="24"/>
          <w:szCs w:val="24"/>
        </w:rPr>
      </w:pPr>
      <w:r>
        <w:rPr>
          <w:rFonts w:hint="default" w:ascii="Times New Roman" w:hAnsi="Times New Roman" w:cs="Times New Roman"/>
          <w:sz w:val="22"/>
          <w:szCs w:val="22"/>
        </w:rPr>
        <mc:AlternateContent>
          <mc:Choice Requires="wps">
            <w:drawing>
              <wp:anchor distT="0" distB="0" distL="114300" distR="114300" simplePos="0" relativeHeight="251660288" behindDoc="0" locked="0" layoutInCell="1" allowOverlap="1">
                <wp:simplePos x="0" y="0"/>
                <wp:positionH relativeFrom="column">
                  <wp:posOffset>497205</wp:posOffset>
                </wp:positionH>
                <wp:positionV relativeFrom="paragraph">
                  <wp:posOffset>227330</wp:posOffset>
                </wp:positionV>
                <wp:extent cx="5449570" cy="1960880"/>
                <wp:effectExtent l="6350" t="6350" r="15240" b="13970"/>
                <wp:wrapNone/>
                <wp:docPr id="1" name="Text Box 1"/>
                <wp:cNvGraphicFramePr/>
                <a:graphic xmlns:a="http://schemas.openxmlformats.org/drawingml/2006/main">
                  <a:graphicData uri="http://schemas.microsoft.com/office/word/2010/wordprocessingShape">
                    <wps:wsp>
                      <wps:cNvSpPr txBox="1"/>
                      <wps:spPr>
                        <a:xfrm>
                          <a:off x="1179195" y="8660765"/>
                          <a:ext cx="5449570" cy="1960880"/>
                        </a:xfrm>
                        <a:prstGeom prst="rect">
                          <a:avLst/>
                        </a:prstGeom>
                      </wps:spPr>
                      <wps:style>
                        <a:lnRef idx="2">
                          <a:prstClr val="black"/>
                        </a:lnRef>
                        <a:fillRef idx="0">
                          <a:srgbClr val="FFFFFF"/>
                        </a:fillRef>
                        <a:effectRef idx="0">
                          <a:srgbClr val="FFFFFF"/>
                        </a:effectRef>
                        <a:fontRef idx="minor">
                          <a:schemeClr val="tx1"/>
                        </a:fontRef>
                      </wps:style>
                      <wps:txbx>
                        <w:txbxContent>
                          <w:p w14:paraId="50BB776D">
                            <w:pPr>
                              <w:rPr>
                                <w:rFonts w:hint="default"/>
                                <w:lang w:val="en-US"/>
                              </w:rPr>
                            </w:pPr>
                            <w:r>
                              <w:rPr>
                                <w:rFonts w:hint="default"/>
                                <w:lang w:val="en-US"/>
                              </w:rPr>
                              <w:t xml:space="preserve">                     </w:t>
                            </w:r>
                          </w:p>
                          <w:p w14:paraId="3E869262">
                            <w:pPr>
                              <w:rPr>
                                <w:rFonts w:hint="default" w:ascii="Times New Roman" w:hAnsi="Times New Roman" w:cs="Times New Roman"/>
                                <w:b/>
                                <w:bCs/>
                                <w:sz w:val="32"/>
                                <w:szCs w:val="32"/>
                                <w:lang w:val="en-US"/>
                              </w:rPr>
                            </w:pPr>
                            <w:r>
                              <w:rPr>
                                <w:rFonts w:hint="default"/>
                                <w:lang w:val="en-US"/>
                              </w:rPr>
                              <w:t xml:space="preserve">                            ---------</w:t>
                            </w:r>
                            <w:r>
                              <w:rPr>
                                <w:rFonts w:hint="default" w:ascii="Times New Roman" w:hAnsi="Times New Roman" w:cs="Times New Roman"/>
                                <w:sz w:val="32"/>
                                <w:szCs w:val="32"/>
                                <w:lang w:val="en-US"/>
                              </w:rPr>
                              <w:t xml:space="preserve"> </w:t>
                            </w:r>
                            <w:r>
                              <w:rPr>
                                <w:rFonts w:hint="default" w:ascii="Times New Roman" w:hAnsi="Times New Roman" w:cs="Times New Roman"/>
                                <w:b/>
                                <w:bCs/>
                                <w:sz w:val="32"/>
                                <w:szCs w:val="32"/>
                                <w:lang w:val="en-US"/>
                              </w:rPr>
                              <w:t>Antonio Guterres, United Nations (UN)</w:t>
                            </w:r>
                          </w:p>
                          <w:p w14:paraId="43717CC7">
                            <w:pP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                                  Secretary - General-----</w:t>
                            </w:r>
                          </w:p>
                          <w:p w14:paraId="7B32D7B8">
                            <w:pP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                  </w:t>
                            </w:r>
                          </w:p>
                          <w:p w14:paraId="01A4BFEF">
                            <w:pPr>
                              <w:ind w:left="1920" w:hanging="1921" w:hangingChars="800"/>
                              <w:rPr>
                                <w:rFonts w:hint="default" w:ascii="Times New Roman" w:hAnsi="Times New Roman" w:cs="Times New Roman"/>
                                <w:b/>
                                <w:bCs/>
                                <w:color w:val="00B050"/>
                                <w:sz w:val="32"/>
                                <w:szCs w:val="32"/>
                                <w:lang w:val="en-US"/>
                              </w:rPr>
                            </w:pPr>
                            <w:r>
                              <w:rPr>
                                <w:rFonts w:hint="default" w:ascii="Times New Roman" w:hAnsi="Times New Roman" w:cs="Times New Roman"/>
                                <w:b/>
                                <w:bCs/>
                                <w:sz w:val="24"/>
                                <w:szCs w:val="24"/>
                                <w:lang w:val="en-US"/>
                              </w:rPr>
                              <w:t xml:space="preserve">       </w:t>
                            </w:r>
                            <w:r>
                              <w:rPr>
                                <w:rFonts w:hint="default" w:ascii="Times New Roman" w:hAnsi="Times New Roman" w:cs="Times New Roman"/>
                                <w:b/>
                                <w:bCs/>
                                <w:color w:val="00B050"/>
                                <w:sz w:val="24"/>
                                <w:szCs w:val="24"/>
                                <w:lang w:val="en-US"/>
                              </w:rPr>
                              <w:t>“</w:t>
                            </w:r>
                            <w:r>
                              <w:rPr>
                                <w:rFonts w:hint="default" w:ascii="Times New Roman" w:hAnsi="Times New Roman" w:cs="Times New Roman"/>
                                <w:b/>
                                <w:bCs/>
                                <w:color w:val="00B050"/>
                                <w:sz w:val="32"/>
                                <w:szCs w:val="32"/>
                                <w:lang w:val="en-US"/>
                              </w:rPr>
                              <w:t xml:space="preserve"> Every country, city, financial institution and company</w:t>
                            </w:r>
                          </w:p>
                          <w:p w14:paraId="33BC0496">
                            <w:pPr>
                              <w:ind w:left="3361" w:leftChars="800" w:hanging="1761" w:hangingChars="550"/>
                              <w:rPr>
                                <w:rFonts w:hint="default" w:ascii="Times New Roman" w:hAnsi="Times New Roman" w:cs="Times New Roman"/>
                                <w:b/>
                                <w:bCs/>
                                <w:color w:val="00B050"/>
                                <w:sz w:val="32"/>
                                <w:szCs w:val="32"/>
                                <w:lang w:val="en-US"/>
                              </w:rPr>
                            </w:pPr>
                            <w:r>
                              <w:rPr>
                                <w:rFonts w:hint="default" w:ascii="Times New Roman" w:hAnsi="Times New Roman" w:cs="Times New Roman"/>
                                <w:b/>
                                <w:bCs/>
                                <w:color w:val="00B050"/>
                                <w:sz w:val="32"/>
                                <w:szCs w:val="32"/>
                                <w:lang w:val="en-US"/>
                              </w:rPr>
                              <w:t xml:space="preserve">should adopt plans for transitioning to       </w:t>
                            </w:r>
                          </w:p>
                          <w:p w14:paraId="609E8C7D">
                            <w:pPr>
                              <w:ind w:firstLine="2241" w:firstLineChars="700"/>
                              <w:rPr>
                                <w:rFonts w:hint="default" w:ascii="Arial" w:hAnsi="Arial" w:cs="Arial"/>
                                <w:color w:val="00B050"/>
                                <w:sz w:val="28"/>
                                <w:szCs w:val="28"/>
                                <w:lang w:val="en-US"/>
                              </w:rPr>
                            </w:pPr>
                            <w:r>
                              <w:rPr>
                                <w:rFonts w:hint="default" w:ascii="Times New Roman" w:hAnsi="Times New Roman" w:cs="Times New Roman"/>
                                <w:b/>
                                <w:bCs/>
                                <w:color w:val="00B050"/>
                                <w:sz w:val="32"/>
                                <w:szCs w:val="32"/>
                                <w:lang w:val="en-US"/>
                              </w:rPr>
                              <w:t>Net zero emissions by 2050. ”</w:t>
                            </w:r>
                            <w:r>
                              <w:rPr>
                                <w:rFonts w:hint="default" w:ascii="Arial" w:hAnsi="Arial" w:cs="Arial"/>
                                <w:b/>
                                <w:bCs/>
                                <w:color w:val="00B050"/>
                                <w:sz w:val="32"/>
                                <w:szCs w:val="32"/>
                                <w:lang w:val="en-US"/>
                              </w:rPr>
                              <w:t xml:space="preserve">   </w:t>
                            </w:r>
                            <w:r>
                              <w:rPr>
                                <w:rFonts w:hint="default" w:ascii="Arial" w:hAnsi="Arial" w:cs="Arial"/>
                                <w:color w:val="00B050"/>
                                <w:sz w:val="32"/>
                                <w:szCs w:val="32"/>
                                <w:lang w:val="en-US"/>
                              </w:rPr>
                              <w:t xml:space="preserve">  </w:t>
                            </w:r>
                            <w:r>
                              <w:rPr>
                                <w:rFonts w:hint="default" w:ascii="Arial" w:hAnsi="Arial" w:cs="Arial"/>
                                <w:color w:val="00B050"/>
                                <w:sz w:val="28"/>
                                <w:szCs w:val="2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15pt;margin-top:17.9pt;height:154.4pt;width:429.1pt;z-index:251660288;mso-width-relative:page;mso-height-relative:page;" filled="f" stroked="t" coordsize="21600,21600" o:gfxdata="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pJpTBdcAAAAJAQAADwAAAAAAAAABACAAAAAiAAAAZHJzL2Rv&#10;d25yZXYueG1sUEsBAhQAFAAAAAgAh07iQC7I19p0AgAA7AQAAA4AAAAAAAAAAQAgAAAAJgEAAGRy&#10;cy9lMm9Eb2MueG1sUEsFBgAAAAAGAAYAWQEAAAwGAAAAAA==&#10;">
                <v:fill on="f" focussize="0,0"/>
                <v:stroke weight="1pt" color="#000000" miterlimit="8" joinstyle="miter"/>
                <v:imagedata o:title=""/>
                <o:lock v:ext="edit" aspectratio="f"/>
                <v:textbox>
                  <w:txbxContent>
                    <w:p w14:paraId="50BB776D">
                      <w:pPr>
                        <w:rPr>
                          <w:rFonts w:hint="default"/>
                          <w:lang w:val="en-US"/>
                        </w:rPr>
                      </w:pPr>
                      <w:r>
                        <w:rPr>
                          <w:rFonts w:hint="default"/>
                          <w:lang w:val="en-US"/>
                        </w:rPr>
                        <w:t xml:space="preserve">                     </w:t>
                      </w:r>
                    </w:p>
                    <w:p w14:paraId="3E869262">
                      <w:pPr>
                        <w:rPr>
                          <w:rFonts w:hint="default" w:ascii="Times New Roman" w:hAnsi="Times New Roman" w:cs="Times New Roman"/>
                          <w:b/>
                          <w:bCs/>
                          <w:sz w:val="32"/>
                          <w:szCs w:val="32"/>
                          <w:lang w:val="en-US"/>
                        </w:rPr>
                      </w:pPr>
                      <w:r>
                        <w:rPr>
                          <w:rFonts w:hint="default"/>
                          <w:lang w:val="en-US"/>
                        </w:rPr>
                        <w:t xml:space="preserve">                            ---------</w:t>
                      </w:r>
                      <w:r>
                        <w:rPr>
                          <w:rFonts w:hint="default" w:ascii="Times New Roman" w:hAnsi="Times New Roman" w:cs="Times New Roman"/>
                          <w:sz w:val="32"/>
                          <w:szCs w:val="32"/>
                          <w:lang w:val="en-US"/>
                        </w:rPr>
                        <w:t xml:space="preserve"> </w:t>
                      </w:r>
                      <w:r>
                        <w:rPr>
                          <w:rFonts w:hint="default" w:ascii="Times New Roman" w:hAnsi="Times New Roman" w:cs="Times New Roman"/>
                          <w:b/>
                          <w:bCs/>
                          <w:sz w:val="32"/>
                          <w:szCs w:val="32"/>
                          <w:lang w:val="en-US"/>
                        </w:rPr>
                        <w:t>Antonio Guterres, United Nations (UN)</w:t>
                      </w:r>
                    </w:p>
                    <w:p w14:paraId="43717CC7">
                      <w:pP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                                  Secretary - General-----</w:t>
                      </w:r>
                    </w:p>
                    <w:p w14:paraId="7B32D7B8">
                      <w:pP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                  </w:t>
                      </w:r>
                    </w:p>
                    <w:p w14:paraId="01A4BFEF">
                      <w:pPr>
                        <w:ind w:left="1920" w:hanging="1921" w:hangingChars="800"/>
                        <w:rPr>
                          <w:rFonts w:hint="default" w:ascii="Times New Roman" w:hAnsi="Times New Roman" w:cs="Times New Roman"/>
                          <w:b/>
                          <w:bCs/>
                          <w:color w:val="00B050"/>
                          <w:sz w:val="32"/>
                          <w:szCs w:val="32"/>
                          <w:lang w:val="en-US"/>
                        </w:rPr>
                      </w:pPr>
                      <w:r>
                        <w:rPr>
                          <w:rFonts w:hint="default" w:ascii="Times New Roman" w:hAnsi="Times New Roman" w:cs="Times New Roman"/>
                          <w:b/>
                          <w:bCs/>
                          <w:sz w:val="24"/>
                          <w:szCs w:val="24"/>
                          <w:lang w:val="en-US"/>
                        </w:rPr>
                        <w:t xml:space="preserve">       </w:t>
                      </w:r>
                      <w:r>
                        <w:rPr>
                          <w:rFonts w:hint="default" w:ascii="Times New Roman" w:hAnsi="Times New Roman" w:cs="Times New Roman"/>
                          <w:b/>
                          <w:bCs/>
                          <w:color w:val="00B050"/>
                          <w:sz w:val="24"/>
                          <w:szCs w:val="24"/>
                          <w:lang w:val="en-US"/>
                        </w:rPr>
                        <w:t>“</w:t>
                      </w:r>
                      <w:r>
                        <w:rPr>
                          <w:rFonts w:hint="default" w:ascii="Times New Roman" w:hAnsi="Times New Roman" w:cs="Times New Roman"/>
                          <w:b/>
                          <w:bCs/>
                          <w:color w:val="00B050"/>
                          <w:sz w:val="32"/>
                          <w:szCs w:val="32"/>
                          <w:lang w:val="en-US"/>
                        </w:rPr>
                        <w:t xml:space="preserve"> Every country, city, financial institution and company</w:t>
                      </w:r>
                    </w:p>
                    <w:p w14:paraId="33BC0496">
                      <w:pPr>
                        <w:ind w:left="3361" w:leftChars="800" w:hanging="1761" w:hangingChars="550"/>
                        <w:rPr>
                          <w:rFonts w:hint="default" w:ascii="Times New Roman" w:hAnsi="Times New Roman" w:cs="Times New Roman"/>
                          <w:b/>
                          <w:bCs/>
                          <w:color w:val="00B050"/>
                          <w:sz w:val="32"/>
                          <w:szCs w:val="32"/>
                          <w:lang w:val="en-US"/>
                        </w:rPr>
                      </w:pPr>
                      <w:r>
                        <w:rPr>
                          <w:rFonts w:hint="default" w:ascii="Times New Roman" w:hAnsi="Times New Roman" w:cs="Times New Roman"/>
                          <w:b/>
                          <w:bCs/>
                          <w:color w:val="00B050"/>
                          <w:sz w:val="32"/>
                          <w:szCs w:val="32"/>
                          <w:lang w:val="en-US"/>
                        </w:rPr>
                        <w:t xml:space="preserve">should adopt plans for transitioning to       </w:t>
                      </w:r>
                    </w:p>
                    <w:p w14:paraId="609E8C7D">
                      <w:pPr>
                        <w:ind w:firstLine="2241" w:firstLineChars="700"/>
                        <w:rPr>
                          <w:rFonts w:hint="default" w:ascii="Arial" w:hAnsi="Arial" w:cs="Arial"/>
                          <w:color w:val="00B050"/>
                          <w:sz w:val="28"/>
                          <w:szCs w:val="28"/>
                          <w:lang w:val="en-US"/>
                        </w:rPr>
                      </w:pPr>
                      <w:r>
                        <w:rPr>
                          <w:rFonts w:hint="default" w:ascii="Times New Roman" w:hAnsi="Times New Roman" w:cs="Times New Roman"/>
                          <w:b/>
                          <w:bCs/>
                          <w:color w:val="00B050"/>
                          <w:sz w:val="32"/>
                          <w:szCs w:val="32"/>
                          <w:lang w:val="en-US"/>
                        </w:rPr>
                        <w:t>Net zero emissions by 2050. ”</w:t>
                      </w:r>
                      <w:r>
                        <w:rPr>
                          <w:rFonts w:hint="default" w:ascii="Arial" w:hAnsi="Arial" w:cs="Arial"/>
                          <w:b/>
                          <w:bCs/>
                          <w:color w:val="00B050"/>
                          <w:sz w:val="32"/>
                          <w:szCs w:val="32"/>
                          <w:lang w:val="en-US"/>
                        </w:rPr>
                        <w:t xml:space="preserve">   </w:t>
                      </w:r>
                      <w:r>
                        <w:rPr>
                          <w:rFonts w:hint="default" w:ascii="Arial" w:hAnsi="Arial" w:cs="Arial"/>
                          <w:color w:val="00B050"/>
                          <w:sz w:val="32"/>
                          <w:szCs w:val="32"/>
                          <w:lang w:val="en-US"/>
                        </w:rPr>
                        <w:t xml:space="preserve">  </w:t>
                      </w:r>
                      <w:r>
                        <w:rPr>
                          <w:rFonts w:hint="default" w:ascii="Arial" w:hAnsi="Arial" w:cs="Arial"/>
                          <w:color w:val="00B050"/>
                          <w:sz w:val="28"/>
                          <w:szCs w:val="28"/>
                          <w:lang w:val="en-US"/>
                        </w:rPr>
                        <w:t xml:space="preserve">                        </w:t>
                      </w:r>
                    </w:p>
                  </w:txbxContent>
                </v:textbox>
              </v:shape>
            </w:pict>
          </mc:Fallback>
        </mc:AlternateContent>
      </w:r>
    </w:p>
    <w:p w14:paraId="65AB3229">
      <w:pPr>
        <w:keepNext w:val="0"/>
        <w:keepLines w:val="0"/>
        <w:widowControl/>
        <w:numPr>
          <w:ilvl w:val="0"/>
          <w:numId w:val="0"/>
        </w:numPr>
        <w:suppressLineNumbers w:val="0"/>
        <w:ind w:leftChars="0"/>
        <w:jc w:val="left"/>
        <w:rPr>
          <w:b w:val="0"/>
          <w:bCs w:val="0"/>
        </w:rPr>
      </w:pPr>
    </w:p>
    <w:p w14:paraId="77C96BAF">
      <w:pPr>
        <w:keepNext w:val="0"/>
        <w:keepLines w:val="0"/>
        <w:pageBreakBefore w:val="0"/>
        <w:widowControl/>
        <w:numPr>
          <w:ilvl w:val="0"/>
          <w:numId w:val="0"/>
        </w:numPr>
        <w:tabs>
          <w:tab w:val="left" w:pos="420"/>
        </w:tabs>
        <w:kinsoku/>
        <w:wordWrap/>
        <w:overflowPunct/>
        <w:topLinePunct w:val="0"/>
        <w:autoSpaceDE/>
        <w:autoSpaceDN/>
        <w:bidi w:val="0"/>
        <w:adjustRightInd/>
        <w:snapToGrid/>
        <w:spacing w:before="361" w:beforeLines="100" w:after="361" w:afterLines="100" w:line="240" w:lineRule="auto"/>
        <w:textAlignment w:val="auto"/>
        <w:rPr>
          <w:rFonts w:hint="default" w:ascii="Times New Roman" w:hAnsi="Times New Roman" w:eastAsia="SimSun" w:cs="Times New Roman"/>
          <w:b w:val="0"/>
          <w:bCs w:val="0"/>
          <w:sz w:val="24"/>
          <w:szCs w:val="24"/>
          <w:u w:val="none"/>
          <w:lang w:val="en-US"/>
        </w:rPr>
      </w:pPr>
    </w:p>
    <w:p w14:paraId="498132A1">
      <w:pPr>
        <w:keepNext w:val="0"/>
        <w:keepLines w:val="0"/>
        <w:pageBreakBefore w:val="0"/>
        <w:widowControl/>
        <w:numPr>
          <w:ilvl w:val="0"/>
          <w:numId w:val="0"/>
        </w:numPr>
        <w:tabs>
          <w:tab w:val="left" w:pos="420"/>
        </w:tabs>
        <w:kinsoku/>
        <w:wordWrap/>
        <w:overflowPunct/>
        <w:topLinePunct w:val="0"/>
        <w:autoSpaceDE/>
        <w:autoSpaceDN/>
        <w:bidi w:val="0"/>
        <w:adjustRightInd/>
        <w:snapToGrid/>
        <w:spacing w:before="361" w:beforeLines="100" w:after="361" w:afterLines="100" w:line="240" w:lineRule="auto"/>
        <w:textAlignment w:val="auto"/>
        <w:rPr>
          <w:rFonts w:hint="default" w:ascii="Times New Roman" w:hAnsi="Times New Roman" w:eastAsia="SimSun" w:cs="Times New Roman"/>
          <w:b w:val="0"/>
          <w:bCs w:val="0"/>
          <w:sz w:val="22"/>
          <w:szCs w:val="22"/>
          <w:u w:val="none"/>
          <w:lang w:val="en-US"/>
        </w:rPr>
      </w:pPr>
    </w:p>
    <w:p w14:paraId="13B4210F">
      <w:pPr>
        <w:keepNext w:val="0"/>
        <w:keepLines w:val="0"/>
        <w:pageBreakBefore w:val="0"/>
        <w:widowControl/>
        <w:numPr>
          <w:ilvl w:val="0"/>
          <w:numId w:val="0"/>
        </w:numPr>
        <w:tabs>
          <w:tab w:val="left" w:pos="420"/>
        </w:tabs>
        <w:kinsoku/>
        <w:wordWrap/>
        <w:overflowPunct/>
        <w:topLinePunct w:val="0"/>
        <w:autoSpaceDE/>
        <w:autoSpaceDN/>
        <w:bidi w:val="0"/>
        <w:adjustRightInd/>
        <w:snapToGrid/>
        <w:spacing w:before="361" w:beforeLines="100" w:after="361" w:afterLines="100" w:line="240" w:lineRule="auto"/>
        <w:textAlignment w:val="auto"/>
        <w:rPr>
          <w:rFonts w:hint="default" w:ascii="Times New Roman" w:hAnsi="Times New Roman" w:eastAsia="SimSun" w:cs="Times New Roman"/>
          <w:b w:val="0"/>
          <w:bCs w:val="0"/>
          <w:sz w:val="22"/>
          <w:szCs w:val="22"/>
          <w:u w:val="none"/>
          <w:lang w:val="en-US"/>
        </w:rPr>
      </w:pPr>
    </w:p>
    <w:p w14:paraId="11E39FEF">
      <w:pPr>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2"/>
          <w:szCs w:val="22"/>
          <w:u w:val="none"/>
          <w:lang w:val="en-US"/>
        </w:rPr>
        <w:br w:type="page"/>
      </w:r>
      <w:r>
        <w:rPr>
          <w:rFonts w:hint="default" w:ascii="Times New Roman" w:hAnsi="Times New Roman" w:cs="Times New Roman"/>
          <w:sz w:val="22"/>
          <w:szCs w:val="22"/>
        </w:rPr>
        <mc:AlternateContent>
          <mc:Choice Requires="wps">
            <w:drawing>
              <wp:anchor distT="0" distB="0" distL="114300" distR="114300" simplePos="0" relativeHeight="251661312" behindDoc="0" locked="0" layoutInCell="1" allowOverlap="1">
                <wp:simplePos x="0" y="0"/>
                <wp:positionH relativeFrom="column">
                  <wp:posOffset>326390</wp:posOffset>
                </wp:positionH>
                <wp:positionV relativeFrom="paragraph">
                  <wp:posOffset>-160655</wp:posOffset>
                </wp:positionV>
                <wp:extent cx="6052820" cy="4100195"/>
                <wp:effectExtent l="4445" t="4445" r="8255" b="10160"/>
                <wp:wrapNone/>
                <wp:docPr id="4" name="Text Box 4"/>
                <wp:cNvGraphicFramePr/>
                <a:graphic xmlns:a="http://schemas.openxmlformats.org/drawingml/2006/main">
                  <a:graphicData uri="http://schemas.microsoft.com/office/word/2010/wordprocessingShape">
                    <wps:wsp>
                      <wps:cNvSpPr txBox="1"/>
                      <wps:spPr>
                        <a:xfrm>
                          <a:off x="1520825" y="1011555"/>
                          <a:ext cx="6052820" cy="41001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61C75CB">
                            <w:pPr>
                              <w:ind w:left="3000" w:hanging="3000" w:hangingChars="1500"/>
                              <w:rPr>
                                <w:rFonts w:hint="default" w:ascii="Arial" w:hAnsi="Arial" w:cs="Arial"/>
                                <w:b/>
                                <w:bCs/>
                                <w:sz w:val="24"/>
                                <w:szCs w:val="24"/>
                                <w:lang w:val="en-US"/>
                              </w:rPr>
                            </w:pPr>
                            <w:r>
                              <w:rPr>
                                <w:rFonts w:hint="default"/>
                                <w:lang w:val="en-US"/>
                              </w:rPr>
                              <w:t xml:space="preserve">                           </w:t>
                            </w:r>
                            <w:r>
                              <w:rPr>
                                <w:rFonts w:hint="default"/>
                                <w:sz w:val="24"/>
                                <w:szCs w:val="24"/>
                                <w:lang w:val="en-US"/>
                              </w:rPr>
                              <w:t xml:space="preserve"> </w:t>
                            </w:r>
                            <w:r>
                              <w:rPr>
                                <w:rFonts w:hint="default" w:ascii="Arial" w:hAnsi="Arial" w:cs="Arial"/>
                                <w:b/>
                                <w:bCs/>
                                <w:sz w:val="24"/>
                                <w:szCs w:val="24"/>
                                <w:lang w:val="en-US"/>
                              </w:rPr>
                              <w:t>TABLE 1- Target year and status of carbon neutrality in</w:t>
                            </w:r>
                          </w:p>
                          <w:p w14:paraId="0495F651">
                            <w:pPr>
                              <w:ind w:left="4795" w:leftChars="1197" w:hanging="2401" w:hangingChars="1000"/>
                              <w:rPr>
                                <w:rFonts w:hint="default" w:ascii="Arial" w:hAnsi="Arial" w:cs="Arial"/>
                                <w:b/>
                                <w:bCs/>
                                <w:sz w:val="24"/>
                                <w:szCs w:val="24"/>
                                <w:lang w:val="en-US"/>
                              </w:rPr>
                            </w:pPr>
                            <w:r>
                              <w:rPr>
                                <w:rFonts w:hint="default" w:ascii="Arial" w:hAnsi="Arial" w:cs="Arial"/>
                                <w:b/>
                                <w:bCs/>
                                <w:sz w:val="24"/>
                                <w:szCs w:val="24"/>
                                <w:lang w:val="en-US"/>
                              </w:rPr>
                              <w:t>South Asian countries</w:t>
                            </w:r>
                          </w:p>
                          <w:p w14:paraId="4041AD3A">
                            <w:pPr>
                              <w:ind w:left="4795" w:leftChars="1197" w:hanging="2401" w:hangingChars="1000"/>
                              <w:rPr>
                                <w:rFonts w:hint="default" w:ascii="Arial" w:hAnsi="Arial" w:cs="Arial"/>
                                <w:b/>
                                <w:bCs/>
                                <w:sz w:val="24"/>
                                <w:szCs w:val="24"/>
                                <w:lang w:val="en-US"/>
                              </w:rPr>
                            </w:pPr>
                          </w:p>
                          <w:tbl>
                            <w:tblPr>
                              <w:tblStyle w:val="15"/>
                              <w:tblW w:w="9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5"/>
                              <w:gridCol w:w="2820"/>
                              <w:gridCol w:w="3984"/>
                            </w:tblGrid>
                            <w:tr w14:paraId="7B43A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2345" w:type="dxa"/>
                                </w:tcPr>
                                <w:p w14:paraId="2877723B">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 xml:space="preserve">      Country </w:t>
                                  </w:r>
                                </w:p>
                              </w:tc>
                              <w:tc>
                                <w:tcPr>
                                  <w:tcW w:w="2820" w:type="dxa"/>
                                </w:tcPr>
                                <w:p w14:paraId="2C442C03">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422" w:firstLineChars="150"/>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Target Year</w:t>
                                  </w:r>
                                </w:p>
                              </w:tc>
                              <w:tc>
                                <w:tcPr>
                                  <w:tcW w:w="3984" w:type="dxa"/>
                                </w:tcPr>
                                <w:p w14:paraId="3158612D">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562" w:firstLineChars="200"/>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Target Status</w:t>
                                  </w:r>
                                </w:p>
                              </w:tc>
                            </w:tr>
                            <w:tr w14:paraId="09CA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345" w:type="dxa"/>
                                </w:tcPr>
                                <w:p w14:paraId="1428909A">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 xml:space="preserve">         India</w:t>
                                  </w:r>
                                </w:p>
                              </w:tc>
                              <w:tc>
                                <w:tcPr>
                                  <w:tcW w:w="2820" w:type="dxa"/>
                                </w:tcPr>
                                <w:p w14:paraId="35A48AC4">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2070</w:t>
                                  </w:r>
                                </w:p>
                              </w:tc>
                              <w:tc>
                                <w:tcPr>
                                  <w:tcW w:w="3984" w:type="dxa"/>
                                </w:tcPr>
                                <w:p w14:paraId="3537B887">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POLICY DOCUMENT</w:t>
                                  </w:r>
                                </w:p>
                              </w:tc>
                            </w:tr>
                            <w:tr w14:paraId="4698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345" w:type="dxa"/>
                                </w:tcPr>
                                <w:p w14:paraId="74B12181">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left="240" w:hanging="240" w:hangingChars="100"/>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val="0"/>
                                      <w:bCs w:val="0"/>
                                      <w:sz w:val="24"/>
                                      <w:szCs w:val="24"/>
                                      <w:u w:val="none"/>
                                      <w:vertAlign w:val="baseline"/>
                                      <w:lang w:val="en-US"/>
                                    </w:rPr>
                                    <w:t xml:space="preserve">       </w:t>
                                  </w:r>
                                  <w:r>
                                    <w:rPr>
                                      <w:rFonts w:hint="default" w:ascii="Arial" w:hAnsi="Arial" w:eastAsia="SimSun" w:cs="Arial"/>
                                      <w:b/>
                                      <w:bCs/>
                                      <w:sz w:val="24"/>
                                      <w:szCs w:val="24"/>
                                      <w:u w:val="none"/>
                                      <w:vertAlign w:val="baseline"/>
                                      <w:lang w:val="en-US"/>
                                    </w:rPr>
                                    <w:t>Pakistan</w:t>
                                  </w:r>
                                  <w:r>
                                    <w:rPr>
                                      <w:rFonts w:hint="default" w:ascii="Arial" w:hAnsi="Arial" w:eastAsia="SimSun" w:cs="Arial"/>
                                      <w:b w:val="0"/>
                                      <w:bCs w:val="0"/>
                                      <w:sz w:val="24"/>
                                      <w:szCs w:val="24"/>
                                      <w:u w:val="none"/>
                                      <w:vertAlign w:val="baseline"/>
                                      <w:lang w:val="en-US"/>
                                    </w:rPr>
                                    <w:t xml:space="preserve">  </w:t>
                                  </w:r>
                                </w:p>
                              </w:tc>
                              <w:tc>
                                <w:tcPr>
                                  <w:tcW w:w="2820" w:type="dxa"/>
                                </w:tcPr>
                                <w:p w14:paraId="32675F61">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7545A6F0">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600" w:firstLineChars="250"/>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UNDER  DISCUSSION</w:t>
                                  </w:r>
                                </w:p>
                              </w:tc>
                            </w:tr>
                            <w:tr w14:paraId="018F5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345" w:type="dxa"/>
                                </w:tcPr>
                                <w:p w14:paraId="39F058C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w:t>
                                  </w:r>
                                  <w:r>
                                    <w:rPr>
                                      <w:rFonts w:hint="default" w:ascii="Arial" w:hAnsi="Arial" w:eastAsia="SimSun" w:cs="Arial"/>
                                      <w:b/>
                                      <w:bCs/>
                                      <w:sz w:val="28"/>
                                      <w:szCs w:val="28"/>
                                      <w:u w:val="none"/>
                                      <w:vertAlign w:val="baseline"/>
                                      <w:lang w:val="en-US"/>
                                    </w:rPr>
                                    <w:t xml:space="preserve"> Nepal</w:t>
                                  </w:r>
                                </w:p>
                              </w:tc>
                              <w:tc>
                                <w:tcPr>
                                  <w:tcW w:w="2820" w:type="dxa"/>
                                </w:tcPr>
                                <w:p w14:paraId="0FF44D1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2D51E60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480" w:firstLineChars="200"/>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UNDER  DISCUSSION</w:t>
                                  </w:r>
                                </w:p>
                              </w:tc>
                            </w:tr>
                            <w:tr w14:paraId="1AF0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345" w:type="dxa"/>
                                </w:tcPr>
                                <w:p w14:paraId="4E6C1874">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w:t>
                                  </w:r>
                                  <w:r>
                                    <w:rPr>
                                      <w:rFonts w:hint="default" w:ascii="Arial" w:hAnsi="Arial" w:eastAsia="SimSun" w:cs="Arial"/>
                                      <w:b/>
                                      <w:bCs/>
                                      <w:sz w:val="24"/>
                                      <w:szCs w:val="24"/>
                                      <w:u w:val="none"/>
                                      <w:vertAlign w:val="baseline"/>
                                      <w:lang w:val="en-US"/>
                                    </w:rPr>
                                    <w:t>Bangladesh</w:t>
                                  </w:r>
                                </w:p>
                              </w:tc>
                              <w:tc>
                                <w:tcPr>
                                  <w:tcW w:w="2820" w:type="dxa"/>
                                </w:tcPr>
                                <w:p w14:paraId="4D72BC7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0B8BFB48">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480" w:firstLineChars="200"/>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UNDER   DISCUSSION</w:t>
                                  </w:r>
                                </w:p>
                              </w:tc>
                            </w:tr>
                            <w:tr w14:paraId="0217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345" w:type="dxa"/>
                                </w:tcPr>
                                <w:p w14:paraId="6581EEBD">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4"/>
                                      <w:szCs w:val="24"/>
                                      <w:u w:val="none"/>
                                      <w:vertAlign w:val="baseline"/>
                                      <w:lang w:val="en-US"/>
                                    </w:rPr>
                                  </w:pPr>
                                  <w:r>
                                    <w:rPr>
                                      <w:rFonts w:hint="default" w:ascii="Arial" w:hAnsi="Arial" w:eastAsia="SimSun" w:cs="Arial"/>
                                      <w:b/>
                                      <w:bCs/>
                                      <w:sz w:val="24"/>
                                      <w:szCs w:val="24"/>
                                      <w:u w:val="none"/>
                                      <w:vertAlign w:val="baseline"/>
                                      <w:lang w:val="en-US"/>
                                    </w:rPr>
                                    <w:t xml:space="preserve">     Sri Lanka </w:t>
                                  </w:r>
                                </w:p>
                              </w:tc>
                              <w:tc>
                                <w:tcPr>
                                  <w:tcW w:w="2820" w:type="dxa"/>
                                </w:tcPr>
                                <w:p w14:paraId="0EA49F2A">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710D1301">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DECLARATION</w:t>
                                  </w:r>
                                </w:p>
                              </w:tc>
                            </w:tr>
                          </w:tbl>
                          <w:p w14:paraId="022C9854">
                            <w:pPr>
                              <w:rPr>
                                <w:rFonts w:hint="default" w:ascii="Arial" w:hAnsi="Arial" w:cs="Arial"/>
                                <w:b/>
                                <w:bCs/>
                                <w:sz w:val="24"/>
                                <w:szCs w:val="24"/>
                                <w:lang w:val="en-US"/>
                              </w:rPr>
                            </w:pPr>
                            <w:r>
                              <w:rPr>
                                <w:rFonts w:hint="default" w:ascii="Arial" w:hAnsi="Arial" w:cs="Arial"/>
                                <w:b/>
                                <w:bCs/>
                                <w:sz w:val="24"/>
                                <w:szCs w:val="24"/>
                                <w:lang w:val="en-US"/>
                              </w:rPr>
                              <w:t xml:space="preserve">                        </w:t>
                            </w:r>
                          </w:p>
                          <w:p w14:paraId="76B9B6D1">
                            <w:pPr>
                              <w:rPr>
                                <w:rFonts w:hint="default" w:ascii="Arial" w:hAnsi="Arial" w:cs="Arial"/>
                                <w:b/>
                                <w:bCs/>
                                <w:sz w:val="24"/>
                                <w:szCs w:val="24"/>
                                <w:lang w:val="en-US"/>
                              </w:rPr>
                            </w:pPr>
                            <w:r>
                              <w:rPr>
                                <w:rFonts w:hint="default" w:ascii="Arial" w:hAnsi="Arial" w:cs="Arial"/>
                                <w:b/>
                                <w:bCs/>
                                <w:sz w:val="24"/>
                                <w:szCs w:val="24"/>
                                <w:lang w:val="en-US"/>
                              </w:rPr>
                              <w:t xml:space="preserve">Source--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7pt;margin-top:-12.65pt;height:322.85pt;width:476.6pt;z-index:251661312;mso-width-relative:page;mso-height-relative:page;" fillcolor="#FFFFFF [3201]" filled="t" stroked="t" coordsize="21600,21600" o:gfxdata="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GurI6zXAAAACwEA&#10;AA8AAAAAAAAAAQAgAAAAIgAAAGRycy9kb3ducmV2LnhtbFBLAQIUABQAAAAIAIdO4kB8MvQ9VAIA&#10;AMMEAAAOAAAAAAAAAAEAIAAAACYBAABkcnMvZTJvRG9jLnhtbFBLBQYAAAAABgAGAFkBAADsBQAA&#10;AAA=&#10;">
                <v:fill on="t" focussize="0,0"/>
                <v:stroke weight="0.5pt" color="#000000 [3204]" joinstyle="round"/>
                <v:imagedata o:title=""/>
                <o:lock v:ext="edit" aspectratio="f"/>
                <v:textbox>
                  <w:txbxContent>
                    <w:p w14:paraId="161C75CB">
                      <w:pPr>
                        <w:ind w:left="3000" w:hanging="3000" w:hangingChars="1500"/>
                        <w:rPr>
                          <w:rFonts w:hint="default" w:ascii="Arial" w:hAnsi="Arial" w:cs="Arial"/>
                          <w:b/>
                          <w:bCs/>
                          <w:sz w:val="24"/>
                          <w:szCs w:val="24"/>
                          <w:lang w:val="en-US"/>
                        </w:rPr>
                      </w:pPr>
                      <w:r>
                        <w:rPr>
                          <w:rFonts w:hint="default"/>
                          <w:lang w:val="en-US"/>
                        </w:rPr>
                        <w:t xml:space="preserve">                           </w:t>
                      </w:r>
                      <w:r>
                        <w:rPr>
                          <w:rFonts w:hint="default"/>
                          <w:sz w:val="24"/>
                          <w:szCs w:val="24"/>
                          <w:lang w:val="en-US"/>
                        </w:rPr>
                        <w:t xml:space="preserve"> </w:t>
                      </w:r>
                      <w:r>
                        <w:rPr>
                          <w:rFonts w:hint="default" w:ascii="Arial" w:hAnsi="Arial" w:cs="Arial"/>
                          <w:b/>
                          <w:bCs/>
                          <w:sz w:val="24"/>
                          <w:szCs w:val="24"/>
                          <w:lang w:val="en-US"/>
                        </w:rPr>
                        <w:t>TABLE 1- Target year and status of carbon neutrality in</w:t>
                      </w:r>
                    </w:p>
                    <w:p w14:paraId="0495F651">
                      <w:pPr>
                        <w:ind w:left="4795" w:leftChars="1197" w:hanging="2401" w:hangingChars="1000"/>
                        <w:rPr>
                          <w:rFonts w:hint="default" w:ascii="Arial" w:hAnsi="Arial" w:cs="Arial"/>
                          <w:b/>
                          <w:bCs/>
                          <w:sz w:val="24"/>
                          <w:szCs w:val="24"/>
                          <w:lang w:val="en-US"/>
                        </w:rPr>
                      </w:pPr>
                      <w:r>
                        <w:rPr>
                          <w:rFonts w:hint="default" w:ascii="Arial" w:hAnsi="Arial" w:cs="Arial"/>
                          <w:b/>
                          <w:bCs/>
                          <w:sz w:val="24"/>
                          <w:szCs w:val="24"/>
                          <w:lang w:val="en-US"/>
                        </w:rPr>
                        <w:t>South Asian countries</w:t>
                      </w:r>
                    </w:p>
                    <w:p w14:paraId="4041AD3A">
                      <w:pPr>
                        <w:ind w:left="4795" w:leftChars="1197" w:hanging="2401" w:hangingChars="1000"/>
                        <w:rPr>
                          <w:rFonts w:hint="default" w:ascii="Arial" w:hAnsi="Arial" w:cs="Arial"/>
                          <w:b/>
                          <w:bCs/>
                          <w:sz w:val="24"/>
                          <w:szCs w:val="24"/>
                          <w:lang w:val="en-US"/>
                        </w:rPr>
                      </w:pPr>
                    </w:p>
                    <w:tbl>
                      <w:tblPr>
                        <w:tblStyle w:val="15"/>
                        <w:tblW w:w="9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5"/>
                        <w:gridCol w:w="2820"/>
                        <w:gridCol w:w="3984"/>
                      </w:tblGrid>
                      <w:tr w14:paraId="7B43A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2345" w:type="dxa"/>
                          </w:tcPr>
                          <w:p w14:paraId="2877723B">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 xml:space="preserve">      Country </w:t>
                            </w:r>
                          </w:p>
                        </w:tc>
                        <w:tc>
                          <w:tcPr>
                            <w:tcW w:w="2820" w:type="dxa"/>
                          </w:tcPr>
                          <w:p w14:paraId="2C442C03">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422" w:firstLineChars="150"/>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Target Year</w:t>
                            </w:r>
                          </w:p>
                        </w:tc>
                        <w:tc>
                          <w:tcPr>
                            <w:tcW w:w="3984" w:type="dxa"/>
                          </w:tcPr>
                          <w:p w14:paraId="3158612D">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562" w:firstLineChars="200"/>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Target Status</w:t>
                            </w:r>
                          </w:p>
                        </w:tc>
                      </w:tr>
                      <w:tr w14:paraId="09CA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345" w:type="dxa"/>
                          </w:tcPr>
                          <w:p w14:paraId="1428909A">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bCs/>
                                <w:sz w:val="28"/>
                                <w:szCs w:val="28"/>
                                <w:u w:val="none"/>
                                <w:vertAlign w:val="baseline"/>
                                <w:lang w:val="en-US"/>
                              </w:rPr>
                              <w:t xml:space="preserve">         India</w:t>
                            </w:r>
                          </w:p>
                        </w:tc>
                        <w:tc>
                          <w:tcPr>
                            <w:tcW w:w="2820" w:type="dxa"/>
                          </w:tcPr>
                          <w:p w14:paraId="35A48AC4">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2070</w:t>
                            </w:r>
                          </w:p>
                        </w:tc>
                        <w:tc>
                          <w:tcPr>
                            <w:tcW w:w="3984" w:type="dxa"/>
                          </w:tcPr>
                          <w:p w14:paraId="3537B887">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POLICY DOCUMENT</w:t>
                            </w:r>
                          </w:p>
                        </w:tc>
                      </w:tr>
                      <w:tr w14:paraId="4698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345" w:type="dxa"/>
                          </w:tcPr>
                          <w:p w14:paraId="74B12181">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left="240" w:hanging="240" w:hangingChars="100"/>
                              <w:jc w:val="both"/>
                              <w:textAlignment w:val="auto"/>
                              <w:rPr>
                                <w:rFonts w:hint="default" w:ascii="Arial" w:hAnsi="Arial" w:eastAsia="SimSun" w:cs="Arial"/>
                                <w:b/>
                                <w:bCs/>
                                <w:sz w:val="28"/>
                                <w:szCs w:val="28"/>
                                <w:u w:val="none"/>
                                <w:vertAlign w:val="baseline"/>
                                <w:lang w:val="en-US"/>
                              </w:rPr>
                            </w:pPr>
                            <w:r>
                              <w:rPr>
                                <w:rFonts w:hint="default" w:ascii="Arial" w:hAnsi="Arial" w:eastAsia="SimSun" w:cs="Arial"/>
                                <w:b w:val="0"/>
                                <w:bCs w:val="0"/>
                                <w:sz w:val="24"/>
                                <w:szCs w:val="24"/>
                                <w:u w:val="none"/>
                                <w:vertAlign w:val="baseline"/>
                                <w:lang w:val="en-US"/>
                              </w:rPr>
                              <w:t xml:space="preserve">       </w:t>
                            </w:r>
                            <w:r>
                              <w:rPr>
                                <w:rFonts w:hint="default" w:ascii="Arial" w:hAnsi="Arial" w:eastAsia="SimSun" w:cs="Arial"/>
                                <w:b/>
                                <w:bCs/>
                                <w:sz w:val="24"/>
                                <w:szCs w:val="24"/>
                                <w:u w:val="none"/>
                                <w:vertAlign w:val="baseline"/>
                                <w:lang w:val="en-US"/>
                              </w:rPr>
                              <w:t>Pakistan</w:t>
                            </w:r>
                            <w:r>
                              <w:rPr>
                                <w:rFonts w:hint="default" w:ascii="Arial" w:hAnsi="Arial" w:eastAsia="SimSun" w:cs="Arial"/>
                                <w:b w:val="0"/>
                                <w:bCs w:val="0"/>
                                <w:sz w:val="24"/>
                                <w:szCs w:val="24"/>
                                <w:u w:val="none"/>
                                <w:vertAlign w:val="baseline"/>
                                <w:lang w:val="en-US"/>
                              </w:rPr>
                              <w:t xml:space="preserve">  </w:t>
                            </w:r>
                          </w:p>
                        </w:tc>
                        <w:tc>
                          <w:tcPr>
                            <w:tcW w:w="2820" w:type="dxa"/>
                          </w:tcPr>
                          <w:p w14:paraId="32675F61">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7545A6F0">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600" w:firstLineChars="250"/>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UNDER  DISCUSSION</w:t>
                            </w:r>
                          </w:p>
                        </w:tc>
                      </w:tr>
                      <w:tr w14:paraId="018F5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345" w:type="dxa"/>
                          </w:tcPr>
                          <w:p w14:paraId="39F058C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w:t>
                            </w:r>
                            <w:r>
                              <w:rPr>
                                <w:rFonts w:hint="default" w:ascii="Arial" w:hAnsi="Arial" w:eastAsia="SimSun" w:cs="Arial"/>
                                <w:b/>
                                <w:bCs/>
                                <w:sz w:val="28"/>
                                <w:szCs w:val="28"/>
                                <w:u w:val="none"/>
                                <w:vertAlign w:val="baseline"/>
                                <w:lang w:val="en-US"/>
                              </w:rPr>
                              <w:t xml:space="preserve"> Nepal</w:t>
                            </w:r>
                          </w:p>
                        </w:tc>
                        <w:tc>
                          <w:tcPr>
                            <w:tcW w:w="2820" w:type="dxa"/>
                          </w:tcPr>
                          <w:p w14:paraId="0FF44D1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2D51E60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480" w:firstLineChars="200"/>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UNDER  DISCUSSION</w:t>
                            </w:r>
                          </w:p>
                        </w:tc>
                      </w:tr>
                      <w:tr w14:paraId="1AF0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345" w:type="dxa"/>
                          </w:tcPr>
                          <w:p w14:paraId="4E6C1874">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w:t>
                            </w:r>
                            <w:r>
                              <w:rPr>
                                <w:rFonts w:hint="default" w:ascii="Arial" w:hAnsi="Arial" w:eastAsia="SimSun" w:cs="Arial"/>
                                <w:b/>
                                <w:bCs/>
                                <w:sz w:val="24"/>
                                <w:szCs w:val="24"/>
                                <w:u w:val="none"/>
                                <w:vertAlign w:val="baseline"/>
                                <w:lang w:val="en-US"/>
                              </w:rPr>
                              <w:t>Bangladesh</w:t>
                            </w:r>
                          </w:p>
                        </w:tc>
                        <w:tc>
                          <w:tcPr>
                            <w:tcW w:w="2820" w:type="dxa"/>
                          </w:tcPr>
                          <w:p w14:paraId="4D72BC7C">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0B8BFB48">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ind w:firstLine="480" w:firstLineChars="200"/>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UNDER   DISCUSSION</w:t>
                            </w:r>
                          </w:p>
                        </w:tc>
                      </w:tr>
                      <w:tr w14:paraId="0217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345" w:type="dxa"/>
                          </w:tcPr>
                          <w:p w14:paraId="6581EEBD">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bCs/>
                                <w:sz w:val="24"/>
                                <w:szCs w:val="24"/>
                                <w:u w:val="none"/>
                                <w:vertAlign w:val="baseline"/>
                                <w:lang w:val="en-US"/>
                              </w:rPr>
                            </w:pPr>
                            <w:r>
                              <w:rPr>
                                <w:rFonts w:hint="default" w:ascii="Arial" w:hAnsi="Arial" w:eastAsia="SimSun" w:cs="Arial"/>
                                <w:b/>
                                <w:bCs/>
                                <w:sz w:val="24"/>
                                <w:szCs w:val="24"/>
                                <w:u w:val="none"/>
                                <w:vertAlign w:val="baseline"/>
                                <w:lang w:val="en-US"/>
                              </w:rPr>
                              <w:t xml:space="preserve">     Sri Lanka </w:t>
                            </w:r>
                          </w:p>
                        </w:tc>
                        <w:tc>
                          <w:tcPr>
                            <w:tcW w:w="2820" w:type="dxa"/>
                          </w:tcPr>
                          <w:p w14:paraId="0EA49F2A">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2050</w:t>
                            </w:r>
                          </w:p>
                        </w:tc>
                        <w:tc>
                          <w:tcPr>
                            <w:tcW w:w="3984" w:type="dxa"/>
                          </w:tcPr>
                          <w:p w14:paraId="710D1301">
                            <w:pPr>
                              <w:keepNext w:val="0"/>
                              <w:keepLines w:val="0"/>
                              <w:pageBreakBefore w:val="0"/>
                              <w:widowControl/>
                              <w:numPr>
                                <w:ilvl w:val="0"/>
                                <w:numId w:val="0"/>
                              </w:numPr>
                              <w:kinsoku/>
                              <w:wordWrap/>
                              <w:overflowPunct/>
                              <w:topLinePunct w:val="0"/>
                              <w:autoSpaceDE/>
                              <w:autoSpaceDN/>
                              <w:bidi w:val="0"/>
                              <w:adjustRightInd/>
                              <w:snapToGrid/>
                              <w:spacing w:before="361" w:beforeLines="100" w:after="361" w:afterLines="100" w:line="240" w:lineRule="auto"/>
                              <w:jc w:val="both"/>
                              <w:textAlignment w:val="auto"/>
                              <w:rPr>
                                <w:rFonts w:hint="default" w:ascii="Arial" w:hAnsi="Arial" w:eastAsia="SimSun" w:cs="Arial"/>
                                <w:b w:val="0"/>
                                <w:bCs w:val="0"/>
                                <w:sz w:val="24"/>
                                <w:szCs w:val="24"/>
                                <w:u w:val="none"/>
                                <w:vertAlign w:val="baseline"/>
                                <w:lang w:val="en-US"/>
                              </w:rPr>
                            </w:pPr>
                            <w:r>
                              <w:rPr>
                                <w:rFonts w:hint="default" w:ascii="Arial" w:hAnsi="Arial" w:eastAsia="SimSun" w:cs="Arial"/>
                                <w:b w:val="0"/>
                                <w:bCs w:val="0"/>
                                <w:sz w:val="24"/>
                                <w:szCs w:val="24"/>
                                <w:u w:val="none"/>
                                <w:vertAlign w:val="baseline"/>
                                <w:lang w:val="en-US"/>
                              </w:rPr>
                              <w:t xml:space="preserve">         DECLARATION</w:t>
                            </w:r>
                          </w:p>
                        </w:tc>
                      </w:tr>
                    </w:tbl>
                    <w:p w14:paraId="022C9854">
                      <w:pPr>
                        <w:rPr>
                          <w:rFonts w:hint="default" w:ascii="Arial" w:hAnsi="Arial" w:cs="Arial"/>
                          <w:b/>
                          <w:bCs/>
                          <w:sz w:val="24"/>
                          <w:szCs w:val="24"/>
                          <w:lang w:val="en-US"/>
                        </w:rPr>
                      </w:pPr>
                      <w:r>
                        <w:rPr>
                          <w:rFonts w:hint="default" w:ascii="Arial" w:hAnsi="Arial" w:cs="Arial"/>
                          <w:b/>
                          <w:bCs/>
                          <w:sz w:val="24"/>
                          <w:szCs w:val="24"/>
                          <w:lang w:val="en-US"/>
                        </w:rPr>
                        <w:t xml:space="preserve">                        </w:t>
                      </w:r>
                    </w:p>
                    <w:p w14:paraId="76B9B6D1">
                      <w:pPr>
                        <w:rPr>
                          <w:rFonts w:hint="default" w:ascii="Arial" w:hAnsi="Arial" w:cs="Arial"/>
                          <w:b/>
                          <w:bCs/>
                          <w:sz w:val="24"/>
                          <w:szCs w:val="24"/>
                          <w:lang w:val="en-US"/>
                        </w:rPr>
                      </w:pPr>
                      <w:r>
                        <w:rPr>
                          <w:rFonts w:hint="default" w:ascii="Arial" w:hAnsi="Arial" w:cs="Arial"/>
                          <w:b/>
                          <w:bCs/>
                          <w:sz w:val="24"/>
                          <w:szCs w:val="24"/>
                          <w:lang w:val="en-US"/>
                        </w:rPr>
                        <w:t xml:space="preserve">Source--                                                                                                                                                          </w:t>
                      </w:r>
                    </w:p>
                  </w:txbxContent>
                </v:textbox>
              </v:shape>
            </w:pict>
          </mc:Fallback>
        </mc:AlternateContent>
      </w:r>
      <w:r>
        <w:rPr>
          <w:rFonts w:hint="default" w:ascii="Times New Roman" w:hAnsi="Times New Roman" w:eastAsia="SimSun" w:cs="Times New Roman"/>
          <w:b w:val="0"/>
          <w:bCs w:val="0"/>
          <w:sz w:val="22"/>
          <w:szCs w:val="22"/>
          <w:u w:val="none"/>
          <w:lang w:val="en-US"/>
        </w:rPr>
        <w:t xml:space="preserve">                                                                                                                                                                                                                                                         </w:t>
      </w:r>
    </w:p>
    <w:p w14:paraId="50271855">
      <w:pPr>
        <w:rPr>
          <w:rFonts w:hint="default" w:ascii="Times New Roman" w:hAnsi="Times New Roman" w:eastAsia="SimSun" w:cs="Times New Roman"/>
          <w:b w:val="0"/>
          <w:bCs w:val="0"/>
          <w:sz w:val="24"/>
          <w:szCs w:val="24"/>
          <w:u w:val="none"/>
          <w:lang w:val="en-US"/>
        </w:rPr>
      </w:pPr>
    </w:p>
    <w:p w14:paraId="570698B0">
      <w:pPr>
        <w:rPr>
          <w:rFonts w:hint="default" w:ascii="Times New Roman" w:hAnsi="Times New Roman" w:eastAsia="SimSun" w:cs="Times New Roman"/>
          <w:b w:val="0"/>
          <w:bCs w:val="0"/>
          <w:sz w:val="24"/>
          <w:szCs w:val="24"/>
          <w:u w:val="none"/>
          <w:lang w:val="en-US"/>
        </w:rPr>
      </w:pPr>
    </w:p>
    <w:p w14:paraId="3F0BD6C3">
      <w:pPr>
        <w:rPr>
          <w:rFonts w:hint="default" w:ascii="Times New Roman" w:hAnsi="Times New Roman" w:eastAsia="SimSun" w:cs="Times New Roman"/>
          <w:b w:val="0"/>
          <w:bCs w:val="0"/>
          <w:sz w:val="24"/>
          <w:szCs w:val="24"/>
          <w:u w:val="none"/>
          <w:lang w:val="en-US"/>
        </w:rPr>
      </w:pPr>
    </w:p>
    <w:p w14:paraId="6E2D5402">
      <w:pPr>
        <w:rPr>
          <w:rFonts w:hint="default" w:ascii="Times New Roman" w:hAnsi="Times New Roman" w:eastAsia="SimSun" w:cs="Times New Roman"/>
          <w:b w:val="0"/>
          <w:bCs w:val="0"/>
          <w:sz w:val="24"/>
          <w:szCs w:val="24"/>
          <w:u w:val="none"/>
          <w:lang w:val="en-US"/>
        </w:rPr>
      </w:pPr>
    </w:p>
    <w:p w14:paraId="4747FFE4">
      <w:pPr>
        <w:rPr>
          <w:rFonts w:hint="default" w:ascii="Times New Roman" w:hAnsi="Times New Roman" w:eastAsia="SimSun" w:cs="Times New Roman"/>
          <w:b w:val="0"/>
          <w:bCs w:val="0"/>
          <w:sz w:val="24"/>
          <w:szCs w:val="24"/>
          <w:u w:val="none"/>
          <w:lang w:val="en-US"/>
        </w:rPr>
      </w:pPr>
    </w:p>
    <w:p w14:paraId="01D860D9">
      <w:pPr>
        <w:rPr>
          <w:rFonts w:hint="default" w:ascii="Times New Roman" w:hAnsi="Times New Roman" w:eastAsia="SimSun" w:cs="Times New Roman"/>
          <w:b w:val="0"/>
          <w:bCs w:val="0"/>
          <w:sz w:val="24"/>
          <w:szCs w:val="24"/>
          <w:u w:val="none"/>
          <w:lang w:val="en-US"/>
        </w:rPr>
      </w:pPr>
    </w:p>
    <w:p w14:paraId="4818B3F1">
      <w:pPr>
        <w:rPr>
          <w:rFonts w:hint="default" w:ascii="Times New Roman" w:hAnsi="Times New Roman" w:eastAsia="SimSun" w:cs="Times New Roman"/>
          <w:b w:val="0"/>
          <w:bCs w:val="0"/>
          <w:sz w:val="24"/>
          <w:szCs w:val="24"/>
          <w:u w:val="none"/>
          <w:lang w:val="en-US"/>
        </w:rPr>
      </w:pPr>
    </w:p>
    <w:p w14:paraId="2A36D7C6">
      <w:pPr>
        <w:rPr>
          <w:rFonts w:hint="default" w:ascii="Times New Roman" w:hAnsi="Times New Roman" w:eastAsia="SimSun" w:cs="Times New Roman"/>
          <w:b w:val="0"/>
          <w:bCs w:val="0"/>
          <w:sz w:val="24"/>
          <w:szCs w:val="24"/>
          <w:u w:val="none"/>
          <w:lang w:val="en-US"/>
        </w:rPr>
      </w:pPr>
    </w:p>
    <w:p w14:paraId="6DA37CF7">
      <w:pPr>
        <w:rPr>
          <w:rFonts w:hint="default" w:ascii="Times New Roman" w:hAnsi="Times New Roman" w:eastAsia="SimSun" w:cs="Times New Roman"/>
          <w:b w:val="0"/>
          <w:bCs w:val="0"/>
          <w:sz w:val="24"/>
          <w:szCs w:val="24"/>
          <w:u w:val="none"/>
          <w:lang w:val="en-US"/>
        </w:rPr>
      </w:pPr>
    </w:p>
    <w:p w14:paraId="3F71C89C">
      <w:pPr>
        <w:rPr>
          <w:rFonts w:hint="default" w:ascii="Times New Roman" w:hAnsi="Times New Roman" w:eastAsia="SimSun" w:cs="Times New Roman"/>
          <w:b w:val="0"/>
          <w:bCs w:val="0"/>
          <w:sz w:val="24"/>
          <w:szCs w:val="24"/>
          <w:u w:val="none"/>
          <w:lang w:val="en-US"/>
        </w:rPr>
      </w:pPr>
    </w:p>
    <w:p w14:paraId="3F19ABAD">
      <w:pPr>
        <w:rPr>
          <w:rFonts w:hint="default" w:ascii="Times New Roman" w:hAnsi="Times New Roman" w:eastAsia="SimSun" w:cs="Times New Roman"/>
          <w:b w:val="0"/>
          <w:bCs w:val="0"/>
          <w:sz w:val="24"/>
          <w:szCs w:val="24"/>
          <w:u w:val="none"/>
          <w:lang w:val="en-US"/>
        </w:rPr>
      </w:pPr>
    </w:p>
    <w:p w14:paraId="26BD5BF7">
      <w:pPr>
        <w:rPr>
          <w:rFonts w:hint="default" w:ascii="Times New Roman" w:hAnsi="Times New Roman" w:eastAsia="SimSun" w:cs="Times New Roman"/>
          <w:b w:val="0"/>
          <w:bCs w:val="0"/>
          <w:sz w:val="24"/>
          <w:szCs w:val="24"/>
          <w:u w:val="none"/>
          <w:lang w:val="en-US"/>
        </w:rPr>
      </w:pPr>
    </w:p>
    <w:p w14:paraId="177BC3B3">
      <w:pPr>
        <w:rPr>
          <w:rFonts w:hint="default" w:ascii="Times New Roman" w:hAnsi="Times New Roman" w:eastAsia="SimSun" w:cs="Times New Roman"/>
          <w:b w:val="0"/>
          <w:bCs w:val="0"/>
          <w:sz w:val="24"/>
          <w:szCs w:val="24"/>
          <w:u w:val="none"/>
          <w:lang w:val="en-US"/>
        </w:rPr>
      </w:pPr>
    </w:p>
    <w:p w14:paraId="43E77313">
      <w:pPr>
        <w:rPr>
          <w:rFonts w:hint="default" w:ascii="Times New Roman" w:hAnsi="Times New Roman" w:eastAsia="SimSun" w:cs="Times New Roman"/>
          <w:b w:val="0"/>
          <w:bCs w:val="0"/>
          <w:sz w:val="24"/>
          <w:szCs w:val="24"/>
          <w:u w:val="none"/>
          <w:lang w:val="en-US"/>
        </w:rPr>
      </w:pPr>
    </w:p>
    <w:p w14:paraId="2C0CC9B7">
      <w:pPr>
        <w:rPr>
          <w:rFonts w:hint="default" w:ascii="Times New Roman" w:hAnsi="Times New Roman" w:eastAsia="SimSun" w:cs="Times New Roman"/>
          <w:b w:val="0"/>
          <w:bCs w:val="0"/>
          <w:sz w:val="24"/>
          <w:szCs w:val="24"/>
          <w:u w:val="none"/>
          <w:lang w:val="en-US"/>
        </w:rPr>
      </w:pPr>
    </w:p>
    <w:p w14:paraId="69900ED5">
      <w:pPr>
        <w:rPr>
          <w:rFonts w:hint="default" w:ascii="Times New Roman" w:hAnsi="Times New Roman" w:eastAsia="SimSun" w:cs="Times New Roman"/>
          <w:b w:val="0"/>
          <w:bCs w:val="0"/>
          <w:sz w:val="24"/>
          <w:szCs w:val="24"/>
          <w:u w:val="none"/>
          <w:lang w:val="en-US"/>
        </w:rPr>
      </w:pPr>
    </w:p>
    <w:p w14:paraId="13CA3B16">
      <w:pPr>
        <w:rPr>
          <w:rFonts w:hint="default" w:ascii="Times New Roman" w:hAnsi="Times New Roman" w:eastAsia="SimSun" w:cs="Times New Roman"/>
          <w:b w:val="0"/>
          <w:bCs w:val="0"/>
          <w:sz w:val="24"/>
          <w:szCs w:val="24"/>
          <w:u w:val="none"/>
          <w:lang w:val="en-US"/>
        </w:rPr>
      </w:pPr>
    </w:p>
    <w:p w14:paraId="39B76EB0">
      <w:pPr>
        <w:rPr>
          <w:rFonts w:hint="default" w:ascii="Times New Roman" w:hAnsi="Times New Roman" w:eastAsia="SimSun" w:cs="Times New Roman"/>
          <w:b w:val="0"/>
          <w:bCs w:val="0"/>
          <w:sz w:val="24"/>
          <w:szCs w:val="24"/>
          <w:u w:val="none"/>
          <w:lang w:val="en-US"/>
        </w:rPr>
      </w:pPr>
    </w:p>
    <w:p w14:paraId="620CAD20">
      <w:pPr>
        <w:rPr>
          <w:rFonts w:hint="default" w:ascii="Times New Roman" w:hAnsi="Times New Roman" w:eastAsia="SimSun" w:cs="Times New Roman"/>
          <w:b w:val="0"/>
          <w:bCs w:val="0"/>
          <w:sz w:val="24"/>
          <w:szCs w:val="24"/>
          <w:u w:val="none"/>
          <w:lang w:val="en-US"/>
        </w:rPr>
      </w:pPr>
    </w:p>
    <w:p w14:paraId="33333A2C">
      <w:pPr>
        <w:rPr>
          <w:rFonts w:hint="default" w:ascii="Times New Roman" w:hAnsi="Times New Roman" w:eastAsia="SimSun" w:cs="Times New Roman"/>
          <w:b w:val="0"/>
          <w:bCs w:val="0"/>
          <w:sz w:val="24"/>
          <w:szCs w:val="24"/>
          <w:u w:val="none"/>
          <w:lang w:val="en-US"/>
        </w:rPr>
      </w:pPr>
    </w:p>
    <w:p w14:paraId="284E811B">
      <w:pPr>
        <w:rPr>
          <w:rFonts w:hint="default" w:ascii="Times New Roman" w:hAnsi="Times New Roman" w:eastAsia="SimSun" w:cs="Times New Roman"/>
          <w:b w:val="0"/>
          <w:bCs w:val="0"/>
          <w:sz w:val="24"/>
          <w:szCs w:val="24"/>
          <w:u w:val="none"/>
          <w:lang w:val="en-US"/>
        </w:rPr>
      </w:pPr>
    </w:p>
    <w:p w14:paraId="3699A19A">
      <w:pPr>
        <w:rPr>
          <w:rFonts w:hint="default" w:ascii="Times New Roman" w:hAnsi="Times New Roman" w:eastAsia="SimSun" w:cs="Times New Roman"/>
          <w:b w:val="0"/>
          <w:bCs w:val="0"/>
          <w:sz w:val="24"/>
          <w:szCs w:val="24"/>
          <w:u w:val="none"/>
          <w:lang w:val="en-US"/>
        </w:rPr>
      </w:pPr>
    </w:p>
    <w:p w14:paraId="50335243">
      <w:pPr>
        <w:rPr>
          <w:rFonts w:hint="default" w:ascii="Times New Roman" w:hAnsi="Times New Roman" w:eastAsia="SimSun" w:cs="Times New Roman"/>
          <w:b w:val="0"/>
          <w:bCs w:val="0"/>
          <w:sz w:val="24"/>
          <w:szCs w:val="24"/>
          <w:u w:val="none"/>
          <w:lang w:val="en-US"/>
        </w:rPr>
      </w:pPr>
    </w:p>
    <w:p w14:paraId="42848177">
      <w:pPr>
        <w:keepNext w:val="0"/>
        <w:keepLines w:val="0"/>
        <w:widowControl/>
        <w:numPr>
          <w:ilvl w:val="0"/>
          <w:numId w:val="0"/>
        </w:numPr>
        <w:suppressLineNumbers w:val="0"/>
        <w:spacing w:line="360" w:lineRule="auto"/>
        <w:jc w:val="left"/>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rPr>
        <w:t>In the South Asian context, carbon neutrality aligns with local development priorities and global climate goals. Countries like India, Bangladesh, Pakistan, Nepal, and Sri Lanka have announced national-level targets or discussions on carbon neutrality, with India committing to 2070, and others targeting 2050</w:t>
      </w:r>
      <w:r>
        <w:rPr>
          <w:rFonts w:hint="default" w:ascii="Times New Roman" w:hAnsi="Times New Roman" w:eastAsia="SimSun" w:cs="Times New Roman"/>
          <w:sz w:val="24"/>
          <w:szCs w:val="24"/>
          <w:lang w:val="en-US"/>
        </w:rPr>
        <w:t>.</w:t>
      </w:r>
    </w:p>
    <w:p w14:paraId="275C31F9">
      <w:pPr>
        <w:keepNext w:val="0"/>
        <w:keepLines w:val="0"/>
        <w:widowControl/>
        <w:numPr>
          <w:ilvl w:val="0"/>
          <w:numId w:val="0"/>
        </w:numPr>
        <w:suppressLineNumbers w:val="0"/>
        <w:spacing w:line="360" w:lineRule="auto"/>
        <w:jc w:val="left"/>
        <w:rPr>
          <w:rFonts w:hint="default" w:ascii="Times New Roman" w:hAnsi="Times New Roman" w:eastAsia="SimSun" w:cs="Times New Roman"/>
          <w:sz w:val="24"/>
          <w:szCs w:val="24"/>
        </w:rPr>
      </w:pPr>
      <w:r>
        <w:rPr>
          <w:rFonts w:hint="default" w:ascii="Times New Roman" w:hAnsi="Times New Roman" w:eastAsia="SimSun" w:cs="Times New Roman"/>
          <w:sz w:val="24"/>
          <w:szCs w:val="24"/>
        </w:rPr>
        <w:t>Despite their low per capita emissions, these nations face severe climate impacts, necessitating proactive strategies to balance economic growth with environmental protection.</w:t>
      </w:r>
    </w:p>
    <w:p w14:paraId="4D18BCBF">
      <w:pPr>
        <w:keepNext w:val="0"/>
        <w:keepLines w:val="0"/>
        <w:widowControl/>
        <w:numPr>
          <w:ilvl w:val="0"/>
          <w:numId w:val="0"/>
        </w:numPr>
        <w:suppressLineNumbers w:val="0"/>
        <w:jc w:val="left"/>
        <w:rPr>
          <w:rFonts w:hint="default" w:ascii="Times New Roman" w:hAnsi="Times New Roman" w:eastAsia="SimSun" w:cs="Times New Roman"/>
          <w:kern w:val="0"/>
          <w:sz w:val="24"/>
          <w:szCs w:val="24"/>
          <w:u w:val="single"/>
          <w:lang w:val="en-US" w:eastAsia="zh-CN" w:bidi="ar"/>
        </w:rPr>
      </w:pPr>
      <w:r>
        <w:rPr>
          <w:rFonts w:hint="default" w:ascii="Times New Roman" w:hAnsi="Times New Roman" w:eastAsia="SimSun" w:cs="Times New Roman"/>
          <w:kern w:val="0"/>
          <w:sz w:val="24"/>
          <w:szCs w:val="24"/>
          <w:u w:val="single"/>
          <w:lang w:val="en-US" w:eastAsia="zh-CN" w:bidi="ar"/>
        </w:rPr>
        <w:t>World Wide Objectives</w:t>
      </w:r>
    </w:p>
    <w:p w14:paraId="28755ED6">
      <w:pPr>
        <w:keepNext w:val="0"/>
        <w:keepLines w:val="0"/>
        <w:widowControl/>
        <w:numPr>
          <w:ilvl w:val="0"/>
          <w:numId w:val="0"/>
        </w:numPr>
        <w:suppressLineNumbers w:val="0"/>
        <w:jc w:val="left"/>
        <w:rPr>
          <w:rFonts w:hint="default" w:ascii="Times New Roman" w:hAnsi="Times New Roman" w:eastAsia="SimSun" w:cs="Times New Roman"/>
          <w:kern w:val="0"/>
          <w:sz w:val="24"/>
          <w:szCs w:val="24"/>
          <w:u w:val="single"/>
          <w:lang w:val="en-US" w:eastAsia="zh-CN" w:bidi="ar"/>
        </w:rPr>
      </w:pPr>
    </w:p>
    <w:p w14:paraId="7DC551ED">
      <w:pPr>
        <w:keepNext w:val="0"/>
        <w:keepLines w:val="0"/>
        <w:widowControl/>
        <w:suppressLineNumbers w:val="0"/>
        <w:spacing w:line="360" w:lineRule="auto"/>
        <w:jc w:val="left"/>
        <w:rPr>
          <w:rFonts w:hint="default" w:ascii="Times New Roman" w:hAnsi="Times New Roman" w:cs="Times New Roman"/>
        </w:rPr>
      </w:pPr>
      <w:r>
        <w:rPr>
          <w:rFonts w:hint="default" w:ascii="Times New Roman" w:hAnsi="Times New Roman" w:eastAsia="SimSun" w:cs="Times New Roman"/>
          <w:kern w:val="0"/>
          <w:sz w:val="24"/>
          <w:szCs w:val="24"/>
          <w:u w:val="single"/>
          <w:lang w:val="en-US" w:eastAsia="zh-CN" w:bidi="ar"/>
        </w:rPr>
        <w:t>Paris Convention</w:t>
      </w:r>
      <w:r>
        <w:rPr>
          <w:rFonts w:hint="default" w:ascii="Times New Roman" w:hAnsi="Times New Roman" w:eastAsia="SimSun" w:cs="Times New Roman"/>
          <w:kern w:val="0"/>
          <w:sz w:val="24"/>
          <w:szCs w:val="24"/>
          <w:lang w:val="en-US" w:eastAsia="zh-CN" w:bidi="ar"/>
        </w:rPr>
        <w:t xml:space="preserve"> -The goal of the Paris Accord is to keep global warming well below 2°C, ideally at 1.5°C. Since the majority of signatory nations aim to achieve net zero emissions by the middle of the century, carbon neutrality, or net-zero emissions, is crucial to achieve this goal.</w:t>
      </w:r>
      <w:r>
        <w:rPr>
          <w:rFonts w:ascii="SimSun" w:hAnsi="SimSun" w:eastAsia="SimSun" w:cs="SimSun"/>
          <w:kern w:val="0"/>
          <w:sz w:val="24"/>
          <w:szCs w:val="24"/>
          <w:lang w:val="en-US" w:eastAsia="zh-CN" w:bidi="ar"/>
        </w:rPr>
        <w:t xml:space="preserve"> </w:t>
      </w:r>
      <w:r>
        <w:rPr>
          <w:rFonts w:ascii="SimSun" w:hAnsi="SimSun" w:eastAsia="SimSun" w:cs="SimSun"/>
          <w:kern w:val="0"/>
          <w:sz w:val="24"/>
          <w:szCs w:val="24"/>
          <w:lang w:val="en-US" w:eastAsia="zh-CN" w:bidi="ar"/>
        </w:rPr>
        <w:br w:type="textWrapping"/>
      </w:r>
      <w:r>
        <w:rPr>
          <w:rFonts w:hint="default" w:ascii="Times New Roman" w:hAnsi="Times New Roman" w:eastAsia="SimSun" w:cs="Times New Roman"/>
          <w:kern w:val="0"/>
          <w:sz w:val="24"/>
          <w:szCs w:val="24"/>
          <w:u w:val="single"/>
          <w:lang w:val="en-US" w:eastAsia="zh-CN" w:bidi="ar"/>
        </w:rPr>
        <w:t>Nationally determined contributions (NDCs</w:t>
      </w:r>
      <w:r>
        <w:rPr>
          <w:rFonts w:hint="default" w:ascii="Times New Roman" w:hAnsi="Times New Roman" w:eastAsia="SimSun" w:cs="Times New Roman"/>
          <w:kern w:val="0"/>
          <w:sz w:val="24"/>
          <w:szCs w:val="24"/>
          <w:lang w:val="en-US" w:eastAsia="zh-CN" w:bidi="ar"/>
        </w:rPr>
        <w:t>)- Nationally determined contributions  are country-specific climate action plans that include pledges to reduce emissions and improve resilience under the terms of the Paris Agreement. Many NDCs prioritize the transition to low-carbon economies, which is why they place a strong emphasis on energy efficiency, carbon capture technologies, and the deployment of renewable energy. Afforestation, climate change adaptation, and sustainable transportation are further crucial strategies. While developed nations prioritize significant emission reductions, many developing countries link their objectives to foreign assistance through technology transfer and climate funds.</w:t>
      </w:r>
    </w:p>
    <w:p w14:paraId="074D47CD">
      <w:pPr>
        <w:keepNext w:val="0"/>
        <w:keepLines w:val="0"/>
        <w:widowControl/>
        <w:numPr>
          <w:ilvl w:val="0"/>
          <w:numId w:val="0"/>
        </w:numPr>
        <w:suppressLineNumbers w:val="0"/>
        <w:spacing w:line="360" w:lineRule="auto"/>
        <w:jc w:val="left"/>
        <w:rPr>
          <w:rFonts w:hint="default" w:ascii="Times New Roman" w:hAnsi="Times New Roman" w:cs="Times New Roman"/>
          <w:sz w:val="24"/>
          <w:szCs w:val="24"/>
        </w:rPr>
      </w:pPr>
    </w:p>
    <w:p w14:paraId="45656B7F">
      <w:pPr>
        <w:keepNext w:val="0"/>
        <w:keepLines w:val="0"/>
        <w:widowControl/>
        <w:numPr>
          <w:ilvl w:val="0"/>
          <w:numId w:val="0"/>
        </w:numPr>
        <w:suppressLineNumbers w:val="0"/>
        <w:spacing w:line="360" w:lineRule="auto"/>
        <w:jc w:val="left"/>
        <w:rPr>
          <w:rFonts w:hint="default" w:ascii="Times New Roman" w:hAnsi="Times New Roman" w:cs="Times New Roman"/>
          <w:sz w:val="24"/>
          <w:szCs w:val="24"/>
          <w:u w:val="single"/>
          <w:lang w:val="en-US"/>
        </w:rPr>
      </w:pPr>
      <w:r>
        <w:rPr>
          <w:rFonts w:hint="default" w:ascii="Times New Roman" w:hAnsi="Times New Roman" w:cs="Times New Roman"/>
          <w:sz w:val="24"/>
          <w:szCs w:val="24"/>
          <w:u w:val="single"/>
          <w:lang w:val="en-US"/>
        </w:rPr>
        <w:t>United Nation Sustainable Development Goals</w:t>
      </w:r>
    </w:p>
    <w:p w14:paraId="7130806B">
      <w:pPr>
        <w:keepNext w:val="0"/>
        <w:keepLines w:val="0"/>
        <w:widowControl/>
        <w:suppressLineNumbers w:val="0"/>
        <w:spacing w:line="360" w:lineRule="auto"/>
        <w:jc w:val="left"/>
        <w:rPr>
          <w:rFonts w:hint="default" w:ascii="Times New Roman" w:hAnsi="Times New Roman" w:cs="Times New Roman"/>
        </w:rPr>
      </w:pPr>
      <w:r>
        <w:rPr>
          <w:rFonts w:hint="default" w:ascii="Times New Roman" w:hAnsi="Times New Roman" w:eastAsia="SimSun" w:cs="Times New Roman"/>
          <w:b/>
          <w:bCs/>
          <w:kern w:val="0"/>
          <w:sz w:val="24"/>
          <w:szCs w:val="24"/>
          <w:lang w:val="en-US" w:eastAsia="zh-CN" w:bidi="ar"/>
        </w:rPr>
        <w:t xml:space="preserve">SDG 7 </w:t>
      </w:r>
      <w:r>
        <w:rPr>
          <w:rFonts w:hint="default" w:ascii="Times New Roman" w:hAnsi="Times New Roman" w:eastAsia="SimSun" w:cs="Times New Roman"/>
          <w:b w:val="0"/>
          <w:bCs w:val="0"/>
          <w:kern w:val="0"/>
          <w:sz w:val="24"/>
          <w:szCs w:val="24"/>
          <w:lang w:val="en-US" w:eastAsia="zh-CN" w:bidi="ar"/>
        </w:rPr>
        <w:t xml:space="preserve">(Affordable and Clean Energy): </w:t>
      </w:r>
      <w:r>
        <w:rPr>
          <w:rFonts w:hint="default" w:ascii="Times New Roman" w:hAnsi="Times New Roman" w:eastAsia="SimSun" w:cs="Times New Roman"/>
          <w:kern w:val="0"/>
          <w:sz w:val="24"/>
          <w:szCs w:val="24"/>
          <w:lang w:val="en-US" w:eastAsia="zh-CN" w:bidi="ar"/>
        </w:rPr>
        <w:t xml:space="preserve">It is necessary to switch towards renewable energy sources in order to achieve carbon neutrality. Economic growth and sustainability are made feasible by carbon-neutral infrastructure and green technologies. </w:t>
      </w:r>
    </w:p>
    <w:p w14:paraId="56F85358">
      <w:pPr>
        <w:keepNext w:val="0"/>
        <w:keepLines w:val="0"/>
        <w:widowControl/>
        <w:numPr>
          <w:ilvl w:val="0"/>
          <w:numId w:val="0"/>
        </w:numPr>
        <w:suppressLineNumbers w:val="0"/>
        <w:spacing w:line="360" w:lineRule="auto"/>
        <w:jc w:val="left"/>
        <w:rPr>
          <w:rFonts w:hint="default" w:ascii="Times New Roman" w:hAnsi="Times New Roman" w:eastAsia="SimSun" w:cs="Times New Roman"/>
          <w:b w:val="0"/>
          <w:bCs w:val="0"/>
          <w:kern w:val="0"/>
          <w:sz w:val="24"/>
          <w:szCs w:val="24"/>
          <w:lang w:val="en-US" w:eastAsia="zh-CN" w:bidi="ar"/>
        </w:rPr>
      </w:pPr>
    </w:p>
    <w:p w14:paraId="519C8DCF">
      <w:pPr>
        <w:keepNext w:val="0"/>
        <w:keepLines w:val="0"/>
        <w:widowControl/>
        <w:numPr>
          <w:ilvl w:val="0"/>
          <w:numId w:val="0"/>
        </w:numPr>
        <w:suppressLineNumbers w:val="0"/>
        <w:spacing w:line="360" w:lineRule="auto"/>
        <w:jc w:val="left"/>
        <w:rPr>
          <w:rFonts w:hint="default" w:ascii="Times New Roman" w:hAnsi="Times New Roman" w:eastAsia="SimSun" w:cs="Times New Roman"/>
          <w:b w:val="0"/>
          <w:b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SDG 11</w:t>
      </w:r>
      <w:r>
        <w:rPr>
          <w:rFonts w:hint="default" w:ascii="Times New Roman" w:hAnsi="Times New Roman" w:eastAsia="SimSun" w:cs="Times New Roman"/>
          <w:b w:val="0"/>
          <w:bCs w:val="0"/>
          <w:kern w:val="0"/>
          <w:sz w:val="24"/>
          <w:szCs w:val="24"/>
          <w:lang w:val="en-US" w:eastAsia="zh-CN" w:bidi="ar"/>
        </w:rPr>
        <w:t xml:space="preserve"> (Sustainable Cities and Communities): Carbon-neutral policies contribute to reduce  urban pollution and promote sustainable transportation.</w:t>
      </w:r>
    </w:p>
    <w:p w14:paraId="686D0758">
      <w:pPr>
        <w:keepNext w:val="0"/>
        <w:keepLines w:val="0"/>
        <w:widowControl/>
        <w:numPr>
          <w:ilvl w:val="0"/>
          <w:numId w:val="0"/>
        </w:numPr>
        <w:suppressLineNumbers w:val="0"/>
        <w:spacing w:line="360" w:lineRule="auto"/>
        <w:ind w:leftChars="0"/>
        <w:jc w:val="left"/>
        <w:rPr>
          <w:rFonts w:hint="default" w:ascii="Times New Roman" w:hAnsi="Times New Roman" w:eastAsia="SimSun" w:cs="Times New Roman"/>
          <w:b w:val="0"/>
          <w:b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 SDG 13</w:t>
      </w:r>
      <w:r>
        <w:rPr>
          <w:rFonts w:hint="default" w:ascii="Times New Roman" w:hAnsi="Times New Roman" w:eastAsia="SimSun" w:cs="Times New Roman"/>
          <w:b w:val="0"/>
          <w:bCs w:val="0"/>
          <w:kern w:val="0"/>
          <w:sz w:val="24"/>
          <w:szCs w:val="24"/>
          <w:lang w:val="en-US" w:eastAsia="zh-CN" w:bidi="ar"/>
        </w:rPr>
        <w:t xml:space="preserve"> (Climate Action): Carbon neutrality  helps to lower emissions and encourage sustainable living by itself.</w:t>
      </w:r>
    </w:p>
    <w:p w14:paraId="032EBD24">
      <w:pPr>
        <w:keepNext w:val="0"/>
        <w:keepLines w:val="0"/>
        <w:widowControl/>
        <w:suppressLineNumbers w:val="0"/>
        <w:spacing w:line="360" w:lineRule="auto"/>
        <w:jc w:val="left"/>
        <w:rPr>
          <w:rFonts w:hint="default" w:ascii="Times New Roman" w:hAnsi="Times New Roman" w:cs="Times New Roman"/>
          <w:b/>
          <w:bCs/>
          <w:color w:val="000000" w:themeColor="text1"/>
          <w:sz w:val="24"/>
          <w:szCs w:val="24"/>
          <w:u w:val="single"/>
          <w:lang w:val="en-US"/>
          <w14:textFill>
            <w14:solidFill>
              <w14:schemeClr w14:val="tx1"/>
            </w14:solidFill>
          </w14:textFill>
        </w:rPr>
      </w:pPr>
      <w:r>
        <w:rPr>
          <w:rFonts w:hint="default" w:ascii="Times New Roman" w:hAnsi="Times New Roman" w:cs="Times New Roman"/>
          <w:b/>
          <w:bCs/>
          <w:color w:val="70AD47" w:themeColor="accent6"/>
          <w:sz w:val="24"/>
          <w:szCs w:val="24"/>
          <w:u w:val="single"/>
          <w:lang w:val="en-US"/>
          <w14:textFill>
            <w14:solidFill>
              <w14:schemeClr w14:val="accent6"/>
            </w14:solidFill>
          </w14:textFill>
        </w:rPr>
        <w:t xml:space="preserve"> </w:t>
      </w:r>
      <w:r>
        <w:rPr>
          <w:rFonts w:hint="default" w:ascii="Times New Roman" w:hAnsi="Times New Roman" w:cs="Times New Roman"/>
          <w:b/>
          <w:bCs/>
          <w:color w:val="000000" w:themeColor="text1"/>
          <w:sz w:val="24"/>
          <w:szCs w:val="24"/>
          <w:u w:val="single"/>
          <w:lang w:val="en-US"/>
          <w14:textFill>
            <w14:solidFill>
              <w14:schemeClr w14:val="tx1"/>
            </w14:solidFill>
          </w14:textFill>
        </w:rPr>
        <w:t>CIRCULAR ECONOMY</w:t>
      </w:r>
    </w:p>
    <w:p w14:paraId="50A74500">
      <w:pPr>
        <w:keepNext w:val="0"/>
        <w:keepLines w:val="0"/>
        <w:widowControl/>
        <w:suppressLineNumbers w:val="0"/>
        <w:spacing w:line="360" w:lineRule="auto"/>
        <w:jc w:val="left"/>
        <w:rPr>
          <w:rFonts w:hint="default" w:ascii="Times New Roman" w:hAnsi="Times New Roman" w:cs="Times New Roman"/>
        </w:rPr>
      </w:pPr>
      <w:r>
        <w:rPr>
          <w:rFonts w:hint="default" w:ascii="Times New Roman" w:hAnsi="Times New Roman" w:cs="Times New Roman"/>
          <w:sz w:val="24"/>
          <w:szCs w:val="24"/>
        </w:rPr>
        <w:t>The circular economy (CE) is defined to be a method to manage resource circularity, efficiency, and optimization that advocates the use of wastes as resources to generate value (Azizuddin et al., 2021).The idea of circular economy was first introduced publicly by environmental economists David Pearce and Kerry Turner from Britain in 1990</w:t>
      </w:r>
      <w:r>
        <w:rPr>
          <w:rFonts w:hint="default" w:cs="Times New Roman"/>
          <w:sz w:val="24"/>
          <w:szCs w:val="24"/>
          <w:lang w:val="en-US"/>
        </w:rPr>
        <w:t>.</w:t>
      </w:r>
      <w:r>
        <w:rPr>
          <w:rFonts w:hint="default" w:ascii="Times New Roman" w:hAnsi="Times New Roman" w:cs="Times New Roman"/>
          <w:sz w:val="24"/>
          <w:szCs w:val="24"/>
          <w:lang w:val="en-US"/>
        </w:rPr>
        <w:t xml:space="preserve"> C</w:t>
      </w:r>
      <w:r>
        <w:rPr>
          <w:rFonts w:hint="default" w:ascii="Times New Roman" w:hAnsi="Times New Roman" w:eastAsia="SimSun" w:cs="Times New Roman"/>
          <w:sz w:val="24"/>
          <w:szCs w:val="24"/>
        </w:rPr>
        <w:t>ircular economy framework</w:t>
      </w:r>
      <w:r>
        <w:rPr>
          <w:rFonts w:hint="default" w:ascii="Times New Roman" w:hAnsi="Times New Roman" w:eastAsia="SimSun" w:cs="Times New Roman"/>
          <w:sz w:val="24"/>
          <w:szCs w:val="24"/>
          <w:lang w:val="en-US"/>
        </w:rPr>
        <w:t xml:space="preserve"> has </w:t>
      </w:r>
      <w:r>
        <w:rPr>
          <w:rFonts w:ascii="SimSun" w:hAnsi="SimSun" w:eastAsia="SimSun" w:cs="SimSun"/>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t>the potential to accelerate the major economic and environmental changes in South Asian nations.</w:t>
      </w:r>
    </w:p>
    <w:p w14:paraId="7DD6D833">
      <w:pPr>
        <w:keepNext w:val="0"/>
        <w:keepLines w:val="0"/>
        <w:widowControl/>
        <w:suppressLineNumbers w:val="0"/>
        <w:spacing w:line="360" w:lineRule="auto"/>
        <w:jc w:val="left"/>
        <w:rPr>
          <w:rFonts w:hint="default" w:ascii="Times New Roman" w:hAnsi="Times New Roman" w:eastAsia="SimSun" w:cs="Times New Roman"/>
          <w:sz w:val="24"/>
          <w:szCs w:val="24"/>
          <w:lang w:val="en-US"/>
        </w:rPr>
      </w:pPr>
    </w:p>
    <w:p w14:paraId="08B52562">
      <w:pPr>
        <w:keepNext w:val="0"/>
        <w:keepLines w:val="0"/>
        <w:widowControl/>
        <w:suppressLineNumbers w:val="0"/>
        <w:spacing w:line="240" w:lineRule="auto"/>
        <w:jc w:val="left"/>
        <w:rPr>
          <w:rFonts w:hint="default" w:ascii="Times New Roman" w:hAnsi="Times New Roman" w:cs="Times New Roman"/>
          <w:sz w:val="24"/>
          <w:szCs w:val="24"/>
        </w:rPr>
      </w:pPr>
      <w:r>
        <w:rPr>
          <w:rFonts w:hint="default" w:ascii="Times New Roman" w:hAnsi="Times New Roman" w:cs="Times New Roman"/>
          <w:sz w:val="24"/>
          <w:szCs w:val="24"/>
        </w:rPr>
        <w:t>The circular economy is built on three key principles:</w:t>
      </w:r>
    </w:p>
    <w:p w14:paraId="04C118BD">
      <w:pPr>
        <w:pStyle w:val="13"/>
        <w:keepNext w:val="0"/>
        <w:keepLines w:val="0"/>
        <w:widowControl/>
        <w:suppressLineNumbers w:val="0"/>
        <w:spacing w:line="360" w:lineRule="auto"/>
        <w:jc w:val="both"/>
        <w:rPr>
          <w:rStyle w:val="14"/>
          <w:rFonts w:hint="default" w:ascii="Times New Roman" w:hAnsi="Times New Roman" w:cs="Times New Roman"/>
          <w:sz w:val="24"/>
          <w:szCs w:val="24"/>
        </w:rPr>
      </w:pPr>
      <w:r>
        <w:rPr>
          <w:rStyle w:val="14"/>
          <w:rFonts w:hint="default" w:ascii="Times New Roman" w:hAnsi="Times New Roman" w:cs="Times New Roman"/>
          <w:sz w:val="24"/>
          <w:szCs w:val="24"/>
        </w:rPr>
        <w:t>Eliminate Waste and Pollution</w:t>
      </w:r>
      <w:r>
        <w:rPr>
          <w:rFonts w:hint="default" w:ascii="Times New Roman" w:hAnsi="Times New Roman" w:cs="Times New Roman"/>
          <w:sz w:val="24"/>
          <w:szCs w:val="24"/>
        </w:rPr>
        <w:t xml:space="preserve"> –</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sz w:val="24"/>
          <w:szCs w:val="24"/>
        </w:rPr>
        <w:t>Design systems to prevent waste before it occurs</w:t>
      </w:r>
      <w:r>
        <w:rPr>
          <w:rFonts w:ascii="SimSun" w:hAnsi="SimSun" w:eastAsia="SimSun" w:cs="SimSun"/>
          <w:sz w:val="24"/>
          <w:szCs w:val="24"/>
        </w:rPr>
        <w:t>.</w:t>
      </w:r>
      <w:r>
        <w:rPr>
          <w:rFonts w:hint="default" w:ascii="Times New Roman" w:hAnsi="Times New Roman" w:eastAsia="SimSun" w:cs="Times New Roman"/>
          <w:b w:val="0"/>
          <w:bCs w:val="0"/>
          <w:sz w:val="24"/>
          <w:szCs w:val="24"/>
        </w:rPr>
        <w:t xml:space="preserve"> </w:t>
      </w:r>
      <w:r>
        <w:rPr>
          <w:rFonts w:hint="default" w:ascii="Times New Roman" w:hAnsi="Times New Roman" w:cs="Times New Roman"/>
          <w:b w:val="0"/>
          <w:bCs w:val="0"/>
          <w:sz w:val="24"/>
          <w:szCs w:val="24"/>
        </w:rPr>
        <w:t>Example: Designing packaging that is biodegradable or reusable instead of single-use plastic.</w:t>
      </w:r>
      <w:r>
        <w:rPr>
          <w:rFonts w:hint="default" w:cs="Times New Roman"/>
          <w:b w:val="0"/>
          <w:bCs w:val="0"/>
          <w:sz w:val="24"/>
          <w:szCs w:val="24"/>
          <w:lang w:val="en-US"/>
        </w:rPr>
        <w:t xml:space="preserve">                                                 </w:t>
      </w:r>
    </w:p>
    <w:p w14:paraId="74A2EAA4">
      <w:pPr>
        <w:pStyle w:val="13"/>
        <w:keepNext w:val="0"/>
        <w:keepLines w:val="0"/>
        <w:widowControl/>
        <w:suppressLineNumbers w:val="0"/>
        <w:spacing w:line="360" w:lineRule="auto"/>
        <w:jc w:val="both"/>
        <w:rPr>
          <w:rFonts w:hint="default" w:ascii="Times New Roman" w:hAnsi="Times New Roman" w:cs="Times New Roman"/>
          <w:b w:val="0"/>
          <w:bCs w:val="0"/>
          <w:sz w:val="24"/>
          <w:szCs w:val="24"/>
        </w:rPr>
      </w:pPr>
      <w:r>
        <w:rPr>
          <w:rStyle w:val="14"/>
          <w:rFonts w:hint="default" w:cs="Times New Roman"/>
          <w:sz w:val="24"/>
          <w:szCs w:val="24"/>
          <w:lang w:val="en-US"/>
        </w:rPr>
        <w:t xml:space="preserve">Circulate products </w:t>
      </w:r>
      <w:r>
        <w:rPr>
          <w:rStyle w:val="14"/>
          <w:rFonts w:hint="default" w:ascii="Times New Roman" w:hAnsi="Times New Roman" w:cs="Times New Roman"/>
          <w:sz w:val="24"/>
          <w:szCs w:val="24"/>
        </w:rPr>
        <w:t xml:space="preserve"> and Materials</w:t>
      </w:r>
      <w:r>
        <w:rPr>
          <w:rFonts w:hint="default" w:ascii="Times New Roman" w:hAnsi="Times New Roman" w:cs="Times New Roman"/>
          <w:sz w:val="24"/>
          <w:szCs w:val="24"/>
        </w:rPr>
        <w:t xml:space="preserve"> –</w:t>
      </w:r>
      <w:r>
        <w:rPr>
          <w:rFonts w:hint="default" w:ascii="Times New Roman" w:hAnsi="Times New Roman" w:cs="Times New Roman"/>
          <w:b w:val="0"/>
          <w:bCs w:val="0"/>
          <w:sz w:val="24"/>
          <w:szCs w:val="24"/>
        </w:rPr>
        <w:t xml:space="preserve">This principle focuses on </w:t>
      </w:r>
      <w:r>
        <w:rPr>
          <w:rStyle w:val="14"/>
          <w:rFonts w:hint="default" w:ascii="Times New Roman" w:hAnsi="Times New Roman" w:cs="Times New Roman"/>
          <w:b w:val="0"/>
          <w:bCs w:val="0"/>
          <w:sz w:val="24"/>
          <w:szCs w:val="24"/>
        </w:rPr>
        <w:t>extending the life cycle</w:t>
      </w:r>
      <w:r>
        <w:rPr>
          <w:rFonts w:hint="default" w:ascii="Times New Roman" w:hAnsi="Times New Roman" w:cs="Times New Roman"/>
          <w:b w:val="0"/>
          <w:bCs w:val="0"/>
          <w:sz w:val="24"/>
          <w:szCs w:val="24"/>
        </w:rPr>
        <w:t xml:space="preserve"> of materials and products through repair, reuse, remanufacturing, and recycling.</w:t>
      </w:r>
      <w:r>
        <w:rPr>
          <w:rFonts w:hint="default" w:cs="Times New Roman"/>
          <w:b w:val="0"/>
          <w:bCs w:val="0"/>
          <w:sz w:val="24"/>
          <w:szCs w:val="24"/>
          <w:lang w:val="en-US"/>
        </w:rPr>
        <w:t xml:space="preserve"> </w:t>
      </w:r>
      <w:r>
        <w:rPr>
          <w:rFonts w:hint="default" w:ascii="Times New Roman" w:hAnsi="Times New Roman" w:eastAsia="SimSun" w:cs="Times New Roman"/>
          <w:sz w:val="24"/>
          <w:szCs w:val="24"/>
        </w:rPr>
        <w:t>Example: Refurbishing old electronics, reusing glass bottles, or implementing a clothing rental model to reduce fashion waste.</w:t>
      </w:r>
    </w:p>
    <w:p w14:paraId="4176FFEC">
      <w:pPr>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eastAsia="SimSun" w:cs="Times New Roman"/>
          <w:b w:val="0"/>
          <w:bCs w:val="0"/>
          <w:sz w:val="24"/>
          <w:szCs w:val="24"/>
        </w:rPr>
        <w:t xml:space="preserve"> </w:t>
      </w:r>
      <w:r>
        <w:rPr>
          <w:rStyle w:val="14"/>
          <w:rFonts w:hint="default" w:ascii="Times New Roman" w:hAnsi="Times New Roman" w:cs="Times New Roman"/>
          <w:sz w:val="24"/>
          <w:szCs w:val="24"/>
        </w:rPr>
        <w:t>Regenerate Nature</w:t>
      </w:r>
      <w:r>
        <w:rPr>
          <w:rFonts w:hint="default" w:ascii="Times New Roman" w:hAnsi="Times New Roman" w:cs="Times New Roman"/>
          <w:sz w:val="24"/>
          <w:szCs w:val="24"/>
        </w:rPr>
        <w:t xml:space="preserve"> – </w:t>
      </w:r>
      <w:r>
        <w:rPr>
          <w:rFonts w:hint="default" w:ascii="Times New Roman" w:hAnsi="Times New Roman" w:eastAsia="SimSun" w:cs="Times New Roman"/>
          <w:sz w:val="24"/>
          <w:szCs w:val="24"/>
        </w:rPr>
        <w:t xml:space="preserve"> </w:t>
      </w:r>
      <w:r>
        <w:rPr>
          <w:rFonts w:hint="default" w:ascii="Times New Roman" w:hAnsi="Times New Roman" w:cs="Times New Roman"/>
          <w:b w:val="0"/>
          <w:bCs w:val="0"/>
          <w:sz w:val="24"/>
          <w:szCs w:val="24"/>
        </w:rPr>
        <w:t xml:space="preserve">A circular economy not only reduces harm but actively contributes to </w:t>
      </w:r>
      <w:r>
        <w:rPr>
          <w:rStyle w:val="14"/>
          <w:rFonts w:hint="default" w:ascii="Times New Roman" w:hAnsi="Times New Roman" w:cs="Times New Roman"/>
          <w:b w:val="0"/>
          <w:bCs w:val="0"/>
          <w:sz w:val="24"/>
          <w:szCs w:val="24"/>
        </w:rPr>
        <w:t>restor</w:t>
      </w:r>
      <w:r>
        <w:rPr>
          <w:rStyle w:val="14"/>
          <w:rFonts w:hint="default" w:ascii="Times New Roman" w:hAnsi="Times New Roman" w:cs="Times New Roman"/>
          <w:b w:val="0"/>
          <w:bCs w:val="0"/>
          <w:sz w:val="24"/>
          <w:szCs w:val="24"/>
          <w:lang w:val="en-US"/>
        </w:rPr>
        <w:t>e</w:t>
      </w:r>
      <w:r>
        <w:rPr>
          <w:rStyle w:val="14"/>
          <w:rFonts w:hint="default" w:ascii="Times New Roman" w:hAnsi="Times New Roman" w:cs="Times New Roman"/>
          <w:b w:val="0"/>
          <w:bCs w:val="0"/>
          <w:sz w:val="24"/>
          <w:szCs w:val="24"/>
        </w:rPr>
        <w:t xml:space="preserve"> and regenerat</w:t>
      </w:r>
      <w:r>
        <w:rPr>
          <w:rStyle w:val="14"/>
          <w:rFonts w:hint="default" w:ascii="Times New Roman" w:hAnsi="Times New Roman" w:cs="Times New Roman"/>
          <w:b w:val="0"/>
          <w:bCs w:val="0"/>
          <w:sz w:val="24"/>
          <w:szCs w:val="24"/>
          <w:lang w:val="en-US"/>
        </w:rPr>
        <w:t xml:space="preserve">e </w:t>
      </w:r>
      <w:r>
        <w:rPr>
          <w:rFonts w:hint="default" w:ascii="Times New Roman" w:hAnsi="Times New Roman" w:cs="Times New Roman"/>
          <w:b w:val="0"/>
          <w:bCs w:val="0"/>
          <w:sz w:val="24"/>
          <w:szCs w:val="24"/>
        </w:rPr>
        <w:t xml:space="preserve"> natural ecosystems..Example: Using compostable materials that </w:t>
      </w:r>
      <w:r>
        <w:rPr>
          <w:rFonts w:hint="default" w:ascii="Times New Roman" w:hAnsi="Times New Roman" w:cs="Times New Roman"/>
          <w:b w:val="0"/>
          <w:bCs w:val="0"/>
          <w:sz w:val="24"/>
          <w:szCs w:val="24"/>
          <w:lang w:val="en-US"/>
        </w:rPr>
        <w:t xml:space="preserve">enrich the </w:t>
      </w:r>
      <w:r>
        <w:rPr>
          <w:rFonts w:hint="default" w:ascii="Times New Roman" w:hAnsi="Times New Roman" w:cs="Times New Roman"/>
          <w:b w:val="0"/>
          <w:bCs w:val="0"/>
          <w:sz w:val="24"/>
          <w:szCs w:val="24"/>
        </w:rPr>
        <w:t xml:space="preserve"> nutrient</w:t>
      </w:r>
      <w:r>
        <w:rPr>
          <w:rFonts w:hint="default" w:ascii="Times New Roman" w:hAnsi="Times New Roman" w:cs="Times New Roman"/>
          <w:b w:val="0"/>
          <w:bCs w:val="0"/>
          <w:sz w:val="24"/>
          <w:szCs w:val="24"/>
          <w:lang w:val="en-US"/>
        </w:rPr>
        <w:t xml:space="preserve"> content of </w:t>
      </w:r>
      <w:r>
        <w:rPr>
          <w:rFonts w:hint="default" w:ascii="Times New Roman" w:hAnsi="Times New Roman" w:cs="Times New Roman"/>
          <w:b w:val="0"/>
          <w:bCs w:val="0"/>
          <w:sz w:val="24"/>
          <w:szCs w:val="24"/>
        </w:rPr>
        <w:t xml:space="preserve"> the soil, supporting afforestation, or adopting</w:t>
      </w:r>
      <w:r>
        <w:rPr>
          <w:rFonts w:hint="default" w:ascii="Times New Roman" w:hAnsi="Times New Roman" w:cs="Times New Roman"/>
          <w:b w:val="0"/>
          <w:bCs w:val="0"/>
          <w:sz w:val="24"/>
          <w:szCs w:val="24"/>
          <w:lang w:val="en-US"/>
        </w:rPr>
        <w:t xml:space="preserve"> </w:t>
      </w:r>
      <w:r>
        <w:rPr>
          <w:rFonts w:hint="default" w:ascii="Times New Roman" w:hAnsi="Times New Roman" w:cs="Times New Roman"/>
          <w:b w:val="0"/>
          <w:bCs w:val="0"/>
          <w:sz w:val="24"/>
          <w:szCs w:val="24"/>
        </w:rPr>
        <w:t xml:space="preserve"> farming</w:t>
      </w:r>
      <w:r>
        <w:rPr>
          <w:rFonts w:hint="default" w:ascii="Times New Roman" w:hAnsi="Times New Roman" w:cs="Times New Roman"/>
          <w:b w:val="0"/>
          <w:bCs w:val="0"/>
          <w:sz w:val="24"/>
          <w:szCs w:val="24"/>
          <w:lang w:val="en-US"/>
        </w:rPr>
        <w:t xml:space="preserve"> and agricultural</w:t>
      </w:r>
      <w:r>
        <w:rPr>
          <w:rFonts w:hint="default" w:ascii="Times New Roman" w:hAnsi="Times New Roman" w:cs="Times New Roman"/>
          <w:b w:val="0"/>
          <w:bCs w:val="0"/>
          <w:sz w:val="24"/>
          <w:szCs w:val="24"/>
        </w:rPr>
        <w:t xml:space="preserve"> techniques that restore soil health.</w:t>
      </w:r>
    </w:p>
    <w:p w14:paraId="16948E6F">
      <w:pPr>
        <w:keepNext w:val="0"/>
        <w:keepLines w:val="0"/>
        <w:widowControl/>
        <w:suppressLineNumbers w:val="0"/>
        <w:spacing w:line="360" w:lineRule="auto"/>
        <w:rPr>
          <w:rFonts w:hint="default" w:ascii="Times New Roman" w:hAnsi="Times New Roman" w:cs="Times New Roman"/>
          <w:b w:val="0"/>
          <w:bCs w:val="0"/>
          <w:sz w:val="24"/>
          <w:szCs w:val="24"/>
        </w:rPr>
      </w:pPr>
    </w:p>
    <w:p w14:paraId="5DEC577B">
      <w:pPr>
        <w:keepNext w:val="0"/>
        <w:keepLines w:val="0"/>
        <w:widowControl/>
        <w:suppressLineNumbers w:val="0"/>
        <w:spacing w:line="360" w:lineRule="auto"/>
        <w:rPr>
          <w:rFonts w:hint="default" w:ascii="Times New Roman" w:hAnsi="Times New Roman" w:cs="Times New Roman"/>
          <w:b w:val="0"/>
          <w:bCs w:val="0"/>
          <w:sz w:val="24"/>
          <w:szCs w:val="24"/>
        </w:rPr>
      </w:pPr>
    </w:p>
    <w:p w14:paraId="78B4A168">
      <w:pPr>
        <w:keepNext w:val="0"/>
        <w:keepLines w:val="0"/>
        <w:widowControl/>
        <w:suppressLineNumbers w:val="0"/>
        <w:spacing w:line="360" w:lineRule="auto"/>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drawing>
          <wp:inline distT="0" distB="0" distL="114300" distR="114300">
            <wp:extent cx="6359525" cy="2468880"/>
            <wp:effectExtent l="0" t="29210" r="0" b="9271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0768272">
      <w:pPr>
        <w:keepNext w:val="0"/>
        <w:keepLines w:val="0"/>
        <w:widowControl/>
        <w:suppressLineNumbers w:val="0"/>
        <w:spacing w:line="360" w:lineRule="auto"/>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Source--Authos’s own creation based on idea taken from Ellen Macarthur Foundation </w:t>
      </w:r>
    </w:p>
    <w:p w14:paraId="220D743D">
      <w:pPr>
        <w:pStyle w:val="13"/>
        <w:keepNext w:val="0"/>
        <w:keepLines w:val="0"/>
        <w:widowControl/>
        <w:suppressLineNumbers w:val="0"/>
        <w:spacing w:line="360" w:lineRule="auto"/>
        <w:rPr>
          <w:rFonts w:hint="default" w:ascii="Times New Roman" w:hAnsi="Times New Roman" w:cs="Times New Roman"/>
        </w:rPr>
      </w:pPr>
    </w:p>
    <w:p w14:paraId="080C21DA">
      <w:pPr>
        <w:keepNext w:val="0"/>
        <w:keepLines w:val="0"/>
        <w:widowControl/>
        <w:suppressLineNumbers w:val="0"/>
        <w:spacing w:line="360" w:lineRule="auto"/>
        <w:jc w:val="left"/>
        <w:rPr>
          <w:rFonts w:hint="default" w:ascii="Times New Roman" w:hAnsi="Times New Roman" w:eastAsia="SimSun" w:cs="Times New Roman"/>
          <w:kern w:val="0"/>
          <w:sz w:val="24"/>
          <w:szCs w:val="24"/>
          <w:lang w:val="en-US" w:eastAsia="zh-CN" w:bidi="ar"/>
        </w:rPr>
      </w:pPr>
      <w:r>
        <w:rPr>
          <w:rFonts w:hint="default" w:ascii="Times New Roman" w:hAnsi="Times New Roman" w:cs="Times New Roman"/>
          <w:sz w:val="24"/>
          <w:szCs w:val="24"/>
        </w:rPr>
        <w:t>The</w:t>
      </w:r>
      <w:r>
        <w:rPr>
          <w:rFonts w:hint="default" w:ascii="Times New Roman" w:hAnsi="Times New Roman" w:cs="Times New Roman"/>
          <w:b/>
          <w:bCs/>
          <w:sz w:val="24"/>
          <w:szCs w:val="24"/>
          <w:u w:val="single"/>
        </w:rPr>
        <w:t xml:space="preserve"> linear economy</w:t>
      </w:r>
      <w:r>
        <w:rPr>
          <w:rFonts w:hint="default" w:ascii="Times New Roman" w:hAnsi="Times New Roman" w:cs="Times New Roman"/>
          <w:sz w:val="24"/>
          <w:szCs w:val="24"/>
        </w:rPr>
        <w:t xml:space="preserve"> operates on a simple “take-make-dispose” model. </w:t>
      </w:r>
      <w:r>
        <w:rPr>
          <w:rFonts w:hint="default" w:ascii="Times New Roman" w:hAnsi="Times New Roman" w:eastAsia="SimSun" w:cs="Times New Roman"/>
          <w:kern w:val="0"/>
          <w:sz w:val="24"/>
          <w:szCs w:val="24"/>
          <w:lang w:val="en-US" w:eastAsia="zh-CN" w:bidi="ar"/>
        </w:rPr>
        <w:t>In other words, extraction, consumption, and waste disposal are all broken down into manageable components. Since the Industrial Revolution, this technique has been used to facilitate mass production and consumption. But with its expansion comes the obvious worry of waste accumulation, resource depletion, and severe environmental repercussions</w:t>
      </w:r>
    </w:p>
    <w:p w14:paraId="3AB2F7B2">
      <w:pPr>
        <w:keepNext w:val="0"/>
        <w:keepLines w:val="0"/>
        <w:widowControl/>
        <w:suppressLineNumbers w:val="0"/>
        <w:jc w:val="left"/>
        <w:rPr>
          <w:rFonts w:hint="default" w:ascii="Times New Roman" w:hAnsi="Times New Roman" w:cs="Times New Roman"/>
          <w:sz w:val="24"/>
          <w:szCs w:val="24"/>
        </w:rPr>
      </w:pPr>
      <w:r>
        <w:rPr>
          <w:rFonts w:hint="default" w:cs="Times New Roman"/>
          <w:sz w:val="24"/>
          <w:szCs w:val="24"/>
          <w:lang w:val="en-US"/>
        </w:rPr>
        <w:t xml:space="preserve"> </w:t>
      </w:r>
      <w:r>
        <w:rPr>
          <w:rFonts w:hint="default" w:ascii="Times New Roman" w:hAnsi="Times New Roman" w:cs="Times New Roman"/>
          <w:sz w:val="24"/>
          <w:szCs w:val="24"/>
        </w:rPr>
        <w:t>Example</w:t>
      </w:r>
      <w:r>
        <w:rPr>
          <w:rFonts w:hint="default" w:ascii="Times New Roman" w:hAnsi="Times New Roman" w:cs="Times New Roman"/>
          <w:sz w:val="24"/>
          <w:szCs w:val="24"/>
          <w:lang w:val="en-US"/>
        </w:rPr>
        <w:t xml:space="preserve"> - Fast growing </w:t>
      </w:r>
      <w:r>
        <w:rPr>
          <w:rFonts w:hint="default" w:ascii="Times New Roman" w:hAnsi="Times New Roman" w:cs="Times New Roman"/>
          <w:sz w:val="24"/>
          <w:szCs w:val="24"/>
        </w:rPr>
        <w:t xml:space="preserve"> fashion</w:t>
      </w:r>
      <w:r>
        <w:rPr>
          <w:rFonts w:hint="default" w:ascii="Times New Roman" w:hAnsi="Times New Roman" w:cs="Times New Roman"/>
          <w:sz w:val="24"/>
          <w:szCs w:val="24"/>
          <w:lang w:val="en-US"/>
        </w:rPr>
        <w:t xml:space="preserve"> industry</w:t>
      </w:r>
      <w:r>
        <w:rPr>
          <w:rFonts w:hint="default" w:ascii="Times New Roman" w:hAnsi="Times New Roman" w:cs="Times New Roman"/>
          <w:sz w:val="24"/>
          <w:szCs w:val="24"/>
        </w:rPr>
        <w:t xml:space="preserve"> is one of the most prominent examples of a linear economy as it embodies all the steps - Take, Make, Use, and Dispose.</w:t>
      </w:r>
    </w:p>
    <w:p w14:paraId="4DBE0F63">
      <w:pPr>
        <w:pStyle w:val="13"/>
        <w:keepNext w:val="0"/>
        <w:keepLines w:val="0"/>
        <w:widowControl/>
        <w:suppressLineNumbers w:val="0"/>
        <w:spacing w:line="360" w:lineRule="auto"/>
        <w:rPr>
          <w:rFonts w:hint="default" w:cs="Times New Roman"/>
          <w:sz w:val="24"/>
          <w:szCs w:val="24"/>
          <w:lang w:val="en-US"/>
        </w:rPr>
      </w:pPr>
      <w:r>
        <w:rPr>
          <w:rStyle w:val="14"/>
          <w:rFonts w:hint="default" w:ascii="Times New Roman" w:hAnsi="Times New Roman" w:cs="Times New Roman"/>
          <w:sz w:val="24"/>
          <w:szCs w:val="24"/>
        </w:rPr>
        <w:t>Take:</w:t>
      </w:r>
      <w:r>
        <w:rPr>
          <w:rFonts w:hint="default" w:ascii="Times New Roman" w:hAnsi="Times New Roman" w:cs="Times New Roman"/>
          <w:sz w:val="24"/>
          <w:szCs w:val="24"/>
        </w:rPr>
        <w:t xml:space="preserve"> The first step involves the extraction and refinement of raw materials such as cotton, polyester, and dye.</w:t>
      </w:r>
      <w:r>
        <w:rPr>
          <w:rFonts w:hint="default" w:cs="Times New Roman"/>
          <w:sz w:val="24"/>
          <w:szCs w:val="24"/>
          <w:lang w:val="en-US"/>
        </w:rPr>
        <w:t xml:space="preserve">                                                                                                                                                                                  </w:t>
      </w:r>
      <w:r>
        <w:rPr>
          <w:rStyle w:val="14"/>
          <w:rFonts w:hint="default" w:ascii="Times New Roman" w:hAnsi="Times New Roman" w:cs="Times New Roman"/>
          <w:sz w:val="24"/>
          <w:szCs w:val="24"/>
        </w:rPr>
        <w:t>Make:</w:t>
      </w:r>
      <w:r>
        <w:rPr>
          <w:rFonts w:hint="default" w:ascii="Times New Roman" w:hAnsi="Times New Roman" w:cs="Times New Roman"/>
          <w:sz w:val="24"/>
          <w:szCs w:val="24"/>
        </w:rPr>
        <w:t xml:space="preserve"> Cheap and mass-produced clothes are manufactured in factories.</w:t>
      </w:r>
      <w:r>
        <w:rPr>
          <w:rFonts w:hint="default" w:cs="Times New Roman"/>
          <w:sz w:val="24"/>
          <w:szCs w:val="24"/>
          <w:lang w:val="en-US"/>
        </w:rPr>
        <w:t xml:space="preserve">                                                                          </w:t>
      </w:r>
      <w:r>
        <w:rPr>
          <w:rStyle w:val="14"/>
          <w:rFonts w:hint="default" w:ascii="Times New Roman" w:hAnsi="Times New Roman" w:cs="Times New Roman"/>
          <w:sz w:val="24"/>
          <w:szCs w:val="24"/>
        </w:rPr>
        <w:t>Use:</w:t>
      </w:r>
      <w:r>
        <w:rPr>
          <w:rFonts w:hint="default" w:ascii="Times New Roman" w:hAnsi="Times New Roman" w:cs="Times New Roman"/>
          <w:sz w:val="24"/>
          <w:szCs w:val="24"/>
        </w:rPr>
        <w:t xml:space="preserve"> Clothes are purchased and worn, typically for a very short </w:t>
      </w:r>
      <w:r>
        <w:rPr>
          <w:rFonts w:hint="default" w:cs="Times New Roman"/>
          <w:sz w:val="24"/>
          <w:szCs w:val="24"/>
          <w:lang w:val="en-US"/>
        </w:rPr>
        <w:t>period</w:t>
      </w:r>
      <w:r>
        <w:rPr>
          <w:rFonts w:hint="default" w:ascii="Times New Roman" w:hAnsi="Times New Roman" w:cs="Times New Roman"/>
          <w:sz w:val="24"/>
          <w:szCs w:val="24"/>
        </w:rPr>
        <w:t>.</w:t>
      </w:r>
      <w:r>
        <w:rPr>
          <w:rFonts w:hint="default" w:cs="Times New Roman"/>
          <w:sz w:val="24"/>
          <w:szCs w:val="24"/>
          <w:lang w:val="en-US"/>
        </w:rPr>
        <w:t xml:space="preserve">                                                                     </w:t>
      </w:r>
      <w:r>
        <w:rPr>
          <w:rStyle w:val="14"/>
          <w:rFonts w:hint="default" w:ascii="Times New Roman" w:hAnsi="Times New Roman" w:cs="Times New Roman"/>
          <w:sz w:val="24"/>
          <w:szCs w:val="24"/>
        </w:rPr>
        <w:t>Dispose:</w:t>
      </w:r>
      <w:r>
        <w:rPr>
          <w:rFonts w:hint="default" w:ascii="Times New Roman" w:hAnsi="Times New Roman" w:cs="Times New Roman"/>
          <w:sz w:val="24"/>
          <w:szCs w:val="24"/>
        </w:rPr>
        <w:t xml:space="preserve"> Clothes are thrown away, with </w:t>
      </w:r>
      <w:r>
        <w:rPr>
          <w:rFonts w:hint="default" w:cs="Times New Roman"/>
          <w:sz w:val="24"/>
          <w:szCs w:val="24"/>
          <w:lang w:val="en-US"/>
        </w:rPr>
        <w:t>majority</w:t>
      </w:r>
      <w:r>
        <w:rPr>
          <w:rFonts w:hint="default" w:ascii="Times New Roman" w:hAnsi="Times New Roman" w:cs="Times New Roman"/>
          <w:sz w:val="24"/>
          <w:szCs w:val="24"/>
        </w:rPr>
        <w:t xml:space="preserve"> </w:t>
      </w:r>
      <w:r>
        <w:rPr>
          <w:rFonts w:hint="default" w:cs="Times New Roman"/>
          <w:sz w:val="24"/>
          <w:szCs w:val="24"/>
          <w:lang w:val="en-US"/>
        </w:rPr>
        <w:t xml:space="preserve">end up </w:t>
      </w:r>
      <w:r>
        <w:rPr>
          <w:rFonts w:hint="default" w:ascii="Times New Roman" w:hAnsi="Times New Roman" w:cs="Times New Roman"/>
          <w:sz w:val="24"/>
          <w:szCs w:val="24"/>
        </w:rPr>
        <w:t xml:space="preserve"> in landfills and many being burnt.</w:t>
      </w:r>
      <w:r>
        <w:rPr>
          <w:rFonts w:hint="default" w:cs="Times New Roman"/>
          <w:sz w:val="24"/>
          <w:szCs w:val="24"/>
          <w:lang w:val="en-US"/>
        </w:rPr>
        <w:t xml:space="preserve">                                                                          </w:t>
      </w:r>
      <w:r>
        <w:rPr>
          <w:rFonts w:hint="default" w:ascii="Times New Roman" w:hAnsi="Times New Roman" w:cs="Times New Roman"/>
          <w:sz w:val="24"/>
          <w:szCs w:val="24"/>
        </w:rPr>
        <w:t xml:space="preserve">Such practices </w:t>
      </w:r>
      <w:r>
        <w:rPr>
          <w:rFonts w:hint="default" w:cs="Times New Roman"/>
          <w:sz w:val="24"/>
          <w:szCs w:val="24"/>
          <w:lang w:val="en-US"/>
        </w:rPr>
        <w:t xml:space="preserve">exacerbates </w:t>
      </w:r>
      <w:r>
        <w:rPr>
          <w:rFonts w:hint="default" w:ascii="Times New Roman" w:hAnsi="Times New Roman" w:cs="Times New Roman"/>
          <w:sz w:val="24"/>
          <w:szCs w:val="24"/>
        </w:rPr>
        <w:t xml:space="preserve">overutilization of resources, short product lifecycles, pollution, and significant carbon emissions. </w:t>
      </w:r>
      <w:r>
        <w:rPr>
          <w:rFonts w:hint="default" w:cs="Times New Roman"/>
          <w:sz w:val="24"/>
          <w:szCs w:val="24"/>
          <w:lang w:val="en-US"/>
        </w:rPr>
        <w:t xml:space="preserve">                                                                                                                                                                  </w:t>
      </w:r>
    </w:p>
    <w:p w14:paraId="3D6B98E7">
      <w:pPr>
        <w:pStyle w:val="1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 global phenomenon where most economies are adopting reforms, the</w:t>
      </w:r>
      <w:r>
        <w:rPr>
          <w:rFonts w:hint="default" w:ascii="Times New Roman" w:hAnsi="Times New Roman" w:cs="Times New Roman"/>
          <w:b/>
          <w:bCs/>
          <w:sz w:val="24"/>
          <w:szCs w:val="24"/>
          <w:u w:val="single"/>
        </w:rPr>
        <w:t xml:space="preserve"> circular economy</w:t>
      </w:r>
      <w:r>
        <w:rPr>
          <w:rFonts w:hint="default" w:ascii="Times New Roman" w:hAnsi="Times New Roman" w:cs="Times New Roman"/>
          <w:sz w:val="24"/>
          <w:szCs w:val="24"/>
        </w:rPr>
        <w:t xml:space="preserve"> is an alternative to the linear model of economically propelling a nation. It takes into account the concept of trying to eliminate unused byproducts and extending the lifecycle of goods produced in an economy. It involves the principles of recycling, reusing, and reducing, which all seek to optimize the lifespan of materials. This model promotes sustained economic development as well as innovation in how people deal with waste.</w:t>
      </w:r>
    </w:p>
    <w:p w14:paraId="13B0869B">
      <w:pPr>
        <w:pStyle w:val="4"/>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Illustration</w:t>
      </w:r>
      <w:r>
        <w:rPr>
          <w:rFonts w:hint="default" w:ascii="Times New Roman" w:hAnsi="Times New Roman" w:cs="Times New Roman"/>
          <w:sz w:val="24"/>
          <w:szCs w:val="24"/>
          <w:lang w:val="en-US"/>
        </w:rPr>
        <w:t xml:space="preserve"> -</w:t>
      </w:r>
      <w:r>
        <w:rPr>
          <w:rFonts w:hint="default" w:ascii="Times New Roman" w:hAnsi="Times New Roman" w:cs="Times New Roman"/>
          <w:b w:val="0"/>
          <w:bCs w:val="0"/>
          <w:sz w:val="24"/>
          <w:szCs w:val="24"/>
        </w:rPr>
        <w:t>One of the foremost workings of the circular economy is seen with the adoption of refurbishment and recycling programs within the electronic devices industry.</w:t>
      </w:r>
      <w:r>
        <w:rPr>
          <w:rFonts w:hint="default" w:ascii="Times New Roman" w:hAnsi="Times New Roman" w:cs="Times New Roman"/>
          <w:b w:val="0"/>
          <w:bCs w:val="0"/>
          <w:sz w:val="24"/>
          <w:szCs w:val="24"/>
          <w:lang w:val="en-US"/>
        </w:rPr>
        <w:t xml:space="preserve">                                                         </w:t>
      </w:r>
      <w:r>
        <w:rPr>
          <w:rStyle w:val="14"/>
          <w:rFonts w:hint="default" w:ascii="Times New Roman" w:hAnsi="Times New Roman" w:cs="Times New Roman"/>
          <w:b/>
          <w:bCs/>
          <w:sz w:val="24"/>
          <w:szCs w:val="24"/>
        </w:rPr>
        <w:t>Design for longevity</w:t>
      </w:r>
      <w:r>
        <w:rPr>
          <w:rFonts w:hint="default" w:ascii="Times New Roman" w:hAnsi="Times New Roman" w:cs="Times New Roman"/>
          <w:b w:val="0"/>
          <w:bCs w:val="0"/>
          <w:sz w:val="24"/>
          <w:szCs w:val="24"/>
        </w:rPr>
        <w:t>: Companies are producing modular smartphones and laptops that are much easier to upgrade and repair, which increases the longevity of the device.</w:t>
      </w:r>
      <w:r>
        <w:rPr>
          <w:rFonts w:hint="default" w:ascii="Times New Roman" w:hAnsi="Times New Roman" w:cs="Times New Roman"/>
          <w:b w:val="0"/>
          <w:bCs w:val="0"/>
          <w:sz w:val="24"/>
          <w:szCs w:val="24"/>
          <w:lang w:val="en-US"/>
        </w:rPr>
        <w:t xml:space="preserve">                                                                              </w:t>
      </w:r>
      <w:r>
        <w:rPr>
          <w:rStyle w:val="14"/>
          <w:rFonts w:hint="default" w:ascii="Times New Roman" w:hAnsi="Times New Roman" w:cs="Times New Roman"/>
          <w:b/>
          <w:bCs/>
          <w:sz w:val="24"/>
          <w:szCs w:val="24"/>
        </w:rPr>
        <w:t>Reuse and refurbish</w:t>
      </w:r>
      <w:r>
        <w:rPr>
          <w:rFonts w:hint="default" w:ascii="Times New Roman" w:hAnsi="Times New Roman" w:cs="Times New Roman"/>
          <w:b w:val="0"/>
          <w:bCs w:val="0"/>
          <w:sz w:val="24"/>
          <w:szCs w:val="24"/>
        </w:rPr>
        <w:t>: Devices that are considered outdated are collected, repaired, and resold instead of being destroyed.</w:t>
      </w:r>
      <w:r>
        <w:rPr>
          <w:rFonts w:hint="default" w:ascii="Times New Roman" w:hAnsi="Times New Roman" w:cs="Times New Roman"/>
          <w:b w:val="0"/>
          <w:bCs w:val="0"/>
          <w:sz w:val="24"/>
          <w:szCs w:val="24"/>
          <w:lang w:val="en-US"/>
        </w:rPr>
        <w:t xml:space="preserve">                                                                                                                                                         </w:t>
      </w:r>
      <w:r>
        <w:rPr>
          <w:rStyle w:val="14"/>
          <w:rFonts w:hint="default" w:ascii="Times New Roman" w:hAnsi="Times New Roman" w:cs="Times New Roman"/>
          <w:b/>
          <w:bCs/>
          <w:sz w:val="24"/>
          <w:szCs w:val="24"/>
        </w:rPr>
        <w:t>Recycle materials</w:t>
      </w:r>
      <w:r>
        <w:rPr>
          <w:rFonts w:hint="default" w:ascii="Times New Roman" w:hAnsi="Times New Roman" w:cs="Times New Roman"/>
          <w:sz w:val="24"/>
          <w:szCs w:val="24"/>
        </w:rPr>
        <w:t>:</w:t>
      </w:r>
      <w:r>
        <w:rPr>
          <w:rFonts w:hint="default" w:ascii="Times New Roman" w:hAnsi="Times New Roman" w:cs="Times New Roman"/>
          <w:b w:val="0"/>
          <w:bCs w:val="0"/>
          <w:sz w:val="24"/>
          <w:szCs w:val="24"/>
        </w:rPr>
        <w:t xml:space="preserve"> It is possible to recover important materials like metals from the circuit boards of smartphones and laptops, which can be used in manufacturing other products.</w:t>
      </w:r>
    </w:p>
    <w:p w14:paraId="5BF76BB2">
      <w:pPr>
        <w:pStyle w:val="13"/>
        <w:keepNext w:val="0"/>
        <w:keepLines w:val="0"/>
        <w:widowControl/>
        <w:suppressLineNumbers w:val="0"/>
        <w:spacing w:before="0" w:beforeAutospacing="1" w:after="0" w:afterAutospacing="1" w:line="360" w:lineRule="auto"/>
        <w:ind w:left="0" w:right="0"/>
        <w:rPr>
          <w:rFonts w:hint="default" w:ascii="Times New Roman" w:hAnsi="Times New Roman" w:cs="Times New Roman"/>
          <w:sz w:val="24"/>
          <w:szCs w:val="24"/>
        </w:rPr>
      </w:pPr>
      <w:r>
        <w:rPr>
          <w:rFonts w:hint="default" w:ascii="Times New Roman" w:hAnsi="Times New Roman" w:cs="Times New Roman"/>
          <w:sz w:val="24"/>
          <w:szCs w:val="24"/>
        </w:rPr>
        <w:t>The linear model—"take-make-dispose"—is still dominant, especially in industries like fashion, which consumes vast resources and generates enormous waste. The C</w:t>
      </w:r>
      <w:r>
        <w:rPr>
          <w:rFonts w:hint="default" w:cs="Times New Roman"/>
          <w:sz w:val="24"/>
          <w:szCs w:val="24"/>
          <w:lang w:val="en-US"/>
        </w:rPr>
        <w:t xml:space="preserve">ircular economy </w:t>
      </w:r>
      <w:r>
        <w:rPr>
          <w:rFonts w:hint="default" w:ascii="Times New Roman" w:hAnsi="Times New Roman" w:cs="Times New Roman"/>
          <w:sz w:val="24"/>
          <w:szCs w:val="24"/>
        </w:rPr>
        <w:t>model seeks to reverse this trend by optimizing resource use, reducing environmental harm, and fostering long-term sustainability.</w:t>
      </w:r>
    </w:p>
    <w:p w14:paraId="6DB2580B">
      <w:pPr>
        <w:rPr>
          <w:rFonts w:hint="default" w:ascii="Times New Roman" w:hAnsi="Times New Roman" w:cs="Times New Roman"/>
          <w:b w:val="0"/>
          <w:bCs w:val="0"/>
          <w:sz w:val="24"/>
          <w:szCs w:val="24"/>
        </w:rPr>
      </w:pPr>
    </w:p>
    <w:p w14:paraId="599B3C62">
      <w:pPr>
        <w:rPr>
          <w:rFonts w:hint="default" w:ascii="Times New Roman" w:hAnsi="Times New Roman" w:cs="Times New Roman"/>
          <w:b w:val="0"/>
          <w:bCs w:val="0"/>
          <w:sz w:val="24"/>
          <w:szCs w:val="24"/>
        </w:rPr>
      </w:pPr>
    </w:p>
    <w:p w14:paraId="2F7A62E4">
      <w:pPr>
        <w:rPr>
          <w:rFonts w:hint="default" w:ascii="Times New Roman" w:hAnsi="Times New Roman" w:cs="Times New Roman"/>
          <w:b w:val="0"/>
          <w:bCs w:val="0"/>
          <w:sz w:val="24"/>
          <w:szCs w:val="24"/>
        </w:rPr>
      </w:pPr>
    </w:p>
    <w:p w14:paraId="6963CA4B">
      <w:pPr>
        <w:keepNext w:val="0"/>
        <w:keepLines w:val="0"/>
        <w:widowControl/>
        <w:numPr>
          <w:ilvl w:val="0"/>
          <w:numId w:val="0"/>
        </w:numPr>
        <w:suppressLineNumbers w:val="0"/>
        <w:spacing w:before="0" w:beforeAutospacing="1" w:after="0" w:afterAutospacing="1" w:line="360" w:lineRule="auto"/>
        <w:rPr>
          <w:rFonts w:hint="default" w:ascii="Times New Roman" w:hAnsi="Times New Roman" w:cs="Times New Roman"/>
          <w:b/>
          <w:bCs/>
          <w:sz w:val="24"/>
          <w:szCs w:val="24"/>
          <w:lang w:val="en-US"/>
        </w:rPr>
      </w:pPr>
      <w:r>
        <w:rPr>
          <w:rFonts w:hint="default" w:cs="Times New Roman"/>
          <w:sz w:val="22"/>
          <w:szCs w:val="22"/>
          <w:lang w:val="en-US"/>
        </w:rPr>
        <w:t xml:space="preserve">                                </w:t>
      </w:r>
      <w:r>
        <w:rPr>
          <w:rFonts w:hint="default" w:ascii="Times New Roman" w:hAnsi="Times New Roman" w:cs="Times New Roman"/>
          <w:b/>
          <w:bCs/>
          <w:sz w:val="24"/>
          <w:szCs w:val="24"/>
          <w:lang w:val="en-US"/>
        </w:rPr>
        <w:t xml:space="preserve">           </w:t>
      </w:r>
    </w:p>
    <w:p w14:paraId="3E581163">
      <w:pPr>
        <w:keepNext w:val="0"/>
        <w:keepLines w:val="0"/>
        <w:widowControl/>
        <w:numPr>
          <w:ilvl w:val="0"/>
          <w:numId w:val="0"/>
        </w:numPr>
        <w:suppressLineNumbers w:val="0"/>
        <w:spacing w:before="0" w:beforeAutospacing="1" w:after="0" w:afterAutospacing="1" w:line="360" w:lineRule="auto"/>
        <w:ind w:firstLine="2041" w:firstLineChars="850"/>
        <w:rPr>
          <w:rFonts w:hint="default" w:cs="Times New Roman"/>
          <w:sz w:val="24"/>
          <w:szCs w:val="24"/>
          <w:lang w:val="en-US"/>
        </w:rPr>
      </w:pPr>
      <w:r>
        <w:rPr>
          <w:rFonts w:hint="default" w:ascii="Times New Roman" w:hAnsi="Times New Roman" w:cs="Times New Roman"/>
          <w:b/>
          <w:bCs/>
          <w:sz w:val="24"/>
          <w:szCs w:val="24"/>
          <w:lang w:val="en-US"/>
        </w:rPr>
        <w:t xml:space="preserve">  Comparison between Linear and Circular Economy </w:t>
      </w:r>
    </w:p>
    <w:p w14:paraId="1AE15F38">
      <w:pPr>
        <w:keepNext w:val="0"/>
        <w:keepLines w:val="0"/>
        <w:widowControl/>
        <w:numPr>
          <w:ilvl w:val="0"/>
          <w:numId w:val="0"/>
        </w:numPr>
        <w:suppressLineNumbers w:val="0"/>
        <w:spacing w:before="0" w:beforeAutospacing="1" w:after="0" w:afterAutospacing="1" w:line="360" w:lineRule="auto"/>
        <w:rPr>
          <w:rFonts w:hint="default" w:cs="Times New Roman"/>
          <w:sz w:val="22"/>
          <w:szCs w:val="22"/>
          <w:lang w:val="en-US"/>
        </w:rPr>
      </w:pPr>
      <w:r>
        <w:rPr>
          <w:rFonts w:hint="default" w:cs="Times New Roman"/>
          <w:sz w:val="22"/>
          <w:szCs w:val="22"/>
          <w:lang w:val="en-US"/>
        </w:rPr>
        <w:t xml:space="preserve"> </w:t>
      </w:r>
      <w:r>
        <w:rPr>
          <w:rFonts w:hint="default" w:cs="Times New Roman"/>
          <w:b/>
          <w:bCs/>
          <w:sz w:val="22"/>
          <w:szCs w:val="22"/>
          <w:lang w:val="en-US"/>
        </w:rPr>
        <w:t xml:space="preserve">                    </w:t>
      </w:r>
      <w:r>
        <w:rPr>
          <w:rFonts w:hint="default" w:ascii="Times New Roman" w:hAnsi="Times New Roman" w:cs="Times New Roman"/>
          <w:b/>
          <w:bCs/>
          <w:sz w:val="24"/>
          <w:szCs w:val="24"/>
          <w:lang w:val="en-US"/>
        </w:rPr>
        <w:t xml:space="preserve"> Linear Economy - The take, make , use and dispose approach of production </w:t>
      </w:r>
    </w:p>
    <w:p w14:paraId="5EFA1EE7">
      <w:pPr>
        <w:pStyle w:val="13"/>
        <w:keepNext w:val="0"/>
        <w:keepLines w:val="0"/>
        <w:widowControl/>
        <w:suppressLineNumbers w:val="0"/>
        <w:spacing w:line="360" w:lineRule="auto"/>
        <w:outlineLvl w:val="9"/>
        <w:rPr>
          <w:rFonts w:hint="default" w:cs="Times New Roman"/>
          <w:b/>
          <w:bCs/>
          <w:sz w:val="24"/>
          <w:szCs w:val="24"/>
          <w:lang w:val="en-US"/>
        </w:rPr>
      </w:pPr>
      <w:r>
        <w:rPr>
          <w:rFonts w:hint="default" w:ascii="Times New Roman" w:hAnsi="Times New Roman" w:cs="Times New Roman"/>
          <w:sz w:val="22"/>
          <w:lang w:val="en-US"/>
        </w:rPr>
        <w:drawing>
          <wp:inline distT="0" distB="0" distL="114300" distR="114300">
            <wp:extent cx="6398895" cy="1097280"/>
            <wp:effectExtent l="6350" t="6350" r="10795" b="5461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Pr>
          <w:rFonts w:hint="default" w:cs="Times New Roman"/>
          <w:sz w:val="22"/>
          <w:lang w:val="en-US"/>
        </w:rPr>
        <w:t xml:space="preserve">       </w:t>
      </w:r>
      <w:r>
        <w:rPr>
          <w:rFonts w:hint="default" w:cs="Times New Roman"/>
          <w:b/>
          <w:bCs/>
          <w:sz w:val="24"/>
          <w:szCs w:val="24"/>
          <w:lang w:val="en-US"/>
        </w:rPr>
        <w:t xml:space="preserve">Source - Author’s own creation </w:t>
      </w:r>
    </w:p>
    <w:p w14:paraId="55A049D5">
      <w:pPr>
        <w:pStyle w:val="13"/>
        <w:keepNext w:val="0"/>
        <w:keepLines w:val="0"/>
        <w:widowControl/>
        <w:suppressLineNumbers w:val="0"/>
        <w:spacing w:line="360" w:lineRule="auto"/>
        <w:ind w:firstLine="1205" w:firstLineChars="500"/>
        <w:outlineLvl w:val="9"/>
        <w:rPr>
          <w:rFonts w:hint="default" w:cs="Times New Roman"/>
          <w:b/>
          <w:bCs/>
          <w:sz w:val="24"/>
          <w:szCs w:val="24"/>
          <w:lang w:val="en-US"/>
        </w:rPr>
      </w:pPr>
      <w:r>
        <w:rPr>
          <w:rFonts w:hint="default" w:cs="Times New Roman"/>
          <w:b/>
          <w:bCs/>
          <w:sz w:val="24"/>
          <w:szCs w:val="24"/>
          <w:lang w:val="en-US"/>
        </w:rPr>
        <w:t xml:space="preserve">The Circular Economy model : less raw material, less waste , fewer emissions </w:t>
      </w:r>
    </w:p>
    <w:p w14:paraId="3B1FE7F2">
      <w:pPr>
        <w:pStyle w:val="13"/>
        <w:keepNext w:val="0"/>
        <w:keepLines w:val="0"/>
        <w:widowControl/>
        <w:suppressLineNumbers w:val="0"/>
        <w:spacing w:line="360" w:lineRule="auto"/>
        <w:outlineLvl w:val="9"/>
        <w:rPr>
          <w:rFonts w:hint="default" w:ascii="Times New Roman" w:hAnsi="Times New Roman" w:cs="Times New Roman"/>
          <w:lang w:val="en-US"/>
        </w:rPr>
      </w:pPr>
      <w:r>
        <w:rPr>
          <w:rFonts w:hint="default" w:ascii="Times New Roman" w:hAnsi="Times New Roman" w:cs="Times New Roman"/>
          <w:lang w:val="en-US"/>
        </w:rPr>
        <w:drawing>
          <wp:inline distT="0" distB="0" distL="114300" distR="114300">
            <wp:extent cx="6569075" cy="5394960"/>
            <wp:effectExtent l="0" t="9525" r="0" b="514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76BE87A">
      <w:pPr>
        <w:pStyle w:val="13"/>
        <w:keepNext w:val="0"/>
        <w:keepLines w:val="0"/>
        <w:widowControl/>
        <w:suppressLineNumbers w:val="0"/>
        <w:spacing w:line="360" w:lineRule="auto"/>
        <w:outlineLvl w:val="9"/>
        <w:rPr>
          <w:rFonts w:hint="default" w:ascii="Times New Roman" w:hAnsi="Times New Roman" w:cs="Times New Roman"/>
          <w:b/>
          <w:bCs/>
          <w:lang w:val="en-US"/>
        </w:rPr>
      </w:pPr>
      <w:r>
        <w:rPr>
          <w:rFonts w:hint="default" w:cs="Times New Roman"/>
          <w:b/>
          <w:bCs/>
          <w:lang w:val="en-US"/>
        </w:rPr>
        <w:t>Source - Author’s own creation based on idea taken from European Parliament Research Service</w:t>
      </w:r>
    </w:p>
    <w:p w14:paraId="5D396285">
      <w:pPr>
        <w:keepNext w:val="0"/>
        <w:keepLines w:val="0"/>
        <w:widowControl/>
        <w:suppressLineNumbers w:val="0"/>
        <w:jc w:val="left"/>
        <w:rPr>
          <w:rFonts w:hint="default" w:ascii="Times New Roman" w:hAnsi="Times New Roman" w:eastAsia="SimSun" w:cs="Times New Roman"/>
          <w:b w:val="0"/>
          <w:bCs w:val="0"/>
          <w:sz w:val="22"/>
          <w:szCs w:val="22"/>
          <w:u w:val="none"/>
          <w:lang w:val="en-US"/>
        </w:rPr>
        <w:sectPr>
          <w:pgSz w:w="11906" w:h="16838"/>
          <w:pgMar w:top="720" w:right="720" w:bottom="720" w:left="720" w:header="720" w:footer="720" w:gutter="0"/>
          <w:cols w:space="720" w:num="1"/>
          <w:docGrid w:linePitch="360" w:charSpace="0"/>
        </w:sectPr>
      </w:pPr>
    </w:p>
    <w:p w14:paraId="6CD03BFB">
      <w:pPr>
        <w:pStyle w:val="13"/>
        <w:keepNext w:val="0"/>
        <w:keepLines w:val="0"/>
        <w:widowControl/>
        <w:suppressLineNumbers w:val="0"/>
        <w:rPr>
          <w:rFonts w:hint="default" w:cs="Times New Roman"/>
          <w:sz w:val="24"/>
          <w:szCs w:val="24"/>
          <w:lang w:val="en-US"/>
        </w:rPr>
      </w:pPr>
      <w:r>
        <w:rPr>
          <w:rFonts w:hint="default" w:cs="Times New Roman"/>
          <w:sz w:val="24"/>
          <w:szCs w:val="24"/>
          <w:lang w:val="en-US"/>
        </w:rPr>
        <w:t xml:space="preserve">                                  </w:t>
      </w:r>
    </w:p>
    <w:p w14:paraId="227129A8">
      <w:pPr>
        <w:pStyle w:val="13"/>
        <w:keepNext w:val="0"/>
        <w:keepLines w:val="0"/>
        <w:widowControl/>
        <w:suppressLineNumbers w:val="0"/>
        <w:ind w:firstLine="1800" w:firstLineChars="750"/>
        <w:rPr>
          <w:rFonts w:hint="default" w:ascii="Times New Roman" w:hAnsi="Times New Roman" w:eastAsia="SimSun" w:cs="Times New Roman"/>
          <w:b/>
          <w:bCs/>
          <w:sz w:val="24"/>
          <w:szCs w:val="24"/>
          <w:u w:val="none"/>
          <w:lang w:val="en-US"/>
        </w:rPr>
        <w:sectPr>
          <w:pgSz w:w="11906" w:h="16838"/>
          <w:pgMar w:top="720" w:right="720" w:bottom="720" w:left="720" w:header="720" w:footer="720" w:gutter="0"/>
          <w:cols w:space="720" w:num="1"/>
          <w:docGrid w:linePitch="360" w:charSpace="0"/>
        </w:sectPr>
      </w:pPr>
      <w:r>
        <w:rPr>
          <w:rFonts w:hint="default" w:ascii="Times New Roman" w:hAnsi="Times New Roman" w:cs="Times New Roman"/>
          <w:sz w:val="24"/>
          <w:szCs w:val="24"/>
        </w:rPr>
        <mc:AlternateContent>
          <mc:Choice Requires="wps">
            <w:drawing>
              <wp:anchor distT="0" distB="0" distL="114300" distR="114300" simplePos="0" relativeHeight="251662336" behindDoc="0" locked="0" layoutInCell="1" allowOverlap="1">
                <wp:simplePos x="0" y="0"/>
                <wp:positionH relativeFrom="column">
                  <wp:posOffset>71120</wp:posOffset>
                </wp:positionH>
                <wp:positionV relativeFrom="paragraph">
                  <wp:posOffset>278130</wp:posOffset>
                </wp:positionV>
                <wp:extent cx="6589395" cy="9037320"/>
                <wp:effectExtent l="4445" t="4445" r="5080" b="10795"/>
                <wp:wrapNone/>
                <wp:docPr id="14" name="Text Box 14"/>
                <wp:cNvGraphicFramePr/>
                <a:graphic xmlns:a="http://schemas.openxmlformats.org/drawingml/2006/main">
                  <a:graphicData uri="http://schemas.microsoft.com/office/word/2010/wordprocessingShape">
                    <wps:wsp>
                      <wps:cNvSpPr txBox="1"/>
                      <wps:spPr>
                        <a:xfrm>
                          <a:off x="1290955" y="1549400"/>
                          <a:ext cx="6589395" cy="903732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5CEDFD6E">
                            <w:pPr>
                              <w:pStyle w:val="13"/>
                              <w:keepNext w:val="0"/>
                              <w:keepLines w:val="0"/>
                              <w:widowControl/>
                              <w:suppressLineNumbers w:val="0"/>
                              <w:spacing w:line="360" w:lineRule="auto"/>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Reduce:Reduce Carbon Emissions by Controlling Sources of Pollution</w:t>
                            </w:r>
                          </w:p>
                          <w:p w14:paraId="287EF899">
                            <w:pPr>
                              <w:pStyle w:val="13"/>
                              <w:keepNext w:val="0"/>
                              <w:keepLines w:val="0"/>
                              <w:widowControl/>
                              <w:suppressLineNumbers w:val="0"/>
                              <w:spacing w:line="360" w:lineRule="auto"/>
                              <w:rPr>
                                <w:rFonts w:hint="default" w:ascii="Times New Roman" w:hAnsi="Times New Roman" w:cs="Times New Roman"/>
                                <w:b w:val="0"/>
                                <w:bCs w:val="0"/>
                                <w:sz w:val="24"/>
                                <w:szCs w:val="24"/>
                                <w:lang w:val="en-US"/>
                              </w:rPr>
                            </w:pPr>
                            <w:r>
                              <w:rPr>
                                <w:rFonts w:hint="default" w:ascii="Times New Roman" w:hAnsi="Times New Roman" w:cs="Times New Roman"/>
                                <w:sz w:val="24"/>
                                <w:szCs w:val="24"/>
                                <w:lang w:val="en-US"/>
                              </w:rPr>
                              <w:t>R</w:t>
                            </w:r>
                            <w:r>
                              <w:rPr>
                                <w:rFonts w:hint="default" w:ascii="Times New Roman" w:hAnsi="Times New Roman" w:cs="Times New Roman"/>
                                <w:sz w:val="24"/>
                                <w:szCs w:val="24"/>
                              </w:rPr>
                              <w:t>educing carbon emissions is crucial for tackling climate change, an</w:t>
                            </w:r>
                            <w:r>
                              <w:rPr>
                                <w:rFonts w:hint="default" w:ascii="Arial" w:hAnsi="Arial" w:cs="Arial"/>
                                <w:sz w:val="22"/>
                                <w:szCs w:val="22"/>
                              </w:rPr>
                              <w:t xml:space="preserve">d </w:t>
                            </w:r>
                            <w:r>
                              <w:rPr>
                                <w:rFonts w:hint="default" w:ascii="Times New Roman" w:hAnsi="Times New Roman" w:cs="Times New Roman"/>
                                <w:sz w:val="24"/>
                                <w:szCs w:val="24"/>
                              </w:rPr>
                              <w:t>one of the</w:t>
                            </w:r>
                            <w:r>
                              <w:rPr>
                                <w:rFonts w:hint="default" w:cs="Times New Roman"/>
                                <w:sz w:val="24"/>
                                <w:szCs w:val="24"/>
                                <w:lang w:val="en-US"/>
                              </w:rPr>
                              <w:t xml:space="preserve"> </w:t>
                            </w:r>
                            <w:r>
                              <w:rPr>
                                <w:rFonts w:hint="default" w:ascii="Times New Roman" w:hAnsi="Times New Roman" w:cs="Times New Roman"/>
                                <w:sz w:val="24"/>
                                <w:szCs w:val="24"/>
                              </w:rPr>
                              <w:t xml:space="preserve"> most effective strateg</w:t>
                            </w:r>
                            <w:r>
                              <w:rPr>
                                <w:rFonts w:hint="default" w:cs="Times New Roman"/>
                                <w:sz w:val="24"/>
                                <w:szCs w:val="24"/>
                                <w:lang w:val="en-US"/>
                              </w:rPr>
                              <w:t>y</w:t>
                            </w:r>
                            <w:r>
                              <w:rPr>
                                <w:rFonts w:hint="default" w:ascii="Times New Roman" w:hAnsi="Times New Roman" w:cs="Times New Roman"/>
                                <w:sz w:val="24"/>
                                <w:szCs w:val="24"/>
                              </w:rPr>
                              <w:t xml:space="preserve"> is controlling emissions at their source. B</w:t>
                            </w:r>
                            <w:r>
                              <w:rPr>
                                <w:rFonts w:hint="default" w:cs="Times New Roman"/>
                                <w:sz w:val="24"/>
                                <w:szCs w:val="24"/>
                                <w:lang w:val="en-US"/>
                              </w:rPr>
                              <w:t xml:space="preserve">y resort to </w:t>
                            </w:r>
                            <w:r>
                              <w:rPr>
                                <w:rFonts w:hint="default" w:ascii="Times New Roman" w:hAnsi="Times New Roman" w:cs="Times New Roman"/>
                                <w:sz w:val="24"/>
                                <w:szCs w:val="24"/>
                              </w:rPr>
                              <w:t xml:space="preserve"> cleaner technologies and effective resource management,  the release of greenhouse gases (GHGs) throughout manufacturing, energy production, and transportation</w:t>
                            </w:r>
                            <w:r>
                              <w:rPr>
                                <w:rFonts w:hint="default" w:cs="Times New Roman"/>
                                <w:sz w:val="24"/>
                                <w:szCs w:val="24"/>
                                <w:lang w:val="en-US"/>
                              </w:rPr>
                              <w:t xml:space="preserve"> can be reduced</w:t>
                            </w:r>
                            <w:r>
                              <w:rPr>
                                <w:rFonts w:hint="default" w:ascii="Times New Roman" w:hAnsi="Times New Roman" w:cs="Times New Roman"/>
                                <w:sz w:val="24"/>
                                <w:szCs w:val="24"/>
                              </w:rPr>
                              <w:t>. Though nations in South Asia such as India, Pakistan, Bangladesh, Sri Lanka, and Nepal have their own problems, they also have potential solutions in this regard.</w:t>
                            </w:r>
                            <w:r>
                              <w:rPr>
                                <w:rFonts w:hint="default" w:cs="Times New Roman"/>
                                <w:sz w:val="24"/>
                                <w:szCs w:val="24"/>
                                <w:lang w:val="en-US"/>
                              </w:rPr>
                              <w:t xml:space="preserve">                                                                                                                                                        </w:t>
                            </w:r>
                            <w:r>
                              <w:rPr>
                                <w:rFonts w:hint="default" w:ascii="Times New Roman" w:hAnsi="Times New Roman" w:cs="Times New Roman"/>
                                <w:b/>
                                <w:bCs/>
                                <w:sz w:val="24"/>
                                <w:szCs w:val="24"/>
                              </w:rPr>
                              <w:t>India: Renewable Energy Transformation</w:t>
                            </w:r>
                            <w:r>
                              <w:rPr>
                                <w:rFonts w:hint="default" w:ascii="Times New Roman" w:hAnsi="Times New Roman" w:cs="Times New Roman"/>
                                <w:b/>
                                <w:bCs/>
                                <w:sz w:val="24"/>
                                <w:szCs w:val="24"/>
                                <w:lang w:val="en-US"/>
                              </w:rPr>
                              <w:t>--</w:t>
                            </w:r>
                            <w:r>
                              <w:rPr>
                                <w:rFonts w:hint="default" w:ascii="Times New Roman" w:hAnsi="Times New Roman" w:cs="Times New Roman"/>
                                <w:sz w:val="24"/>
                                <w:szCs w:val="24"/>
                              </w:rPr>
                              <w:t xml:space="preserve">One of the biggest carbon emitters in the world, India is concentrating on renewable sources of energy to limit emissions. By 2030, the National Solar Mission, a daring initiative of the government, </w:t>
                            </w:r>
                            <w:r>
                              <w:rPr>
                                <w:rFonts w:hint="default" w:cs="Times New Roman"/>
                                <w:sz w:val="24"/>
                                <w:szCs w:val="24"/>
                                <w:lang w:val="en-US"/>
                              </w:rPr>
                              <w:t xml:space="preserve">aims to achieve </w:t>
                            </w:r>
                            <w:r>
                              <w:rPr>
                                <w:rFonts w:hint="default" w:ascii="Times New Roman" w:hAnsi="Times New Roman" w:cs="Times New Roman"/>
                                <w:sz w:val="24"/>
                                <w:szCs w:val="24"/>
                              </w:rPr>
                              <w:t xml:space="preserve">500 GW of energy </w:t>
                            </w:r>
                            <w:r>
                              <w:rPr>
                                <w:rFonts w:hint="default" w:cs="Times New Roman"/>
                                <w:sz w:val="24"/>
                                <w:szCs w:val="24"/>
                                <w:lang w:val="en-US"/>
                              </w:rPr>
                              <w:t>from non-</w:t>
                            </w:r>
                            <w:r>
                              <w:rPr>
                                <w:rFonts w:hint="default" w:ascii="Times New Roman" w:hAnsi="Times New Roman" w:cs="Times New Roman"/>
                                <w:sz w:val="24"/>
                                <w:szCs w:val="24"/>
                              </w:rPr>
                              <w:t xml:space="preserve"> fossil fuel</w:t>
                            </w:r>
                            <w:r>
                              <w:rPr>
                                <w:rFonts w:hint="default" w:cs="Times New Roman"/>
                                <w:sz w:val="24"/>
                                <w:szCs w:val="24"/>
                                <w:lang w:val="en-US"/>
                              </w:rPr>
                              <w:t xml:space="preserve"> sources.</w:t>
                            </w:r>
                            <w:r>
                              <w:rPr>
                                <w:rFonts w:hint="default" w:ascii="Times New Roman" w:hAnsi="Times New Roman" w:cs="Times New Roman"/>
                                <w:sz w:val="24"/>
                                <w:szCs w:val="24"/>
                              </w:rPr>
                              <w:t xml:space="preserve"> Encouragingly, companies are also asked to convert from coal-based power to renewable ones including wind and solar energy. Furthermore, driving energy efficiency in huge sectors is the adoption of the Perform, Achieve and Trade (PAT) System.</w:t>
                            </w:r>
                            <w:r>
                              <w:rPr>
                                <w:rFonts w:hint="default" w:cs="Times New Roman"/>
                                <w:sz w:val="24"/>
                                <w:szCs w:val="24"/>
                                <w:lang w:val="en-US"/>
                              </w:rPr>
                              <w:t xml:space="preserve">                                                                                     </w:t>
                            </w:r>
                            <w:r>
                              <w:rPr>
                                <w:rFonts w:hint="default" w:ascii="Times New Roman" w:hAnsi="Times New Roman" w:cs="Times New Roman"/>
                                <w:b/>
                                <w:bCs/>
                                <w:sz w:val="24"/>
                                <w:szCs w:val="24"/>
                              </w:rPr>
                              <w:t>Pakistan: Energy Industry Emissions Cut</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Primarily from natural gas, Pakistan depends mostly on fossil fuels for energy generation. Efforts to manage emissions at the source include projects such as the Ten Billion Tree Tsunami Initiative and more funding in hydropower and solar energy. The National Electric Vehicle Policy (NEVP) of the government is also helping to encourage the use of electric cars</w:t>
                            </w:r>
                            <w:r>
                              <w:rPr>
                                <w:rFonts w:hint="default" w:cs="Times New Roman"/>
                                <w:b w:val="0"/>
                                <w:bCs w:val="0"/>
                                <w:sz w:val="24"/>
                                <w:szCs w:val="24"/>
                                <w:lang w:val="en-US"/>
                              </w:rPr>
                              <w:t xml:space="preserve"> and cut emissions from transport sector</w:t>
                            </w:r>
                            <w:r>
                              <w:rPr>
                                <w:rFonts w:hint="default" w:ascii="Times New Roman" w:hAnsi="Times New Roman" w:cs="Times New Roman"/>
                                <w:b w:val="0"/>
                                <w:bCs w:val="0"/>
                                <w:sz w:val="24"/>
                                <w:szCs w:val="24"/>
                              </w:rPr>
                              <w:t xml:space="preserve"> </w:t>
                            </w:r>
                            <w:r>
                              <w:rPr>
                                <w:rFonts w:hint="default" w:cs="Times New Roman"/>
                                <w:b w:val="0"/>
                                <w:bCs w:val="0"/>
                                <w:sz w:val="24"/>
                                <w:szCs w:val="24"/>
                                <w:lang w:val="en-US"/>
                              </w:rPr>
                              <w:t>.</w:t>
                            </w:r>
                            <w:r>
                              <w:rPr>
                                <w:rFonts w:hint="default" w:ascii="Times New Roman" w:hAnsi="Times New Roman" w:cs="Times New Roman"/>
                                <w:b w:val="0"/>
                                <w:bCs w:val="0"/>
                                <w:sz w:val="24"/>
                                <w:szCs w:val="24"/>
                                <w:lang w:val="en-US"/>
                              </w:rPr>
                              <w:t xml:space="preserve">                                                                                                                                        </w:t>
                            </w:r>
                            <w:r>
                              <w:rPr>
                                <w:rFonts w:hint="default" w:cs="Times New Roman"/>
                                <w:b w:val="0"/>
                                <w:bCs w:val="0"/>
                                <w:sz w:val="24"/>
                                <w:szCs w:val="24"/>
                                <w:lang w:val="en-US"/>
                              </w:rPr>
                              <w:t xml:space="preserve"> </w:t>
                            </w:r>
                            <w:r>
                              <w:rPr>
                                <w:rFonts w:hint="default" w:ascii="Times New Roman" w:hAnsi="Times New Roman" w:cs="Times New Roman"/>
                                <w:b w:val="0"/>
                                <w:bCs w:val="0"/>
                                <w:sz w:val="24"/>
                                <w:szCs w:val="24"/>
                                <w:lang w:val="en-US"/>
                              </w:rPr>
                              <w:t xml:space="preserve"> </w:t>
                            </w:r>
                            <w:r>
                              <w:rPr>
                                <w:rFonts w:hint="default" w:ascii="Times New Roman" w:hAnsi="Times New Roman" w:cs="Times New Roman"/>
                                <w:b/>
                                <w:bCs/>
                                <w:sz w:val="24"/>
                                <w:szCs w:val="24"/>
                              </w:rPr>
                              <w:t>Bangladesh: More Environmentally Friendly Textile Production</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 xml:space="preserve">Moreover, a significant source of carbon emissions, the textile and </w:t>
                            </w:r>
                            <w:r>
                              <w:rPr>
                                <w:rFonts w:hint="default" w:ascii="Times New Roman" w:hAnsi="Times New Roman" w:cs="Times New Roman"/>
                                <w:b w:val="0"/>
                                <w:bCs w:val="0"/>
                                <w:sz w:val="24"/>
                                <w:szCs w:val="24"/>
                                <w:lang w:val="en-US"/>
                              </w:rPr>
                              <w:t xml:space="preserve">garment </w:t>
                            </w:r>
                            <w:r>
                              <w:rPr>
                                <w:rFonts w:hint="default" w:ascii="Times New Roman" w:hAnsi="Times New Roman" w:cs="Times New Roman"/>
                                <w:b w:val="0"/>
                                <w:bCs w:val="0"/>
                                <w:sz w:val="24"/>
                                <w:szCs w:val="24"/>
                              </w:rPr>
                              <w:t>industry</w:t>
                            </w:r>
                            <w:r>
                              <w:rPr>
                                <w:rFonts w:hint="default" w:ascii="Times New Roman" w:hAnsi="Times New Roman" w:cs="Times New Roman"/>
                                <w:sz w:val="24"/>
                                <w:szCs w:val="24"/>
                              </w:rPr>
                              <w:t xml:space="preserve"> </w:t>
                            </w:r>
                            <w:r>
                              <w:rPr>
                                <w:rFonts w:hint="default" w:ascii="Times New Roman" w:hAnsi="Times New Roman" w:cs="Times New Roman"/>
                                <w:b w:val="0"/>
                                <w:bCs w:val="0"/>
                                <w:sz w:val="24"/>
                                <w:szCs w:val="24"/>
                              </w:rPr>
                              <w:t>in Bangladesh significantly helps the economy. By using solar-powered factories and energy-efficient equipment, governments and businesses are collaborating to lower emissions. The Bangladesh Green Growth Strategy urges industries to adopt cleaner production methods,</w:t>
                            </w:r>
                            <w:r>
                              <w:rPr>
                                <w:rFonts w:hint="default" w:cs="Times New Roman"/>
                                <w:b w:val="0"/>
                                <w:bCs w:val="0"/>
                                <w:sz w:val="24"/>
                                <w:szCs w:val="24"/>
                                <w:lang w:val="en-US"/>
                              </w:rPr>
                              <w:t xml:space="preserve"> provide subsidies for Zero Liquid Discharge </w:t>
                            </w:r>
                            <w:r>
                              <w:rPr>
                                <w:rFonts w:hint="default" w:ascii="Times New Roman" w:hAnsi="Times New Roman" w:cs="Times New Roman"/>
                                <w:b w:val="0"/>
                                <w:bCs w:val="0"/>
                                <w:sz w:val="24"/>
                                <w:szCs w:val="24"/>
                              </w:rPr>
                              <w:t xml:space="preserve"> hence reducing their carbon emissions at the origin.</w:t>
                            </w:r>
                            <w:r>
                              <w:rPr>
                                <w:rFonts w:hint="default" w:cs="Times New Roman"/>
                                <w:b w:val="0"/>
                                <w:bCs w:val="0"/>
                                <w:sz w:val="24"/>
                                <w:szCs w:val="24"/>
                                <w:lang w:val="en-US"/>
                              </w:rPr>
                              <w:t xml:space="preserve">                                                                                                                              </w:t>
                            </w:r>
                            <w:r>
                              <w:rPr>
                                <w:rFonts w:hint="default" w:ascii="Times New Roman" w:hAnsi="Times New Roman" w:cs="Times New Roman"/>
                                <w:b/>
                                <w:bCs/>
                                <w:sz w:val="24"/>
                                <w:szCs w:val="24"/>
                              </w:rPr>
                              <w:t>Sri Lanka: Energy and Transportation Sustainability</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Investing in hydropower and wind energy helps Sri Lanka lower its dependence o</w:t>
                            </w:r>
                            <w:r>
                              <w:rPr>
                                <w:rFonts w:hint="default" w:ascii="Times New Roman" w:hAnsi="Times New Roman" w:cs="Times New Roman"/>
                                <w:sz w:val="24"/>
                                <w:szCs w:val="24"/>
                              </w:rPr>
                              <w:t xml:space="preserve">n </w:t>
                            </w:r>
                            <w:r>
                              <w:rPr>
                                <w:rFonts w:hint="default" w:ascii="Times New Roman" w:hAnsi="Times New Roman" w:cs="Times New Roman"/>
                                <w:b w:val="0"/>
                                <w:bCs w:val="0"/>
                                <w:sz w:val="24"/>
                                <w:szCs w:val="24"/>
                              </w:rPr>
                              <w:t>fossil fuels. Policy incentives encouraging electric vehicles have been introduced by the country, which is also actively replacing fossil fuel-dependent transportation</w:t>
                            </w:r>
                            <w:r>
                              <w:rPr>
                                <w:rFonts w:hint="default" w:cs="Times New Roman"/>
                                <w:b w:val="0"/>
                                <w:bCs w:val="0"/>
                                <w:sz w:val="24"/>
                                <w:szCs w:val="24"/>
                                <w:lang w:val="en-US"/>
                              </w:rPr>
                              <w:t xml:space="preserve"> with initiavtives like “Soorvya Bala Sangramaya”</w:t>
                            </w:r>
                            <w:r>
                              <w:rPr>
                                <w:rFonts w:hint="default" w:ascii="Times New Roman" w:hAnsi="Times New Roman" w:cs="Times New Roman"/>
                                <w:b w:val="0"/>
                                <w:bCs w:val="0"/>
                                <w:sz w:val="24"/>
                                <w:szCs w:val="24"/>
                              </w:rPr>
                              <w:t>. By encouraging public transportation over personal vehicles, Colombo's Bus Rapid Transit (BRT) system helps lower vehicle emissions.</w:t>
                            </w:r>
                            <w:r>
                              <w:rPr>
                                <w:rFonts w:hint="default" w:cs="Times New Roman"/>
                                <w:b w:val="0"/>
                                <w:bCs w:val="0"/>
                                <w:sz w:val="24"/>
                                <w:szCs w:val="24"/>
                                <w:lang w:val="en-US"/>
                              </w:rPr>
                              <w:t xml:space="preserve">                                                                                  </w:t>
                            </w:r>
                            <w:r>
                              <w:rPr>
                                <w:rFonts w:hint="default" w:ascii="Times New Roman" w:hAnsi="Times New Roman" w:cs="Times New Roman"/>
                                <w:b/>
                                <w:bCs/>
                                <w:sz w:val="24"/>
                                <w:szCs w:val="24"/>
                              </w:rPr>
                              <w:t>Nepal: Hydropower a Resolution</w:t>
                            </w:r>
                            <w:r>
                              <w:rPr>
                                <w:rFonts w:hint="default" w:ascii="Times New Roman" w:hAnsi="Times New Roman" w:cs="Times New Roman"/>
                                <w:sz w:val="24"/>
                                <w:szCs w:val="24"/>
                                <w:lang w:val="en-US"/>
                              </w:rPr>
                              <w:t xml:space="preserve"> -</w:t>
                            </w:r>
                            <w:r>
                              <w:rPr>
                                <w:rFonts w:hint="default" w:ascii="Times New Roman" w:hAnsi="Times New Roman" w:cs="Times New Roman"/>
                                <w:b w:val="0"/>
                                <w:bCs w:val="0"/>
                                <w:sz w:val="24"/>
                                <w:szCs w:val="24"/>
                                <w:lang w:val="en-US"/>
                              </w:rPr>
                              <w:t>-Ne</w:t>
                            </w:r>
                            <w:r>
                              <w:rPr>
                                <w:rFonts w:hint="default" w:ascii="Times New Roman" w:hAnsi="Times New Roman" w:cs="Times New Roman"/>
                                <w:b w:val="0"/>
                                <w:bCs w:val="0"/>
                                <w:sz w:val="24"/>
                                <w:szCs w:val="24"/>
                              </w:rPr>
                              <w:t>pal has been concentrating on hydropower to reduce its reliance on fossil fuels given its great water resources</w:t>
                            </w:r>
                            <w:r>
                              <w:rPr>
                                <w:rFonts w:hint="default" w:cs="Times New Roman"/>
                                <w:b w:val="0"/>
                                <w:bCs w:val="0"/>
                                <w:sz w:val="24"/>
                                <w:szCs w:val="24"/>
                                <w:lang w:val="en-US"/>
                              </w:rPr>
                              <w:t xml:space="preserve"> which helps to meet its climate commitment under the Paris Agreement</w:t>
                            </w:r>
                            <w:r>
                              <w:rPr>
                                <w:rFonts w:hint="default" w:ascii="Times New Roman" w:hAnsi="Times New Roman" w:cs="Times New Roman"/>
                                <w:b w:val="0"/>
                                <w:bCs w:val="0"/>
                                <w:sz w:val="24"/>
                                <w:szCs w:val="24"/>
                              </w:rPr>
                              <w:t>. Furthermore, the government is supporting electric public transportation and electric cooking stoves to help even more limit source-originating carbon emissio</w:t>
                            </w:r>
                            <w:r>
                              <w:rPr>
                                <w:rFonts w:hint="default" w:ascii="Times New Roman" w:hAnsi="Times New Roman" w:cs="Times New Roman"/>
                                <w:b w:val="0"/>
                                <w:bCs w:val="0"/>
                                <w:sz w:val="24"/>
                                <w:szCs w:val="24"/>
                                <w:lang w:val="en-US"/>
                              </w:rPr>
                              <w:t>ns.</w:t>
                            </w:r>
                          </w:p>
                          <w:p w14:paraId="71FC7A92">
                            <w:pPr>
                              <w:spacing w:line="360" w:lineRule="auto"/>
                              <w:rPr>
                                <w:rFonts w:hint="default" w:ascii="Times New Roman" w:hAnsi="Times New Roman" w:cs="Times New Roman"/>
                                <w:b w:val="0"/>
                                <w:bCs w:val="0"/>
                                <w:sz w:val="24"/>
                                <w:szCs w:val="24"/>
                                <w:lang w:val="en-US"/>
                              </w:rPr>
                            </w:pPr>
                          </w:p>
                          <w:p w14:paraId="24834733">
                            <w:pPr>
                              <w:spacing w:line="360" w:lineRule="auto"/>
                              <w:rPr>
                                <w:rFonts w:hint="default" w:ascii="Times New Roman" w:hAnsi="Times New Roman" w:cs="Times New Roman"/>
                                <w:b w:val="0"/>
                                <w:bCs w:val="0"/>
                                <w:sz w:val="24"/>
                                <w:szCs w:val="24"/>
                                <w:lang w:val="en-US"/>
                              </w:rPr>
                            </w:pPr>
                            <w:r>
                              <w:rPr>
                                <w:rFonts w:hint="default" w:ascii="Times New Roman" w:hAnsi="Times New Roman" w:eastAsia="SimSun" w:cs="Times New Roman"/>
                                <w:sz w:val="24"/>
                                <w:szCs w:val="24"/>
                              </w:rPr>
                              <w:t>A crucial part of slowing down climate change is managing carbon emissions at their source. South Asian nations are pursuing different strategies including renewable energy expansion, more... Although obstacles remain, policy-driven solutions and regional cooperation can greatly improve initiatives meant to effectively reduce emissions by means of coordinated regional efforts</w:t>
                            </w:r>
                            <w:r>
                              <w:rPr>
                                <w:rFonts w:hint="default" w:ascii="Times New Roman" w:hAnsi="Times New Roman" w:eastAsia="SimSun" w:cs="Times New Roman"/>
                                <w:sz w:val="24"/>
                                <w:szCs w:val="24"/>
                                <w:lang w:val="en-US"/>
                              </w:rPr>
                              <w:t>.</w:t>
                            </w:r>
                          </w:p>
                          <w:p w14:paraId="4CFE5EBA">
                            <w:pPr>
                              <w:spacing w:line="360" w:lineRule="auto"/>
                            </w:pPr>
                          </w:p>
                        </w:txbxContent>
                      </wps:txbx>
                      <wps:bodyPr rot="0" spcFirstLastPara="0" vertOverflow="overflow" horzOverflow="overflow" vert="horz" wrap="square" lIns="91440" tIns="45720" rIns="91440" bIns="4572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5.6pt;margin-top:21.9pt;height:711.6pt;width:518.85pt;z-index:251662336;mso-width-relative:page;mso-height-relative:page;" fillcolor="#FFFFFF [3201]" filled="t" stroked="t" coordsize="21600,21600" o:gfxdata="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t0h7A9gAAAAL&#10;AQAADwAAAAAAAAABACAAAAAiAAAAZHJzL2Rvd25yZXYueG1sUEsBAhQAFAAAAAgAh07iQH+qKvZV&#10;AgAA0gQAAA4AAAAAAAAAAQAgAAAAJwEAAGRycy9lMm9Eb2MueG1sUEsFBgAAAAAGAAYAWQEAAO4F&#10;AAAAAA==&#10;">
                <v:fill on="t" focussize="0,0"/>
                <v:stroke weight="0.5pt" color="#FFFFFF [3212]" joinstyle="round"/>
                <v:imagedata o:title=""/>
                <o:lock v:ext="edit" aspectratio="f"/>
                <v:textbox>
                  <w:txbxContent>
                    <w:p w14:paraId="5CEDFD6E">
                      <w:pPr>
                        <w:pStyle w:val="13"/>
                        <w:keepNext w:val="0"/>
                        <w:keepLines w:val="0"/>
                        <w:widowControl/>
                        <w:suppressLineNumbers w:val="0"/>
                        <w:spacing w:line="360" w:lineRule="auto"/>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Reduce:Reduce Carbon Emissions by Controlling Sources of Pollution</w:t>
                      </w:r>
                    </w:p>
                    <w:p w14:paraId="287EF899">
                      <w:pPr>
                        <w:pStyle w:val="13"/>
                        <w:keepNext w:val="0"/>
                        <w:keepLines w:val="0"/>
                        <w:widowControl/>
                        <w:suppressLineNumbers w:val="0"/>
                        <w:spacing w:line="360" w:lineRule="auto"/>
                        <w:rPr>
                          <w:rFonts w:hint="default" w:ascii="Times New Roman" w:hAnsi="Times New Roman" w:cs="Times New Roman"/>
                          <w:b w:val="0"/>
                          <w:bCs w:val="0"/>
                          <w:sz w:val="24"/>
                          <w:szCs w:val="24"/>
                          <w:lang w:val="en-US"/>
                        </w:rPr>
                      </w:pPr>
                      <w:r>
                        <w:rPr>
                          <w:rFonts w:hint="default" w:ascii="Times New Roman" w:hAnsi="Times New Roman" w:cs="Times New Roman"/>
                          <w:sz w:val="24"/>
                          <w:szCs w:val="24"/>
                          <w:lang w:val="en-US"/>
                        </w:rPr>
                        <w:t>R</w:t>
                      </w:r>
                      <w:r>
                        <w:rPr>
                          <w:rFonts w:hint="default" w:ascii="Times New Roman" w:hAnsi="Times New Roman" w:cs="Times New Roman"/>
                          <w:sz w:val="24"/>
                          <w:szCs w:val="24"/>
                        </w:rPr>
                        <w:t>educing carbon emissions is crucial for tackling climate change, an</w:t>
                      </w:r>
                      <w:r>
                        <w:rPr>
                          <w:rFonts w:hint="default" w:ascii="Arial" w:hAnsi="Arial" w:cs="Arial"/>
                          <w:sz w:val="22"/>
                          <w:szCs w:val="22"/>
                        </w:rPr>
                        <w:t xml:space="preserve">d </w:t>
                      </w:r>
                      <w:r>
                        <w:rPr>
                          <w:rFonts w:hint="default" w:ascii="Times New Roman" w:hAnsi="Times New Roman" w:cs="Times New Roman"/>
                          <w:sz w:val="24"/>
                          <w:szCs w:val="24"/>
                        </w:rPr>
                        <w:t>one of the</w:t>
                      </w:r>
                      <w:r>
                        <w:rPr>
                          <w:rFonts w:hint="default" w:cs="Times New Roman"/>
                          <w:sz w:val="24"/>
                          <w:szCs w:val="24"/>
                          <w:lang w:val="en-US"/>
                        </w:rPr>
                        <w:t xml:space="preserve"> </w:t>
                      </w:r>
                      <w:r>
                        <w:rPr>
                          <w:rFonts w:hint="default" w:ascii="Times New Roman" w:hAnsi="Times New Roman" w:cs="Times New Roman"/>
                          <w:sz w:val="24"/>
                          <w:szCs w:val="24"/>
                        </w:rPr>
                        <w:t xml:space="preserve"> most effective strateg</w:t>
                      </w:r>
                      <w:r>
                        <w:rPr>
                          <w:rFonts w:hint="default" w:cs="Times New Roman"/>
                          <w:sz w:val="24"/>
                          <w:szCs w:val="24"/>
                          <w:lang w:val="en-US"/>
                        </w:rPr>
                        <w:t>y</w:t>
                      </w:r>
                      <w:r>
                        <w:rPr>
                          <w:rFonts w:hint="default" w:ascii="Times New Roman" w:hAnsi="Times New Roman" w:cs="Times New Roman"/>
                          <w:sz w:val="24"/>
                          <w:szCs w:val="24"/>
                        </w:rPr>
                        <w:t xml:space="preserve"> is controlling emissions at their source. B</w:t>
                      </w:r>
                      <w:r>
                        <w:rPr>
                          <w:rFonts w:hint="default" w:cs="Times New Roman"/>
                          <w:sz w:val="24"/>
                          <w:szCs w:val="24"/>
                          <w:lang w:val="en-US"/>
                        </w:rPr>
                        <w:t xml:space="preserve">y resort to </w:t>
                      </w:r>
                      <w:r>
                        <w:rPr>
                          <w:rFonts w:hint="default" w:ascii="Times New Roman" w:hAnsi="Times New Roman" w:cs="Times New Roman"/>
                          <w:sz w:val="24"/>
                          <w:szCs w:val="24"/>
                        </w:rPr>
                        <w:t xml:space="preserve"> cleaner technologies and effective resource management,  the release of greenhouse gases (GHGs) throughout manufacturing, energy production, and transportation</w:t>
                      </w:r>
                      <w:r>
                        <w:rPr>
                          <w:rFonts w:hint="default" w:cs="Times New Roman"/>
                          <w:sz w:val="24"/>
                          <w:szCs w:val="24"/>
                          <w:lang w:val="en-US"/>
                        </w:rPr>
                        <w:t xml:space="preserve"> can be reduced</w:t>
                      </w:r>
                      <w:r>
                        <w:rPr>
                          <w:rFonts w:hint="default" w:ascii="Times New Roman" w:hAnsi="Times New Roman" w:cs="Times New Roman"/>
                          <w:sz w:val="24"/>
                          <w:szCs w:val="24"/>
                        </w:rPr>
                        <w:t>. Though nations in South Asia such as India, Pakistan, Bangladesh, Sri Lanka, and Nepal have their own problems, they also have potential solutions in this regard.</w:t>
                      </w:r>
                      <w:r>
                        <w:rPr>
                          <w:rFonts w:hint="default" w:cs="Times New Roman"/>
                          <w:sz w:val="24"/>
                          <w:szCs w:val="24"/>
                          <w:lang w:val="en-US"/>
                        </w:rPr>
                        <w:t xml:space="preserve">                                                                                                                                                        </w:t>
                      </w:r>
                      <w:r>
                        <w:rPr>
                          <w:rFonts w:hint="default" w:ascii="Times New Roman" w:hAnsi="Times New Roman" w:cs="Times New Roman"/>
                          <w:b/>
                          <w:bCs/>
                          <w:sz w:val="24"/>
                          <w:szCs w:val="24"/>
                        </w:rPr>
                        <w:t>India: Renewable Energy Transformation</w:t>
                      </w:r>
                      <w:r>
                        <w:rPr>
                          <w:rFonts w:hint="default" w:ascii="Times New Roman" w:hAnsi="Times New Roman" w:cs="Times New Roman"/>
                          <w:b/>
                          <w:bCs/>
                          <w:sz w:val="24"/>
                          <w:szCs w:val="24"/>
                          <w:lang w:val="en-US"/>
                        </w:rPr>
                        <w:t>--</w:t>
                      </w:r>
                      <w:r>
                        <w:rPr>
                          <w:rFonts w:hint="default" w:ascii="Times New Roman" w:hAnsi="Times New Roman" w:cs="Times New Roman"/>
                          <w:sz w:val="24"/>
                          <w:szCs w:val="24"/>
                        </w:rPr>
                        <w:t xml:space="preserve">One of the biggest carbon emitters in the world, India is concentrating on renewable sources of energy to limit emissions. By 2030, the National Solar Mission, a daring initiative of the government, </w:t>
                      </w:r>
                      <w:r>
                        <w:rPr>
                          <w:rFonts w:hint="default" w:cs="Times New Roman"/>
                          <w:sz w:val="24"/>
                          <w:szCs w:val="24"/>
                          <w:lang w:val="en-US"/>
                        </w:rPr>
                        <w:t xml:space="preserve">aims to achieve </w:t>
                      </w:r>
                      <w:r>
                        <w:rPr>
                          <w:rFonts w:hint="default" w:ascii="Times New Roman" w:hAnsi="Times New Roman" w:cs="Times New Roman"/>
                          <w:sz w:val="24"/>
                          <w:szCs w:val="24"/>
                        </w:rPr>
                        <w:t xml:space="preserve">500 GW of energy </w:t>
                      </w:r>
                      <w:r>
                        <w:rPr>
                          <w:rFonts w:hint="default" w:cs="Times New Roman"/>
                          <w:sz w:val="24"/>
                          <w:szCs w:val="24"/>
                          <w:lang w:val="en-US"/>
                        </w:rPr>
                        <w:t>from non-</w:t>
                      </w:r>
                      <w:r>
                        <w:rPr>
                          <w:rFonts w:hint="default" w:ascii="Times New Roman" w:hAnsi="Times New Roman" w:cs="Times New Roman"/>
                          <w:sz w:val="24"/>
                          <w:szCs w:val="24"/>
                        </w:rPr>
                        <w:t xml:space="preserve"> fossil fuel</w:t>
                      </w:r>
                      <w:r>
                        <w:rPr>
                          <w:rFonts w:hint="default" w:cs="Times New Roman"/>
                          <w:sz w:val="24"/>
                          <w:szCs w:val="24"/>
                          <w:lang w:val="en-US"/>
                        </w:rPr>
                        <w:t xml:space="preserve"> sources.</w:t>
                      </w:r>
                      <w:r>
                        <w:rPr>
                          <w:rFonts w:hint="default" w:ascii="Times New Roman" w:hAnsi="Times New Roman" w:cs="Times New Roman"/>
                          <w:sz w:val="24"/>
                          <w:szCs w:val="24"/>
                        </w:rPr>
                        <w:t xml:space="preserve"> Encouragingly, companies are also asked to convert from coal-based power to renewable ones including wind and solar energy. Furthermore, driving energy efficiency in huge sectors is the adoption of the Perform, Achieve and Trade (PAT) System.</w:t>
                      </w:r>
                      <w:r>
                        <w:rPr>
                          <w:rFonts w:hint="default" w:cs="Times New Roman"/>
                          <w:sz w:val="24"/>
                          <w:szCs w:val="24"/>
                          <w:lang w:val="en-US"/>
                        </w:rPr>
                        <w:t xml:space="preserve">                                                                                     </w:t>
                      </w:r>
                      <w:r>
                        <w:rPr>
                          <w:rFonts w:hint="default" w:ascii="Times New Roman" w:hAnsi="Times New Roman" w:cs="Times New Roman"/>
                          <w:b/>
                          <w:bCs/>
                          <w:sz w:val="24"/>
                          <w:szCs w:val="24"/>
                        </w:rPr>
                        <w:t>Pakistan: Energy Industry Emissions Cut</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Primarily from natural gas, Pakistan depends mostly on fossil fuels for energy generation. Efforts to manage emissions at the source include projects such as the Ten Billion Tree Tsunami Initiative and more funding in hydropower and solar energy. The National Electric Vehicle Policy (NEVP) of the government is also helping to encourage the use of electric cars</w:t>
                      </w:r>
                      <w:r>
                        <w:rPr>
                          <w:rFonts w:hint="default" w:cs="Times New Roman"/>
                          <w:b w:val="0"/>
                          <w:bCs w:val="0"/>
                          <w:sz w:val="24"/>
                          <w:szCs w:val="24"/>
                          <w:lang w:val="en-US"/>
                        </w:rPr>
                        <w:t xml:space="preserve"> and cut emissions from transport sector</w:t>
                      </w:r>
                      <w:r>
                        <w:rPr>
                          <w:rFonts w:hint="default" w:ascii="Times New Roman" w:hAnsi="Times New Roman" w:cs="Times New Roman"/>
                          <w:b w:val="0"/>
                          <w:bCs w:val="0"/>
                          <w:sz w:val="24"/>
                          <w:szCs w:val="24"/>
                        </w:rPr>
                        <w:t xml:space="preserve"> </w:t>
                      </w:r>
                      <w:r>
                        <w:rPr>
                          <w:rFonts w:hint="default" w:cs="Times New Roman"/>
                          <w:b w:val="0"/>
                          <w:bCs w:val="0"/>
                          <w:sz w:val="24"/>
                          <w:szCs w:val="24"/>
                          <w:lang w:val="en-US"/>
                        </w:rPr>
                        <w:t>.</w:t>
                      </w:r>
                      <w:r>
                        <w:rPr>
                          <w:rFonts w:hint="default" w:ascii="Times New Roman" w:hAnsi="Times New Roman" w:cs="Times New Roman"/>
                          <w:b w:val="0"/>
                          <w:bCs w:val="0"/>
                          <w:sz w:val="24"/>
                          <w:szCs w:val="24"/>
                          <w:lang w:val="en-US"/>
                        </w:rPr>
                        <w:t xml:space="preserve">                                                                                                                                        </w:t>
                      </w:r>
                      <w:r>
                        <w:rPr>
                          <w:rFonts w:hint="default" w:cs="Times New Roman"/>
                          <w:b w:val="0"/>
                          <w:bCs w:val="0"/>
                          <w:sz w:val="24"/>
                          <w:szCs w:val="24"/>
                          <w:lang w:val="en-US"/>
                        </w:rPr>
                        <w:t xml:space="preserve"> </w:t>
                      </w:r>
                      <w:r>
                        <w:rPr>
                          <w:rFonts w:hint="default" w:ascii="Times New Roman" w:hAnsi="Times New Roman" w:cs="Times New Roman"/>
                          <w:b w:val="0"/>
                          <w:bCs w:val="0"/>
                          <w:sz w:val="24"/>
                          <w:szCs w:val="24"/>
                          <w:lang w:val="en-US"/>
                        </w:rPr>
                        <w:t xml:space="preserve"> </w:t>
                      </w:r>
                      <w:r>
                        <w:rPr>
                          <w:rFonts w:hint="default" w:ascii="Times New Roman" w:hAnsi="Times New Roman" w:cs="Times New Roman"/>
                          <w:b/>
                          <w:bCs/>
                          <w:sz w:val="24"/>
                          <w:szCs w:val="24"/>
                        </w:rPr>
                        <w:t>Bangladesh: More Environmentally Friendly Textile Production</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 xml:space="preserve">Moreover, a significant source of carbon emissions, the textile and </w:t>
                      </w:r>
                      <w:r>
                        <w:rPr>
                          <w:rFonts w:hint="default" w:ascii="Times New Roman" w:hAnsi="Times New Roman" w:cs="Times New Roman"/>
                          <w:b w:val="0"/>
                          <w:bCs w:val="0"/>
                          <w:sz w:val="24"/>
                          <w:szCs w:val="24"/>
                          <w:lang w:val="en-US"/>
                        </w:rPr>
                        <w:t xml:space="preserve">garment </w:t>
                      </w:r>
                      <w:r>
                        <w:rPr>
                          <w:rFonts w:hint="default" w:ascii="Times New Roman" w:hAnsi="Times New Roman" w:cs="Times New Roman"/>
                          <w:b w:val="0"/>
                          <w:bCs w:val="0"/>
                          <w:sz w:val="24"/>
                          <w:szCs w:val="24"/>
                        </w:rPr>
                        <w:t>industry</w:t>
                      </w:r>
                      <w:r>
                        <w:rPr>
                          <w:rFonts w:hint="default" w:ascii="Times New Roman" w:hAnsi="Times New Roman" w:cs="Times New Roman"/>
                          <w:sz w:val="24"/>
                          <w:szCs w:val="24"/>
                        </w:rPr>
                        <w:t xml:space="preserve"> </w:t>
                      </w:r>
                      <w:r>
                        <w:rPr>
                          <w:rFonts w:hint="default" w:ascii="Times New Roman" w:hAnsi="Times New Roman" w:cs="Times New Roman"/>
                          <w:b w:val="0"/>
                          <w:bCs w:val="0"/>
                          <w:sz w:val="24"/>
                          <w:szCs w:val="24"/>
                        </w:rPr>
                        <w:t>in Bangladesh significantly helps the economy. By using solar-powered factories and energy-efficient equipment, governments and businesses are collaborating to lower emissions. The Bangladesh Green Growth Strategy urges industries to adopt cleaner production methods,</w:t>
                      </w:r>
                      <w:r>
                        <w:rPr>
                          <w:rFonts w:hint="default" w:cs="Times New Roman"/>
                          <w:b w:val="0"/>
                          <w:bCs w:val="0"/>
                          <w:sz w:val="24"/>
                          <w:szCs w:val="24"/>
                          <w:lang w:val="en-US"/>
                        </w:rPr>
                        <w:t xml:space="preserve"> provide subsidies for Zero Liquid Discharge </w:t>
                      </w:r>
                      <w:r>
                        <w:rPr>
                          <w:rFonts w:hint="default" w:ascii="Times New Roman" w:hAnsi="Times New Roman" w:cs="Times New Roman"/>
                          <w:b w:val="0"/>
                          <w:bCs w:val="0"/>
                          <w:sz w:val="24"/>
                          <w:szCs w:val="24"/>
                        </w:rPr>
                        <w:t xml:space="preserve"> hence reducing their carbon emissions at the origin.</w:t>
                      </w:r>
                      <w:r>
                        <w:rPr>
                          <w:rFonts w:hint="default" w:cs="Times New Roman"/>
                          <w:b w:val="0"/>
                          <w:bCs w:val="0"/>
                          <w:sz w:val="24"/>
                          <w:szCs w:val="24"/>
                          <w:lang w:val="en-US"/>
                        </w:rPr>
                        <w:t xml:space="preserve">                                                                                                                              </w:t>
                      </w:r>
                      <w:r>
                        <w:rPr>
                          <w:rFonts w:hint="default" w:ascii="Times New Roman" w:hAnsi="Times New Roman" w:cs="Times New Roman"/>
                          <w:b/>
                          <w:bCs/>
                          <w:sz w:val="24"/>
                          <w:szCs w:val="24"/>
                        </w:rPr>
                        <w:t>Sri Lanka: Energy and Transportation Sustainability</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Investing in hydropower and wind energy helps Sri Lanka lower its dependence o</w:t>
                      </w:r>
                      <w:r>
                        <w:rPr>
                          <w:rFonts w:hint="default" w:ascii="Times New Roman" w:hAnsi="Times New Roman" w:cs="Times New Roman"/>
                          <w:sz w:val="24"/>
                          <w:szCs w:val="24"/>
                        </w:rPr>
                        <w:t xml:space="preserve">n </w:t>
                      </w:r>
                      <w:r>
                        <w:rPr>
                          <w:rFonts w:hint="default" w:ascii="Times New Roman" w:hAnsi="Times New Roman" w:cs="Times New Roman"/>
                          <w:b w:val="0"/>
                          <w:bCs w:val="0"/>
                          <w:sz w:val="24"/>
                          <w:szCs w:val="24"/>
                        </w:rPr>
                        <w:t>fossil fuels. Policy incentives encouraging electric vehicles have been introduced by the country, which is also actively replacing fossil fuel-dependent transportation</w:t>
                      </w:r>
                      <w:r>
                        <w:rPr>
                          <w:rFonts w:hint="default" w:cs="Times New Roman"/>
                          <w:b w:val="0"/>
                          <w:bCs w:val="0"/>
                          <w:sz w:val="24"/>
                          <w:szCs w:val="24"/>
                          <w:lang w:val="en-US"/>
                        </w:rPr>
                        <w:t xml:space="preserve"> with initiavtives like “Soorvya Bala Sangramaya”</w:t>
                      </w:r>
                      <w:r>
                        <w:rPr>
                          <w:rFonts w:hint="default" w:ascii="Times New Roman" w:hAnsi="Times New Roman" w:cs="Times New Roman"/>
                          <w:b w:val="0"/>
                          <w:bCs w:val="0"/>
                          <w:sz w:val="24"/>
                          <w:szCs w:val="24"/>
                        </w:rPr>
                        <w:t>. By encouraging public transportation over personal vehicles, Colombo's Bus Rapid Transit (BRT) system helps lower vehicle emissions.</w:t>
                      </w:r>
                      <w:r>
                        <w:rPr>
                          <w:rFonts w:hint="default" w:cs="Times New Roman"/>
                          <w:b w:val="0"/>
                          <w:bCs w:val="0"/>
                          <w:sz w:val="24"/>
                          <w:szCs w:val="24"/>
                          <w:lang w:val="en-US"/>
                        </w:rPr>
                        <w:t xml:space="preserve">                                                                                  </w:t>
                      </w:r>
                      <w:r>
                        <w:rPr>
                          <w:rFonts w:hint="default" w:ascii="Times New Roman" w:hAnsi="Times New Roman" w:cs="Times New Roman"/>
                          <w:b/>
                          <w:bCs/>
                          <w:sz w:val="24"/>
                          <w:szCs w:val="24"/>
                        </w:rPr>
                        <w:t>Nepal: Hydropower a Resolution</w:t>
                      </w:r>
                      <w:r>
                        <w:rPr>
                          <w:rFonts w:hint="default" w:ascii="Times New Roman" w:hAnsi="Times New Roman" w:cs="Times New Roman"/>
                          <w:sz w:val="24"/>
                          <w:szCs w:val="24"/>
                          <w:lang w:val="en-US"/>
                        </w:rPr>
                        <w:t xml:space="preserve"> -</w:t>
                      </w:r>
                      <w:r>
                        <w:rPr>
                          <w:rFonts w:hint="default" w:ascii="Times New Roman" w:hAnsi="Times New Roman" w:cs="Times New Roman"/>
                          <w:b w:val="0"/>
                          <w:bCs w:val="0"/>
                          <w:sz w:val="24"/>
                          <w:szCs w:val="24"/>
                          <w:lang w:val="en-US"/>
                        </w:rPr>
                        <w:t>-Ne</w:t>
                      </w:r>
                      <w:r>
                        <w:rPr>
                          <w:rFonts w:hint="default" w:ascii="Times New Roman" w:hAnsi="Times New Roman" w:cs="Times New Roman"/>
                          <w:b w:val="0"/>
                          <w:bCs w:val="0"/>
                          <w:sz w:val="24"/>
                          <w:szCs w:val="24"/>
                        </w:rPr>
                        <w:t>pal has been concentrating on hydropower to reduce its reliance on fossil fuels given its great water resources</w:t>
                      </w:r>
                      <w:r>
                        <w:rPr>
                          <w:rFonts w:hint="default" w:cs="Times New Roman"/>
                          <w:b w:val="0"/>
                          <w:bCs w:val="0"/>
                          <w:sz w:val="24"/>
                          <w:szCs w:val="24"/>
                          <w:lang w:val="en-US"/>
                        </w:rPr>
                        <w:t xml:space="preserve"> which helps to meet its climate commitment under the Paris Agreement</w:t>
                      </w:r>
                      <w:r>
                        <w:rPr>
                          <w:rFonts w:hint="default" w:ascii="Times New Roman" w:hAnsi="Times New Roman" w:cs="Times New Roman"/>
                          <w:b w:val="0"/>
                          <w:bCs w:val="0"/>
                          <w:sz w:val="24"/>
                          <w:szCs w:val="24"/>
                        </w:rPr>
                        <w:t>. Furthermore, the government is supporting electric public transportation and electric cooking stoves to help even more limit source-originating carbon emissio</w:t>
                      </w:r>
                      <w:r>
                        <w:rPr>
                          <w:rFonts w:hint="default" w:ascii="Times New Roman" w:hAnsi="Times New Roman" w:cs="Times New Roman"/>
                          <w:b w:val="0"/>
                          <w:bCs w:val="0"/>
                          <w:sz w:val="24"/>
                          <w:szCs w:val="24"/>
                          <w:lang w:val="en-US"/>
                        </w:rPr>
                        <w:t>ns.</w:t>
                      </w:r>
                    </w:p>
                    <w:p w14:paraId="71FC7A92">
                      <w:pPr>
                        <w:spacing w:line="360" w:lineRule="auto"/>
                        <w:rPr>
                          <w:rFonts w:hint="default" w:ascii="Times New Roman" w:hAnsi="Times New Roman" w:cs="Times New Roman"/>
                          <w:b w:val="0"/>
                          <w:bCs w:val="0"/>
                          <w:sz w:val="24"/>
                          <w:szCs w:val="24"/>
                          <w:lang w:val="en-US"/>
                        </w:rPr>
                      </w:pPr>
                    </w:p>
                    <w:p w14:paraId="24834733">
                      <w:pPr>
                        <w:spacing w:line="360" w:lineRule="auto"/>
                        <w:rPr>
                          <w:rFonts w:hint="default" w:ascii="Times New Roman" w:hAnsi="Times New Roman" w:cs="Times New Roman"/>
                          <w:b w:val="0"/>
                          <w:bCs w:val="0"/>
                          <w:sz w:val="24"/>
                          <w:szCs w:val="24"/>
                          <w:lang w:val="en-US"/>
                        </w:rPr>
                      </w:pPr>
                      <w:r>
                        <w:rPr>
                          <w:rFonts w:hint="default" w:ascii="Times New Roman" w:hAnsi="Times New Roman" w:eastAsia="SimSun" w:cs="Times New Roman"/>
                          <w:sz w:val="24"/>
                          <w:szCs w:val="24"/>
                        </w:rPr>
                        <w:t>A crucial part of slowing down climate change is managing carbon emissions at their source. South Asian nations are pursuing different strategies including renewable energy expansion, more... Although obstacles remain, policy-driven solutions and regional cooperation can greatly improve initiatives meant to effectively reduce emissions by means of coordinated regional efforts</w:t>
                      </w:r>
                      <w:r>
                        <w:rPr>
                          <w:rFonts w:hint="default" w:ascii="Times New Roman" w:hAnsi="Times New Roman" w:eastAsia="SimSun" w:cs="Times New Roman"/>
                          <w:sz w:val="24"/>
                          <w:szCs w:val="24"/>
                          <w:lang w:val="en-US"/>
                        </w:rPr>
                        <w:t>.</w:t>
                      </w:r>
                    </w:p>
                    <w:p w14:paraId="4CFE5EBA">
                      <w:pPr>
                        <w:spacing w:line="360" w:lineRule="auto"/>
                      </w:pPr>
                    </w:p>
                  </w:txbxContent>
                </v:textbox>
              </v:shape>
            </w:pict>
          </mc:Fallback>
        </mc:AlternateContent>
      </w:r>
      <w:r>
        <w:rPr>
          <w:rFonts w:hint="default" w:cs="Times New Roman"/>
          <w:sz w:val="24"/>
          <w:szCs w:val="24"/>
          <w:lang w:val="en-US"/>
        </w:rPr>
        <w:t xml:space="preserve">  </w:t>
      </w:r>
      <w:r>
        <w:rPr>
          <w:rFonts w:hint="default" w:ascii="Times New Roman" w:hAnsi="Times New Roman" w:eastAsia="SimSun" w:cs="Times New Roman"/>
          <w:b/>
          <w:bCs/>
          <w:sz w:val="24"/>
          <w:szCs w:val="24"/>
          <w:u w:val="single"/>
        </w:rPr>
        <w:t>The Circular Economy: A Catalyst for Carbon Neutrali</w:t>
      </w:r>
      <w:r>
        <w:rPr>
          <w:rFonts w:hint="default" w:ascii="Times New Roman" w:hAnsi="Times New Roman" w:cs="Times New Roman"/>
          <w:b/>
          <w:bCs/>
          <w:sz w:val="24"/>
          <w:szCs w:val="24"/>
          <w:u w:val="single"/>
          <w:lang w:val="en-US"/>
        </w:rPr>
        <w:t>ty</w:t>
      </w:r>
    </w:p>
    <w:p w14:paraId="74E103AF">
      <w:pPr>
        <w:pStyle w:val="3"/>
        <w:keepNext w:val="0"/>
        <w:keepLines w:val="0"/>
        <w:widowControl/>
        <w:suppressLineNumbers w:val="0"/>
        <w:rPr>
          <w:rFonts w:hint="default" w:ascii="Times New Roman" w:hAnsi="Times New Roman" w:cs="Times New Roman"/>
          <w:sz w:val="22"/>
          <w:szCs w:val="22"/>
        </w:rPr>
      </w:pPr>
      <w:r>
        <w:rPr>
          <w:rFonts w:hint="default" w:ascii="Times New Roman" w:hAnsi="Times New Roman" w:cs="Times New Roman"/>
          <w:sz w:val="24"/>
        </w:rPr>
        <mc:AlternateContent>
          <mc:Choice Requires="wps">
            <w:drawing>
              <wp:anchor distT="0" distB="0" distL="114300" distR="114300" simplePos="0" relativeHeight="251663360" behindDoc="0" locked="0" layoutInCell="1" allowOverlap="1">
                <wp:simplePos x="0" y="0"/>
                <wp:positionH relativeFrom="column">
                  <wp:posOffset>57785</wp:posOffset>
                </wp:positionH>
                <wp:positionV relativeFrom="paragraph">
                  <wp:posOffset>-8255</wp:posOffset>
                </wp:positionV>
                <wp:extent cx="6650355" cy="7710170"/>
                <wp:effectExtent l="0" t="0" r="9525" b="1270"/>
                <wp:wrapNone/>
                <wp:docPr id="7" name="Text Box 7"/>
                <wp:cNvGraphicFramePr/>
                <a:graphic xmlns:a="http://schemas.openxmlformats.org/drawingml/2006/main">
                  <a:graphicData uri="http://schemas.microsoft.com/office/word/2010/wordprocessingShape">
                    <wps:wsp>
                      <wps:cNvSpPr txBox="1"/>
                      <wps:spPr>
                        <a:xfrm>
                          <a:off x="1200785" y="1675130"/>
                          <a:ext cx="6650355" cy="77101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E879444">
                            <w:pPr>
                              <w:pStyle w:val="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Extending Product Lifecycles: Enhancing Efficiency Through Reuse</w:t>
                            </w:r>
                          </w:p>
                          <w:p w14:paraId="5D132AB5">
                            <w:pPr>
                              <w:pStyle w:val="13"/>
                              <w:keepNext w:val="0"/>
                              <w:keepLines w:val="0"/>
                              <w:widowControl/>
                              <w:suppressLineNumbers w:val="0"/>
                              <w:spacing w:line="360" w:lineRule="auto"/>
                              <w:rPr>
                                <w:rFonts w:hint="default" w:ascii="Times New Roman" w:hAnsi="Times New Roman" w:cs="Times New Roman"/>
                                <w:sz w:val="24"/>
                                <w:szCs w:val="24"/>
                              </w:rPr>
                            </w:pPr>
                            <w:r>
                              <w:rPr>
                                <w:rFonts w:hint="default" w:cs="Times New Roman"/>
                                <w:sz w:val="24"/>
                                <w:szCs w:val="24"/>
                                <w:lang w:val="en-US"/>
                              </w:rPr>
                              <w:t>R</w:t>
                            </w:r>
                            <w:r>
                              <w:rPr>
                                <w:rFonts w:hint="default" w:ascii="Times New Roman" w:hAnsi="Times New Roman" w:cs="Times New Roman"/>
                                <w:sz w:val="24"/>
                                <w:szCs w:val="24"/>
                              </w:rPr>
                              <w:t xml:space="preserve">eusing </w:t>
                            </w:r>
                            <w:r>
                              <w:rPr>
                                <w:rFonts w:hint="default" w:cs="Times New Roman"/>
                                <w:sz w:val="24"/>
                                <w:szCs w:val="24"/>
                                <w:lang w:val="en-US"/>
                              </w:rPr>
                              <w:t xml:space="preserve">helps in </w:t>
                            </w:r>
                            <w:r>
                              <w:rPr>
                                <w:rFonts w:hint="default" w:ascii="Times New Roman" w:hAnsi="Times New Roman" w:cs="Times New Roman"/>
                                <w:sz w:val="24"/>
                                <w:szCs w:val="24"/>
                              </w:rPr>
                              <w:t xml:space="preserve"> extending product lifecycles</w:t>
                            </w:r>
                            <w:r>
                              <w:rPr>
                                <w:rFonts w:hint="default" w:cs="Times New Roman"/>
                                <w:sz w:val="24"/>
                                <w:szCs w:val="24"/>
                                <w:lang w:val="en-US"/>
                              </w:rPr>
                              <w:t xml:space="preserve"> which further promotes</w:t>
                            </w:r>
                            <w:r>
                              <w:rPr>
                                <w:rFonts w:hint="default" w:ascii="Times New Roman" w:hAnsi="Times New Roman" w:cs="Times New Roman"/>
                                <w:sz w:val="24"/>
                                <w:szCs w:val="24"/>
                              </w:rPr>
                              <w:t xml:space="preserve"> efficiency. Reusing goods lengthens their lifespan, therefore decreasing garbage and enhancing resource efficiency. This approach is especially pertinent in South Asian nations where many industries are propelled by environmental worries and financial limitations, which drive innovative reuse strategies across various sectors.</w:t>
                            </w:r>
                          </w:p>
                          <w:p w14:paraId="4841AACB">
                            <w:pPr>
                              <w:pStyle w:val="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1. Fabrics Sector</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 xml:space="preserve">Though a significant textile waste problem exists, South Asia is a world textile center. Second-hand clothing markets </w:t>
                            </w:r>
                            <w:r>
                              <w:rPr>
                                <w:rFonts w:hint="default" w:ascii="Times New Roman" w:hAnsi="Times New Roman" w:cs="Times New Roman"/>
                                <w:b w:val="0"/>
                                <w:bCs w:val="0"/>
                                <w:sz w:val="24"/>
                                <w:szCs w:val="24"/>
                                <w:lang w:val="en-US"/>
                              </w:rPr>
                              <w:t xml:space="preserve">are majorly dominant </w:t>
                            </w:r>
                            <w:r>
                              <w:rPr>
                                <w:rFonts w:hint="default" w:ascii="Times New Roman" w:hAnsi="Times New Roman" w:cs="Times New Roman"/>
                                <w:b w:val="0"/>
                                <w:bCs w:val="0"/>
                                <w:sz w:val="24"/>
                                <w:szCs w:val="24"/>
                              </w:rPr>
                              <w:t xml:space="preserve"> in India and Bangladesh; examples include Dhaka's "Pavement Economy" and Mumbai's Chor Bazaar, where </w:t>
                            </w:r>
                            <w:r>
                              <w:rPr>
                                <w:rFonts w:hint="default" w:ascii="Times New Roman" w:hAnsi="Times New Roman" w:cs="Times New Roman"/>
                                <w:b w:val="0"/>
                                <w:bCs w:val="0"/>
                                <w:sz w:val="24"/>
                                <w:szCs w:val="24"/>
                                <w:lang w:val="en-US"/>
                              </w:rPr>
                              <w:t xml:space="preserve">old and worn out </w:t>
                            </w:r>
                            <w:r>
                              <w:rPr>
                                <w:rFonts w:hint="default" w:ascii="Times New Roman" w:hAnsi="Times New Roman" w:cs="Times New Roman"/>
                                <w:b w:val="0"/>
                                <w:bCs w:val="0"/>
                                <w:sz w:val="24"/>
                                <w:szCs w:val="24"/>
                              </w:rPr>
                              <w:t xml:space="preserve"> garments are fixed, repurposed, and sold once more</w:t>
                            </w:r>
                            <w:r>
                              <w:rPr>
                                <w:rFonts w:hint="default" w:ascii="Times New Roman" w:hAnsi="Times New Roman" w:cs="Times New Roman"/>
                                <w:b w:val="0"/>
                                <w:bCs w:val="0"/>
                                <w:sz w:val="24"/>
                                <w:szCs w:val="24"/>
                                <w:lang w:val="en-US"/>
                              </w:rPr>
                              <w:t xml:space="preserve"> and this concept is termed as upcycled clothing</w:t>
                            </w:r>
                            <w:r>
                              <w:rPr>
                                <w:rFonts w:hint="default" w:ascii="Times New Roman" w:hAnsi="Times New Roman" w:cs="Times New Roman"/>
                                <w:b w:val="0"/>
                                <w:bCs w:val="0"/>
                                <w:sz w:val="24"/>
                                <w:szCs w:val="24"/>
                              </w:rPr>
                              <w:t>. Projects such as Pakistan's "SoKam" help to lower fashion waste by promoting the reuse of old textiles into fresh designs.</w:t>
                            </w:r>
                          </w:p>
                          <w:p w14:paraId="36CD5B6C">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2. Electronic and E-Waste Disposal Systems</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 xml:space="preserve">Reducing e-waste depends on reusing electronic goods. Refurbished laptops and cellphones are common in Nepal since imported costs are very </w:t>
                            </w:r>
                            <w:r>
                              <w:rPr>
                                <w:rFonts w:hint="default" w:ascii="Times New Roman" w:hAnsi="Times New Roman" w:cs="Times New Roman"/>
                                <w:b w:val="0"/>
                                <w:bCs w:val="0"/>
                                <w:sz w:val="24"/>
                                <w:szCs w:val="24"/>
                                <w:lang w:val="en-US"/>
                              </w:rPr>
                              <w:t>high</w:t>
                            </w:r>
                            <w:r>
                              <w:rPr>
                                <w:rFonts w:hint="default" w:ascii="Times New Roman" w:hAnsi="Times New Roman" w:cs="Times New Roman"/>
                                <w:b w:val="0"/>
                                <w:bCs w:val="0"/>
                                <w:sz w:val="24"/>
                                <w:szCs w:val="24"/>
                              </w:rPr>
                              <w:t>. India's "</w:t>
                            </w:r>
                            <w:r>
                              <w:rPr>
                                <w:rFonts w:hint="default" w:ascii="Times New Roman" w:hAnsi="Times New Roman" w:cs="Times New Roman"/>
                                <w:b w:val="0"/>
                                <w:bCs w:val="0"/>
                                <w:sz w:val="24"/>
                                <w:szCs w:val="24"/>
                                <w:lang w:val="en-US"/>
                              </w:rPr>
                              <w:t xml:space="preserve">E-Waste ( Management ) Rules 2022 </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lang w:val="en-US"/>
                              </w:rPr>
                              <w:t xml:space="preserve">, Karo Sambhav  and Green India E-Waste Recycling </w:t>
                            </w:r>
                            <w:r>
                              <w:rPr>
                                <w:rFonts w:hint="default" w:ascii="Times New Roman" w:hAnsi="Times New Roman" w:cs="Times New Roman"/>
                                <w:b w:val="0"/>
                                <w:bCs w:val="0"/>
                                <w:sz w:val="24"/>
                                <w:szCs w:val="24"/>
                              </w:rPr>
                              <w:t xml:space="preserve"> initiative</w:t>
                            </w:r>
                            <w:r>
                              <w:rPr>
                                <w:rFonts w:hint="default" w:ascii="Times New Roman" w:hAnsi="Times New Roman" w:cs="Times New Roman"/>
                                <w:b w:val="0"/>
                                <w:bCs w:val="0"/>
                                <w:sz w:val="24"/>
                                <w:szCs w:val="24"/>
                                <w:lang w:val="en-US"/>
                              </w:rPr>
                              <w:t xml:space="preserve">s </w:t>
                            </w:r>
                            <w:r>
                              <w:rPr>
                                <w:rFonts w:hint="default" w:ascii="Times New Roman" w:hAnsi="Times New Roman" w:cs="Times New Roman"/>
                                <w:b w:val="0"/>
                                <w:bCs w:val="0"/>
                                <w:sz w:val="24"/>
                                <w:szCs w:val="24"/>
                              </w:rPr>
                              <w:t>similarly promotes the refurbishment and resale of secondhand electronics, thereby lowering environmental damage and generating employment. Sri Lanka's increased e-waste collection sites repair and resell used goods, therefore help</w:t>
                            </w:r>
                            <w:r>
                              <w:rPr>
                                <w:rFonts w:hint="default" w:ascii="Times New Roman" w:hAnsi="Times New Roman" w:cs="Times New Roman"/>
                                <w:b w:val="0"/>
                                <w:bCs w:val="0"/>
                                <w:sz w:val="24"/>
                                <w:szCs w:val="24"/>
                                <w:lang w:val="en-US"/>
                              </w:rPr>
                              <w:t>s</w:t>
                            </w:r>
                            <w:r>
                              <w:rPr>
                                <w:rFonts w:hint="default" w:ascii="Times New Roman" w:hAnsi="Times New Roman" w:cs="Times New Roman"/>
                                <w:b w:val="0"/>
                                <w:bCs w:val="0"/>
                                <w:sz w:val="24"/>
                                <w:szCs w:val="24"/>
                              </w:rPr>
                              <w:t xml:space="preserve"> to lower disposal waste and make products more affordable.</w:t>
                            </w:r>
                          </w:p>
                          <w:p w14:paraId="78053F83">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3. Auto and Spare Parts Businesses</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Renowned for their resale of used automotive components, Pakistan's Shershah Market in Karachi and Nepal's Thamel region enable vehicle owners to cheaply increase the lifespans of their cars. The government in India encourages recycled vehicle parts in the automotive industry to lower reliance on fresh imports and push for the circular economy.</w:t>
                            </w:r>
                          </w:p>
                          <w:p w14:paraId="6A5D05C0">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4. Furnishings as well as Building Materials</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Old building components such as doors and windows are repurposed in fresh constructions in Bangladesh, therefore lowering material costs and deforestation. Whereas Sri Lanka encourages the reuse of furniture via online marketplaces and secondhand stores, India's "ReMaterial" startup concentrates on recycling waste to produce environmentally friendly building materials.</w:t>
                            </w:r>
                          </w:p>
                          <w:p w14:paraId="10FFF126">
                            <w:pPr>
                              <w:pStyle w:val="1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t>In essence r</w:t>
                            </w:r>
                            <w:r>
                              <w:rPr>
                                <w:rFonts w:hint="default" w:ascii="Times New Roman" w:hAnsi="Times New Roman" w:cs="Times New Roman"/>
                                <w:sz w:val="24"/>
                                <w:szCs w:val="24"/>
                              </w:rPr>
                              <w:t>eusing goods across sectors not only helps to save resources but also offers financial possibilities. South Asian countries have long valued both informal and organized repurpose markets, hence showing that lengthening product lifecycles is not only essential but also a sustainable decision going forward.</w:t>
                            </w:r>
                          </w:p>
                          <w:p w14:paraId="3D6261F2">
                            <w:pPr>
                              <w:spacing w:line="360" w:lineRule="auto"/>
                              <w:rPr>
                                <w:rFonts w:hint="default"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55pt;margin-top:-0.65pt;height:607.1pt;width:523.65pt;z-index:251663360;mso-width-relative:page;mso-height-relative:page;" fillcolor="#FFFFFF [3201]" filled="t" stroked="f" coordsize="21600,21600" o:gfxdata="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x4aHQ9YAAAAKAQAADwAA&#10;AAAAAAABACAAAAAiAAAAZHJzL2Rvd25yZXYueG1sUEsBAhQAFAAAAAgAh07iQDwFiURRAgAApwQA&#10;AA4AAAAAAAAAAQAgAAAAJQEAAGRycy9lMm9Eb2MueG1sUEsFBgAAAAAGAAYAWQEAAOgFAAAAAA==&#10;">
                <v:fill on="t" focussize="0,0"/>
                <v:stroke on="f" weight="0.5pt"/>
                <v:imagedata o:title=""/>
                <o:lock v:ext="edit" aspectratio="f"/>
                <v:textbox>
                  <w:txbxContent>
                    <w:p w14:paraId="3E879444">
                      <w:pPr>
                        <w:pStyle w:val="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Extending Product Lifecycles: Enhancing Efficiency Through Reuse</w:t>
                      </w:r>
                    </w:p>
                    <w:p w14:paraId="5D132AB5">
                      <w:pPr>
                        <w:pStyle w:val="13"/>
                        <w:keepNext w:val="0"/>
                        <w:keepLines w:val="0"/>
                        <w:widowControl/>
                        <w:suppressLineNumbers w:val="0"/>
                        <w:spacing w:line="360" w:lineRule="auto"/>
                        <w:rPr>
                          <w:rFonts w:hint="default" w:ascii="Times New Roman" w:hAnsi="Times New Roman" w:cs="Times New Roman"/>
                          <w:sz w:val="24"/>
                          <w:szCs w:val="24"/>
                        </w:rPr>
                      </w:pPr>
                      <w:r>
                        <w:rPr>
                          <w:rFonts w:hint="default" w:cs="Times New Roman"/>
                          <w:sz w:val="24"/>
                          <w:szCs w:val="24"/>
                          <w:lang w:val="en-US"/>
                        </w:rPr>
                        <w:t>R</w:t>
                      </w:r>
                      <w:r>
                        <w:rPr>
                          <w:rFonts w:hint="default" w:ascii="Times New Roman" w:hAnsi="Times New Roman" w:cs="Times New Roman"/>
                          <w:sz w:val="24"/>
                          <w:szCs w:val="24"/>
                        </w:rPr>
                        <w:t xml:space="preserve">eusing </w:t>
                      </w:r>
                      <w:r>
                        <w:rPr>
                          <w:rFonts w:hint="default" w:cs="Times New Roman"/>
                          <w:sz w:val="24"/>
                          <w:szCs w:val="24"/>
                          <w:lang w:val="en-US"/>
                        </w:rPr>
                        <w:t xml:space="preserve">helps in </w:t>
                      </w:r>
                      <w:r>
                        <w:rPr>
                          <w:rFonts w:hint="default" w:ascii="Times New Roman" w:hAnsi="Times New Roman" w:cs="Times New Roman"/>
                          <w:sz w:val="24"/>
                          <w:szCs w:val="24"/>
                        </w:rPr>
                        <w:t xml:space="preserve"> extending product lifecycles</w:t>
                      </w:r>
                      <w:r>
                        <w:rPr>
                          <w:rFonts w:hint="default" w:cs="Times New Roman"/>
                          <w:sz w:val="24"/>
                          <w:szCs w:val="24"/>
                          <w:lang w:val="en-US"/>
                        </w:rPr>
                        <w:t xml:space="preserve"> which further promotes</w:t>
                      </w:r>
                      <w:r>
                        <w:rPr>
                          <w:rFonts w:hint="default" w:ascii="Times New Roman" w:hAnsi="Times New Roman" w:cs="Times New Roman"/>
                          <w:sz w:val="24"/>
                          <w:szCs w:val="24"/>
                        </w:rPr>
                        <w:t xml:space="preserve"> efficiency. Reusing goods lengthens their lifespan, therefore decreasing garbage and enhancing resource efficiency. This approach is especially pertinent in South Asian nations where many industries are propelled by environmental worries and financial limitations, which drive innovative reuse strategies across various sectors.</w:t>
                      </w:r>
                    </w:p>
                    <w:p w14:paraId="4841AACB">
                      <w:pPr>
                        <w:pStyle w:val="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1. Fabrics Sector</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 xml:space="preserve">Though a significant textile waste problem exists, South Asia is a world textile center. Second-hand clothing markets </w:t>
                      </w:r>
                      <w:r>
                        <w:rPr>
                          <w:rFonts w:hint="default" w:ascii="Times New Roman" w:hAnsi="Times New Roman" w:cs="Times New Roman"/>
                          <w:b w:val="0"/>
                          <w:bCs w:val="0"/>
                          <w:sz w:val="24"/>
                          <w:szCs w:val="24"/>
                          <w:lang w:val="en-US"/>
                        </w:rPr>
                        <w:t xml:space="preserve">are majorly dominant </w:t>
                      </w:r>
                      <w:r>
                        <w:rPr>
                          <w:rFonts w:hint="default" w:ascii="Times New Roman" w:hAnsi="Times New Roman" w:cs="Times New Roman"/>
                          <w:b w:val="0"/>
                          <w:bCs w:val="0"/>
                          <w:sz w:val="24"/>
                          <w:szCs w:val="24"/>
                        </w:rPr>
                        <w:t xml:space="preserve"> in India and Bangladesh; examples include Dhaka's "Pavement Economy" and Mumbai's Chor Bazaar, where </w:t>
                      </w:r>
                      <w:r>
                        <w:rPr>
                          <w:rFonts w:hint="default" w:ascii="Times New Roman" w:hAnsi="Times New Roman" w:cs="Times New Roman"/>
                          <w:b w:val="0"/>
                          <w:bCs w:val="0"/>
                          <w:sz w:val="24"/>
                          <w:szCs w:val="24"/>
                          <w:lang w:val="en-US"/>
                        </w:rPr>
                        <w:t xml:space="preserve">old and worn out </w:t>
                      </w:r>
                      <w:r>
                        <w:rPr>
                          <w:rFonts w:hint="default" w:ascii="Times New Roman" w:hAnsi="Times New Roman" w:cs="Times New Roman"/>
                          <w:b w:val="0"/>
                          <w:bCs w:val="0"/>
                          <w:sz w:val="24"/>
                          <w:szCs w:val="24"/>
                        </w:rPr>
                        <w:t xml:space="preserve"> garments are fixed, repurposed, and sold once more</w:t>
                      </w:r>
                      <w:r>
                        <w:rPr>
                          <w:rFonts w:hint="default" w:ascii="Times New Roman" w:hAnsi="Times New Roman" w:cs="Times New Roman"/>
                          <w:b w:val="0"/>
                          <w:bCs w:val="0"/>
                          <w:sz w:val="24"/>
                          <w:szCs w:val="24"/>
                          <w:lang w:val="en-US"/>
                        </w:rPr>
                        <w:t xml:space="preserve"> and this concept is termed as upcycled clothing</w:t>
                      </w:r>
                      <w:r>
                        <w:rPr>
                          <w:rFonts w:hint="default" w:ascii="Times New Roman" w:hAnsi="Times New Roman" w:cs="Times New Roman"/>
                          <w:b w:val="0"/>
                          <w:bCs w:val="0"/>
                          <w:sz w:val="24"/>
                          <w:szCs w:val="24"/>
                        </w:rPr>
                        <w:t>. Projects such as Pakistan's "SoKam" help to lower fashion waste by promoting the reuse of old textiles into fresh designs.</w:t>
                      </w:r>
                    </w:p>
                    <w:p w14:paraId="36CD5B6C">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2. Electronic and E-Waste Disposal Systems</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 xml:space="preserve">Reducing e-waste depends on reusing electronic goods. Refurbished laptops and cellphones are common in Nepal since imported costs are very </w:t>
                      </w:r>
                      <w:r>
                        <w:rPr>
                          <w:rFonts w:hint="default" w:ascii="Times New Roman" w:hAnsi="Times New Roman" w:cs="Times New Roman"/>
                          <w:b w:val="0"/>
                          <w:bCs w:val="0"/>
                          <w:sz w:val="24"/>
                          <w:szCs w:val="24"/>
                          <w:lang w:val="en-US"/>
                        </w:rPr>
                        <w:t>high</w:t>
                      </w:r>
                      <w:r>
                        <w:rPr>
                          <w:rFonts w:hint="default" w:ascii="Times New Roman" w:hAnsi="Times New Roman" w:cs="Times New Roman"/>
                          <w:b w:val="0"/>
                          <w:bCs w:val="0"/>
                          <w:sz w:val="24"/>
                          <w:szCs w:val="24"/>
                        </w:rPr>
                        <w:t>. India's "</w:t>
                      </w:r>
                      <w:r>
                        <w:rPr>
                          <w:rFonts w:hint="default" w:ascii="Times New Roman" w:hAnsi="Times New Roman" w:cs="Times New Roman"/>
                          <w:b w:val="0"/>
                          <w:bCs w:val="0"/>
                          <w:sz w:val="24"/>
                          <w:szCs w:val="24"/>
                          <w:lang w:val="en-US"/>
                        </w:rPr>
                        <w:t xml:space="preserve">E-Waste ( Management ) Rules 2022 </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lang w:val="en-US"/>
                        </w:rPr>
                        <w:t xml:space="preserve">, Karo Sambhav  and Green India E-Waste Recycling </w:t>
                      </w:r>
                      <w:r>
                        <w:rPr>
                          <w:rFonts w:hint="default" w:ascii="Times New Roman" w:hAnsi="Times New Roman" w:cs="Times New Roman"/>
                          <w:b w:val="0"/>
                          <w:bCs w:val="0"/>
                          <w:sz w:val="24"/>
                          <w:szCs w:val="24"/>
                        </w:rPr>
                        <w:t xml:space="preserve"> initiative</w:t>
                      </w:r>
                      <w:r>
                        <w:rPr>
                          <w:rFonts w:hint="default" w:ascii="Times New Roman" w:hAnsi="Times New Roman" w:cs="Times New Roman"/>
                          <w:b w:val="0"/>
                          <w:bCs w:val="0"/>
                          <w:sz w:val="24"/>
                          <w:szCs w:val="24"/>
                          <w:lang w:val="en-US"/>
                        </w:rPr>
                        <w:t xml:space="preserve">s </w:t>
                      </w:r>
                      <w:r>
                        <w:rPr>
                          <w:rFonts w:hint="default" w:ascii="Times New Roman" w:hAnsi="Times New Roman" w:cs="Times New Roman"/>
                          <w:b w:val="0"/>
                          <w:bCs w:val="0"/>
                          <w:sz w:val="24"/>
                          <w:szCs w:val="24"/>
                        </w:rPr>
                        <w:t>similarly promotes the refurbishment and resale of secondhand electronics, thereby lowering environmental damage and generating employment. Sri Lanka's increased e-waste collection sites repair and resell used goods, therefore help</w:t>
                      </w:r>
                      <w:r>
                        <w:rPr>
                          <w:rFonts w:hint="default" w:ascii="Times New Roman" w:hAnsi="Times New Roman" w:cs="Times New Roman"/>
                          <w:b w:val="0"/>
                          <w:bCs w:val="0"/>
                          <w:sz w:val="24"/>
                          <w:szCs w:val="24"/>
                          <w:lang w:val="en-US"/>
                        </w:rPr>
                        <w:t>s</w:t>
                      </w:r>
                      <w:r>
                        <w:rPr>
                          <w:rFonts w:hint="default" w:ascii="Times New Roman" w:hAnsi="Times New Roman" w:cs="Times New Roman"/>
                          <w:b w:val="0"/>
                          <w:bCs w:val="0"/>
                          <w:sz w:val="24"/>
                          <w:szCs w:val="24"/>
                        </w:rPr>
                        <w:t xml:space="preserve"> to lower disposal waste and make products more affordable.</w:t>
                      </w:r>
                    </w:p>
                    <w:p w14:paraId="78053F83">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3. Auto and Spare Parts Businesses</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Renowned for their resale of used automotive components, Pakistan's Shershah Market in Karachi and Nepal's Thamel region enable vehicle owners to cheaply increase the lifespans of their cars. The government in India encourages recycled vehicle parts in the automotive industry to lower reliance on fresh imports and push for the circular economy.</w:t>
                      </w:r>
                    </w:p>
                    <w:p w14:paraId="6A5D05C0">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4. Furnishings as well as Building Materials</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Old building components such as doors and windows are repurposed in fresh constructions in Bangladesh, therefore lowering material costs and deforestation. Whereas Sri Lanka encourages the reuse of furniture via online marketplaces and secondhand stores, India's "ReMaterial" startup concentrates on recycling waste to produce environmentally friendly building materials.</w:t>
                      </w:r>
                    </w:p>
                    <w:p w14:paraId="10FFF126">
                      <w:pPr>
                        <w:pStyle w:val="1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t>In essence r</w:t>
                      </w:r>
                      <w:r>
                        <w:rPr>
                          <w:rFonts w:hint="default" w:ascii="Times New Roman" w:hAnsi="Times New Roman" w:cs="Times New Roman"/>
                          <w:sz w:val="24"/>
                          <w:szCs w:val="24"/>
                        </w:rPr>
                        <w:t>eusing goods across sectors not only helps to save resources but also offers financial possibilities. South Asian countries have long valued both informal and organized repurpose markets, hence showing that lengthening product lifecycles is not only essential but also a sustainable decision going forward.</w:t>
                      </w:r>
                    </w:p>
                    <w:p w14:paraId="3D6261F2">
                      <w:pPr>
                        <w:spacing w:line="360" w:lineRule="auto"/>
                        <w:rPr>
                          <w:rFonts w:hint="default" w:ascii="Times New Roman" w:hAnsi="Times New Roman" w:cs="Times New Roman"/>
                          <w:sz w:val="24"/>
                          <w:szCs w:val="24"/>
                        </w:rPr>
                      </w:pPr>
                    </w:p>
                  </w:txbxContent>
                </v:textbox>
              </v:shape>
            </w:pict>
          </mc:Fallback>
        </mc:AlternateContent>
      </w:r>
    </w:p>
    <w:p w14:paraId="2D8C9C9C">
      <w:pPr>
        <w:pStyle w:val="13"/>
        <w:keepNext w:val="0"/>
        <w:keepLines w:val="0"/>
        <w:widowControl/>
        <w:suppressLineNumbers w:val="0"/>
        <w:rPr>
          <w:rFonts w:hint="default" w:ascii="Times New Roman" w:hAnsi="Times New Roman" w:cs="Times New Roman"/>
          <w:sz w:val="24"/>
          <w:szCs w:val="24"/>
        </w:rPr>
      </w:pPr>
    </w:p>
    <w:p w14:paraId="49DB8CB0">
      <w:pPr>
        <w:pStyle w:val="13"/>
        <w:keepNext w:val="0"/>
        <w:keepLines w:val="0"/>
        <w:widowControl/>
        <w:suppressLineNumbers w:val="0"/>
        <w:rPr>
          <w:rFonts w:hint="default" w:ascii="Times New Roman" w:hAnsi="Times New Roman" w:cs="Times New Roman"/>
          <w:sz w:val="24"/>
          <w:szCs w:val="24"/>
        </w:rPr>
      </w:pPr>
    </w:p>
    <w:p w14:paraId="16D54E06">
      <w:pPr>
        <w:keepNext w:val="0"/>
        <w:keepLines w:val="0"/>
        <w:widowControl/>
        <w:suppressLineNumbers w:val="0"/>
        <w:jc w:val="left"/>
        <w:rPr>
          <w:rFonts w:hint="default" w:ascii="Times New Roman" w:hAnsi="Times New Roman" w:cs="Times New Roman"/>
          <w:sz w:val="24"/>
          <w:szCs w:val="24"/>
        </w:rPr>
      </w:pPr>
    </w:p>
    <w:p w14:paraId="66FAFC39">
      <w:pPr>
        <w:pStyle w:val="18"/>
        <w:rPr>
          <w:rFonts w:hint="default" w:ascii="Times New Roman" w:hAnsi="Times New Roman" w:cs="Times New Roman"/>
          <w:sz w:val="24"/>
          <w:szCs w:val="24"/>
        </w:rPr>
      </w:pPr>
      <w:r>
        <w:rPr>
          <w:rFonts w:hint="default" w:ascii="Times New Roman" w:hAnsi="Times New Roman" w:cs="Times New Roman"/>
          <w:sz w:val="24"/>
          <w:szCs w:val="24"/>
        </w:rPr>
        <w:t>窗体顶端</w:t>
      </w:r>
    </w:p>
    <w:p w14:paraId="520A3B0E">
      <w:pPr>
        <w:keepNext w:val="0"/>
        <w:keepLines w:val="0"/>
        <w:widowControl/>
        <w:suppressLineNumbers w:val="0"/>
        <w:jc w:val="left"/>
        <w:rPr>
          <w:rFonts w:hint="default" w:ascii="Times New Roman" w:hAnsi="Times New Roman" w:cs="Times New Roman"/>
          <w:sz w:val="24"/>
          <w:szCs w:val="24"/>
        </w:rPr>
      </w:pPr>
    </w:p>
    <w:p w14:paraId="3FDD6B89">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0C0672D5">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06136CE9">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2C7D3FCB">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40770712">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7C8E55A5">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432D0B0D">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63CCA3B2">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22C23A2A">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7144426B">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457B7300">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44014A7F">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6907C416">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75F7A04D">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3E64B69C">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07EEEEF9">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46FFAE2C">
      <w:pPr>
        <w:pStyle w:val="13"/>
        <w:keepNext w:val="0"/>
        <w:keepLines w:val="0"/>
        <w:widowControl/>
        <w:suppressLineNumbers w:val="0"/>
        <w:ind w:left="2640" w:hanging="2640" w:hangingChars="1100"/>
        <w:rPr>
          <w:rFonts w:hint="default" w:ascii="Times New Roman" w:hAnsi="Times New Roman" w:cs="Times New Roman"/>
          <w:sz w:val="24"/>
          <w:szCs w:val="24"/>
          <w:lang w:val="en-US"/>
        </w:rPr>
      </w:pPr>
    </w:p>
    <w:p w14:paraId="1E72A1F8">
      <w:pPr>
        <w:pStyle w:val="13"/>
        <w:keepNext w:val="0"/>
        <w:keepLines w:val="0"/>
        <w:widowControl/>
        <w:suppressLineNumbers w:val="0"/>
        <w:rPr>
          <w:rFonts w:hint="default" w:ascii="Times New Roman" w:hAnsi="Times New Roman" w:cs="Times New Roman"/>
          <w:sz w:val="24"/>
          <w:szCs w:val="24"/>
          <w:lang w:val="en-US"/>
        </w:rPr>
      </w:pPr>
    </w:p>
    <w:p w14:paraId="5EE288B0">
      <w:pPr>
        <w:pStyle w:val="13"/>
        <w:keepNext w:val="0"/>
        <w:keepLines w:val="0"/>
        <w:widowControl/>
        <w:suppressLineNumbers w:val="0"/>
        <w:spacing w:line="360" w:lineRule="auto"/>
        <w:ind w:left="5400" w:hanging="5400" w:hangingChars="2250"/>
        <w:rPr>
          <w:rFonts w:hint="default" w:ascii="Times New Roman" w:hAnsi="Times New Roman" w:cs="Times New Roman"/>
          <w:sz w:val="24"/>
          <w:szCs w:val="24"/>
        </w:rPr>
      </w:pPr>
      <w:r>
        <w:rPr>
          <w:rFonts w:hint="default" w:ascii="Times New Roman" w:hAnsi="Times New Roman" w:cs="Times New Roman"/>
          <w:sz w:val="24"/>
          <w:szCs w:val="24"/>
          <w:lang w:val="en-US"/>
        </w:rPr>
        <w:t xml:space="preserve">  </w:t>
      </w:r>
      <w:r>
        <w:rPr>
          <w:rStyle w:val="14"/>
          <w:rFonts w:hint="default" w:ascii="Times New Roman" w:hAnsi="Times New Roman" w:cs="Times New Roman"/>
          <w:sz w:val="24"/>
          <w:szCs w:val="24"/>
        </w:rPr>
        <w:t>Sustainable Waste Management: Recycling Resources and Reducing Solid Waste in</w:t>
      </w:r>
      <w:r>
        <w:rPr>
          <w:rStyle w:val="14"/>
          <w:rFonts w:hint="default" w:cs="Times New Roman"/>
          <w:sz w:val="24"/>
          <w:szCs w:val="24"/>
          <w:lang w:val="en-US"/>
        </w:rPr>
        <w:t xml:space="preserve"> South</w:t>
      </w:r>
      <w:r>
        <w:rPr>
          <w:rStyle w:val="14"/>
          <w:rFonts w:hint="default" w:ascii="Times New Roman" w:hAnsi="Times New Roman" w:cs="Times New Roman"/>
          <w:sz w:val="24"/>
          <w:szCs w:val="24"/>
        </w:rPr>
        <w:t>Asia</w:t>
      </w:r>
    </w:p>
    <w:p w14:paraId="01A05F16">
      <w:pPr>
        <w:pStyle w:val="13"/>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Recycling materials and South Asia's cut in solid garbage helps to maintain sustainable waste management.South Asia, where fast urbanization and population explosion have given rise to rising total of solid waste, find waste management to be an emerging issue. By saving resources, eliminating pollution, and supporting sustainability, recycling and waste reduction help significantly address this problem. Although obstacles persist, several approaches have been rolled out in places including India, Pakistan, Bangladesh, Sri Lanka, and Nepal to enhance waste management.</w:t>
      </w:r>
    </w:p>
    <w:p w14:paraId="0A71E237">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1. India: Building Recycling Infrastructure Faster</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With only some 30% of their 62 million tons of annual garbage being treated, India turns over 62 million pounds of waste yearly. Policies such the Swachh Bharat Mission and the Plastic Waste Management Rules (2016) have been implemented by the government to promote waste separation and recycling. Through community involvement and public-private partnerships, cities including Pune and Indore have</w:t>
      </w:r>
      <w:r>
        <w:rPr>
          <w:rFonts w:hint="default" w:ascii="Times New Roman" w:hAnsi="Times New Roman" w:cs="Times New Roman"/>
          <w:b w:val="0"/>
          <w:bCs w:val="0"/>
          <w:sz w:val="24"/>
          <w:szCs w:val="24"/>
          <w:lang w:val="en-US"/>
        </w:rPr>
        <w:t xml:space="preserve"> shown successful improvement in waste management</w:t>
      </w:r>
      <w:r>
        <w:rPr>
          <w:rFonts w:hint="default" w:ascii="Times New Roman" w:hAnsi="Times New Roman" w:cs="Times New Roman"/>
          <w:b w:val="0"/>
          <w:bCs w:val="0"/>
          <w:sz w:val="24"/>
          <w:szCs w:val="24"/>
        </w:rPr>
        <w:t xml:space="preserve"> .</w:t>
      </w:r>
    </w:p>
    <w:p w14:paraId="16B68DB8">
      <w:pPr>
        <w:pStyle w:val="3"/>
        <w:keepNext w:val="0"/>
        <w:keepLines w:val="0"/>
        <w:widowControl/>
        <w:suppressLineNumbers w:val="0"/>
        <w:spacing w:line="360" w:lineRule="auto"/>
        <w:rPr>
          <w:rFonts w:hint="default" w:ascii="Times New Roman" w:hAnsi="Times New Roman" w:cs="Times New Roman"/>
          <w:b w:val="0"/>
          <w:bCs w:val="0"/>
          <w:sz w:val="24"/>
          <w:szCs w:val="24"/>
          <w:lang w:val="en-US"/>
        </w:rPr>
      </w:pPr>
      <w:r>
        <w:rPr>
          <w:rFonts w:hint="default" w:ascii="Times New Roman" w:hAnsi="Times New Roman" w:cs="Times New Roman"/>
          <w:sz w:val="24"/>
          <w:szCs w:val="24"/>
        </w:rPr>
        <w:t>2. Pakistan: Dealing with Plastic Waste</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Much of the 3.9 million tons of plastic waste Pakistan generates yearly ends up in landfills and bodies of water. Plastic bags are prohibited in several big cities such</w:t>
      </w:r>
      <w:r>
        <w:rPr>
          <w:rFonts w:hint="default" w:ascii="Times New Roman" w:hAnsi="Times New Roman" w:cs="Times New Roman"/>
          <w:b w:val="0"/>
          <w:bCs w:val="0"/>
          <w:sz w:val="24"/>
          <w:szCs w:val="24"/>
          <w:lang w:val="en-US"/>
        </w:rPr>
        <w:t xml:space="preserve"> as </w:t>
      </w:r>
      <w:r>
        <w:rPr>
          <w:rFonts w:hint="default" w:ascii="Times New Roman" w:hAnsi="Times New Roman" w:cs="Times New Roman"/>
          <w:b w:val="0"/>
          <w:bCs w:val="0"/>
          <w:sz w:val="24"/>
          <w:szCs w:val="24"/>
        </w:rPr>
        <w:t>Islamabad and Lahore by the government. Promoting plastic recycling and waste segregation are underway projects such GarbageCAN's and initiatives like</w:t>
      </w:r>
      <w:r>
        <w:rPr>
          <w:rFonts w:hint="default" w:ascii="Times New Roman" w:hAnsi="Times New Roman" w:cs="Times New Roman"/>
          <w:b w:val="0"/>
          <w:bCs w:val="0"/>
          <w:sz w:val="24"/>
          <w:szCs w:val="24"/>
          <w:lang w:val="en-US"/>
        </w:rPr>
        <w:t xml:space="preserve"> Green Earth</w:t>
      </w:r>
      <w:r>
        <w:rPr>
          <w:rFonts w:hint="default" w:ascii="Times New Roman" w:hAnsi="Times New Roman" w:cs="Times New Roman"/>
          <w:b w:val="0"/>
          <w:bCs w:val="0"/>
          <w:sz w:val="24"/>
          <w:szCs w:val="24"/>
        </w:rPr>
        <w:t xml:space="preserve"> Recycl</w:t>
      </w:r>
      <w:r>
        <w:rPr>
          <w:rFonts w:hint="default" w:ascii="Times New Roman" w:hAnsi="Times New Roman" w:cs="Times New Roman"/>
          <w:b w:val="0"/>
          <w:bCs w:val="0"/>
          <w:sz w:val="24"/>
          <w:szCs w:val="24"/>
          <w:lang w:val="en-US"/>
        </w:rPr>
        <w:t>ing(</w:t>
      </w:r>
      <w:r>
        <w:rPr>
          <w:rFonts w:hint="default" w:ascii="Times New Roman" w:hAnsi="Times New Roman" w:cs="Times New Roman"/>
          <w:b w:val="0"/>
          <w:bCs w:val="0"/>
          <w:sz w:val="24"/>
          <w:szCs w:val="24"/>
        </w:rPr>
        <w:t xml:space="preserve"> Pakistan</w:t>
      </w:r>
      <w:r>
        <w:rPr>
          <w:rFonts w:hint="default" w:ascii="Times New Roman" w:hAnsi="Times New Roman" w:cs="Times New Roman"/>
          <w:b w:val="0"/>
          <w:bCs w:val="0"/>
          <w:sz w:val="24"/>
          <w:szCs w:val="24"/>
          <w:lang w:val="en-US"/>
        </w:rPr>
        <w:t>).</w:t>
      </w:r>
    </w:p>
    <w:p w14:paraId="50CE459B">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3. Bangladesh: Converting Rubbish into Power</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Bangladesh is grappling with significant waste disposal problems if just in Dhaka alone daily 14,000 tons of solid waste are produced. Still, efforts including the Waste-to-Energy experiment in Dhaka are reducing landfill waste by transforming organic debris into biogas. The recycling of fabric waste into fresh textiles has also been started by the Bangladesh Garment Industry.</w:t>
      </w:r>
    </w:p>
    <w:p w14:paraId="22831655">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4. Sri Lanka: Initiative on Waste Management Based in Community</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rPr>
        <w:t xml:space="preserve">With more than 50 percent biodegradable, Sri Lanka produces roughly 7,000 metric tons of garbage every day. Through initiatives such </w:t>
      </w:r>
      <w:r>
        <w:rPr>
          <w:rFonts w:hint="default" w:ascii="Times New Roman" w:hAnsi="Times New Roman" w:cs="Times New Roman"/>
          <w:b w:val="0"/>
          <w:bCs w:val="0"/>
          <w:sz w:val="24"/>
          <w:szCs w:val="24"/>
          <w:lang w:val="en-US"/>
        </w:rPr>
        <w:t>as Cental Environment Authority , Greensphere and Eco-friendly volunteers (ECO-V)</w:t>
      </w:r>
      <w:r>
        <w:rPr>
          <w:rFonts w:hint="default" w:ascii="Times New Roman" w:hAnsi="Times New Roman" w:cs="Times New Roman"/>
          <w:b w:val="0"/>
          <w:bCs w:val="0"/>
          <w:sz w:val="24"/>
          <w:szCs w:val="24"/>
        </w:rPr>
        <w:t>, the govern</w:t>
      </w:r>
      <w:r>
        <w:rPr>
          <w:rFonts w:hint="default" w:ascii="Times New Roman" w:hAnsi="Times New Roman" w:cs="Times New Roman"/>
          <w:b w:val="0"/>
          <w:bCs w:val="0"/>
          <w:sz w:val="24"/>
          <w:szCs w:val="24"/>
          <w:lang w:val="en-US"/>
        </w:rPr>
        <w:t>ment and private sector</w:t>
      </w:r>
      <w:r>
        <w:rPr>
          <w:rFonts w:hint="default" w:ascii="Times New Roman" w:hAnsi="Times New Roman" w:cs="Times New Roman"/>
          <w:b w:val="0"/>
          <w:bCs w:val="0"/>
          <w:sz w:val="24"/>
          <w:szCs w:val="24"/>
          <w:lang w:val="en-US"/>
        </w:rPr>
        <w:tab/>
      </w:r>
      <w:r>
        <w:rPr>
          <w:rFonts w:hint="default" w:ascii="Times New Roman" w:hAnsi="Times New Roman" w:cs="Times New Roman"/>
          <w:b w:val="0"/>
          <w:bCs w:val="0"/>
          <w:sz w:val="24"/>
          <w:szCs w:val="24"/>
        </w:rPr>
        <w:t>encourages composting and recycling. The nation has also created regulations for managing E-waste that promote electronic waste recycling.</w:t>
      </w:r>
    </w:p>
    <w:p w14:paraId="02DFAC92">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sz w:val="24"/>
          <w:szCs w:val="24"/>
        </w:rPr>
        <w:t>5. Encouraging Sustainable Recycling Approach in Nepal</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lang w:val="en-US"/>
        </w:rPr>
        <w:t>-</w:t>
      </w:r>
      <w:r>
        <w:rPr>
          <w:rFonts w:hint="default" w:ascii="Times New Roman" w:hAnsi="Times New Roman" w:cs="Times New Roman"/>
          <w:b w:val="0"/>
          <w:bCs w:val="0"/>
          <w:sz w:val="24"/>
          <w:szCs w:val="24"/>
        </w:rPr>
        <w:t>Particularly in Kathmandu, where daily 1,200 tons of waste is generated, Nepal has issues with waste collection. Zero-waste projects and plastic recycling programs are being advanced by nongovernmental organisations and the government. Efficient recycling in companies and homes is supported by initiatives like "Doko Recyclers."</w:t>
      </w:r>
    </w:p>
    <w:p w14:paraId="1243E3E4">
      <w:pPr>
        <w:pStyle w:val="3"/>
        <w:keepNext w:val="0"/>
        <w:keepLines w:val="0"/>
        <w:widowControl/>
        <w:suppressLineNumbers w:val="0"/>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Reducing solid waste </w:t>
      </w:r>
      <w:r>
        <w:rPr>
          <w:rFonts w:hint="default" w:ascii="Times New Roman" w:hAnsi="Times New Roman" w:cs="Times New Roman"/>
          <w:b w:val="0"/>
          <w:bCs w:val="0"/>
          <w:sz w:val="24"/>
          <w:szCs w:val="24"/>
          <w:lang w:val="en-US"/>
        </w:rPr>
        <w:t xml:space="preserve">,reusing </w:t>
      </w:r>
      <w:r>
        <w:rPr>
          <w:rFonts w:hint="default" w:ascii="Times New Roman" w:hAnsi="Times New Roman" w:cs="Times New Roman"/>
          <w:b w:val="0"/>
          <w:bCs w:val="0"/>
          <w:sz w:val="24"/>
          <w:szCs w:val="24"/>
        </w:rPr>
        <w:t>and recycling are fundamental for environmental sustainability in South Asia. Although policies and programs have helped, obstacles such</w:t>
      </w:r>
      <w:r>
        <w:rPr>
          <w:rFonts w:hint="default" w:ascii="Times New Roman" w:hAnsi="Times New Roman" w:cs="Times New Roman"/>
          <w:b w:val="0"/>
          <w:bCs w:val="0"/>
          <w:sz w:val="24"/>
          <w:szCs w:val="24"/>
          <w:lang w:val="en-US"/>
        </w:rPr>
        <w:t xml:space="preserve"> as </w:t>
      </w:r>
      <w:r>
        <w:rPr>
          <w:rFonts w:hint="default" w:ascii="Times New Roman" w:hAnsi="Times New Roman" w:cs="Times New Roman"/>
          <w:b w:val="0"/>
          <w:bCs w:val="0"/>
          <w:sz w:val="24"/>
          <w:szCs w:val="24"/>
        </w:rPr>
        <w:t xml:space="preserve"> informal waste collection systems, lack of awareness, and poor infrastructure</w:t>
      </w:r>
      <w:r>
        <w:rPr>
          <w:rFonts w:hint="default" w:ascii="Times New Roman" w:hAnsi="Times New Roman" w:cs="Times New Roman"/>
          <w:b w:val="0"/>
          <w:bCs w:val="0"/>
          <w:sz w:val="24"/>
          <w:szCs w:val="24"/>
          <w:lang w:val="en-US"/>
        </w:rPr>
        <w:t>, past practices,government policies and economic structures have contributed to a web of ecological issues that must be understood to devise effective solutions</w:t>
      </w:r>
      <w:r>
        <w:rPr>
          <w:rFonts w:hint="default" w:ascii="Times New Roman" w:hAnsi="Times New Roman" w:cs="Times New Roman"/>
          <w:b w:val="0"/>
          <w:bCs w:val="0"/>
          <w:sz w:val="24"/>
          <w:szCs w:val="24"/>
        </w:rPr>
        <w:t>. More sustainable waste management in the region can be achieved by</w:t>
      </w:r>
      <w:r>
        <w:rPr>
          <w:rFonts w:hint="default" w:ascii="Times New Roman" w:hAnsi="Times New Roman" w:cs="Times New Roman"/>
          <w:b w:val="0"/>
          <w:bCs w:val="0"/>
          <w:sz w:val="24"/>
          <w:szCs w:val="24"/>
          <w:lang w:val="en-US"/>
        </w:rPr>
        <w:t xml:space="preserve"> </w:t>
      </w:r>
      <w:r>
        <w:rPr>
          <w:rFonts w:hint="default" w:ascii="Times New Roman" w:hAnsi="Times New Roman" w:cs="Times New Roman"/>
          <w:b w:val="0"/>
          <w:bCs w:val="0"/>
          <w:sz w:val="24"/>
          <w:szCs w:val="24"/>
        </w:rPr>
        <w:t>improving waste management systems, supporting recycling businesses, and fostering community engagement.</w:t>
      </w:r>
    </w:p>
    <w:p w14:paraId="12CB4434">
      <w:pPr>
        <w:spacing w:line="360" w:lineRule="auto"/>
        <w:rPr>
          <w:rFonts w:hint="default" w:ascii="Times New Roman" w:hAnsi="Times New Roman" w:cs="Times New Roman"/>
          <w:b/>
          <w:bCs/>
        </w:rPr>
      </w:pPr>
    </w:p>
    <w:p w14:paraId="160BA181">
      <w:pPr>
        <w:keepNext w:val="0"/>
        <w:keepLines w:val="0"/>
        <w:widowControl/>
        <w:suppressLineNumbers w:val="0"/>
        <w:jc w:val="left"/>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Literature Review</w:t>
      </w:r>
    </w:p>
    <w:p w14:paraId="54072E96">
      <w:pPr>
        <w:keepNext w:val="0"/>
        <w:keepLines w:val="0"/>
        <w:widowControl/>
        <w:suppressLineNumbers w:val="0"/>
        <w:jc w:val="left"/>
        <w:rPr>
          <w:rFonts w:hint="default" w:ascii="Times New Roman" w:hAnsi="Times New Roman" w:cs="Times New Roman"/>
          <w:sz w:val="22"/>
          <w:szCs w:val="22"/>
        </w:rPr>
      </w:pPr>
    </w:p>
    <w:p w14:paraId="344AA95E">
      <w:pPr>
        <w:pStyle w:val="13"/>
        <w:keepNext w:val="0"/>
        <w:keepLines w:val="0"/>
        <w:widowControl/>
        <w:suppressLineNumbers w:val="0"/>
        <w:spacing w:line="360" w:lineRule="auto"/>
      </w:pPr>
      <w:r>
        <w:rPr>
          <w:rStyle w:val="14"/>
          <w:rFonts w:hint="default"/>
          <w:b w:val="0"/>
          <w:bCs w:val="0"/>
        </w:rPr>
        <w:t xml:space="preserve">The pursuit of carbon neutrality in South Asia, particularly through the lens of the circular economy (CE), necessitates an examination of various models, practices, and policies that promote sustainability. In countries like India, Bangladesh, Pakistan, Nepal, and Sri Lanka, the concept of a circular economy presents a strategic framework to decouple economic prosperity from resource </w:t>
      </w:r>
      <w:r>
        <w:rPr>
          <w:rFonts w:hint="default" w:ascii="Times New Roman" w:hAnsi="Times New Roman" w:eastAsia="sans-serif" w:cs="Times New Roman"/>
          <w:i w:val="0"/>
          <w:iCs w:val="0"/>
          <w:caps w:val="0"/>
          <w:color w:val="333A3F"/>
          <w:spacing w:val="0"/>
          <w:sz w:val="24"/>
          <w:szCs w:val="24"/>
          <w:shd w:val="clear" w:fill="FFFFFF"/>
        </w:rPr>
        <w:t>exploitation and environmental degradation.In India, significant advancements have been made through circular economy business models that emphasize reduction, recycling, and reuse.</w:t>
      </w:r>
      <w:r>
        <w:rPr>
          <w:rFonts w:hint="default" w:ascii="Times New Roman" w:hAnsi="Times New Roman" w:eastAsia="SimSun" w:cs="Times New Roman"/>
          <w:sz w:val="24"/>
          <w:szCs w:val="24"/>
        </w:rPr>
        <w:t xml:space="preserve">The CE model, which aims to design out waste and pollution, keep products and materials in use, and regenerate natural systems, offers an integrated solution to decouple economic growth from environmental degradation (Geissdoerfer et al., 2017). Countries like India, Bangladesh, Pakistan, Nepal, and Sri Lanka are beginning to explore CE as a pathway not only to carbon neutrality but also to sustainable development. Yet, this transition remains complex due to fragmented policies, weak institutional capacity, inadequate financial support, and limited technological readiness </w:t>
      </w:r>
      <w:r>
        <w:rPr>
          <w:rFonts w:ascii="SimSun" w:hAnsi="SimSun" w:eastAsia="SimSun" w:cs="SimSun"/>
          <w:sz w:val="24"/>
          <w:szCs w:val="24"/>
        </w:rPr>
        <w:t>.</w:t>
      </w:r>
      <w:r>
        <w:rPr>
          <w:rFonts w:hint="default" w:ascii="Times New Roman" w:hAnsi="Times New Roman" w:eastAsia="sans-serif" w:cs="Times New Roman"/>
          <w:i w:val="0"/>
          <w:iCs w:val="0"/>
          <w:caps w:val="0"/>
          <w:color w:val="333A3F"/>
          <w:spacing w:val="0"/>
          <w:sz w:val="24"/>
          <w:szCs w:val="24"/>
          <w:shd w:val="clear" w:fill="FFFFFF"/>
        </w:rPr>
        <w:t xml:space="preserve"> The research delineates a pathway for rural regions to leverage local resources effectively while creating sustainable energy solutions, thereby fostering both economic and environmental resilience</w:t>
      </w:r>
      <w:r>
        <w:rPr>
          <w:rFonts w:hint="default" w:eastAsia="sans-serif" w:cs="Times New Roman"/>
          <w:i w:val="0"/>
          <w:iCs w:val="0"/>
          <w:caps w:val="0"/>
          <w:color w:val="333A3F"/>
          <w:spacing w:val="0"/>
          <w:sz w:val="24"/>
          <w:szCs w:val="24"/>
          <w:shd w:val="clear" w:fill="FFFFFF"/>
          <w:lang w:val="en-US"/>
        </w:rPr>
        <w:t xml:space="preserve">.                                                                                                                                                        </w:t>
      </w:r>
      <w:r>
        <w:t>The theoretical foundations of CE are rooted in systems innovation and industrial ecology, emphasizing a regenerative economic model where the end-of-life of one product feeds into the lifecycle of another. This stands in contrast to the linear "take-make-dispose" approach that dominates much of South Asia’s industrial landscape (Kirchherr et al., 2018). The CE model aligns with the United Nations’ Sustainable Development Goals (SDGs), especially SDG 12 (Responsible Consumption and Production), SDG 9 (Industry, Innovation, and Infrastructure), and SDG 13 (Climate Action), offering a systems-level transformation that is both socially inclusive and environmentally regenerative (Ferraz &amp; Pyka, 2023). South Asia’s historical practices in reuse, repair, and informal recycling already reflect grassroots versions of CE, making the region a fertile ground for scaling circular innovations (Complexities and Challenges of the Circular Economy Transition, 2023).</w:t>
      </w:r>
      <w:r>
        <w:rPr>
          <w:rFonts w:hint="default"/>
          <w:lang w:val="en-US"/>
        </w:rPr>
        <w:t xml:space="preserve">                                                                                                                                                                  </w:t>
      </w:r>
      <w:r>
        <w:t>India has emerged as a regional frontrunner in formalizing CE practices through structured policies and programs. The Swachh Bharat Abhiyan focuses on waste segregation and recycling, while the National Resource Efficiency Policy promotes the efficient use of materials across sectors. The Atal Innovation Mission supports CE startups, and the recently proposed Extended Producer Responsibility (EPR) framework for plastics mandates companies to manage end-of-life waste (MoEFCC, 2022). Additionally, India’s Resource Efficiency and Circular Economy Industry Coalition under the G20 framework seeks to foster public-private partnerships and industry-wide collaboration (Sheth, 2024). However, these initiatives are often hindered by policy silos, limited stakeholder coordination, and uneven implementation across states.</w:t>
      </w:r>
      <w:r>
        <w:rPr>
          <w:rFonts w:hint="default"/>
          <w:lang w:val="en-US"/>
        </w:rPr>
        <w:t xml:space="preserve">                                                                                                                                                    </w:t>
      </w:r>
      <w:r>
        <w:t>Bangladesh has demonstrated notable progress in integrating CE principles into its garment sector, which accounts for the majority of its exports. In order to transform waste into value, numerous organizations and researchers have been working on CE and putting various waste reduction techniques, such as recycling, reusing, and repurposing, into practice. For trash reduction, a variety of recycling methods—mechanical, chemical, biochemical, and thermal—are employed. There are several uses for these recycled cellulosic materials, such as in the packaging, biomass energy production, and textile and pulp sectors. Furthermore, a variety of craft products, such as Naksi Katha, embroidery items, home décor items, etc., are well-liked concepts for recycling and reusing textile waste.</w:t>
      </w:r>
      <w:r>
        <w:rPr>
          <w:rFonts w:hint="default" w:ascii="Times New Roman" w:hAnsi="Times New Roman" w:cs="Times New Roman"/>
          <w:lang w:val="en-US"/>
        </w:rPr>
        <w:t>(</w:t>
      </w:r>
      <w:r>
        <w:rPr>
          <w:rFonts w:hint="default" w:ascii="Times New Roman" w:hAnsi="Times New Roman" w:eastAsia="SimSun" w:cs="Times New Roman"/>
          <w:sz w:val="24"/>
          <w:szCs w:val="24"/>
        </w:rPr>
        <w:t>Das et al., 2025</w:t>
      </w:r>
      <w:r>
        <w:rPr>
          <w:rFonts w:ascii="SimSun" w:hAnsi="SimSun" w:eastAsia="SimSun" w:cs="SimSun"/>
          <w:sz w:val="24"/>
          <w:szCs w:val="24"/>
        </w:rPr>
        <w:t>)</w:t>
      </w:r>
      <w:r>
        <w:t>. Nevertheless, CE implementation remains confined to export-oriented industries, while urban waste management and agriculture continue to follow linear models. Institutional and infrastructural challenges, such as inadequate recycling facilities and poor regulatory enforcement, limit broader adoption (ADB, 2021).</w:t>
      </w:r>
      <w:r>
        <w:rPr>
          <w:rFonts w:hint="default"/>
          <w:lang w:val="en-US"/>
        </w:rPr>
        <w:t xml:space="preserve">                                                                                                                                             </w:t>
      </w:r>
      <w:r>
        <w:t>Pakistan’s policy landscape is gradually shifting toward renewable energy and CE-based industrial reforms. The country’s Alternative and Renewable Energy Policy (2019) aims for 30% of power generation from renewables by 2030, aligning with CE goals of reducing fossil fuel dependency (IRENA, 2023). Initiatives like waste-to-energy plants and industrial symbiosis models are being piloted, especially in Punjab and Sindh provinces. However, limited financial incentives, outdated technologies, and inconsistent power grids pose significant barriers . Moreover, Pakistan is exploring the Circular Carbon Economy (CCE) framework, which incorporates carbon capture, utilization, and storage (CCUS) technologies, although progress is constrained by cost and capacity (IEA, 2022).</w:t>
      </w:r>
      <w:r>
        <w:rPr>
          <w:rFonts w:hint="default"/>
          <w:lang w:val="en-US"/>
        </w:rPr>
        <w:t xml:space="preserve">                                                                                            </w:t>
      </w:r>
      <w:r>
        <w:t>Nepal’s focus lies in circularity within agriculture and forestry. Traditional practices of organic farming and community forest management exhibit strong alignment with CE principles. The government is also encouraging renewable energy use in rural areas through mini-hydro and solar projects, reducing reliance on biomass and kerosene (ADB, 2021). Nevertheless, Nepal lacks a centralized CE strategy, and implementation is often localized and donor-driven.</w:t>
      </w:r>
      <w:r>
        <w:rPr>
          <w:rFonts w:hint="default"/>
          <w:lang w:val="en-US"/>
        </w:rPr>
        <w:t xml:space="preserve">                                                                                           </w:t>
      </w:r>
      <w:r>
        <w:t>Sri Lanka’s approach to CE is tied closely to its tourism and fisheries sectors. The Sustainable Consumption and Production Roadmap aims to reduce waste, encourage eco-tourism, and integrate CE into municipal waste management. Pilot programs promoting plastic bans and composting have gained momentum in cities like Colombo and Galle (UNESCAP, 2022).</w:t>
      </w:r>
      <w:r>
        <w:rPr>
          <w:rFonts w:hint="default"/>
          <w:lang w:val="en-US"/>
        </w:rPr>
        <w:t xml:space="preserve"> </w:t>
      </w:r>
      <w:r>
        <w:t>Regionally, energy transformation is pivotal to achieving carbon neutrality. India leads the region with investments in solar and wind energy, supported by initiatives like the International Solar Alliance and Ujjwala Yojana, which distributes LPG to reduce biomass use (IRENA, 2023). Pakistan and Sri Lanka have initiated policy reforms to promote renewable energy, but infrastructural deficits and financial barriers persist. Bangladesh and Nepal, despite having renewable potential, lack consistent policies and access to green finance mechanisms, impeding large-scale transitions (Song et al., 2023).</w:t>
      </w:r>
      <w:r>
        <w:rPr>
          <w:rFonts w:hint="default"/>
          <w:lang w:val="en-US"/>
        </w:rPr>
        <w:t xml:space="preserve">                                                                                                                                     </w:t>
      </w:r>
      <w:r>
        <w:t>International case studies offer valuable insights. Southeast As. The Sustainable Manufacturing and Environmental Pollution (SMEP) Programme in Sub-Saharan Africa shows how CE can be embedded in pollution-reduction strategies, offering replicable models for South Asia (SMEP, 2022). In Europe, circularity is mainstreamed through the European Green Deal, which mandates extended producer responsibility, circular design standards, and digital product passports (Complexities</w:t>
      </w:r>
      <w:r>
        <w:rPr>
          <w:rFonts w:hint="default"/>
          <w:lang w:val="en-US"/>
        </w:rPr>
        <w:t xml:space="preserve"> and </w:t>
      </w:r>
      <w:r>
        <w:t>Challenges of the Circular Economy Transition, 2023). South Asian countries can draw from these experiences to develop measurable indicators, promote green jobs, and foster cross-sectoral coordination.</w:t>
      </w:r>
      <w:r>
        <w:rPr>
          <w:rFonts w:hint="default"/>
          <w:lang w:val="en-US"/>
        </w:rPr>
        <w:t xml:space="preserve">  </w:t>
      </w:r>
      <w:r>
        <w:t>Despite these efforts, key research and implementation gaps remain. Micro, Small, and Medium Enterprises (MSMEs), which form the backbone of South Asian economies, are largely excluded from CE transitions due to lack of awareness, high upfront costs, and limited technical knowledge (Virmani et al., 2022). Tailored interventions such as capacity-building workshops, subsidized technologies, and credit guarantees are necessary to integrate MSMEs into circular value chains. Green finance is another underdeveloped area. Although instruments like green bonds and impact investing are gaining popularity globally, South Asia lacks the regulatory frameworks and investor confidence needed to scale them effectively (Song et al., 2023).</w:t>
      </w:r>
    </w:p>
    <w:p w14:paraId="670F06CB">
      <w:pPr>
        <w:pStyle w:val="13"/>
        <w:keepNext w:val="0"/>
        <w:keepLines w:val="0"/>
        <w:widowControl/>
        <w:suppressLineNumbers w:val="0"/>
        <w:spacing w:before="0" w:beforeAutospacing="1" w:after="0" w:afterAutospacing="1" w:line="360" w:lineRule="auto"/>
        <w:ind w:left="0" w:right="0"/>
        <w:rPr>
          <w:rFonts w:hint="default" w:ascii="Times New Roman" w:hAnsi="Times New Roman" w:cs="Times New Roman"/>
          <w:sz w:val="24"/>
          <w:szCs w:val="24"/>
          <w:lang w:val="en-US"/>
        </w:rPr>
      </w:pPr>
      <w:r>
        <w:t>Furthermore, nature-based solutions (NbS), such as reforestation, wetland restoration, and regenerative agriculture, remain under-researched in their synergy with CE. Given South Asia’s high dependence on natural resources and its vulnerability to climate-related disasters, integrating NbS into CE frameworks could provide dual benefits of climate resilience and carbon mitigation . However, geopolitical tensions, land-use conflicts, and insufficient data on ecosystem services hamper the development of NbS at scale.</w:t>
      </w:r>
      <w:r>
        <w:rPr>
          <w:rFonts w:hint="default"/>
          <w:lang w:val="en-US"/>
        </w:rPr>
        <w:t xml:space="preserve">                                                                                                                           </w:t>
      </w:r>
      <w:r>
        <w:t>Institutionally, most South Asian countries lack centralized CE bodies or inter-ministerial task forces to harmonize efforts across sectors. Regional collaboration, through platforms like SAARC and BIMSTEC, has potential to promote cross-border knowledge sharing, harmonize standards, and co-develop climate-resilient infrastructure (UNESCAP, 2022). However, political divergences and limited funding have so far curtailed the effectiveness of these platforms.</w:t>
      </w:r>
      <w:r>
        <w:rPr>
          <w:rFonts w:hint="default"/>
          <w:lang w:val="en-US"/>
        </w:rPr>
        <w:t xml:space="preserve">                                                                                                        </w:t>
      </w:r>
      <w:r>
        <w:t>In conclusion, South Asia is at a critical juncture where transitioning to a circular economy can serve as a linchpin for achieving carbon neutrality. While promising initiatives are underway in countries like India and Bangladesh, systemic transformation is impeded by institutional, financial, and technological barriers. Sector-specific successes, such as textile recycling in Bangladesh or solar expansion in India, must be scaled and replicated across the region through integrated policies and innovative financing</w:t>
      </w:r>
      <w:r>
        <w:rPr>
          <w:rFonts w:hint="default"/>
          <w:lang w:val="en-US"/>
        </w:rPr>
        <w:t xml:space="preserve"> along with u</w:t>
      </w:r>
      <w:r>
        <w:t>rban planning, waste management, and infrastructural developments must be harmonized across regions to ensure balanced economic growth that does not compromise environmental integrity</w:t>
      </w:r>
      <w:r>
        <w:rPr>
          <w:rFonts w:hint="default"/>
          <w:lang w:val="en-US"/>
        </w:rPr>
        <w:t>.</w:t>
      </w:r>
      <w:r>
        <w:t>. Lessons from international case studies highlight the value of metrics, stakeholder collaboration, and adaptive policy frameworks. Addressing gaps in MSME integration, green finance, and nature-based solutions will be vital to realizing the full potential of CE in mitigating carbon emissions and promoting sustainable development. Only through a concerted regional effort—combining policy coherence, community engagement, and cross-border collaboration—can South Asia harness the circular economy as a transformative force for carbon neutrality and climate resilience</w:t>
      </w:r>
      <w:r>
        <w:rPr>
          <w:rFonts w:hint="default"/>
          <w:lang w:val="en-US"/>
        </w:rPr>
        <w:t>.</w:t>
      </w:r>
    </w:p>
    <w:p w14:paraId="2E08B757">
      <w:pPr>
        <w:keepNext w:val="0"/>
        <w:keepLines w:val="0"/>
        <w:widowControl/>
        <w:suppressLineNumbers w:val="0"/>
        <w:shd w:val="clear" w:fill="FFFFFF"/>
        <w:spacing w:line="360" w:lineRule="auto"/>
        <w:ind w:left="0" w:firstLine="0"/>
        <w:jc w:val="left"/>
        <w:rPr>
          <w:rFonts w:hint="default" w:ascii="Times New Roman" w:hAnsi="Times New Roman" w:eastAsia="SimSun" w:cs="Times New Roman"/>
          <w:b/>
          <w:bCs/>
          <w:sz w:val="24"/>
          <w:szCs w:val="24"/>
          <w:u w:val="single"/>
          <w:lang w:val="en-US"/>
        </w:rPr>
      </w:pPr>
      <w:r>
        <w:rPr>
          <w:rFonts w:hint="default" w:ascii="Times New Roman" w:hAnsi="Times New Roman" w:eastAsia="SimSun" w:cs="Times New Roman"/>
          <w:b/>
          <w:bCs/>
          <w:sz w:val="24"/>
          <w:szCs w:val="24"/>
          <w:u w:val="single"/>
          <w:lang w:val="en-US"/>
        </w:rPr>
        <w:t>Objectives and Methodology</w:t>
      </w:r>
    </w:p>
    <w:p w14:paraId="3DD66C66">
      <w:pPr>
        <w:pStyle w:val="13"/>
        <w:keepNext w:val="0"/>
        <w:keepLines w:val="0"/>
        <w:widowControl/>
        <w:suppressLineNumbers w:val="0"/>
        <w:wordWrap/>
        <w:spacing w:before="0" w:beforeAutospacing="0" w:after="210" w:afterAutospacing="0" w:line="360" w:lineRule="auto"/>
        <w:ind w:left="0" w:right="0"/>
        <w:rPr>
          <w:rFonts w:hint="default" w:cs="Times New Roman"/>
          <w:i w:val="0"/>
          <w:iCs w:val="0"/>
          <w:caps w:val="0"/>
          <w:color w:val="222222"/>
          <w:spacing w:val="0"/>
          <w:sz w:val="24"/>
          <w:szCs w:val="24"/>
          <w:shd w:val="clear" w:fill="FFFFFF"/>
          <w:lang w:val="en-US"/>
        </w:rPr>
      </w:pPr>
      <w:r>
        <w:rPr>
          <w:rFonts w:hint="default" w:ascii="Times New Roman" w:hAnsi="Times New Roman" w:cs="Times New Roman"/>
          <w:i w:val="0"/>
          <w:iCs w:val="0"/>
          <w:caps w:val="0"/>
          <w:color w:val="222222"/>
          <w:spacing w:val="0"/>
          <w:sz w:val="24"/>
          <w:szCs w:val="24"/>
          <w:shd w:val="clear" w:fill="FFFFFF"/>
        </w:rPr>
        <w:t xml:space="preserve">The </w:t>
      </w:r>
      <w:r>
        <w:rPr>
          <w:rFonts w:hint="default" w:ascii="Times New Roman" w:hAnsi="Times New Roman" w:cs="Times New Roman"/>
          <w:i w:val="0"/>
          <w:iCs w:val="0"/>
          <w:caps w:val="0"/>
          <w:color w:val="222222"/>
          <w:spacing w:val="0"/>
          <w:sz w:val="24"/>
          <w:szCs w:val="24"/>
          <w:shd w:val="clear" w:fill="FFFFFF"/>
          <w:lang w:val="en-US"/>
        </w:rPr>
        <w:t xml:space="preserve">primary objectives </w:t>
      </w:r>
      <w:r>
        <w:rPr>
          <w:rFonts w:hint="default" w:ascii="Times New Roman" w:hAnsi="Times New Roman" w:cs="Times New Roman"/>
          <w:i w:val="0"/>
          <w:iCs w:val="0"/>
          <w:caps w:val="0"/>
          <w:color w:val="222222"/>
          <w:spacing w:val="0"/>
          <w:sz w:val="24"/>
          <w:szCs w:val="24"/>
          <w:shd w:val="clear" w:fill="FFFFFF"/>
        </w:rPr>
        <w:t>of this research paper about reaching carbon neutrality through a circular economy in South Asia are:</w:t>
      </w:r>
      <w:r>
        <w:rPr>
          <w:rFonts w:hint="default" w:cs="Times New Roman"/>
          <w:i w:val="0"/>
          <w:iCs w:val="0"/>
          <w:caps w:val="0"/>
          <w:color w:val="222222"/>
          <w:spacing w:val="0"/>
          <w:sz w:val="24"/>
          <w:szCs w:val="24"/>
          <w:shd w:val="clear" w:fill="FFFFFF"/>
          <w:lang w:val="en-US"/>
        </w:rPr>
        <w:t xml:space="preserve">                                                                                                                                      </w:t>
      </w:r>
      <w:r>
        <w:rPr>
          <w:rFonts w:hint="default" w:ascii="Times New Roman" w:hAnsi="Times New Roman" w:cs="Times New Roman"/>
          <w:b/>
          <w:bCs/>
          <w:i w:val="0"/>
          <w:iCs w:val="0"/>
          <w:caps w:val="0"/>
          <w:color w:val="222222"/>
          <w:spacing w:val="0"/>
          <w:sz w:val="24"/>
          <w:szCs w:val="24"/>
          <w:shd w:val="clear" w:fill="FFFFFF"/>
        </w:rPr>
        <w:t>Complete Analysis</w:t>
      </w:r>
      <w:r>
        <w:rPr>
          <w:rFonts w:hint="default" w:ascii="Times New Roman" w:hAnsi="Times New Roman" w:cs="Times New Roman"/>
          <w:i w:val="0"/>
          <w:iCs w:val="0"/>
          <w:caps w:val="0"/>
          <w:color w:val="222222"/>
          <w:spacing w:val="0"/>
          <w:sz w:val="24"/>
          <w:szCs w:val="24"/>
          <w:shd w:val="clear" w:fill="FFFFFF"/>
        </w:rPr>
        <w:t xml:space="preserve">: </w:t>
      </w:r>
      <w:r>
        <w:rPr>
          <w:rFonts w:hint="default" w:ascii="Times New Roman" w:hAnsi="Times New Roman" w:cs="Times New Roman"/>
          <w:i w:val="0"/>
          <w:iCs w:val="0"/>
          <w:caps w:val="0"/>
          <w:color w:val="222222"/>
          <w:spacing w:val="0"/>
          <w:sz w:val="24"/>
          <w:szCs w:val="24"/>
          <w:shd w:val="clear" w:fill="FFFFFF"/>
          <w:lang w:val="en-US"/>
        </w:rPr>
        <w:t xml:space="preserve">It provides insights of </w:t>
      </w:r>
      <w:r>
        <w:rPr>
          <w:rFonts w:hint="default" w:ascii="Times New Roman" w:hAnsi="Times New Roman" w:cs="Times New Roman"/>
          <w:i w:val="0"/>
          <w:iCs w:val="0"/>
          <w:caps w:val="0"/>
          <w:color w:val="222222"/>
          <w:spacing w:val="0"/>
          <w:sz w:val="24"/>
          <w:szCs w:val="24"/>
          <w:shd w:val="clear" w:fill="FFFFFF"/>
        </w:rPr>
        <w:t xml:space="preserve"> how circular economy ideas can help lower carbon emissions and improve environmental health in South Asian countries.</w:t>
      </w:r>
      <w:r>
        <w:rPr>
          <w:rFonts w:hint="default" w:ascii="Times New Roman" w:hAnsi="Times New Roman" w:cs="Times New Roman"/>
          <w:i w:val="0"/>
          <w:iCs w:val="0"/>
          <w:caps w:val="0"/>
          <w:color w:val="222222"/>
          <w:spacing w:val="0"/>
          <w:sz w:val="24"/>
          <w:szCs w:val="24"/>
          <w:shd w:val="clear" w:fill="FFFFFF"/>
        </w:rPr>
        <w:br w:type="textWrapping"/>
      </w:r>
      <w:r>
        <w:rPr>
          <w:rFonts w:hint="default" w:ascii="Times New Roman" w:hAnsi="Times New Roman" w:cs="Times New Roman"/>
          <w:b/>
          <w:bCs/>
          <w:i w:val="0"/>
          <w:iCs w:val="0"/>
          <w:caps w:val="0"/>
          <w:color w:val="222222"/>
          <w:spacing w:val="0"/>
          <w:sz w:val="24"/>
          <w:szCs w:val="24"/>
          <w:shd w:val="clear" w:fill="FFFFFF"/>
        </w:rPr>
        <w:t>Policy Investigation</w:t>
      </w:r>
      <w:r>
        <w:rPr>
          <w:rFonts w:hint="default" w:ascii="Times New Roman" w:hAnsi="Times New Roman" w:cs="Times New Roman"/>
          <w:i w:val="0"/>
          <w:iCs w:val="0"/>
          <w:caps w:val="0"/>
          <w:color w:val="222222"/>
          <w:spacing w:val="0"/>
          <w:sz w:val="24"/>
          <w:szCs w:val="24"/>
          <w:shd w:val="clear" w:fill="FFFFFF"/>
        </w:rPr>
        <w:t>: Study current policies, programs, and frameworks that encourage carbon neutrality and circular economy practices in India, Pakistan, Bangladesh, Nepal, and Sri Lanka.</w:t>
      </w:r>
      <w:r>
        <w:rPr>
          <w:rFonts w:hint="default" w:ascii="Times New Roman" w:hAnsi="Times New Roman" w:cs="Times New Roman"/>
          <w:i w:val="0"/>
          <w:iCs w:val="0"/>
          <w:caps w:val="0"/>
          <w:color w:val="222222"/>
          <w:spacing w:val="0"/>
          <w:sz w:val="24"/>
          <w:szCs w:val="24"/>
          <w:shd w:val="clear" w:fill="FFFFFF"/>
        </w:rPr>
        <w:br w:type="textWrapping"/>
      </w:r>
      <w:r>
        <w:rPr>
          <w:rFonts w:hint="default" w:ascii="Times New Roman" w:hAnsi="Times New Roman" w:cs="Times New Roman"/>
          <w:b/>
          <w:bCs/>
          <w:i w:val="0"/>
          <w:iCs w:val="0"/>
          <w:caps w:val="0"/>
          <w:color w:val="222222"/>
          <w:spacing w:val="0"/>
          <w:sz w:val="24"/>
          <w:szCs w:val="24"/>
          <w:shd w:val="clear" w:fill="FFFFFF"/>
        </w:rPr>
        <w:t>Waste Management Review</w:t>
      </w:r>
      <w:r>
        <w:rPr>
          <w:rFonts w:hint="default" w:ascii="Times New Roman" w:hAnsi="Times New Roman" w:cs="Times New Roman"/>
          <w:i w:val="0"/>
          <w:iCs w:val="0"/>
          <w:caps w:val="0"/>
          <w:color w:val="222222"/>
          <w:spacing w:val="0"/>
          <w:sz w:val="24"/>
          <w:szCs w:val="24"/>
          <w:shd w:val="clear" w:fill="FFFFFF"/>
        </w:rPr>
        <w:t>: Examine existing waste management methods and their role in cutting carbon emissions and increasing resource efficiency.</w:t>
      </w:r>
      <w:r>
        <w:rPr>
          <w:rFonts w:hint="default" w:ascii="Times New Roman" w:hAnsi="Times New Roman" w:cs="Times New Roman"/>
          <w:i w:val="0"/>
          <w:iCs w:val="0"/>
          <w:caps w:val="0"/>
          <w:color w:val="222222"/>
          <w:spacing w:val="0"/>
          <w:sz w:val="24"/>
          <w:szCs w:val="24"/>
          <w:shd w:val="clear" w:fill="FFFFFF"/>
        </w:rPr>
        <w:br w:type="textWrapping"/>
      </w:r>
      <w:r>
        <w:rPr>
          <w:rFonts w:hint="default" w:ascii="Times New Roman" w:hAnsi="Times New Roman" w:cs="Times New Roman"/>
          <w:b/>
          <w:bCs/>
          <w:i w:val="0"/>
          <w:iCs w:val="0"/>
          <w:caps w:val="0"/>
          <w:color w:val="222222"/>
          <w:spacing w:val="0"/>
          <w:sz w:val="24"/>
          <w:szCs w:val="24"/>
          <w:shd w:val="clear" w:fill="FFFFFF"/>
        </w:rPr>
        <w:t>Technological Solutions</w:t>
      </w:r>
      <w:r>
        <w:rPr>
          <w:rFonts w:hint="default" w:ascii="Times New Roman" w:hAnsi="Times New Roman" w:cs="Times New Roman"/>
          <w:i w:val="0"/>
          <w:iCs w:val="0"/>
          <w:caps w:val="0"/>
          <w:color w:val="222222"/>
          <w:spacing w:val="0"/>
          <w:sz w:val="24"/>
          <w:szCs w:val="24"/>
          <w:shd w:val="clear" w:fill="FFFFFF"/>
        </w:rPr>
        <w:t>: Investigate new methods and technology that can aid in moving to</w:t>
      </w:r>
      <w:r>
        <w:rPr>
          <w:rFonts w:hint="default" w:ascii="Times New Roman" w:hAnsi="Times New Roman" w:cs="Times New Roman"/>
          <w:i w:val="0"/>
          <w:iCs w:val="0"/>
          <w:caps w:val="0"/>
          <w:color w:val="222222"/>
          <w:spacing w:val="0"/>
          <w:sz w:val="24"/>
          <w:szCs w:val="24"/>
          <w:shd w:val="clear" w:fill="FFFFFF"/>
          <w:lang w:val="en-US"/>
        </w:rPr>
        <w:t>wards</w:t>
      </w:r>
      <w:r>
        <w:rPr>
          <w:rFonts w:hint="default" w:ascii="Times New Roman" w:hAnsi="Times New Roman" w:cs="Times New Roman"/>
          <w:i w:val="0"/>
          <w:iCs w:val="0"/>
          <w:caps w:val="0"/>
          <w:color w:val="222222"/>
          <w:spacing w:val="0"/>
          <w:sz w:val="24"/>
          <w:szCs w:val="24"/>
          <w:shd w:val="clear" w:fill="FFFFFF"/>
        </w:rPr>
        <w:t xml:space="preserve"> circular economy model.</w:t>
      </w:r>
      <w:r>
        <w:rPr>
          <w:rFonts w:hint="default" w:ascii="Times New Roman" w:hAnsi="Times New Roman" w:cs="Times New Roman"/>
          <w:i w:val="0"/>
          <w:iCs w:val="0"/>
          <w:caps w:val="0"/>
          <w:color w:val="222222"/>
          <w:spacing w:val="0"/>
          <w:sz w:val="24"/>
          <w:szCs w:val="24"/>
          <w:shd w:val="clear" w:fill="FFFFFF"/>
        </w:rPr>
        <w:br w:type="textWrapping"/>
      </w:r>
      <w:r>
        <w:rPr>
          <w:rFonts w:hint="default" w:ascii="Times New Roman" w:hAnsi="Times New Roman" w:cs="Times New Roman"/>
          <w:b/>
          <w:bCs/>
          <w:i w:val="0"/>
          <w:iCs w:val="0"/>
          <w:caps w:val="0"/>
          <w:color w:val="222222"/>
          <w:spacing w:val="0"/>
          <w:sz w:val="24"/>
          <w:szCs w:val="24"/>
          <w:shd w:val="clear" w:fill="FFFFFF"/>
        </w:rPr>
        <w:t>Economic and Social Effects</w:t>
      </w:r>
      <w:r>
        <w:rPr>
          <w:rFonts w:hint="default" w:ascii="Times New Roman" w:hAnsi="Times New Roman" w:cs="Times New Roman"/>
          <w:i w:val="0"/>
          <w:iCs w:val="0"/>
          <w:caps w:val="0"/>
          <w:color w:val="222222"/>
          <w:spacing w:val="0"/>
          <w:sz w:val="24"/>
          <w:szCs w:val="24"/>
          <w:shd w:val="clear" w:fill="FFFFFF"/>
        </w:rPr>
        <w:t>: Assess the possible economic and social advantages of applying circular economy ideas in the area.</w:t>
      </w:r>
      <w:r>
        <w:rPr>
          <w:rFonts w:hint="default" w:ascii="Times New Roman" w:hAnsi="Times New Roman" w:cs="Times New Roman"/>
          <w:i w:val="0"/>
          <w:iCs w:val="0"/>
          <w:caps w:val="0"/>
          <w:color w:val="222222"/>
          <w:spacing w:val="0"/>
          <w:sz w:val="24"/>
          <w:szCs w:val="24"/>
          <w:shd w:val="clear" w:fill="FFFFFF"/>
        </w:rPr>
        <w:br w:type="textWrapping"/>
      </w:r>
      <w:r>
        <w:rPr>
          <w:rFonts w:hint="default" w:ascii="Times New Roman" w:hAnsi="Times New Roman" w:cs="Times New Roman"/>
          <w:b/>
          <w:bCs/>
          <w:i w:val="0"/>
          <w:iCs w:val="0"/>
          <w:caps w:val="0"/>
          <w:color w:val="222222"/>
          <w:spacing w:val="0"/>
          <w:sz w:val="24"/>
          <w:szCs w:val="24"/>
          <w:shd w:val="clear" w:fill="FFFFFF"/>
        </w:rPr>
        <w:t>Paths to Sustainability</w:t>
      </w:r>
      <w:r>
        <w:rPr>
          <w:rFonts w:hint="default" w:ascii="Times New Roman" w:hAnsi="Times New Roman" w:cs="Times New Roman"/>
          <w:i w:val="0"/>
          <w:iCs w:val="0"/>
          <w:caps w:val="0"/>
          <w:color w:val="222222"/>
          <w:spacing w:val="0"/>
          <w:sz w:val="24"/>
          <w:szCs w:val="24"/>
          <w:shd w:val="clear" w:fill="FFFFFF"/>
        </w:rPr>
        <w:t xml:space="preserve">: Create insights on how South Asian countries can successfully separate economic growth from harming the </w:t>
      </w:r>
      <w:r>
        <w:rPr>
          <w:rFonts w:hint="default" w:ascii="Times New Roman" w:hAnsi="Times New Roman" w:cs="Times New Roman"/>
          <w:i w:val="0"/>
          <w:iCs w:val="0"/>
          <w:caps w:val="0"/>
          <w:color w:val="222222"/>
          <w:spacing w:val="0"/>
          <w:sz w:val="24"/>
          <w:szCs w:val="24"/>
          <w:shd w:val="clear" w:fill="FFFFFF"/>
          <w:lang w:val="en-US"/>
        </w:rPr>
        <w:t>environment.</w:t>
      </w:r>
    </w:p>
    <w:p w14:paraId="394DAD9F">
      <w:pPr>
        <w:spacing w:line="360" w:lineRule="auto"/>
        <w:rPr>
          <w:rFonts w:hint="default" w:ascii="Times New Roman" w:hAnsi="Times New Roman" w:eastAsia="Open Sans" w:cs="Times New Roman"/>
          <w:i w:val="0"/>
          <w:iCs w:val="0"/>
          <w:caps w:val="0"/>
          <w:spacing w:val="2"/>
          <w:sz w:val="24"/>
          <w:szCs w:val="24"/>
          <w:shd w:val="clear" w:fill="FFFFFF"/>
          <w:lang w:val="en-US"/>
        </w:rPr>
      </w:pPr>
      <w:r>
        <w:rPr>
          <w:rFonts w:hint="default" w:ascii="Times New Roman" w:hAnsi="Times New Roman" w:eastAsia="SimSun" w:cs="Times New Roman"/>
          <w:b w:val="0"/>
          <w:bCs w:val="0"/>
          <w:sz w:val="24"/>
          <w:szCs w:val="24"/>
          <w:u w:val="none"/>
          <w:lang w:val="en-US"/>
        </w:rPr>
        <w:t>The research employs a qualitative and descriptive study design, bringing together varied sources in order to explore how circular economy practices contribute in attaining carbon neutrality. Data collection is mostly dependent on secondary sources such as literature reviews, government reports, policy documents and case studies from South Asian nations.</w:t>
      </w:r>
      <w:r>
        <w:rPr>
          <w:rFonts w:ascii="Open Sans" w:hAnsi="Open Sans" w:eastAsia="Open Sans" w:cs="Open Sans"/>
          <w:i w:val="0"/>
          <w:iCs w:val="0"/>
          <w:caps w:val="0"/>
          <w:spacing w:val="2"/>
          <w:sz w:val="19"/>
          <w:szCs w:val="19"/>
          <w:shd w:val="clear" w:fill="FFFFFF"/>
        </w:rPr>
        <w:br w:type="textWrapping"/>
      </w:r>
      <w:r>
        <w:rPr>
          <w:rFonts w:hint="default" w:ascii="Times New Roman" w:hAnsi="Times New Roman" w:eastAsia="Open Sans" w:cs="Times New Roman"/>
          <w:i w:val="0"/>
          <w:iCs w:val="0"/>
          <w:caps w:val="0"/>
          <w:spacing w:val="2"/>
          <w:sz w:val="24"/>
          <w:szCs w:val="24"/>
          <w:shd w:val="clear" w:fill="FFFFFF"/>
        </w:rPr>
        <w:t>The analytical framework includes</w:t>
      </w:r>
      <w:r>
        <w:rPr>
          <w:rFonts w:hint="default" w:ascii="Times New Roman" w:hAnsi="Times New Roman" w:eastAsia="Open Sans" w:cs="Times New Roman"/>
          <w:i w:val="0"/>
          <w:iCs w:val="0"/>
          <w:caps w:val="0"/>
          <w:color w:val="191919"/>
          <w:spacing w:val="2"/>
          <w:sz w:val="24"/>
          <w:szCs w:val="24"/>
          <w:shd w:val="clear" w:fill="FFFFFF"/>
        </w:rPr>
        <w:t> </w:t>
      </w:r>
      <w:r>
        <w:rPr>
          <w:rFonts w:hint="default" w:ascii="Times New Roman" w:hAnsi="Times New Roman" w:eastAsia="Open Sans" w:cs="Times New Roman"/>
          <w:i w:val="0"/>
          <w:iCs w:val="0"/>
          <w:caps w:val="0"/>
          <w:spacing w:val="2"/>
          <w:sz w:val="24"/>
          <w:szCs w:val="24"/>
          <w:shd w:val="clear" w:fill="FFFFFF"/>
        </w:rPr>
        <w:t>comparative analysis of circular economy policies of</w:t>
      </w:r>
      <w:r>
        <w:rPr>
          <w:rFonts w:hint="default" w:ascii="Times New Roman" w:hAnsi="Times New Roman" w:eastAsia="Open Sans" w:cs="Times New Roman"/>
          <w:i w:val="0"/>
          <w:iCs w:val="0"/>
          <w:caps w:val="0"/>
          <w:color w:val="191919"/>
          <w:spacing w:val="2"/>
          <w:sz w:val="24"/>
          <w:szCs w:val="24"/>
          <w:shd w:val="clear" w:fill="FFFFFF"/>
        </w:rPr>
        <w:t> </w:t>
      </w:r>
      <w:r>
        <w:rPr>
          <w:rFonts w:hint="default" w:ascii="Times New Roman" w:hAnsi="Times New Roman" w:eastAsia="Open Sans" w:cs="Times New Roman"/>
          <w:i w:val="0"/>
          <w:iCs w:val="0"/>
          <w:caps w:val="0"/>
          <w:spacing w:val="2"/>
          <w:sz w:val="24"/>
          <w:szCs w:val="24"/>
          <w:shd w:val="clear" w:fill="FFFFFF"/>
        </w:rPr>
        <w:t>the</w:t>
      </w:r>
      <w:r>
        <w:rPr>
          <w:rFonts w:hint="default" w:ascii="Times New Roman" w:hAnsi="Times New Roman" w:eastAsia="Open Sans" w:cs="Times New Roman"/>
          <w:i w:val="0"/>
          <w:iCs w:val="0"/>
          <w:caps w:val="0"/>
          <w:color w:val="191919"/>
          <w:spacing w:val="2"/>
          <w:sz w:val="24"/>
          <w:szCs w:val="24"/>
          <w:shd w:val="clear" w:fill="FFFFFF"/>
        </w:rPr>
        <w:t> </w:t>
      </w:r>
      <w:r>
        <w:rPr>
          <w:rFonts w:hint="default" w:ascii="Times New Roman" w:hAnsi="Times New Roman" w:eastAsia="Open Sans" w:cs="Times New Roman"/>
          <w:i w:val="0"/>
          <w:iCs w:val="0"/>
          <w:caps w:val="0"/>
          <w:spacing w:val="2"/>
          <w:sz w:val="24"/>
          <w:szCs w:val="24"/>
          <w:shd w:val="clear" w:fill="FFFFFF"/>
        </w:rPr>
        <w:t>chosen </w:t>
      </w:r>
      <w:r>
        <w:rPr>
          <w:rFonts w:hint="default" w:ascii="Times New Roman" w:hAnsi="Times New Roman" w:eastAsia="Open Sans" w:cs="Times New Roman"/>
          <w:i w:val="0"/>
          <w:iCs w:val="0"/>
          <w:caps w:val="0"/>
          <w:color w:val="191919"/>
          <w:spacing w:val="2"/>
          <w:sz w:val="24"/>
          <w:szCs w:val="24"/>
          <w:shd w:val="clear" w:fill="FFFFFF"/>
        </w:rPr>
        <w:t>South Asian </w:t>
      </w:r>
      <w:r>
        <w:rPr>
          <w:rFonts w:hint="default" w:ascii="Times New Roman" w:hAnsi="Times New Roman" w:eastAsia="Open Sans" w:cs="Times New Roman"/>
          <w:i w:val="0"/>
          <w:iCs w:val="0"/>
          <w:caps w:val="0"/>
          <w:spacing w:val="2"/>
          <w:sz w:val="24"/>
          <w:szCs w:val="24"/>
          <w:shd w:val="clear" w:fill="FFFFFF"/>
        </w:rPr>
        <w:t>nations, case study analysis of effective</w:t>
      </w:r>
      <w:r>
        <w:rPr>
          <w:rFonts w:hint="default" w:ascii="Times New Roman" w:hAnsi="Times New Roman" w:eastAsia="Open Sans" w:cs="Times New Roman"/>
          <w:i w:val="0"/>
          <w:iCs w:val="0"/>
          <w:caps w:val="0"/>
          <w:color w:val="191919"/>
          <w:spacing w:val="2"/>
          <w:sz w:val="24"/>
          <w:szCs w:val="24"/>
          <w:shd w:val="clear" w:fill="FFFFFF"/>
        </w:rPr>
        <w:t> circular economy initiatives </w:t>
      </w:r>
      <w:r>
        <w:rPr>
          <w:rFonts w:hint="default" w:ascii="Times New Roman" w:hAnsi="Times New Roman" w:eastAsia="Open Sans" w:cs="Times New Roman"/>
          <w:i w:val="0"/>
          <w:iCs w:val="0"/>
          <w:caps w:val="0"/>
          <w:spacing w:val="2"/>
          <w:sz w:val="24"/>
          <w:szCs w:val="24"/>
          <w:shd w:val="clear" w:fill="FFFFFF"/>
        </w:rPr>
        <w:t>towards</w:t>
      </w:r>
      <w:r>
        <w:rPr>
          <w:rFonts w:hint="default" w:ascii="Times New Roman" w:hAnsi="Times New Roman" w:eastAsia="Open Sans" w:cs="Times New Roman"/>
          <w:i w:val="0"/>
          <w:iCs w:val="0"/>
          <w:caps w:val="0"/>
          <w:color w:val="191919"/>
          <w:spacing w:val="2"/>
          <w:sz w:val="24"/>
          <w:szCs w:val="24"/>
          <w:shd w:val="clear" w:fill="FFFFFF"/>
        </w:rPr>
        <w:t> </w:t>
      </w:r>
      <w:r>
        <w:rPr>
          <w:rFonts w:hint="default" w:ascii="Times New Roman" w:hAnsi="Times New Roman" w:eastAsia="Open Sans" w:cs="Times New Roman"/>
          <w:i w:val="0"/>
          <w:iCs w:val="0"/>
          <w:caps w:val="0"/>
          <w:spacing w:val="2"/>
          <w:sz w:val="24"/>
          <w:szCs w:val="24"/>
          <w:shd w:val="clear" w:fill="FFFFFF"/>
        </w:rPr>
        <w:t>carbon neutrality, and thematic analysis to determine</w:t>
      </w:r>
      <w:r>
        <w:rPr>
          <w:rFonts w:hint="default" w:ascii="Times New Roman" w:hAnsi="Times New Roman" w:eastAsia="Open Sans" w:cs="Times New Roman"/>
          <w:i w:val="0"/>
          <w:iCs w:val="0"/>
          <w:caps w:val="0"/>
          <w:color w:val="191919"/>
          <w:spacing w:val="2"/>
          <w:sz w:val="24"/>
          <w:szCs w:val="24"/>
          <w:shd w:val="clear" w:fill="FFFFFF"/>
        </w:rPr>
        <w:t> </w:t>
      </w:r>
      <w:r>
        <w:rPr>
          <w:rFonts w:hint="default" w:ascii="Times New Roman" w:hAnsi="Times New Roman" w:eastAsia="Open Sans" w:cs="Times New Roman"/>
          <w:i w:val="0"/>
          <w:iCs w:val="0"/>
          <w:caps w:val="0"/>
          <w:spacing w:val="2"/>
          <w:sz w:val="24"/>
          <w:szCs w:val="24"/>
          <w:shd w:val="clear" w:fill="FFFFFF"/>
        </w:rPr>
        <w:t>major challenges, opportunities, and policy gaps. </w:t>
      </w:r>
      <w:r>
        <w:rPr>
          <w:rFonts w:hint="default" w:ascii="Times New Roman" w:hAnsi="Times New Roman" w:eastAsia="Open Sans" w:cs="Times New Roman"/>
          <w:i w:val="0"/>
          <w:iCs w:val="0"/>
          <w:caps w:val="0"/>
          <w:spacing w:val="2"/>
          <w:sz w:val="24"/>
          <w:szCs w:val="24"/>
          <w:shd w:val="clear" w:fill="FFFFFF"/>
          <w:lang w:val="en-US"/>
        </w:rPr>
        <w:t xml:space="preserve">The methodology offers </w:t>
      </w:r>
      <w:r>
        <w:rPr>
          <w:rFonts w:hint="default" w:ascii="Times New Roman" w:hAnsi="Times New Roman" w:eastAsia="Open Sans" w:cs="Times New Roman"/>
          <w:i w:val="0"/>
          <w:iCs w:val="0"/>
          <w:caps w:val="0"/>
          <w:spacing w:val="2"/>
          <w:sz w:val="24"/>
          <w:szCs w:val="24"/>
          <w:shd w:val="clear" w:fill="FFFFFF"/>
        </w:rPr>
        <w:t>an</w:t>
      </w:r>
      <w:r>
        <w:rPr>
          <w:rFonts w:hint="default" w:ascii="Times New Roman" w:hAnsi="Times New Roman" w:eastAsia="Open Sans" w:cs="Times New Roman"/>
          <w:i w:val="0"/>
          <w:iCs w:val="0"/>
          <w:caps w:val="0"/>
          <w:color w:val="191919"/>
          <w:spacing w:val="2"/>
          <w:sz w:val="24"/>
          <w:szCs w:val="24"/>
          <w:shd w:val="clear" w:fill="FFFFFF"/>
        </w:rPr>
        <w:t> </w:t>
      </w:r>
      <w:r>
        <w:rPr>
          <w:rFonts w:hint="default" w:ascii="Times New Roman" w:hAnsi="Times New Roman" w:eastAsia="Open Sans" w:cs="Times New Roman"/>
          <w:i w:val="0"/>
          <w:iCs w:val="0"/>
          <w:caps w:val="0"/>
          <w:spacing w:val="2"/>
          <w:sz w:val="24"/>
          <w:szCs w:val="24"/>
          <w:shd w:val="clear" w:fill="FFFFFF"/>
        </w:rPr>
        <w:t>integrated</w:t>
      </w:r>
      <w:r>
        <w:rPr>
          <w:rFonts w:hint="default" w:ascii="Times New Roman" w:hAnsi="Times New Roman" w:eastAsia="Open Sans" w:cs="Times New Roman"/>
          <w:i w:val="0"/>
          <w:iCs w:val="0"/>
          <w:caps w:val="0"/>
          <w:color w:val="191919"/>
          <w:spacing w:val="2"/>
          <w:sz w:val="24"/>
          <w:szCs w:val="24"/>
          <w:shd w:val="clear" w:fill="FFFFFF"/>
        </w:rPr>
        <w:t> understanding of the </w:t>
      </w:r>
      <w:r>
        <w:rPr>
          <w:rFonts w:hint="default" w:ascii="Times New Roman" w:hAnsi="Times New Roman" w:eastAsia="Open Sans" w:cs="Times New Roman"/>
          <w:i w:val="0"/>
          <w:iCs w:val="0"/>
          <w:caps w:val="0"/>
          <w:spacing w:val="2"/>
          <w:sz w:val="24"/>
          <w:szCs w:val="24"/>
          <w:shd w:val="clear" w:fill="FFFFFF"/>
        </w:rPr>
        <w:t>effect of circular economy practices on carbon redu</w:t>
      </w:r>
      <w:r>
        <w:rPr>
          <w:rFonts w:hint="default" w:ascii="Times New Roman" w:hAnsi="Times New Roman" w:eastAsia="Open Sans" w:cs="Times New Roman"/>
          <w:i w:val="0"/>
          <w:iCs w:val="0"/>
          <w:caps w:val="0"/>
          <w:spacing w:val="2"/>
          <w:sz w:val="24"/>
          <w:szCs w:val="24"/>
          <w:shd w:val="clear" w:fill="FFFFFF"/>
          <w:lang w:val="en-US"/>
        </w:rPr>
        <w:t>ction and areas where policy intervention is needed. Though the research revolves around accessible information in South Asian nations, challenges might be presented based on access constraints of the data and dissimilarities of policy applications by region.</w:t>
      </w:r>
    </w:p>
    <w:p w14:paraId="56499882">
      <w:pPr>
        <w:spacing w:line="360" w:lineRule="auto"/>
        <w:rPr>
          <w:rFonts w:hint="default" w:ascii="Times New Roman" w:hAnsi="Times New Roman" w:eastAsia="Open Sans" w:cs="Times New Roman"/>
          <w:i w:val="0"/>
          <w:iCs w:val="0"/>
          <w:caps w:val="0"/>
          <w:spacing w:val="2"/>
          <w:sz w:val="24"/>
          <w:szCs w:val="24"/>
          <w:u w:val="single"/>
          <w:shd w:val="clear" w:fill="FFFFFF"/>
          <w:lang w:val="en-US"/>
        </w:rPr>
      </w:pPr>
    </w:p>
    <w:p w14:paraId="387B393F">
      <w:pPr>
        <w:spacing w:line="360" w:lineRule="auto"/>
        <w:rPr>
          <w:rFonts w:hint="default" w:ascii="Times New Roman" w:hAnsi="Times New Roman" w:eastAsia="Open Sans" w:cs="Times New Roman"/>
          <w:b/>
          <w:bCs/>
          <w:i w:val="0"/>
          <w:iCs w:val="0"/>
          <w:caps w:val="0"/>
          <w:spacing w:val="2"/>
          <w:sz w:val="24"/>
          <w:szCs w:val="24"/>
          <w:u w:val="single"/>
          <w:shd w:val="clear" w:fill="FFFFFF"/>
          <w:lang w:val="en-US"/>
        </w:rPr>
      </w:pPr>
      <w:r>
        <w:rPr>
          <w:rFonts w:hint="default" w:ascii="Times New Roman" w:hAnsi="Times New Roman" w:eastAsia="Open Sans" w:cs="Times New Roman"/>
          <w:b/>
          <w:bCs/>
          <w:i w:val="0"/>
          <w:iCs w:val="0"/>
          <w:caps w:val="0"/>
          <w:spacing w:val="2"/>
          <w:sz w:val="24"/>
          <w:szCs w:val="24"/>
          <w:u w:val="single"/>
          <w:shd w:val="clear" w:fill="FFFFFF"/>
          <w:lang w:val="en-US"/>
        </w:rPr>
        <w:t>Results</w:t>
      </w:r>
    </w:p>
    <w:p w14:paraId="1D9A55B4">
      <w:pPr>
        <w:spacing w:line="360" w:lineRule="auto"/>
        <w:rPr>
          <w:rFonts w:hint="default" w:ascii="Times New Roman" w:hAnsi="Times New Roman" w:eastAsia="SimSun"/>
          <w:b/>
          <w:bCs/>
          <w:sz w:val="24"/>
          <w:szCs w:val="24"/>
          <w:u w:val="single"/>
          <w:lang w:val="en-US"/>
        </w:rPr>
      </w:pPr>
      <w:r>
        <w:rPr>
          <w:rFonts w:hint="default" w:ascii="Times New Roman" w:hAnsi="Times New Roman" w:eastAsia="SimSun"/>
          <w:b/>
          <w:bCs/>
          <w:sz w:val="24"/>
          <w:szCs w:val="24"/>
          <w:u w:val="single"/>
          <w:lang w:val="en-US"/>
        </w:rPr>
        <w:t>India's Policy Framework for Circular Economy</w:t>
      </w:r>
    </w:p>
    <w:p w14:paraId="59E08EB6">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The policy framework for the promotion of circular economy in India is predicated on a multi-faceted strategy embracing regulation, financing, information campaign, and institutional strengthening. The country has undergone many major policies and initiatives which have contributed towards formulating its transformation towards the circular economy.</w:t>
      </w:r>
    </w:p>
    <w:p w14:paraId="5C8C5EF1">
      <w:p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none"/>
          <w:lang w:val="en-US"/>
        </w:rPr>
        <w:t>1)</w:t>
      </w:r>
      <w:r>
        <w:rPr>
          <w:rFonts w:hint="default" w:ascii="Times New Roman" w:hAnsi="Times New Roman" w:eastAsia="SimSun"/>
          <w:b w:val="0"/>
          <w:bCs w:val="0"/>
          <w:sz w:val="24"/>
          <w:szCs w:val="24"/>
          <w:u w:val="single"/>
          <w:lang w:val="en-US"/>
        </w:rPr>
        <w:t xml:space="preserve"> National Resource Efficiency Policy (NREP)</w:t>
      </w:r>
    </w:p>
    <w:p w14:paraId="705606C5">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 xml:space="preserve">National Resource Efficiency Policy (NREP) was released  in 2019 to achieve more resource-efficient approaches to consumption and production, improved environmental impact reduction, and efficiency improvement. It facilitates adopting circular business models including product-as-a-service, sharing, and leasing, alongside enhancing the utilisation of reused products. Further, the policy extends to using an Extended Producer Responsibility (EPR) structure to hold the manufacturer responsible for the post-consumer waste. </w:t>
      </w:r>
    </w:p>
    <w:p w14:paraId="0A77F1D1">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2 )</w:t>
      </w:r>
      <w:r>
        <w:rPr>
          <w:rFonts w:hint="default" w:ascii="Times New Roman" w:hAnsi="Times New Roman" w:eastAsia="SimSun"/>
          <w:b w:val="0"/>
          <w:bCs w:val="0"/>
          <w:sz w:val="24"/>
          <w:szCs w:val="24"/>
          <w:u w:val="single"/>
          <w:lang w:val="en-US"/>
        </w:rPr>
        <w:t>Swachh Bharat Mission (SBM)</w:t>
      </w:r>
      <w:r>
        <w:rPr>
          <w:rFonts w:hint="default" w:ascii="Times New Roman" w:hAnsi="Times New Roman" w:eastAsia="SimSun"/>
          <w:b w:val="0"/>
          <w:bCs w:val="0"/>
          <w:sz w:val="24"/>
          <w:szCs w:val="24"/>
          <w:u w:val="none"/>
          <w:lang w:val="en-US"/>
        </w:rPr>
        <w:t xml:space="preserve"> --Swachh Bharat Mission (SBM), initiated in 2014, is another turning point intervention in India's Circular Economy path. Through waste segregation, recycling, and composting, SBM has contributed significantly to a decrease in landfill reliance and a cleaner planet. The focus of the mission to make India a "zero-waste" country is directly aligned with Circuar Economy  principles and has influenced higher municipal solid waste (MSW) recycling rates.</w:t>
      </w:r>
    </w:p>
    <w:p w14:paraId="62791F2A">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3)</w:t>
      </w:r>
      <w:r>
        <w:rPr>
          <w:rFonts w:hint="default" w:ascii="Times New Roman" w:hAnsi="Times New Roman" w:eastAsia="SimSun"/>
          <w:b w:val="0"/>
          <w:bCs w:val="0"/>
          <w:sz w:val="24"/>
          <w:szCs w:val="24"/>
          <w:u w:val="single"/>
          <w:lang w:val="en-US"/>
        </w:rPr>
        <w:t xml:space="preserve"> Financial Incentives for Adoption of Circular Economy</w:t>
      </w:r>
    </w:p>
    <w:p w14:paraId="6195AE8F">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The government of India has instituted several financial incentives to encourage Circular Economy  practices. Tax allowances, subsidies, and low-interest loans for recycling and waste management firms are among them. Financial assistance like this has motivated companies to shift towards more sustainable practices and invest in environmentally friendly technologies.</w:t>
      </w:r>
    </w:p>
    <w:p w14:paraId="6F4DCC1C">
      <w:pPr>
        <w:numPr>
          <w:ilvl w:val="0"/>
          <w:numId w:val="1"/>
        </w:numPr>
        <w:spacing w:line="360" w:lineRule="auto"/>
        <w:ind w:left="0" w:leftChars="0" w:firstLine="120" w:firstLineChars="5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India: 'Panchamrit' Approach to Low-Carbon Targets</w:t>
      </w:r>
    </w:p>
    <w:p w14:paraId="5DBAC271">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India's COP26 pledge to reach net-zero emissions by 2070 and generate 50% of its electricity from renewable sources by 2030 is a turning point in the battle against climate change globally.. During the conference, Prime Minister Modi introduced the five nectar elements-Panchamrit strategy to resolve the carbon problem. He emphasized that India will cut overall estimated carbon emissions by 1 billion tonnes from present to 2030. India will also cut the carbon intensity of its economy by over 45% and raise non-fossil fuel energy capacity to 500 GW by 2030.</w:t>
      </w:r>
    </w:p>
    <w:p w14:paraId="2CAD7057">
      <w:pPr>
        <w:spacing w:line="360" w:lineRule="auto"/>
        <w:rPr>
          <w:rFonts w:hint="default" w:ascii="Times New Roman" w:hAnsi="Times New Roman" w:eastAsia="SimSun"/>
          <w:b/>
          <w:bCs/>
          <w:sz w:val="24"/>
          <w:szCs w:val="24"/>
          <w:u w:val="none"/>
          <w:lang w:val="en-US"/>
        </w:rPr>
      </w:pPr>
      <w:r>
        <w:rPr>
          <w:rFonts w:hint="default" w:ascii="Times New Roman" w:hAnsi="Times New Roman" w:eastAsia="SimSun"/>
          <w:b/>
          <w:bCs/>
          <w:sz w:val="24"/>
          <w:szCs w:val="24"/>
          <w:u w:val="none"/>
          <w:lang w:val="en-US"/>
        </w:rPr>
        <w:t>Bangladesh Policy framework</w:t>
      </w:r>
    </w:p>
    <w:p w14:paraId="028C6FEA">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b w:val="0"/>
          <w:bCs w:val="0"/>
          <w:sz w:val="24"/>
          <w:szCs w:val="24"/>
          <w:u w:val="none"/>
          <w:lang w:val="en-US"/>
        </w:rPr>
        <w:t xml:space="preserve">Bangladesh is one of the global leaders in textile and apparel production, central to its socio-economic development. It has pledged international legislation for social, economic, and environmental progress. Adopting the UN Sustainable Development Goals, Bangladesh developed a 10-year Framework Programme on Sustainable Consumption and Production (SCP-SDG12) for improving sustainable approaches and resource use efficiency. Recent initiatives reflect Bangladesh's firm commitment to SGD12, such as the development of programmes to overcome challenges and encouraging sustainable practices like the Multi-sectoral Action Plan for Sustainable Plastic Management , </w:t>
      </w:r>
      <w:r>
        <w:rPr>
          <w:rFonts w:hint="default" w:ascii="Times New Roman" w:hAnsi="Times New Roman" w:eastAsia="SimSun" w:cs="Times New Roman"/>
          <w:sz w:val="24"/>
          <w:szCs w:val="24"/>
        </w:rPr>
        <w:t>Pilisaru National Solid Waste Management Project</w:t>
      </w:r>
      <w:r>
        <w:rPr>
          <w:rFonts w:hint="default" w:ascii="Times New Roman" w:hAnsi="Times New Roman" w:eastAsia="SimSun" w:cs="Times New Roman"/>
          <w:b w:val="0"/>
          <w:bCs w:val="0"/>
          <w:sz w:val="24"/>
          <w:szCs w:val="24"/>
          <w:u w:val="none"/>
          <w:lang w:val="en-US"/>
        </w:rPr>
        <w:t>.</w:t>
      </w:r>
    </w:p>
    <w:p w14:paraId="4EF36A52">
      <w:pPr>
        <w:keepNext w:val="0"/>
        <w:keepLines w:val="0"/>
        <w:widowControl/>
        <w:numPr>
          <w:ilvl w:val="0"/>
          <w:numId w:val="0"/>
        </w:numPr>
        <w:suppressLineNumbers w:val="0"/>
        <w:spacing w:line="360" w:lineRule="auto"/>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1.National 3R Strategy for Waste Management (2010): It is based on the Reduce, Reuse, and Recycle (3R) principles aimed at reducing the generation of waste and encouraging environmentally friendly waste management practices. It is a starting policy for applying circular economy ideas to national waste management systems. ​</w:t>
      </w:r>
    </w:p>
    <w:p w14:paraId="0E358172">
      <w:pPr>
        <w:keepNext w:val="0"/>
        <w:keepLines w:val="0"/>
        <w:widowControl/>
        <w:numPr>
          <w:ilvl w:val="0"/>
          <w:numId w:val="3"/>
        </w:numPr>
        <w:suppressLineNumbers w:val="0"/>
        <w:spacing w:line="360" w:lineRule="auto"/>
        <w:ind w:left="60" w:leftChars="0" w:firstLine="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National Action Plan for Sustainable Plastic Management (2021): This action plan was supported by the Ministry of Environment, Forest, and Climate Change (MoEFCC) to introduce a circular economy for plastics. It focuses on effective utilization of resources and effective plastic waste management to avoid negative environmental impact.</w:t>
      </w:r>
    </w:p>
    <w:p w14:paraId="25FB64FF">
      <w:pPr>
        <w:keepNext w:val="0"/>
        <w:keepLines w:val="0"/>
        <w:widowControl/>
        <w:numPr>
          <w:ilvl w:val="0"/>
          <w:numId w:val="3"/>
        </w:numPr>
        <w:suppressLineNumbers w:val="0"/>
        <w:spacing w:line="360" w:lineRule="auto"/>
        <w:ind w:left="60" w:leftChars="0" w:firstLine="0" w:firstLineChars="0"/>
        <w:jc w:val="left"/>
        <w:rPr>
          <w:rFonts w:hint="default" w:ascii="Times New Roman" w:hAnsi="Times New Roman" w:eastAsia="SimSun" w:cs="Times New Roman"/>
          <w:sz w:val="24"/>
          <w:szCs w:val="24"/>
          <w:lang w:val="en-US"/>
        </w:rPr>
      </w:pPr>
      <w:r>
        <w:rPr>
          <w:rFonts w:hint="default" w:ascii="Times New Roman" w:hAnsi="Times New Roman" w:eastAsia="SimSun" w:cs="Times New Roman"/>
          <w:kern w:val="0"/>
          <w:sz w:val="24"/>
          <w:szCs w:val="24"/>
          <w:lang w:val="en-US" w:eastAsia="zh-CN" w:bidi="ar"/>
        </w:rPr>
        <w:t xml:space="preserve">Extended Producer Responsibility (EPR) Directives: Bangladesh is now drafting EPR directives, which will make the producers responsible for the whole product lifecycle, including post-consumer waste management. This mechanism incentivizes producers to create eco-friendly products and become responsible for their disposal at the end of life.                                                                                                 </w:t>
      </w:r>
    </w:p>
    <w:p w14:paraId="6A707B8F">
      <w:pPr>
        <w:spacing w:line="360" w:lineRule="auto"/>
        <w:rPr>
          <w:rFonts w:hint="default" w:ascii="Times New Roman" w:hAnsi="Times New Roman" w:eastAsia="SimSun" w:cs="Times New Roman"/>
          <w:sz w:val="24"/>
          <w:szCs w:val="24"/>
          <w:lang w:val="en-US"/>
        </w:rPr>
      </w:pPr>
    </w:p>
    <w:p w14:paraId="6DBF6372">
      <w:pPr>
        <w:spacing w:line="360" w:lineRule="auto"/>
        <w:ind w:left="4800" w:hanging="4800" w:hangingChars="2000"/>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Table 2.  Table 2.  Circular Economy practices and opportunities  in Energy, E-waste sector , Ship breaking and Biomedical </w:t>
      </w:r>
    </w:p>
    <w:tbl>
      <w:tblPr>
        <w:tblStyle w:val="15"/>
        <w:tblW w:w="0" w:type="auto"/>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2"/>
        <w:gridCol w:w="8796"/>
      </w:tblGrid>
      <w:tr w14:paraId="17E3D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572" w:type="dxa"/>
          </w:tcPr>
          <w:p w14:paraId="3AA14576">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Industry</w:t>
            </w:r>
          </w:p>
        </w:tc>
        <w:tc>
          <w:tcPr>
            <w:tcW w:w="8796" w:type="dxa"/>
          </w:tcPr>
          <w:p w14:paraId="1E027B8D">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Current Practices</w:t>
            </w:r>
          </w:p>
        </w:tc>
      </w:tr>
      <w:tr w14:paraId="27D73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1" w:hRule="atLeast"/>
        </w:trPr>
        <w:tc>
          <w:tcPr>
            <w:tcW w:w="1572" w:type="dxa"/>
          </w:tcPr>
          <w:p w14:paraId="037F851C">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w:t>
            </w:r>
          </w:p>
          <w:p w14:paraId="759B43B4">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p>
          <w:p w14:paraId="75899FE3">
            <w:pPr>
              <w:widowControl w:val="0"/>
              <w:spacing w:line="360" w:lineRule="auto"/>
              <w:ind w:left="360" w:hanging="360" w:hangingChars="150"/>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Energy</w:t>
            </w:r>
          </w:p>
        </w:tc>
        <w:tc>
          <w:tcPr>
            <w:tcW w:w="8796" w:type="dxa"/>
          </w:tcPr>
          <w:p w14:paraId="6D004F55">
            <w:pPr>
              <w:widowControl w:val="0"/>
              <w:spacing w:line="24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Use of solar generated electricity;mostly among the rural population</w:t>
            </w:r>
          </w:p>
          <w:p w14:paraId="2D7D28D8">
            <w:pPr>
              <w:widowControl w:val="0"/>
              <w:spacing w:line="24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The biggest Solar Power Plant in Teknaf Hnila is currently active and generating electricity of 28 MW</w:t>
            </w:r>
          </w:p>
          <w:p w14:paraId="0A1B055E">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val="0"/>
                <w:bCs w:val="0"/>
                <w:sz w:val="24"/>
                <w:szCs w:val="24"/>
                <w:u w:val="none"/>
                <w:vertAlign w:val="baseline"/>
                <w:lang w:val="en-US"/>
              </w:rPr>
              <w:t xml:space="preserve">Renewable Power Plant </w:t>
            </w:r>
            <w:r>
              <w:rPr>
                <w:rFonts w:hint="default" w:ascii="Times New Roman" w:hAnsi="Times New Roman" w:eastAsia="SimSun" w:cs="Times New Roman"/>
                <w:kern w:val="0"/>
                <w:sz w:val="24"/>
                <w:szCs w:val="24"/>
                <w:lang w:val="en-US" w:eastAsia="zh-CN" w:bidi="ar"/>
              </w:rPr>
              <w:t>produces electricity from water known as Karnaphuli Hydroelectric Power Station generating 230 MW of power.</w:t>
            </w:r>
          </w:p>
          <w:p w14:paraId="30706541">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 xml:space="preserve"> A private company financed by World Bank operated in Kapasia, Ghazipur of Bangladesh is producing electricity using Biomass. </w:t>
            </w:r>
          </w:p>
          <w:p w14:paraId="4D9E2BE8">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p>
        </w:tc>
      </w:tr>
      <w:tr w14:paraId="7829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trPr>
        <w:tc>
          <w:tcPr>
            <w:tcW w:w="1572" w:type="dxa"/>
          </w:tcPr>
          <w:p w14:paraId="446B25B3">
            <w:pPr>
              <w:widowControl w:val="0"/>
              <w:numPr>
                <w:ilvl w:val="0"/>
                <w:numId w:val="0"/>
              </w:numPr>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w:t>
            </w:r>
          </w:p>
          <w:p w14:paraId="0D13513D">
            <w:pPr>
              <w:widowControl w:val="0"/>
              <w:numPr>
                <w:ilvl w:val="0"/>
                <w:numId w:val="0"/>
              </w:numPr>
              <w:spacing w:line="360" w:lineRule="auto"/>
              <w:jc w:val="both"/>
              <w:rPr>
                <w:rFonts w:hint="default" w:ascii="Times New Roman" w:hAnsi="Times New Roman" w:eastAsia="SimSun" w:cs="Times New Roman"/>
                <w:b w:val="0"/>
                <w:bCs w:val="0"/>
                <w:sz w:val="24"/>
                <w:szCs w:val="24"/>
                <w:u w:val="none"/>
                <w:vertAlign w:val="baseline"/>
                <w:lang w:val="en-US"/>
              </w:rPr>
            </w:pPr>
          </w:p>
          <w:p w14:paraId="5135A789">
            <w:pPr>
              <w:widowControl w:val="0"/>
              <w:numPr>
                <w:ilvl w:val="0"/>
                <w:numId w:val="0"/>
              </w:numPr>
              <w:spacing w:line="360" w:lineRule="auto"/>
              <w:jc w:val="both"/>
              <w:rPr>
                <w:rFonts w:hint="default" w:ascii="Times New Roman" w:hAnsi="Times New Roman" w:eastAsia="SimSun" w:cs="Times New Roman"/>
                <w:b w:val="0"/>
                <w:bCs w:val="0"/>
                <w:sz w:val="24"/>
                <w:szCs w:val="24"/>
                <w:u w:val="none"/>
                <w:vertAlign w:val="baseline"/>
                <w:lang w:val="en-US"/>
              </w:rPr>
            </w:pPr>
          </w:p>
          <w:p w14:paraId="2FB61595">
            <w:pPr>
              <w:widowControl w:val="0"/>
              <w:numPr>
                <w:ilvl w:val="0"/>
                <w:numId w:val="0"/>
              </w:numPr>
              <w:spacing w:line="360" w:lineRule="auto"/>
              <w:jc w:val="both"/>
              <w:rPr>
                <w:rFonts w:hint="default" w:ascii="Times New Roman" w:hAnsi="Times New Roman" w:eastAsia="SimSun" w:cs="Times New Roman"/>
                <w:b w:val="0"/>
                <w:bCs w:val="0"/>
                <w:sz w:val="24"/>
                <w:szCs w:val="24"/>
                <w:u w:val="none"/>
                <w:vertAlign w:val="baseline"/>
                <w:lang w:val="en-US"/>
              </w:rPr>
            </w:pPr>
          </w:p>
          <w:p w14:paraId="0C0F0B6E">
            <w:pPr>
              <w:widowControl w:val="0"/>
              <w:numPr>
                <w:ilvl w:val="0"/>
                <w:numId w:val="4"/>
              </w:numPr>
              <w:spacing w:line="360" w:lineRule="auto"/>
              <w:ind w:left="200" w:leftChars="0" w:firstLineChars="0"/>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Waste           sector</w:t>
            </w:r>
          </w:p>
        </w:tc>
        <w:tc>
          <w:tcPr>
            <w:tcW w:w="8796" w:type="dxa"/>
          </w:tcPr>
          <w:p w14:paraId="5B4F3586">
            <w:pPr>
              <w:pStyle w:val="13"/>
              <w:keepNext w:val="0"/>
              <w:keepLines w:val="0"/>
              <w:widowControl/>
              <w:suppressLineNumbers w:val="0"/>
              <w:spacing w:before="0" w:beforeAutospacing="1" w:after="0" w:afterAutospacing="1" w:line="240" w:lineRule="auto"/>
              <w:ind w:left="0" w:right="0"/>
            </w:pPr>
            <w:r>
              <w:rPr>
                <w:rFonts w:hint="eastAsia" w:ascii="SimSun" w:hAnsi="SimSun" w:eastAsia="SimSun" w:cs="SimSun"/>
                <w:sz w:val="24"/>
              </w:rPr>
              <w:t xml:space="preserve"> </w:t>
            </w:r>
            <w:r>
              <w:t>E-waste recycling is contributing to the economy of Bangladesh by generating employment opportunities.</w:t>
            </w:r>
            <w:r>
              <w:rPr>
                <w:rFonts w:hint="default"/>
                <w:lang w:val="en-US"/>
              </w:rPr>
              <w:t xml:space="preserve">                                                                                             </w:t>
            </w:r>
            <w:r>
              <w:rPr>
                <w:rFonts w:hint="eastAsia" w:ascii="SimSun" w:hAnsi="SimSun" w:eastAsia="SimSun" w:cs="SimSun"/>
                <w:sz w:val="24"/>
              </w:rPr>
              <w:t xml:space="preserve">  </w:t>
            </w:r>
            <w:r>
              <w:t>In Dhaka city, about 15% of the total generated E-waste is recycled every day, which amounts to 475 tons.</w:t>
            </w:r>
            <w:r>
              <w:rPr>
                <w:rFonts w:hint="default"/>
                <w:lang w:val="en-US"/>
              </w:rPr>
              <w:t xml:space="preserve">                                                                                                           </w:t>
            </w:r>
            <w:r>
              <w:t>In the year 2006, Bangladesh saved about US$ 4.73 million by recovering lead from used lead-acid batteries.</w:t>
            </w:r>
            <w:r>
              <w:rPr>
                <w:rFonts w:hint="default"/>
                <w:lang w:val="en-US"/>
              </w:rPr>
              <w:t xml:space="preserve">                                                                                                </w:t>
            </w:r>
            <w:r>
              <w:rPr>
                <w:rFonts w:hint="eastAsia" w:ascii="SimSun" w:hAnsi="SimSun" w:eastAsia="SimSun" w:cs="SimSun"/>
                <w:sz w:val="24"/>
              </w:rPr>
              <w:t xml:space="preserve"> </w:t>
            </w:r>
            <w:r>
              <w:rPr>
                <w:rFonts w:hint="default" w:ascii="SimSun" w:hAnsi="SimSun" w:cs="SimSun"/>
                <w:sz w:val="24"/>
                <w:lang w:val="en-US"/>
              </w:rPr>
              <w:t xml:space="preserve">   </w:t>
            </w:r>
            <w:r>
              <w:t xml:space="preserve"> </w:t>
            </w:r>
            <w:r>
              <w:rPr>
                <w:rFonts w:hint="default"/>
                <w:lang w:val="en-US"/>
              </w:rPr>
              <w:t xml:space="preserve">   One of </w:t>
            </w:r>
            <w:r>
              <w:t>the largest lead-acid battery-producing companies in Bangladesh has built a smelting plant for recycling batteries in an environmentally friendly way, expecting to recycle 660,000 batteries, including reclaiming 33,000 tons of hard lead every year.</w:t>
            </w:r>
            <w:r>
              <w:rPr>
                <w:rFonts w:hint="default"/>
                <w:lang w:val="en-US"/>
              </w:rPr>
              <w:t xml:space="preserve">                                                                                        </w:t>
            </w:r>
          </w:p>
          <w:p w14:paraId="0D6F4516">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p>
        </w:tc>
      </w:tr>
      <w:tr w14:paraId="47AE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2" w:hRule="atLeast"/>
        </w:trPr>
        <w:tc>
          <w:tcPr>
            <w:tcW w:w="1572" w:type="dxa"/>
          </w:tcPr>
          <w:p w14:paraId="63BA6F14">
            <w:pPr>
              <w:widowControl w:val="0"/>
              <w:spacing w:line="24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Ship</w:t>
            </w:r>
          </w:p>
          <w:p w14:paraId="5EC4B9CD">
            <w:pPr>
              <w:widowControl w:val="0"/>
              <w:spacing w:line="24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Breaking </w:t>
            </w:r>
          </w:p>
        </w:tc>
        <w:tc>
          <w:tcPr>
            <w:tcW w:w="8796" w:type="dxa"/>
          </w:tcPr>
          <w:p w14:paraId="57D68049">
            <w:pPr>
              <w:pStyle w:val="13"/>
              <w:keepNext w:val="0"/>
              <w:keepLines w:val="0"/>
              <w:widowControl/>
              <w:suppressLineNumbers w:val="0"/>
              <w:spacing w:before="0" w:beforeAutospacing="1" w:after="0" w:afterAutospacing="1" w:line="240" w:lineRule="auto"/>
              <w:ind w:left="0" w:right="0"/>
              <w:rPr>
                <w:rFonts w:hint="default"/>
                <w:lang w:val="en-US"/>
              </w:rPr>
            </w:pPr>
            <w:r>
              <w:rPr>
                <w:rFonts w:hint="default" w:ascii="Symbol" w:hAnsi="Symbol" w:eastAsia="Symbol" w:cs="Symbol"/>
                <w:sz w:val="24"/>
              </w:rPr>
              <w:t>·</w:t>
            </w:r>
            <w:r>
              <w:rPr>
                <w:rFonts w:hint="eastAsia" w:ascii="SimSun" w:hAnsi="SimSun" w:eastAsia="SimSun" w:cs="SimSun"/>
                <w:sz w:val="24"/>
              </w:rPr>
              <w:t xml:space="preserve">  </w:t>
            </w:r>
            <w:r>
              <w:t>About 20 lakh metric tonnes of obsolete ships are recycled every year in different yards of Bangladesh. Most parts of vessels are recyclable, which constitute mostly steel.</w:t>
            </w:r>
            <w:r>
              <w:rPr>
                <w:rFonts w:hint="default"/>
                <w:lang w:val="en-US"/>
              </w:rPr>
              <w:t xml:space="preserve"> </w:t>
            </w:r>
            <w:r>
              <w:rPr>
                <w:rFonts w:hint="default" w:ascii="Times New Roman" w:hAnsi="Times New Roman" w:cs="Times New Roman"/>
                <w:lang w:val="en-US"/>
              </w:rPr>
              <w:t xml:space="preserve"> </w:t>
            </w:r>
            <w:r>
              <w:rPr>
                <w:rFonts w:hint="default" w:ascii="Times New Roman" w:hAnsi="Times New Roman" w:eastAsia="SimSun" w:cs="Times New Roman"/>
                <w:sz w:val="24"/>
                <w:szCs w:val="24"/>
              </w:rPr>
              <w:t>This industry is also creating huge revenue and has created huge employment opportunities</w:t>
            </w:r>
            <w:r>
              <w:rPr>
                <w:rFonts w:hint="default" w:cs="Times New Roman"/>
                <w:sz w:val="24"/>
                <w:szCs w:val="24"/>
                <w:lang w:val="en-US"/>
              </w:rPr>
              <w:t>.</w:t>
            </w:r>
            <w:r>
              <w:rPr>
                <w:rFonts w:hint="default" w:ascii="Times New Roman" w:hAnsi="Times New Roman" w:cs="Times New Roman"/>
                <w:lang w:val="en-US"/>
              </w:rPr>
              <w:t xml:space="preserve">         </w:t>
            </w:r>
            <w:r>
              <w:rPr>
                <w:rFonts w:hint="default"/>
                <w:lang w:val="en-US"/>
              </w:rPr>
              <w:t xml:space="preserve">                                                                                        </w:t>
            </w:r>
          </w:p>
          <w:p w14:paraId="506878F6">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p>
        </w:tc>
      </w:tr>
      <w:tr w14:paraId="1173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1572" w:type="dxa"/>
          </w:tcPr>
          <w:p w14:paraId="3C144513">
            <w:pPr>
              <w:widowControl w:val="0"/>
              <w:spacing w:line="240" w:lineRule="auto"/>
              <w:ind w:firstLine="120" w:firstLineChars="50"/>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Biomedical</w:t>
            </w:r>
          </w:p>
        </w:tc>
        <w:tc>
          <w:tcPr>
            <w:tcW w:w="8796" w:type="dxa"/>
          </w:tcPr>
          <w:p w14:paraId="46848E7E">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sz w:val="24"/>
                <w:szCs w:val="24"/>
              </w:rPr>
              <w:t>In Dhaka city, biomedical waste disposal service to private hospitals is offered by an NGO.</w:t>
            </w:r>
          </w:p>
        </w:tc>
      </w:tr>
      <w:tr w14:paraId="5D66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0368" w:type="dxa"/>
            <w:gridSpan w:val="2"/>
          </w:tcPr>
          <w:p w14:paraId="03F72702">
            <w:pPr>
              <w:widowControl w:val="0"/>
              <w:spacing w:line="360" w:lineRule="auto"/>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Source--</w:t>
            </w:r>
            <w:r>
              <w:rPr>
                <w:rFonts w:hint="default" w:ascii="Times New Roman" w:hAnsi="Times New Roman" w:cs="Times New Roman"/>
                <w:sz w:val="24"/>
                <w:szCs w:val="24"/>
              </w:rPr>
              <w:t xml:space="preserve">Ahmed, Z., Mahmud, S., &amp; Dr. Hakan, A. (2022). </w:t>
            </w:r>
            <w:r>
              <w:rPr>
                <w:rStyle w:val="9"/>
                <w:rFonts w:hint="default" w:ascii="Times New Roman" w:hAnsi="Times New Roman" w:cs="Times New Roman"/>
                <w:sz w:val="24"/>
                <w:szCs w:val="24"/>
              </w:rPr>
              <w:t>Circular economy model for developing countries: Evidence from Bangladesh</w:t>
            </w:r>
          </w:p>
        </w:tc>
      </w:tr>
    </w:tbl>
    <w:p w14:paraId="11D0132B">
      <w:pPr>
        <w:spacing w:line="360" w:lineRule="auto"/>
        <w:rPr>
          <w:rFonts w:hint="default" w:ascii="Times New Roman" w:hAnsi="Times New Roman" w:eastAsia="SimSun" w:cs="Times New Roman"/>
          <w:b/>
          <w:bCs/>
          <w:sz w:val="24"/>
          <w:szCs w:val="24"/>
          <w:u w:val="none"/>
          <w:lang w:val="en-US"/>
        </w:rPr>
      </w:pPr>
    </w:p>
    <w:p w14:paraId="02C28D77">
      <w:pPr>
        <w:spacing w:line="360" w:lineRule="auto"/>
        <w:rPr>
          <w:rFonts w:hint="default" w:ascii="Times New Roman" w:hAnsi="Times New Roman" w:eastAsia="SimSun"/>
          <w:b/>
          <w:bCs/>
          <w:sz w:val="24"/>
          <w:szCs w:val="24"/>
          <w:u w:val="none"/>
          <w:lang w:val="en-US"/>
        </w:rPr>
      </w:pPr>
      <w:r>
        <w:rPr>
          <w:rFonts w:hint="default" w:ascii="Times New Roman" w:hAnsi="Times New Roman" w:eastAsia="SimSun" w:cs="Times New Roman"/>
          <w:b/>
          <w:bCs/>
          <w:sz w:val="24"/>
          <w:szCs w:val="24"/>
          <w:u w:val="none"/>
          <w:lang w:val="en-US"/>
        </w:rPr>
        <w:t xml:space="preserve">Sri Lanka  </w:t>
      </w:r>
      <w:r>
        <w:rPr>
          <w:rFonts w:hint="default" w:ascii="Times New Roman" w:hAnsi="Times New Roman" w:eastAsia="SimSun"/>
          <w:b/>
          <w:bCs/>
          <w:sz w:val="24"/>
          <w:szCs w:val="24"/>
          <w:u w:val="none"/>
          <w:lang w:val="en-US"/>
        </w:rPr>
        <w:t>Current Policy Landscape:</w:t>
      </w:r>
    </w:p>
    <w:p w14:paraId="23EB8A0B">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single"/>
          <w:lang w:val="en-US"/>
        </w:rPr>
        <w:t>Sri Lanka : Carbon neutrality--</w:t>
      </w:r>
      <w:r>
        <w:rPr>
          <w:rFonts w:hint="default" w:ascii="Times New Roman" w:hAnsi="Times New Roman" w:eastAsia="SimSun"/>
          <w:b w:val="0"/>
          <w:bCs w:val="0"/>
          <w:sz w:val="24"/>
          <w:szCs w:val="24"/>
          <w:u w:val="none"/>
          <w:lang w:val="en-US"/>
        </w:rPr>
        <w:t xml:space="preserve">In spite of being in a very vulnerable position, Sri Lanka undertakes to increase forest cover by 32% by 2013 and a reduction of green house emissions by 14% from power (electricity production), transport, industry,waste  and agriculture between the years 2021 to 2030.  To reach 70% of renewable energy in power production by 2030 and carbon neutrality in power generation by 2050. To attain the above goals, the nation has targeted to fuse strategies ,such as the implementation of the 'Colombo declaration on Sustainable nitrogen management'  </w:t>
      </w:r>
    </w:p>
    <w:p w14:paraId="144332CD">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w:t>
      </w:r>
      <w:r>
        <w:rPr>
          <w:rFonts w:hint="default" w:ascii="Times New Roman" w:hAnsi="Times New Roman" w:eastAsia="SimSun"/>
          <w:b w:val="0"/>
          <w:bCs w:val="0"/>
          <w:sz w:val="24"/>
          <w:szCs w:val="24"/>
          <w:u w:val="single"/>
          <w:lang w:val="en-US"/>
        </w:rPr>
        <w:t>Sector-Specific Initiatives</w:t>
      </w:r>
      <w:r>
        <w:rPr>
          <w:rFonts w:hint="default" w:ascii="Times New Roman" w:hAnsi="Times New Roman" w:eastAsia="SimSun"/>
          <w:b w:val="0"/>
          <w:bCs w:val="0"/>
          <w:sz w:val="24"/>
          <w:szCs w:val="24"/>
          <w:u w:val="none"/>
          <w:lang w:val="en-US"/>
        </w:rPr>
        <w:t>: There are some sectors that have started efforts to introduce CE principles. For example, the construction sector has considered implementing the 10R approach (Refuse, Rethink, Reduce, Reuse, Repair, Refurbish, Remanufacture, Repurpose, Recycle, and Recover) for enhancing sustainability practices.</w:t>
      </w:r>
    </w:p>
    <w:p w14:paraId="78A01FBE">
      <w:pPr>
        <w:spacing w:line="360" w:lineRule="auto"/>
        <w:rPr>
          <w:rFonts w:hint="default" w:ascii="Times New Roman" w:hAnsi="Times New Roman" w:eastAsia="SimSun"/>
          <w:b w:val="0"/>
          <w:bCs w:val="0"/>
          <w:sz w:val="24"/>
          <w:szCs w:val="24"/>
          <w:u w:val="none"/>
          <w:lang w:val="en-US"/>
        </w:rPr>
      </w:pPr>
      <w:bookmarkStart w:id="0" w:name="_GoBack"/>
      <w:bookmarkEnd w:id="0"/>
    </w:p>
    <w:p w14:paraId="56778621">
      <w:pPr>
        <w:spacing w:line="360" w:lineRule="auto"/>
        <w:rPr>
          <w:rFonts w:hint="default" w:ascii="Times New Roman" w:hAnsi="Times New Roman" w:eastAsia="SimSun"/>
          <w:b w:val="0"/>
          <w:bCs w:val="0"/>
          <w:sz w:val="24"/>
          <w:szCs w:val="24"/>
          <w:u w:val="none"/>
          <w:lang w:val="en-US"/>
        </w:rPr>
      </w:pPr>
    </w:p>
    <w:p w14:paraId="608F3E64">
      <w:pPr>
        <w:spacing w:line="360" w:lineRule="auto"/>
        <w:rPr>
          <w:rFonts w:hint="default" w:ascii="Times New Roman" w:hAnsi="Times New Roman" w:eastAsia="SimSun"/>
          <w:b/>
          <w:bCs/>
          <w:sz w:val="24"/>
          <w:szCs w:val="24"/>
          <w:u w:val="none"/>
          <w:lang w:val="en-US"/>
        </w:rPr>
        <w:sectPr>
          <w:pgSz w:w="11906" w:h="16838"/>
          <w:pgMar w:top="720" w:right="720" w:bottom="720" w:left="720" w:header="720" w:footer="720" w:gutter="0"/>
          <w:cols w:space="720" w:num="1"/>
          <w:docGrid w:linePitch="360" w:charSpace="0"/>
        </w:sectPr>
      </w:pPr>
    </w:p>
    <w:p w14:paraId="4FEC02A8">
      <w:pPr>
        <w:rPr>
          <w:rFonts w:hint="default"/>
          <w:b/>
          <w:bCs/>
          <w:lang w:val="en-US"/>
        </w:rPr>
      </w:pPr>
      <w:r>
        <w:rPr>
          <w:rFonts w:hint="default" w:ascii="Times New Roman" w:hAnsi="Times New Roman" w:eastAsia="SimSun" w:cs="Times New Roman"/>
          <w:b/>
          <w:bCs/>
          <w:sz w:val="24"/>
          <w:szCs w:val="24"/>
          <w:u w:val="none"/>
          <w:lang w:val="en-US"/>
        </w:rPr>
        <w:t>Pakistan Policy Framework</w:t>
      </w:r>
    </w:p>
    <w:p w14:paraId="2209B046">
      <w:pPr>
        <w:rPr>
          <w:rFonts w:hint="default" w:ascii="Times New Roman" w:hAnsi="Times New Roman" w:eastAsia="SimSun" w:cs="Times New Roman"/>
          <w:b w:val="0"/>
          <w:bCs w:val="0"/>
          <w:sz w:val="24"/>
          <w:szCs w:val="24"/>
          <w:u w:val="none"/>
          <w:lang w:val="en-US"/>
        </w:rPr>
      </w:pPr>
    </w:p>
    <w:p w14:paraId="3BDBB61A">
      <w:pPr>
        <w:rPr>
          <w:rFonts w:hint="default" w:ascii="Times New Roman" w:hAnsi="Times New Roman" w:eastAsia="SimSun" w:cs="Times New Roman"/>
          <w:b w:val="0"/>
          <w:bCs w:val="0"/>
          <w:sz w:val="24"/>
          <w:szCs w:val="24"/>
          <w:u w:val="none"/>
          <w:lang w:val="en-US"/>
        </w:rPr>
      </w:pPr>
      <w:r>
        <w:rPr>
          <w:sz w:val="24"/>
        </w:rPr>
        <mc:AlternateContent>
          <mc:Choice Requires="wps">
            <w:drawing>
              <wp:anchor distT="0" distB="0" distL="114300" distR="114300" simplePos="0" relativeHeight="251667456" behindDoc="0" locked="0" layoutInCell="1" allowOverlap="1">
                <wp:simplePos x="0" y="0"/>
                <wp:positionH relativeFrom="column">
                  <wp:posOffset>210185</wp:posOffset>
                </wp:positionH>
                <wp:positionV relativeFrom="paragraph">
                  <wp:posOffset>4022725</wp:posOffset>
                </wp:positionV>
                <wp:extent cx="4808220" cy="269875"/>
                <wp:effectExtent l="4445" t="4445" r="18415" b="15240"/>
                <wp:wrapNone/>
                <wp:docPr id="12" name="Text Box 12"/>
                <wp:cNvGraphicFramePr/>
                <a:graphic xmlns:a="http://schemas.openxmlformats.org/drawingml/2006/main">
                  <a:graphicData uri="http://schemas.microsoft.com/office/word/2010/wordprocessingShape">
                    <wps:wsp>
                      <wps:cNvSpPr txBox="1"/>
                      <wps:spPr>
                        <a:xfrm>
                          <a:off x="667385" y="4890135"/>
                          <a:ext cx="4808220" cy="269875"/>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2287D7CA">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Source--Author’s own creation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55pt;margin-top:316.75pt;height:21.25pt;width:378.6pt;z-index:251667456;mso-width-relative:page;mso-height-relative:page;" fillcolor="#FFFFFF [3201]" filled="t" stroked="t" coordsize="21600,21600" o:gfxdata="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M9WVmXZAAAACgEAAA8A&#10;AAAAAAAAAQAgAAAAIgAAAGRycy9kb3ducmV2LnhtbFBLAQIUABQAAAAIAIdO4kBjZM4ZTwIAAMQE&#10;AAAOAAAAAAAAAAEAIAAAACgBAABkcnMvZTJvRG9jLnhtbFBLBQYAAAAABgAGAFkBAADpBQAAAAA=&#10;">
                <v:fill on="t" focussize="0,0"/>
                <v:stroke weight="0.5pt" color="#FFFFFF [3212]" joinstyle="round"/>
                <v:imagedata o:title=""/>
                <o:lock v:ext="edit" aspectratio="f"/>
                <v:textbox>
                  <w:txbxContent>
                    <w:p w14:paraId="2287D7CA">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Source--Author’s own creation </w:t>
                      </w:r>
                    </w:p>
                  </w:txbxContent>
                </v:textbox>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42545</wp:posOffset>
                </wp:positionH>
                <wp:positionV relativeFrom="paragraph">
                  <wp:posOffset>105410</wp:posOffset>
                </wp:positionV>
                <wp:extent cx="6271895" cy="1135380"/>
                <wp:effectExtent l="4445" t="4445" r="17780" b="18415"/>
                <wp:wrapNone/>
                <wp:docPr id="6" name="Text Box 6"/>
                <wp:cNvGraphicFramePr/>
                <a:graphic xmlns:a="http://schemas.openxmlformats.org/drawingml/2006/main">
                  <a:graphicData uri="http://schemas.microsoft.com/office/word/2010/wordprocessingShape">
                    <wps:wsp>
                      <wps:cNvSpPr txBox="1"/>
                      <wps:spPr>
                        <a:xfrm>
                          <a:off x="659765" y="912495"/>
                          <a:ext cx="6271895" cy="113538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5A456D1B">
                            <w:pPr>
                              <w:ind w:firstLine="2880" w:firstLineChars="1200"/>
                              <w:rPr>
                                <w:rFonts w:hint="default" w:ascii="Times New Roman" w:hAnsi="Times New Roman" w:cs="Times New Roman"/>
                                <w:sz w:val="24"/>
                                <w:szCs w:val="24"/>
                              </w:rPr>
                            </w:pPr>
                            <w:r>
                              <w:rPr>
                                <w:rFonts w:hint="default" w:ascii="Times New Roman" w:hAnsi="Times New Roman" w:cs="Times New Roman"/>
                                <w:sz w:val="24"/>
                                <w:szCs w:val="24"/>
                              </w:rPr>
                              <w:t>National Environmental Policies and Acts:</w:t>
                            </w:r>
                          </w:p>
                          <w:p w14:paraId="208E0818">
                            <w:pPr>
                              <w:rPr>
                                <w:rFonts w:hint="default" w:ascii="Times New Roman" w:hAnsi="Times New Roman" w:cs="Times New Roman"/>
                                <w:sz w:val="24"/>
                                <w:szCs w:val="24"/>
                              </w:rPr>
                            </w:pPr>
                            <w:r>
                              <w:rPr>
                                <w:rFonts w:hint="default" w:ascii="Times New Roman" w:hAnsi="Times New Roman" w:cs="Times New Roman"/>
                                <w:sz w:val="24"/>
                                <w:szCs w:val="24"/>
                              </w:rPr>
                              <w:t>Pakistan Enviro</w:t>
                            </w:r>
                            <w:r>
                              <w:rPr>
                                <w:rFonts w:hint="default" w:ascii="Times New Roman" w:hAnsi="Times New Roman" w:cs="Times New Roman"/>
                                <w:sz w:val="24"/>
                                <w:szCs w:val="24"/>
                                <w:lang w:val="en-US"/>
                              </w:rPr>
                              <w:t>n</w:t>
                            </w:r>
                            <w:r>
                              <w:rPr>
                                <w:rFonts w:hint="default" w:ascii="Times New Roman" w:hAnsi="Times New Roman" w:cs="Times New Roman"/>
                                <w:sz w:val="24"/>
                                <w:szCs w:val="24"/>
                              </w:rPr>
                              <w:t>ment Protection Act(1997)-This root legislation gives the general framework of environmental protection and resource conservation .</w:t>
                            </w:r>
                          </w:p>
                          <w:p w14:paraId="1FE9F80C">
                            <w:pPr>
                              <w:rPr>
                                <w:rFonts w:hint="default" w:ascii="Times New Roman" w:hAnsi="Times New Roman" w:cs="Times New Roman"/>
                                <w:sz w:val="24"/>
                                <w:szCs w:val="24"/>
                              </w:rPr>
                            </w:pPr>
                            <w:r>
                              <w:rPr>
                                <w:rFonts w:hint="default" w:ascii="Times New Roman" w:hAnsi="Times New Roman" w:cs="Times New Roman"/>
                                <w:sz w:val="24"/>
                                <w:szCs w:val="24"/>
                              </w:rPr>
                              <w:t>National Climate Change Policy (2021)-This policy puts forward sustainable development as imperative and recognises the importance of circular economy in reducing climate change effects.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pt;margin-top:8.3pt;height:89.4pt;width:493.85pt;z-index:251666432;mso-width-relative:page;mso-height-relative:page;" fillcolor="#FFFFFF [3201]" filled="t" stroked="t" coordsize="21600,21600" o:gfxdata="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raz0gtYAAAAIAQAADwAAAAAA&#10;AAABACAAAAAiAAAAZHJzL2Rvd25yZXYueG1sUEsBAhQAFAAAAAgAh07iQAk9TWNOAgAAwgQAAA4A&#10;AAAAAAAAAQAgAAAAJQEAAGRycy9lMm9Eb2MueG1sUEsFBgAAAAAGAAYAWQEAAOUFAAAAAA==&#10;">
                <v:fill on="t" focussize="0,0"/>
                <v:stroke weight="0.5pt" color="#FFFFFF [3212]" joinstyle="round"/>
                <v:imagedata o:title=""/>
                <o:lock v:ext="edit" aspectratio="f"/>
                <v:textbox>
                  <w:txbxContent>
                    <w:p w14:paraId="5A456D1B">
                      <w:pPr>
                        <w:ind w:firstLine="2880" w:firstLineChars="1200"/>
                        <w:rPr>
                          <w:rFonts w:hint="default" w:ascii="Times New Roman" w:hAnsi="Times New Roman" w:cs="Times New Roman"/>
                          <w:sz w:val="24"/>
                          <w:szCs w:val="24"/>
                        </w:rPr>
                      </w:pPr>
                      <w:r>
                        <w:rPr>
                          <w:rFonts w:hint="default" w:ascii="Times New Roman" w:hAnsi="Times New Roman" w:cs="Times New Roman"/>
                          <w:sz w:val="24"/>
                          <w:szCs w:val="24"/>
                        </w:rPr>
                        <w:t>National Environmental Policies and Acts:</w:t>
                      </w:r>
                    </w:p>
                    <w:p w14:paraId="208E0818">
                      <w:pPr>
                        <w:rPr>
                          <w:rFonts w:hint="default" w:ascii="Times New Roman" w:hAnsi="Times New Roman" w:cs="Times New Roman"/>
                          <w:sz w:val="24"/>
                          <w:szCs w:val="24"/>
                        </w:rPr>
                      </w:pPr>
                      <w:r>
                        <w:rPr>
                          <w:rFonts w:hint="default" w:ascii="Times New Roman" w:hAnsi="Times New Roman" w:cs="Times New Roman"/>
                          <w:sz w:val="24"/>
                          <w:szCs w:val="24"/>
                        </w:rPr>
                        <w:t>Pakistan Enviro</w:t>
                      </w:r>
                      <w:r>
                        <w:rPr>
                          <w:rFonts w:hint="default" w:ascii="Times New Roman" w:hAnsi="Times New Roman" w:cs="Times New Roman"/>
                          <w:sz w:val="24"/>
                          <w:szCs w:val="24"/>
                          <w:lang w:val="en-US"/>
                        </w:rPr>
                        <w:t>n</w:t>
                      </w:r>
                      <w:r>
                        <w:rPr>
                          <w:rFonts w:hint="default" w:ascii="Times New Roman" w:hAnsi="Times New Roman" w:cs="Times New Roman"/>
                          <w:sz w:val="24"/>
                          <w:szCs w:val="24"/>
                        </w:rPr>
                        <w:t>ment Protection Act(1997)-This root legislation gives the general framework of environmental protection and resource conservation .</w:t>
                      </w:r>
                    </w:p>
                    <w:p w14:paraId="1FE9F80C">
                      <w:pPr>
                        <w:rPr>
                          <w:rFonts w:hint="default" w:ascii="Times New Roman" w:hAnsi="Times New Roman" w:cs="Times New Roman"/>
                          <w:sz w:val="24"/>
                          <w:szCs w:val="24"/>
                        </w:rPr>
                      </w:pPr>
                      <w:r>
                        <w:rPr>
                          <w:rFonts w:hint="default" w:ascii="Times New Roman" w:hAnsi="Times New Roman" w:cs="Times New Roman"/>
                          <w:sz w:val="24"/>
                          <w:szCs w:val="24"/>
                        </w:rPr>
                        <w:t>National Climate Change Policy (2021)-This policy puts forward sustainable development as imperative and recognises the importance of circular economy in reducing climate change effects.</w:t>
                      </w:r>
                    </w:p>
                  </w:txbxContent>
                </v:textbox>
              </v:shape>
            </w:pict>
          </mc:Fallback>
        </mc:AlternateContent>
      </w:r>
      <w:r>
        <w:rPr>
          <w:rFonts w:hint="default" w:ascii="Times New Roman" w:hAnsi="Times New Roman" w:eastAsia="SimSun" w:cs="Times New Roman"/>
          <w:b w:val="0"/>
          <w:bCs w:val="0"/>
          <w:sz w:val="24"/>
          <w:szCs w:val="24"/>
          <w:u w:val="none"/>
          <w:lang w:val="en-US"/>
        </w:rPr>
        <w:drawing>
          <wp:inline distT="0" distB="0" distL="114300" distR="114300">
            <wp:extent cx="6444615" cy="4297680"/>
            <wp:effectExtent l="6350" t="0" r="10795" b="3048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4265A0B">
      <w:pPr>
        <w:rPr>
          <w:rFonts w:hint="default" w:ascii="Times New Roman" w:hAnsi="Times New Roman" w:eastAsia="SimSun" w:cs="Times New Roman"/>
          <w:b w:val="0"/>
          <w:bCs w:val="0"/>
          <w:sz w:val="24"/>
          <w:szCs w:val="24"/>
          <w:u w:val="none"/>
          <w:lang w:val="en-US"/>
        </w:rPr>
      </w:pPr>
    </w:p>
    <w:p w14:paraId="5612075A">
      <w:pPr>
        <w:rPr>
          <w:rFonts w:hint="default" w:ascii="Times New Roman" w:hAnsi="Times New Roman" w:eastAsia="SimSun" w:cs="Times New Roman"/>
          <w:b w:val="0"/>
          <w:bCs w:val="0"/>
          <w:sz w:val="24"/>
          <w:szCs w:val="24"/>
          <w:u w:val="none"/>
          <w:lang w:val="en-US"/>
        </w:rPr>
      </w:pPr>
    </w:p>
    <w:p w14:paraId="50228AB4">
      <w:pPr>
        <w:rPr>
          <w:rFonts w:hint="default" w:ascii="Times New Roman" w:hAnsi="Times New Roman" w:eastAsia="SimSun" w:cs="Times New Roman"/>
          <w:b/>
          <w:bCs/>
          <w:sz w:val="24"/>
          <w:szCs w:val="24"/>
          <w:u w:val="none"/>
          <w:lang w:val="en-US"/>
        </w:rPr>
      </w:pPr>
      <w:r>
        <w:rPr>
          <w:rFonts w:hint="default" w:ascii="Times New Roman" w:hAnsi="Times New Roman" w:eastAsia="SimSun" w:cs="Times New Roman"/>
          <w:b/>
          <w:bCs/>
          <w:sz w:val="24"/>
          <w:szCs w:val="24"/>
          <w:u w:val="none"/>
          <w:lang w:val="en-US"/>
        </w:rPr>
        <w:t>Nepal Policy Framework</w:t>
      </w:r>
    </w:p>
    <w:p w14:paraId="54DC2B21">
      <w:pPr>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 </w:t>
      </w:r>
    </w:p>
    <w:p w14:paraId="3D585D06">
      <w:pPr>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Nepal : integrating GRID and shifting to low -carbon technologies</w:t>
      </w:r>
    </w:p>
    <w:p w14:paraId="29111D07">
      <w:pPr>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The government of Nepal has aimed at becoming a carbon-resilient country and it has integrated the Green Resilient and Inclusive Development (GRID) agenda into development policies and plans. The government is now targeting promoting electrification and the transition to low carbon technologies in the residential transportation, industrial and commercial sectors.</w:t>
      </w:r>
    </w:p>
    <w:p w14:paraId="4D85D2BF">
      <w:pPr>
        <w:rPr>
          <w:rFonts w:hint="default" w:ascii="Times New Roman" w:hAnsi="Times New Roman" w:eastAsia="SimSun"/>
          <w:b w:val="0"/>
          <w:bCs w:val="0"/>
          <w:sz w:val="24"/>
          <w:szCs w:val="24"/>
          <w:u w:val="none"/>
          <w:lang w:val="en-US"/>
        </w:rPr>
      </w:pPr>
    </w:p>
    <w:p w14:paraId="01FE6EFD">
      <w:pPr>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Solid Waste Management Act, 2011: This all-encompassing law outlines the roles of local authorities, the private sector, and the public in solid waste management. It focuses on segregation of waste at source, encourages reduction, reuse, and recycling practices, and imposes penalties for default. The Act is a corner stone for mainstreaming circular economy principles into Nepal's waste management systems.</w:t>
      </w:r>
    </w:p>
    <w:p w14:paraId="5F51D03E">
      <w:pPr>
        <w:rPr>
          <w:rFonts w:hint="default" w:ascii="Times New Roman" w:hAnsi="Times New Roman" w:eastAsia="SimSun"/>
          <w:b w:val="0"/>
          <w:bCs w:val="0"/>
          <w:sz w:val="24"/>
          <w:szCs w:val="24"/>
          <w:u w:val="none"/>
          <w:lang w:val="en-US"/>
        </w:rPr>
      </w:pPr>
    </w:p>
    <w:p w14:paraId="3964AEF5">
      <w:pPr>
        <w:rPr>
          <w:rFonts w:hint="default" w:ascii="Times New Roman" w:hAnsi="Times New Roman" w:eastAsia="SimSun"/>
          <w:b/>
          <w:bCs/>
          <w:sz w:val="24"/>
          <w:szCs w:val="24"/>
          <w:u w:val="none"/>
          <w:lang w:val="en-US"/>
        </w:rPr>
      </w:pPr>
    </w:p>
    <w:p w14:paraId="426FBA21">
      <w:pPr>
        <w:rPr>
          <w:rFonts w:hint="default" w:ascii="Times New Roman" w:hAnsi="Times New Roman" w:eastAsia="SimSun"/>
          <w:b/>
          <w:bCs/>
          <w:sz w:val="24"/>
          <w:szCs w:val="24"/>
          <w:u w:val="none"/>
          <w:lang w:val="en-US"/>
        </w:rPr>
      </w:pPr>
      <w:r>
        <w:rPr>
          <w:rFonts w:hint="default" w:ascii="Times New Roman" w:hAnsi="Times New Roman" w:eastAsia="SimSun"/>
          <w:b/>
          <w:bCs/>
          <w:sz w:val="24"/>
          <w:szCs w:val="24"/>
          <w:u w:val="none"/>
          <w:lang w:val="en-US"/>
        </w:rPr>
        <w:tab/>
      </w:r>
      <w:r>
        <w:rPr>
          <w:rFonts w:hint="default" w:ascii="Times New Roman" w:hAnsi="Times New Roman" w:eastAsia="SimSun"/>
          <w:b/>
          <w:bCs/>
          <w:sz w:val="24"/>
          <w:szCs w:val="24"/>
          <w:u w:val="none"/>
          <w:lang w:val="en-US"/>
        </w:rPr>
        <w:t>Table 3 - Comparative Analysis of Circular Economy Policies in South Asia</w:t>
      </w:r>
    </w:p>
    <w:p w14:paraId="48291C98">
      <w:pPr>
        <w:rPr>
          <w:rFonts w:hint="default" w:ascii="Times New Roman" w:hAnsi="Times New Roman" w:eastAsia="SimSun"/>
          <w:b/>
          <w:bCs/>
          <w:sz w:val="24"/>
          <w:szCs w:val="24"/>
          <w:u w:val="none"/>
          <w:lang w:val="en-US"/>
        </w:rPr>
      </w:pPr>
    </w:p>
    <w:p w14:paraId="6A5F5D0C">
      <w:pPr>
        <w:rPr>
          <w:rFonts w:hint="default" w:ascii="Times New Roman" w:hAnsi="Times New Roman" w:eastAsia="SimSun"/>
          <w:b w:val="0"/>
          <w:bCs w:val="0"/>
          <w:sz w:val="24"/>
          <w:szCs w:val="24"/>
          <w:u w:val="none"/>
          <w:lang w:val="en-US"/>
        </w:rPr>
      </w:pPr>
    </w:p>
    <w:tbl>
      <w:tblPr>
        <w:tblStyle w:val="1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6"/>
        <w:gridCol w:w="9020"/>
      </w:tblGrid>
      <w:tr w14:paraId="4BBB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36" w:type="dxa"/>
          </w:tcPr>
          <w:p w14:paraId="4D3418AC">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 xml:space="preserve">  Country</w:t>
            </w:r>
          </w:p>
        </w:tc>
        <w:tc>
          <w:tcPr>
            <w:tcW w:w="9020" w:type="dxa"/>
          </w:tcPr>
          <w:p w14:paraId="127931F8">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 xml:space="preserve">                             Key  Circular Economy Policy Initiatives</w:t>
            </w:r>
          </w:p>
        </w:tc>
      </w:tr>
      <w:tr w14:paraId="1D4BF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1336" w:type="dxa"/>
          </w:tcPr>
          <w:p w14:paraId="68CD04CC">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 xml:space="preserve"> India  </w:t>
            </w:r>
          </w:p>
        </w:tc>
        <w:tc>
          <w:tcPr>
            <w:tcW w:w="9020" w:type="dxa"/>
            <w:shd w:val="clear" w:color="auto" w:fill="auto"/>
            <w:vAlign w:val="top"/>
          </w:tcPr>
          <w:p w14:paraId="71DEADF1">
            <w:pPr>
              <w:widowControl w:val="0"/>
              <w:ind w:left="600" w:leftChars="0" w:hanging="600" w:hangingChars="250"/>
              <w:jc w:val="left"/>
              <w:rPr>
                <w:rFonts w:hint="default" w:ascii="Times New Roman" w:hAnsi="Times New Roman" w:eastAsia="SimSun" w:cstheme="minorBidi"/>
                <w:b w:val="0"/>
                <w:bCs w:val="0"/>
                <w:sz w:val="24"/>
                <w:szCs w:val="24"/>
                <w:u w:val="none"/>
                <w:vertAlign w:val="baseline"/>
                <w:lang w:val="en-US" w:eastAsia="zh-CN" w:bidi="ar-SA"/>
              </w:rPr>
            </w:pPr>
            <w:r>
              <w:rPr>
                <w:rFonts w:hint="default" w:ascii="Times New Roman" w:hAnsi="Times New Roman" w:eastAsia="SimSun" w:cs="Times New Roman"/>
                <w:sz w:val="24"/>
                <w:szCs w:val="24"/>
              </w:rPr>
              <w:t>N</w:t>
            </w:r>
            <w:r>
              <w:rPr>
                <w:rFonts w:hint="default" w:ascii="Times New Roman" w:hAnsi="Times New Roman" w:eastAsia="SimSun" w:cs="Times New Roman"/>
                <w:sz w:val="24"/>
                <w:szCs w:val="24"/>
                <w:lang w:val="en-US"/>
              </w:rPr>
              <w:t>ational Resource Efficiency Policy (NREP)</w:t>
            </w:r>
            <w:r>
              <w:rPr>
                <w:rFonts w:hint="default" w:ascii="Times New Roman" w:hAnsi="Times New Roman" w:eastAsia="SimSun" w:cs="Times New Roman"/>
                <w:sz w:val="24"/>
                <w:szCs w:val="24"/>
              </w:rPr>
              <w:t xml:space="preserve">, Swachh Bharat </w:t>
            </w:r>
            <w:r>
              <w:rPr>
                <w:rFonts w:hint="default" w:ascii="Times New Roman" w:hAnsi="Times New Roman" w:eastAsia="SimSun" w:cs="Times New Roman"/>
                <w:sz w:val="24"/>
                <w:szCs w:val="24"/>
                <w:lang w:val="en-US"/>
              </w:rPr>
              <w:t xml:space="preserve">Mission, Plastic Waste </w:t>
            </w:r>
            <w:r>
              <w:rPr>
                <w:rFonts w:hint="default" w:ascii="Times New Roman" w:hAnsi="Times New Roman" w:eastAsia="SimSun" w:cs="Times New Roman"/>
                <w:sz w:val="24"/>
                <w:szCs w:val="24"/>
              </w:rPr>
              <w:t>Management Rules, E</w:t>
            </w:r>
            <w:r>
              <w:rPr>
                <w:rFonts w:hint="default" w:ascii="Times New Roman" w:hAnsi="Times New Roman" w:eastAsia="SimSun" w:cs="Times New Roman"/>
                <w:sz w:val="24"/>
                <w:szCs w:val="24"/>
                <w:lang w:val="en-US"/>
              </w:rPr>
              <w:t xml:space="preserve">nhanced Producer Responsibility </w:t>
            </w:r>
          </w:p>
        </w:tc>
      </w:tr>
      <w:tr w14:paraId="62AD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36" w:type="dxa"/>
          </w:tcPr>
          <w:p w14:paraId="671A3688">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Bangladesh</w:t>
            </w:r>
          </w:p>
        </w:tc>
        <w:tc>
          <w:tcPr>
            <w:tcW w:w="9020" w:type="dxa"/>
          </w:tcPr>
          <w:p w14:paraId="5F54AAC8">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cs="Times New Roman"/>
                <w:sz w:val="24"/>
                <w:szCs w:val="24"/>
              </w:rPr>
              <w:t>3R Strategy, Plastic Action Plan, Draft EPR, Sustainable Public Procurement</w:t>
            </w:r>
          </w:p>
        </w:tc>
      </w:tr>
      <w:tr w14:paraId="36BA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36" w:type="dxa"/>
          </w:tcPr>
          <w:p w14:paraId="003C1F95">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 xml:space="preserve"> Pakistan</w:t>
            </w:r>
          </w:p>
        </w:tc>
        <w:tc>
          <w:tcPr>
            <w:tcW w:w="9020" w:type="dxa"/>
          </w:tcPr>
          <w:p w14:paraId="7CEFA640">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 xml:space="preserve"> </w:t>
            </w:r>
            <w:r>
              <w:rPr>
                <w:rFonts w:hint="default" w:ascii="Times New Roman" w:hAnsi="Times New Roman" w:eastAsia="SimSun" w:cs="Times New Roman"/>
                <w:b w:val="0"/>
                <w:bCs w:val="0"/>
                <w:sz w:val="24"/>
                <w:szCs w:val="24"/>
                <w:u w:val="none"/>
                <w:vertAlign w:val="baseline"/>
                <w:lang w:val="en-US"/>
              </w:rPr>
              <w:t xml:space="preserve"> </w:t>
            </w:r>
            <w:r>
              <w:rPr>
                <w:rFonts w:hint="default" w:ascii="Times New Roman" w:hAnsi="Times New Roman" w:eastAsia="SimSun" w:cs="Times New Roman"/>
                <w:sz w:val="24"/>
                <w:szCs w:val="24"/>
              </w:rPr>
              <w:t>National Waste Management Plan, Plastic Ban, E-Vehicle Policy</w:t>
            </w:r>
          </w:p>
        </w:tc>
      </w:tr>
      <w:tr w14:paraId="0C3B7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36" w:type="dxa"/>
          </w:tcPr>
          <w:p w14:paraId="47F9F9FD">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 xml:space="preserve">  Nepal</w:t>
            </w:r>
          </w:p>
        </w:tc>
        <w:tc>
          <w:tcPr>
            <w:tcW w:w="9020" w:type="dxa"/>
          </w:tcPr>
          <w:p w14:paraId="1B534229">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cs="Times New Roman"/>
                <w:sz w:val="24"/>
                <w:szCs w:val="24"/>
              </w:rPr>
              <w:t>Solid Waste Act 2011, GRID Framework, Hydropower Investments</w:t>
            </w:r>
          </w:p>
        </w:tc>
      </w:tr>
      <w:tr w14:paraId="4F0F2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36" w:type="dxa"/>
          </w:tcPr>
          <w:p w14:paraId="74E9D0AD">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b w:val="0"/>
                <w:bCs w:val="0"/>
                <w:sz w:val="24"/>
                <w:szCs w:val="24"/>
                <w:u w:val="none"/>
                <w:vertAlign w:val="baseline"/>
                <w:lang w:val="en-US"/>
              </w:rPr>
              <w:t xml:space="preserve"> Sri Lanka</w:t>
            </w:r>
          </w:p>
        </w:tc>
        <w:tc>
          <w:tcPr>
            <w:tcW w:w="9020" w:type="dxa"/>
          </w:tcPr>
          <w:p w14:paraId="240FC2DA">
            <w:pPr>
              <w:widowControl w:val="0"/>
              <w:jc w:val="both"/>
              <w:rPr>
                <w:rFonts w:hint="default" w:ascii="Times New Roman" w:hAnsi="Times New Roman" w:eastAsia="SimSun"/>
                <w:b w:val="0"/>
                <w:bCs w:val="0"/>
                <w:sz w:val="24"/>
                <w:szCs w:val="24"/>
                <w:u w:val="none"/>
                <w:vertAlign w:val="baseline"/>
                <w:lang w:val="en-US"/>
              </w:rPr>
            </w:pPr>
            <w:r>
              <w:rPr>
                <w:rFonts w:hint="default" w:ascii="Times New Roman" w:hAnsi="Times New Roman" w:eastAsia="SimSun" w:cs="Times New Roman"/>
                <w:sz w:val="24"/>
                <w:szCs w:val="24"/>
              </w:rPr>
              <w:t>Colombo Declaration, Renewable Energy Policies, Plastic Ban, 10R in Construction</w:t>
            </w:r>
          </w:p>
        </w:tc>
      </w:tr>
      <w:tr w14:paraId="57841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0356" w:type="dxa"/>
            <w:gridSpan w:val="2"/>
          </w:tcPr>
          <w:p w14:paraId="3A6DA6B8">
            <w:pPr>
              <w:widowControl w:val="0"/>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Source--Author’s own creation </w:t>
            </w:r>
          </w:p>
        </w:tc>
      </w:tr>
    </w:tbl>
    <w:p w14:paraId="30FB414D">
      <w:pPr>
        <w:rPr>
          <w:rFonts w:hint="default" w:ascii="Times New Roman" w:hAnsi="Times New Roman" w:eastAsia="SimSun"/>
          <w:b w:val="0"/>
          <w:bCs w:val="0"/>
          <w:sz w:val="24"/>
          <w:szCs w:val="24"/>
          <w:u w:val="none"/>
          <w:lang w:val="en-US"/>
        </w:rPr>
        <w:sectPr>
          <w:pgSz w:w="11906" w:h="16838"/>
          <w:pgMar w:top="720" w:right="720" w:bottom="720" w:left="720" w:header="720" w:footer="720" w:gutter="0"/>
          <w:cols w:space="720" w:num="1"/>
          <w:docGrid w:linePitch="360" w:charSpace="0"/>
        </w:sectPr>
      </w:pPr>
    </w:p>
    <w:p w14:paraId="35AA7FCC">
      <w:pPr>
        <w:rPr>
          <w:rFonts w:hint="default" w:ascii="Times New Roman" w:hAnsi="Times New Roman" w:eastAsia="SimSun"/>
          <w:b/>
          <w:bCs/>
          <w:sz w:val="24"/>
          <w:szCs w:val="24"/>
          <w:u w:val="single"/>
          <w:lang w:val="en-US"/>
        </w:rPr>
      </w:pPr>
      <w:r>
        <w:rPr>
          <w:rFonts w:hint="default" w:ascii="Times New Roman" w:hAnsi="Times New Roman" w:eastAsia="SimSun"/>
          <w:b/>
          <w:bCs/>
          <w:sz w:val="24"/>
          <w:szCs w:val="24"/>
          <w:u w:val="single"/>
          <w:lang w:val="en-US"/>
        </w:rPr>
        <w:t>Challenges and opportunities</w:t>
      </w:r>
    </w:p>
    <w:p w14:paraId="73A90280">
      <w:pPr>
        <w:rPr>
          <w:rFonts w:hint="default" w:ascii="Times New Roman" w:hAnsi="Times New Roman" w:eastAsia="SimSun"/>
          <w:b w:val="0"/>
          <w:bCs w:val="0"/>
          <w:sz w:val="24"/>
          <w:szCs w:val="24"/>
          <w:u w:val="single"/>
          <w:lang w:val="en-US"/>
        </w:rPr>
      </w:pPr>
    </w:p>
    <w:p w14:paraId="716049DE">
      <w:pPr>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 xml:space="preserve">                 </w:t>
      </w:r>
      <w:r>
        <w:rPr>
          <w:rFonts w:hint="default" w:ascii="Times New Roman" w:hAnsi="Times New Roman" w:eastAsia="SimSun"/>
          <w:b/>
          <w:bCs/>
          <w:sz w:val="24"/>
          <w:szCs w:val="24"/>
          <w:u w:val="single"/>
          <w:lang w:val="en-US"/>
        </w:rPr>
        <w:t xml:space="preserve">   Challenges</w:t>
      </w:r>
      <w:r>
        <w:rPr>
          <w:rFonts w:hint="default" w:ascii="Times New Roman" w:hAnsi="Times New Roman" w:eastAsia="SimSun"/>
          <w:b/>
          <w:bCs/>
          <w:sz w:val="24"/>
          <w:szCs w:val="24"/>
          <w:u w:val="none"/>
          <w:lang w:val="en-US"/>
        </w:rPr>
        <w:t xml:space="preserve">                                                       </w:t>
      </w:r>
      <w:r>
        <w:rPr>
          <w:rFonts w:hint="default" w:ascii="Times New Roman" w:hAnsi="Times New Roman" w:eastAsia="SimSun"/>
          <w:b/>
          <w:bCs/>
          <w:sz w:val="24"/>
          <w:szCs w:val="24"/>
          <w:u w:val="single"/>
          <w:lang w:val="en-US"/>
        </w:rPr>
        <w:t>Key points</w:t>
      </w:r>
    </w:p>
    <w:p w14:paraId="0254417F">
      <w:pPr>
        <w:rPr>
          <w:rFonts w:hint="default" w:ascii="Times New Roman" w:hAnsi="Times New Roman" w:eastAsia="SimSun"/>
          <w:b w:val="0"/>
          <w:bCs w:val="0"/>
          <w:sz w:val="24"/>
          <w:szCs w:val="24"/>
          <w:u w:val="single"/>
          <w:lang w:val="en-US"/>
        </w:rPr>
      </w:pPr>
    </w:p>
    <w:p w14:paraId="729D9AB1">
      <w:pPr>
        <w:tabs>
          <w:tab w:val="left" w:pos="800"/>
        </w:tabs>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drawing>
          <wp:inline distT="0" distB="0" distL="114300" distR="114300">
            <wp:extent cx="6518275" cy="4308475"/>
            <wp:effectExtent l="6350" t="17145" r="13335" b="254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096F3BF">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Source--Author’s own creation</w:t>
      </w:r>
    </w:p>
    <w:p w14:paraId="21A24AD4">
      <w:pPr>
        <w:spacing w:line="360" w:lineRule="auto"/>
        <w:rPr>
          <w:rFonts w:hint="default" w:ascii="Times New Roman" w:hAnsi="Times New Roman" w:eastAsia="SimSun" w:cs="Times New Roman"/>
          <w:b w:val="0"/>
          <w:bCs w:val="0"/>
          <w:sz w:val="24"/>
          <w:szCs w:val="24"/>
          <w:u w:val="none"/>
          <w:lang w:val="en-US"/>
        </w:rPr>
      </w:pPr>
    </w:p>
    <w:p w14:paraId="01E73341">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The shift to a circular economy in South Asia, specifically in India, Bangladesh, Nepal, Pakistan, and Sri Lanka, is confronted with several obstacles that impede its complete adoption. These challenges can be generally grouped into resource limitations, infrastructure constraints, policy and regulatory hurdles, financial limitations, technological deficits, and institutional issues.</w:t>
      </w:r>
    </w:p>
    <w:p w14:paraId="6BCADD6E">
      <w:pPr>
        <w:spacing w:line="360" w:lineRule="auto"/>
        <w:rPr>
          <w:rFonts w:hint="default" w:ascii="Times New Roman" w:hAnsi="Times New Roman" w:eastAsia="SimSun" w:cs="Times New Roman"/>
          <w:b w:val="0"/>
          <w:bCs w:val="0"/>
          <w:sz w:val="24"/>
          <w:szCs w:val="24"/>
          <w:u w:val="none"/>
          <w:lang w:val="en-US"/>
        </w:rPr>
      </w:pPr>
    </w:p>
    <w:p w14:paraId="78282F93">
      <w:pPr>
        <w:spacing w:line="360" w:lineRule="auto"/>
        <w:rPr>
          <w:rFonts w:hint="default" w:ascii="Times New Roman" w:hAnsi="Times New Roman" w:eastAsia="SimSun" w:cs="Times New Roman"/>
          <w:b w:val="0"/>
          <w:bCs w:val="0"/>
          <w:sz w:val="24"/>
          <w:szCs w:val="24"/>
          <w:u w:val="single"/>
          <w:lang w:val="en-US"/>
        </w:rPr>
      </w:pPr>
      <w:r>
        <w:rPr>
          <w:rFonts w:hint="default" w:ascii="Times New Roman" w:hAnsi="Times New Roman" w:eastAsia="SimSun" w:cs="Times New Roman"/>
          <w:b w:val="0"/>
          <w:bCs w:val="0"/>
          <w:sz w:val="24"/>
          <w:szCs w:val="24"/>
          <w:u w:val="none"/>
          <w:lang w:val="en-US"/>
        </w:rPr>
        <w:t xml:space="preserve">1) </w:t>
      </w:r>
      <w:r>
        <w:rPr>
          <w:rFonts w:hint="default" w:ascii="Times New Roman" w:hAnsi="Times New Roman" w:eastAsia="SimSun" w:cs="Times New Roman"/>
          <w:b w:val="0"/>
          <w:bCs w:val="0"/>
          <w:sz w:val="24"/>
          <w:szCs w:val="24"/>
          <w:u w:val="single"/>
          <w:lang w:val="en-US"/>
        </w:rPr>
        <w:t>Resource Constraints</w:t>
      </w:r>
    </w:p>
    <w:p w14:paraId="71C5B437">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One of the main impediments to adopt circular economy strategies in South Asia is the lack of high-quality raw materials for sustainable production. Going green needs access to recycled, upcycled, or renewable resources, but multiple barriers are present in the way of this transition.</w:t>
      </w:r>
    </w:p>
    <w:p w14:paraId="2F65A6CC">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Insufficient Availability of Efficient Combustion Raw Materials: The unavailability of superior biomass and other alternative fuels on a sustainable basis limits the growth of power plants based on renewable energy, e.g., wood-burning and biofuel power plants.</w:t>
      </w:r>
    </w:p>
    <w:p w14:paraId="42D1131A">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Limited Use of Secondary Material: Much of South Asia's industrial and consumer waste is either landfilled or burned instead of being processed for recycling and reuse. Inefficient material recovery and waste-to-resource conversion restrict the circular economy's potential.</w:t>
      </w:r>
    </w:p>
    <w:p w14:paraId="2CE1675C">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Over reliance on Virgin Resources: South Asian industries continue to depend more on virgin raw materials than secondary resources, causing more environmental degradation.</w:t>
      </w:r>
    </w:p>
    <w:p w14:paraId="3A70E26A">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2) </w:t>
      </w:r>
      <w:r>
        <w:rPr>
          <w:rFonts w:hint="default" w:ascii="Times New Roman" w:hAnsi="Times New Roman" w:eastAsia="SimSun" w:cs="Times New Roman"/>
          <w:b w:val="0"/>
          <w:bCs w:val="0"/>
          <w:sz w:val="24"/>
          <w:szCs w:val="24"/>
          <w:u w:val="single"/>
          <w:lang w:val="en-US"/>
        </w:rPr>
        <w:t>Infrastructure Limitations</w:t>
      </w:r>
    </w:p>
    <w:p w14:paraId="0EFF4EFA">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 Insufficient Transmission Infrastructure for Renewable Energy</w:t>
      </w:r>
    </w:p>
    <w:p w14:paraId="30953E46">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The existing power grid in most South Asian nations is not capable of handling renewable energy sources like wind and hydropower. Smaller renewable energy projects, especially located in far-flung or rural regions, are disadvantaged due to a lack of proper transmission and distribution networks.</w:t>
      </w:r>
    </w:p>
    <w:p w14:paraId="59787153">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In India, Nepal, and Bangladesh, private sector developers must build transmission infrastructure themselves, significantly increasing project costs and discouraging investment in renewable energy projects.</w:t>
      </w:r>
    </w:p>
    <w:p w14:paraId="40E478C6">
      <w:pPr>
        <w:spacing w:line="360" w:lineRule="auto"/>
        <w:rPr>
          <w:rFonts w:hint="default" w:ascii="Times New Roman" w:hAnsi="Times New Roman" w:eastAsia="SimSun" w:cs="Times New Roman"/>
          <w:b w:val="0"/>
          <w:bCs w:val="0"/>
          <w:sz w:val="24"/>
          <w:szCs w:val="24"/>
          <w:u w:val="single"/>
          <w:lang w:val="en-US"/>
        </w:rPr>
      </w:pPr>
      <w:r>
        <w:rPr>
          <w:rFonts w:hint="default" w:ascii="Times New Roman" w:hAnsi="Times New Roman" w:eastAsia="SimSun" w:cs="Times New Roman"/>
          <w:b w:val="0"/>
          <w:bCs w:val="0"/>
          <w:sz w:val="24"/>
          <w:szCs w:val="24"/>
          <w:u w:val="none"/>
          <w:lang w:val="en-US"/>
        </w:rPr>
        <w:t>b) Waste Management and Recycling Shortcomings</w:t>
      </w:r>
    </w:p>
    <w:p w14:paraId="6C769B82">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Poor waste segregation at the source remains a major challenge, limiting the efficiency of recycling and waste-to-energy initiatives. Limited municipal solid waste (MSW) treatment facilities lead to improper disposal of recyclables, contributing to environmental pollution. The informal sector drives waste collection and recycling, frequently without any technological assistance or financial security.</w:t>
      </w:r>
    </w:p>
    <w:p w14:paraId="6B9C15FF">
      <w:pPr>
        <w:spacing w:line="360" w:lineRule="auto"/>
        <w:rPr>
          <w:rFonts w:hint="default" w:ascii="Times New Roman" w:hAnsi="Times New Roman" w:eastAsia="SimSun" w:cs="Times New Roman"/>
          <w:b w:val="0"/>
          <w:bCs w:val="0"/>
          <w:sz w:val="24"/>
          <w:szCs w:val="24"/>
          <w:u w:val="single"/>
          <w:lang w:val="en-US"/>
        </w:rPr>
      </w:pPr>
      <w:r>
        <w:rPr>
          <w:rFonts w:hint="default" w:ascii="Times New Roman" w:hAnsi="Times New Roman" w:eastAsia="SimSun" w:cs="Times New Roman"/>
          <w:b w:val="0"/>
          <w:bCs w:val="0"/>
          <w:sz w:val="24"/>
          <w:szCs w:val="24"/>
          <w:u w:val="none"/>
          <w:lang w:val="en-US"/>
        </w:rPr>
        <w:t>3)</w:t>
      </w:r>
      <w:r>
        <w:rPr>
          <w:rFonts w:hint="default" w:ascii="Times New Roman" w:hAnsi="Times New Roman" w:eastAsia="SimSun" w:cs="Times New Roman"/>
          <w:b w:val="0"/>
          <w:bCs w:val="0"/>
          <w:sz w:val="24"/>
          <w:szCs w:val="24"/>
          <w:u w:val="single"/>
          <w:lang w:val="en-US"/>
        </w:rPr>
        <w:t>Policy and Regulatory Barriers</w:t>
      </w:r>
    </w:p>
    <w:p w14:paraId="62EE72E4">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 Fossil Fuel Subsidies and Distorted Market Prices</w:t>
      </w:r>
    </w:p>
    <w:p w14:paraId="232D4389">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Fossil fuel subsidies are still maintained by South Asian governments, which make renewable energy seem less competitive based on price. In Nepal and India, subsidized power rates, especially for rural and industrial areas, are discouraging private sector investments in clean energy. Government assistance in the form of direct and indirect subsidization goes to fossil fuel production and imports, resulting in higher consumption of non-renewable energy.</w:t>
      </w:r>
    </w:p>
    <w:p w14:paraId="5B6A5711">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b) Gaps in Rules and Linear Economy Policies</w:t>
      </w:r>
    </w:p>
    <w:p w14:paraId="0F0FD485">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 lot of regulations found in South Asia are aligned with a linear economy model, thus not allowing circular business models to flourish. Taxation policies, rules of import/export, and other trade policies seldom encourage circular economy activities like refurbishment of products and recovery of materials. The Nepal  policy on hydroelectricity prefer big-sized schemes, which restrict the growth of micro-hydro systems that would extend benefits to smaller groups.</w:t>
      </w:r>
    </w:p>
    <w:p w14:paraId="64F13957">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4) </w:t>
      </w:r>
      <w:r>
        <w:rPr>
          <w:rFonts w:hint="default" w:ascii="Times New Roman" w:hAnsi="Times New Roman" w:eastAsia="SimSun" w:cs="Times New Roman"/>
          <w:b w:val="0"/>
          <w:bCs w:val="0"/>
          <w:sz w:val="24"/>
          <w:szCs w:val="24"/>
          <w:u w:val="single"/>
          <w:lang w:val="en-US"/>
        </w:rPr>
        <w:t>Financial Restraints</w:t>
      </w:r>
    </w:p>
    <w:p w14:paraId="08D913EF">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 Insufficient Incentives for Circular Economy Investments-- Circular economy activities involve large amounts of initial investment, and their Return on Investment (ROI) is long term, scaring away investors.In South Asia, financial institutions do not have specific funding channels for circular business models.</w:t>
      </w:r>
    </w:p>
    <w:p w14:paraId="54115F0A">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Micro, Small, and Medium Enterprises (MSMEs) that constitute a large share of the regional economy have poor access to funding.</w:t>
      </w:r>
    </w:p>
    <w:p w14:paraId="269B0A1A">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b) High Cost of Circular Technologies</w:t>
      </w:r>
    </w:p>
    <w:p w14:paraId="365E0AA4">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Technology for recycling and resource recovery demands costly machinery and infrastructure, which in many developing economies may not be available or within reach.</w:t>
      </w:r>
    </w:p>
    <w:p w14:paraId="0A692333">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Waste-to-energy and biomass conversion technologies are still too costly, preventing them from being universally adopted.Because of cost risks, private sector involvement in circular projects is low, hindering innovation.</w:t>
      </w:r>
    </w:p>
    <w:p w14:paraId="1ECAB634">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5) </w:t>
      </w:r>
      <w:r>
        <w:rPr>
          <w:rFonts w:hint="default" w:ascii="Times New Roman" w:hAnsi="Times New Roman" w:eastAsia="SimSun" w:cs="Times New Roman"/>
          <w:b w:val="0"/>
          <w:bCs w:val="0"/>
          <w:sz w:val="24"/>
          <w:szCs w:val="24"/>
          <w:u w:val="single"/>
          <w:lang w:val="en-US"/>
        </w:rPr>
        <w:t>Technological and Knowledge Gaps</w:t>
      </w:r>
    </w:p>
    <w:p w14:paraId="72966844">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a)Slow Adoption of Circular Technologies</w:t>
      </w:r>
    </w:p>
    <w:p w14:paraId="4B585378">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Access to sophisticated recycling and upcycling technologies is lacking in most South Asian countries.</w:t>
      </w:r>
    </w:p>
    <w:p w14:paraId="7FEE1612">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Waste traceability, digital resource monitoring, and green material innovation remain underdeveloped in the region.Circular economy innovations are not yet commercially ready, constraining their use in real applications.</w:t>
      </w:r>
    </w:p>
    <w:p w14:paraId="174F1121">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b)Limited Technical Expertise and Workforce Training</w:t>
      </w:r>
    </w:p>
    <w:p w14:paraId="569403A6">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Governments and industries do not have trained professionals who are familiar with circular economy concepts.The curriculum of education does not adequately address circular economy principles, resulting in skills gap.There is limited collaboration among universities, research centers, and industries, hindering knowledge sharing.</w:t>
      </w:r>
    </w:p>
    <w:p w14:paraId="668FA6CA">
      <w:pPr>
        <w:spacing w:line="360" w:lineRule="auto"/>
        <w:rPr>
          <w:rFonts w:hint="default" w:ascii="Times New Roman" w:hAnsi="Times New Roman" w:eastAsia="SimSun" w:cs="Times New Roman"/>
          <w:b w:val="0"/>
          <w:bCs w:val="0"/>
          <w:sz w:val="24"/>
          <w:szCs w:val="24"/>
          <w:u w:val="single"/>
          <w:lang w:val="en-US"/>
        </w:rPr>
      </w:pPr>
      <w:r>
        <w:rPr>
          <w:rFonts w:hint="default" w:ascii="Times New Roman" w:hAnsi="Times New Roman" w:eastAsia="SimSun" w:cs="Times New Roman"/>
          <w:b w:val="0"/>
          <w:bCs w:val="0"/>
          <w:sz w:val="24"/>
          <w:szCs w:val="24"/>
          <w:u w:val="none"/>
          <w:lang w:val="en-US"/>
        </w:rPr>
        <w:t xml:space="preserve">6) </w:t>
      </w:r>
      <w:r>
        <w:rPr>
          <w:rFonts w:hint="default" w:ascii="Times New Roman" w:hAnsi="Times New Roman" w:eastAsia="SimSun" w:cs="Times New Roman"/>
          <w:b w:val="0"/>
          <w:bCs w:val="0"/>
          <w:sz w:val="24"/>
          <w:szCs w:val="24"/>
          <w:u w:val="single"/>
          <w:lang w:val="en-US"/>
        </w:rPr>
        <w:t>Institutional and Governance Challenges</w:t>
      </w:r>
    </w:p>
    <w:p w14:paraId="421B4D79">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 Complex Regulatory Environment</w:t>
      </w:r>
    </w:p>
    <w:p w14:paraId="2ED5DA0C">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Shifting to a circular economy involves multi-sectoral coordination, but South Asian governance structures tend to be fragmented.Most circular economy initiatives need approval from various government agencies, causing delays and inefficiencies.Insufficiently established circular economy policies and legal frameworks hold back implementation.</w:t>
      </w:r>
    </w:p>
    <w:p w14:paraId="1B38CD32">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b) Ineffective Enforcing of Environmental Regulations</w:t>
      </w:r>
    </w:p>
    <w:p w14:paraId="0D310271">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Irregular enforcing of waste management and pollution control laws enables industries to perpetuate unsustainable operations. Informal recycling labourers work without government assistance, resulting in hazardous working conditions and low-quality recycling products.</w:t>
      </w:r>
    </w:p>
    <w:p w14:paraId="5353D829">
      <w:pPr>
        <w:numPr>
          <w:ilvl w:val="0"/>
          <w:numId w:val="0"/>
        </w:num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7)</w:t>
      </w:r>
      <w:r>
        <w:rPr>
          <w:rFonts w:hint="default" w:ascii="Times New Roman" w:hAnsi="Times New Roman" w:eastAsia="SimSun" w:cs="Times New Roman"/>
          <w:b w:val="0"/>
          <w:bCs w:val="0"/>
          <w:sz w:val="24"/>
          <w:szCs w:val="24"/>
          <w:u w:val="single"/>
          <w:lang w:val="en-US"/>
        </w:rPr>
        <w:t>Inadequate Regional Cooperation and Trade Constraints</w:t>
      </w:r>
    </w:p>
    <w:p w14:paraId="697704CF">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a)Low Intraregional Energy Trade</w:t>
      </w:r>
    </w:p>
    <w:p w14:paraId="021A4FC0">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South Asian nations engage in restricted energy trade with minimal resources, which are mainly petroleum products and hydropower between India, Nepal.</w:t>
      </w:r>
    </w:p>
    <w:p w14:paraId="19A30D09">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There is no strong cross-border renewable energy grid within the region, which does not allow efficient exchange of electricity.Large-scale development of energy trade is hindered by limited transmission capacity.</w:t>
      </w:r>
    </w:p>
    <w:p w14:paraId="7017C2A0">
      <w:pPr>
        <w:spacing w:line="360" w:lineRule="auto"/>
        <w:rPr>
          <w:rFonts w:hint="default" w:ascii="Times New Roman" w:hAnsi="Times New Roman" w:eastAsia="SimSun" w:cs="Times New Roman"/>
          <w:b w:val="0"/>
          <w:bCs w:val="0"/>
          <w:sz w:val="24"/>
          <w:szCs w:val="24"/>
          <w:u w:val="none"/>
          <w:lang w:val="en-US"/>
        </w:rPr>
      </w:pPr>
      <w:r>
        <w:rPr>
          <w:rFonts w:hint="default" w:ascii="Times New Roman" w:hAnsi="Times New Roman" w:eastAsia="SimSun" w:cs="Times New Roman"/>
          <w:b w:val="0"/>
          <w:bCs w:val="0"/>
          <w:sz w:val="24"/>
          <w:szCs w:val="24"/>
          <w:u w:val="none"/>
          <w:lang w:val="en-US"/>
        </w:rPr>
        <w:t xml:space="preserve">                                Table 4.    Current Energy Trade in South Asia</w:t>
      </w:r>
    </w:p>
    <w:tbl>
      <w:tblPr>
        <w:tblStyle w:val="15"/>
        <w:tblW w:w="0" w:type="auto"/>
        <w:tblInd w:w="10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3320"/>
        <w:gridCol w:w="3299"/>
      </w:tblGrid>
      <w:tr w14:paraId="39F53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010" w:type="dxa"/>
          </w:tcPr>
          <w:p w14:paraId="08E4A647">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Country pair</w:t>
            </w:r>
          </w:p>
        </w:tc>
        <w:tc>
          <w:tcPr>
            <w:tcW w:w="3320" w:type="dxa"/>
          </w:tcPr>
          <w:p w14:paraId="04A63058">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Traded Resource </w:t>
            </w:r>
          </w:p>
        </w:tc>
        <w:tc>
          <w:tcPr>
            <w:tcW w:w="3299" w:type="dxa"/>
          </w:tcPr>
          <w:p w14:paraId="1996A288">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Key Challenge </w:t>
            </w:r>
          </w:p>
        </w:tc>
      </w:tr>
      <w:tr w14:paraId="7F51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010" w:type="dxa"/>
          </w:tcPr>
          <w:p w14:paraId="0953D9FE">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India-Nepal</w:t>
            </w:r>
          </w:p>
        </w:tc>
        <w:tc>
          <w:tcPr>
            <w:tcW w:w="3320" w:type="dxa"/>
          </w:tcPr>
          <w:p w14:paraId="6CBE7E0C">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Electricity</w:t>
            </w:r>
          </w:p>
        </w:tc>
        <w:tc>
          <w:tcPr>
            <w:tcW w:w="3299" w:type="dxa"/>
          </w:tcPr>
          <w:p w14:paraId="4B7E910D">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Regulatory hurdles</w:t>
            </w:r>
          </w:p>
        </w:tc>
      </w:tr>
      <w:tr w14:paraId="2FAB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2010" w:type="dxa"/>
          </w:tcPr>
          <w:p w14:paraId="664F60C7">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India-Bangladesh</w:t>
            </w:r>
          </w:p>
        </w:tc>
        <w:tc>
          <w:tcPr>
            <w:tcW w:w="3320" w:type="dxa"/>
          </w:tcPr>
          <w:p w14:paraId="5B459E31">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Petroleum Products</w:t>
            </w:r>
          </w:p>
        </w:tc>
        <w:tc>
          <w:tcPr>
            <w:tcW w:w="3299" w:type="dxa"/>
          </w:tcPr>
          <w:p w14:paraId="0BE14A7C">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  High transportation costs</w:t>
            </w:r>
          </w:p>
        </w:tc>
      </w:tr>
      <w:tr w14:paraId="15C3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8629" w:type="dxa"/>
            <w:gridSpan w:val="3"/>
          </w:tcPr>
          <w:p w14:paraId="7A93AD6C">
            <w:pPr>
              <w:widowControl w:val="0"/>
              <w:spacing w:line="360" w:lineRule="auto"/>
              <w:jc w:val="both"/>
              <w:rPr>
                <w:rFonts w:hint="default" w:ascii="Times New Roman" w:hAnsi="Times New Roman" w:eastAsia="SimSun" w:cs="Times New Roman"/>
                <w:b w:val="0"/>
                <w:bCs w:val="0"/>
                <w:sz w:val="24"/>
                <w:szCs w:val="24"/>
                <w:u w:val="none"/>
                <w:vertAlign w:val="baseline"/>
                <w:lang w:val="en-US"/>
              </w:rPr>
            </w:pPr>
            <w:r>
              <w:rPr>
                <w:rFonts w:hint="default" w:ascii="Times New Roman" w:hAnsi="Times New Roman" w:eastAsia="SimSun" w:cs="Times New Roman"/>
                <w:b w:val="0"/>
                <w:bCs w:val="0"/>
                <w:sz w:val="24"/>
                <w:szCs w:val="24"/>
                <w:u w:val="none"/>
                <w:vertAlign w:val="baseline"/>
                <w:lang w:val="en-US"/>
              </w:rPr>
              <w:t xml:space="preserve">Source--Author’s own creation </w:t>
            </w:r>
          </w:p>
        </w:tc>
      </w:tr>
    </w:tbl>
    <w:p w14:paraId="7CA1EBDA">
      <w:pPr>
        <w:spacing w:line="360" w:lineRule="auto"/>
        <w:rPr>
          <w:rFonts w:hint="default" w:ascii="Times New Roman" w:hAnsi="Times New Roman" w:eastAsia="SimSun" w:cs="Times New Roman"/>
          <w:b/>
          <w:bCs/>
          <w:sz w:val="24"/>
          <w:szCs w:val="24"/>
          <w:u w:val="none"/>
          <w:lang w:val="en-US"/>
        </w:rPr>
      </w:pPr>
    </w:p>
    <w:p w14:paraId="67AE813A">
      <w:pPr>
        <w:spacing w:line="360" w:lineRule="auto"/>
        <w:rPr>
          <w:rFonts w:hint="default" w:ascii="Times New Roman" w:hAnsi="Times New Roman" w:eastAsia="SimSun" w:cs="Times New Roman"/>
          <w:b/>
          <w:bCs/>
          <w:sz w:val="24"/>
          <w:szCs w:val="24"/>
          <w:u w:val="none"/>
          <w:lang w:val="en-US"/>
        </w:rPr>
      </w:pPr>
      <w:r>
        <w:rPr>
          <w:rFonts w:hint="default" w:ascii="Times New Roman" w:hAnsi="Times New Roman" w:eastAsia="SimSun" w:cs="Times New Roman"/>
          <w:b/>
          <w:bCs/>
          <w:sz w:val="24"/>
          <w:szCs w:val="24"/>
          <w:u w:val="none"/>
          <w:lang w:val="en-US"/>
        </w:rPr>
        <w:t>Opportunities</w:t>
      </w:r>
    </w:p>
    <w:p w14:paraId="64FC7CE2">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South Asia—India, Bangladesh, Sri Lanka, Nepal, and Pakistan—confronts increasing environmental pressures from increased industrialization, urbanization, and climate exposures. A circular economy presents a revolutionary route to carbon neutrality, resource decoupling, and economic resilience. By transitioning from a linear "take-make-dispose" economy to a circular economy that values reuse, recycling, remanufacturing, and minimizing waste, these nations can substantially reduce emissions while supporting sustainable economic development.</w:t>
      </w:r>
    </w:p>
    <w:p w14:paraId="0F970944">
      <w:pPr>
        <w:spacing w:line="240" w:lineRule="auto"/>
        <w:rPr>
          <w:rFonts w:hint="default" w:ascii="Times New Roman" w:hAnsi="Times New Roman" w:eastAsia="SimSun"/>
          <w:b w:val="0"/>
          <w:bCs w:val="0"/>
          <w:sz w:val="24"/>
          <w:szCs w:val="24"/>
          <w:u w:val="single"/>
          <w:lang w:val="en-US"/>
        </w:rPr>
      </w:pPr>
    </w:p>
    <w:p w14:paraId="4C002E77">
      <w:pPr>
        <w:spacing w:line="24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1.Industrial Transformation and Climate Resilience--</w:t>
      </w:r>
    </w:p>
    <w:p w14:paraId="472EC583">
      <w:pPr>
        <w:spacing w:line="240" w:lineRule="auto"/>
        <w:rPr>
          <w:rFonts w:hint="default" w:ascii="Times New Roman" w:hAnsi="Times New Roman" w:eastAsia="SimSun"/>
          <w:b w:val="0"/>
          <w:bCs w:val="0"/>
          <w:sz w:val="24"/>
          <w:szCs w:val="24"/>
          <w:u w:val="none"/>
          <w:lang w:val="en-US"/>
        </w:rPr>
      </w:pPr>
    </w:p>
    <w:p w14:paraId="10D334F7">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South Asian industries, including steel, cement, and plastics, are significant greenhouse gas emitters. Remanufacturing, recycling, and material recirculation-based circular business models can curtail emissions significantly while reducing reliance on virgin raw materials.</w:t>
      </w:r>
    </w:p>
    <w:p w14:paraId="4AF0F3A8">
      <w:pPr>
        <w:spacing w:line="240" w:lineRule="auto"/>
        <w:rPr>
          <w:rFonts w:hint="default" w:ascii="Times New Roman" w:hAnsi="Times New Roman" w:eastAsia="SimSun"/>
          <w:b w:val="0"/>
          <w:bCs w:val="0"/>
          <w:sz w:val="24"/>
          <w:szCs w:val="24"/>
          <w:u w:val="none"/>
          <w:lang w:val="en-US"/>
        </w:rPr>
      </w:pPr>
    </w:p>
    <w:p w14:paraId="26039135">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Risk Mitigation: Climate-related disruptions affect global supply chains. Circular economy practices, including local sourcing, diversified use of materials, and reverse logistics, minimize exposure to price volatility and supply risks. For example, Renault's remanufacturing model minimizes dependence on foreign supply chains while lowering carbon emissions.</w:t>
      </w:r>
    </w:p>
    <w:p w14:paraId="76C35E4A">
      <w:pPr>
        <w:spacing w:line="240" w:lineRule="auto"/>
        <w:rPr>
          <w:rFonts w:hint="default" w:ascii="Times New Roman" w:hAnsi="Times New Roman" w:eastAsia="SimSun"/>
          <w:b w:val="0"/>
          <w:bCs w:val="0"/>
          <w:sz w:val="24"/>
          <w:szCs w:val="24"/>
          <w:u w:val="none"/>
          <w:lang w:val="en-US"/>
        </w:rPr>
      </w:pPr>
    </w:p>
    <w:p w14:paraId="5334724D">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Resilient Manufacturing: Industrial sustainability can be ensured by companies implementing closed-loop production to maintain materials in use for longer durations. Reuse of lithium-ion batteries and modular product design can increase product lifetimes while reducing raw material usage.</w:t>
      </w:r>
    </w:p>
    <w:p w14:paraId="6EAA62E5">
      <w:pPr>
        <w:spacing w:line="240" w:lineRule="auto"/>
        <w:rPr>
          <w:rFonts w:hint="default" w:ascii="Times New Roman" w:hAnsi="Times New Roman" w:eastAsia="SimSun"/>
          <w:b w:val="0"/>
          <w:bCs w:val="0"/>
          <w:sz w:val="24"/>
          <w:szCs w:val="24"/>
          <w:u w:val="none"/>
          <w:lang w:val="en-US"/>
        </w:rPr>
      </w:pPr>
    </w:p>
    <w:p w14:paraId="67DEC9CF">
      <w:pPr>
        <w:numPr>
          <w:ilvl w:val="0"/>
          <w:numId w:val="5"/>
        </w:numPr>
        <w:spacing w:line="24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Economic Development, Employment Generation, and SME Growth</w:t>
      </w:r>
    </w:p>
    <w:p w14:paraId="3C9BB8D2">
      <w:pPr>
        <w:numPr>
          <w:ilvl w:val="0"/>
          <w:numId w:val="0"/>
        </w:numPr>
        <w:spacing w:line="240" w:lineRule="auto"/>
        <w:rPr>
          <w:rFonts w:hint="default" w:ascii="Times New Roman" w:hAnsi="Times New Roman" w:eastAsia="SimSun"/>
          <w:b w:val="0"/>
          <w:bCs w:val="0"/>
          <w:sz w:val="24"/>
          <w:szCs w:val="24"/>
          <w:u w:val="none"/>
          <w:lang w:val="en-US"/>
        </w:rPr>
      </w:pPr>
    </w:p>
    <w:p w14:paraId="77AC208F">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Circular business models will diversify economic activities and create new employment opportunities in various sectors of recycling, remanufacturing, waste management, and sustainable production.</w:t>
      </w:r>
    </w:p>
    <w:p w14:paraId="56DC804D">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SME Development: South Asian Small and Medium Enterprises (SME) can thrive from circular innovation through green finance access, public incentives, and global partnerships.</w:t>
      </w:r>
    </w:p>
    <w:p w14:paraId="06D3802B">
      <w:pPr>
        <w:spacing w:line="240" w:lineRule="auto"/>
        <w:rPr>
          <w:rFonts w:hint="default" w:ascii="Times New Roman" w:hAnsi="Times New Roman" w:eastAsia="SimSun"/>
          <w:b w:val="0"/>
          <w:bCs w:val="0"/>
          <w:sz w:val="24"/>
          <w:szCs w:val="24"/>
          <w:u w:val="none"/>
          <w:lang w:val="en-US"/>
        </w:rPr>
      </w:pPr>
    </w:p>
    <w:p w14:paraId="1648FF40">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Job Creation Expansion: Recycling and remanufacturing sectors create job opportunities, especially in metropolitan regions where recycling and material recovery facilities can lead to a circular supply chain.</w:t>
      </w:r>
    </w:p>
    <w:p w14:paraId="70EE0336">
      <w:pPr>
        <w:spacing w:line="240" w:lineRule="auto"/>
        <w:rPr>
          <w:rFonts w:hint="default" w:ascii="Times New Roman" w:hAnsi="Times New Roman" w:eastAsia="SimSun"/>
          <w:b w:val="0"/>
          <w:bCs w:val="0"/>
          <w:sz w:val="24"/>
          <w:szCs w:val="24"/>
          <w:u w:val="none"/>
          <w:lang w:val="en-US"/>
        </w:rPr>
      </w:pPr>
    </w:p>
    <w:p w14:paraId="728732C2">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New Business Models: Sharing economy (e.g., ride-sharing, co-working offices, and rental services for products) will lower the consumption of resources while creating economic benefits.</w:t>
      </w:r>
    </w:p>
    <w:p w14:paraId="40A5A9A1">
      <w:pPr>
        <w:spacing w:line="240" w:lineRule="auto"/>
        <w:rPr>
          <w:rFonts w:hint="default" w:ascii="Times New Roman" w:hAnsi="Times New Roman" w:eastAsia="SimSun"/>
          <w:b w:val="0"/>
          <w:bCs w:val="0"/>
          <w:sz w:val="24"/>
          <w:szCs w:val="24"/>
          <w:u w:val="single"/>
          <w:lang w:val="en-US"/>
        </w:rPr>
      </w:pPr>
    </w:p>
    <w:p w14:paraId="4ADC1E23">
      <w:pPr>
        <w:numPr>
          <w:ilvl w:val="0"/>
          <w:numId w:val="5"/>
        </w:numPr>
        <w:spacing w:line="240" w:lineRule="auto"/>
        <w:ind w:left="0" w:leftChars="0" w:firstLine="0" w:firstLineChars="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Technological Innovation and Smart Circular Systems</w:t>
      </w:r>
    </w:p>
    <w:p w14:paraId="0028F5E1">
      <w:pPr>
        <w:numPr>
          <w:ilvl w:val="0"/>
          <w:numId w:val="0"/>
        </w:numPr>
        <w:spacing w:line="240" w:lineRule="auto"/>
        <w:ind w:leftChars="0"/>
        <w:rPr>
          <w:rFonts w:hint="default" w:ascii="Times New Roman" w:hAnsi="Times New Roman" w:eastAsia="SimSun"/>
          <w:b w:val="0"/>
          <w:bCs w:val="0"/>
          <w:sz w:val="24"/>
          <w:szCs w:val="24"/>
          <w:u w:val="single"/>
          <w:lang w:val="en-US"/>
        </w:rPr>
      </w:pPr>
    </w:p>
    <w:p w14:paraId="5494DDEC">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Industry 4.0 technologies such as Artificial Intelligence (AI), Internet of Things (IoT), and Blockchain have the potential to transform the circular economy by minimizing waste management, monitoring material flows, and forecasting maintenance requirements.</w:t>
      </w:r>
    </w:p>
    <w:p w14:paraId="67F1FCF6">
      <w:pPr>
        <w:spacing w:line="240" w:lineRule="auto"/>
        <w:rPr>
          <w:rFonts w:hint="default" w:ascii="Times New Roman" w:hAnsi="Times New Roman" w:eastAsia="SimSun"/>
          <w:b w:val="0"/>
          <w:bCs w:val="0"/>
          <w:sz w:val="24"/>
          <w:szCs w:val="24"/>
          <w:u w:val="none"/>
          <w:lang w:val="en-US"/>
        </w:rPr>
      </w:pPr>
    </w:p>
    <w:p w14:paraId="574399D7">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Digital Waste Management: AI-driven waste sorting and recycling technologies can maximize efficiency. Businesses such as Apple's "Liam" robot illustrate how disassembly by machine can reclaim valuable materials, minimizing e-waste pollution.</w:t>
      </w:r>
    </w:p>
    <w:p w14:paraId="181F42B1">
      <w:pPr>
        <w:spacing w:line="240" w:lineRule="auto"/>
        <w:rPr>
          <w:rFonts w:hint="default" w:ascii="Times New Roman" w:hAnsi="Times New Roman" w:eastAsia="SimSun"/>
          <w:b w:val="0"/>
          <w:bCs w:val="0"/>
          <w:sz w:val="24"/>
          <w:szCs w:val="24"/>
          <w:u w:val="none"/>
          <w:lang w:val="en-US"/>
        </w:rPr>
      </w:pPr>
    </w:p>
    <w:p w14:paraId="7ABE4C27">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Smart Manufacturing: Predictive maintenance using IoT avoids material loss and prolongs machine lifecycles.</w:t>
      </w:r>
    </w:p>
    <w:p w14:paraId="7BAAE098">
      <w:pPr>
        <w:spacing w:line="240" w:lineRule="auto"/>
        <w:rPr>
          <w:rFonts w:hint="default" w:ascii="Times New Roman" w:hAnsi="Times New Roman" w:eastAsia="SimSun"/>
          <w:b w:val="0"/>
          <w:bCs w:val="0"/>
          <w:sz w:val="24"/>
          <w:szCs w:val="24"/>
          <w:u w:val="none"/>
          <w:lang w:val="en-US"/>
        </w:rPr>
      </w:pPr>
    </w:p>
    <w:p w14:paraId="2BB302F5">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Blockchain for Transparency: Blockchain makes material traceability and equitable trade in secondary raw materials possible, maintaining supply chain integrity.</w:t>
      </w:r>
    </w:p>
    <w:p w14:paraId="09E9B162">
      <w:pPr>
        <w:spacing w:line="240" w:lineRule="auto"/>
        <w:rPr>
          <w:rFonts w:hint="default" w:ascii="Times New Roman" w:hAnsi="Times New Roman" w:eastAsia="SimSun"/>
          <w:b w:val="0"/>
          <w:bCs w:val="0"/>
          <w:sz w:val="24"/>
          <w:szCs w:val="24"/>
          <w:u w:val="single"/>
          <w:lang w:val="en-US"/>
        </w:rPr>
      </w:pPr>
    </w:p>
    <w:p w14:paraId="58F2AFCC">
      <w:pPr>
        <w:spacing w:line="24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4. Sustainable Agriculture and Food Systems</w:t>
      </w:r>
    </w:p>
    <w:p w14:paraId="21524191">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The South Asian agricultural sector is not only a significant source of greenhouse gas emissions but also extremely sensitive to climate change. The circular economy can improve agricultural resilience and lower emissions.</w:t>
      </w:r>
    </w:p>
    <w:p w14:paraId="2DBE90F9">
      <w:pPr>
        <w:spacing w:line="240" w:lineRule="auto"/>
        <w:rPr>
          <w:rFonts w:hint="default" w:ascii="Times New Roman" w:hAnsi="Times New Roman" w:eastAsia="SimSun"/>
          <w:b w:val="0"/>
          <w:bCs w:val="0"/>
          <w:sz w:val="24"/>
          <w:szCs w:val="24"/>
          <w:u w:val="none"/>
          <w:lang w:val="en-US"/>
        </w:rPr>
      </w:pPr>
    </w:p>
    <w:p w14:paraId="2ADC019F">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Regenerative Agriculture: Methods such as Zero Budget Natural Farming (ZBNF) in India enhance soil health, carbon sequestration, and water retention, enhancing agricultural sustainability.</w:t>
      </w:r>
    </w:p>
    <w:p w14:paraId="7DC7BDE5">
      <w:pPr>
        <w:spacing w:line="240" w:lineRule="auto"/>
        <w:rPr>
          <w:rFonts w:hint="default" w:ascii="Times New Roman" w:hAnsi="Times New Roman" w:eastAsia="SimSun"/>
          <w:b w:val="0"/>
          <w:bCs w:val="0"/>
          <w:sz w:val="24"/>
          <w:szCs w:val="24"/>
          <w:u w:val="none"/>
          <w:lang w:val="en-US"/>
        </w:rPr>
      </w:pPr>
    </w:p>
    <w:p w14:paraId="5C875EBF">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Food Waste Reduction: Composting, bioenergy conversion, and better cold storage logistics can reduce food losses in supply chains.</w:t>
      </w:r>
    </w:p>
    <w:p w14:paraId="60B19086">
      <w:pPr>
        <w:spacing w:line="240" w:lineRule="auto"/>
        <w:rPr>
          <w:rFonts w:hint="default" w:ascii="Times New Roman" w:hAnsi="Times New Roman" w:eastAsia="SimSun"/>
          <w:b w:val="0"/>
          <w:bCs w:val="0"/>
          <w:sz w:val="24"/>
          <w:szCs w:val="24"/>
          <w:u w:val="none"/>
          <w:lang w:val="en-US"/>
        </w:rPr>
      </w:pPr>
    </w:p>
    <w:p w14:paraId="09F2CF8D">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Water Conservation: Circular water management—like wastewater recycling and rainwater harvesting—guarantees efficient use of scarce water resources in agriculture.</w:t>
      </w:r>
    </w:p>
    <w:p w14:paraId="0199673E">
      <w:pPr>
        <w:spacing w:line="240" w:lineRule="auto"/>
        <w:rPr>
          <w:rFonts w:hint="default" w:ascii="Times New Roman" w:hAnsi="Times New Roman" w:eastAsia="SimSun"/>
          <w:b w:val="0"/>
          <w:bCs w:val="0"/>
          <w:sz w:val="24"/>
          <w:szCs w:val="24"/>
          <w:u w:val="none"/>
          <w:lang w:val="en-US"/>
        </w:rPr>
      </w:pPr>
    </w:p>
    <w:p w14:paraId="1C6206C0">
      <w:pPr>
        <w:numPr>
          <w:ilvl w:val="0"/>
          <w:numId w:val="0"/>
        </w:numPr>
        <w:spacing w:line="240" w:lineRule="auto"/>
        <w:ind w:leftChars="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5.Reduction and Resource Efficiency</w:t>
      </w:r>
    </w:p>
    <w:p w14:paraId="0D510E6E">
      <w:pPr>
        <w:numPr>
          <w:ilvl w:val="0"/>
          <w:numId w:val="0"/>
        </w:numPr>
        <w:spacing w:line="240" w:lineRule="auto"/>
        <w:ind w:leftChars="0"/>
        <w:rPr>
          <w:rFonts w:hint="default" w:ascii="Times New Roman" w:hAnsi="Times New Roman" w:eastAsia="SimSun"/>
          <w:b w:val="0"/>
          <w:bCs w:val="0"/>
          <w:sz w:val="24"/>
          <w:szCs w:val="24"/>
          <w:u w:val="none"/>
          <w:lang w:val="en-US"/>
        </w:rPr>
      </w:pPr>
    </w:p>
    <w:p w14:paraId="6D1FF6B8">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Shifting from a linear to a circular material flow can hugely cut landfill waste and boost material longevity.</w:t>
      </w:r>
    </w:p>
    <w:p w14:paraId="6A74493F">
      <w:pPr>
        <w:spacing w:line="240" w:lineRule="auto"/>
        <w:rPr>
          <w:rFonts w:hint="default" w:ascii="Times New Roman" w:hAnsi="Times New Roman" w:eastAsia="SimSun"/>
          <w:b w:val="0"/>
          <w:bCs w:val="0"/>
          <w:sz w:val="24"/>
          <w:szCs w:val="24"/>
          <w:u w:val="none"/>
          <w:lang w:val="en-US"/>
        </w:rPr>
      </w:pPr>
    </w:p>
    <w:p w14:paraId="22C73ACF">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Recycling and Product Longevity: Circular approaches—like modular smartphone design and fashion resale websites—extend product life cycles, minimizing waste.</w:t>
      </w:r>
    </w:p>
    <w:p w14:paraId="11E1014E">
      <w:pPr>
        <w:spacing w:line="240" w:lineRule="auto"/>
        <w:rPr>
          <w:rFonts w:hint="default" w:ascii="Times New Roman" w:hAnsi="Times New Roman" w:eastAsia="SimSun"/>
          <w:b w:val="0"/>
          <w:bCs w:val="0"/>
          <w:sz w:val="24"/>
          <w:szCs w:val="24"/>
          <w:u w:val="none"/>
          <w:lang w:val="en-US"/>
        </w:rPr>
      </w:pPr>
    </w:p>
    <w:p w14:paraId="5A4D322E">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Circular Supply Chains: Product design for disassembly and repair reduces e-waste. Modular EV batteries, for example, can be repaired and recycled, reducing reliance on virgin lithium mining.</w:t>
      </w:r>
    </w:p>
    <w:p w14:paraId="2BA521B4">
      <w:pPr>
        <w:spacing w:line="240" w:lineRule="auto"/>
        <w:rPr>
          <w:rFonts w:hint="default" w:ascii="Times New Roman" w:hAnsi="Times New Roman" w:eastAsia="SimSun"/>
          <w:b w:val="0"/>
          <w:bCs w:val="0"/>
          <w:sz w:val="24"/>
          <w:szCs w:val="24"/>
          <w:u w:val="none"/>
          <w:lang w:val="en-US"/>
        </w:rPr>
      </w:pPr>
    </w:p>
    <w:p w14:paraId="14B57FFB">
      <w:pPr>
        <w:numPr>
          <w:ilvl w:val="0"/>
          <w:numId w:val="0"/>
        </w:numPr>
        <w:spacing w:line="240" w:lineRule="auto"/>
        <w:ind w:leftChars="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6.Renewable Energy Integration for Circular Systems</w:t>
      </w:r>
    </w:p>
    <w:p w14:paraId="68B6CFAA">
      <w:pPr>
        <w:numPr>
          <w:ilvl w:val="0"/>
          <w:numId w:val="0"/>
        </w:numPr>
        <w:spacing w:line="240" w:lineRule="auto"/>
        <w:ind w:leftChars="0"/>
        <w:rPr>
          <w:rFonts w:hint="default" w:ascii="Times New Roman" w:hAnsi="Times New Roman" w:eastAsia="SimSun"/>
          <w:b w:val="0"/>
          <w:bCs w:val="0"/>
          <w:sz w:val="24"/>
          <w:szCs w:val="24"/>
          <w:u w:val="none"/>
          <w:lang w:val="en-US"/>
        </w:rPr>
      </w:pPr>
    </w:p>
    <w:p w14:paraId="1C8F9D19">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Adoption of renewable energy in circular business models can decarbonize industries and supply chains.</w:t>
      </w:r>
    </w:p>
    <w:p w14:paraId="29656DFA">
      <w:pPr>
        <w:spacing w:line="240" w:lineRule="auto"/>
        <w:rPr>
          <w:rFonts w:hint="default" w:ascii="Times New Roman" w:hAnsi="Times New Roman" w:eastAsia="SimSun"/>
          <w:b w:val="0"/>
          <w:bCs w:val="0"/>
          <w:sz w:val="24"/>
          <w:szCs w:val="24"/>
          <w:u w:val="none"/>
          <w:lang w:val="en-US"/>
        </w:rPr>
      </w:pPr>
    </w:p>
    <w:p w14:paraId="067B96BB">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Green Manufacturing: Use of solar and wind power in factories cuts reliance on fossil fuels.</w:t>
      </w:r>
    </w:p>
    <w:p w14:paraId="48EB769A">
      <w:pPr>
        <w:spacing w:line="240" w:lineRule="auto"/>
        <w:rPr>
          <w:rFonts w:hint="default" w:ascii="Times New Roman" w:hAnsi="Times New Roman" w:eastAsia="SimSun"/>
          <w:b w:val="0"/>
          <w:bCs w:val="0"/>
          <w:sz w:val="24"/>
          <w:szCs w:val="24"/>
          <w:u w:val="none"/>
          <w:lang w:val="en-US"/>
        </w:rPr>
      </w:pPr>
    </w:p>
    <w:p w14:paraId="0CE63EC2">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Decentralized Energy Systems: Local community-based renewable energy projects provide clean energy to SMEs, improving sustainability.</w:t>
      </w:r>
    </w:p>
    <w:p w14:paraId="1302775C">
      <w:pPr>
        <w:spacing w:line="240" w:lineRule="auto"/>
        <w:rPr>
          <w:rFonts w:hint="default" w:ascii="Times New Roman" w:hAnsi="Times New Roman" w:eastAsia="SimSun"/>
          <w:b w:val="0"/>
          <w:bCs w:val="0"/>
          <w:sz w:val="24"/>
          <w:szCs w:val="24"/>
          <w:u w:val="none"/>
          <w:lang w:val="en-US"/>
        </w:rPr>
      </w:pPr>
    </w:p>
    <w:p w14:paraId="046B62F3">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Bioenergy Solutions: Agricultural and municipal waste is converted into biofuels through waste-to-energy projects, enhancing energy self-sufficiency.</w:t>
      </w:r>
    </w:p>
    <w:p w14:paraId="723B95DF">
      <w:pPr>
        <w:spacing w:line="240" w:lineRule="auto"/>
        <w:rPr>
          <w:rFonts w:hint="default" w:ascii="Times New Roman" w:hAnsi="Times New Roman" w:eastAsia="SimSun"/>
          <w:b w:val="0"/>
          <w:bCs w:val="0"/>
          <w:sz w:val="24"/>
          <w:szCs w:val="24"/>
          <w:u w:val="single"/>
          <w:lang w:val="en-US"/>
        </w:rPr>
      </w:pPr>
    </w:p>
    <w:p w14:paraId="0B8D2126">
      <w:pPr>
        <w:numPr>
          <w:ilvl w:val="0"/>
          <w:numId w:val="0"/>
        </w:numPr>
        <w:spacing w:line="240" w:lineRule="auto"/>
        <w:ind w:leftChars="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7.Corporate Social Responsibility (CSR) and Sustainable Branding</w:t>
      </w:r>
    </w:p>
    <w:p w14:paraId="44FF0815">
      <w:pPr>
        <w:numPr>
          <w:ilvl w:val="0"/>
          <w:numId w:val="0"/>
        </w:numPr>
        <w:spacing w:line="240" w:lineRule="auto"/>
        <w:ind w:leftChars="0"/>
        <w:rPr>
          <w:rFonts w:hint="default" w:ascii="Times New Roman" w:hAnsi="Times New Roman" w:eastAsia="SimSun"/>
          <w:b w:val="0"/>
          <w:bCs w:val="0"/>
          <w:sz w:val="24"/>
          <w:szCs w:val="24"/>
          <w:u w:val="none"/>
          <w:lang w:val="en-US"/>
        </w:rPr>
      </w:pPr>
    </w:p>
    <w:p w14:paraId="4C256395">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Implementing circular economy practices improves corporate social responsibility (CSR) initiatives, improving brand reputation and competitiveness.</w:t>
      </w:r>
    </w:p>
    <w:p w14:paraId="2A6BF2AD">
      <w:pPr>
        <w:spacing w:line="240" w:lineRule="auto"/>
        <w:rPr>
          <w:rFonts w:hint="default" w:ascii="Times New Roman" w:hAnsi="Times New Roman" w:eastAsia="SimSun"/>
          <w:b w:val="0"/>
          <w:bCs w:val="0"/>
          <w:sz w:val="24"/>
          <w:szCs w:val="24"/>
          <w:u w:val="none"/>
          <w:lang w:val="en-US"/>
        </w:rPr>
      </w:pPr>
    </w:p>
    <w:p w14:paraId="6475DEE7">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Consumer Involvement: IKEA and Google have managed to implement successful furniture resale programs and waste diversion schemes to reach environmentally aware consumers.</w:t>
      </w:r>
    </w:p>
    <w:p w14:paraId="76D4DEB7">
      <w:pPr>
        <w:spacing w:line="240" w:lineRule="auto"/>
        <w:rPr>
          <w:rFonts w:hint="default" w:ascii="Times New Roman" w:hAnsi="Times New Roman" w:eastAsia="SimSun"/>
          <w:b w:val="0"/>
          <w:bCs w:val="0"/>
          <w:sz w:val="24"/>
          <w:szCs w:val="24"/>
          <w:u w:val="none"/>
          <w:lang w:val="en-US"/>
        </w:rPr>
      </w:pPr>
    </w:p>
    <w:p w14:paraId="262C14D7">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Cost-Effectiveness: Circular approaches cut waste disposal expenditures and enhance the efficiency of resources, which profits businesses as well as the environment.</w:t>
      </w:r>
    </w:p>
    <w:p w14:paraId="29AE13F7">
      <w:pPr>
        <w:spacing w:line="240" w:lineRule="auto"/>
        <w:rPr>
          <w:rFonts w:hint="default" w:ascii="Times New Roman" w:hAnsi="Times New Roman" w:eastAsia="SimSun"/>
          <w:b w:val="0"/>
          <w:bCs w:val="0"/>
          <w:sz w:val="24"/>
          <w:szCs w:val="24"/>
          <w:u w:val="single"/>
          <w:lang w:val="en-US"/>
        </w:rPr>
      </w:pPr>
    </w:p>
    <w:p w14:paraId="3E0FDE97">
      <w:pPr>
        <w:numPr>
          <w:ilvl w:val="0"/>
          <w:numId w:val="0"/>
        </w:numPr>
        <w:spacing w:line="240" w:lineRule="auto"/>
        <w:ind w:leftChars="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8.Policy, Global Cooperation, and Green Finance</w:t>
      </w:r>
    </w:p>
    <w:p w14:paraId="5A89FF86">
      <w:pPr>
        <w:spacing w:line="240" w:lineRule="auto"/>
        <w:rPr>
          <w:rFonts w:hint="default" w:ascii="Times New Roman" w:hAnsi="Times New Roman" w:eastAsia="SimSun"/>
          <w:b w:val="0"/>
          <w:bCs w:val="0"/>
          <w:sz w:val="24"/>
          <w:szCs w:val="24"/>
          <w:u w:val="none"/>
          <w:lang w:val="en-US"/>
        </w:rPr>
      </w:pPr>
    </w:p>
    <w:p w14:paraId="11833D36">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Government policies and international cooperation have the potential to speed up circular economy uptake in South Asia.</w:t>
      </w:r>
    </w:p>
    <w:p w14:paraId="76D29C32">
      <w:pPr>
        <w:spacing w:line="240" w:lineRule="auto"/>
        <w:rPr>
          <w:rFonts w:hint="default" w:ascii="Times New Roman" w:hAnsi="Times New Roman" w:eastAsia="SimSun"/>
          <w:b w:val="0"/>
          <w:bCs w:val="0"/>
          <w:sz w:val="24"/>
          <w:szCs w:val="24"/>
          <w:u w:val="none"/>
          <w:lang w:val="en-US"/>
        </w:rPr>
      </w:pPr>
    </w:p>
    <w:p w14:paraId="01BB2974">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Regulatory Support: Governments can enforce extended producer responsibility (EPR) legislation, where manufacturers are obligated to recycle and reuse waste products.</w:t>
      </w:r>
    </w:p>
    <w:p w14:paraId="3FD28B2A">
      <w:pPr>
        <w:spacing w:line="240" w:lineRule="auto"/>
        <w:rPr>
          <w:rFonts w:hint="default" w:ascii="Times New Roman" w:hAnsi="Times New Roman" w:eastAsia="SimSun"/>
          <w:b w:val="0"/>
          <w:bCs w:val="0"/>
          <w:sz w:val="24"/>
          <w:szCs w:val="24"/>
          <w:u w:val="none"/>
          <w:lang w:val="en-US"/>
        </w:rPr>
      </w:pPr>
    </w:p>
    <w:p w14:paraId="27DD8D3A">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Financial Incentives: South Asian financial institutions increasingly encourage green finance for SMEs, facilitating circular business models.</w:t>
      </w:r>
    </w:p>
    <w:p w14:paraId="41DAA937">
      <w:pPr>
        <w:spacing w:line="240" w:lineRule="auto"/>
        <w:rPr>
          <w:rFonts w:hint="default" w:ascii="Times New Roman" w:hAnsi="Times New Roman" w:eastAsia="SimSun"/>
          <w:b w:val="0"/>
          <w:bCs w:val="0"/>
          <w:sz w:val="24"/>
          <w:szCs w:val="24"/>
          <w:u w:val="none"/>
          <w:lang w:val="en-US"/>
        </w:rPr>
      </w:pPr>
    </w:p>
    <w:p w14:paraId="7DD63D69">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Global Collaboration: Bilateral offset credit mechanisms and South-South cooperation programs offer technical and financial support for circular economy shifts.</w:t>
      </w:r>
    </w:p>
    <w:p w14:paraId="195BF0C5">
      <w:pPr>
        <w:spacing w:line="240" w:lineRule="auto"/>
        <w:rPr>
          <w:rFonts w:hint="default" w:ascii="Times New Roman" w:hAnsi="Times New Roman" w:eastAsia="SimSun"/>
          <w:b w:val="0"/>
          <w:bCs w:val="0"/>
          <w:sz w:val="24"/>
          <w:szCs w:val="24"/>
          <w:u w:val="single"/>
          <w:lang w:val="en-US"/>
        </w:rPr>
      </w:pPr>
    </w:p>
    <w:p w14:paraId="50916AA1">
      <w:pPr>
        <w:numPr>
          <w:ilvl w:val="0"/>
          <w:numId w:val="0"/>
        </w:numPr>
        <w:spacing w:line="240" w:lineRule="auto"/>
        <w:ind w:leftChars="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9.Urbanization and Infrastructure Development</w:t>
      </w:r>
    </w:p>
    <w:p w14:paraId="7E1BAE40">
      <w:pPr>
        <w:spacing w:line="240" w:lineRule="auto"/>
        <w:rPr>
          <w:rFonts w:hint="default" w:ascii="Times New Roman" w:hAnsi="Times New Roman" w:eastAsia="SimSun"/>
          <w:b w:val="0"/>
          <w:bCs w:val="0"/>
          <w:sz w:val="24"/>
          <w:szCs w:val="24"/>
          <w:u w:val="none"/>
          <w:lang w:val="en-US"/>
        </w:rPr>
      </w:pPr>
    </w:p>
    <w:p w14:paraId="303C3D44">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South Asia's urbanization offers a chance to integrate circular principles into urban planning.</w:t>
      </w:r>
    </w:p>
    <w:p w14:paraId="131082AB">
      <w:pPr>
        <w:spacing w:line="240" w:lineRule="auto"/>
        <w:rPr>
          <w:rFonts w:hint="default" w:ascii="Times New Roman" w:hAnsi="Times New Roman" w:eastAsia="SimSun"/>
          <w:b w:val="0"/>
          <w:bCs w:val="0"/>
          <w:sz w:val="24"/>
          <w:szCs w:val="24"/>
          <w:u w:val="none"/>
          <w:lang w:val="en-US"/>
        </w:rPr>
      </w:pPr>
    </w:p>
    <w:p w14:paraId="13A5D037">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Sustainable Construction: Circular construction strategies like recycled building materials and prefabricated parts can minimize carbon footprints.</w:t>
      </w:r>
    </w:p>
    <w:p w14:paraId="6A5E3413">
      <w:pPr>
        <w:spacing w:line="240" w:lineRule="auto"/>
        <w:rPr>
          <w:rFonts w:hint="default" w:ascii="Times New Roman" w:hAnsi="Times New Roman" w:eastAsia="SimSun"/>
          <w:b w:val="0"/>
          <w:bCs w:val="0"/>
          <w:sz w:val="24"/>
          <w:szCs w:val="24"/>
          <w:u w:val="none"/>
          <w:lang w:val="en-US"/>
        </w:rPr>
      </w:pPr>
    </w:p>
    <w:p w14:paraId="5CA0092E">
      <w:pPr>
        <w:spacing w:line="24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Public Transport &amp; Mobility: Electric buses, bike-sharing schemes, and green urban mobility solutions can cut emissions.</w:t>
      </w:r>
    </w:p>
    <w:p w14:paraId="1171DB8B">
      <w:pPr>
        <w:spacing w:line="240" w:lineRule="auto"/>
        <w:rPr>
          <w:rFonts w:hint="default" w:ascii="Times New Roman" w:hAnsi="Times New Roman" w:eastAsia="SimSun"/>
          <w:b w:val="0"/>
          <w:bCs w:val="0"/>
          <w:sz w:val="24"/>
          <w:szCs w:val="24"/>
          <w:u w:val="none"/>
          <w:lang w:val="en-US"/>
        </w:rPr>
      </w:pPr>
    </w:p>
    <w:p w14:paraId="3F934401">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Smart Waste Management: Cities can implement AI-based waste segregation systems and enforce zero-waste policies to reduce urban waste.</w:t>
      </w:r>
    </w:p>
    <w:p w14:paraId="50F2B967">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By applying circular economy approaches across industries, agriculture, infrastructure, and policy, South Asian countries can speed up the transition to carbon neutrality. Such a transition not only reduces emissions but also promotes economic growth, innovation, and social welfare, making the region a model of sustainable development. The circular economy is not only an environmental one—it is the blueprint for a low-carbon, resilient future for South Asia.</w:t>
      </w:r>
    </w:p>
    <w:p w14:paraId="0B8D39C0">
      <w:pPr>
        <w:spacing w:line="360" w:lineRule="auto"/>
        <w:rPr>
          <w:rFonts w:hint="default" w:ascii="Times New Roman" w:hAnsi="Times New Roman" w:eastAsia="SimSun"/>
          <w:b w:val="0"/>
          <w:bCs w:val="0"/>
          <w:sz w:val="24"/>
          <w:szCs w:val="24"/>
          <w:u w:val="none"/>
          <w:lang w:val="en-US"/>
        </w:rPr>
      </w:pPr>
    </w:p>
    <w:p w14:paraId="6367535B">
      <w:pPr>
        <w:spacing w:line="240" w:lineRule="auto"/>
        <w:rPr>
          <w:rFonts w:hint="default" w:ascii="Times New Roman" w:hAnsi="Times New Roman" w:eastAsia="SimSun"/>
          <w:b/>
          <w:bCs/>
          <w:sz w:val="24"/>
          <w:szCs w:val="24"/>
          <w:u w:val="single"/>
          <w:lang w:val="en-US"/>
        </w:rPr>
      </w:pPr>
      <w:r>
        <w:rPr>
          <w:rFonts w:hint="default" w:ascii="Times New Roman" w:hAnsi="Times New Roman" w:eastAsia="SimSun"/>
          <w:b/>
          <w:bCs/>
          <w:sz w:val="24"/>
          <w:szCs w:val="24"/>
          <w:u w:val="single"/>
          <w:lang w:val="en-US"/>
        </w:rPr>
        <w:t>Conclusion and Policy Implications</w:t>
      </w:r>
    </w:p>
    <w:p w14:paraId="22E65969">
      <w:pPr>
        <w:spacing w:line="240" w:lineRule="auto"/>
        <w:rPr>
          <w:rFonts w:hint="default" w:ascii="Times New Roman" w:hAnsi="Times New Roman" w:eastAsia="SimSun"/>
          <w:b w:val="0"/>
          <w:bCs w:val="0"/>
          <w:sz w:val="24"/>
          <w:szCs w:val="24"/>
          <w:u w:val="none"/>
          <w:lang w:val="en-US"/>
        </w:rPr>
      </w:pPr>
    </w:p>
    <w:p w14:paraId="20E8DE10">
      <w:pPr>
        <w:spacing w:line="24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Policy Implications</w:t>
      </w:r>
    </w:p>
    <w:p w14:paraId="112CF1C0">
      <w:pPr>
        <w:spacing w:line="240" w:lineRule="auto"/>
        <w:rPr>
          <w:rFonts w:hint="default" w:ascii="Times New Roman" w:hAnsi="Times New Roman" w:eastAsia="SimSun"/>
          <w:b w:val="0"/>
          <w:bCs w:val="0"/>
          <w:sz w:val="24"/>
          <w:szCs w:val="24"/>
          <w:u w:val="none"/>
          <w:lang w:val="en-US"/>
        </w:rPr>
      </w:pPr>
    </w:p>
    <w:p w14:paraId="4DE589D0">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South Asia, where about 2 billion people reside, is confronted with serious environmental issues because of increased industrialization, urbanization, and overexploitation of resources. A circular and carbon-neutral economy is the key to promote sustainable development, economic resilience, and environmental protection. The policy recommendations below have been framed specifically according to the needs of India, Bangladesh, Nepal, Pakistan, and Sri Lanka, considering their economic systems, environmental issues, and governance mechanisms.</w:t>
      </w:r>
    </w:p>
    <w:p w14:paraId="1652BA6F">
      <w:pPr>
        <w:numPr>
          <w:ilvl w:val="0"/>
          <w:numId w:val="0"/>
        </w:num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1.Establish and Implement National Circular Economy Strategies</w:t>
      </w:r>
    </w:p>
    <w:p w14:paraId="7565E712">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For a smooth transition, all South Asian nations have to prepare end-to-end circular economy roadmaps with specific targets.</w:t>
      </w:r>
    </w:p>
    <w:p w14:paraId="474F014E">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India: Enhance the Resource Efficiency and Circular Economy (RE&amp;CE) policy framework to be in line with India's Nationally Determined Contributions (NDCs) of the Paris Agreement.</w:t>
      </w:r>
    </w:p>
    <w:p w14:paraId="1A96DE4C">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Bangladesh: Include circular economy approaches in the Bangladesh Delta Plan 2100 to prioritize water resource efficiency, green urbanization, and climate resilience.</w:t>
      </w:r>
    </w:p>
    <w:p w14:paraId="5268ED72">
      <w:pPr>
        <w:bidi w:val="0"/>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Nepal: Develop a National Circular Economy Strategy aligned with Nepal's Green Economy Roadmap, emphasizing sustainable tourism, waste management, and renewable energy.</w:t>
      </w:r>
    </w:p>
    <w:p w14:paraId="6409B2BD">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Pakistan: Broaden the Pakistan Climate Change Act to include circular economy provisions to promote industrial sustainability and minimize waste.</w:t>
      </w:r>
    </w:p>
    <w:p w14:paraId="00E55089">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Sri Lanka: Enhance the Sri Lanka Sustainable Consumption and Production Policy to ensure circular economy implementation in priority sectors like agriculture, textiles, and fisheries.</w:t>
      </w:r>
    </w:p>
    <w:p w14:paraId="16F40A3F">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Every country should establish short-, medium-, and long-term circularity targets for important sectors of the economy while maintaining policy coherence with the UN Sustainable Development Goals (SDGs).</w:t>
      </w:r>
    </w:p>
    <w:p w14:paraId="15CFB45E">
      <w:pPr>
        <w:numPr>
          <w:ilvl w:val="0"/>
          <w:numId w:val="0"/>
        </w:numPr>
        <w:spacing w:line="360" w:lineRule="auto"/>
        <w:ind w:leftChars="0"/>
        <w:rPr>
          <w:rFonts w:hint="default" w:ascii="Times New Roman" w:hAnsi="Times New Roman" w:eastAsia="SimSun"/>
          <w:b w:val="0"/>
          <w:bCs w:val="0"/>
          <w:sz w:val="24"/>
          <w:szCs w:val="24"/>
          <w:u w:val="single"/>
          <w:lang w:val="en-US"/>
        </w:rPr>
      </w:pPr>
    </w:p>
    <w:p w14:paraId="79264E5E">
      <w:pPr>
        <w:numPr>
          <w:ilvl w:val="0"/>
          <w:numId w:val="0"/>
        </w:numPr>
        <w:spacing w:line="360" w:lineRule="auto"/>
        <w:ind w:leftChars="0"/>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2.Intensification of Regulatory Frameworks and Governance</w:t>
      </w:r>
    </w:p>
    <w:p w14:paraId="03C1E945">
      <w:pPr>
        <w:numPr>
          <w:ilvl w:val="0"/>
          <w:numId w:val="0"/>
        </w:numPr>
        <w:spacing w:line="360" w:lineRule="auto"/>
        <w:ind w:leftChars="0"/>
        <w:rPr>
          <w:rFonts w:hint="default" w:ascii="Times New Roman" w:hAnsi="Times New Roman" w:eastAsia="SimSun"/>
          <w:b w:val="0"/>
          <w:bCs w:val="0"/>
          <w:sz w:val="24"/>
          <w:szCs w:val="24"/>
          <w:u w:val="single"/>
          <w:lang w:val="en-US"/>
        </w:rPr>
      </w:pPr>
    </w:p>
    <w:p w14:paraId="3AC9A971">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An effective regulatory and institutional framework must be established to impose circular economy principles.</w:t>
      </w:r>
    </w:p>
    <w:p w14:paraId="206C8436">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Extended Producer Responsibility (EPR): Enforce compulsory EPR policies in all five nations for sectors producing large amounts of plastic, e-waste, and textile waste. India has already implemented an EPR policy for plastic waste, which can be extended throughout the region.</w:t>
      </w:r>
    </w:p>
    <w:p w14:paraId="43359E08">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Stricter Environmental Laws:</w:t>
      </w:r>
    </w:p>
    <w:p w14:paraId="6ED4CF8E">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Enact tougher environmental legislation, punishing industries that over-exploit non-renewable resources or are not efficient in managing waste.</w:t>
      </w:r>
    </w:p>
    <w:p w14:paraId="732BA8A8">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Fiscal Policies for Circularity:</w:t>
      </w:r>
    </w:p>
    <w:p w14:paraId="1AB7A28D">
      <w:pPr>
        <w:numPr>
          <w:ilvl w:val="0"/>
          <w:numId w:val="6"/>
        </w:numPr>
        <w:tabs>
          <w:tab w:val="clear" w:pos="420"/>
        </w:tabs>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Implement landfill levies to discourage dumping of waste.</w:t>
      </w:r>
    </w:p>
    <w:p w14:paraId="2A5E1B84">
      <w:pPr>
        <w:numPr>
          <w:ilvl w:val="0"/>
          <w:numId w:val="6"/>
        </w:numPr>
        <w:tabs>
          <w:tab w:val="clear" w:pos="420"/>
        </w:tabs>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Offer tax exemptions to companies that invest in green technologies.</w:t>
      </w:r>
    </w:p>
    <w:p w14:paraId="77DACD85">
      <w:pPr>
        <w:numPr>
          <w:ilvl w:val="0"/>
          <w:numId w:val="6"/>
        </w:numPr>
        <w:tabs>
          <w:tab w:val="clear" w:pos="420"/>
        </w:tabs>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Subsidize circular economy activities like waste-to-energy and sustainable packaging.</w:t>
      </w:r>
    </w:p>
    <w:p w14:paraId="60F8786E">
      <w:pPr>
        <w:numPr>
          <w:ilvl w:val="0"/>
          <w:numId w:val="6"/>
        </w:numPr>
        <w:tabs>
          <w:tab w:val="clear" w:pos="420"/>
        </w:tabs>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Decentralized Governance Approach: Grant the local governments and municipalities the autonomy to effectively handle waste, advance recycling, and initiate urban circularity initiatives.</w:t>
      </w:r>
    </w:p>
    <w:p w14:paraId="3AF0DE0E">
      <w:pPr>
        <w:spacing w:line="240" w:lineRule="auto"/>
        <w:rPr>
          <w:rFonts w:hint="default" w:ascii="Times New Roman" w:hAnsi="Times New Roman" w:eastAsia="SimSun"/>
          <w:b w:val="0"/>
          <w:bCs w:val="0"/>
          <w:sz w:val="24"/>
          <w:szCs w:val="24"/>
          <w:u w:val="single"/>
          <w:lang w:val="en-US"/>
        </w:rPr>
      </w:pPr>
    </w:p>
    <w:p w14:paraId="58667908">
      <w:p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3. Boosting Green Investment and Financing Frameworks</w:t>
      </w:r>
    </w:p>
    <w:p w14:paraId="60522987">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Securing financial resources is key to upscaling circular economy initiatives.</w:t>
      </w:r>
    </w:p>
    <w:p w14:paraId="0A61EA1C">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Green Financing for Companies:</w:t>
      </w:r>
    </w:p>
    <w:p w14:paraId="0A1142B2">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Offer low-interest financing for firms that invest in circular economy business models.</w:t>
      </w:r>
    </w:p>
    <w:p w14:paraId="4D28E4FE">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Implement tax rebates for companies that minimize waste generation and embrace renewable energy.</w:t>
      </w:r>
    </w:p>
    <w:p w14:paraId="064314E7">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Public-Private Partnerships (PPPs): Facilitate partnerships between businesses and governments to finance large-scale green infrastructure investments, such as smart waste management systems and eco-friendly industrial parks.</w:t>
      </w:r>
    </w:p>
    <w:p w14:paraId="0D0896DC">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MSMEs and Startup Support:</w:t>
      </w:r>
    </w:p>
    <w:p w14:paraId="631DA5A9">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Introduce preferential financing programs for small enterprises incorporating circular practices.</w:t>
      </w:r>
    </w:p>
    <w:p w14:paraId="2203B154">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Initiate venture capital funds for sustainable startups in industries such as recycling, biodegradable packaging, and clean energy.</w:t>
      </w:r>
    </w:p>
    <w:p w14:paraId="3A6E004B">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 India, Bangladesh, and Pakistan, green bonds and carbon credit markets need to be further developed to facilitate financing for sustainable projects.</w:t>
      </w:r>
    </w:p>
    <w:p w14:paraId="567C9D53">
      <w:pPr>
        <w:spacing w:line="360" w:lineRule="auto"/>
        <w:rPr>
          <w:rFonts w:hint="default" w:ascii="Times New Roman" w:hAnsi="Times New Roman" w:eastAsia="SimSun"/>
          <w:b w:val="0"/>
          <w:bCs w:val="0"/>
          <w:sz w:val="24"/>
          <w:szCs w:val="24"/>
          <w:u w:val="single"/>
          <w:lang w:val="en-US"/>
        </w:rPr>
      </w:pPr>
    </w:p>
    <w:p w14:paraId="1D0CBE1D">
      <w:p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4. Encouraging Nature-Based Solutions (NbS)</w:t>
      </w:r>
    </w:p>
    <w:p w14:paraId="542E99B2">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Nature-based solutions can assist in both carbon neutrality and circular economy objectives.</w:t>
      </w:r>
    </w:p>
    <w:p w14:paraId="78704274">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Afforestation and Reforestation Programs: Scale up mangrove restoration initiatives in Bangladesh and Sri Lanka to increase carbon sequestration and coastal resilience.</w:t>
      </w:r>
    </w:p>
    <w:p w14:paraId="725339BF">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Sustainable Agriculture:</w:t>
      </w:r>
    </w:p>
    <w:p w14:paraId="556EB50A">
      <w:pPr>
        <w:numPr>
          <w:ilvl w:val="0"/>
          <w:numId w:val="7"/>
        </w:numPr>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Encourage organic and regenerative agriculture in Nepal and India, minimizing the use of chemical fertilizers.</w:t>
      </w:r>
    </w:p>
    <w:p w14:paraId="277F6359">
      <w:pPr>
        <w:numPr>
          <w:ilvl w:val="0"/>
          <w:numId w:val="7"/>
        </w:numPr>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Introduce bio-based substitute options to pesticides in order to reduce soil degradation.</w:t>
      </w:r>
    </w:p>
    <w:p w14:paraId="2BA6148C">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Renewable Energy Expansion:</w:t>
      </w:r>
    </w:p>
    <w:p w14:paraId="14B2D051">
      <w:pPr>
        <w:numPr>
          <w:ilvl w:val="0"/>
          <w:numId w:val="8"/>
        </w:numPr>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Enforce policies favoring solar, wind, and hydropower to lessen fossil fuel reliance.</w:t>
      </w:r>
    </w:p>
    <w:p w14:paraId="3BB6CC1F">
      <w:pPr>
        <w:numPr>
          <w:ilvl w:val="0"/>
          <w:numId w:val="8"/>
        </w:numPr>
        <w:spacing w:line="360" w:lineRule="auto"/>
        <w:ind w:left="420" w:leftChars="0" w:hanging="420" w:firstLineChars="0"/>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Promote waste-to-energy initiatives, especially in urban Indian and Pakistani cities.</w:t>
      </w:r>
    </w:p>
    <w:p w14:paraId="3A4E442E">
      <w:pPr>
        <w:spacing w:line="360" w:lineRule="auto"/>
        <w:rPr>
          <w:rFonts w:hint="default" w:ascii="Times New Roman" w:hAnsi="Times New Roman" w:eastAsia="SimSun"/>
          <w:b w:val="0"/>
          <w:bCs w:val="0"/>
          <w:sz w:val="24"/>
          <w:szCs w:val="24"/>
          <w:u w:val="none"/>
          <w:lang w:val="en-US"/>
        </w:rPr>
      </w:pPr>
    </w:p>
    <w:p w14:paraId="53D50A28">
      <w:p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5. Consolidating Waste Management and Recycling Policies</w:t>
      </w:r>
    </w:p>
    <w:p w14:paraId="0550B63F">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Waste management is an acute issue in South Asia and needs immediate policy changes.</w:t>
      </w:r>
    </w:p>
    <w:p w14:paraId="685B7173">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Forced Waste Segregation and Recycling Targets:</w:t>
      </w:r>
    </w:p>
    <w:p w14:paraId="3B94FA9D">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Implement forced waste segregation at the source in all five countries.</w:t>
      </w:r>
    </w:p>
    <w:p w14:paraId="3BA9748D">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Establish national recycling goals to decrease landfill reliance.</w:t>
      </w:r>
    </w:p>
    <w:p w14:paraId="722A22F2">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Deposit-Refund Systems for Consumer Products: Implement deposit-return systems for plastic bottles, aluminum cans, and e-waste to encourage recycling.</w:t>
      </w:r>
    </w:p>
    <w:p w14:paraId="274715A0">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Prohibit or Regulate Single-Use Plastics:</w:t>
      </w:r>
    </w:p>
    <w:p w14:paraId="4E1FE40A">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India and Sri Lanka have phased bans on plastic bags—this must be rolled out regionally.</w:t>
      </w:r>
    </w:p>
    <w:p w14:paraId="5273DBFE">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Bangladesh, Nepal, and Pakistan must impose tougher penalties for the manufacture and sale of single-use plastics.</w:t>
      </w:r>
    </w:p>
    <w:p w14:paraId="465CADBE">
      <w:pPr>
        <w:spacing w:line="360" w:lineRule="auto"/>
        <w:rPr>
          <w:rFonts w:hint="default" w:ascii="Times New Roman" w:hAnsi="Times New Roman" w:eastAsia="SimSun"/>
          <w:b w:val="0"/>
          <w:bCs w:val="0"/>
          <w:sz w:val="24"/>
          <w:szCs w:val="24"/>
          <w:u w:val="none"/>
          <w:lang w:val="en-US"/>
        </w:rPr>
      </w:pPr>
    </w:p>
    <w:p w14:paraId="6FB1796B">
      <w:p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6. Driving Innovation and Technology Uptake</w:t>
      </w:r>
    </w:p>
    <w:p w14:paraId="26472F6D">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Investment in technology-based solutions is the cornerstone to circularity.</w:t>
      </w:r>
    </w:p>
    <w:p w14:paraId="6D68D11B">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Establish Circular Economy Research &amp; Innovation Centers:</w:t>
      </w:r>
    </w:p>
    <w:p w14:paraId="7FF7C8AF">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Encourage universities and research institutions to develop sustainable materials and recycling technologies.</w:t>
      </w:r>
    </w:p>
    <w:p w14:paraId="29D7B084">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Provide R&amp;D grants for innovative startups working in waste management, bio-based packaging, and energy efficiency.</w:t>
      </w:r>
    </w:p>
    <w:p w14:paraId="311C8BEB">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Digital Solutions for Waste Tracking:</w:t>
      </w:r>
    </w:p>
    <w:p w14:paraId="49158FE1">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Use blockchain technology to monitor waste flows.</w:t>
      </w:r>
    </w:p>
    <w:p w14:paraId="1FD1A035">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Implement AI-driven sorting facilities for efficient recycling.</w:t>
      </w:r>
    </w:p>
    <w:p w14:paraId="49204470">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Circular Industrial Parks: Establish eco-industrial clusters in major economic hubs like Mumbai, Dhaka, Karachi, Colombo, and Kathmandu.</w:t>
      </w:r>
    </w:p>
    <w:p w14:paraId="608BE584">
      <w:pPr>
        <w:spacing w:line="240" w:lineRule="auto"/>
        <w:rPr>
          <w:rFonts w:hint="default" w:ascii="Times New Roman" w:hAnsi="Times New Roman" w:eastAsia="SimSun"/>
          <w:b w:val="0"/>
          <w:bCs w:val="0"/>
          <w:sz w:val="24"/>
          <w:szCs w:val="24"/>
          <w:u w:val="single"/>
          <w:lang w:val="en-US"/>
        </w:rPr>
      </w:pPr>
    </w:p>
    <w:p w14:paraId="7D72A590">
      <w:p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7. Regional and International Cooperation</w:t>
      </w:r>
    </w:p>
    <w:p w14:paraId="73CE62E7">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Cross-border coordination is critical in order to accelerate the circular economy agenda in South Asia.</w:t>
      </w:r>
    </w:p>
    <w:p w14:paraId="42224676">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Synchronize Circular Economy Policies under SAARC: Implement a South Asian Circular Economy Action Plan to coordinate regulations, trade policies, and incentives.</w:t>
      </w:r>
    </w:p>
    <w:p w14:paraId="4EF69ABE">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Cross-Border Recycling Infrastructure: Implement regional recycling facilities to recycle e-waste, textiles, and plastic waste in a more effective manner.</w:t>
      </w:r>
    </w:p>
    <w:p w14:paraId="40AE9890">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Technology Transfer Agreements: Collaborate with developed nations to access technology for advanced recycling and waste management.</w:t>
      </w:r>
    </w:p>
    <w:p w14:paraId="5B27B3ED">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By joining international commitments like the Paris Agreement and UN SDGs, South Asian countries will be able to bring in international finance and enhance trade relations in green economies.</w:t>
      </w:r>
    </w:p>
    <w:p w14:paraId="297E5282">
      <w:pPr>
        <w:spacing w:line="360" w:lineRule="auto"/>
        <w:rPr>
          <w:rFonts w:hint="default" w:ascii="Times New Roman" w:hAnsi="Times New Roman" w:eastAsia="SimSun"/>
          <w:b w:val="0"/>
          <w:bCs w:val="0"/>
          <w:sz w:val="24"/>
          <w:szCs w:val="24"/>
          <w:u w:val="single"/>
          <w:lang w:val="en-US"/>
        </w:rPr>
      </w:pPr>
    </w:p>
    <w:p w14:paraId="2932120C">
      <w:pPr>
        <w:numPr>
          <w:ilvl w:val="0"/>
          <w:numId w:val="9"/>
        </w:numPr>
        <w:spacing w:line="360" w:lineRule="auto"/>
        <w:rPr>
          <w:rFonts w:hint="default" w:ascii="Times New Roman" w:hAnsi="Times New Roman" w:eastAsia="SimSun"/>
          <w:b w:val="0"/>
          <w:bCs w:val="0"/>
          <w:sz w:val="24"/>
          <w:szCs w:val="24"/>
          <w:u w:val="single"/>
          <w:lang w:val="en-US"/>
        </w:rPr>
      </w:pPr>
      <w:r>
        <w:rPr>
          <w:rFonts w:hint="default" w:ascii="Times New Roman" w:hAnsi="Times New Roman" w:eastAsia="SimSun"/>
          <w:b w:val="0"/>
          <w:bCs w:val="0"/>
          <w:sz w:val="24"/>
          <w:szCs w:val="24"/>
          <w:u w:val="single"/>
          <w:lang w:val="en-US"/>
        </w:rPr>
        <w:t>Social Equity and Just Transition--</w:t>
      </w:r>
    </w:p>
    <w:p w14:paraId="6919D78A">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Circular economy should be equitable in nature, with benefits to all segments of society.</w:t>
      </w:r>
    </w:p>
    <w:p w14:paraId="7E6126A7">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Incorporate Informal Waste Workers:</w:t>
      </w:r>
    </w:p>
    <w:p w14:paraId="71925F18">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Legalize waste collection networks in India, Pakistan, and Bangladesh and provide fair salaries and social security to waste pickers.</w:t>
      </w:r>
    </w:p>
    <w:p w14:paraId="4B6A7ED0">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Train employees in new recycling and waste management practices.</w:t>
      </w:r>
    </w:p>
    <w:p w14:paraId="3CD64384">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Green Job Creation: Fund vocational training courses for repair, remanufacturing, and recycling workers.</w:t>
      </w:r>
    </w:p>
    <w:p w14:paraId="086E45E6">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Support for Women Entrepreneurs: Offer microfinance facilities for women-owned businesses in sustainable crafts, textile recycling, and environmentally friendly packaging firms.</w:t>
      </w:r>
    </w:p>
    <w:p w14:paraId="7E295B70">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Consumer Awareness Campaigns: Implement country-wide awareness programs to encourage responsible consumption, waste minimization, and product life extension.</w:t>
      </w:r>
    </w:p>
    <w:p w14:paraId="1F55DE8F">
      <w:pPr>
        <w:spacing w:line="360" w:lineRule="auto"/>
        <w:rPr>
          <w:rFonts w:hint="default" w:ascii="Times New Roman" w:hAnsi="Times New Roman" w:eastAsia="SimSun"/>
          <w:b w:val="0"/>
          <w:bCs w:val="0"/>
          <w:sz w:val="24"/>
          <w:szCs w:val="24"/>
          <w:u w:val="none"/>
          <w:lang w:val="en-US"/>
        </w:rPr>
      </w:pPr>
    </w:p>
    <w:p w14:paraId="54294E75">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To sum up ,the shift to a circular economy in South Asia offers the key chance to go carbon neutral and ensure economic resilience. South Asian countries, even though they rely heavily on imported fossil fuels, have huge unexploited renewable resources such as solar, hydro, and wind power. But the countries are hampered by technology and capital limitations in maximizing these resources. As deliberated, governments are required to provide an enabling function through an economic ecosystem that favors industries, companies, and customers adopting sustainable and circular economic paradigms.</w:t>
      </w:r>
    </w:p>
    <w:p w14:paraId="2411FB0B">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An effective transition demands a multi-faceted approach that includes impact analysis, regulatory mechanisms, funding mechanisms, and public campaigns. Encouraging the adoption of green technology, empowering Micro, Small, and Medium Enterprises (MSMEs) to become sustainable innovators, and mainstreaming circularity in climate action planning are crucial steps towards decarbonization. Governments must not only offer fiscal incentives but ensure that policies fostering sustainability like Extended Producer Responsibility (EPR) and waste management policies are enforced.</w:t>
      </w:r>
    </w:p>
    <w:p w14:paraId="45CB78CB">
      <w:pPr>
        <w:spacing w:line="360" w:lineRule="auto"/>
        <w:rPr>
          <w:rFonts w:hint="default" w:ascii="Times New Roman" w:hAnsi="Times New Roman" w:eastAsia="SimSun"/>
          <w:b w:val="0"/>
          <w:bCs w:val="0"/>
          <w:sz w:val="24"/>
          <w:szCs w:val="24"/>
          <w:u w:val="none"/>
          <w:lang w:val="en-US"/>
        </w:rPr>
      </w:pPr>
      <w:r>
        <w:rPr>
          <w:rFonts w:hint="default" w:ascii="Times New Roman" w:hAnsi="Times New Roman" w:eastAsia="SimSun"/>
          <w:b w:val="0"/>
          <w:bCs w:val="0"/>
          <w:sz w:val="24"/>
          <w:szCs w:val="24"/>
          <w:u w:val="none"/>
          <w:lang w:val="en-US"/>
        </w:rPr>
        <w:t>In addition, NbS provide an achievable route for minimizing carbon dependency and, at the same time, increasing resilience of ecosystems. Green investments can be promoted, as well as the application of circular practices among various industries, which can help lower economic exposures to volatile prices of fossil fuels and external dependency of markets. The fast development of MSMEs in South Asia is a perfect chance to include sustainability early on in the business development, thereby lowering long-term environmental footprint. But success in this shift is contingent upon breaking obstacles like high start-up costs, poor policy coordination, and poor public awareness. Through the adoption of international best practices, developing cooperation among stakeholders, and incorporating sustainability into national policy, South Asia can make a successful shift to a greener, more autonomous economic model.</w:t>
      </w:r>
    </w:p>
    <w:p w14:paraId="7A1CE442">
      <w:pPr>
        <w:spacing w:line="240" w:lineRule="auto"/>
        <w:rPr>
          <w:rFonts w:hint="default" w:ascii="Times New Roman" w:hAnsi="Times New Roman" w:eastAsia="SimSun"/>
          <w:b w:val="0"/>
          <w:bCs w:val="0"/>
          <w:sz w:val="24"/>
          <w:szCs w:val="24"/>
          <w:u w:val="none"/>
          <w:lang w:val="en-US"/>
        </w:rPr>
      </w:pPr>
    </w:p>
    <w:p w14:paraId="3A48F502">
      <w:pPr>
        <w:spacing w:line="240" w:lineRule="auto"/>
        <w:rPr>
          <w:rFonts w:hint="default" w:ascii="Times New Roman" w:hAnsi="Times New Roman" w:eastAsia="SimSun"/>
          <w:b w:val="0"/>
          <w:bCs w:val="0"/>
          <w:sz w:val="24"/>
          <w:szCs w:val="24"/>
          <w:u w:val="none"/>
          <w:lang w:val="en-US"/>
        </w:rPr>
      </w:pPr>
    </w:p>
    <w:p w14:paraId="46F0E845">
      <w:pPr>
        <w:spacing w:line="240" w:lineRule="auto"/>
        <w:rPr>
          <w:rFonts w:hint="default" w:ascii="Times New Roman" w:hAnsi="Times New Roman" w:eastAsia="SimSun"/>
          <w:b/>
          <w:bCs/>
          <w:sz w:val="24"/>
          <w:szCs w:val="24"/>
          <w:u w:val="single"/>
          <w:lang w:val="en-US"/>
        </w:rPr>
      </w:pPr>
      <w:r>
        <w:rPr>
          <w:rFonts w:hint="default" w:ascii="Times New Roman" w:hAnsi="Times New Roman" w:eastAsia="SimSun"/>
          <w:b/>
          <w:bCs/>
          <w:sz w:val="24"/>
          <w:szCs w:val="24"/>
          <w:u w:val="single"/>
          <w:lang w:val="en-US"/>
        </w:rPr>
        <w:t>References</w:t>
      </w:r>
    </w:p>
    <w:p w14:paraId="6E4C977B">
      <w:pPr>
        <w:pStyle w:val="13"/>
        <w:keepNext w:val="0"/>
        <w:keepLines w:val="0"/>
        <w:widowControl/>
        <w:suppressLineNumbers w:val="0"/>
        <w:spacing w:before="0" w:beforeAutospacing="1" w:after="0" w:afterAutospacing="1"/>
        <w:ind w:left="0" w:right="0"/>
      </w:pPr>
      <w:r>
        <w:t xml:space="preserve">ADB. (2021). </w:t>
      </w:r>
      <w:r>
        <w:rPr>
          <w:rStyle w:val="9"/>
        </w:rPr>
        <w:t>Circular economy in South Asia: Opportunities and challenges</w:t>
      </w:r>
      <w:r>
        <w:t>. Asian Development Bank.</w:t>
      </w:r>
    </w:p>
    <w:p w14:paraId="58CAC79B">
      <w:pPr>
        <w:pStyle w:val="13"/>
        <w:keepNext w:val="0"/>
        <w:keepLines w:val="0"/>
        <w:widowControl/>
        <w:suppressLineNumbers w:val="0"/>
        <w:spacing w:before="0" w:beforeAutospacing="1" w:after="0" w:afterAutospacing="1"/>
        <w:ind w:left="0" w:right="0"/>
      </w:pPr>
      <w:r>
        <w:rPr>
          <w:rStyle w:val="9"/>
        </w:rPr>
        <w:t>Complexities and challenges of the circular economy transition</w:t>
      </w:r>
      <w:r>
        <w:t xml:space="preserve"> (pp. 21–36). (2023). CRC Press. </w:t>
      </w:r>
      <w:r>
        <w:fldChar w:fldCharType="begin"/>
      </w:r>
      <w:r>
        <w:instrText xml:space="preserve"> HYPERLINK "https://doi.org/10.1201/9781003201816-2" \t "_new" </w:instrText>
      </w:r>
      <w:r>
        <w:fldChar w:fldCharType="separate"/>
      </w:r>
      <w:r>
        <w:rPr>
          <w:rStyle w:val="12"/>
        </w:rPr>
        <w:t>https://doi.org/10.1201/9781003201816-2</w:t>
      </w:r>
      <w:r>
        <w:fldChar w:fldCharType="end"/>
      </w:r>
    </w:p>
    <w:p w14:paraId="4E4A006E">
      <w:pPr>
        <w:pStyle w:val="13"/>
        <w:keepNext w:val="0"/>
        <w:keepLines w:val="0"/>
        <w:widowControl/>
        <w:suppressLineNumbers w:val="0"/>
        <w:spacing w:before="0" w:beforeAutospacing="1" w:after="0" w:afterAutospacing="1"/>
        <w:ind w:left="0" w:right="0"/>
      </w:pPr>
      <w:r>
        <w:t xml:space="preserve">Das, A. K., Hossain, M. F., Khan, B. U., Rahman, M. M., Asad, M. A. Z., &amp; Akter, M. (2025). Circular economy: A sustainable model for waste reduction and wealth creation in the textile supply chain. </w:t>
      </w:r>
      <w:r>
        <w:rPr>
          <w:rStyle w:val="9"/>
        </w:rPr>
        <w:t>SPE Polymers, 6</w:t>
      </w:r>
      <w:r>
        <w:t xml:space="preserve">(1). </w:t>
      </w:r>
      <w:r>
        <w:fldChar w:fldCharType="begin"/>
      </w:r>
      <w:r>
        <w:instrText xml:space="preserve"> HYPERLINK "https://doi.org/10.1002/pls2.10171" \t "_new" </w:instrText>
      </w:r>
      <w:r>
        <w:fldChar w:fldCharType="separate"/>
      </w:r>
      <w:r>
        <w:rPr>
          <w:rStyle w:val="12"/>
        </w:rPr>
        <w:t>https://doi.org/10.1002/pls2.10171</w:t>
      </w:r>
      <w:r>
        <w:fldChar w:fldCharType="end"/>
      </w:r>
    </w:p>
    <w:p w14:paraId="08A23633">
      <w:pPr>
        <w:pStyle w:val="13"/>
        <w:keepNext w:val="0"/>
        <w:keepLines w:val="0"/>
        <w:widowControl/>
        <w:suppressLineNumbers w:val="0"/>
        <w:spacing w:before="0" w:beforeAutospacing="1" w:after="0" w:afterAutospacing="1"/>
        <w:ind w:left="0" w:right="0"/>
      </w:pPr>
      <w:r>
        <w:t xml:space="preserve">Ferraz, D., &amp; Pyka, A. (2023). Circular economy, bioeconomy, and Sustainable Development Goals: A systematic literature review. </w:t>
      </w:r>
      <w:r>
        <w:rPr>
          <w:rStyle w:val="9"/>
        </w:rPr>
        <w:t>Environmental Science and Pollution Research</w:t>
      </w:r>
      <w:r>
        <w:t xml:space="preserve">. </w:t>
      </w:r>
      <w:r>
        <w:fldChar w:fldCharType="begin"/>
      </w:r>
      <w:r>
        <w:instrText xml:space="preserve"> HYPERLINK "https://doi.org/10.1007/s11356-023-29632-0" \t "_new" </w:instrText>
      </w:r>
      <w:r>
        <w:fldChar w:fldCharType="separate"/>
      </w:r>
      <w:r>
        <w:rPr>
          <w:rStyle w:val="12"/>
        </w:rPr>
        <w:t>https://doi.org/10.1007/s11356-023-29632-0</w:t>
      </w:r>
      <w:r>
        <w:fldChar w:fldCharType="end"/>
      </w:r>
    </w:p>
    <w:p w14:paraId="0E6D403A">
      <w:pPr>
        <w:pStyle w:val="13"/>
        <w:keepNext w:val="0"/>
        <w:keepLines w:val="0"/>
        <w:widowControl/>
        <w:suppressLineNumbers w:val="0"/>
        <w:spacing w:before="0" w:beforeAutospacing="1" w:after="0" w:afterAutospacing="1"/>
        <w:ind w:left="0" w:right="0"/>
      </w:pPr>
      <w:r>
        <w:t xml:space="preserve">Geissdoerfer, M., Savaget, P., Bocken, N. M. P., &amp; Hultink, E. J. (2017). The circular economy – A new sustainability paradigm? </w:t>
      </w:r>
      <w:r>
        <w:rPr>
          <w:rStyle w:val="9"/>
        </w:rPr>
        <w:t>Journal of Cleaner Production, 143</w:t>
      </w:r>
      <w:r>
        <w:t>, 757–768.</w:t>
      </w:r>
    </w:p>
    <w:p w14:paraId="12A75687">
      <w:pPr>
        <w:pStyle w:val="13"/>
        <w:keepNext w:val="0"/>
        <w:keepLines w:val="0"/>
        <w:widowControl/>
        <w:suppressLineNumbers w:val="0"/>
        <w:spacing w:before="0" w:beforeAutospacing="1" w:after="0" w:afterAutospacing="1"/>
        <w:ind w:left="0" w:right="0"/>
      </w:pPr>
      <w:r>
        <w:t xml:space="preserve">Hira, A., Pacini, H., Attafuah-Wadee, K., &amp; Hassall, J. (2022). Sustainable Manufacturing and Environmental Pollution Programme (SMEP): A circular economy experiment in the Global South. </w:t>
      </w:r>
      <w:r>
        <w:rPr>
          <w:rStyle w:val="9"/>
        </w:rPr>
        <w:t>Journal of Developing Societies</w:t>
      </w:r>
      <w:r>
        <w:t xml:space="preserve">. </w:t>
      </w:r>
      <w:r>
        <w:fldChar w:fldCharType="begin"/>
      </w:r>
      <w:r>
        <w:instrText xml:space="preserve"> HYPERLINK "https://doi.org/10.1177/0169796X221106013" \t "_new" </w:instrText>
      </w:r>
      <w:r>
        <w:fldChar w:fldCharType="separate"/>
      </w:r>
      <w:r>
        <w:rPr>
          <w:rStyle w:val="12"/>
        </w:rPr>
        <w:t>https://doi.org/10.1177/0169796X221106013</w:t>
      </w:r>
      <w:r>
        <w:fldChar w:fldCharType="end"/>
      </w:r>
    </w:p>
    <w:p w14:paraId="65C2AB60">
      <w:pPr>
        <w:pStyle w:val="13"/>
        <w:keepNext w:val="0"/>
        <w:keepLines w:val="0"/>
        <w:widowControl/>
        <w:suppressLineNumbers w:val="0"/>
        <w:spacing w:before="0" w:beforeAutospacing="1" w:after="0" w:afterAutospacing="1"/>
        <w:ind w:left="0" w:right="0"/>
      </w:pPr>
      <w:r>
        <w:t xml:space="preserve">IEA. (2022). </w:t>
      </w:r>
      <w:r>
        <w:rPr>
          <w:rStyle w:val="9"/>
        </w:rPr>
        <w:t>Carbon capture, utilisation and storage: The opportunity in South Asia</w:t>
      </w:r>
      <w:r>
        <w:t>. International Energy Agency.</w:t>
      </w:r>
    </w:p>
    <w:p w14:paraId="012C8DE5">
      <w:pPr>
        <w:pStyle w:val="13"/>
        <w:keepNext w:val="0"/>
        <w:keepLines w:val="0"/>
        <w:widowControl/>
        <w:suppressLineNumbers w:val="0"/>
        <w:spacing w:before="0" w:beforeAutospacing="1" w:after="0" w:afterAutospacing="1"/>
        <w:ind w:left="0" w:right="0"/>
      </w:pPr>
      <w:r>
        <w:t xml:space="preserve">IRENA. (2023). </w:t>
      </w:r>
      <w:r>
        <w:rPr>
          <w:rStyle w:val="9"/>
        </w:rPr>
        <w:t>Renewable energy market analysis: South Asia</w:t>
      </w:r>
      <w:r>
        <w:t>. International Renewable Energy Agency.</w:t>
      </w:r>
    </w:p>
    <w:p w14:paraId="3A6358EE">
      <w:pPr>
        <w:pStyle w:val="13"/>
        <w:keepNext w:val="0"/>
        <w:keepLines w:val="0"/>
        <w:widowControl/>
        <w:suppressLineNumbers w:val="0"/>
        <w:spacing w:before="0" w:beforeAutospacing="1" w:after="0" w:afterAutospacing="1"/>
        <w:ind w:left="0" w:right="0"/>
      </w:pPr>
      <w:r>
        <w:t xml:space="preserve">Kirchherr, J., Piscicelli, L., Bour, R., Kostense-Smit, E., Muller, J., Huibrechtse-Truijens, A., &amp; Hekkert, M. (2018). Barriers to the circular economy: Evidence from the European Union (EU). </w:t>
      </w:r>
      <w:r>
        <w:rPr>
          <w:rStyle w:val="9"/>
        </w:rPr>
        <w:t>Ecological Economics, 150</w:t>
      </w:r>
      <w:r>
        <w:t xml:space="preserve">, 264–272. </w:t>
      </w:r>
      <w:r>
        <w:fldChar w:fldCharType="begin"/>
      </w:r>
      <w:r>
        <w:instrText xml:space="preserve"> HYPERLINK "https://doi.org/10.1016/j.ecolecon.2018.04.028" \t "_new" </w:instrText>
      </w:r>
      <w:r>
        <w:fldChar w:fldCharType="separate"/>
      </w:r>
      <w:r>
        <w:rPr>
          <w:rStyle w:val="12"/>
        </w:rPr>
        <w:t>https://doi.org/10.1016/j.ecolecon.2018.04.028</w:t>
      </w:r>
      <w:r>
        <w:fldChar w:fldCharType="end"/>
      </w:r>
    </w:p>
    <w:p w14:paraId="571E0EAC">
      <w:pPr>
        <w:pStyle w:val="13"/>
        <w:keepNext w:val="0"/>
        <w:keepLines w:val="0"/>
        <w:widowControl/>
        <w:suppressLineNumbers w:val="0"/>
        <w:spacing w:before="0" w:beforeAutospacing="1" w:after="0" w:afterAutospacing="1"/>
        <w:ind w:left="0" w:right="0"/>
      </w:pPr>
      <w:r>
        <w:t xml:space="preserve">MoEFCC. (2022). </w:t>
      </w:r>
      <w:r>
        <w:rPr>
          <w:rStyle w:val="9"/>
        </w:rPr>
        <w:t>Annual report 2021–22</w:t>
      </w:r>
      <w:r>
        <w:t>. Ministry of Environment, Forest and Climate Change, Government of India.</w:t>
      </w:r>
    </w:p>
    <w:p w14:paraId="084245D2">
      <w:pPr>
        <w:pStyle w:val="13"/>
        <w:keepNext w:val="0"/>
        <w:keepLines w:val="0"/>
        <w:widowControl/>
        <w:suppressLineNumbers w:val="0"/>
        <w:spacing w:before="0" w:beforeAutospacing="1" w:after="0" w:afterAutospacing="1"/>
        <w:ind w:left="0" w:right="0"/>
      </w:pPr>
      <w:r>
        <w:t xml:space="preserve">Niwalkar, A. F., Indorkar, T., Gupta, A., Anshul, A., Bherwani, H., Biniwale, R. B., &amp; Kumar, R. (2022). Circular economy based approach for green energy transitions and climate change benefits. </w:t>
      </w:r>
      <w:r>
        <w:rPr>
          <w:rStyle w:val="9"/>
        </w:rPr>
        <w:t>Proceedings of the Indian National Science Academy, 89</w:t>
      </w:r>
      <w:r>
        <w:t xml:space="preserve">(1), 37–50. </w:t>
      </w:r>
      <w:r>
        <w:fldChar w:fldCharType="begin"/>
      </w:r>
      <w:r>
        <w:instrText xml:space="preserve"> HYPERLINK "https://doi.org/10.1007/s43538-022-00137-7" \t "_new" </w:instrText>
      </w:r>
      <w:r>
        <w:fldChar w:fldCharType="separate"/>
      </w:r>
      <w:r>
        <w:rPr>
          <w:rStyle w:val="12"/>
        </w:rPr>
        <w:t>https://doi.org/10.1007/s43538-022-00137-7</w:t>
      </w:r>
      <w:r>
        <w:fldChar w:fldCharType="end"/>
      </w:r>
    </w:p>
    <w:p w14:paraId="4989AA3A">
      <w:pPr>
        <w:pStyle w:val="13"/>
        <w:keepNext w:val="0"/>
        <w:keepLines w:val="0"/>
        <w:widowControl/>
        <w:suppressLineNumbers w:val="0"/>
      </w:pPr>
      <w:r>
        <w:t xml:space="preserve">Sheth, J. (2024). Analysing Circular Economy Policies and Initiatives in India and the Way Forward (Presence of Circular Policy Practices in India and the Road Ahead). International Journal of Innovative Science and Research Technology, 1835–1845. </w:t>
      </w:r>
      <w:r>
        <w:fldChar w:fldCharType="begin"/>
      </w:r>
      <w:r>
        <w:instrText xml:space="preserve"> HYPERLINK "https://doi.org/10.38124/ijisrt/ijisrt24jun804" </w:instrText>
      </w:r>
      <w:r>
        <w:fldChar w:fldCharType="separate"/>
      </w:r>
      <w:r>
        <w:rPr>
          <w:rStyle w:val="12"/>
        </w:rPr>
        <w:t>https://doi.org/10.38124/ijisrt/ijisrt24jun804</w:t>
      </w:r>
      <w:r>
        <w:fldChar w:fldCharType="end"/>
      </w:r>
    </w:p>
    <w:p w14:paraId="0ECCF1D2">
      <w:pPr>
        <w:pStyle w:val="13"/>
        <w:keepNext w:val="0"/>
        <w:keepLines w:val="0"/>
        <w:widowControl/>
        <w:suppressLineNumbers w:val="0"/>
        <w:spacing w:before="0" w:beforeAutospacing="1" w:after="0" w:afterAutospacing="1"/>
        <w:ind w:left="0" w:right="0"/>
      </w:pPr>
      <w:r>
        <w:t xml:space="preserve">Song, C., Wu, Z., Dong, R. K., &amp; Dinçer, H. (2023). Greening South Asia: Investing in sustainability and innovation to preserve natural resources and combat environmental pollution. </w:t>
      </w:r>
      <w:r>
        <w:rPr>
          <w:rStyle w:val="9"/>
        </w:rPr>
        <w:t>Resources Policy</w:t>
      </w:r>
      <w:r>
        <w:t xml:space="preserve">. </w:t>
      </w:r>
      <w:r>
        <w:fldChar w:fldCharType="begin"/>
      </w:r>
      <w:r>
        <w:instrText xml:space="preserve"> HYPERLINK "https://doi.org/10.1016/j.resourpol.2023.104239" \t "_new" </w:instrText>
      </w:r>
      <w:r>
        <w:fldChar w:fldCharType="separate"/>
      </w:r>
      <w:r>
        <w:rPr>
          <w:rStyle w:val="12"/>
        </w:rPr>
        <w:t>https://doi.org/10.1016/j.resourpol.2023.104239</w:t>
      </w:r>
      <w:r>
        <w:fldChar w:fldCharType="end"/>
      </w:r>
    </w:p>
    <w:p w14:paraId="741959ED">
      <w:pPr>
        <w:pStyle w:val="13"/>
        <w:keepNext w:val="0"/>
        <w:keepLines w:val="0"/>
        <w:widowControl/>
        <w:suppressLineNumbers w:val="0"/>
        <w:spacing w:before="0" w:beforeAutospacing="1" w:after="0" w:afterAutospacing="1"/>
        <w:ind w:left="0" w:right="0"/>
      </w:pPr>
      <w:r>
        <w:t xml:space="preserve">UNESCAP. (2022). </w:t>
      </w:r>
      <w:r>
        <w:rPr>
          <w:rStyle w:val="9"/>
        </w:rPr>
        <w:t>Regional cooperation for sustainable development in South Asia</w:t>
      </w:r>
      <w:r>
        <w:t>. United Nations Economic and Social Commission for Asia and the Pacific.</w:t>
      </w:r>
    </w:p>
    <w:p w14:paraId="5D6A3735">
      <w:pPr>
        <w:pStyle w:val="13"/>
        <w:keepNext w:val="0"/>
        <w:keepLines w:val="0"/>
        <w:widowControl/>
        <w:suppressLineNumbers w:val="0"/>
        <w:spacing w:before="0" w:beforeAutospacing="1" w:after="0" w:afterAutospacing="1"/>
        <w:ind w:left="0" w:right="0"/>
      </w:pPr>
      <w:r>
        <w:t xml:space="preserve">Virmani, N., Saxena, P., &amp; Raut, R. D. (2022). Examining the roadblocks of circular economy adoption in micro, small, and medium enterprises (MSME) through sustainable development goals. </w:t>
      </w:r>
      <w:r>
        <w:rPr>
          <w:rStyle w:val="9"/>
        </w:rPr>
        <w:t>Business Strategy and the Environment, 31</w:t>
      </w:r>
      <w:r>
        <w:t xml:space="preserve">(7), 2908–2930. </w:t>
      </w:r>
      <w:r>
        <w:fldChar w:fldCharType="begin"/>
      </w:r>
      <w:r>
        <w:instrText xml:space="preserve"> HYPERLINK "https://doi.org/10.1002/bse.3054" \t "_new" </w:instrText>
      </w:r>
      <w:r>
        <w:fldChar w:fldCharType="separate"/>
      </w:r>
      <w:r>
        <w:rPr>
          <w:rStyle w:val="12"/>
        </w:rPr>
        <w:t>https://doi.org/10.1002/bse.3054</w:t>
      </w:r>
      <w:r>
        <w:fldChar w:fldCharType="end"/>
      </w:r>
    </w:p>
    <w:p w14:paraId="18D17B13">
      <w:pPr>
        <w:keepNext w:val="0"/>
        <w:keepLines w:val="0"/>
        <w:widowControl/>
        <w:suppressLineNumbers w:val="0"/>
      </w:pPr>
    </w:p>
    <w:p w14:paraId="218E2F40">
      <w:pPr>
        <w:keepNext w:val="0"/>
        <w:keepLines w:val="0"/>
        <w:widowControl/>
        <w:suppressLineNumbers w:val="0"/>
      </w:pPr>
      <w:r>
        <w:pict>
          <v:rect id="_x0000_i1025" o:spt="1" style="height:1.5pt;width:432pt;" fillcolor="#A0A0A0" filled="t" stroked="f" coordsize="21600,21600" o:hr="t" o:hrstd="t" o:hralign="center">
            <v:path/>
            <v:fill on="t" focussize="0,0"/>
            <v:stroke on="f"/>
            <v:imagedata o:title=""/>
            <o:lock v:ext="edit"/>
            <w10:wrap type="none"/>
            <w10:anchorlock/>
          </v:rect>
        </w:pict>
      </w:r>
    </w:p>
    <w:p w14:paraId="442EE121">
      <w:pPr>
        <w:pStyle w:val="3"/>
        <w:keepNext w:val="0"/>
        <w:keepLines w:val="0"/>
        <w:widowControl/>
        <w:suppressLineNumbers w:val="0"/>
        <w:rPr>
          <w:rStyle w:val="14"/>
          <w:b/>
          <w:bCs/>
        </w:rPr>
      </w:pPr>
      <w:r>
        <w:rPr>
          <w:rStyle w:val="14"/>
          <w:b/>
          <w:bCs/>
        </w:rPr>
        <w:t>Additional References</w:t>
      </w:r>
    </w:p>
    <w:p w14:paraId="30B3F55B">
      <w:pPr>
        <w:pStyle w:val="13"/>
        <w:keepNext w:val="0"/>
        <w:keepLines w:val="0"/>
        <w:widowControl/>
        <w:suppressLineNumbers w:val="0"/>
        <w:spacing w:before="0" w:beforeAutospacing="1" w:after="0" w:afterAutospacing="1"/>
        <w:ind w:left="0" w:right="0"/>
        <w:rPr>
          <w:rFonts w:hint="default" w:ascii="Times New Roman" w:hAnsi="Times New Roman" w:cs="Times New Roman"/>
          <w:sz w:val="24"/>
          <w:szCs w:val="24"/>
        </w:rPr>
      </w:pPr>
      <w:r>
        <w:rPr>
          <w:rFonts w:hint="default" w:ascii="Times New Roman" w:hAnsi="Times New Roman" w:cs="Times New Roman"/>
          <w:sz w:val="24"/>
          <w:szCs w:val="24"/>
        </w:rPr>
        <w:t xml:space="preserve">Ahmed, Z., Mahmud, S., &amp; Dr. Hakan, A. (2022). </w:t>
      </w:r>
      <w:r>
        <w:rPr>
          <w:rStyle w:val="9"/>
          <w:rFonts w:hint="default" w:ascii="Times New Roman" w:hAnsi="Times New Roman" w:cs="Times New Roman"/>
          <w:sz w:val="24"/>
          <w:szCs w:val="24"/>
        </w:rPr>
        <w:t>Circular economy model for developing countries: Evidence from Bangladesh</w:t>
      </w:r>
      <w:r>
        <w:rPr>
          <w:rFonts w:hint="default" w:ascii="Times New Roman" w:hAnsi="Times New Roman" w:cs="Times New Roman"/>
          <w:sz w:val="24"/>
          <w:szCs w:val="24"/>
        </w:rPr>
        <w:t xml:space="preserve">. </w:t>
      </w:r>
      <w:r>
        <w:rPr>
          <w:rStyle w:val="9"/>
          <w:rFonts w:hint="default" w:ascii="Times New Roman" w:hAnsi="Times New Roman" w:cs="Times New Roman"/>
          <w:sz w:val="24"/>
          <w:szCs w:val="24"/>
        </w:rPr>
        <w:t>Heliyon, 8</w:t>
      </w:r>
      <w:r>
        <w:rPr>
          <w:rFonts w:hint="default" w:ascii="Times New Roman" w:hAnsi="Times New Roman" w:cs="Times New Roman"/>
          <w:sz w:val="24"/>
          <w:szCs w:val="24"/>
        </w:rPr>
        <w:t>(4), e09234. https://doi.org/10.1016/j.heliyon.2022.e09234</w:t>
      </w:r>
    </w:p>
    <w:p w14:paraId="55434987">
      <w:pPr>
        <w:pStyle w:val="13"/>
        <w:keepNext w:val="0"/>
        <w:keepLines w:val="0"/>
        <w:widowControl/>
        <w:suppressLineNumbers w:val="0"/>
        <w:spacing w:before="0" w:beforeAutospacing="1" w:after="0" w:afterAutospacing="1"/>
        <w:ind w:left="0" w:right="0"/>
        <w:rPr>
          <w:rFonts w:hint="default" w:ascii="Times New Roman" w:hAnsi="Times New Roman" w:cs="Times New Roman"/>
          <w:sz w:val="24"/>
          <w:szCs w:val="24"/>
        </w:rPr>
      </w:pPr>
      <w:r>
        <w:rPr>
          <w:rFonts w:hint="default" w:ascii="Times New Roman" w:hAnsi="Times New Roman" w:cs="Times New Roman"/>
          <w:sz w:val="24"/>
          <w:szCs w:val="24"/>
        </w:rPr>
        <w:t xml:space="preserve">Ellen MacArthur Foundation. (2019). </w:t>
      </w:r>
      <w:r>
        <w:rPr>
          <w:rStyle w:val="9"/>
          <w:rFonts w:hint="default" w:ascii="Times New Roman" w:hAnsi="Times New Roman" w:cs="Times New Roman"/>
          <w:sz w:val="24"/>
          <w:szCs w:val="24"/>
        </w:rPr>
        <w:t>Completing the picture: How the circular economy tackles climate change</w:t>
      </w:r>
      <w:r>
        <w:rPr>
          <w:rFonts w:hint="default" w:ascii="Times New Roman" w:hAnsi="Times New Roman" w:cs="Times New Roman"/>
          <w:sz w:val="24"/>
          <w:szCs w:val="24"/>
        </w:rPr>
        <w:t xml:space="preserve">.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"https://emf.thirdlight.com/link/2j2gtyion7ia-n3q5ey/@/preview/1?o" \t "_new"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https://emf.thirdlight.com/link/2j2gtyion7ia-n3q5ey/@/preview/1?o</w:t>
      </w:r>
      <w:r>
        <w:rPr>
          <w:rFonts w:hint="default" w:ascii="Times New Roman" w:hAnsi="Times New Roman" w:cs="Times New Roman"/>
          <w:sz w:val="24"/>
          <w:szCs w:val="24"/>
        </w:rPr>
        <w:fldChar w:fldCharType="end"/>
      </w:r>
    </w:p>
    <w:p w14:paraId="1AD39C83">
      <w:pPr>
        <w:rPr>
          <w:rFonts w:hint="default" w:ascii="Times New Roman" w:hAnsi="Times New Roman" w:cs="Times New Roman"/>
          <w:sz w:val="24"/>
          <w:szCs w:val="24"/>
        </w:rPr>
      </w:pPr>
      <w:r>
        <w:rPr>
          <w:rFonts w:hint="default" w:ascii="Times New Roman" w:hAnsi="Times New Roman" w:cs="Times New Roman"/>
          <w:sz w:val="24"/>
          <w:szCs w:val="24"/>
        </w:rPr>
        <w:t xml:space="preserve">PwC. (2023). </w:t>
      </w:r>
      <w:r>
        <w:rPr>
          <w:rStyle w:val="9"/>
          <w:rFonts w:hint="default" w:ascii="Times New Roman" w:hAnsi="Times New Roman" w:cs="Times New Roman"/>
          <w:sz w:val="24"/>
          <w:szCs w:val="24"/>
        </w:rPr>
        <w:t>The role of the public sector in driving a circular economy in Southeast Asia</w:t>
      </w:r>
      <w:r>
        <w:rPr>
          <w:rFonts w:hint="default" w:ascii="Times New Roman" w:hAnsi="Times New Roman" w:cs="Times New Roman"/>
          <w:sz w:val="24"/>
          <w:szCs w:val="24"/>
        </w:rPr>
        <w:t xml:space="preserve">.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"https://www.pwc.com/gx/en/services/consulting/south-east-asia-consulting/public-sector-driving-circular-economy-in-southeast-asia" \t "_new"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https://www.pwc.com/gx/en/services/consulting/south-east-asia-consulting/public-sector-driving-circular-economy-in-southeast-asia</w:t>
      </w:r>
      <w:r>
        <w:rPr>
          <w:rFonts w:hint="default" w:ascii="Times New Roman" w:hAnsi="Times New Roman" w:cs="Times New Roman"/>
          <w:sz w:val="24"/>
          <w:szCs w:val="24"/>
        </w:rPr>
        <w:fldChar w:fldCharType="end"/>
      </w:r>
    </w:p>
    <w:p w14:paraId="4F208FB0">
      <w:pPr>
        <w:pStyle w:val="13"/>
        <w:keepNext w:val="0"/>
        <w:keepLines w:val="0"/>
        <w:widowControl/>
        <w:suppressLineNumbers w:val="0"/>
        <w:spacing w:before="0" w:beforeAutospacing="1" w:after="0" w:afterAutospacing="1"/>
        <w:ind w:right="0"/>
        <w:rPr>
          <w:rFonts w:hint="default" w:ascii="Times New Roman" w:hAnsi="Times New Roman" w:cs="Times New Roman"/>
          <w:sz w:val="24"/>
          <w:szCs w:val="24"/>
        </w:rPr>
      </w:pPr>
      <w:r>
        <w:rPr>
          <w:rStyle w:val="14"/>
          <w:rFonts w:hint="default" w:ascii="Times New Roman" w:hAnsi="Times New Roman" w:cs="Times New Roman"/>
          <w:sz w:val="24"/>
          <w:szCs w:val="24"/>
        </w:rPr>
        <w:t>Stahel, W. R. (2016).</w:t>
      </w:r>
      <w:r>
        <w:rPr>
          <w:rFonts w:hint="default" w:ascii="Times New Roman" w:hAnsi="Times New Roman" w:cs="Times New Roman"/>
          <w:sz w:val="24"/>
          <w:szCs w:val="24"/>
        </w:rPr>
        <w:t xml:space="preserve"> The circular economy. </w:t>
      </w:r>
      <w:r>
        <w:rPr>
          <w:rStyle w:val="9"/>
          <w:rFonts w:hint="default" w:ascii="Times New Roman" w:hAnsi="Times New Roman" w:cs="Times New Roman"/>
          <w:sz w:val="24"/>
          <w:szCs w:val="24"/>
        </w:rPr>
        <w:t>Nature, 531</w:t>
      </w:r>
      <w:r>
        <w:rPr>
          <w:rFonts w:hint="default" w:ascii="Times New Roman" w:hAnsi="Times New Roman" w:cs="Times New Roman"/>
          <w:sz w:val="24"/>
          <w:szCs w:val="24"/>
        </w:rPr>
        <w:t xml:space="preserve">(7595), 435-438.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"https://doi.org/10.1038/531435a" \t "_new"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https://doi.org/10.1038/531435a</w:t>
      </w:r>
      <w:r>
        <w:rPr>
          <w:rFonts w:hint="default" w:ascii="Times New Roman" w:hAnsi="Times New Roman" w:cs="Times New Roman"/>
          <w:sz w:val="24"/>
          <w:szCs w:val="24"/>
        </w:rPr>
        <w:fldChar w:fldCharType="end"/>
      </w:r>
    </w:p>
    <w:p w14:paraId="5F96607A">
      <w:pPr>
        <w:pStyle w:val="13"/>
        <w:keepNext w:val="0"/>
        <w:keepLines w:val="0"/>
        <w:widowControl/>
        <w:suppressLineNumbers w:val="0"/>
        <w:spacing w:before="0" w:beforeAutospacing="1" w:after="0" w:afterAutospacing="1"/>
        <w:ind w:right="0"/>
        <w:rPr>
          <w:rFonts w:hint="default" w:ascii="Times New Roman" w:hAnsi="Times New Roman" w:cs="Times New Roman"/>
          <w:sz w:val="24"/>
          <w:szCs w:val="24"/>
        </w:rPr>
      </w:pPr>
      <w:r>
        <w:rPr>
          <w:rStyle w:val="14"/>
          <w:rFonts w:hint="default" w:ascii="Times New Roman" w:hAnsi="Times New Roman" w:cs="Times New Roman"/>
          <w:sz w:val="24"/>
          <w:szCs w:val="24"/>
        </w:rPr>
        <w:t>World Bank. (2021).</w:t>
      </w:r>
      <w:r>
        <w:rPr>
          <w:rFonts w:hint="default" w:ascii="Times New Roman" w:hAnsi="Times New Roman" w:cs="Times New Roman"/>
          <w:sz w:val="24"/>
          <w:szCs w:val="24"/>
        </w:rPr>
        <w:t xml:space="preserve"> </w:t>
      </w:r>
      <w:r>
        <w:rPr>
          <w:rStyle w:val="9"/>
          <w:rFonts w:hint="default" w:ascii="Times New Roman" w:hAnsi="Times New Roman" w:cs="Times New Roman"/>
          <w:sz w:val="24"/>
          <w:szCs w:val="24"/>
        </w:rPr>
        <w:t>The role of circular economy in sustainable urban development: Global lessons for South Asia</w:t>
      </w:r>
      <w:r>
        <w:rPr>
          <w:rFonts w:hint="default" w:ascii="Times New Roman" w:hAnsi="Times New Roman" w:cs="Times New Roman"/>
          <w:sz w:val="24"/>
          <w:szCs w:val="24"/>
        </w:rPr>
        <w:t>. World Bank Report.</w:t>
      </w:r>
    </w:p>
    <w:p w14:paraId="05FBE610">
      <w:pPr>
        <w:keepNext w:val="0"/>
        <w:keepLines w:val="0"/>
        <w:widowControl/>
        <w:suppressLineNumbers w:val="0"/>
        <w:rPr>
          <w:rFonts w:hint="default" w:ascii="Times New Roman" w:hAnsi="Times New Roman" w:eastAsia="SimSun"/>
          <w:b/>
          <w:bCs/>
          <w:sz w:val="24"/>
          <w:szCs w:val="24"/>
          <w:u w:val="single"/>
          <w:lang w:val="en-US"/>
        </w:rPr>
      </w:pPr>
    </w:p>
    <w:p w14:paraId="03950501">
      <w:pPr>
        <w:spacing w:line="240" w:lineRule="auto"/>
        <w:rPr>
          <w:rFonts w:hint="default" w:ascii="Times New Roman" w:hAnsi="Times New Roman" w:eastAsia="SimSun"/>
          <w:b/>
          <w:bCs/>
          <w:sz w:val="24"/>
          <w:szCs w:val="24"/>
          <w:u w:val="single"/>
          <w:lang w:val="en-US"/>
        </w:rPr>
      </w:pPr>
    </w:p>
    <w:p w14:paraId="498A10FD">
      <w:pPr>
        <w:spacing w:line="240" w:lineRule="auto"/>
        <w:rPr>
          <w:rFonts w:hint="default" w:ascii="Times New Roman" w:hAnsi="Times New Roman" w:eastAsia="SimSun"/>
          <w:b/>
          <w:bCs/>
          <w:sz w:val="24"/>
          <w:szCs w:val="24"/>
          <w:u w:val="single"/>
          <w:lang w:val="en-US"/>
        </w:rPr>
      </w:pPr>
    </w:p>
    <w:p w14:paraId="30504AD7">
      <w:pPr>
        <w:spacing w:line="240" w:lineRule="auto"/>
        <w:rPr>
          <w:rFonts w:hint="default" w:ascii="Times New Roman" w:hAnsi="Times New Roman" w:eastAsia="SimSun"/>
          <w:b w:val="0"/>
          <w:bCs w:val="0"/>
          <w:sz w:val="24"/>
          <w:szCs w:val="24"/>
          <w:u w:val="none"/>
          <w:lang w:val="en-US"/>
        </w:rPr>
      </w:pPr>
    </w:p>
    <w:p w14:paraId="37DA110E">
      <w:pPr>
        <w:spacing w:line="240" w:lineRule="auto"/>
        <w:rPr>
          <w:rFonts w:hint="default" w:ascii="Times New Roman" w:hAnsi="Times New Roman" w:eastAsia="SimSun"/>
          <w:b w:val="0"/>
          <w:bCs w:val="0"/>
          <w:sz w:val="24"/>
          <w:szCs w:val="24"/>
          <w:u w:val="none"/>
          <w:lang w:val="en-US"/>
        </w:rPr>
      </w:pPr>
    </w:p>
    <w:p w14:paraId="0A9D7A20">
      <w:pPr>
        <w:spacing w:line="240" w:lineRule="auto"/>
        <w:rPr>
          <w:rFonts w:hint="default" w:ascii="Times New Roman" w:hAnsi="Times New Roman" w:eastAsia="SimSun"/>
          <w:b w:val="0"/>
          <w:bCs w:val="0"/>
          <w:sz w:val="24"/>
          <w:szCs w:val="24"/>
          <w:u w:val="none"/>
          <w:lang w:val="en-US"/>
        </w:rPr>
      </w:pPr>
    </w:p>
    <w:p w14:paraId="0FFFB086">
      <w:pPr>
        <w:spacing w:line="240" w:lineRule="auto"/>
        <w:rPr>
          <w:rFonts w:hint="default" w:ascii="Times New Roman" w:hAnsi="Times New Roman" w:eastAsia="SimSun"/>
          <w:b w:val="0"/>
          <w:bCs w:val="0"/>
          <w:sz w:val="24"/>
          <w:szCs w:val="24"/>
          <w:u w:val="none"/>
          <w:lang w:val="en-US"/>
        </w:rPr>
      </w:pPr>
    </w:p>
    <w:p w14:paraId="4D7D4CA5">
      <w:pPr>
        <w:spacing w:line="240" w:lineRule="auto"/>
        <w:rPr>
          <w:rFonts w:hint="default" w:ascii="Times New Roman" w:hAnsi="Times New Roman" w:eastAsia="SimSun"/>
          <w:b w:val="0"/>
          <w:bCs w:val="0"/>
          <w:sz w:val="24"/>
          <w:szCs w:val="24"/>
          <w:u w:val="none"/>
          <w:lang w:val="en-US"/>
        </w:rPr>
      </w:pPr>
    </w:p>
    <w:p w14:paraId="352C74D5">
      <w:pPr>
        <w:spacing w:line="240" w:lineRule="auto"/>
        <w:rPr>
          <w:rFonts w:hint="default" w:ascii="Times New Roman" w:hAnsi="Times New Roman" w:eastAsia="SimSun" w:cs="Times New Roman"/>
          <w:b w:val="0"/>
          <w:bCs w:val="0"/>
          <w:sz w:val="24"/>
          <w:szCs w:val="24"/>
          <w:u w:val="none"/>
          <w:lang w:val="en-US"/>
        </w:rPr>
      </w:pPr>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Open Sans">
    <w:altName w:val="Times New Roman"/>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84840D"/>
    <w:multiLevelType w:val="singleLevel"/>
    <w:tmpl w:val="AC84840D"/>
    <w:lvl w:ilvl="0" w:tentative="0">
      <w:start w:val="2"/>
      <w:numFmt w:val="decimal"/>
      <w:suff w:val="space"/>
      <w:lvlText w:val="%1."/>
      <w:lvlJc w:val="left"/>
      <w:pPr>
        <w:ind w:left="60" w:leftChars="0" w:firstLine="0" w:firstLineChars="0"/>
      </w:pPr>
    </w:lvl>
  </w:abstractNum>
  <w:abstractNum w:abstractNumId="1">
    <w:nsid w:val="BA8CE023"/>
    <w:multiLevelType w:val="singleLevel"/>
    <w:tmpl w:val="BA8CE02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D898DF57"/>
    <w:multiLevelType w:val="singleLevel"/>
    <w:tmpl w:val="D898DF57"/>
    <w:lvl w:ilvl="0" w:tentative="0">
      <w:start w:val="8"/>
      <w:numFmt w:val="decimal"/>
      <w:suff w:val="space"/>
      <w:lvlText w:val="%1."/>
      <w:lvlJc w:val="left"/>
    </w:lvl>
  </w:abstractNum>
  <w:abstractNum w:abstractNumId="3">
    <w:nsid w:val="DC943CE3"/>
    <w:multiLevelType w:val="singleLevel"/>
    <w:tmpl w:val="DC943CE3"/>
    <w:lvl w:ilvl="0" w:tentative="0">
      <w:start w:val="2"/>
      <w:numFmt w:val="decimal"/>
      <w:suff w:val="space"/>
      <w:lvlText w:val="%1."/>
      <w:lvlJc w:val="left"/>
    </w:lvl>
  </w:abstractNum>
  <w:abstractNum w:abstractNumId="4">
    <w:nsid w:val="0E517158"/>
    <w:multiLevelType w:val="singleLevel"/>
    <w:tmpl w:val="0E517158"/>
    <w:lvl w:ilvl="0" w:tentative="0">
      <w:start w:val="3"/>
      <w:numFmt w:val="decimal"/>
      <w:suff w:val="space"/>
      <w:lvlText w:val="%1)"/>
      <w:lvlJc w:val="left"/>
    </w:lvl>
  </w:abstractNum>
  <w:abstractNum w:abstractNumId="5">
    <w:nsid w:val="4F49DC1F"/>
    <w:multiLevelType w:val="singleLevel"/>
    <w:tmpl w:val="4F49DC1F"/>
    <w:lvl w:ilvl="0" w:tentative="0">
      <w:start w:val="9"/>
      <w:numFmt w:val="decimal"/>
      <w:suff w:val="space"/>
      <w:lvlText w:val="%1)"/>
      <w:lvlJc w:val="left"/>
    </w:lvl>
  </w:abstractNum>
  <w:abstractNum w:abstractNumId="6">
    <w:nsid w:val="60F89647"/>
    <w:multiLevelType w:val="singleLevel"/>
    <w:tmpl w:val="60F8964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6A09B83E"/>
    <w:multiLevelType w:val="singleLevel"/>
    <w:tmpl w:val="6A09B83E"/>
    <w:lvl w:ilvl="0" w:tentative="0">
      <w:start w:val="5"/>
      <w:numFmt w:val="upperLetter"/>
      <w:suff w:val="space"/>
      <w:lvlText w:val="%1-"/>
      <w:lvlJc w:val="left"/>
      <w:pPr>
        <w:ind w:left="200"/>
      </w:pPr>
    </w:lvl>
  </w:abstractNum>
  <w:abstractNum w:abstractNumId="8">
    <w:nsid w:val="70172A21"/>
    <w:multiLevelType w:val="singleLevel"/>
    <w:tmpl w:val="70172A21"/>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4"/>
  </w:num>
  <w:num w:numId="2">
    <w:abstractNumId w:val="5"/>
  </w:num>
  <w:num w:numId="3">
    <w:abstractNumId w:val="0"/>
  </w:num>
  <w:num w:numId="4">
    <w:abstractNumId w:val="7"/>
  </w:num>
  <w:num w:numId="5">
    <w:abstractNumId w:val="3"/>
  </w:num>
  <w:num w:numId="6">
    <w:abstractNumId w:val="8"/>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displayBackgroundShape w:val="1"/>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C6527A"/>
    <w:rsid w:val="00F04159"/>
    <w:rsid w:val="01041D5C"/>
    <w:rsid w:val="01712AD7"/>
    <w:rsid w:val="01B61C38"/>
    <w:rsid w:val="025E5994"/>
    <w:rsid w:val="027D43D3"/>
    <w:rsid w:val="02B57809"/>
    <w:rsid w:val="05875501"/>
    <w:rsid w:val="06204515"/>
    <w:rsid w:val="06305334"/>
    <w:rsid w:val="067A57C7"/>
    <w:rsid w:val="068E1FCB"/>
    <w:rsid w:val="079F3517"/>
    <w:rsid w:val="09B40479"/>
    <w:rsid w:val="0A2D1E9C"/>
    <w:rsid w:val="0A4B7E76"/>
    <w:rsid w:val="0B6E10E5"/>
    <w:rsid w:val="0D034402"/>
    <w:rsid w:val="0D681C75"/>
    <w:rsid w:val="0D925535"/>
    <w:rsid w:val="0E0F54AD"/>
    <w:rsid w:val="0E45526A"/>
    <w:rsid w:val="1195337D"/>
    <w:rsid w:val="12864A74"/>
    <w:rsid w:val="13FA6B54"/>
    <w:rsid w:val="14613A28"/>
    <w:rsid w:val="157A0CD4"/>
    <w:rsid w:val="16E817A5"/>
    <w:rsid w:val="171E26EE"/>
    <w:rsid w:val="178D1AEA"/>
    <w:rsid w:val="17A36655"/>
    <w:rsid w:val="18385ABC"/>
    <w:rsid w:val="1A394484"/>
    <w:rsid w:val="1AD8238D"/>
    <w:rsid w:val="1B402A93"/>
    <w:rsid w:val="1B495925"/>
    <w:rsid w:val="1B81532C"/>
    <w:rsid w:val="1E081852"/>
    <w:rsid w:val="1E652A63"/>
    <w:rsid w:val="1EE86942"/>
    <w:rsid w:val="1F451E75"/>
    <w:rsid w:val="1F7774AB"/>
    <w:rsid w:val="226A1E07"/>
    <w:rsid w:val="22842D31"/>
    <w:rsid w:val="22A96F57"/>
    <w:rsid w:val="22C5452B"/>
    <w:rsid w:val="236A3BEE"/>
    <w:rsid w:val="241330BC"/>
    <w:rsid w:val="26507817"/>
    <w:rsid w:val="26C900EF"/>
    <w:rsid w:val="27097897"/>
    <w:rsid w:val="275B5F55"/>
    <w:rsid w:val="29596FDD"/>
    <w:rsid w:val="29CA06EC"/>
    <w:rsid w:val="29E4043D"/>
    <w:rsid w:val="2A0B1B16"/>
    <w:rsid w:val="2AF4044F"/>
    <w:rsid w:val="2B0E2D2B"/>
    <w:rsid w:val="2B413784"/>
    <w:rsid w:val="2B8B5D94"/>
    <w:rsid w:val="2BDA19DF"/>
    <w:rsid w:val="2BDE4907"/>
    <w:rsid w:val="2C475DBB"/>
    <w:rsid w:val="2D1A0958"/>
    <w:rsid w:val="2F1A3DC5"/>
    <w:rsid w:val="2F641D39"/>
    <w:rsid w:val="302D0409"/>
    <w:rsid w:val="30547A5D"/>
    <w:rsid w:val="30614173"/>
    <w:rsid w:val="315469E8"/>
    <w:rsid w:val="31A359FC"/>
    <w:rsid w:val="32D40625"/>
    <w:rsid w:val="33922CA9"/>
    <w:rsid w:val="33A309C5"/>
    <w:rsid w:val="348E1040"/>
    <w:rsid w:val="35DF02EF"/>
    <w:rsid w:val="364E468F"/>
    <w:rsid w:val="36D64516"/>
    <w:rsid w:val="371F78C9"/>
    <w:rsid w:val="37434C0D"/>
    <w:rsid w:val="398A40F4"/>
    <w:rsid w:val="39B824EB"/>
    <w:rsid w:val="39FB4E6E"/>
    <w:rsid w:val="3C462FC4"/>
    <w:rsid w:val="3DCB6F17"/>
    <w:rsid w:val="3E13386B"/>
    <w:rsid w:val="3E343C9D"/>
    <w:rsid w:val="3E583C3D"/>
    <w:rsid w:val="3EED2D7C"/>
    <w:rsid w:val="3F190CEF"/>
    <w:rsid w:val="3F7738F7"/>
    <w:rsid w:val="40C83C56"/>
    <w:rsid w:val="415F764C"/>
    <w:rsid w:val="41ED3EB2"/>
    <w:rsid w:val="42A1703C"/>
    <w:rsid w:val="43585209"/>
    <w:rsid w:val="44E107D2"/>
    <w:rsid w:val="45357674"/>
    <w:rsid w:val="455177A1"/>
    <w:rsid w:val="45DE2BBA"/>
    <w:rsid w:val="46626485"/>
    <w:rsid w:val="471A004D"/>
    <w:rsid w:val="476A6CB8"/>
    <w:rsid w:val="47DD6F22"/>
    <w:rsid w:val="484D103A"/>
    <w:rsid w:val="484D4D2C"/>
    <w:rsid w:val="48DF325C"/>
    <w:rsid w:val="492261F5"/>
    <w:rsid w:val="4AB47D9A"/>
    <w:rsid w:val="4B50729C"/>
    <w:rsid w:val="4B9F152A"/>
    <w:rsid w:val="4BE66483"/>
    <w:rsid w:val="4DF85277"/>
    <w:rsid w:val="4E78325C"/>
    <w:rsid w:val="4E9D426B"/>
    <w:rsid w:val="4F520F58"/>
    <w:rsid w:val="4F5D2870"/>
    <w:rsid w:val="4F606DC8"/>
    <w:rsid w:val="50B376D6"/>
    <w:rsid w:val="50C371E0"/>
    <w:rsid w:val="50C6527A"/>
    <w:rsid w:val="50F3175D"/>
    <w:rsid w:val="5126542F"/>
    <w:rsid w:val="5232746C"/>
    <w:rsid w:val="526113A7"/>
    <w:rsid w:val="52694AE7"/>
    <w:rsid w:val="53B74464"/>
    <w:rsid w:val="53F058C2"/>
    <w:rsid w:val="5491544C"/>
    <w:rsid w:val="55833ADA"/>
    <w:rsid w:val="56284268"/>
    <w:rsid w:val="57FD3711"/>
    <w:rsid w:val="580C6902"/>
    <w:rsid w:val="58C64455"/>
    <w:rsid w:val="59A67E61"/>
    <w:rsid w:val="5A2D0E4E"/>
    <w:rsid w:val="5B5A3737"/>
    <w:rsid w:val="5B8E7542"/>
    <w:rsid w:val="5C2E60A8"/>
    <w:rsid w:val="5C3A545D"/>
    <w:rsid w:val="5DF94D5C"/>
    <w:rsid w:val="5F393714"/>
    <w:rsid w:val="60B4261E"/>
    <w:rsid w:val="613D1D17"/>
    <w:rsid w:val="63572A85"/>
    <w:rsid w:val="63944464"/>
    <w:rsid w:val="63B1721D"/>
    <w:rsid w:val="64972AEE"/>
    <w:rsid w:val="653241C1"/>
    <w:rsid w:val="65CF1796"/>
    <w:rsid w:val="679E650E"/>
    <w:rsid w:val="680B32BF"/>
    <w:rsid w:val="6A5409E4"/>
    <w:rsid w:val="6AF618ED"/>
    <w:rsid w:val="6B730158"/>
    <w:rsid w:val="6BF20C59"/>
    <w:rsid w:val="6C031E71"/>
    <w:rsid w:val="6C3506E4"/>
    <w:rsid w:val="6D4362CC"/>
    <w:rsid w:val="6EA52B0F"/>
    <w:rsid w:val="6F0C1BBE"/>
    <w:rsid w:val="705961E4"/>
    <w:rsid w:val="70AF298B"/>
    <w:rsid w:val="71F969D3"/>
    <w:rsid w:val="723B55F8"/>
    <w:rsid w:val="72DF76A1"/>
    <w:rsid w:val="72F55775"/>
    <w:rsid w:val="736F68EF"/>
    <w:rsid w:val="738771E8"/>
    <w:rsid w:val="739D187B"/>
    <w:rsid w:val="747F6D2A"/>
    <w:rsid w:val="770D709B"/>
    <w:rsid w:val="78AA7A7D"/>
    <w:rsid w:val="7BCE0499"/>
    <w:rsid w:val="7BE00F67"/>
    <w:rsid w:val="7D031A25"/>
    <w:rsid w:val="7D2D0569"/>
    <w:rsid w:val="7FB56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5">
    <w:name w:val="heading 5"/>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paragraph" w:styleId="6">
    <w:name w:val="heading 6"/>
    <w:next w:val="1"/>
    <w:semiHidden/>
    <w:unhideWhenUsed/>
    <w:qFormat/>
    <w:uiPriority w:val="0"/>
    <w:pPr>
      <w:spacing w:before="0" w:beforeAutospacing="1" w:after="0" w:afterAutospacing="1"/>
      <w:jc w:val="left"/>
    </w:pPr>
    <w:rPr>
      <w:rFonts w:hint="eastAsia" w:ascii="SimSun" w:hAnsi="SimSun" w:eastAsia="SimSun" w:cs="SimSun"/>
      <w:b/>
      <w:bCs/>
      <w:kern w:val="0"/>
      <w:sz w:val="15"/>
      <w:szCs w:val="15"/>
      <w:lang w:val="en-US" w:eastAsia="zh-CN" w:bidi="ar"/>
    </w:rPr>
  </w:style>
  <w:style w:type="character" w:default="1" w:styleId="7">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character" w:styleId="9">
    <w:name w:val="Emphasis"/>
    <w:basedOn w:val="7"/>
    <w:qFormat/>
    <w:uiPriority w:val="0"/>
    <w:rPr>
      <w:i/>
      <w:iCs/>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tabs>
        <w:tab w:val="center" w:pos="4153"/>
        <w:tab w:val="right" w:pos="8306"/>
      </w:tabs>
      <w:snapToGrid w:val="0"/>
    </w:pPr>
    <w:rPr>
      <w:sz w:val="18"/>
      <w:szCs w:val="18"/>
    </w:rPr>
  </w:style>
  <w:style w:type="character" w:styleId="12">
    <w:name w:val="Hyperlink"/>
    <w:basedOn w:val="7"/>
    <w:qFormat/>
    <w:uiPriority w:val="0"/>
    <w:rPr>
      <w:color w:val="0000FF"/>
      <w:u w:val="single"/>
    </w:rPr>
  </w:style>
  <w:style w:type="paragraph" w:styleId="13">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4">
    <w:name w:val="Strong"/>
    <w:basedOn w:val="7"/>
    <w:qFormat/>
    <w:uiPriority w:val="0"/>
    <w:rPr>
      <w:b/>
      <w:bCs/>
    </w:rPr>
  </w:style>
  <w:style w:type="table" w:styleId="15">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_Style 11"/>
    <w:basedOn w:val="1"/>
    <w:next w:val="1"/>
    <w:qFormat/>
    <w:uiPriority w:val="0"/>
    <w:pPr>
      <w:pBdr>
        <w:bottom w:val="single" w:color="auto" w:sz="6" w:space="1"/>
      </w:pBdr>
      <w:jc w:val="center"/>
    </w:pPr>
    <w:rPr>
      <w:rFonts w:ascii="Arial" w:eastAsia="SimSun"/>
      <w:vanish/>
      <w:sz w:val="16"/>
    </w:rPr>
  </w:style>
  <w:style w:type="paragraph" w:customStyle="1" w:styleId="17">
    <w:name w:val="_Style 12"/>
    <w:basedOn w:val="1"/>
    <w:next w:val="1"/>
    <w:qFormat/>
    <w:uiPriority w:val="0"/>
    <w:pPr>
      <w:pBdr>
        <w:top w:val="single" w:color="auto" w:sz="6" w:space="1"/>
      </w:pBdr>
      <w:jc w:val="center"/>
    </w:pPr>
    <w:rPr>
      <w:rFonts w:ascii="Arial" w:eastAsia="SimSun"/>
      <w:vanish/>
      <w:sz w:val="16"/>
    </w:rPr>
  </w:style>
  <w:style w:type="paragraph" w:customStyle="1" w:styleId="18">
    <w:name w:val="_Style 13"/>
    <w:basedOn w:val="1"/>
    <w:next w:val="1"/>
    <w:qFormat/>
    <w:uiPriority w:val="0"/>
    <w:pPr>
      <w:pBdr>
        <w:bottom w:val="single" w:color="auto" w:sz="6" w:space="1"/>
      </w:pBdr>
      <w:jc w:val="center"/>
    </w:pPr>
    <w:rPr>
      <w:rFonts w:ascii="Arial" w:eastAsia="SimSun"/>
      <w:vanish/>
      <w:sz w:val="16"/>
    </w:rPr>
  </w:style>
  <w:style w:type="paragraph" w:customStyle="1" w:styleId="19">
    <w:name w:val="_Style 14"/>
    <w:basedOn w:val="1"/>
    <w:next w:val="1"/>
    <w:qFormat/>
    <w:uiPriority w:val="0"/>
    <w:pPr>
      <w:pBdr>
        <w:top w:val="single" w:color="auto" w:sz="6" w:space="1"/>
      </w:pBdr>
      <w:jc w:val="center"/>
    </w:pPr>
    <w:rPr>
      <w:rFonts w:ascii="Arial" w:eastAsia="SimSun"/>
      <w:vanish/>
      <w:sz w:val="16"/>
    </w:rPr>
  </w:style>
  <w:style w:type="paragraph" w:customStyle="1" w:styleId="20">
    <w:name w:val="_Style 18"/>
    <w:basedOn w:val="1"/>
    <w:next w:val="1"/>
    <w:qFormat/>
    <w:uiPriority w:val="0"/>
    <w:pPr>
      <w:pBdr>
        <w:bottom w:val="single" w:color="auto" w:sz="6" w:space="1"/>
      </w:pBdr>
      <w:jc w:val="center"/>
    </w:pPr>
    <w:rPr>
      <w:rFonts w:ascii="Arial" w:eastAsia="SimSun"/>
      <w:vanish/>
      <w:sz w:val="16"/>
    </w:rPr>
  </w:style>
  <w:style w:type="paragraph" w:customStyle="1" w:styleId="21">
    <w:name w:val="_Style 19"/>
    <w:basedOn w:val="1"/>
    <w:next w:val="1"/>
    <w:qFormat/>
    <w:uiPriority w:val="0"/>
    <w:pPr>
      <w:pBdr>
        <w:top w:val="single" w:color="auto" w:sz="6" w:space="1"/>
      </w:pBdr>
      <w:jc w:val="center"/>
    </w:pPr>
    <w:rPr>
      <w:rFonts w:ascii="Arial" w:eastAsia="SimSun"/>
      <w:vanish/>
      <w:sz w:val="16"/>
    </w:rPr>
  </w:style>
  <w:style w:type="paragraph" w:customStyle="1" w:styleId="22">
    <w:name w:val="_Style 20"/>
    <w:basedOn w:val="1"/>
    <w:next w:val="1"/>
    <w:qFormat/>
    <w:uiPriority w:val="0"/>
    <w:pPr>
      <w:pBdr>
        <w:bottom w:val="single" w:color="auto" w:sz="6" w:space="1"/>
      </w:pBdr>
      <w:jc w:val="center"/>
    </w:pPr>
    <w:rPr>
      <w:rFonts w:ascii="Arial" w:eastAsia="SimSun"/>
      <w:vanish/>
      <w:sz w:val="16"/>
    </w:rPr>
  </w:style>
  <w:style w:type="paragraph" w:customStyle="1" w:styleId="23">
    <w:name w:val="_Style 21"/>
    <w:basedOn w:val="1"/>
    <w:next w:val="1"/>
    <w:qFormat/>
    <w:uiPriority w:val="0"/>
    <w:pPr>
      <w:pBdr>
        <w:top w:val="single" w:color="auto" w:sz="6" w:space="1"/>
      </w:pBdr>
      <w:jc w:val="center"/>
    </w:pPr>
    <w:rPr>
      <w:rFonts w:ascii="Arial" w:eastAsia="SimSun"/>
      <w:vanish/>
      <w:sz w:val="16"/>
    </w:rPr>
  </w:style>
  <w:style w:type="paragraph" w:customStyle="1" w:styleId="24">
    <w:name w:val="_Style 23"/>
    <w:basedOn w:val="1"/>
    <w:next w:val="1"/>
    <w:qFormat/>
    <w:uiPriority w:val="0"/>
    <w:pPr>
      <w:pBdr>
        <w:bottom w:val="single" w:color="auto" w:sz="6" w:space="1"/>
      </w:pBdr>
      <w:jc w:val="center"/>
    </w:pPr>
    <w:rPr>
      <w:rFonts w:ascii="Arial" w:eastAsia="SimSun"/>
      <w:vanish/>
      <w:sz w:val="16"/>
    </w:rPr>
  </w:style>
  <w:style w:type="paragraph" w:customStyle="1" w:styleId="25">
    <w:name w:val="_Style 24"/>
    <w:basedOn w:val="1"/>
    <w:next w:val="1"/>
    <w:qFormat/>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microsoft.com/office/2007/relationships/diagramDrawing" Target="diagrams/drawing1.xml"/><Relationship Id="rId7" Type="http://schemas.openxmlformats.org/officeDocument/2006/relationships/diagramColors" Target="diagrams/colors1.xml"/><Relationship Id="rId6" Type="http://schemas.openxmlformats.org/officeDocument/2006/relationships/diagramQuickStyle" Target="diagrams/quickStyle1.xml"/><Relationship Id="rId5" Type="http://schemas.openxmlformats.org/officeDocument/2006/relationships/diagramLayout" Target="diagrams/layout1.xml"/><Relationship Id="rId4" Type="http://schemas.openxmlformats.org/officeDocument/2006/relationships/diagramData" Target="diagrams/data1.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microsoft.com/office/2007/relationships/diagramDrawing" Target="diagrams/drawing6.xml"/><Relationship Id="rId33" Type="http://schemas.openxmlformats.org/officeDocument/2006/relationships/diagramColors" Target="diagrams/colors6.xml"/><Relationship Id="rId32" Type="http://schemas.openxmlformats.org/officeDocument/2006/relationships/diagramQuickStyle" Target="diagrams/quickStyle6.xml"/><Relationship Id="rId31" Type="http://schemas.openxmlformats.org/officeDocument/2006/relationships/diagramLayout" Target="diagrams/layout6.xml"/><Relationship Id="rId30" Type="http://schemas.openxmlformats.org/officeDocument/2006/relationships/diagramData" Target="diagrams/data6.xml"/><Relationship Id="rId3" Type="http://schemas.openxmlformats.org/officeDocument/2006/relationships/theme" Target="theme/theme1.xml"/><Relationship Id="rId29" Type="http://schemas.microsoft.com/office/2007/relationships/diagramDrawing" Target="diagrams/drawing5.xml"/><Relationship Id="rId28" Type="http://schemas.openxmlformats.org/officeDocument/2006/relationships/diagramColors" Target="diagrams/colors5.xml"/><Relationship Id="rId27" Type="http://schemas.openxmlformats.org/officeDocument/2006/relationships/diagramQuickStyle" Target="diagrams/quickStyle5.xml"/><Relationship Id="rId26" Type="http://schemas.openxmlformats.org/officeDocument/2006/relationships/diagramLayout" Target="diagrams/layout5.xml"/><Relationship Id="rId25" Type="http://schemas.openxmlformats.org/officeDocument/2006/relationships/diagramData" Target="diagrams/data5.xml"/><Relationship Id="rId24" Type="http://schemas.microsoft.com/office/2007/relationships/diagramDrawing" Target="diagrams/drawing4.xml"/><Relationship Id="rId23" Type="http://schemas.openxmlformats.org/officeDocument/2006/relationships/diagramColors" Target="diagrams/colors4.xml"/><Relationship Id="rId22" Type="http://schemas.openxmlformats.org/officeDocument/2006/relationships/diagramQuickStyle" Target="diagrams/quickStyle4.xml"/><Relationship Id="rId21" Type="http://schemas.openxmlformats.org/officeDocument/2006/relationships/diagramLayout" Target="diagrams/layout4.xml"/><Relationship Id="rId20" Type="http://schemas.openxmlformats.org/officeDocument/2006/relationships/diagramData" Target="diagrams/data4.xml"/><Relationship Id="rId2" Type="http://schemas.openxmlformats.org/officeDocument/2006/relationships/settings" Target="settings.xml"/><Relationship Id="rId19" Type="http://schemas.microsoft.com/office/2007/relationships/diagramDrawing" Target="diagrams/drawing3.xml"/><Relationship Id="rId18" Type="http://schemas.openxmlformats.org/officeDocument/2006/relationships/diagramColors" Target="diagrams/colors3.xml"/><Relationship Id="rId17" Type="http://schemas.openxmlformats.org/officeDocument/2006/relationships/diagramQuickStyle" Target="diagrams/quickStyle3.xml"/><Relationship Id="rId16" Type="http://schemas.openxmlformats.org/officeDocument/2006/relationships/diagramLayout" Target="diagrams/layout3.xml"/><Relationship Id="rId15" Type="http://schemas.openxmlformats.org/officeDocument/2006/relationships/diagramData" Target="diagrams/data3.xml"/><Relationship Id="rId14" Type="http://schemas.microsoft.com/office/2007/relationships/diagramDrawing" Target="diagrams/drawing2.xml"/><Relationship Id="rId13" Type="http://schemas.openxmlformats.org/officeDocument/2006/relationships/diagramColors" Target="diagrams/colors2.xml"/><Relationship Id="rId12" Type="http://schemas.openxmlformats.org/officeDocument/2006/relationships/diagramQuickStyle" Target="diagrams/quickStyle2.xml"/><Relationship Id="rId11" Type="http://schemas.openxmlformats.org/officeDocument/2006/relationships/diagramLayout" Target="diagrams/layout2.xml"/><Relationship Id="rId10" Type="http://schemas.openxmlformats.org/officeDocument/2006/relationships/diagramData" Target="diagrams/data2.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77D31B3-3808-4FBA-8FA4-CC8D448A173E}" type="doc">
      <dgm:prSet loTypeId="hierarchy" loCatId="hierarchy" qsTypeId="urn:microsoft.com/office/officeart/2005/8/quickstyle/simple1" qsCatId="simple" csTypeId="urn:microsoft.com/office/officeart/2005/8/colors/accent0_2" csCatId="accent1" phldr="0"/>
      <dgm:spPr/>
      <dgm:t>
        <a:bodyPr/>
        <a:p>
          <a:endParaRPr lang="en-US"/>
        </a:p>
      </dgm:t>
    </dgm:pt>
    <dgm:pt modelId="{47C757F0-AA23-46BE-9311-EA432CDEEAA1}">
      <dgm:prSet phldrT="[Tex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Key strategies to achieve carbon neutrality</a:t>
          </a:r>
          <a:endParaRPr lang="en-US" sz="1200">
            <a:latin typeface="Times New Roman" panose="02020603050405020304" charset="0"/>
            <a:cs typeface="Times New Roman" panose="02020603050405020304" charset="0"/>
          </a:endParaRPr>
        </a:p>
      </dgm:t>
    </dgm:pt>
    <dgm:pt modelId="{AB39B06D-FE6C-48B2-B5B4-77CD0C8CF7AD}" cxnId="{91E78E5B-8061-45D3-A837-1E474C83919F}" type="parTrans">
      <dgm:prSet/>
      <dgm:spPr/>
      <dgm:t>
        <a:bodyPr/>
        <a:p>
          <a:endParaRPr lang="en-US"/>
        </a:p>
      </dgm:t>
    </dgm:pt>
    <dgm:pt modelId="{DF0D1C21-B79E-4875-B7FA-EF183CB48B88}" cxnId="{91E78E5B-8061-45D3-A837-1E474C83919F}" type="sibTrans">
      <dgm:prSet/>
      <dgm:spPr/>
      <dgm:t>
        <a:bodyPr/>
        <a:p>
          <a:endParaRPr lang="en-US"/>
        </a:p>
      </dgm:t>
    </dgm:pt>
    <dgm:pt modelId="{B29BF47F-FB6F-4BB3-8B1F-25C507DDACF5}" type="asst">
      <dgm:prSet phldrT="[Tex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Renewable Energy Transition </a:t>
          </a:r>
          <a:endParaRPr lang="en-US" sz="1200">
            <a:latin typeface="Times New Roman" panose="02020603050405020304" charset="0"/>
            <a:cs typeface="Times New Roman" panose="02020603050405020304" charset="0"/>
          </a:endParaRPr>
        </a:p>
      </dgm:t>
    </dgm:pt>
    <dgm:pt modelId="{4294CB15-5EAF-442A-BADC-24588A60ECFF}" cxnId="{69367F77-51E6-49F2-96DD-2D08562739DE}" type="parTrans">
      <dgm:prSet/>
      <dgm:spPr/>
      <dgm:t>
        <a:bodyPr/>
        <a:p>
          <a:endParaRPr lang="en-US"/>
        </a:p>
      </dgm:t>
    </dgm:pt>
    <dgm:pt modelId="{4FBEC948-3FA9-4375-B83A-B44348E5F34D}" cxnId="{69367F77-51E6-49F2-96DD-2D08562739DE}" type="sibTrans">
      <dgm:prSet/>
      <dgm:spPr/>
      <dgm:t>
        <a:bodyPr/>
        <a:p>
          <a:endParaRPr lang="en-US"/>
        </a:p>
      </dgm:t>
    </dgm:pt>
    <dgm:pt modelId="{1347794E-E060-4211-8187-F228FEDF26AD}">
      <dgm:prSe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Reforestation and Afforestation</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B1E227DB-B818-4E96-A261-292C074E1581}" cxnId="{991586CF-BA79-40DB-AD84-81B4BAB5AB59}" type="parTrans">
      <dgm:prSet/>
      <dgm:spPr/>
    </dgm:pt>
    <dgm:pt modelId="{62152AF4-9F02-4C61-A602-AA4CE7C6FA92}" cxnId="{991586CF-BA79-40DB-AD84-81B4BAB5AB59}" type="sibTrans">
      <dgm:prSet/>
      <dgm:spPr/>
    </dgm:pt>
    <dgm:pt modelId="{12714FC6-8B41-47E5-91DD-F02D34D23B93}">
      <dgm:prSet phldrT="[Tex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Energy Efficiency Improvements</a:t>
          </a:r>
          <a:endParaRPr lang="en-US" sz="1200">
            <a:latin typeface="Times New Roman" panose="02020603050405020304" charset="0"/>
            <a:cs typeface="Times New Roman" panose="02020603050405020304" charset="0"/>
          </a:endParaRPr>
        </a:p>
      </dgm:t>
    </dgm:pt>
    <dgm:pt modelId="{EACD17F5-D793-4A43-B489-D1804D50CFEF}" cxnId="{D247AFD0-EC7D-4EA1-8F87-1738BA6E0ECF}" type="parTrans">
      <dgm:prSet/>
      <dgm:spPr/>
      <dgm:t>
        <a:bodyPr/>
        <a:p>
          <a:endParaRPr lang="en-US"/>
        </a:p>
      </dgm:t>
    </dgm:pt>
    <dgm:pt modelId="{FA45D93F-0724-4936-AA45-E6762732A19D}" cxnId="{D247AFD0-EC7D-4EA1-8F87-1738BA6E0ECF}" type="sibTrans">
      <dgm:prSet/>
      <dgm:spPr/>
      <dgm:t>
        <a:bodyPr/>
        <a:p>
          <a:endParaRPr lang="en-US"/>
        </a:p>
      </dgm:t>
    </dgm:pt>
    <dgm:pt modelId="{4EC42421-831D-4CD3-8215-2AF4300F9C01}">
      <dgm:prSet phldrT="[Tex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Carbon Capture and Storage </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8D5FB264-0A5C-4C3A-85B7-453D9BD837DF}" cxnId="{B1ECE342-78F8-4ADA-A4D5-52DD050313AA}" type="parTrans">
      <dgm:prSet/>
      <dgm:spPr/>
      <dgm:t>
        <a:bodyPr/>
        <a:p>
          <a:endParaRPr lang="en-US"/>
        </a:p>
      </dgm:t>
    </dgm:pt>
    <dgm:pt modelId="{A1825131-D805-48C8-BFCE-E45C02E6F5CE}" cxnId="{B1ECE342-78F8-4ADA-A4D5-52DD050313AA}" type="sibTrans">
      <dgm:prSet/>
      <dgm:spPr/>
      <dgm:t>
        <a:bodyPr/>
        <a:p>
          <a:endParaRPr lang="en-US"/>
        </a:p>
      </dgm:t>
    </dgm:pt>
    <dgm:pt modelId="{CF717C8A-B40B-4AFF-BF49-65ABB7DF8190}">
      <dgm:prSet phldrT="[Tex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Circular Economy Principles</a:t>
          </a:r>
          <a:endParaRPr lang="en-US" sz="1200">
            <a:latin typeface="Times New Roman" panose="02020603050405020304" charset="0"/>
            <a:cs typeface="Times New Roman" panose="02020603050405020304" charset="0"/>
          </a:endParaRPr>
        </a:p>
      </dgm:t>
    </dgm:pt>
    <dgm:pt modelId="{CCF68ADE-40B6-47D0-93C1-88EC13ADC8AC}" cxnId="{25B0E72A-041B-46DE-8B7D-8701EF9B82E6}" type="parTrans">
      <dgm:prSet/>
      <dgm:spPr/>
      <dgm:t>
        <a:bodyPr/>
        <a:p>
          <a:endParaRPr lang="en-US"/>
        </a:p>
      </dgm:t>
    </dgm:pt>
    <dgm:pt modelId="{630D3E0B-D1D7-4E1A-8193-515AA5E1866F}" cxnId="{25B0E72A-041B-46DE-8B7D-8701EF9B82E6}" type="sibTrans">
      <dgm:prSet/>
      <dgm:spPr/>
      <dgm:t>
        <a:bodyPr/>
        <a:p>
          <a:endParaRPr lang="en-US"/>
        </a:p>
      </dgm:t>
    </dgm:pt>
    <dgm:pt modelId="{E498DC9C-C5AC-4482-A26F-3B99DC5D79F0}" type="pres">
      <dgm:prSet presAssocID="{A77D31B3-3808-4FBA-8FA4-CC8D448A173E}" presName="hierChild1" presStyleCnt="0">
        <dgm:presLayoutVars>
          <dgm:orgChart val="1"/>
          <dgm:chPref val="1"/>
          <dgm:dir/>
          <dgm:animOne val="branch"/>
          <dgm:animLvl val="lvl"/>
          <dgm:resizeHandles/>
        </dgm:presLayoutVars>
      </dgm:prSet>
      <dgm:spPr/>
    </dgm:pt>
    <dgm:pt modelId="{F728C3E8-5128-4BB6-90CC-A86769ECE335}" type="pres">
      <dgm:prSet presAssocID="{47C757F0-AA23-46BE-9311-EA432CDEEAA1}" presName="hierRoot1" presStyleCnt="0">
        <dgm:presLayoutVars>
          <dgm:hierBranch/>
        </dgm:presLayoutVars>
      </dgm:prSet>
      <dgm:spPr/>
    </dgm:pt>
    <dgm:pt modelId="{79147750-B6BF-43FD-83A0-7ACDC9B53EFF}" type="pres">
      <dgm:prSet presAssocID="{47C757F0-AA23-46BE-9311-EA432CDEEAA1}" presName="rootComposite1" presStyleCnt="0"/>
      <dgm:spPr/>
    </dgm:pt>
    <dgm:pt modelId="{AE79172D-D441-42BB-84EA-E3D989670DED}" type="pres">
      <dgm:prSet presAssocID="{47C757F0-AA23-46BE-9311-EA432CDEEAA1}" presName="rootText1" presStyleLbl="node0" presStyleIdx="0" presStyleCnt="1">
        <dgm:presLayoutVars>
          <dgm:chPref val="3"/>
        </dgm:presLayoutVars>
      </dgm:prSet>
      <dgm:spPr/>
    </dgm:pt>
    <dgm:pt modelId="{86420519-308D-4A6A-8FEA-6FB2E39BA448}" type="pres">
      <dgm:prSet presAssocID="{47C757F0-AA23-46BE-9311-EA432CDEEAA1}" presName="rootConnector1" presStyleCnt="0"/>
      <dgm:spPr/>
    </dgm:pt>
    <dgm:pt modelId="{9A0FF10C-81C7-47CD-A320-768F2009480B}" type="pres">
      <dgm:prSet presAssocID="{47C757F0-AA23-46BE-9311-EA432CDEEAA1}" presName="hierChild2" presStyleCnt="0"/>
      <dgm:spPr/>
    </dgm:pt>
    <dgm:pt modelId="{BE212387-883C-4A32-9AAA-B825F8310D95}" type="pres">
      <dgm:prSet presAssocID="{B1E227DB-B818-4E96-A261-292C074E1581}" presName="Name35" presStyleLbl="parChTrans1D2" presStyleIdx="0" presStyleCnt="5"/>
      <dgm:spPr/>
    </dgm:pt>
    <dgm:pt modelId="{419FE2A5-3815-4940-B7BF-3176A60800D8}" type="pres">
      <dgm:prSet presAssocID="{1347794E-E060-4211-8187-F228FEDF26AD}" presName="hierRoot2" presStyleCnt="0">
        <dgm:presLayoutVars>
          <dgm:hierBranch val="init"/>
        </dgm:presLayoutVars>
      </dgm:prSet>
      <dgm:spPr/>
    </dgm:pt>
    <dgm:pt modelId="{2CA4F70C-97ED-40C0-ADD4-8363F3281413}" type="pres">
      <dgm:prSet presAssocID="{1347794E-E060-4211-8187-F228FEDF26AD}" presName="rootComposite" presStyleCnt="0"/>
      <dgm:spPr/>
    </dgm:pt>
    <dgm:pt modelId="{BD068BDB-7EDF-4B4A-81DF-E51E350E424A}" type="pres">
      <dgm:prSet presAssocID="{1347794E-E060-4211-8187-F228FEDF26AD}" presName="rootText" presStyleLbl="node2" presStyleIdx="0" presStyleCnt="4">
        <dgm:presLayoutVars>
          <dgm:chPref val="3"/>
        </dgm:presLayoutVars>
      </dgm:prSet>
      <dgm:spPr/>
    </dgm:pt>
    <dgm:pt modelId="{84C1865B-A145-4489-A300-F68CEF712B10}" type="pres">
      <dgm:prSet presAssocID="{1347794E-E060-4211-8187-F228FEDF26AD}" presName="rootConnector" presStyleCnt="0"/>
      <dgm:spPr/>
    </dgm:pt>
    <dgm:pt modelId="{876B2695-6D44-4BB0-8D27-D61A4AE6B15D}" type="pres">
      <dgm:prSet presAssocID="{1347794E-E060-4211-8187-F228FEDF26AD}" presName="hierChild4" presStyleCnt="0"/>
      <dgm:spPr/>
    </dgm:pt>
    <dgm:pt modelId="{AA8AB908-11B1-4F2A-A015-6BA48AF53199}" type="pres">
      <dgm:prSet presAssocID="{1347794E-E060-4211-8187-F228FEDF26AD}" presName="hierChild5" presStyleCnt="0"/>
      <dgm:spPr/>
    </dgm:pt>
    <dgm:pt modelId="{B397A50B-9164-4AC6-87D0-7B99DA3FB4D8}" type="pres">
      <dgm:prSet presAssocID="{EACD17F5-D793-4A43-B489-D1804D50CFEF}" presName="Name35" presStyleLbl="parChTrans1D2" presStyleIdx="1" presStyleCnt="5"/>
      <dgm:spPr/>
    </dgm:pt>
    <dgm:pt modelId="{D6C5C065-A308-417C-8ECC-04FC2BEC646C}" type="pres">
      <dgm:prSet presAssocID="{12714FC6-8B41-47E5-91DD-F02D34D23B93}" presName="hierRoot2" presStyleCnt="0">
        <dgm:presLayoutVars>
          <dgm:hierBranch val="init"/>
        </dgm:presLayoutVars>
      </dgm:prSet>
      <dgm:spPr/>
    </dgm:pt>
    <dgm:pt modelId="{E36491EF-5019-46FD-BC82-1BD579B9EE0E}" type="pres">
      <dgm:prSet presAssocID="{12714FC6-8B41-47E5-91DD-F02D34D23B93}" presName="rootComposite" presStyleCnt="0"/>
      <dgm:spPr/>
    </dgm:pt>
    <dgm:pt modelId="{43B7C837-49D6-40CE-BBAB-953D9E4BA7ED}" type="pres">
      <dgm:prSet presAssocID="{12714FC6-8B41-47E5-91DD-F02D34D23B93}" presName="rootText" presStyleLbl="node2" presStyleIdx="1" presStyleCnt="4">
        <dgm:presLayoutVars>
          <dgm:chPref val="3"/>
        </dgm:presLayoutVars>
      </dgm:prSet>
      <dgm:spPr/>
    </dgm:pt>
    <dgm:pt modelId="{9A037140-9B69-4B9F-A134-F2F2EB0F2E32}" type="pres">
      <dgm:prSet presAssocID="{12714FC6-8B41-47E5-91DD-F02D34D23B93}" presName="rootConnector" presStyleCnt="0"/>
      <dgm:spPr/>
    </dgm:pt>
    <dgm:pt modelId="{FA37AA5D-87C2-47F6-9B72-B753C073E744}" type="pres">
      <dgm:prSet presAssocID="{12714FC6-8B41-47E5-91DD-F02D34D23B93}" presName="hierChild4" presStyleCnt="0"/>
      <dgm:spPr/>
    </dgm:pt>
    <dgm:pt modelId="{A7309641-2A58-41EA-9E42-56812CF298ED}" type="pres">
      <dgm:prSet presAssocID="{12714FC6-8B41-47E5-91DD-F02D34D23B93}" presName="hierChild5" presStyleCnt="0"/>
      <dgm:spPr/>
    </dgm:pt>
    <dgm:pt modelId="{3A77E92C-66E2-454F-90AC-5AD285A0A544}" type="pres">
      <dgm:prSet presAssocID="{8D5FB264-0A5C-4C3A-85B7-453D9BD837DF}" presName="Name35" presStyleLbl="parChTrans1D2" presStyleIdx="2" presStyleCnt="5"/>
      <dgm:spPr/>
    </dgm:pt>
    <dgm:pt modelId="{C6F584B9-7EA2-46D8-913B-8F508509ECAB}" type="pres">
      <dgm:prSet presAssocID="{4EC42421-831D-4CD3-8215-2AF4300F9C01}" presName="hierRoot2" presStyleCnt="0">
        <dgm:presLayoutVars>
          <dgm:hierBranch val="init"/>
        </dgm:presLayoutVars>
      </dgm:prSet>
      <dgm:spPr/>
    </dgm:pt>
    <dgm:pt modelId="{6CAD9CE6-86A1-4F7D-98A6-3AF53F55F9E3}" type="pres">
      <dgm:prSet presAssocID="{4EC42421-831D-4CD3-8215-2AF4300F9C01}" presName="rootComposite" presStyleCnt="0"/>
      <dgm:spPr/>
    </dgm:pt>
    <dgm:pt modelId="{08A0D1D2-3A20-4D63-8E35-B7C8B6B16D48}" type="pres">
      <dgm:prSet presAssocID="{4EC42421-831D-4CD3-8215-2AF4300F9C01}" presName="rootText" presStyleLbl="node2" presStyleIdx="2" presStyleCnt="4">
        <dgm:presLayoutVars>
          <dgm:chPref val="3"/>
        </dgm:presLayoutVars>
      </dgm:prSet>
      <dgm:spPr/>
    </dgm:pt>
    <dgm:pt modelId="{6238C53E-A961-488B-8FBD-6EC13507B069}" type="pres">
      <dgm:prSet presAssocID="{4EC42421-831D-4CD3-8215-2AF4300F9C01}" presName="rootConnector" presStyleCnt="0"/>
      <dgm:spPr/>
    </dgm:pt>
    <dgm:pt modelId="{A9C46FD3-3BE9-4E6E-BFF6-B0B42B13F857}" type="pres">
      <dgm:prSet presAssocID="{4EC42421-831D-4CD3-8215-2AF4300F9C01}" presName="hierChild4" presStyleCnt="0"/>
      <dgm:spPr/>
    </dgm:pt>
    <dgm:pt modelId="{A663BBFB-A120-4F5B-82EC-DB644DB9966B}" type="pres">
      <dgm:prSet presAssocID="{4EC42421-831D-4CD3-8215-2AF4300F9C01}" presName="hierChild5" presStyleCnt="0"/>
      <dgm:spPr/>
    </dgm:pt>
    <dgm:pt modelId="{F3D4EB3C-9448-468E-B95A-1723E25F77A4}" type="pres">
      <dgm:prSet presAssocID="{CCF68ADE-40B6-47D0-93C1-88EC13ADC8AC}" presName="Name35" presStyleLbl="parChTrans1D2" presStyleIdx="3" presStyleCnt="5"/>
      <dgm:spPr/>
    </dgm:pt>
    <dgm:pt modelId="{1A917F9A-DDE6-4568-B35C-7FABCEF0A586}" type="pres">
      <dgm:prSet presAssocID="{CF717C8A-B40B-4AFF-BF49-65ABB7DF8190}" presName="hierRoot2" presStyleCnt="0">
        <dgm:presLayoutVars>
          <dgm:hierBranch val="init"/>
        </dgm:presLayoutVars>
      </dgm:prSet>
      <dgm:spPr/>
    </dgm:pt>
    <dgm:pt modelId="{FA949B67-3DB7-47FA-97C9-4A653E762F22}" type="pres">
      <dgm:prSet presAssocID="{CF717C8A-B40B-4AFF-BF49-65ABB7DF8190}" presName="rootComposite" presStyleCnt="0"/>
      <dgm:spPr/>
    </dgm:pt>
    <dgm:pt modelId="{7D64F4A3-0E55-47AC-A59B-9D5A9DC25552}" type="pres">
      <dgm:prSet presAssocID="{CF717C8A-B40B-4AFF-BF49-65ABB7DF8190}" presName="rootText" presStyleLbl="node2" presStyleIdx="3" presStyleCnt="4">
        <dgm:presLayoutVars>
          <dgm:chPref val="3"/>
        </dgm:presLayoutVars>
      </dgm:prSet>
      <dgm:spPr/>
    </dgm:pt>
    <dgm:pt modelId="{5667CB49-EC34-46BC-AD2D-72F3BD95D049}" type="pres">
      <dgm:prSet presAssocID="{CF717C8A-B40B-4AFF-BF49-65ABB7DF8190}" presName="rootConnector" presStyleCnt="0"/>
      <dgm:spPr/>
    </dgm:pt>
    <dgm:pt modelId="{EB3A10DA-2FA4-4DAD-8341-8078D7F83716}" type="pres">
      <dgm:prSet presAssocID="{CF717C8A-B40B-4AFF-BF49-65ABB7DF8190}" presName="hierChild4" presStyleCnt="0"/>
      <dgm:spPr/>
    </dgm:pt>
    <dgm:pt modelId="{B05C5608-85C8-433E-A928-1755312B673B}" type="pres">
      <dgm:prSet presAssocID="{CF717C8A-B40B-4AFF-BF49-65ABB7DF8190}" presName="hierChild5" presStyleCnt="0"/>
      <dgm:spPr/>
    </dgm:pt>
    <dgm:pt modelId="{0E819307-1B4E-434E-BA76-D5A4192B0663}" type="pres">
      <dgm:prSet presAssocID="{47C757F0-AA23-46BE-9311-EA432CDEEAA1}" presName="hierChild3" presStyleCnt="0"/>
      <dgm:spPr/>
    </dgm:pt>
    <dgm:pt modelId="{7CC60CE2-51D0-47DE-A469-FE4884597341}" type="pres">
      <dgm:prSet presAssocID="{4294CB15-5EAF-442A-BADC-24588A60ECFF}" presName="Name111" presStyleLbl="parChTrans1D2" presStyleIdx="4" presStyleCnt="5"/>
      <dgm:spPr/>
    </dgm:pt>
    <dgm:pt modelId="{2C28615C-654F-4C05-9383-C72EAED46321}" type="pres">
      <dgm:prSet presAssocID="{B29BF47F-FB6F-4BB3-8B1F-25C507DDACF5}" presName="hierRoot3" presStyleCnt="0">
        <dgm:presLayoutVars>
          <dgm:hierBranch val="init"/>
        </dgm:presLayoutVars>
      </dgm:prSet>
      <dgm:spPr/>
    </dgm:pt>
    <dgm:pt modelId="{531B400A-09FB-4AC6-91D5-6C58DB555D6A}" type="pres">
      <dgm:prSet presAssocID="{B29BF47F-FB6F-4BB3-8B1F-25C507DDACF5}" presName="rootComposite3" presStyleCnt="0"/>
      <dgm:spPr/>
    </dgm:pt>
    <dgm:pt modelId="{15F46F7C-8483-49B2-9069-BD47518FA3C5}" type="pres">
      <dgm:prSet presAssocID="{B29BF47F-FB6F-4BB3-8B1F-25C507DDACF5}" presName="rootText3" presStyleLbl="asst1" presStyleIdx="0" presStyleCnt="1">
        <dgm:presLayoutVars>
          <dgm:chPref val="3"/>
        </dgm:presLayoutVars>
      </dgm:prSet>
      <dgm:spPr/>
    </dgm:pt>
    <dgm:pt modelId="{84CA6990-2D5D-47C3-9020-DF2944DEADCF}" type="pres">
      <dgm:prSet presAssocID="{B29BF47F-FB6F-4BB3-8B1F-25C507DDACF5}" presName="rootConnector3" presStyleCnt="0"/>
      <dgm:spPr/>
    </dgm:pt>
    <dgm:pt modelId="{0851F80F-8C6D-4400-A85F-BC390C21E4EE}" type="pres">
      <dgm:prSet presAssocID="{B29BF47F-FB6F-4BB3-8B1F-25C507DDACF5}" presName="hierChild6" presStyleCnt="0"/>
      <dgm:spPr/>
    </dgm:pt>
    <dgm:pt modelId="{3025C0A7-DA6F-4394-8167-7956EFF162F0}" type="pres">
      <dgm:prSet presAssocID="{B29BF47F-FB6F-4BB3-8B1F-25C507DDACF5}" presName="hierChild7" presStyleCnt="0"/>
      <dgm:spPr/>
    </dgm:pt>
  </dgm:ptLst>
  <dgm:cxnLst>
    <dgm:cxn modelId="{91E78E5B-8061-45D3-A837-1E474C83919F}" srcId="{A77D31B3-3808-4FBA-8FA4-CC8D448A173E}" destId="{47C757F0-AA23-46BE-9311-EA432CDEEAA1}" srcOrd="0" destOrd="0" parTransId="{AB39B06D-FE6C-48B2-B5B4-77CD0C8CF7AD}" sibTransId="{DF0D1C21-B79E-4875-B7FA-EF183CB48B88}"/>
    <dgm:cxn modelId="{69367F77-51E6-49F2-96DD-2D08562739DE}" srcId="{47C757F0-AA23-46BE-9311-EA432CDEEAA1}" destId="{B29BF47F-FB6F-4BB3-8B1F-25C507DDACF5}" srcOrd="0" destOrd="0" parTransId="{4294CB15-5EAF-442A-BADC-24588A60ECFF}" sibTransId="{4FBEC948-3FA9-4375-B83A-B44348E5F34D}"/>
    <dgm:cxn modelId="{991586CF-BA79-40DB-AD84-81B4BAB5AB59}" srcId="{47C757F0-AA23-46BE-9311-EA432CDEEAA1}" destId="{1347794E-E060-4211-8187-F228FEDF26AD}" srcOrd="1" destOrd="0" parTransId="{B1E227DB-B818-4E96-A261-292C074E1581}" sibTransId="{62152AF4-9F02-4C61-A602-AA4CE7C6FA92}"/>
    <dgm:cxn modelId="{D247AFD0-EC7D-4EA1-8F87-1738BA6E0ECF}" srcId="{47C757F0-AA23-46BE-9311-EA432CDEEAA1}" destId="{12714FC6-8B41-47E5-91DD-F02D34D23B93}" srcOrd="2" destOrd="0" parTransId="{EACD17F5-D793-4A43-B489-D1804D50CFEF}" sibTransId="{FA45D93F-0724-4936-AA45-E6762732A19D}"/>
    <dgm:cxn modelId="{B1ECE342-78F8-4ADA-A4D5-52DD050313AA}" srcId="{47C757F0-AA23-46BE-9311-EA432CDEEAA1}" destId="{4EC42421-831D-4CD3-8215-2AF4300F9C01}" srcOrd="3" destOrd="0" parTransId="{8D5FB264-0A5C-4C3A-85B7-453D9BD837DF}" sibTransId="{A1825131-D805-48C8-BFCE-E45C02E6F5CE}"/>
    <dgm:cxn modelId="{25B0E72A-041B-46DE-8B7D-8701EF9B82E6}" srcId="{47C757F0-AA23-46BE-9311-EA432CDEEAA1}" destId="{CF717C8A-B40B-4AFF-BF49-65ABB7DF8190}" srcOrd="4" destOrd="0" parTransId="{CCF68ADE-40B6-47D0-93C1-88EC13ADC8AC}" sibTransId="{630D3E0B-D1D7-4E1A-8193-515AA5E1866F}"/>
    <dgm:cxn modelId="{41CEF947-515D-44AE-91D8-6262CEDB8530}" type="presOf" srcId="{A77D31B3-3808-4FBA-8FA4-CC8D448A173E}" destId="{E498DC9C-C5AC-4482-A26F-3B99DC5D79F0}" srcOrd="0" destOrd="0" presId="urn:microsoft.com/office/officeart/2005/8/layout/orgChart1"/>
    <dgm:cxn modelId="{700B1457-5B6E-4AC9-941D-F230256F040F}" type="presParOf" srcId="{E498DC9C-C5AC-4482-A26F-3B99DC5D79F0}" destId="{F728C3E8-5128-4BB6-90CC-A86769ECE335}" srcOrd="0" destOrd="0" presId="urn:microsoft.com/office/officeart/2005/8/layout/orgChart1"/>
    <dgm:cxn modelId="{8680C7D8-ECF9-466B-B9CB-B4CDD63FA786}" type="presParOf" srcId="{F728C3E8-5128-4BB6-90CC-A86769ECE335}" destId="{79147750-B6BF-43FD-83A0-7ACDC9B53EFF}" srcOrd="0" destOrd="0" presId="urn:microsoft.com/office/officeart/2005/8/layout/orgChart1"/>
    <dgm:cxn modelId="{FA9B3715-17B4-479C-B175-C59D45F6BD58}" type="presOf" srcId="{47C757F0-AA23-46BE-9311-EA432CDEEAA1}" destId="{79147750-B6BF-43FD-83A0-7ACDC9B53EFF}" srcOrd="0" destOrd="0" presId="urn:microsoft.com/office/officeart/2005/8/layout/orgChart1"/>
    <dgm:cxn modelId="{F676CB2F-59A9-4D21-9A66-2FBCFB87A6C3}" type="presParOf" srcId="{79147750-B6BF-43FD-83A0-7ACDC9B53EFF}" destId="{AE79172D-D441-42BB-84EA-E3D989670DED}" srcOrd="0" destOrd="0" presId="urn:microsoft.com/office/officeart/2005/8/layout/orgChart1"/>
    <dgm:cxn modelId="{34B8095F-B7CF-4602-B23A-B05E67C66397}" type="presOf" srcId="{47C757F0-AA23-46BE-9311-EA432CDEEAA1}" destId="{AE79172D-D441-42BB-84EA-E3D989670DED}" srcOrd="0" destOrd="0" presId="urn:microsoft.com/office/officeart/2005/8/layout/orgChart1"/>
    <dgm:cxn modelId="{7EAE7F88-3614-4C22-957F-31578EAB550C}" type="presParOf" srcId="{79147750-B6BF-43FD-83A0-7ACDC9B53EFF}" destId="{86420519-308D-4A6A-8FEA-6FB2E39BA448}" srcOrd="1" destOrd="0" presId="urn:microsoft.com/office/officeart/2005/8/layout/orgChart1"/>
    <dgm:cxn modelId="{240EFC9C-AD89-4BC0-A6E9-0BAE69CF4581}" type="presOf" srcId="{47C757F0-AA23-46BE-9311-EA432CDEEAA1}" destId="{86420519-308D-4A6A-8FEA-6FB2E39BA448}" srcOrd="0" destOrd="0" presId="urn:microsoft.com/office/officeart/2005/8/layout/orgChart1"/>
    <dgm:cxn modelId="{64E15E99-AF34-407C-8289-C7BD1C449941}" type="presParOf" srcId="{F728C3E8-5128-4BB6-90CC-A86769ECE335}" destId="{9A0FF10C-81C7-47CD-A320-768F2009480B}" srcOrd="1" destOrd="0" presId="urn:microsoft.com/office/officeart/2005/8/layout/orgChart1"/>
    <dgm:cxn modelId="{8334A523-F0CE-40E9-9A2D-1DA0E827B1A8}" type="presParOf" srcId="{9A0FF10C-81C7-47CD-A320-768F2009480B}" destId="{BE212387-883C-4A32-9AAA-B825F8310D95}" srcOrd="0" destOrd="1" presId="urn:microsoft.com/office/officeart/2005/8/layout/orgChart1"/>
    <dgm:cxn modelId="{4E1D791A-4E17-4CD0-BF2D-BE46930A3928}" type="presOf" srcId="{B1E227DB-B818-4E96-A261-292C074E1581}" destId="{BE212387-883C-4A32-9AAA-B825F8310D95}" srcOrd="0" destOrd="0" presId="urn:microsoft.com/office/officeart/2005/8/layout/orgChart1"/>
    <dgm:cxn modelId="{9EFEE1B7-1146-4C0E-810A-AF353A6A7DDC}" type="presParOf" srcId="{9A0FF10C-81C7-47CD-A320-768F2009480B}" destId="{419FE2A5-3815-4940-B7BF-3176A60800D8}" srcOrd="1" destOrd="1" presId="urn:microsoft.com/office/officeart/2005/8/layout/orgChart1"/>
    <dgm:cxn modelId="{DCDB52AB-2869-4290-8A5C-9C035CE80D55}" type="presParOf" srcId="{419FE2A5-3815-4940-B7BF-3176A60800D8}" destId="{2CA4F70C-97ED-40C0-ADD4-8363F3281413}" srcOrd="0" destOrd="1" presId="urn:microsoft.com/office/officeart/2005/8/layout/orgChart1"/>
    <dgm:cxn modelId="{CBD71DB3-87F0-4D2D-81F8-24E75EA38430}" type="presOf" srcId="{1347794E-E060-4211-8187-F228FEDF26AD}" destId="{2CA4F70C-97ED-40C0-ADD4-8363F3281413}" srcOrd="0" destOrd="0" presId="urn:microsoft.com/office/officeart/2005/8/layout/orgChart1"/>
    <dgm:cxn modelId="{8A2C0BE6-1BA2-4C9F-B11D-54FD35E785B7}" type="presParOf" srcId="{2CA4F70C-97ED-40C0-ADD4-8363F3281413}" destId="{BD068BDB-7EDF-4B4A-81DF-E51E350E424A}" srcOrd="0" destOrd="0" presId="urn:microsoft.com/office/officeart/2005/8/layout/orgChart1"/>
    <dgm:cxn modelId="{DBF7E30A-2A2E-44A4-8584-B95C10DDF218}" type="presOf" srcId="{1347794E-E060-4211-8187-F228FEDF26AD}" destId="{BD068BDB-7EDF-4B4A-81DF-E51E350E424A}" srcOrd="0" destOrd="0" presId="urn:microsoft.com/office/officeart/2005/8/layout/orgChart1"/>
    <dgm:cxn modelId="{B62AE712-51C6-4906-95CC-FA1F93B93716}" type="presParOf" srcId="{2CA4F70C-97ED-40C0-ADD4-8363F3281413}" destId="{84C1865B-A145-4489-A300-F68CEF712B10}" srcOrd="1" destOrd="0" presId="urn:microsoft.com/office/officeart/2005/8/layout/orgChart1"/>
    <dgm:cxn modelId="{49627EED-E3D2-4641-93DF-C8757A5D3EDF}" type="presOf" srcId="{1347794E-E060-4211-8187-F228FEDF26AD}" destId="{84C1865B-A145-4489-A300-F68CEF712B10}" srcOrd="0" destOrd="0" presId="urn:microsoft.com/office/officeart/2005/8/layout/orgChart1"/>
    <dgm:cxn modelId="{9492FA99-9658-46FA-8A3B-E24AEC648D69}" type="presParOf" srcId="{419FE2A5-3815-4940-B7BF-3176A60800D8}" destId="{876B2695-6D44-4BB0-8D27-D61A4AE6B15D}" srcOrd="1" destOrd="1" presId="urn:microsoft.com/office/officeart/2005/8/layout/orgChart1"/>
    <dgm:cxn modelId="{C2089B2A-6BDD-48AC-BF1D-0EF5733F6167}" type="presParOf" srcId="{419FE2A5-3815-4940-B7BF-3176A60800D8}" destId="{AA8AB908-11B1-4F2A-A015-6BA48AF53199}" srcOrd="2" destOrd="1" presId="urn:microsoft.com/office/officeart/2005/8/layout/orgChart1"/>
    <dgm:cxn modelId="{81C7036A-DE2C-4DB9-9122-9D41BED03F01}" type="presParOf" srcId="{9A0FF10C-81C7-47CD-A320-768F2009480B}" destId="{B397A50B-9164-4AC6-87D0-7B99DA3FB4D8}" srcOrd="2" destOrd="1" presId="urn:microsoft.com/office/officeart/2005/8/layout/orgChart1"/>
    <dgm:cxn modelId="{72DFE48A-18A8-4E18-B161-9E90377861BF}" type="presOf" srcId="{EACD17F5-D793-4A43-B489-D1804D50CFEF}" destId="{B397A50B-9164-4AC6-87D0-7B99DA3FB4D8}" srcOrd="0" destOrd="0" presId="urn:microsoft.com/office/officeart/2005/8/layout/orgChart1"/>
    <dgm:cxn modelId="{EC48B611-8F4C-4B0A-973E-B23E7CDED23A}" type="presParOf" srcId="{9A0FF10C-81C7-47CD-A320-768F2009480B}" destId="{D6C5C065-A308-417C-8ECC-04FC2BEC646C}" srcOrd="3" destOrd="1" presId="urn:microsoft.com/office/officeart/2005/8/layout/orgChart1"/>
    <dgm:cxn modelId="{4E4333ED-CED2-43BA-A941-F0D5AD2F680C}" type="presParOf" srcId="{D6C5C065-A308-417C-8ECC-04FC2BEC646C}" destId="{E36491EF-5019-46FD-BC82-1BD579B9EE0E}" srcOrd="0" destOrd="3" presId="urn:microsoft.com/office/officeart/2005/8/layout/orgChart1"/>
    <dgm:cxn modelId="{87BA981C-00A0-43CD-B3E5-E60F9A38DCDB}" type="presOf" srcId="{12714FC6-8B41-47E5-91DD-F02D34D23B93}" destId="{E36491EF-5019-46FD-BC82-1BD579B9EE0E}" srcOrd="0" destOrd="0" presId="urn:microsoft.com/office/officeart/2005/8/layout/orgChart1"/>
    <dgm:cxn modelId="{57669AC5-76BE-4634-B4DA-DC447F8565D4}" type="presParOf" srcId="{E36491EF-5019-46FD-BC82-1BD579B9EE0E}" destId="{43B7C837-49D6-40CE-BBAB-953D9E4BA7ED}" srcOrd="0" destOrd="0" presId="urn:microsoft.com/office/officeart/2005/8/layout/orgChart1"/>
    <dgm:cxn modelId="{2D4FF2EF-F5E7-4A84-B37F-37974B3F87AF}" type="presOf" srcId="{12714FC6-8B41-47E5-91DD-F02D34D23B93}" destId="{43B7C837-49D6-40CE-BBAB-953D9E4BA7ED}" srcOrd="0" destOrd="0" presId="urn:microsoft.com/office/officeart/2005/8/layout/orgChart1"/>
    <dgm:cxn modelId="{CFC833AA-F1ED-4CE8-A28D-5C38250F4243}" type="presParOf" srcId="{E36491EF-5019-46FD-BC82-1BD579B9EE0E}" destId="{9A037140-9B69-4B9F-A134-F2F2EB0F2E32}" srcOrd="1" destOrd="0" presId="urn:microsoft.com/office/officeart/2005/8/layout/orgChart1"/>
    <dgm:cxn modelId="{89BDF176-7F00-4CB0-A202-E0722C570319}" type="presOf" srcId="{12714FC6-8B41-47E5-91DD-F02D34D23B93}" destId="{9A037140-9B69-4B9F-A134-F2F2EB0F2E32}" srcOrd="0" destOrd="0" presId="urn:microsoft.com/office/officeart/2005/8/layout/orgChart1"/>
    <dgm:cxn modelId="{4FB8F931-3481-47DD-A380-7AC14DF061EE}" type="presParOf" srcId="{D6C5C065-A308-417C-8ECC-04FC2BEC646C}" destId="{FA37AA5D-87C2-47F6-9B72-B753C073E744}" srcOrd="1" destOrd="3" presId="urn:microsoft.com/office/officeart/2005/8/layout/orgChart1"/>
    <dgm:cxn modelId="{0ECEB82D-7411-49BB-B3AC-5CE7D158890B}" type="presParOf" srcId="{D6C5C065-A308-417C-8ECC-04FC2BEC646C}" destId="{A7309641-2A58-41EA-9E42-56812CF298ED}" srcOrd="2" destOrd="3" presId="urn:microsoft.com/office/officeart/2005/8/layout/orgChart1"/>
    <dgm:cxn modelId="{4A46C212-7C05-49D3-A4DC-924B698E65AB}" type="presParOf" srcId="{9A0FF10C-81C7-47CD-A320-768F2009480B}" destId="{3A77E92C-66E2-454F-90AC-5AD285A0A544}" srcOrd="4" destOrd="1" presId="urn:microsoft.com/office/officeart/2005/8/layout/orgChart1"/>
    <dgm:cxn modelId="{B181D58C-7F4A-4265-9C48-7FE381B685F5}" type="presOf" srcId="{8D5FB264-0A5C-4C3A-85B7-453D9BD837DF}" destId="{3A77E92C-66E2-454F-90AC-5AD285A0A544}" srcOrd="0" destOrd="0" presId="urn:microsoft.com/office/officeart/2005/8/layout/orgChart1"/>
    <dgm:cxn modelId="{BB0E25FF-28A0-498F-BDE2-95FAAA417A60}" type="presParOf" srcId="{9A0FF10C-81C7-47CD-A320-768F2009480B}" destId="{C6F584B9-7EA2-46D8-913B-8F508509ECAB}" srcOrd="5" destOrd="1" presId="urn:microsoft.com/office/officeart/2005/8/layout/orgChart1"/>
    <dgm:cxn modelId="{FFF40872-CFEE-44E1-A795-ED06BD5C87CB}" type="presParOf" srcId="{C6F584B9-7EA2-46D8-913B-8F508509ECAB}" destId="{6CAD9CE6-86A1-4F7D-98A6-3AF53F55F9E3}" srcOrd="0" destOrd="5" presId="urn:microsoft.com/office/officeart/2005/8/layout/orgChart1"/>
    <dgm:cxn modelId="{3DC5309A-803A-486C-A170-57DA2487EC2C}" type="presOf" srcId="{4EC42421-831D-4CD3-8215-2AF4300F9C01}" destId="{6CAD9CE6-86A1-4F7D-98A6-3AF53F55F9E3}" srcOrd="0" destOrd="0" presId="urn:microsoft.com/office/officeart/2005/8/layout/orgChart1"/>
    <dgm:cxn modelId="{EACD9812-444C-4C6F-A946-0F54727373D9}" type="presParOf" srcId="{6CAD9CE6-86A1-4F7D-98A6-3AF53F55F9E3}" destId="{08A0D1D2-3A20-4D63-8E35-B7C8B6B16D48}" srcOrd="0" destOrd="0" presId="urn:microsoft.com/office/officeart/2005/8/layout/orgChart1"/>
    <dgm:cxn modelId="{CA000A05-416F-496A-902A-DCBE66D0B831}" type="presOf" srcId="{4EC42421-831D-4CD3-8215-2AF4300F9C01}" destId="{08A0D1D2-3A20-4D63-8E35-B7C8B6B16D48}" srcOrd="0" destOrd="0" presId="urn:microsoft.com/office/officeart/2005/8/layout/orgChart1"/>
    <dgm:cxn modelId="{BBE6EE18-8F3B-4485-895C-43FFFBA152F4}" type="presParOf" srcId="{6CAD9CE6-86A1-4F7D-98A6-3AF53F55F9E3}" destId="{6238C53E-A961-488B-8FBD-6EC13507B069}" srcOrd="1" destOrd="0" presId="urn:microsoft.com/office/officeart/2005/8/layout/orgChart1"/>
    <dgm:cxn modelId="{BE200123-3120-4E1C-ABE9-816C0A0751EE}" type="presOf" srcId="{4EC42421-831D-4CD3-8215-2AF4300F9C01}" destId="{6238C53E-A961-488B-8FBD-6EC13507B069}" srcOrd="0" destOrd="0" presId="urn:microsoft.com/office/officeart/2005/8/layout/orgChart1"/>
    <dgm:cxn modelId="{E91A0AE5-EEC9-498D-86CC-7DE0DCC3E6DA}" type="presParOf" srcId="{C6F584B9-7EA2-46D8-913B-8F508509ECAB}" destId="{A9C46FD3-3BE9-4E6E-BFF6-B0B42B13F857}" srcOrd="1" destOrd="5" presId="urn:microsoft.com/office/officeart/2005/8/layout/orgChart1"/>
    <dgm:cxn modelId="{E00A44F3-673F-4C8E-9ED1-A650315CB1D0}" type="presParOf" srcId="{C6F584B9-7EA2-46D8-913B-8F508509ECAB}" destId="{A663BBFB-A120-4F5B-82EC-DB644DB9966B}" srcOrd="2" destOrd="5" presId="urn:microsoft.com/office/officeart/2005/8/layout/orgChart1"/>
    <dgm:cxn modelId="{FDA2A4A8-61B4-43AC-A760-23DAB481E53F}" type="presParOf" srcId="{9A0FF10C-81C7-47CD-A320-768F2009480B}" destId="{F3D4EB3C-9448-468E-B95A-1723E25F77A4}" srcOrd="6" destOrd="1" presId="urn:microsoft.com/office/officeart/2005/8/layout/orgChart1"/>
    <dgm:cxn modelId="{EA41F164-E794-4B08-B225-B73E3A9D20D8}" type="presOf" srcId="{CCF68ADE-40B6-47D0-93C1-88EC13ADC8AC}" destId="{F3D4EB3C-9448-468E-B95A-1723E25F77A4}" srcOrd="0" destOrd="0" presId="urn:microsoft.com/office/officeart/2005/8/layout/orgChart1"/>
    <dgm:cxn modelId="{DD6E0FA0-1E79-48CE-A4E7-469C4B656E53}" type="presParOf" srcId="{9A0FF10C-81C7-47CD-A320-768F2009480B}" destId="{1A917F9A-DDE6-4568-B35C-7FABCEF0A586}" srcOrd="7" destOrd="1" presId="urn:microsoft.com/office/officeart/2005/8/layout/orgChart1"/>
    <dgm:cxn modelId="{9CFCD02F-BF30-4250-BB3A-FB41124FD288}" type="presParOf" srcId="{1A917F9A-DDE6-4568-B35C-7FABCEF0A586}" destId="{FA949B67-3DB7-47FA-97C9-4A653E762F22}" srcOrd="0" destOrd="7" presId="urn:microsoft.com/office/officeart/2005/8/layout/orgChart1"/>
    <dgm:cxn modelId="{A4C0593B-A5A2-4580-BCC9-C2983A3E9C19}" type="presOf" srcId="{CF717C8A-B40B-4AFF-BF49-65ABB7DF8190}" destId="{FA949B67-3DB7-47FA-97C9-4A653E762F22}" srcOrd="0" destOrd="0" presId="urn:microsoft.com/office/officeart/2005/8/layout/orgChart1"/>
    <dgm:cxn modelId="{E5025D6D-864C-42F6-A2CD-6831C729574A}" type="presParOf" srcId="{FA949B67-3DB7-47FA-97C9-4A653E762F22}" destId="{7D64F4A3-0E55-47AC-A59B-9D5A9DC25552}" srcOrd="0" destOrd="0" presId="urn:microsoft.com/office/officeart/2005/8/layout/orgChart1"/>
    <dgm:cxn modelId="{EE6E3E39-1940-4110-80C9-DE64098B749E}" type="presOf" srcId="{CF717C8A-B40B-4AFF-BF49-65ABB7DF8190}" destId="{7D64F4A3-0E55-47AC-A59B-9D5A9DC25552}" srcOrd="0" destOrd="0" presId="urn:microsoft.com/office/officeart/2005/8/layout/orgChart1"/>
    <dgm:cxn modelId="{BE676802-F6E6-43DB-A246-76F879BF8E34}" type="presParOf" srcId="{FA949B67-3DB7-47FA-97C9-4A653E762F22}" destId="{5667CB49-EC34-46BC-AD2D-72F3BD95D049}" srcOrd="1" destOrd="0" presId="urn:microsoft.com/office/officeart/2005/8/layout/orgChart1"/>
    <dgm:cxn modelId="{E1EA5DD4-54F0-4433-8F6D-30AAEE364344}" type="presOf" srcId="{CF717C8A-B40B-4AFF-BF49-65ABB7DF8190}" destId="{5667CB49-EC34-46BC-AD2D-72F3BD95D049}" srcOrd="0" destOrd="0" presId="urn:microsoft.com/office/officeart/2005/8/layout/orgChart1"/>
    <dgm:cxn modelId="{15CEE0C5-E46F-4B8C-ADDC-9D0FC7B1FB9E}" type="presParOf" srcId="{1A917F9A-DDE6-4568-B35C-7FABCEF0A586}" destId="{EB3A10DA-2FA4-4DAD-8341-8078D7F83716}" srcOrd="1" destOrd="7" presId="urn:microsoft.com/office/officeart/2005/8/layout/orgChart1"/>
    <dgm:cxn modelId="{09B5A915-D10A-44DC-982F-9343E8FAEF44}" type="presParOf" srcId="{1A917F9A-DDE6-4568-B35C-7FABCEF0A586}" destId="{B05C5608-85C8-433E-A928-1755312B673B}" srcOrd="2" destOrd="7" presId="urn:microsoft.com/office/officeart/2005/8/layout/orgChart1"/>
    <dgm:cxn modelId="{A6832974-7BB7-42DF-BE3A-32D9ED03C0EB}" type="presParOf" srcId="{F728C3E8-5128-4BB6-90CC-A86769ECE335}" destId="{0E819307-1B4E-434E-BA76-D5A4192B0663}" srcOrd="2" destOrd="0" presId="urn:microsoft.com/office/officeart/2005/8/layout/orgChart1"/>
    <dgm:cxn modelId="{C9387EBA-30F4-4B94-9C09-FB2F8AB8EBCF}" type="presParOf" srcId="{0E819307-1B4E-434E-BA76-D5A4192B0663}" destId="{7CC60CE2-51D0-47DE-A469-FE4884597341}" srcOrd="0" destOrd="2" presId="urn:microsoft.com/office/officeart/2005/8/layout/orgChart1"/>
    <dgm:cxn modelId="{6C5E7F60-7F81-4C65-96DA-EA43B5A01941}" type="presOf" srcId="{4294CB15-5EAF-442A-BADC-24588A60ECFF}" destId="{7CC60CE2-51D0-47DE-A469-FE4884597341}" srcOrd="0" destOrd="0" presId="urn:microsoft.com/office/officeart/2005/8/layout/orgChart1"/>
    <dgm:cxn modelId="{BD53CEF6-0A13-4096-805A-F54B5E130F7B}" type="presParOf" srcId="{0E819307-1B4E-434E-BA76-D5A4192B0663}" destId="{2C28615C-654F-4C05-9383-C72EAED46321}" srcOrd="1" destOrd="2" presId="urn:microsoft.com/office/officeart/2005/8/layout/orgChart1"/>
    <dgm:cxn modelId="{C6DE0CC0-D9E8-4450-84F5-646D492B5D9F}" type="presParOf" srcId="{2C28615C-654F-4C05-9383-C72EAED46321}" destId="{531B400A-09FB-4AC6-91D5-6C58DB555D6A}" srcOrd="0" destOrd="1" presId="urn:microsoft.com/office/officeart/2005/8/layout/orgChart1"/>
    <dgm:cxn modelId="{1A148AFB-F54C-4068-B9F5-6C0EF2EF50E1}" type="presOf" srcId="{B29BF47F-FB6F-4BB3-8B1F-25C507DDACF5}" destId="{531B400A-09FB-4AC6-91D5-6C58DB555D6A}" srcOrd="0" destOrd="0" presId="urn:microsoft.com/office/officeart/2005/8/layout/orgChart1"/>
    <dgm:cxn modelId="{07755C30-55AD-4C9D-B4E4-F0B298C8EC55}" type="presParOf" srcId="{531B400A-09FB-4AC6-91D5-6C58DB555D6A}" destId="{15F46F7C-8483-49B2-9069-BD47518FA3C5}" srcOrd="0" destOrd="0" presId="urn:microsoft.com/office/officeart/2005/8/layout/orgChart1"/>
    <dgm:cxn modelId="{4DE50F97-E927-4B40-9F0E-B44E1EA8DC45}" type="presOf" srcId="{B29BF47F-FB6F-4BB3-8B1F-25C507DDACF5}" destId="{15F46F7C-8483-49B2-9069-BD47518FA3C5}" srcOrd="0" destOrd="0" presId="urn:microsoft.com/office/officeart/2005/8/layout/orgChart1"/>
    <dgm:cxn modelId="{12AFFA5B-E4D6-4584-8C61-D66E5031FC69}" type="presParOf" srcId="{531B400A-09FB-4AC6-91D5-6C58DB555D6A}" destId="{84CA6990-2D5D-47C3-9020-DF2944DEADCF}" srcOrd="1" destOrd="0" presId="urn:microsoft.com/office/officeart/2005/8/layout/orgChart1"/>
    <dgm:cxn modelId="{3C57C675-7D69-4887-A126-89B6D12B900C}" type="presOf" srcId="{B29BF47F-FB6F-4BB3-8B1F-25C507DDACF5}" destId="{84CA6990-2D5D-47C3-9020-DF2944DEADCF}" srcOrd="0" destOrd="0" presId="urn:microsoft.com/office/officeart/2005/8/layout/orgChart1"/>
    <dgm:cxn modelId="{2C880395-2EBC-446B-BE38-534142DC75AE}" type="presParOf" srcId="{2C28615C-654F-4C05-9383-C72EAED46321}" destId="{0851F80F-8C6D-4400-A85F-BC390C21E4EE}" srcOrd="1" destOrd="1" presId="urn:microsoft.com/office/officeart/2005/8/layout/orgChart1"/>
    <dgm:cxn modelId="{58496D6F-CFAE-4824-8059-C6F3AB4863AE}" type="presParOf" srcId="{2C28615C-654F-4C05-9383-C72EAED46321}" destId="{3025C0A7-DA6F-4394-8167-7956EFF162F0}" srcOrd="2" destOrd="1" presId="urn:microsoft.com/office/officeart/2005/8/layout/orgChart1"/>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68C167-2C01-4B0B-81C4-726248B418D0}" type="doc">
      <dgm:prSet loTypeId="urn:microsoft.com/office/officeart/2005/8/layout/radial4" loCatId="relationship" qsTypeId="urn:microsoft.com/office/officeart/2005/8/quickstyle/simple5" qsCatId="simple" csTypeId="urn:microsoft.com/office/officeart/2005/8/colors/accent2_1" csCatId="accent1" phldr="0"/>
      <dgm:spPr/>
      <dgm:t>
        <a:bodyPr/>
        <a:p>
          <a:endParaRPr lang="en-US"/>
        </a:p>
      </dgm:t>
    </dgm:pt>
    <dgm:pt modelId="{1D7F6E08-72A6-46CC-8870-C881D1493500}">
      <dgm:prSet phldrT="[Text]" phldr="0" custT="0"/>
      <dgm:spPr/>
      <dgm:t>
        <a:bodyPr vert="horz" wrap="square"/>
        <a:p>
          <a:pPr>
            <a:lnSpc>
              <a:spcPct val="100000"/>
            </a:lnSpc>
            <a:spcBef>
              <a:spcPct val="0"/>
            </a:spcBef>
            <a:spcAft>
              <a:spcPct val="35000"/>
            </a:spcAft>
          </a:pPr>
          <a:r>
            <a:rPr lang="en-US"/>
            <a:t>Principles of Circular Economy</a:t>
          </a:r>
          <a:r>
            <a:rPr lang="en-US"/>
            <a:t/>
          </a:r>
          <a:endParaRPr lang="en-US"/>
        </a:p>
      </dgm:t>
    </dgm:pt>
    <dgm:pt modelId="{59A2FE02-4165-4339-BF9A-AEAE1424E52B}" cxnId="{C8152FA4-831A-418B-8424-73972141D882}" type="parTrans">
      <dgm:prSet/>
      <dgm:spPr/>
      <dgm:t>
        <a:bodyPr/>
        <a:p>
          <a:endParaRPr lang="en-US"/>
        </a:p>
      </dgm:t>
    </dgm:pt>
    <dgm:pt modelId="{E44612D1-CAFE-4D30-B4AA-78C3474158AA}" cxnId="{C8152FA4-831A-418B-8424-73972141D882}" type="sibTrans">
      <dgm:prSet/>
      <dgm:spPr/>
      <dgm:t>
        <a:bodyPr/>
        <a:p>
          <a:endParaRPr lang="en-US"/>
        </a:p>
      </dgm:t>
    </dgm:pt>
    <dgm:pt modelId="{D15727BE-4BB4-41E2-BFCD-1CE00CE9A014}">
      <dgm:prSet phldrT="[Text]" phldr="0" custT="0"/>
      <dgm:spPr/>
      <dgm:t>
        <a:bodyPr vert="horz" wrap="square"/>
        <a:p>
          <a:pPr>
            <a:lnSpc>
              <a:spcPct val="100000"/>
            </a:lnSpc>
            <a:spcBef>
              <a:spcPct val="0"/>
            </a:spcBef>
            <a:spcAft>
              <a:spcPct val="35000"/>
            </a:spcAft>
          </a:pPr>
          <a:r>
            <a:rPr lang="en-US"/>
            <a:t>Eliminate waste and pollution</a:t>
          </a:r>
          <a:r>
            <a:rPr lang="en-US"/>
            <a:t/>
          </a:r>
          <a:endParaRPr lang="en-US"/>
        </a:p>
      </dgm:t>
    </dgm:pt>
    <dgm:pt modelId="{1F3BA15B-B772-426D-8549-F05D47B0B0FC}" cxnId="{3DF7F001-97C2-4830-855E-B801636E1856}" type="parTrans">
      <dgm:prSet/>
      <dgm:spPr/>
      <dgm:t>
        <a:bodyPr/>
        <a:p>
          <a:endParaRPr lang="en-US"/>
        </a:p>
      </dgm:t>
    </dgm:pt>
    <dgm:pt modelId="{021F6AB3-21C2-4079-A40A-CA1B5C51BD93}" cxnId="{3DF7F001-97C2-4830-855E-B801636E1856}" type="sibTrans">
      <dgm:prSet/>
      <dgm:spPr/>
      <dgm:t>
        <a:bodyPr/>
        <a:p>
          <a:endParaRPr lang="en-US"/>
        </a:p>
      </dgm:t>
    </dgm:pt>
    <dgm:pt modelId="{24DAAE02-02E7-4412-8074-A0C4CAA380D7}">
      <dgm:prSet phldrT="[Text]" phldr="0" custT="0"/>
      <dgm:spPr/>
      <dgm:t>
        <a:bodyPr vert="horz" wrap="square"/>
        <a:p>
          <a:pPr>
            <a:lnSpc>
              <a:spcPct val="100000"/>
            </a:lnSpc>
            <a:spcBef>
              <a:spcPct val="0"/>
            </a:spcBef>
            <a:spcAft>
              <a:spcPct val="35000"/>
            </a:spcAft>
          </a:pPr>
          <a:r>
            <a:rPr lang="en-US"/>
            <a:t>Circulate products and materials</a:t>
          </a:r>
          <a:endParaRPr lang="en-US"/>
        </a:p>
      </dgm:t>
    </dgm:pt>
    <dgm:pt modelId="{A85E77B5-A1A5-43C8-9868-413E99F101A0}" cxnId="{5B0A467B-E5B3-4F62-9EEF-5892EFF8AEDE}" type="parTrans">
      <dgm:prSet/>
      <dgm:spPr/>
      <dgm:t>
        <a:bodyPr/>
        <a:p>
          <a:endParaRPr lang="en-US"/>
        </a:p>
      </dgm:t>
    </dgm:pt>
    <dgm:pt modelId="{E253A3F8-AA58-4BB8-A0BD-0BB7ECC546C3}" cxnId="{5B0A467B-E5B3-4F62-9EEF-5892EFF8AEDE}" type="sibTrans">
      <dgm:prSet/>
      <dgm:spPr/>
      <dgm:t>
        <a:bodyPr/>
        <a:p>
          <a:endParaRPr lang="en-US"/>
        </a:p>
      </dgm:t>
    </dgm:pt>
    <dgm:pt modelId="{A5880797-7454-4E44-8518-F4D8354F0963}">
      <dgm:prSet phldrT="[Text]" phldr="0" custT="0"/>
      <dgm:spPr/>
      <dgm:t>
        <a:bodyPr vert="horz" wrap="square"/>
        <a:p>
          <a:pPr>
            <a:lnSpc>
              <a:spcPct val="100000"/>
            </a:lnSpc>
            <a:spcBef>
              <a:spcPct val="0"/>
            </a:spcBef>
            <a:spcAft>
              <a:spcPct val="35000"/>
            </a:spcAft>
          </a:pPr>
          <a:r>
            <a:rPr lang="en-US"/>
            <a:t>Regenerate nature </a:t>
          </a:r>
          <a:r>
            <a:rPr lang="en-US"/>
            <a:t/>
          </a:r>
          <a:endParaRPr lang="en-US"/>
        </a:p>
      </dgm:t>
    </dgm:pt>
    <dgm:pt modelId="{96CD46E7-D239-40C7-B5C4-376FEEE43C15}" cxnId="{5FFF81E4-A316-476F-826B-C601D15144A3}" type="parTrans">
      <dgm:prSet/>
      <dgm:spPr/>
      <dgm:t>
        <a:bodyPr/>
        <a:p>
          <a:endParaRPr lang="en-US"/>
        </a:p>
      </dgm:t>
    </dgm:pt>
    <dgm:pt modelId="{0076998F-56E1-4A10-A709-E2811BD7C4FB}" cxnId="{5FFF81E4-A316-476F-826B-C601D15144A3}" type="sibTrans">
      <dgm:prSet/>
      <dgm:spPr/>
      <dgm:t>
        <a:bodyPr/>
        <a:p>
          <a:endParaRPr lang="en-US"/>
        </a:p>
      </dgm:t>
    </dgm:pt>
    <dgm:pt modelId="{CF42B0CB-CDDD-42A1-B3A1-FBB34F262C63}" type="pres">
      <dgm:prSet presAssocID="{6068C167-2C01-4B0B-81C4-726248B418D0}" presName="cycle" presStyleCnt="0">
        <dgm:presLayoutVars>
          <dgm:chMax val="1"/>
          <dgm:dir/>
          <dgm:animLvl val="ctr"/>
          <dgm:resizeHandles val="exact"/>
        </dgm:presLayoutVars>
      </dgm:prSet>
      <dgm:spPr/>
    </dgm:pt>
    <dgm:pt modelId="{B52502C2-594A-4A13-A5FF-5CD5841BD847}" type="pres">
      <dgm:prSet presAssocID="{1D7F6E08-72A6-46CC-8870-C881D1493500}" presName="centerShape" presStyleLbl="node0" presStyleIdx="0" presStyleCnt="1"/>
      <dgm:spPr/>
    </dgm:pt>
    <dgm:pt modelId="{B849A6F3-9933-4C36-AF65-6098308CBC3C}" type="pres">
      <dgm:prSet presAssocID="{1F3BA15B-B772-426D-8549-F05D47B0B0FC}" presName="parTrans" presStyleLbl="bgSibTrans2D1" presStyleIdx="0" presStyleCnt="3"/>
      <dgm:spPr/>
    </dgm:pt>
    <dgm:pt modelId="{B1756079-1332-4090-9A47-D2C0EDB7FB22}" type="pres">
      <dgm:prSet presAssocID="{D15727BE-4BB4-41E2-BFCD-1CE00CE9A014}" presName="node" presStyleLbl="node1" presStyleIdx="0" presStyleCnt="3">
        <dgm:presLayoutVars>
          <dgm:bulletEnabled val="1"/>
        </dgm:presLayoutVars>
      </dgm:prSet>
      <dgm:spPr/>
    </dgm:pt>
    <dgm:pt modelId="{8A478794-BDE0-4AD6-9479-89CDBFC37EB7}" type="pres">
      <dgm:prSet presAssocID="{A85E77B5-A1A5-43C8-9868-413E99F101A0}" presName="parTrans" presStyleLbl="bgSibTrans2D1" presStyleIdx="1" presStyleCnt="3"/>
      <dgm:spPr/>
    </dgm:pt>
    <dgm:pt modelId="{3868CDED-247C-4EE9-95A2-ED400A267946}" type="pres">
      <dgm:prSet presAssocID="{24DAAE02-02E7-4412-8074-A0C4CAA380D7}" presName="node" presStyleLbl="node1" presStyleIdx="1" presStyleCnt="3">
        <dgm:presLayoutVars>
          <dgm:bulletEnabled val="1"/>
        </dgm:presLayoutVars>
      </dgm:prSet>
      <dgm:spPr/>
    </dgm:pt>
    <dgm:pt modelId="{D0718308-59AC-43E6-A882-4828EE4494C2}" type="pres">
      <dgm:prSet presAssocID="{96CD46E7-D239-40C7-B5C4-376FEEE43C15}" presName="parTrans" presStyleLbl="bgSibTrans2D1" presStyleIdx="2" presStyleCnt="3"/>
      <dgm:spPr/>
    </dgm:pt>
    <dgm:pt modelId="{5E0D0BC9-3E91-4623-8C1A-C4A70EB3594B}" type="pres">
      <dgm:prSet presAssocID="{A5880797-7454-4E44-8518-F4D8354F0963}" presName="node" presStyleLbl="node1" presStyleIdx="2" presStyleCnt="3">
        <dgm:presLayoutVars>
          <dgm:bulletEnabled val="1"/>
        </dgm:presLayoutVars>
      </dgm:prSet>
      <dgm:spPr/>
    </dgm:pt>
  </dgm:ptLst>
  <dgm:cxnLst>
    <dgm:cxn modelId="{C8152FA4-831A-418B-8424-73972141D882}" srcId="{6068C167-2C01-4B0B-81C4-726248B418D0}" destId="{1D7F6E08-72A6-46CC-8870-C881D1493500}" srcOrd="0" destOrd="0" parTransId="{59A2FE02-4165-4339-BF9A-AEAE1424E52B}" sibTransId="{E44612D1-CAFE-4D30-B4AA-78C3474158AA}"/>
    <dgm:cxn modelId="{3DF7F001-97C2-4830-855E-B801636E1856}" srcId="{1D7F6E08-72A6-46CC-8870-C881D1493500}" destId="{D15727BE-4BB4-41E2-BFCD-1CE00CE9A014}" srcOrd="0" destOrd="0" parTransId="{1F3BA15B-B772-426D-8549-F05D47B0B0FC}" sibTransId="{021F6AB3-21C2-4079-A40A-CA1B5C51BD93}"/>
    <dgm:cxn modelId="{5B0A467B-E5B3-4F62-9EEF-5892EFF8AEDE}" srcId="{1D7F6E08-72A6-46CC-8870-C881D1493500}" destId="{24DAAE02-02E7-4412-8074-A0C4CAA380D7}" srcOrd="1" destOrd="0" parTransId="{A85E77B5-A1A5-43C8-9868-413E99F101A0}" sibTransId="{E253A3F8-AA58-4BB8-A0BD-0BB7ECC546C3}"/>
    <dgm:cxn modelId="{5FFF81E4-A316-476F-826B-C601D15144A3}" srcId="{1D7F6E08-72A6-46CC-8870-C881D1493500}" destId="{A5880797-7454-4E44-8518-F4D8354F0963}" srcOrd="2" destOrd="0" parTransId="{96CD46E7-D239-40C7-B5C4-376FEEE43C15}" sibTransId="{0076998F-56E1-4A10-A709-E2811BD7C4FB}"/>
    <dgm:cxn modelId="{43B0CB34-1F77-4C6B-A80B-BD73598F14A3}" type="presOf" srcId="{6068C167-2C01-4B0B-81C4-726248B418D0}" destId="{CF42B0CB-CDDD-42A1-B3A1-FBB34F262C63}" srcOrd="0" destOrd="0" presId="urn:microsoft.com/office/officeart/2005/8/layout/radial4"/>
    <dgm:cxn modelId="{2321A255-C07D-4347-9DDE-D4B215C17065}" type="presParOf" srcId="{CF42B0CB-CDDD-42A1-B3A1-FBB34F262C63}" destId="{B52502C2-594A-4A13-A5FF-5CD5841BD847}" srcOrd="0" destOrd="0" presId="urn:microsoft.com/office/officeart/2005/8/layout/radial4"/>
    <dgm:cxn modelId="{8608C490-EBB9-4B3A-8B73-2AC103A776F2}" type="presOf" srcId="{1D7F6E08-72A6-46CC-8870-C881D1493500}" destId="{B52502C2-594A-4A13-A5FF-5CD5841BD847}" srcOrd="0" destOrd="0" presId="urn:microsoft.com/office/officeart/2005/8/layout/radial4"/>
    <dgm:cxn modelId="{6A972D3D-C1DA-4E71-8DE3-46B26885BE6D}" type="presParOf" srcId="{CF42B0CB-CDDD-42A1-B3A1-FBB34F262C63}" destId="{B849A6F3-9933-4C36-AF65-6098308CBC3C}" srcOrd="1" destOrd="0" presId="urn:microsoft.com/office/officeart/2005/8/layout/radial4"/>
    <dgm:cxn modelId="{28866B1F-9FD3-44FE-BFAA-2317A2433218}" type="presOf" srcId="{1F3BA15B-B772-426D-8549-F05D47B0B0FC}" destId="{B849A6F3-9933-4C36-AF65-6098308CBC3C}" srcOrd="0" destOrd="0" presId="urn:microsoft.com/office/officeart/2005/8/layout/radial4"/>
    <dgm:cxn modelId="{1D69BC39-A6C5-483B-A11E-0557EAE7A654}" type="presParOf" srcId="{CF42B0CB-CDDD-42A1-B3A1-FBB34F262C63}" destId="{B1756079-1332-4090-9A47-D2C0EDB7FB22}" srcOrd="2" destOrd="0" presId="urn:microsoft.com/office/officeart/2005/8/layout/radial4"/>
    <dgm:cxn modelId="{0E63C4FD-BD72-45D2-B112-9FFC39C9B41A}" type="presOf" srcId="{D15727BE-4BB4-41E2-BFCD-1CE00CE9A014}" destId="{B1756079-1332-4090-9A47-D2C0EDB7FB22}" srcOrd="0" destOrd="0" presId="urn:microsoft.com/office/officeart/2005/8/layout/radial4"/>
    <dgm:cxn modelId="{B469379F-6FA4-4258-92E4-B04B1E2987D2}" type="presParOf" srcId="{CF42B0CB-CDDD-42A1-B3A1-FBB34F262C63}" destId="{8A478794-BDE0-4AD6-9479-89CDBFC37EB7}" srcOrd="3" destOrd="0" presId="urn:microsoft.com/office/officeart/2005/8/layout/radial4"/>
    <dgm:cxn modelId="{7E6E27B9-389A-4D29-9266-F8D77D09D40A}" type="presOf" srcId="{A85E77B5-A1A5-43C8-9868-413E99F101A0}" destId="{8A478794-BDE0-4AD6-9479-89CDBFC37EB7}" srcOrd="0" destOrd="0" presId="urn:microsoft.com/office/officeart/2005/8/layout/radial4"/>
    <dgm:cxn modelId="{3F9D2219-13B2-4041-B488-35EDE0437C5F}" type="presParOf" srcId="{CF42B0CB-CDDD-42A1-B3A1-FBB34F262C63}" destId="{3868CDED-247C-4EE9-95A2-ED400A267946}" srcOrd="4" destOrd="0" presId="urn:microsoft.com/office/officeart/2005/8/layout/radial4"/>
    <dgm:cxn modelId="{90B93469-91BB-4E31-AD1A-CF9CF4C6CE78}" type="presOf" srcId="{24DAAE02-02E7-4412-8074-A0C4CAA380D7}" destId="{3868CDED-247C-4EE9-95A2-ED400A267946}" srcOrd="0" destOrd="0" presId="urn:microsoft.com/office/officeart/2005/8/layout/radial4"/>
    <dgm:cxn modelId="{05EAE818-1792-4A02-94D6-54A65E0A109D}" type="presParOf" srcId="{CF42B0CB-CDDD-42A1-B3A1-FBB34F262C63}" destId="{D0718308-59AC-43E6-A882-4828EE4494C2}" srcOrd="5" destOrd="0" presId="urn:microsoft.com/office/officeart/2005/8/layout/radial4"/>
    <dgm:cxn modelId="{7DF8FB37-7C1C-49A6-BA03-7CB28375C7D1}" type="presOf" srcId="{96CD46E7-D239-40C7-B5C4-376FEEE43C15}" destId="{D0718308-59AC-43E6-A882-4828EE4494C2}" srcOrd="0" destOrd="0" presId="urn:microsoft.com/office/officeart/2005/8/layout/radial4"/>
    <dgm:cxn modelId="{727B0210-A011-44A0-8BB5-A349F9527350}" type="presParOf" srcId="{CF42B0CB-CDDD-42A1-B3A1-FBB34F262C63}" destId="{5E0D0BC9-3E91-4623-8C1A-C4A70EB3594B}" srcOrd="6" destOrd="0" presId="urn:microsoft.com/office/officeart/2005/8/layout/radial4"/>
    <dgm:cxn modelId="{0890DC76-AA61-48CF-B951-2B38CD0BB889}" type="presOf" srcId="{A5880797-7454-4E44-8518-F4D8354F0963}" destId="{5E0D0BC9-3E91-4623-8C1A-C4A70EB3594B}" srcOrd="0"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FE6BDA1-660C-44E3-B8D3-B738986F10EC}" type="doc">
      <dgm:prSet loTypeId="process" loCatId="process" qsTypeId="urn:microsoft.com/office/officeart/2005/8/quickstyle/simple3" qsCatId="simple" csTypeId="urn:microsoft.com/office/officeart/2005/8/colors/accent3_2" csCatId="accent1" phldr="0"/>
      <dgm:spPr/>
      <dgm:t>
        <a:bodyPr/>
        <a:p>
          <a:endParaRPr lang="en-US"/>
        </a:p>
      </dgm:t>
    </dgm:pt>
    <dgm:pt modelId="{1EC822D0-4B77-4F25-ABD5-8949AFB965C8}">
      <dgm:prSet phldrT="[Text]" phldr="0" custT="1"/>
      <dgm:spPr/>
      <dgm:t>
        <a:bodyPr vert="horz" wrap="square"/>
        <a:p>
          <a:pPr>
            <a:lnSpc>
              <a:spcPct val="100000"/>
            </a:lnSpc>
            <a:spcBef>
              <a:spcPct val="0"/>
            </a:spcBef>
            <a:spcAft>
              <a:spcPct val="35000"/>
            </a:spcAft>
          </a:pPr>
          <a:r>
            <a:rPr lang="en-US" sz="1100">
              <a:latin typeface="Arial" panose="020B0604020202020204" pitchFamily="2" charset="0"/>
              <a:cs typeface="Arial" panose="020B0604020202020204" pitchFamily="2" charset="0"/>
            </a:rPr>
            <a:t>    </a:t>
          </a:r>
          <a:r>
            <a:rPr lang="en-US" sz="1100">
              <a:latin typeface="Arial" panose="020B0604020202020204" pitchFamily="2" charset="0"/>
              <a:cs typeface="Arial" panose="020B0604020202020204" pitchFamily="2" charset="0"/>
            </a:rPr>
            <a:t>  take </a:t>
          </a: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A55FEC0B-23EE-4CFE-8050-49CBA30A17FC}" cxnId="{CC8D2EFC-1373-4CD0-BB87-926FC1E058D6}" type="parTrans">
      <dgm:prSet/>
      <dgm:spPr/>
      <dgm:t>
        <a:bodyPr/>
        <a:p>
          <a:endParaRPr lang="en-US"/>
        </a:p>
      </dgm:t>
    </dgm:pt>
    <dgm:pt modelId="{B0C310D3-A5C4-423C-ADC0-FD305A7B421A}" cxnId="{CC8D2EFC-1373-4CD0-BB87-926FC1E058D6}" type="sibTrans">
      <dgm:prSet/>
      <dgm:spPr/>
      <dgm:t>
        <a:bodyPr/>
        <a:p>
          <a:endParaRPr lang="en-US"/>
        </a:p>
      </dgm:t>
    </dgm:pt>
    <dgm:pt modelId="{86BF0545-C8C8-404B-B317-6B71601F8310}">
      <dgm:prSet phldrT="[Text]" phldr="0" custT="1"/>
      <dgm:spPr/>
      <dgm:t>
        <a:bodyPr vert="horz" wrap="square"/>
        <a:p>
          <a:pPr algn="l">
            <a:lnSpc>
              <a:spcPct val="100000"/>
            </a:lnSpc>
            <a:spcBef>
              <a:spcPct val="0"/>
            </a:spcBef>
            <a:spcAft>
              <a:spcPct val="15000"/>
            </a:spcAft>
          </a:pPr>
          <a:r>
            <a:rPr lang="en-US" sz="1100">
              <a:latin typeface="Arial" panose="020B0604020202020204" pitchFamily="2" charset="0"/>
              <a:cs typeface="Arial" panose="020B0604020202020204" pitchFamily="2" charset="0"/>
            </a:rPr>
            <a:t>resource extraction</a:t>
          </a: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A554C9B6-595F-4C42-BA2E-0AF975A6182B}" cxnId="{FDA9AF2D-D998-4C45-845E-06F50A61C20C}" type="parTrans">
      <dgm:prSet/>
      <dgm:spPr/>
      <dgm:t>
        <a:bodyPr/>
        <a:p>
          <a:endParaRPr lang="en-US"/>
        </a:p>
      </dgm:t>
    </dgm:pt>
    <dgm:pt modelId="{8F0220D1-B873-4B1C-82E7-D1658190B6B3}" cxnId="{FDA9AF2D-D998-4C45-845E-06F50A61C20C}" type="sibTrans">
      <dgm:prSet/>
      <dgm:spPr/>
      <dgm:t>
        <a:bodyPr/>
        <a:p>
          <a:endParaRPr lang="en-US"/>
        </a:p>
      </dgm:t>
    </dgm:pt>
    <dgm:pt modelId="{46DF346A-697D-49DC-A6E3-43856FB3680A}">
      <dgm:prSet phldr="0" custT="1"/>
      <dgm:spPr/>
      <dgm:t>
        <a:bodyPr vert="horz" wrap="square"/>
        <a:p>
          <a:pPr>
            <a:lnSpc>
              <a:spcPct val="100000"/>
            </a:lnSpc>
            <a:spcBef>
              <a:spcPct val="0"/>
            </a:spcBef>
            <a:spcAft>
              <a:spcPct val="35000"/>
            </a:spcAft>
          </a:pPr>
          <a:r>
            <a:rPr lang="en-US" sz="800"/>
            <a:t>          </a:t>
          </a:r>
          <a:r>
            <a:rPr lang="en-US" sz="1100">
              <a:latin typeface="Arial" panose="020B0604020202020204" pitchFamily="2" charset="0"/>
              <a:cs typeface="Arial" panose="020B0604020202020204" pitchFamily="2" charset="0"/>
            </a:rPr>
            <a:t>m</a:t>
          </a:r>
          <a:r>
            <a:rPr lang="en-US" sz="1100">
              <a:latin typeface="Arial" panose="020B0604020202020204" pitchFamily="2" charset="0"/>
              <a:cs typeface="Arial" panose="020B0604020202020204" pitchFamily="2" charset="0"/>
            </a:rPr>
            <a:t>ake</a:t>
          </a: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7820222A-8584-4341-8312-51832CA1FA98}" cxnId="{CA7CCF1E-DC7E-4F6B-8BA6-2EAF061AFC44}" type="parTrans">
      <dgm:prSet/>
      <dgm:spPr/>
    </dgm:pt>
    <dgm:pt modelId="{675119B7-956F-4518-BB3E-7AC85B0CC958}" cxnId="{CA7CCF1E-DC7E-4F6B-8BA6-2EAF061AFC44}" type="sibTrans">
      <dgm:prSet/>
      <dgm:spPr/>
    </dgm:pt>
    <dgm:pt modelId="{3B5ADC2F-81FD-4B95-B4F0-1694BF5642D5}">
      <dgm:prSet phldr="0" custT="0"/>
      <dgm:spPr/>
      <dgm:t>
        <a:bodyPr vert="horz" wrap="square"/>
        <a:p>
          <a:pPr>
            <a:lnSpc>
              <a:spcPct val="100000"/>
            </a:lnSpc>
            <a:spcBef>
              <a:spcPct val="0"/>
            </a:spcBef>
            <a:spcAft>
              <a:spcPct val="15000"/>
            </a:spcAft>
          </a:pPr>
          <a:r>
            <a:rPr lang="en-US">
              <a:latin typeface="Arial" panose="020B0604020202020204" pitchFamily="2" charset="0"/>
              <a:cs typeface="Arial" panose="020B0604020202020204" pitchFamily="2" charset="0"/>
            </a:rPr>
            <a:t>p</a:t>
          </a:r>
          <a:r>
            <a:rPr lang="en-US">
              <a:latin typeface="Arial" panose="020B0604020202020204" pitchFamily="2" charset="0"/>
              <a:cs typeface="Arial" panose="020B0604020202020204" pitchFamily="2" charset="0"/>
            </a:rPr>
            <a:t>roduction</a:t>
          </a:r>
          <a:r>
            <a:rPr lang="en-US">
              <a:latin typeface="Arial" panose="020B0604020202020204" pitchFamily="2" charset="0"/>
              <a:cs typeface="Arial" panose="020B0604020202020204" pitchFamily="2" charset="0"/>
            </a:rPr>
            <a:t/>
          </a:r>
          <a:endParaRPr lang="en-US">
            <a:latin typeface="Arial" panose="020B0604020202020204" pitchFamily="2" charset="0"/>
            <a:cs typeface="Arial" panose="020B0604020202020204" pitchFamily="2" charset="0"/>
          </a:endParaRPr>
        </a:p>
      </dgm:t>
    </dgm:pt>
    <dgm:pt modelId="{12F46AC7-EB6F-41C7-BD75-7A50B724D62D}" cxnId="{F864C36F-1293-425C-A5D4-06C34E62635A}" type="parTrans">
      <dgm:prSet/>
      <dgm:spPr/>
    </dgm:pt>
    <dgm:pt modelId="{2D9F2A85-E7BC-454A-A2B8-9A98A917C2EF}" cxnId="{F864C36F-1293-425C-A5D4-06C34E62635A}" type="sibTrans">
      <dgm:prSet/>
      <dgm:spPr/>
    </dgm:pt>
    <dgm:pt modelId="{86FEAB3F-FBB1-46CC-9DC6-E094874805AE}">
      <dgm:prSet phldrT="[Text]" phldr="0" custT="1"/>
      <dgm:spPr/>
      <dgm:t>
        <a:bodyPr vert="horz" wrap="square"/>
        <a:p>
          <a:pPr>
            <a:lnSpc>
              <a:spcPct val="100000"/>
            </a:lnSpc>
            <a:spcBef>
              <a:spcPct val="0"/>
            </a:spcBef>
            <a:spcAft>
              <a:spcPct val="35000"/>
            </a:spcAft>
          </a:pPr>
          <a:r>
            <a:rPr lang="en-US" sz="800"/>
            <a:t>    </a:t>
          </a:r>
          <a:r>
            <a:rPr lang="en-US" sz="1100">
              <a:latin typeface="Arial" panose="020B0604020202020204" pitchFamily="2" charset="0"/>
              <a:cs typeface="Arial" panose="020B0604020202020204" pitchFamily="2" charset="0"/>
            </a:rPr>
            <a:t>   </a:t>
          </a:r>
          <a:r>
            <a:rPr lang="en-US" sz="1100">
              <a:latin typeface="Arial" panose="020B0604020202020204" pitchFamily="2" charset="0"/>
              <a:cs typeface="Arial" panose="020B0604020202020204" pitchFamily="2" charset="0"/>
            </a:rPr>
            <a:t>use</a:t>
          </a: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74C68F9B-1FC8-4F0A-8F6F-246FC86076E9}" cxnId="{10F81619-9B6D-4199-B8AF-6574EE7A69CA}" type="parTrans">
      <dgm:prSet/>
      <dgm:spPr/>
      <dgm:t>
        <a:bodyPr/>
        <a:p>
          <a:endParaRPr lang="en-US"/>
        </a:p>
      </dgm:t>
    </dgm:pt>
    <dgm:pt modelId="{C7876883-34BD-4A68-A98E-D95D42D0FF9D}" cxnId="{10F81619-9B6D-4199-B8AF-6574EE7A69CA}" type="sibTrans">
      <dgm:prSet/>
      <dgm:spPr/>
      <dgm:t>
        <a:bodyPr/>
        <a:p>
          <a:endParaRPr lang="en-US"/>
        </a:p>
      </dgm:t>
    </dgm:pt>
    <dgm:pt modelId="{898F0B5E-939F-4B37-81DF-B5FACDBFAF72}">
      <dgm:prSet phldr="0" custT="1"/>
      <dgm:spPr/>
      <dgm:t>
        <a:bodyPr vert="horz" wrap="square"/>
        <a:p>
          <a:pPr algn="l">
            <a:lnSpc>
              <a:spcPct val="100000"/>
            </a:lnSpc>
            <a:spcBef>
              <a:spcPct val="0"/>
            </a:spcBef>
            <a:spcAft>
              <a:spcPct val="15000"/>
            </a:spcAft>
          </a:pPr>
          <a:r>
            <a:rPr lang="en-US" sz="1100">
              <a:latin typeface="Arial" panose="020B0604020202020204" pitchFamily="2" charset="0"/>
              <a:cs typeface="Arial" panose="020B0604020202020204" pitchFamily="2" charset="0"/>
            </a:rPr>
            <a:t>consumption</a:t>
          </a:r>
          <a:endParaRPr lang="en-US" sz="1100">
            <a:latin typeface="Arial" panose="020B0604020202020204" pitchFamily="2" charset="0"/>
            <a:cs typeface="Arial" panose="020B0604020202020204" pitchFamily="2" charset="0"/>
          </a:endParaRPr>
        </a:p>
      </dgm:t>
    </dgm:pt>
    <dgm:pt modelId="{371A06C1-E054-4510-9699-3F224170E839}" cxnId="{1A1E7AC6-E348-492F-A19E-06CF4FAD6BEC}" type="parTrans">
      <dgm:prSet/>
      <dgm:spPr/>
    </dgm:pt>
    <dgm:pt modelId="{00F6C00C-D082-4E54-B764-2D19B3CB1492}" cxnId="{1A1E7AC6-E348-492F-A19E-06CF4FAD6BEC}" type="sibTrans">
      <dgm:prSet/>
      <dgm:spPr/>
    </dgm:pt>
    <dgm:pt modelId="{3D7C4AE8-1A7D-4523-8C8C-E492E4C07778}">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77569248-543D-4DAF-9A0B-CC4C42881631}" cxnId="{FF277287-FEE5-485F-8F64-E0694F36F2D4}" type="parTrans">
      <dgm:prSet/>
      <dgm:spPr/>
    </dgm:pt>
    <dgm:pt modelId="{75681437-51A5-40C8-9A5E-B0EC90137B79}" cxnId="{FF277287-FEE5-485F-8F64-E0694F36F2D4}" type="sibTrans">
      <dgm:prSet/>
      <dgm:spPr/>
    </dgm:pt>
    <dgm:pt modelId="{EB6006A6-BDEF-4FF9-8287-89793ACF6620}">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ADB58806-01AB-468D-998D-448B9DF886C8}" cxnId="{A1E2F56B-B09D-460F-924B-786A46A7EE72}" type="parTrans">
      <dgm:prSet/>
      <dgm:spPr/>
    </dgm:pt>
    <dgm:pt modelId="{CA34BCE6-79FB-41B0-B3BB-3262571F441A}" cxnId="{A1E2F56B-B09D-460F-924B-786A46A7EE72}" type="sibTrans">
      <dgm:prSet/>
      <dgm:spPr/>
    </dgm:pt>
    <dgm:pt modelId="{5941D12B-3C48-442A-8FB7-9AC7177B88B1}">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02B398DA-4B5C-4239-A39B-E4BD2BCBB5AC}" cxnId="{D1256455-8935-411E-B880-E3A7FDE586D3}" type="parTrans">
      <dgm:prSet/>
      <dgm:spPr/>
    </dgm:pt>
    <dgm:pt modelId="{CCF70FB8-2E54-4B41-B855-54C1DEA916CF}" cxnId="{D1256455-8935-411E-B880-E3A7FDE586D3}" type="sibTrans">
      <dgm:prSet/>
      <dgm:spPr/>
    </dgm:pt>
    <dgm:pt modelId="{D9DB85CD-FC80-4BAD-A58B-345BB444F828}">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C2AE361B-FC27-4D0C-987F-C3C4E74E3810}" cxnId="{7FAA389E-1455-4806-B7A9-A1A2B7D52534}" type="parTrans">
      <dgm:prSet/>
      <dgm:spPr/>
    </dgm:pt>
    <dgm:pt modelId="{BDCD2F83-03BE-4CE6-BE93-311038521E65}" cxnId="{7FAA389E-1455-4806-B7A9-A1A2B7D52534}" type="sibTrans">
      <dgm:prSet/>
      <dgm:spPr/>
    </dgm:pt>
    <dgm:pt modelId="{163A70E8-E760-4A1D-ADAE-B26DF828D6BF}">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F0F2F8F5-AD01-4515-B401-6ECE5E430648}" cxnId="{DDBAB868-28F8-4F2C-BA3C-4C475FCE74BD}" type="parTrans">
      <dgm:prSet/>
      <dgm:spPr/>
    </dgm:pt>
    <dgm:pt modelId="{00F66A91-F545-4D35-8CF1-AD65100B9D6F}" cxnId="{DDBAB868-28F8-4F2C-BA3C-4C475FCE74BD}" type="sibTrans">
      <dgm:prSet/>
      <dgm:spPr/>
    </dgm:pt>
    <dgm:pt modelId="{AC17BA24-6617-4F22-B098-71582E8FA72D}">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AE12B7E8-6E60-44C3-B301-77EBB04281E9}" cxnId="{CB1D3178-92D5-4F8E-B1DE-2C03A34E0CBC}" type="parTrans">
      <dgm:prSet/>
      <dgm:spPr/>
    </dgm:pt>
    <dgm:pt modelId="{FF01E876-E986-470E-A1F4-340480823AAA}" cxnId="{CB1D3178-92D5-4F8E-B1DE-2C03A34E0CBC}" type="sibTrans">
      <dgm:prSet/>
      <dgm:spPr/>
    </dgm:pt>
    <dgm:pt modelId="{F580B88C-764D-47D8-9546-705F539FD441}">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BF252CF3-8435-4128-9937-43327496CB25}" cxnId="{F46A8E93-E55C-4D0E-8140-47880DA9E9F3}" type="parTrans">
      <dgm:prSet/>
      <dgm:spPr/>
    </dgm:pt>
    <dgm:pt modelId="{D97349F6-D905-4270-A35A-70BFB79C0B15}" cxnId="{F46A8E93-E55C-4D0E-8140-47880DA9E9F3}" type="sibTrans">
      <dgm:prSet/>
      <dgm:spPr/>
    </dgm:pt>
    <dgm:pt modelId="{DD8FAA2E-0C7C-4A81-AC9C-26685F5BB104}">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FE7E06EF-B7D6-4039-ABB5-BE50A8DDBF07}" cxnId="{F8366E39-E569-4F27-ADEA-A06FDE3718DE}" type="parTrans">
      <dgm:prSet/>
      <dgm:spPr/>
    </dgm:pt>
    <dgm:pt modelId="{4B0E54CB-8BB6-43DD-A89A-4BA40C3ED956}" cxnId="{F8366E39-E569-4F27-ADEA-A06FDE3718DE}" type="sibTrans">
      <dgm:prSet/>
      <dgm:spPr/>
    </dgm:pt>
    <dgm:pt modelId="{04B14D8B-7922-42E9-8B4D-1C740B9404AD}">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08BB2F9E-375F-4154-933A-87F9048E93D1}" cxnId="{0E26BF6D-550E-42E5-8206-BF278D542507}" type="parTrans">
      <dgm:prSet/>
      <dgm:spPr/>
    </dgm:pt>
    <dgm:pt modelId="{FA9D3503-2A94-4F6F-B401-ED5D52A1F4B9}" cxnId="{0E26BF6D-550E-42E5-8206-BF278D542507}" type="sibTrans">
      <dgm:prSet/>
      <dgm:spPr/>
    </dgm:pt>
    <dgm:pt modelId="{7BE5F47E-18DD-4708-993A-7FB4F69A32F9}">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111371DE-46EA-4549-A79D-B8F1C17BCA95}" cxnId="{3CD3801D-7CBF-4044-8FCB-3224FF11C718}" type="parTrans">
      <dgm:prSet/>
      <dgm:spPr/>
    </dgm:pt>
    <dgm:pt modelId="{57A978BA-6166-4C6E-985B-13CCF5F01860}" cxnId="{3CD3801D-7CBF-4044-8FCB-3224FF11C718}" type="sibTrans">
      <dgm:prSet/>
      <dgm:spPr/>
    </dgm:pt>
    <dgm:pt modelId="{C6A1FCC7-2C9F-4106-87E6-921AF0C2E142}">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5C8BFD86-3FA9-4B32-8959-47EA50187EC7}" cxnId="{292FADD3-3C24-4119-AB59-DBEF6FA508B9}" type="parTrans">
      <dgm:prSet/>
      <dgm:spPr/>
    </dgm:pt>
    <dgm:pt modelId="{6F9278E6-A45A-4CE4-9461-FC2859E82082}" cxnId="{292FADD3-3C24-4119-AB59-DBEF6FA508B9}" type="sibTrans">
      <dgm:prSet/>
      <dgm:spPr/>
    </dgm:pt>
    <dgm:pt modelId="{DE9FACDD-8A5F-43D0-90D8-E8354EEECDA4}">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6A01394A-880A-42F1-8633-8706852FF56A}" cxnId="{10BAACCF-28CD-4B4B-8E02-53ADC9F79C10}" type="parTrans">
      <dgm:prSet/>
      <dgm:spPr/>
    </dgm:pt>
    <dgm:pt modelId="{A5D0CB87-3401-401A-98FA-E2E313C0D4DD}" cxnId="{10BAACCF-28CD-4B4B-8E02-53ADC9F79C10}" type="sibTrans">
      <dgm:prSet/>
      <dgm:spPr/>
    </dgm:pt>
    <dgm:pt modelId="{54E074BF-007A-45B5-8A1D-228057780072}">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3B55CED6-F019-4332-88DE-CC9D5DD6EB92}" cxnId="{ECA41F1A-241D-4516-9F53-352DC0050795}" type="parTrans">
      <dgm:prSet/>
      <dgm:spPr/>
    </dgm:pt>
    <dgm:pt modelId="{09C257E7-EA1F-4742-A221-09A890E5F7A9}" cxnId="{ECA41F1A-241D-4516-9F53-352DC0050795}" type="sibTrans">
      <dgm:prSet/>
      <dgm:spPr/>
    </dgm:pt>
    <dgm:pt modelId="{48FDCDEA-D1ED-4D30-ACA5-7C186E6CA1EE}">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875BFACB-E8A1-4EA9-AA35-DB4978867A2F}" cxnId="{4166C7FC-C60A-4A4E-B899-3EBA5C5B81C8}" type="parTrans">
      <dgm:prSet/>
      <dgm:spPr/>
    </dgm:pt>
    <dgm:pt modelId="{C33C5742-BB51-4A97-8978-30E625D9C7FA}" cxnId="{4166C7FC-C60A-4A4E-B899-3EBA5C5B81C8}" type="sibTrans">
      <dgm:prSet/>
      <dgm:spPr/>
    </dgm:pt>
    <dgm:pt modelId="{97511F00-5DFB-4715-BC50-D4FC09A3CEB1}">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6A06317E-D898-44AF-B758-E6E3D752A1C6}" cxnId="{1B3158FF-4962-42D9-A383-537517FF7291}" type="parTrans">
      <dgm:prSet/>
      <dgm:spPr/>
    </dgm:pt>
    <dgm:pt modelId="{F7B90C1D-6E39-4103-BCA3-E12ADE72D92C}" cxnId="{1B3158FF-4962-42D9-A383-537517FF7291}" type="sibTrans">
      <dgm:prSet/>
      <dgm:spPr/>
    </dgm:pt>
    <dgm:pt modelId="{80B9E220-A551-4697-8524-061F5D7FFA61}">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2554B942-1542-455D-907A-6FE60CC99E8F}" cxnId="{ADF30313-D0FC-435B-8E36-F40B20F6C9D5}" type="parTrans">
      <dgm:prSet/>
      <dgm:spPr/>
    </dgm:pt>
    <dgm:pt modelId="{3C58C5D0-DC71-4C0C-973D-F20F63FA50CF}" cxnId="{ADF30313-D0FC-435B-8E36-F40B20F6C9D5}" type="sibTrans">
      <dgm:prSet/>
      <dgm:spPr/>
    </dgm:pt>
    <dgm:pt modelId="{100AD956-11A4-4B90-BFD8-7A697DFB1D10}">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AD1FA35F-8017-4C96-82C9-B72B071E73AF}" cxnId="{A3960186-B2AE-4AC5-8E36-17164373D2ED}" type="parTrans">
      <dgm:prSet/>
      <dgm:spPr/>
    </dgm:pt>
    <dgm:pt modelId="{B1BCF7F2-D26D-4DBB-9D67-46F782DD129E}" cxnId="{A3960186-B2AE-4AC5-8E36-17164373D2ED}" type="sibTrans">
      <dgm:prSet/>
      <dgm:spPr/>
    </dgm:pt>
    <dgm:pt modelId="{25CB68A6-4448-46B4-9FF4-EE6C4D70CB82}">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61198F0B-EAA6-4AC3-9CF9-EADFFB42D343}" cxnId="{ACFE4B78-120F-44AA-92AB-06E52D96BF3B}" type="parTrans">
      <dgm:prSet/>
      <dgm:spPr/>
    </dgm:pt>
    <dgm:pt modelId="{01BDCBC4-12CE-4693-A7A5-01F8902D0322}" cxnId="{ACFE4B78-120F-44AA-92AB-06E52D96BF3B}" type="sibTrans">
      <dgm:prSet/>
      <dgm:spPr/>
    </dgm:pt>
    <dgm:pt modelId="{6F6BC553-0D11-4719-9163-E927B244D608}">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8963954E-5AAB-4C0D-AFF2-157203F28B48}" cxnId="{A8369868-67BF-4B58-97F7-6D0C9ABAE0E0}" type="parTrans">
      <dgm:prSet/>
      <dgm:spPr/>
    </dgm:pt>
    <dgm:pt modelId="{8485BAE7-F5BC-4866-B0F8-965B873DF6FD}" cxnId="{A8369868-67BF-4B58-97F7-6D0C9ABAE0E0}" type="sibTrans">
      <dgm:prSet/>
      <dgm:spPr/>
    </dgm:pt>
    <dgm:pt modelId="{8701CF23-E970-4667-9261-4B5380709E99}">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0DAEBFB5-E7F0-49F4-BBC0-07E26A389608}" cxnId="{D897D33B-4FA9-4837-8B4D-AB4BBACCCB65}" type="parTrans">
      <dgm:prSet/>
      <dgm:spPr/>
    </dgm:pt>
    <dgm:pt modelId="{091F3AEF-B1D8-4862-9FE4-4E110CD9122E}" cxnId="{D897D33B-4FA9-4837-8B4D-AB4BBACCCB65}" type="sibTrans">
      <dgm:prSet/>
      <dgm:spPr/>
    </dgm:pt>
    <dgm:pt modelId="{62A7D332-84BE-4A25-9400-E1E43A81F001}">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D0D4A114-ADD1-4901-B0A9-8B09A0489BB7}" cxnId="{BA222B1A-E264-45D1-85B7-8079EED5E383}" type="parTrans">
      <dgm:prSet/>
      <dgm:spPr/>
    </dgm:pt>
    <dgm:pt modelId="{3E2940F1-0F7F-4E13-98A9-7A6E66EBDA95}" cxnId="{BA222B1A-E264-45D1-85B7-8079EED5E383}" type="sibTrans">
      <dgm:prSet/>
      <dgm:spPr/>
    </dgm:pt>
    <dgm:pt modelId="{A75838FF-5412-4135-8370-4ADE96DDE664}">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5AA42C36-07E5-464B-AD31-488B074FCD1B}" cxnId="{24C44C4A-0442-4050-92DD-45C478D440EA}" type="parTrans">
      <dgm:prSet/>
      <dgm:spPr/>
    </dgm:pt>
    <dgm:pt modelId="{C88C4587-2B4A-426A-A941-F0694B115D0A}" cxnId="{24C44C4A-0442-4050-92DD-45C478D440EA}" type="sibTrans">
      <dgm:prSet/>
      <dgm:spPr/>
    </dgm:pt>
    <dgm:pt modelId="{51C5171D-56F1-438D-AF97-716E65A6C605}">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064A24C7-5589-464F-9F8C-E0A042C2D2A6}" cxnId="{1DDBFF2A-63BE-46DE-9E9B-5489EDCE0CC7}" type="parTrans">
      <dgm:prSet/>
      <dgm:spPr/>
    </dgm:pt>
    <dgm:pt modelId="{75EAA9E4-94C1-49BC-AD64-0EDE26B1766F}" cxnId="{1DDBFF2A-63BE-46DE-9E9B-5489EDCE0CC7}" type="sibTrans">
      <dgm:prSet/>
      <dgm:spPr/>
    </dgm:pt>
    <dgm:pt modelId="{EB4F6E3C-5DA2-4E55-BC26-0BC50D2C68F7}">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9CDE264C-D60E-4E65-957E-B3A5646046CC}" cxnId="{4F6E2351-1F9B-444A-91E1-C2E2314E9A6C}" type="parTrans">
      <dgm:prSet/>
      <dgm:spPr/>
    </dgm:pt>
    <dgm:pt modelId="{FCB004DD-A4D2-4F8F-8745-AF1C8EC6E09C}" cxnId="{4F6E2351-1F9B-444A-91E1-C2E2314E9A6C}" type="sibTrans">
      <dgm:prSet/>
      <dgm:spPr/>
    </dgm:pt>
    <dgm:pt modelId="{11EC3D9D-CABC-4F6B-8311-51EC9AF94B05}">
      <dgm:prSet phldrT="[Text]" phldr="0" custT="1"/>
      <dgm:spPr/>
      <dgm:t>
        <a:bodyPr vert="horz" wrap="square"/>
        <a:p>
          <a:pPr>
            <a:lnSpc>
              <a:spcPct val="100000"/>
            </a:lnSpc>
            <a:spcBef>
              <a:spcPct val="0"/>
            </a:spcBef>
            <a:spcAft>
              <a:spcPct val="35000"/>
            </a:spcAft>
          </a:pPr>
          <a:r>
            <a:rPr lang="en-US" sz="1100">
              <a:latin typeface="Arial" panose="020B0604020202020204" pitchFamily="2" charset="0"/>
              <a:cs typeface="Arial" panose="020B0604020202020204" pitchFamily="2" charset="0"/>
            </a:rPr>
            <a:t>     </a:t>
          </a:r>
          <a:r>
            <a:rPr lang="en-US" sz="1100">
              <a:latin typeface="Arial" panose="020B0604020202020204" pitchFamily="2" charset="0"/>
              <a:cs typeface="Arial" panose="020B0604020202020204" pitchFamily="2" charset="0"/>
            </a:rPr>
            <a:t>dispose</a:t>
          </a: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4CB9D39E-D2E7-4AB1-8C35-13DBC76F1E1B}" cxnId="{322AB1F4-1EF9-4446-B260-A8A2BB061CE5}" type="parTrans">
      <dgm:prSet/>
      <dgm:spPr/>
      <dgm:t>
        <a:bodyPr/>
        <a:p>
          <a:endParaRPr lang="en-US"/>
        </a:p>
      </dgm:t>
    </dgm:pt>
    <dgm:pt modelId="{49A756A8-869C-486D-A1C2-A9179C82C574}" cxnId="{322AB1F4-1EF9-4446-B260-A8A2BB061CE5}" type="sibTrans">
      <dgm:prSet/>
      <dgm:spPr/>
      <dgm:t>
        <a:bodyPr/>
        <a:p>
          <a:endParaRPr lang="en-US"/>
        </a:p>
      </dgm:t>
    </dgm:pt>
    <dgm:pt modelId="{6BE6A710-46C9-4A44-9AA0-502884A9DC0A}">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waste </a:t>
          </a:r>
          <a:endParaRPr lang="en-US" sz="1100">
            <a:latin typeface="Arial" panose="020B0604020202020204" pitchFamily="2" charset="0"/>
            <a:cs typeface="Arial" panose="020B0604020202020204" pitchFamily="2" charset="0"/>
          </a:endParaRPr>
        </a:p>
      </dgm:t>
    </dgm:pt>
    <dgm:pt modelId="{9BC7BB0B-70DD-4C71-9282-922F9E07FD7C}" cxnId="{1362803E-5508-442B-8B0F-FC30BBB2681D}" type="parTrans">
      <dgm:prSet/>
      <dgm:spPr/>
    </dgm:pt>
    <dgm:pt modelId="{6DCC3B70-8E69-4278-94B6-A2BDC36FCEA6}" cxnId="{1362803E-5508-442B-8B0F-FC30BBB2681D}" type="sibTrans">
      <dgm:prSet/>
      <dgm:spPr/>
    </dgm:pt>
    <dgm:pt modelId="{F63A9164-DB07-49FA-A23D-39F2F2D371A2}">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71C24D05-1945-452B-BE21-7A16C7A54E2C}" cxnId="{B5E4177B-7198-4F58-BBBD-22D2F2C77524}" type="parTrans">
      <dgm:prSet/>
      <dgm:spPr/>
    </dgm:pt>
    <dgm:pt modelId="{64C93579-D6E0-41EC-8837-79897CA8F082}" cxnId="{B5E4177B-7198-4F58-BBBD-22D2F2C77524}" type="sibTrans">
      <dgm:prSet/>
      <dgm:spPr/>
    </dgm:pt>
    <dgm:pt modelId="{3A40741D-6EC5-4CB0-9E87-65E55D1BA8A6}">
      <dgm:prSet phldr="0" custT="1"/>
      <dgm:spPr/>
      <dgm:t>
        <a:bodyPr vert="horz" wrap="square"/>
        <a:p>
          <a:pPr>
            <a:lnSpc>
              <a:spcPct val="100000"/>
            </a:lnSpc>
            <a:spcBef>
              <a:spcPct val="0"/>
            </a:spcBef>
            <a:spcAft>
              <a:spcPct val="15000"/>
            </a:spcAft>
          </a:pPr>
          <a:r>
            <a:rPr lang="en-US" sz="1100">
              <a:latin typeface="Arial" panose="020B0604020202020204" pitchFamily="2" charset="0"/>
              <a:cs typeface="Arial" panose="020B0604020202020204" pitchFamily="2" charset="0"/>
            </a:rPr>
            <a:t/>
          </a:r>
          <a:endParaRPr lang="en-US" sz="1100">
            <a:latin typeface="Arial" panose="020B0604020202020204" pitchFamily="2" charset="0"/>
            <a:cs typeface="Arial" panose="020B0604020202020204" pitchFamily="2" charset="0"/>
          </a:endParaRPr>
        </a:p>
      </dgm:t>
    </dgm:pt>
    <dgm:pt modelId="{7EC0438C-20C2-4576-9A28-CB5CEC46AB13}" cxnId="{13AEAF1E-6D88-4C0B-8D1A-5014149B4DDA}" type="parTrans">
      <dgm:prSet/>
      <dgm:spPr/>
    </dgm:pt>
    <dgm:pt modelId="{B2ACC1F9-CCB5-4D0D-9A98-4B003CECDF4F}" cxnId="{13AEAF1E-6D88-4C0B-8D1A-5014149B4DDA}" type="sibTrans">
      <dgm:prSet/>
      <dgm:spPr/>
    </dgm:pt>
    <dgm:pt modelId="{6600DED2-8216-4ABE-8A99-4882629E1A4D}" type="pres">
      <dgm:prSet presAssocID="{2FE6BDA1-660C-44E3-B8D3-B738986F10EC}" presName="linearFlow" presStyleCnt="0">
        <dgm:presLayoutVars>
          <dgm:dir/>
          <dgm:animLvl val="lvl"/>
          <dgm:resizeHandles val="exact"/>
        </dgm:presLayoutVars>
      </dgm:prSet>
      <dgm:spPr/>
    </dgm:pt>
    <dgm:pt modelId="{13EA64EB-AB03-4C80-9EEA-7CED2D89D89C}" type="pres">
      <dgm:prSet presAssocID="{1EC822D0-4B77-4F25-ABD5-8949AFB965C8}" presName="composite" presStyleCnt="0"/>
      <dgm:spPr/>
    </dgm:pt>
    <dgm:pt modelId="{CAF6A44E-174D-4D73-BBC0-9FC10FA804B9}" type="pres">
      <dgm:prSet presAssocID="{1EC822D0-4B77-4F25-ABD5-8949AFB965C8}" presName="parTx" presStyleCnt="0">
        <dgm:presLayoutVars>
          <dgm:chMax val="0"/>
          <dgm:chPref val="0"/>
          <dgm:bulletEnabled val="1"/>
        </dgm:presLayoutVars>
      </dgm:prSet>
      <dgm:spPr/>
    </dgm:pt>
    <dgm:pt modelId="{BEA8DFF6-0BBC-4765-94CE-726AE7249D2C}" type="pres">
      <dgm:prSet presAssocID="{1EC822D0-4B77-4F25-ABD5-8949AFB965C8}" presName="parSh" presStyleLbl="node1" presStyleIdx="0" presStyleCnt="4"/>
      <dgm:spPr/>
    </dgm:pt>
    <dgm:pt modelId="{A527D8D7-AE0F-41E2-B0A5-F384C5C9B908}" type="pres">
      <dgm:prSet presAssocID="{1EC822D0-4B77-4F25-ABD5-8949AFB965C8}" presName="desTx" presStyleLbl="fgAcc1" presStyleIdx="0" presStyleCnt="4">
        <dgm:presLayoutVars>
          <dgm:bulletEnabled val="1"/>
        </dgm:presLayoutVars>
      </dgm:prSet>
      <dgm:spPr/>
    </dgm:pt>
    <dgm:pt modelId="{21AD7683-4E21-48FB-A2B0-38429FA73B13}" type="pres">
      <dgm:prSet presAssocID="{B0C310D3-A5C4-423C-ADC0-FD305A7B421A}" presName="sibTrans" presStyleLbl="sibTrans2D1" presStyleIdx="0" presStyleCnt="3"/>
      <dgm:spPr/>
    </dgm:pt>
    <dgm:pt modelId="{1E817AA8-5A37-4644-9254-A1E7980637B5}" type="pres">
      <dgm:prSet presAssocID="{B0C310D3-A5C4-423C-ADC0-FD305A7B421A}" presName="connTx" presStyleCnt="0"/>
      <dgm:spPr/>
    </dgm:pt>
    <dgm:pt modelId="{C045617B-7AC8-48E8-A23E-4EEE64C722E9}" type="pres">
      <dgm:prSet presAssocID="{46DF346A-697D-49DC-A6E3-43856FB3680A}" presName="composite" presStyleCnt="0"/>
      <dgm:spPr/>
    </dgm:pt>
    <dgm:pt modelId="{80F36C30-E8B9-46CB-8E82-DCB718E2913A}" type="pres">
      <dgm:prSet presAssocID="{46DF346A-697D-49DC-A6E3-43856FB3680A}" presName="parTx" presStyleCnt="0">
        <dgm:presLayoutVars>
          <dgm:chMax val="0"/>
          <dgm:chPref val="0"/>
          <dgm:bulletEnabled val="1"/>
        </dgm:presLayoutVars>
      </dgm:prSet>
      <dgm:spPr/>
    </dgm:pt>
    <dgm:pt modelId="{D9492F92-C776-4E87-A644-EFDBCD913153}" type="pres">
      <dgm:prSet presAssocID="{46DF346A-697D-49DC-A6E3-43856FB3680A}" presName="parSh" presStyleLbl="node1" presStyleIdx="1" presStyleCnt="4"/>
      <dgm:spPr/>
    </dgm:pt>
    <dgm:pt modelId="{39202776-1058-4F4A-BEDB-2EB21C86564D}" type="pres">
      <dgm:prSet presAssocID="{46DF346A-697D-49DC-A6E3-43856FB3680A}" presName="desTx" presStyleLbl="fgAcc1" presStyleIdx="1" presStyleCnt="4">
        <dgm:presLayoutVars>
          <dgm:bulletEnabled val="1"/>
        </dgm:presLayoutVars>
      </dgm:prSet>
      <dgm:spPr/>
    </dgm:pt>
    <dgm:pt modelId="{CB985673-CF5D-4242-8941-AFDE6B6D0CD0}" type="pres">
      <dgm:prSet presAssocID="{675119B7-956F-4518-BB3E-7AC85B0CC958}" presName="sibTrans" presStyleLbl="sibTrans2D1" presStyleIdx="1" presStyleCnt="3"/>
      <dgm:spPr/>
    </dgm:pt>
    <dgm:pt modelId="{360EEE2B-27B3-4C7A-8369-4B4E3F0EA5B5}" type="pres">
      <dgm:prSet presAssocID="{675119B7-956F-4518-BB3E-7AC85B0CC958}" presName="connTx" presStyleCnt="0"/>
      <dgm:spPr/>
    </dgm:pt>
    <dgm:pt modelId="{4706D582-EEBF-4C1E-B7F4-A6D3E12D3072}" type="pres">
      <dgm:prSet presAssocID="{86FEAB3F-FBB1-46CC-9DC6-E094874805AE}" presName="composite" presStyleCnt="0"/>
      <dgm:spPr/>
    </dgm:pt>
    <dgm:pt modelId="{D8686130-E958-4F9D-9269-6FA1732D0A73}" type="pres">
      <dgm:prSet presAssocID="{86FEAB3F-FBB1-46CC-9DC6-E094874805AE}" presName="parTx" presStyleCnt="0">
        <dgm:presLayoutVars>
          <dgm:chMax val="0"/>
          <dgm:chPref val="0"/>
          <dgm:bulletEnabled val="1"/>
        </dgm:presLayoutVars>
      </dgm:prSet>
      <dgm:spPr/>
    </dgm:pt>
    <dgm:pt modelId="{4201241F-A758-4825-9A41-CBED0FF9E993}" type="pres">
      <dgm:prSet presAssocID="{86FEAB3F-FBB1-46CC-9DC6-E094874805AE}" presName="parSh" presStyleLbl="node1" presStyleIdx="2" presStyleCnt="4"/>
      <dgm:spPr/>
    </dgm:pt>
    <dgm:pt modelId="{BFC7A65B-961A-4F69-8CB3-248457E85C87}" type="pres">
      <dgm:prSet presAssocID="{86FEAB3F-FBB1-46CC-9DC6-E094874805AE}" presName="desTx" presStyleLbl="fgAcc1" presStyleIdx="2" presStyleCnt="4">
        <dgm:presLayoutVars>
          <dgm:bulletEnabled val="1"/>
        </dgm:presLayoutVars>
      </dgm:prSet>
      <dgm:spPr/>
    </dgm:pt>
    <dgm:pt modelId="{5D27C5B2-FAF5-4B9E-8CE5-8F54D12F7C36}" type="pres">
      <dgm:prSet presAssocID="{C7876883-34BD-4A68-A98E-D95D42D0FF9D}" presName="sibTrans" presStyleLbl="sibTrans2D1" presStyleIdx="2" presStyleCnt="3"/>
      <dgm:spPr/>
    </dgm:pt>
    <dgm:pt modelId="{F8D5EB2A-738F-4E50-B014-79322171C96A}" type="pres">
      <dgm:prSet presAssocID="{C7876883-34BD-4A68-A98E-D95D42D0FF9D}" presName="connTx" presStyleCnt="0"/>
      <dgm:spPr/>
    </dgm:pt>
    <dgm:pt modelId="{F26AA55F-82F1-418C-9A96-43549025ACC4}" type="pres">
      <dgm:prSet presAssocID="{11EC3D9D-CABC-4F6B-8311-51EC9AF94B05}" presName="composite" presStyleCnt="0"/>
      <dgm:spPr/>
    </dgm:pt>
    <dgm:pt modelId="{9E6710B0-CA4A-491D-9F31-D4E77C18ECF4}" type="pres">
      <dgm:prSet presAssocID="{11EC3D9D-CABC-4F6B-8311-51EC9AF94B05}" presName="parTx" presStyleCnt="0">
        <dgm:presLayoutVars>
          <dgm:chMax val="0"/>
          <dgm:chPref val="0"/>
          <dgm:bulletEnabled val="1"/>
        </dgm:presLayoutVars>
      </dgm:prSet>
      <dgm:spPr/>
    </dgm:pt>
    <dgm:pt modelId="{685B1DED-BB57-492C-9EFB-01DECA055EE0}" type="pres">
      <dgm:prSet presAssocID="{11EC3D9D-CABC-4F6B-8311-51EC9AF94B05}" presName="parSh" presStyleLbl="node1" presStyleIdx="3" presStyleCnt="4"/>
      <dgm:spPr/>
    </dgm:pt>
    <dgm:pt modelId="{E23DD660-5416-4F6A-BFC2-5DC35AFE6E53}" type="pres">
      <dgm:prSet presAssocID="{11EC3D9D-CABC-4F6B-8311-51EC9AF94B05}" presName="desTx" presStyleLbl="fgAcc1" presStyleIdx="3" presStyleCnt="4">
        <dgm:presLayoutVars>
          <dgm:bulletEnabled val="1"/>
        </dgm:presLayoutVars>
      </dgm:prSet>
      <dgm:spPr/>
    </dgm:pt>
  </dgm:ptLst>
  <dgm:cxnLst>
    <dgm:cxn modelId="{CC8D2EFC-1373-4CD0-BB87-926FC1E058D6}" srcId="{2FE6BDA1-660C-44E3-B8D3-B738986F10EC}" destId="{1EC822D0-4B77-4F25-ABD5-8949AFB965C8}" srcOrd="0" destOrd="0" parTransId="{A55FEC0B-23EE-4CFE-8050-49CBA30A17FC}" sibTransId="{B0C310D3-A5C4-423C-ADC0-FD305A7B421A}"/>
    <dgm:cxn modelId="{FDA9AF2D-D998-4C45-845E-06F50A61C20C}" srcId="{1EC822D0-4B77-4F25-ABD5-8949AFB965C8}" destId="{86BF0545-C8C8-404B-B317-6B71601F8310}" srcOrd="0" destOrd="0" parTransId="{A554C9B6-595F-4C42-BA2E-0AF975A6182B}" sibTransId="{8F0220D1-B873-4B1C-82E7-D1658190B6B3}"/>
    <dgm:cxn modelId="{CA7CCF1E-DC7E-4F6B-8BA6-2EAF061AFC44}" srcId="{2FE6BDA1-660C-44E3-B8D3-B738986F10EC}" destId="{46DF346A-697D-49DC-A6E3-43856FB3680A}" srcOrd="1" destOrd="0" parTransId="{7820222A-8584-4341-8312-51832CA1FA98}" sibTransId="{675119B7-956F-4518-BB3E-7AC85B0CC958}"/>
    <dgm:cxn modelId="{F864C36F-1293-425C-A5D4-06C34E62635A}" srcId="{46DF346A-697D-49DC-A6E3-43856FB3680A}" destId="{3B5ADC2F-81FD-4B95-B4F0-1694BF5642D5}" srcOrd="0" destOrd="1" parTransId="{12F46AC7-EB6F-41C7-BD75-7A50B724D62D}" sibTransId="{2D9F2A85-E7BC-454A-A2B8-9A98A917C2EF}"/>
    <dgm:cxn modelId="{10F81619-9B6D-4199-B8AF-6574EE7A69CA}" srcId="{2FE6BDA1-660C-44E3-B8D3-B738986F10EC}" destId="{86FEAB3F-FBB1-46CC-9DC6-E094874805AE}" srcOrd="2" destOrd="0" parTransId="{74C68F9B-1FC8-4F0A-8F6F-246FC86076E9}" sibTransId="{C7876883-34BD-4A68-A98E-D95D42D0FF9D}"/>
    <dgm:cxn modelId="{1A1E7AC6-E348-492F-A19E-06CF4FAD6BEC}" srcId="{86FEAB3F-FBB1-46CC-9DC6-E094874805AE}" destId="{898F0B5E-939F-4B37-81DF-B5FACDBFAF72}" srcOrd="0" destOrd="2" parTransId="{371A06C1-E054-4510-9699-3F224170E839}" sibTransId="{00F6C00C-D082-4E54-B764-2D19B3CB1492}"/>
    <dgm:cxn modelId="{FF277287-FEE5-485F-8F64-E0694F36F2D4}" srcId="{86FEAB3F-FBB1-46CC-9DC6-E094874805AE}" destId="{3D7C4AE8-1A7D-4523-8C8C-E492E4C07778}" srcOrd="1" destOrd="2" parTransId="{77569248-543D-4DAF-9A0B-CC4C42881631}" sibTransId="{75681437-51A5-40C8-9A5E-B0EC90137B79}"/>
    <dgm:cxn modelId="{A1E2F56B-B09D-460F-924B-786A46A7EE72}" srcId="{86FEAB3F-FBB1-46CC-9DC6-E094874805AE}" destId="{EB6006A6-BDEF-4FF9-8287-89793ACF6620}" srcOrd="2" destOrd="2" parTransId="{ADB58806-01AB-468D-998D-448B9DF886C8}" sibTransId="{CA34BCE6-79FB-41B0-B3BB-3262571F441A}"/>
    <dgm:cxn modelId="{D1256455-8935-411E-B880-E3A7FDE586D3}" srcId="{86FEAB3F-FBB1-46CC-9DC6-E094874805AE}" destId="{5941D12B-3C48-442A-8FB7-9AC7177B88B1}" srcOrd="3" destOrd="2" parTransId="{02B398DA-4B5C-4239-A39B-E4BD2BCBB5AC}" sibTransId="{CCF70FB8-2E54-4B41-B855-54C1DEA916CF}"/>
    <dgm:cxn modelId="{7FAA389E-1455-4806-B7A9-A1A2B7D52534}" srcId="{86FEAB3F-FBB1-46CC-9DC6-E094874805AE}" destId="{D9DB85CD-FC80-4BAD-A58B-345BB444F828}" srcOrd="4" destOrd="2" parTransId="{C2AE361B-FC27-4D0C-987F-C3C4E74E3810}" sibTransId="{BDCD2F83-03BE-4CE6-BE93-311038521E65}"/>
    <dgm:cxn modelId="{DDBAB868-28F8-4F2C-BA3C-4C475FCE74BD}" srcId="{86FEAB3F-FBB1-46CC-9DC6-E094874805AE}" destId="{163A70E8-E760-4A1D-ADAE-B26DF828D6BF}" srcOrd="5" destOrd="2" parTransId="{F0F2F8F5-AD01-4515-B401-6ECE5E430648}" sibTransId="{00F66A91-F545-4D35-8CF1-AD65100B9D6F}"/>
    <dgm:cxn modelId="{CB1D3178-92D5-4F8E-B1DE-2C03A34E0CBC}" srcId="{86FEAB3F-FBB1-46CC-9DC6-E094874805AE}" destId="{AC17BA24-6617-4F22-B098-71582E8FA72D}" srcOrd="6" destOrd="2" parTransId="{AE12B7E8-6E60-44C3-B301-77EBB04281E9}" sibTransId="{FF01E876-E986-470E-A1F4-340480823AAA}"/>
    <dgm:cxn modelId="{F46A8E93-E55C-4D0E-8140-47880DA9E9F3}" srcId="{86FEAB3F-FBB1-46CC-9DC6-E094874805AE}" destId="{F580B88C-764D-47D8-9546-705F539FD441}" srcOrd="7" destOrd="2" parTransId="{BF252CF3-8435-4128-9937-43327496CB25}" sibTransId="{D97349F6-D905-4270-A35A-70BFB79C0B15}"/>
    <dgm:cxn modelId="{F8366E39-E569-4F27-ADEA-A06FDE3718DE}" srcId="{86FEAB3F-FBB1-46CC-9DC6-E094874805AE}" destId="{DD8FAA2E-0C7C-4A81-AC9C-26685F5BB104}" srcOrd="8" destOrd="2" parTransId="{FE7E06EF-B7D6-4039-ABB5-BE50A8DDBF07}" sibTransId="{4B0E54CB-8BB6-43DD-A89A-4BA40C3ED956}"/>
    <dgm:cxn modelId="{0E26BF6D-550E-42E5-8206-BF278D542507}" srcId="{86FEAB3F-FBB1-46CC-9DC6-E094874805AE}" destId="{04B14D8B-7922-42E9-8B4D-1C740B9404AD}" srcOrd="9" destOrd="2" parTransId="{08BB2F9E-375F-4154-933A-87F9048E93D1}" sibTransId="{FA9D3503-2A94-4F6F-B401-ED5D52A1F4B9}"/>
    <dgm:cxn modelId="{3CD3801D-7CBF-4044-8FCB-3224FF11C718}" srcId="{86FEAB3F-FBB1-46CC-9DC6-E094874805AE}" destId="{7BE5F47E-18DD-4708-993A-7FB4F69A32F9}" srcOrd="10" destOrd="2" parTransId="{111371DE-46EA-4549-A79D-B8F1C17BCA95}" sibTransId="{57A978BA-6166-4C6E-985B-13CCF5F01860}"/>
    <dgm:cxn modelId="{292FADD3-3C24-4119-AB59-DBEF6FA508B9}" srcId="{86FEAB3F-FBB1-46CC-9DC6-E094874805AE}" destId="{C6A1FCC7-2C9F-4106-87E6-921AF0C2E142}" srcOrd="11" destOrd="2" parTransId="{5C8BFD86-3FA9-4B32-8959-47EA50187EC7}" sibTransId="{6F9278E6-A45A-4CE4-9461-FC2859E82082}"/>
    <dgm:cxn modelId="{10BAACCF-28CD-4B4B-8E02-53ADC9F79C10}" srcId="{86FEAB3F-FBB1-46CC-9DC6-E094874805AE}" destId="{DE9FACDD-8A5F-43D0-90D8-E8354EEECDA4}" srcOrd="12" destOrd="2" parTransId="{6A01394A-880A-42F1-8633-8706852FF56A}" sibTransId="{A5D0CB87-3401-401A-98FA-E2E313C0D4DD}"/>
    <dgm:cxn modelId="{ECA41F1A-241D-4516-9F53-352DC0050795}" srcId="{86FEAB3F-FBB1-46CC-9DC6-E094874805AE}" destId="{54E074BF-007A-45B5-8A1D-228057780072}" srcOrd="13" destOrd="2" parTransId="{3B55CED6-F019-4332-88DE-CC9D5DD6EB92}" sibTransId="{09C257E7-EA1F-4742-A221-09A890E5F7A9}"/>
    <dgm:cxn modelId="{4166C7FC-C60A-4A4E-B899-3EBA5C5B81C8}" srcId="{86FEAB3F-FBB1-46CC-9DC6-E094874805AE}" destId="{48FDCDEA-D1ED-4D30-ACA5-7C186E6CA1EE}" srcOrd="14" destOrd="2" parTransId="{875BFACB-E8A1-4EA9-AA35-DB4978867A2F}" sibTransId="{C33C5742-BB51-4A97-8978-30E625D9C7FA}"/>
    <dgm:cxn modelId="{1B3158FF-4962-42D9-A383-537517FF7291}" srcId="{86FEAB3F-FBB1-46CC-9DC6-E094874805AE}" destId="{97511F00-5DFB-4715-BC50-D4FC09A3CEB1}" srcOrd="15" destOrd="2" parTransId="{6A06317E-D898-44AF-B758-E6E3D752A1C6}" sibTransId="{F7B90C1D-6E39-4103-BCA3-E12ADE72D92C}"/>
    <dgm:cxn modelId="{ADF30313-D0FC-435B-8E36-F40B20F6C9D5}" srcId="{86FEAB3F-FBB1-46CC-9DC6-E094874805AE}" destId="{80B9E220-A551-4697-8524-061F5D7FFA61}" srcOrd="16" destOrd="2" parTransId="{2554B942-1542-455D-907A-6FE60CC99E8F}" sibTransId="{3C58C5D0-DC71-4C0C-973D-F20F63FA50CF}"/>
    <dgm:cxn modelId="{A3960186-B2AE-4AC5-8E36-17164373D2ED}" srcId="{86FEAB3F-FBB1-46CC-9DC6-E094874805AE}" destId="{100AD956-11A4-4B90-BFD8-7A697DFB1D10}" srcOrd="17" destOrd="2" parTransId="{AD1FA35F-8017-4C96-82C9-B72B071E73AF}" sibTransId="{B1BCF7F2-D26D-4DBB-9D67-46F782DD129E}"/>
    <dgm:cxn modelId="{ACFE4B78-120F-44AA-92AB-06E52D96BF3B}" srcId="{86FEAB3F-FBB1-46CC-9DC6-E094874805AE}" destId="{25CB68A6-4448-46B4-9FF4-EE6C4D70CB82}" srcOrd="18" destOrd="2" parTransId="{61198F0B-EAA6-4AC3-9CF9-EADFFB42D343}" sibTransId="{01BDCBC4-12CE-4693-A7A5-01F8902D0322}"/>
    <dgm:cxn modelId="{A8369868-67BF-4B58-97F7-6D0C9ABAE0E0}" srcId="{86FEAB3F-FBB1-46CC-9DC6-E094874805AE}" destId="{6F6BC553-0D11-4719-9163-E927B244D608}" srcOrd="19" destOrd="2" parTransId="{8963954E-5AAB-4C0D-AFF2-157203F28B48}" sibTransId="{8485BAE7-F5BC-4866-B0F8-965B873DF6FD}"/>
    <dgm:cxn modelId="{D897D33B-4FA9-4837-8B4D-AB4BBACCCB65}" srcId="{86FEAB3F-FBB1-46CC-9DC6-E094874805AE}" destId="{8701CF23-E970-4667-9261-4B5380709E99}" srcOrd="20" destOrd="2" parTransId="{0DAEBFB5-E7F0-49F4-BBC0-07E26A389608}" sibTransId="{091F3AEF-B1D8-4862-9FE4-4E110CD9122E}"/>
    <dgm:cxn modelId="{BA222B1A-E264-45D1-85B7-8079EED5E383}" srcId="{86FEAB3F-FBB1-46CC-9DC6-E094874805AE}" destId="{62A7D332-84BE-4A25-9400-E1E43A81F001}" srcOrd="21" destOrd="2" parTransId="{D0D4A114-ADD1-4901-B0A9-8B09A0489BB7}" sibTransId="{3E2940F1-0F7F-4E13-98A9-7A6E66EBDA95}"/>
    <dgm:cxn modelId="{24C44C4A-0442-4050-92DD-45C478D440EA}" srcId="{86FEAB3F-FBB1-46CC-9DC6-E094874805AE}" destId="{A75838FF-5412-4135-8370-4ADE96DDE664}" srcOrd="22" destOrd="2" parTransId="{5AA42C36-07E5-464B-AD31-488B074FCD1B}" sibTransId="{C88C4587-2B4A-426A-A941-F0694B115D0A}"/>
    <dgm:cxn modelId="{1DDBFF2A-63BE-46DE-9E9B-5489EDCE0CC7}" srcId="{86FEAB3F-FBB1-46CC-9DC6-E094874805AE}" destId="{51C5171D-56F1-438D-AF97-716E65A6C605}" srcOrd="23" destOrd="2" parTransId="{064A24C7-5589-464F-9F8C-E0A042C2D2A6}" sibTransId="{75EAA9E4-94C1-49BC-AD64-0EDE26B1766F}"/>
    <dgm:cxn modelId="{4F6E2351-1F9B-444A-91E1-C2E2314E9A6C}" srcId="{86FEAB3F-FBB1-46CC-9DC6-E094874805AE}" destId="{EB4F6E3C-5DA2-4E55-BC26-0BC50D2C68F7}" srcOrd="24" destOrd="2" parTransId="{9CDE264C-D60E-4E65-957E-B3A5646046CC}" sibTransId="{FCB004DD-A4D2-4F8F-8745-AF1C8EC6E09C}"/>
    <dgm:cxn modelId="{322AB1F4-1EF9-4446-B260-A8A2BB061CE5}" srcId="{2FE6BDA1-660C-44E3-B8D3-B738986F10EC}" destId="{11EC3D9D-CABC-4F6B-8311-51EC9AF94B05}" srcOrd="3" destOrd="0" parTransId="{4CB9D39E-D2E7-4AB1-8C35-13DBC76F1E1B}" sibTransId="{49A756A8-869C-486D-A1C2-A9179C82C574}"/>
    <dgm:cxn modelId="{1362803E-5508-442B-8B0F-FC30BBB2681D}" srcId="{11EC3D9D-CABC-4F6B-8311-51EC9AF94B05}" destId="{6BE6A710-46C9-4A44-9AA0-502884A9DC0A}" srcOrd="0" destOrd="3" parTransId="{9BC7BB0B-70DD-4C71-9282-922F9E07FD7C}" sibTransId="{6DCC3B70-8E69-4278-94B6-A2BDC36FCEA6}"/>
    <dgm:cxn modelId="{B5E4177B-7198-4F58-BBBD-22D2F2C77524}" srcId="{11EC3D9D-CABC-4F6B-8311-51EC9AF94B05}" destId="{F63A9164-DB07-49FA-A23D-39F2F2D371A2}" srcOrd="1" destOrd="3" parTransId="{71C24D05-1945-452B-BE21-7A16C7A54E2C}" sibTransId="{64C93579-D6E0-41EC-8837-79897CA8F082}"/>
    <dgm:cxn modelId="{13AEAF1E-6D88-4C0B-8D1A-5014149B4DDA}" srcId="{11EC3D9D-CABC-4F6B-8311-51EC9AF94B05}" destId="{3A40741D-6EC5-4CB0-9E87-65E55D1BA8A6}" srcOrd="2" destOrd="3" parTransId="{7EC0438C-20C2-4576-9A28-CB5CEC46AB13}" sibTransId="{B2ACC1F9-CCB5-4D0D-9A98-4B003CECDF4F}"/>
    <dgm:cxn modelId="{630C2052-861D-4B7F-8048-124A9379456B}" type="presOf" srcId="{2FE6BDA1-660C-44E3-B8D3-B738986F10EC}" destId="{6600DED2-8216-4ABE-8A99-4882629E1A4D}" srcOrd="0" destOrd="0" presId="urn:microsoft.com/office/officeart/2005/8/layout/process3"/>
    <dgm:cxn modelId="{FB5F37A4-F633-438F-954D-995B449F146C}" type="presParOf" srcId="{6600DED2-8216-4ABE-8A99-4882629E1A4D}" destId="{13EA64EB-AB03-4C80-9EEA-7CED2D89D89C}" srcOrd="0" destOrd="0" presId="urn:microsoft.com/office/officeart/2005/8/layout/process3"/>
    <dgm:cxn modelId="{F313475E-81D8-4CF3-9CCB-4EAF34A7E949}" type="presParOf" srcId="{13EA64EB-AB03-4C80-9EEA-7CED2D89D89C}" destId="{CAF6A44E-174D-4D73-BBC0-9FC10FA804B9}" srcOrd="0" destOrd="0" presId="urn:microsoft.com/office/officeart/2005/8/layout/process3"/>
    <dgm:cxn modelId="{17F1BDE4-2703-4D75-8344-8B6D4C352A65}" type="presOf" srcId="{1EC822D0-4B77-4F25-ABD5-8949AFB965C8}" destId="{CAF6A44E-174D-4D73-BBC0-9FC10FA804B9}" srcOrd="1" destOrd="0" presId="urn:microsoft.com/office/officeart/2005/8/layout/process3"/>
    <dgm:cxn modelId="{2083A9FB-7897-44BE-935C-BA8E3248A06E}" type="presParOf" srcId="{13EA64EB-AB03-4C80-9EEA-7CED2D89D89C}" destId="{BEA8DFF6-0BBC-4765-94CE-726AE7249D2C}" srcOrd="1" destOrd="0" presId="urn:microsoft.com/office/officeart/2005/8/layout/process3"/>
    <dgm:cxn modelId="{C6BC2F02-2308-4406-B98D-D2624C314D39}" type="presOf" srcId="{1EC822D0-4B77-4F25-ABD5-8949AFB965C8}" destId="{BEA8DFF6-0BBC-4765-94CE-726AE7249D2C}" srcOrd="0" destOrd="0" presId="urn:microsoft.com/office/officeart/2005/8/layout/process3"/>
    <dgm:cxn modelId="{1AB41409-1EF8-4068-9486-0F80A193C19D}" type="presParOf" srcId="{13EA64EB-AB03-4C80-9EEA-7CED2D89D89C}" destId="{A527D8D7-AE0F-41E2-B0A5-F384C5C9B908}" srcOrd="2" destOrd="0" presId="urn:microsoft.com/office/officeart/2005/8/layout/process3"/>
    <dgm:cxn modelId="{33D35B80-BE3C-48F2-A06A-BFAF0D6460A7}" type="presOf" srcId="{86BF0545-C8C8-404B-B317-6B71601F8310}" destId="{A527D8D7-AE0F-41E2-B0A5-F384C5C9B908}" srcOrd="0" destOrd="0" presId="urn:microsoft.com/office/officeart/2005/8/layout/process3"/>
    <dgm:cxn modelId="{F157FD0B-1310-482A-A029-A34E4AF734BA}" type="presParOf" srcId="{6600DED2-8216-4ABE-8A99-4882629E1A4D}" destId="{21AD7683-4E21-48FB-A2B0-38429FA73B13}" srcOrd="1" destOrd="0" presId="urn:microsoft.com/office/officeart/2005/8/layout/process3"/>
    <dgm:cxn modelId="{1B2F23D4-6ED3-43A9-B476-208843DF38C3}" type="presOf" srcId="{B0C310D3-A5C4-423C-ADC0-FD305A7B421A}" destId="{21AD7683-4E21-48FB-A2B0-38429FA73B13}" srcOrd="0" destOrd="0" presId="urn:microsoft.com/office/officeart/2005/8/layout/process3"/>
    <dgm:cxn modelId="{928E53C3-C9F3-4AA5-AD94-167EA96F51E2}" type="presParOf" srcId="{21AD7683-4E21-48FB-A2B0-38429FA73B13}" destId="{1E817AA8-5A37-4644-9254-A1E7980637B5}" srcOrd="0" destOrd="1" presId="urn:microsoft.com/office/officeart/2005/8/layout/process3"/>
    <dgm:cxn modelId="{49EED453-73BD-45B2-91EB-C415B748DC0E}" type="presOf" srcId="{B0C310D3-A5C4-423C-ADC0-FD305A7B421A}" destId="{1E817AA8-5A37-4644-9254-A1E7980637B5}" srcOrd="1" destOrd="0" presId="urn:microsoft.com/office/officeart/2005/8/layout/process3"/>
    <dgm:cxn modelId="{714F0232-D84A-4438-970A-E7D02D376975}" type="presParOf" srcId="{6600DED2-8216-4ABE-8A99-4882629E1A4D}" destId="{C045617B-7AC8-48E8-A23E-4EEE64C722E9}" srcOrd="2" destOrd="0" presId="urn:microsoft.com/office/officeart/2005/8/layout/process3"/>
    <dgm:cxn modelId="{80A80F5F-38A8-4D7B-B0F5-58DE68E0B747}" type="presParOf" srcId="{C045617B-7AC8-48E8-A23E-4EEE64C722E9}" destId="{80F36C30-E8B9-46CB-8E82-DCB718E2913A}" srcOrd="0" destOrd="2" presId="urn:microsoft.com/office/officeart/2005/8/layout/process3"/>
    <dgm:cxn modelId="{2246EBC6-6CCE-4F3D-AF2A-52A31FF490BB}" type="presOf" srcId="{46DF346A-697D-49DC-A6E3-43856FB3680A}" destId="{80F36C30-E8B9-46CB-8E82-DCB718E2913A}" srcOrd="1" destOrd="0" presId="urn:microsoft.com/office/officeart/2005/8/layout/process3"/>
    <dgm:cxn modelId="{D740DB99-5666-4212-8DFA-69D24E1D9C9F}" type="presParOf" srcId="{C045617B-7AC8-48E8-A23E-4EEE64C722E9}" destId="{D9492F92-C776-4E87-A644-EFDBCD913153}" srcOrd="1" destOrd="2" presId="urn:microsoft.com/office/officeart/2005/8/layout/process3"/>
    <dgm:cxn modelId="{BACE98E9-0815-4804-A621-EC040F3FAF6D}" type="presOf" srcId="{46DF346A-697D-49DC-A6E3-43856FB3680A}" destId="{D9492F92-C776-4E87-A644-EFDBCD913153}" srcOrd="0" destOrd="0" presId="urn:microsoft.com/office/officeart/2005/8/layout/process3"/>
    <dgm:cxn modelId="{64E7A34D-2687-4D36-B45B-F51E1950E4EF}" type="presParOf" srcId="{C045617B-7AC8-48E8-A23E-4EEE64C722E9}" destId="{39202776-1058-4F4A-BEDB-2EB21C86564D}" srcOrd="2" destOrd="2" presId="urn:microsoft.com/office/officeart/2005/8/layout/process3"/>
    <dgm:cxn modelId="{83437BD4-E0AD-4297-B571-38900D3FCF93}" type="presOf" srcId="{3B5ADC2F-81FD-4B95-B4F0-1694BF5642D5}" destId="{39202776-1058-4F4A-BEDB-2EB21C86564D}" srcOrd="0" destOrd="0" presId="urn:microsoft.com/office/officeart/2005/8/layout/process3"/>
    <dgm:cxn modelId="{99F0F2D5-DB9C-4710-B1E2-6463BDB6C459}" type="presParOf" srcId="{6600DED2-8216-4ABE-8A99-4882629E1A4D}" destId="{CB985673-CF5D-4242-8941-AFDE6B6D0CD0}" srcOrd="3" destOrd="0" presId="urn:microsoft.com/office/officeart/2005/8/layout/process3"/>
    <dgm:cxn modelId="{3DD5D577-036D-45DC-9AA3-B78EC13ED540}" type="presOf" srcId="{675119B7-956F-4518-BB3E-7AC85B0CC958}" destId="{CB985673-CF5D-4242-8941-AFDE6B6D0CD0}" srcOrd="0" destOrd="0" presId="urn:microsoft.com/office/officeart/2005/8/layout/process3"/>
    <dgm:cxn modelId="{70B3EC33-F1FA-4662-B6DC-B8D1098409EC}" type="presParOf" srcId="{CB985673-CF5D-4242-8941-AFDE6B6D0CD0}" destId="{360EEE2B-27B3-4C7A-8369-4B4E3F0EA5B5}" srcOrd="0" destOrd="3" presId="urn:microsoft.com/office/officeart/2005/8/layout/process3"/>
    <dgm:cxn modelId="{88B9899F-7E29-427D-B929-DD795EC5ED6E}" type="presOf" srcId="{675119B7-956F-4518-BB3E-7AC85B0CC958}" destId="{360EEE2B-27B3-4C7A-8369-4B4E3F0EA5B5}" srcOrd="1" destOrd="0" presId="urn:microsoft.com/office/officeart/2005/8/layout/process3"/>
    <dgm:cxn modelId="{2A373AF8-FA0D-4E66-AC6C-52B82C8BB5E2}" type="presParOf" srcId="{6600DED2-8216-4ABE-8A99-4882629E1A4D}" destId="{4706D582-EEBF-4C1E-B7F4-A6D3E12D3072}" srcOrd="4" destOrd="0" presId="urn:microsoft.com/office/officeart/2005/8/layout/process3"/>
    <dgm:cxn modelId="{B2ABCBD8-EE1E-4D46-8F98-6041B4E13F64}" type="presParOf" srcId="{4706D582-EEBF-4C1E-B7F4-A6D3E12D3072}" destId="{D8686130-E958-4F9D-9269-6FA1732D0A73}" srcOrd="0" destOrd="4" presId="urn:microsoft.com/office/officeart/2005/8/layout/process3"/>
    <dgm:cxn modelId="{61DF7114-059E-408B-A47C-A6F540D9EE34}" type="presOf" srcId="{86FEAB3F-FBB1-46CC-9DC6-E094874805AE}" destId="{D8686130-E958-4F9D-9269-6FA1732D0A73}" srcOrd="1" destOrd="0" presId="urn:microsoft.com/office/officeart/2005/8/layout/process3"/>
    <dgm:cxn modelId="{40F79C5F-D3A1-4B8C-B933-DEC47F8340E1}" type="presParOf" srcId="{4706D582-EEBF-4C1E-B7F4-A6D3E12D3072}" destId="{4201241F-A758-4825-9A41-CBED0FF9E993}" srcOrd="1" destOrd="4" presId="urn:microsoft.com/office/officeart/2005/8/layout/process3"/>
    <dgm:cxn modelId="{5E49749E-651F-4BB0-A70A-5582A4C3CE9F}" type="presOf" srcId="{86FEAB3F-FBB1-46CC-9DC6-E094874805AE}" destId="{4201241F-A758-4825-9A41-CBED0FF9E993}" srcOrd="0" destOrd="0" presId="urn:microsoft.com/office/officeart/2005/8/layout/process3"/>
    <dgm:cxn modelId="{F8EB59D2-6B44-4D5C-85ED-ACAB6FC280A4}" type="presParOf" srcId="{4706D582-EEBF-4C1E-B7F4-A6D3E12D3072}" destId="{BFC7A65B-961A-4F69-8CB3-248457E85C87}" srcOrd="2" destOrd="4" presId="urn:microsoft.com/office/officeart/2005/8/layout/process3"/>
    <dgm:cxn modelId="{F7D9FFC0-B78B-4F4E-961B-F9F2E48E47EE}" type="presOf" srcId="{898F0B5E-939F-4B37-81DF-B5FACDBFAF72}" destId="{BFC7A65B-961A-4F69-8CB3-248457E85C87}" srcOrd="0" destOrd="0" presId="urn:microsoft.com/office/officeart/2005/8/layout/process3"/>
    <dgm:cxn modelId="{0E9F2AD0-BDE0-43E0-9810-525FC0688F37}" type="presOf" srcId="{3D7C4AE8-1A7D-4523-8C8C-E492E4C07778}" destId="{BFC7A65B-961A-4F69-8CB3-248457E85C87}" srcOrd="0" destOrd="1" presId="urn:microsoft.com/office/officeart/2005/8/layout/process3"/>
    <dgm:cxn modelId="{636D6D39-354E-450B-B5F9-79AFD796DD51}" type="presOf" srcId="{EB6006A6-BDEF-4FF9-8287-89793ACF6620}" destId="{BFC7A65B-961A-4F69-8CB3-248457E85C87}" srcOrd="0" destOrd="2" presId="urn:microsoft.com/office/officeart/2005/8/layout/process3"/>
    <dgm:cxn modelId="{0DB78A45-E697-4FD1-8E3B-A82724FC461B}" type="presOf" srcId="{5941D12B-3C48-442A-8FB7-9AC7177B88B1}" destId="{BFC7A65B-961A-4F69-8CB3-248457E85C87}" srcOrd="0" destOrd="3" presId="urn:microsoft.com/office/officeart/2005/8/layout/process3"/>
    <dgm:cxn modelId="{965326EB-7860-4FD8-B1AD-D1F8012313BF}" type="presOf" srcId="{D9DB85CD-FC80-4BAD-A58B-345BB444F828}" destId="{BFC7A65B-961A-4F69-8CB3-248457E85C87}" srcOrd="0" destOrd="4" presId="urn:microsoft.com/office/officeart/2005/8/layout/process3"/>
    <dgm:cxn modelId="{8A91A32F-3258-4DE2-8629-CA69B2B977FC}" type="presOf" srcId="{163A70E8-E760-4A1D-ADAE-B26DF828D6BF}" destId="{BFC7A65B-961A-4F69-8CB3-248457E85C87}" srcOrd="0" destOrd="5" presId="urn:microsoft.com/office/officeart/2005/8/layout/process3"/>
    <dgm:cxn modelId="{A6AA5216-9590-440D-83B0-3D0AFEA4CE6D}" type="presOf" srcId="{AC17BA24-6617-4F22-B098-71582E8FA72D}" destId="{BFC7A65B-961A-4F69-8CB3-248457E85C87}" srcOrd="0" destOrd="6" presId="urn:microsoft.com/office/officeart/2005/8/layout/process3"/>
    <dgm:cxn modelId="{D15D2161-41FB-4B87-92F2-9482E46BAC2D}" type="presOf" srcId="{F580B88C-764D-47D8-9546-705F539FD441}" destId="{BFC7A65B-961A-4F69-8CB3-248457E85C87}" srcOrd="0" destOrd="7" presId="urn:microsoft.com/office/officeart/2005/8/layout/process3"/>
    <dgm:cxn modelId="{71047893-B16C-4306-8F05-40CCD595BF97}" type="presOf" srcId="{DD8FAA2E-0C7C-4A81-AC9C-26685F5BB104}" destId="{BFC7A65B-961A-4F69-8CB3-248457E85C87}" srcOrd="0" destOrd="8" presId="urn:microsoft.com/office/officeart/2005/8/layout/process3"/>
    <dgm:cxn modelId="{927A2285-5BE6-42EB-AE2C-BCBB673AB195}" type="presOf" srcId="{04B14D8B-7922-42E9-8B4D-1C740B9404AD}" destId="{BFC7A65B-961A-4F69-8CB3-248457E85C87}" srcOrd="0" destOrd="9" presId="urn:microsoft.com/office/officeart/2005/8/layout/process3"/>
    <dgm:cxn modelId="{11528C37-A126-4642-938C-1EDB2B903C26}" type="presOf" srcId="{7BE5F47E-18DD-4708-993A-7FB4F69A32F9}" destId="{BFC7A65B-961A-4F69-8CB3-248457E85C87}" srcOrd="0" destOrd="10" presId="urn:microsoft.com/office/officeart/2005/8/layout/process3"/>
    <dgm:cxn modelId="{7AE67417-CBD8-4B64-B31C-5F685DC25F75}" type="presOf" srcId="{C6A1FCC7-2C9F-4106-87E6-921AF0C2E142}" destId="{BFC7A65B-961A-4F69-8CB3-248457E85C87}" srcOrd="0" destOrd="11" presId="urn:microsoft.com/office/officeart/2005/8/layout/process3"/>
    <dgm:cxn modelId="{B14511E6-DF19-4D2E-BCBF-65C3FAF559CA}" type="presOf" srcId="{DE9FACDD-8A5F-43D0-90D8-E8354EEECDA4}" destId="{BFC7A65B-961A-4F69-8CB3-248457E85C87}" srcOrd="0" destOrd="12" presId="urn:microsoft.com/office/officeart/2005/8/layout/process3"/>
    <dgm:cxn modelId="{855ED242-F768-4441-B7FC-D3128D8288B0}" type="presOf" srcId="{54E074BF-007A-45B5-8A1D-228057780072}" destId="{BFC7A65B-961A-4F69-8CB3-248457E85C87}" srcOrd="0" destOrd="13" presId="urn:microsoft.com/office/officeart/2005/8/layout/process3"/>
    <dgm:cxn modelId="{D966D9F6-069D-49AB-8458-A2423C4D80A7}" type="presOf" srcId="{48FDCDEA-D1ED-4D30-ACA5-7C186E6CA1EE}" destId="{BFC7A65B-961A-4F69-8CB3-248457E85C87}" srcOrd="0" destOrd="14" presId="urn:microsoft.com/office/officeart/2005/8/layout/process3"/>
    <dgm:cxn modelId="{CFB71231-5B28-4662-8BC8-C6BE655AD743}" type="presOf" srcId="{97511F00-5DFB-4715-BC50-D4FC09A3CEB1}" destId="{BFC7A65B-961A-4F69-8CB3-248457E85C87}" srcOrd="0" destOrd="15" presId="urn:microsoft.com/office/officeart/2005/8/layout/process3"/>
    <dgm:cxn modelId="{5F5DC159-34E4-42FD-9E01-3BA6BD64C2B4}" type="presOf" srcId="{80B9E220-A551-4697-8524-061F5D7FFA61}" destId="{BFC7A65B-961A-4F69-8CB3-248457E85C87}" srcOrd="0" destOrd="16" presId="urn:microsoft.com/office/officeart/2005/8/layout/process3"/>
    <dgm:cxn modelId="{106BBD83-987B-4B7B-A452-8BAF1A38CA7F}" type="presOf" srcId="{100AD956-11A4-4B90-BFD8-7A697DFB1D10}" destId="{BFC7A65B-961A-4F69-8CB3-248457E85C87}" srcOrd="0" destOrd="17" presId="urn:microsoft.com/office/officeart/2005/8/layout/process3"/>
    <dgm:cxn modelId="{73C37539-AD4C-4F93-8AFB-AE3F9145732A}" type="presOf" srcId="{25CB68A6-4448-46B4-9FF4-EE6C4D70CB82}" destId="{BFC7A65B-961A-4F69-8CB3-248457E85C87}" srcOrd="0" destOrd="18" presId="urn:microsoft.com/office/officeart/2005/8/layout/process3"/>
    <dgm:cxn modelId="{C0C606D0-5BD4-4528-AC8B-A1E88F461857}" type="presOf" srcId="{6F6BC553-0D11-4719-9163-E927B244D608}" destId="{BFC7A65B-961A-4F69-8CB3-248457E85C87}" srcOrd="0" destOrd="19" presId="urn:microsoft.com/office/officeart/2005/8/layout/process3"/>
    <dgm:cxn modelId="{B58C6694-442F-4B49-B38E-9A1A3716FBC3}" type="presOf" srcId="{8701CF23-E970-4667-9261-4B5380709E99}" destId="{BFC7A65B-961A-4F69-8CB3-248457E85C87}" srcOrd="0" destOrd="20" presId="urn:microsoft.com/office/officeart/2005/8/layout/process3"/>
    <dgm:cxn modelId="{41E81A15-5AD4-462E-82C3-E563F7C20D7C}" type="presOf" srcId="{62A7D332-84BE-4A25-9400-E1E43A81F001}" destId="{BFC7A65B-961A-4F69-8CB3-248457E85C87}" srcOrd="0" destOrd="21" presId="urn:microsoft.com/office/officeart/2005/8/layout/process3"/>
    <dgm:cxn modelId="{1ABA21EE-5243-4BE9-86A6-9C61BBCA0DDC}" type="presOf" srcId="{A75838FF-5412-4135-8370-4ADE96DDE664}" destId="{BFC7A65B-961A-4F69-8CB3-248457E85C87}" srcOrd="0" destOrd="22" presId="urn:microsoft.com/office/officeart/2005/8/layout/process3"/>
    <dgm:cxn modelId="{FAFF3C29-BE3F-4EE5-BC45-3832D6E6A14C}" type="presOf" srcId="{51C5171D-56F1-438D-AF97-716E65A6C605}" destId="{BFC7A65B-961A-4F69-8CB3-248457E85C87}" srcOrd="0" destOrd="23" presId="urn:microsoft.com/office/officeart/2005/8/layout/process3"/>
    <dgm:cxn modelId="{055297D1-53E6-4D1F-AB9D-32D19FF7A6DD}" type="presOf" srcId="{EB4F6E3C-5DA2-4E55-BC26-0BC50D2C68F7}" destId="{BFC7A65B-961A-4F69-8CB3-248457E85C87}" srcOrd="0" destOrd="24" presId="urn:microsoft.com/office/officeart/2005/8/layout/process3"/>
    <dgm:cxn modelId="{CB08B01D-308A-46EA-8AE7-4E32F3431B66}" type="presParOf" srcId="{6600DED2-8216-4ABE-8A99-4882629E1A4D}" destId="{5D27C5B2-FAF5-4B9E-8CE5-8F54D12F7C36}" srcOrd="5" destOrd="0" presId="urn:microsoft.com/office/officeart/2005/8/layout/process3"/>
    <dgm:cxn modelId="{1E366C15-B393-421A-9D88-8BA05E6AAAF2}" type="presOf" srcId="{C7876883-34BD-4A68-A98E-D95D42D0FF9D}" destId="{5D27C5B2-FAF5-4B9E-8CE5-8F54D12F7C36}" srcOrd="0" destOrd="0" presId="urn:microsoft.com/office/officeart/2005/8/layout/process3"/>
    <dgm:cxn modelId="{93748E15-5664-42A3-A5EE-CAE6DC3190A4}" type="presParOf" srcId="{5D27C5B2-FAF5-4B9E-8CE5-8F54D12F7C36}" destId="{F8D5EB2A-738F-4E50-B014-79322171C96A}" srcOrd="0" destOrd="5" presId="urn:microsoft.com/office/officeart/2005/8/layout/process3"/>
    <dgm:cxn modelId="{70813B42-7FC5-4C72-A7BD-D43C2CD683C1}" type="presOf" srcId="{C7876883-34BD-4A68-A98E-D95D42D0FF9D}" destId="{F8D5EB2A-738F-4E50-B014-79322171C96A}" srcOrd="1" destOrd="0" presId="urn:microsoft.com/office/officeart/2005/8/layout/process3"/>
    <dgm:cxn modelId="{128B0EDA-7A10-4EE0-A4B7-6528004F9F44}" type="presParOf" srcId="{6600DED2-8216-4ABE-8A99-4882629E1A4D}" destId="{F26AA55F-82F1-418C-9A96-43549025ACC4}" srcOrd="6" destOrd="0" presId="urn:microsoft.com/office/officeart/2005/8/layout/process3"/>
    <dgm:cxn modelId="{DD41EE9D-DB3F-4302-8E6C-9225D1FD52A8}" type="presParOf" srcId="{F26AA55F-82F1-418C-9A96-43549025ACC4}" destId="{9E6710B0-CA4A-491D-9F31-D4E77C18ECF4}" srcOrd="0" destOrd="6" presId="urn:microsoft.com/office/officeart/2005/8/layout/process3"/>
    <dgm:cxn modelId="{7E79AAFC-BADC-4632-87F5-0727016CC27C}" type="presOf" srcId="{11EC3D9D-CABC-4F6B-8311-51EC9AF94B05}" destId="{9E6710B0-CA4A-491D-9F31-D4E77C18ECF4}" srcOrd="1" destOrd="0" presId="urn:microsoft.com/office/officeart/2005/8/layout/process3"/>
    <dgm:cxn modelId="{70EB4B6A-73AC-43E9-89C8-17045D58D02A}" type="presParOf" srcId="{F26AA55F-82F1-418C-9A96-43549025ACC4}" destId="{685B1DED-BB57-492C-9EFB-01DECA055EE0}" srcOrd="1" destOrd="6" presId="urn:microsoft.com/office/officeart/2005/8/layout/process3"/>
    <dgm:cxn modelId="{448A067B-B595-4C2D-A767-AC350489C11A}" type="presOf" srcId="{11EC3D9D-CABC-4F6B-8311-51EC9AF94B05}" destId="{685B1DED-BB57-492C-9EFB-01DECA055EE0}" srcOrd="0" destOrd="0" presId="urn:microsoft.com/office/officeart/2005/8/layout/process3"/>
    <dgm:cxn modelId="{FB075F32-DE5F-4470-A649-9A16684787A1}" type="presParOf" srcId="{F26AA55F-82F1-418C-9A96-43549025ACC4}" destId="{E23DD660-5416-4F6A-BFC2-5DC35AFE6E53}" srcOrd="2" destOrd="6" presId="urn:microsoft.com/office/officeart/2005/8/layout/process3"/>
    <dgm:cxn modelId="{363738DB-4560-486B-A16E-C4AD0F4F3E46}" type="presOf" srcId="{6BE6A710-46C9-4A44-9AA0-502884A9DC0A}" destId="{E23DD660-5416-4F6A-BFC2-5DC35AFE6E53}" srcOrd="0" destOrd="0" presId="urn:microsoft.com/office/officeart/2005/8/layout/process3"/>
    <dgm:cxn modelId="{71DA7DAF-A63E-4B10-A3E8-03D9F640A724}" type="presOf" srcId="{F63A9164-DB07-49FA-A23D-39F2F2D371A2}" destId="{E23DD660-5416-4F6A-BFC2-5DC35AFE6E53}" srcOrd="0" destOrd="1" presId="urn:microsoft.com/office/officeart/2005/8/layout/process3"/>
    <dgm:cxn modelId="{F8661954-829D-4088-8EEF-69089E7BF28C}" type="presOf" srcId="{3A40741D-6EC5-4CB0-9E87-65E55D1BA8A6}" destId="{E23DD660-5416-4F6A-BFC2-5DC35AFE6E53}" srcOrd="0" destOrd="2" presId="urn:microsoft.com/office/officeart/2005/8/layout/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8DCCA84-845D-4AFA-B5C9-F6524C28B363}" type="doc">
      <dgm:prSet loTypeId="cycle" loCatId="cycle" qsTypeId="urn:microsoft.com/office/officeart/2005/8/quickstyle/simple2" qsCatId="simple" csTypeId="urn:microsoft.com/office/officeart/2005/8/colors/accent0_1" csCatId="accent1" phldr="0"/>
      <dgm:spPr/>
      <dgm:t>
        <a:bodyPr/>
        <a:p>
          <a:endParaRPr lang="en-US"/>
        </a:p>
      </dgm:t>
    </dgm:pt>
    <dgm:pt modelId="{3B7D232D-7CD3-4CE8-9F64-CD8AC0A8F086}">
      <dgm:prSet phldrT="[Text]" phldr="0" custT="0"/>
      <dgm:spPr/>
      <dgm:t>
        <a:bodyPr vert="horz" wrap="square"/>
        <a:p>
          <a:pPr>
            <a:lnSpc>
              <a:spcPct val="100000"/>
            </a:lnSpc>
            <a:spcBef>
              <a:spcPct val="0"/>
            </a:spcBef>
            <a:spcAft>
              <a:spcPct val="35000"/>
            </a:spcAft>
          </a:pPr>
          <a:r>
            <a:rPr lang="en-US"/>
            <a:t>C</a:t>
          </a:r>
          <a:r>
            <a:rPr lang="en-US"/>
            <a:t>ircular economy</a:t>
          </a:r>
          <a:r>
            <a:rPr lang="en-US"/>
            <a:t/>
          </a:r>
          <a:endParaRPr lang="en-US"/>
        </a:p>
      </dgm:t>
    </dgm:pt>
    <dgm:pt modelId="{C7F2A52F-E9AF-4FE6-B5CD-C166BF0ADD11}" cxnId="{2CB686DA-5217-4FF9-BDE4-0735B7D6DEB8}" type="parTrans">
      <dgm:prSet/>
      <dgm:spPr/>
      <dgm:t>
        <a:bodyPr/>
        <a:p>
          <a:endParaRPr lang="en-US"/>
        </a:p>
      </dgm:t>
    </dgm:pt>
    <dgm:pt modelId="{30BC1A13-A670-40BD-AA58-D31C951E8C01}" cxnId="{2CB686DA-5217-4FF9-BDE4-0735B7D6DEB8}" type="sibTrans">
      <dgm:prSet/>
      <dgm:spPr/>
      <dgm:t>
        <a:bodyPr/>
        <a:p>
          <a:endParaRPr lang="en-US"/>
        </a:p>
      </dgm:t>
    </dgm:pt>
    <dgm:pt modelId="{C7B2594F-967C-49BB-B2B4-428D59DF0E5B}">
      <dgm:prSet phldrT="[Text]" phldr="0" custT="0"/>
      <dgm:spPr/>
      <dgm:t>
        <a:bodyPr vert="horz" wrap="square"/>
        <a:p>
          <a:pPr>
            <a:lnSpc>
              <a:spcPct val="100000"/>
            </a:lnSpc>
            <a:spcBef>
              <a:spcPct val="0"/>
            </a:spcBef>
            <a:spcAft>
              <a:spcPct val="35000"/>
            </a:spcAft>
          </a:pPr>
          <a:r>
            <a:rPr lang="en-US">
              <a:latin typeface="Times New Roman" panose="02020603050405020304" charset="0"/>
              <a:cs typeface="Times New Roman" panose="02020603050405020304" charset="0"/>
            </a:rPr>
            <a:t>Raw material </a:t>
          </a:r>
          <a:endParaRPr lang="en-US">
            <a:latin typeface="Times New Roman" panose="02020603050405020304" charset="0"/>
            <a:cs typeface="Times New Roman" panose="02020603050405020304" charset="0"/>
          </a:endParaRPr>
        </a:p>
      </dgm:t>
    </dgm:pt>
    <dgm:pt modelId="{BDBB4B8B-EAF7-4324-AC79-B5938C48C343}" cxnId="{810FF3E3-90E2-4557-B6BF-1FDB13136967}" type="parTrans">
      <dgm:prSet/>
      <dgm:spPr/>
      <dgm:t>
        <a:bodyPr/>
        <a:p>
          <a:endParaRPr lang="en-US"/>
        </a:p>
      </dgm:t>
    </dgm:pt>
    <dgm:pt modelId="{33450FBC-DB64-439A-8E3F-E2574AEFCA86}" cxnId="{810FF3E3-90E2-4557-B6BF-1FDB13136967}" type="sibTrans">
      <dgm:prSet/>
      <dgm:spPr/>
      <dgm:t>
        <a:bodyPr/>
        <a:p>
          <a:endParaRPr lang="en-US"/>
        </a:p>
      </dgm:t>
    </dgm:pt>
    <dgm:pt modelId="{20E1D345-7DCB-4957-BFF6-55B0518DD116}">
      <dgm:prSet phldr="0" custT="1"/>
      <dgm:spPr/>
      <dgm:t>
        <a:bodyPr vert="horz" wrap="square"/>
        <a:p>
          <a:pPr>
            <a:lnSpc>
              <a:spcPct val="100000"/>
            </a:lnSpc>
            <a:spcBef>
              <a:spcPct val="0"/>
            </a:spcBef>
            <a:spcAft>
              <a:spcPct val="35000"/>
            </a:spcAft>
          </a:pPr>
          <a:r>
            <a:rPr lang="en-US" sz="1600">
              <a:cs typeface="+mn-lt"/>
            </a:rPr>
            <a:t>Sustainable design </a:t>
          </a:r>
          <a:r>
            <a:rPr lang="en-US" sz="1600">
              <a:cs typeface="+mn-lt"/>
            </a:rPr>
            <a:t/>
          </a:r>
          <a:endParaRPr lang="en-US" sz="1600">
            <a:cs typeface="+mn-lt"/>
          </a:endParaRPr>
        </a:p>
      </dgm:t>
    </dgm:pt>
    <dgm:pt modelId="{2D48308A-964E-4D03-9F17-FF141E12D393}" cxnId="{D7CAAAA5-8D3B-4E12-A0AF-7F8131BBE7DA}" type="parTrans">
      <dgm:prSet/>
      <dgm:spPr/>
    </dgm:pt>
    <dgm:pt modelId="{638F11B5-60B4-4E1E-856C-C73A6E3768B4}" cxnId="{D7CAAAA5-8D3B-4E12-A0AF-7F8131BBE7DA}" type="sibTrans">
      <dgm:prSet/>
      <dgm:spPr/>
    </dgm:pt>
    <dgm:pt modelId="{7AE19BB1-D0BC-44DC-ACE9-78FC98B383AD}">
      <dgm:prSet phldr="0" custT="0"/>
      <dgm:spPr/>
      <dgm:t>
        <a:bodyPr vert="horz" wrap="square"/>
        <a:p>
          <a:pPr>
            <a:lnSpc>
              <a:spcPct val="100000"/>
            </a:lnSpc>
            <a:spcBef>
              <a:spcPct val="0"/>
            </a:spcBef>
            <a:spcAft>
              <a:spcPct val="35000"/>
            </a:spcAft>
          </a:pPr>
          <a:r>
            <a:rPr lang="en-US"/>
            <a:t>Production</a:t>
          </a:r>
          <a:r>
            <a:rPr lang="en-US"/>
            <a:t/>
          </a:r>
          <a:endParaRPr lang="en-US"/>
        </a:p>
      </dgm:t>
    </dgm:pt>
    <dgm:pt modelId="{D8B63AB3-C4FF-461A-9579-6E9ED1602B76}" cxnId="{0D50C679-7767-4D28-9E59-FD7674263157}" type="parTrans">
      <dgm:prSet/>
      <dgm:spPr/>
    </dgm:pt>
    <dgm:pt modelId="{E691634B-FA81-468F-BAFC-FBFD3F6F5966}" cxnId="{0D50C679-7767-4D28-9E59-FD7674263157}" type="sibTrans">
      <dgm:prSet/>
      <dgm:spPr/>
    </dgm:pt>
    <dgm:pt modelId="{B3E0BC1C-A551-4789-A159-48EC2F9D1B18}">
      <dgm:prSet phldr="0" custT="0"/>
      <dgm:spPr/>
      <dgm:t>
        <a:bodyPr vert="horz" wrap="square"/>
        <a:p>
          <a:pPr>
            <a:lnSpc>
              <a:spcPct val="100000"/>
            </a:lnSpc>
            <a:spcBef>
              <a:spcPct val="0"/>
            </a:spcBef>
            <a:spcAft>
              <a:spcPct val="35000"/>
            </a:spcAft>
          </a:pPr>
          <a:r>
            <a:rPr lang="en-US"/>
            <a:t>Distribution</a:t>
          </a:r>
          <a:endParaRPr lang="en-US"/>
        </a:p>
      </dgm:t>
    </dgm:pt>
    <dgm:pt modelId="{04E1AD22-8EE4-4D0F-92AA-AD582F4FBE54}" cxnId="{5EA43171-C0E7-4834-B1B1-DF014F982C2E}" type="parTrans">
      <dgm:prSet/>
      <dgm:spPr/>
    </dgm:pt>
    <dgm:pt modelId="{BB1F2E90-CA6E-4C7B-90AE-177066BC0405}" cxnId="{5EA43171-C0E7-4834-B1B1-DF014F982C2E}" type="sibTrans">
      <dgm:prSet/>
      <dgm:spPr/>
    </dgm:pt>
    <dgm:pt modelId="{2754153E-2870-4A58-BD98-DAF85237F37A}">
      <dgm:prSet phldrT="[Text]" phldr="0" custT="0"/>
      <dgm:spPr/>
      <dgm:t>
        <a:bodyPr vert="horz" wrap="square"/>
        <a:p>
          <a:pPr>
            <a:lnSpc>
              <a:spcPct val="100000"/>
            </a:lnSpc>
            <a:spcBef>
              <a:spcPct val="0"/>
            </a:spcBef>
            <a:spcAft>
              <a:spcPct val="35000"/>
            </a:spcAft>
          </a:pPr>
          <a:r>
            <a:rPr lang="en-US"/>
            <a:t>Consumption</a:t>
          </a:r>
          <a:endParaRPr lang="en-US"/>
        </a:p>
        <a:p>
          <a:pPr>
            <a:lnSpc>
              <a:spcPct val="100000"/>
            </a:lnSpc>
            <a:spcBef>
              <a:spcPct val="0"/>
            </a:spcBef>
            <a:spcAft>
              <a:spcPct val="35000"/>
            </a:spcAft>
          </a:pPr>
          <a:r>
            <a:rPr lang="en-US"/>
            <a:t>Reuse</a:t>
          </a:r>
          <a:endParaRPr lang="en-US"/>
        </a:p>
        <a:p>
          <a:pPr>
            <a:lnSpc>
              <a:spcPct val="100000"/>
            </a:lnSpc>
            <a:spcBef>
              <a:spcPct val="0"/>
            </a:spcBef>
            <a:spcAft>
              <a:spcPct val="35000"/>
            </a:spcAft>
          </a:pPr>
          <a:r>
            <a:rPr lang="en-US"/>
            <a:t>Repair</a:t>
          </a:r>
          <a:r>
            <a:rPr lang="en-US"/>
            <a:t/>
          </a:r>
          <a:endParaRPr lang="en-US"/>
        </a:p>
      </dgm:t>
    </dgm:pt>
    <dgm:pt modelId="{42C2D6D1-657F-4D95-8E73-20ABF221F4DE}" cxnId="{71FB962C-6350-4456-A459-0EB9EC82EA03}" type="parTrans">
      <dgm:prSet/>
      <dgm:spPr/>
      <dgm:t>
        <a:bodyPr/>
        <a:p>
          <a:endParaRPr lang="en-US"/>
        </a:p>
      </dgm:t>
    </dgm:pt>
    <dgm:pt modelId="{2EBAC0DD-319C-4E29-BF39-DF789C3A671B}" cxnId="{71FB962C-6350-4456-A459-0EB9EC82EA03}" type="sibTrans">
      <dgm:prSet/>
      <dgm:spPr/>
      <dgm:t>
        <a:bodyPr/>
        <a:p>
          <a:endParaRPr lang="en-US"/>
        </a:p>
      </dgm:t>
    </dgm:pt>
    <dgm:pt modelId="{958CABDF-7852-497F-8010-4C61E7F717F8}">
      <dgm:prSet phldrT="[Text]" phldr="0" custT="0"/>
      <dgm:spPr/>
      <dgm:t>
        <a:bodyPr vert="horz" wrap="square"/>
        <a:p>
          <a:pPr>
            <a:lnSpc>
              <a:spcPct val="100000"/>
            </a:lnSpc>
            <a:spcBef>
              <a:spcPct val="0"/>
            </a:spcBef>
            <a:spcAft>
              <a:spcPct val="35000"/>
            </a:spcAft>
          </a:pPr>
          <a:r>
            <a:rPr lang="en-US"/>
            <a:t>Collection</a:t>
          </a:r>
          <a:r>
            <a:rPr lang="en-US"/>
            <a:t/>
          </a:r>
          <a:endParaRPr lang="en-US"/>
        </a:p>
      </dgm:t>
    </dgm:pt>
    <dgm:pt modelId="{2FC43F87-80F9-4689-A911-01FBE8108216}" cxnId="{EA45FEBB-64DD-484D-89E8-DB48818EEC78}" type="parTrans">
      <dgm:prSet/>
      <dgm:spPr/>
      <dgm:t>
        <a:bodyPr/>
        <a:p>
          <a:endParaRPr lang="en-US"/>
        </a:p>
      </dgm:t>
    </dgm:pt>
    <dgm:pt modelId="{12DBAD54-938D-421B-8D70-FD589A3A24B7}" cxnId="{EA45FEBB-64DD-484D-89E8-DB48818EEC78}" type="sibTrans">
      <dgm:prSet/>
      <dgm:spPr/>
      <dgm:t>
        <a:bodyPr/>
        <a:p>
          <a:endParaRPr lang="en-US"/>
        </a:p>
      </dgm:t>
    </dgm:pt>
    <dgm:pt modelId="{82717C1F-66C6-4A94-9A71-62F2105F77AB}">
      <dgm:prSet phldrT="[Text]" phldr="0" custT="0"/>
      <dgm:spPr/>
      <dgm:t>
        <a:bodyPr vert="horz" wrap="square"/>
        <a:p>
          <a:pPr>
            <a:lnSpc>
              <a:spcPct val="100000"/>
            </a:lnSpc>
            <a:spcBef>
              <a:spcPct val="0"/>
            </a:spcBef>
            <a:spcAft>
              <a:spcPct val="35000"/>
            </a:spcAft>
          </a:pPr>
          <a:r>
            <a:rPr lang="en-US"/>
            <a:t>Waste management</a:t>
          </a:r>
          <a:endParaRPr lang="en-US"/>
        </a:p>
        <a:p>
          <a:pPr>
            <a:lnSpc>
              <a:spcPct val="100000"/>
            </a:lnSpc>
            <a:spcBef>
              <a:spcPct val="0"/>
            </a:spcBef>
            <a:spcAft>
              <a:spcPct val="35000"/>
            </a:spcAft>
          </a:pPr>
          <a:r>
            <a:rPr lang="en-US"/>
            <a:t>Residual Waste </a:t>
          </a:r>
          <a:r>
            <a:rPr lang="en-US"/>
            <a:t/>
          </a:r>
          <a:endParaRPr lang="en-US"/>
        </a:p>
      </dgm:t>
    </dgm:pt>
    <dgm:pt modelId="{76E20547-2B14-46FF-8876-56FF1C0E3AD3}" cxnId="{1D8A95D0-14D6-4F8C-85FF-E2BD0C71E1A9}" type="parTrans">
      <dgm:prSet/>
      <dgm:spPr/>
      <dgm:t>
        <a:bodyPr/>
        <a:p>
          <a:endParaRPr lang="en-US"/>
        </a:p>
      </dgm:t>
    </dgm:pt>
    <dgm:pt modelId="{5D0F8D1F-49D5-4EDC-83FB-B27D620915A5}" cxnId="{1D8A95D0-14D6-4F8C-85FF-E2BD0C71E1A9}" type="sibTrans">
      <dgm:prSet/>
      <dgm:spPr/>
      <dgm:t>
        <a:bodyPr/>
        <a:p>
          <a:endParaRPr lang="en-US"/>
        </a:p>
      </dgm:t>
    </dgm:pt>
    <dgm:pt modelId="{C397CB15-7790-4F1A-896D-7552F2F7F294}" type="pres">
      <dgm:prSet presAssocID="{08DCCA84-845D-4AFA-B5C9-F6524C28B363}" presName="composite" presStyleCnt="0">
        <dgm:presLayoutVars>
          <dgm:chMax val="1"/>
          <dgm:dir/>
          <dgm:resizeHandles val="exact"/>
        </dgm:presLayoutVars>
      </dgm:prSet>
      <dgm:spPr/>
    </dgm:pt>
    <dgm:pt modelId="{947B5A56-686A-4842-A85E-F213490D2A53}" type="pres">
      <dgm:prSet presAssocID="{08DCCA84-845D-4AFA-B5C9-F6524C28B363}" presName="radial" presStyleCnt="0">
        <dgm:presLayoutVars>
          <dgm:animLvl val="ctr"/>
        </dgm:presLayoutVars>
      </dgm:prSet>
      <dgm:spPr/>
    </dgm:pt>
    <dgm:pt modelId="{4D249092-DA8C-4681-AA9C-207F2DFD3154}" type="pres">
      <dgm:prSet presAssocID="{3B7D232D-7CD3-4CE8-9F64-CD8AC0A8F086}" presName="centerShape" presStyleLbl="vennNode1" presStyleIdx="0" presStyleCnt="8"/>
      <dgm:spPr/>
    </dgm:pt>
    <dgm:pt modelId="{0ABA4A14-2574-4777-939A-8A91AE25FBF5}" type="pres">
      <dgm:prSet presAssocID="{C7B2594F-967C-49BB-B2B4-428D59DF0E5B}" presName="node" presStyleLbl="vennNode1" presStyleIdx="1" presStyleCnt="8">
        <dgm:presLayoutVars>
          <dgm:bulletEnabled val="1"/>
        </dgm:presLayoutVars>
      </dgm:prSet>
      <dgm:spPr/>
    </dgm:pt>
    <dgm:pt modelId="{474554E0-55A6-47EA-B00A-B567AA29D79A}" type="pres">
      <dgm:prSet presAssocID="{20E1D345-7DCB-4957-BFF6-55B0518DD116}" presName="node" presStyleLbl="vennNode1" presStyleIdx="2" presStyleCnt="8">
        <dgm:presLayoutVars>
          <dgm:bulletEnabled val="1"/>
        </dgm:presLayoutVars>
      </dgm:prSet>
      <dgm:spPr/>
    </dgm:pt>
    <dgm:pt modelId="{A9B0FA4B-2931-458E-93B9-8F0E46BCB2B8}" type="pres">
      <dgm:prSet presAssocID="{7AE19BB1-D0BC-44DC-ACE9-78FC98B383AD}" presName="node" presStyleLbl="vennNode1" presStyleIdx="3" presStyleCnt="8">
        <dgm:presLayoutVars>
          <dgm:bulletEnabled val="1"/>
        </dgm:presLayoutVars>
      </dgm:prSet>
      <dgm:spPr/>
    </dgm:pt>
    <dgm:pt modelId="{E958178C-87CF-4B5F-870F-67A8865C0100}" type="pres">
      <dgm:prSet presAssocID="{B3E0BC1C-A551-4789-A159-48EC2F9D1B18}" presName="node" presStyleLbl="vennNode1" presStyleIdx="4" presStyleCnt="8">
        <dgm:presLayoutVars>
          <dgm:bulletEnabled val="1"/>
        </dgm:presLayoutVars>
      </dgm:prSet>
      <dgm:spPr/>
    </dgm:pt>
    <dgm:pt modelId="{A9981A18-75F3-41F3-9957-B40659E402CE}" type="pres">
      <dgm:prSet presAssocID="{2754153E-2870-4A58-BD98-DAF85237F37A}" presName="node" presStyleLbl="vennNode1" presStyleIdx="5" presStyleCnt="8">
        <dgm:presLayoutVars>
          <dgm:bulletEnabled val="1"/>
        </dgm:presLayoutVars>
      </dgm:prSet>
      <dgm:spPr/>
    </dgm:pt>
    <dgm:pt modelId="{5EBE0206-6FD5-462B-AC34-DF1594CC1BEE}" type="pres">
      <dgm:prSet presAssocID="{958CABDF-7852-497F-8010-4C61E7F717F8}" presName="node" presStyleLbl="vennNode1" presStyleIdx="6" presStyleCnt="8">
        <dgm:presLayoutVars>
          <dgm:bulletEnabled val="1"/>
        </dgm:presLayoutVars>
      </dgm:prSet>
      <dgm:spPr/>
    </dgm:pt>
    <dgm:pt modelId="{5BB31F2C-9F6F-461E-B8AE-DAD63322F779}" type="pres">
      <dgm:prSet presAssocID="{82717C1F-66C6-4A94-9A71-62F2105F77AB}" presName="node" presStyleLbl="vennNode1" presStyleIdx="7" presStyleCnt="8">
        <dgm:presLayoutVars>
          <dgm:bulletEnabled val="1"/>
        </dgm:presLayoutVars>
      </dgm:prSet>
      <dgm:spPr/>
    </dgm:pt>
  </dgm:ptLst>
  <dgm:cxnLst>
    <dgm:cxn modelId="{2CB686DA-5217-4FF9-BDE4-0735B7D6DEB8}" srcId="{08DCCA84-845D-4AFA-B5C9-F6524C28B363}" destId="{3B7D232D-7CD3-4CE8-9F64-CD8AC0A8F086}" srcOrd="0" destOrd="0" parTransId="{C7F2A52F-E9AF-4FE6-B5CD-C166BF0ADD11}" sibTransId="{30BC1A13-A670-40BD-AA58-D31C951E8C01}"/>
    <dgm:cxn modelId="{810FF3E3-90E2-4557-B6BF-1FDB13136967}" srcId="{3B7D232D-7CD3-4CE8-9F64-CD8AC0A8F086}" destId="{C7B2594F-967C-49BB-B2B4-428D59DF0E5B}" srcOrd="0" destOrd="0" parTransId="{BDBB4B8B-EAF7-4324-AC79-B5938C48C343}" sibTransId="{33450FBC-DB64-439A-8E3F-E2574AEFCA86}"/>
    <dgm:cxn modelId="{D7CAAAA5-8D3B-4E12-A0AF-7F8131BBE7DA}" srcId="{3B7D232D-7CD3-4CE8-9F64-CD8AC0A8F086}" destId="{20E1D345-7DCB-4957-BFF6-55B0518DD116}" srcOrd="1" destOrd="0" parTransId="{2D48308A-964E-4D03-9F17-FF141E12D393}" sibTransId="{638F11B5-60B4-4E1E-856C-C73A6E3768B4}"/>
    <dgm:cxn modelId="{0D50C679-7767-4D28-9E59-FD7674263157}" srcId="{3B7D232D-7CD3-4CE8-9F64-CD8AC0A8F086}" destId="{7AE19BB1-D0BC-44DC-ACE9-78FC98B383AD}" srcOrd="2" destOrd="0" parTransId="{D8B63AB3-C4FF-461A-9579-6E9ED1602B76}" sibTransId="{E691634B-FA81-468F-BAFC-FBFD3F6F5966}"/>
    <dgm:cxn modelId="{5EA43171-C0E7-4834-B1B1-DF014F982C2E}" srcId="{3B7D232D-7CD3-4CE8-9F64-CD8AC0A8F086}" destId="{B3E0BC1C-A551-4789-A159-48EC2F9D1B18}" srcOrd="3" destOrd="0" parTransId="{04E1AD22-8EE4-4D0F-92AA-AD582F4FBE54}" sibTransId="{BB1F2E90-CA6E-4C7B-90AE-177066BC0405}"/>
    <dgm:cxn modelId="{71FB962C-6350-4456-A459-0EB9EC82EA03}" srcId="{3B7D232D-7CD3-4CE8-9F64-CD8AC0A8F086}" destId="{2754153E-2870-4A58-BD98-DAF85237F37A}" srcOrd="4" destOrd="0" parTransId="{42C2D6D1-657F-4D95-8E73-20ABF221F4DE}" sibTransId="{2EBAC0DD-319C-4E29-BF39-DF789C3A671B}"/>
    <dgm:cxn modelId="{EA45FEBB-64DD-484D-89E8-DB48818EEC78}" srcId="{3B7D232D-7CD3-4CE8-9F64-CD8AC0A8F086}" destId="{958CABDF-7852-497F-8010-4C61E7F717F8}" srcOrd="5" destOrd="0" parTransId="{2FC43F87-80F9-4689-A911-01FBE8108216}" sibTransId="{12DBAD54-938D-421B-8D70-FD589A3A24B7}"/>
    <dgm:cxn modelId="{1D8A95D0-14D6-4F8C-85FF-E2BD0C71E1A9}" srcId="{3B7D232D-7CD3-4CE8-9F64-CD8AC0A8F086}" destId="{82717C1F-66C6-4A94-9A71-62F2105F77AB}" srcOrd="6" destOrd="0" parTransId="{76E20547-2B14-46FF-8876-56FF1C0E3AD3}" sibTransId="{5D0F8D1F-49D5-4EDC-83FB-B27D620915A5}"/>
    <dgm:cxn modelId="{0A551E59-FDAA-4A00-9BD0-206E50C4B012}" type="presOf" srcId="{08DCCA84-845D-4AFA-B5C9-F6524C28B363}" destId="{C397CB15-7790-4F1A-896D-7552F2F7F294}" srcOrd="0" destOrd="0" presId="urn:microsoft.com/office/officeart/2005/8/layout/radial3"/>
    <dgm:cxn modelId="{9157E31C-361D-4FCD-BF9C-CBF1CF06023D}" type="presParOf" srcId="{C397CB15-7790-4F1A-896D-7552F2F7F294}" destId="{947B5A56-686A-4842-A85E-F213490D2A53}" srcOrd="0" destOrd="0" presId="urn:microsoft.com/office/officeart/2005/8/layout/radial3"/>
    <dgm:cxn modelId="{6E54A60F-C895-495F-8EA2-147A8D06FBEC}" type="presParOf" srcId="{947B5A56-686A-4842-A85E-F213490D2A53}" destId="{4D249092-DA8C-4681-AA9C-207F2DFD3154}" srcOrd="0" destOrd="0" presId="urn:microsoft.com/office/officeart/2005/8/layout/radial3"/>
    <dgm:cxn modelId="{E7043B44-1333-4FE8-A8EA-4912EAEE52BC}" type="presOf" srcId="{3B7D232D-7CD3-4CE8-9F64-CD8AC0A8F086}" destId="{4D249092-DA8C-4681-AA9C-207F2DFD3154}" srcOrd="0" destOrd="0" presId="urn:microsoft.com/office/officeart/2005/8/layout/radial3"/>
    <dgm:cxn modelId="{74C978EC-C0D6-408F-9FAB-72B9304FC765}" type="presParOf" srcId="{947B5A56-686A-4842-A85E-F213490D2A53}" destId="{0ABA4A14-2574-4777-939A-8A91AE25FBF5}" srcOrd="1" destOrd="0" presId="urn:microsoft.com/office/officeart/2005/8/layout/radial3"/>
    <dgm:cxn modelId="{1E48F8F9-A150-496A-9905-1A337F190C09}" type="presOf" srcId="{C7B2594F-967C-49BB-B2B4-428D59DF0E5B}" destId="{0ABA4A14-2574-4777-939A-8A91AE25FBF5}" srcOrd="0" destOrd="0" presId="urn:microsoft.com/office/officeart/2005/8/layout/radial3"/>
    <dgm:cxn modelId="{3BAEF5F1-7DFA-410A-B37B-EA1E1B2A16EE}" type="presParOf" srcId="{947B5A56-686A-4842-A85E-F213490D2A53}" destId="{474554E0-55A6-47EA-B00A-B567AA29D79A}" srcOrd="2" destOrd="0" presId="urn:microsoft.com/office/officeart/2005/8/layout/radial3"/>
    <dgm:cxn modelId="{05C45E90-969D-48D0-A289-AA353B9DA1B1}" type="presOf" srcId="{20E1D345-7DCB-4957-BFF6-55B0518DD116}" destId="{474554E0-55A6-47EA-B00A-B567AA29D79A}" srcOrd="0" destOrd="0" presId="urn:microsoft.com/office/officeart/2005/8/layout/radial3"/>
    <dgm:cxn modelId="{AE73128E-87A1-49D5-AA2B-EAA76789B528}" type="presParOf" srcId="{947B5A56-686A-4842-A85E-F213490D2A53}" destId="{A9B0FA4B-2931-458E-93B9-8F0E46BCB2B8}" srcOrd="3" destOrd="0" presId="urn:microsoft.com/office/officeart/2005/8/layout/radial3"/>
    <dgm:cxn modelId="{26BD811F-C926-4471-98AD-A5DE1B1AC427}" type="presOf" srcId="{7AE19BB1-D0BC-44DC-ACE9-78FC98B383AD}" destId="{A9B0FA4B-2931-458E-93B9-8F0E46BCB2B8}" srcOrd="0" destOrd="0" presId="urn:microsoft.com/office/officeart/2005/8/layout/radial3"/>
    <dgm:cxn modelId="{7E723636-7A48-47BE-8622-15713F370D30}" type="presParOf" srcId="{947B5A56-686A-4842-A85E-F213490D2A53}" destId="{E958178C-87CF-4B5F-870F-67A8865C0100}" srcOrd="4" destOrd="0" presId="urn:microsoft.com/office/officeart/2005/8/layout/radial3"/>
    <dgm:cxn modelId="{E4DB9C6D-30A4-4CAD-AA20-BF119ABA9DD4}" type="presOf" srcId="{B3E0BC1C-A551-4789-A159-48EC2F9D1B18}" destId="{E958178C-87CF-4B5F-870F-67A8865C0100}" srcOrd="0" destOrd="0" presId="urn:microsoft.com/office/officeart/2005/8/layout/radial3"/>
    <dgm:cxn modelId="{EA7EC859-602D-4CBA-BA8C-58F073343426}" type="presParOf" srcId="{947B5A56-686A-4842-A85E-F213490D2A53}" destId="{A9981A18-75F3-41F3-9957-B40659E402CE}" srcOrd="5" destOrd="0" presId="urn:microsoft.com/office/officeart/2005/8/layout/radial3"/>
    <dgm:cxn modelId="{F1E002FD-470C-40B3-B125-C0F1D5C42D47}" type="presOf" srcId="{2754153E-2870-4A58-BD98-DAF85237F37A}" destId="{A9981A18-75F3-41F3-9957-B40659E402CE}" srcOrd="0" destOrd="0" presId="urn:microsoft.com/office/officeart/2005/8/layout/radial3"/>
    <dgm:cxn modelId="{2B6ED51B-5D3D-42D4-8970-C3899C25B62D}" type="presParOf" srcId="{947B5A56-686A-4842-A85E-F213490D2A53}" destId="{5EBE0206-6FD5-462B-AC34-DF1594CC1BEE}" srcOrd="6" destOrd="0" presId="urn:microsoft.com/office/officeart/2005/8/layout/radial3"/>
    <dgm:cxn modelId="{BB11B07B-6A86-4EF3-93D3-5A26A2BFC277}" type="presOf" srcId="{958CABDF-7852-497F-8010-4C61E7F717F8}" destId="{5EBE0206-6FD5-462B-AC34-DF1594CC1BEE}" srcOrd="0" destOrd="0" presId="urn:microsoft.com/office/officeart/2005/8/layout/radial3"/>
    <dgm:cxn modelId="{A50E750E-18BE-476C-9320-D3DF9D512CD8}" type="presParOf" srcId="{947B5A56-686A-4842-A85E-F213490D2A53}" destId="{5BB31F2C-9F6F-461E-B8AE-DAD63322F779}" srcOrd="7" destOrd="0" presId="urn:microsoft.com/office/officeart/2005/8/layout/radial3"/>
    <dgm:cxn modelId="{1BBDB1DF-4400-4AAC-BF63-72CE875219FB}" type="presOf" srcId="{82717C1F-66C6-4A94-9A71-62F2105F77AB}" destId="{5BB31F2C-9F6F-461E-B8AE-DAD63322F779}" srcOrd="0" destOrd="0" presId="urn:microsoft.com/office/officeart/2005/8/layout/radial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5C510FB-46C1-4ED6-93D1-FDC9AF9AC3A4}" type="doc">
      <dgm:prSet loTypeId="list" loCatId="list" qsTypeId="urn:microsoft.com/office/officeart/2005/8/quickstyle/simple1" qsCatId="simple" csTypeId="urn:microsoft.com/office/officeart/2005/8/colors/accent3_1" csCatId="accent1" phldr="0"/>
      <dgm:spPr/>
      <dgm:t>
        <a:bodyPr/>
        <a:p>
          <a:endParaRPr lang="en-US"/>
        </a:p>
      </dgm:t>
    </dgm:pt>
    <dgm:pt modelId="{6F0E105B-CE30-410A-8AA0-538CA512E025}">
      <dgm:prSet phldrT="[Text]" phldr="0" custT="0">
        <dgm:style>
          <a:lnRef idx="2">
            <a:schemeClr val="accent3"/>
          </a:lnRef>
          <a:fillRef idx="0">
            <a:srgbClr val="FFFFFF"/>
          </a:fillRef>
          <a:effectRef idx="0">
            <a:srgbClr val="FFFFFF"/>
          </a:effectRef>
          <a:fontRef idx="minor">
            <a:schemeClr val="tx1"/>
          </a:fontRef>
        </dgm:style>
      </dgm:prSet>
      <dgm:spPr/>
      <dgm:t>
        <a:bodyPr vert="horz" wrap="square"/>
        <a:p>
          <a:pPr>
            <a:lnSpc>
              <a:spcPct val="100000"/>
            </a:lnSpc>
            <a:spcBef>
              <a:spcPct val="0"/>
            </a:spcBef>
            <a:spcAft>
              <a:spcPct val="35000"/>
            </a:spcAft>
          </a:pPr>
          <a:r>
            <a:rPr lang="en-US" b="1"/>
            <a:t/>
          </a:r>
          <a:endParaRPr lang="en-US" b="1"/>
        </a:p>
      </dgm:t>
    </dgm:pt>
    <dgm:pt modelId="{B908471A-FA6D-4F57-8468-2C55EEE4C472}" cxnId="{C1A95A6F-713F-4F65-8969-2C5CC909832E}" type="parTrans">
      <dgm:prSet/>
      <dgm:spPr/>
      <dgm:t>
        <a:bodyPr/>
        <a:p>
          <a:endParaRPr lang="en-US"/>
        </a:p>
      </dgm:t>
    </dgm:pt>
    <dgm:pt modelId="{1450E001-3CC2-4D49-B31E-E056CF1949A3}" cxnId="{C1A95A6F-713F-4F65-8969-2C5CC909832E}" type="sibTrans">
      <dgm:prSet/>
      <dgm:spPr/>
      <dgm:t>
        <a:bodyPr/>
        <a:p>
          <a:endParaRPr lang="en-US"/>
        </a:p>
      </dgm:t>
    </dgm:pt>
    <dgm:pt modelId="{6184B367-45F7-42E7-A629-79F123ED7F40}">
      <dgm:prSet phldrT="[Text]" phldr="0" custT="0"/>
      <dgm:spPr/>
      <dgm:t>
        <a:bodyPr vert="horz" wrap="square"/>
        <a:p>
          <a:pPr>
            <a:lnSpc>
              <a:spcPct val="100000"/>
            </a:lnSpc>
            <a:spcBef>
              <a:spcPct val="0"/>
            </a:spcBef>
            <a:spcAft>
              <a:spcPct val="35000"/>
            </a:spcAft>
          </a:pPr>
          <a:r>
            <a:rPr lang="en-US"/>
            <a:t>Provincial policy: </a:t>
          </a:r>
          <a:endParaRPr lang="en-US"/>
        </a:p>
        <a:p>
          <a:pPr>
            <a:lnSpc>
              <a:spcPct val="100000"/>
            </a:lnSpc>
            <a:spcBef>
              <a:spcPct val="0"/>
            </a:spcBef>
            <a:spcAft>
              <a:spcPct val="35000"/>
            </a:spcAft>
          </a:pPr>
          <a:r>
            <a:rPr lang="en-US"/>
            <a:t>Khyber Pakhtunkhwa  Climate Policy (2022)-This policy highlights the importance of integrating circular economy principles to enhance resource efficiency and environmental sustainablity at the provincial level.</a:t>
          </a:r>
          <a:endParaRPr lang="en-US"/>
        </a:p>
      </dgm:t>
    </dgm:pt>
    <dgm:pt modelId="{C37A1030-2CC0-4009-B74F-69E9239C70E2}" cxnId="{8E36D5DF-6D84-4F5C-BE6F-63C1F1FA97BB}" type="parTrans">
      <dgm:prSet/>
      <dgm:spPr/>
      <dgm:t>
        <a:bodyPr/>
        <a:p>
          <a:endParaRPr lang="en-US"/>
        </a:p>
      </dgm:t>
    </dgm:pt>
    <dgm:pt modelId="{9B84F542-C722-4351-80E2-91C1A5F9AD44}" cxnId="{8E36D5DF-6D84-4F5C-BE6F-63C1F1FA97BB}" type="sibTrans">
      <dgm:prSet/>
      <dgm:spPr/>
      <dgm:t>
        <a:bodyPr/>
        <a:p>
          <a:endParaRPr lang="en-US"/>
        </a:p>
      </dgm:t>
    </dgm:pt>
    <dgm:pt modelId="{B82632FF-AD34-4B16-ABC8-47800F079C2C}">
      <dgm:prSet phldrT="[Text]" phldr="0" custT="0"/>
      <dgm:spPr/>
      <dgm:t>
        <a:bodyPr vert="horz" wrap="square"/>
        <a:p>
          <a:pPr>
            <a:lnSpc>
              <a:spcPct val="100000"/>
            </a:lnSpc>
            <a:spcBef>
              <a:spcPct val="0"/>
            </a:spcBef>
            <a:spcAft>
              <a:spcPct val="35000"/>
            </a:spcAft>
          </a:pPr>
          <a:r>
            <a:rPr lang="en-US"/>
            <a:t>Pakistan:replacement of coal with hydropower</a:t>
          </a:r>
          <a:endParaRPr lang="en-US"/>
        </a:p>
        <a:p>
          <a:pPr>
            <a:lnSpc>
              <a:spcPct val="100000"/>
            </a:lnSpc>
            <a:spcBef>
              <a:spcPct val="0"/>
            </a:spcBef>
            <a:spcAft>
              <a:spcPct val="35000"/>
            </a:spcAft>
          </a:pPr>
          <a:r>
            <a:rPr lang="en-US"/>
            <a:t>Pakistan estimate that the cost of energy transition will be around USD101 billion by 2030, with an additional USD 65 billion by 2040 due to completion of in progress RE projects , additional hydropower,transmission and the goal of phasing out coal and replacing it with hydropower. </a:t>
          </a:r>
          <a:r>
            <a:rPr lang="en-US"/>
            <a:t/>
          </a:r>
          <a:endParaRPr lang="en-US"/>
        </a:p>
      </dgm:t>
    </dgm:pt>
    <dgm:pt modelId="{B6ED550E-5A42-4620-BEE5-B9F2F3158FC4}" cxnId="{F438B5FD-A38C-4483-8128-055AED7CFF91}" type="parTrans">
      <dgm:prSet/>
      <dgm:spPr/>
      <dgm:t>
        <a:bodyPr/>
        <a:p>
          <a:endParaRPr lang="en-US"/>
        </a:p>
      </dgm:t>
    </dgm:pt>
    <dgm:pt modelId="{8C8DE27D-0D40-47B0-B54C-5E500EF88FAA}" cxnId="{F438B5FD-A38C-4483-8128-055AED7CFF91}" type="sibTrans">
      <dgm:prSet/>
      <dgm:spPr/>
      <dgm:t>
        <a:bodyPr/>
        <a:p>
          <a:endParaRPr lang="en-US"/>
        </a:p>
      </dgm:t>
    </dgm:pt>
    <dgm:pt modelId="{C9B79412-F93E-4607-B438-2065754CC30A}">
      <dgm:prSet phldrT="[Text]" phldr="0" custT="0"/>
      <dgm:spPr/>
      <dgm:t>
        <a:bodyPr vert="horz" wrap="square"/>
        <a:p>
          <a:pPr>
            <a:lnSpc>
              <a:spcPct val="100000"/>
            </a:lnSpc>
            <a:spcBef>
              <a:spcPct val="0"/>
            </a:spcBef>
            <a:spcAft>
              <a:spcPct val="35000"/>
            </a:spcAft>
          </a:pPr>
          <a:r>
            <a:rPr lang="en-US"/>
            <a:t>Environmental conservation program:</a:t>
          </a:r>
          <a:endParaRPr lang="en-US"/>
        </a:p>
        <a:p>
          <a:pPr>
            <a:lnSpc>
              <a:spcPct val="100000"/>
            </a:lnSpc>
            <a:spcBef>
              <a:spcPct val="0"/>
            </a:spcBef>
            <a:spcAft>
              <a:spcPct val="35000"/>
            </a:spcAft>
          </a:pPr>
          <a:r>
            <a:rPr lang="en-US"/>
            <a:t>10 Billion Tree Tsunami Programme: Launched in 2018,this reforestation initiative aims to plant over 10 billion trees across the country, enhancing carbon sequestration and promoting environmental sustainability.</a:t>
          </a:r>
          <a:endParaRPr lang="en-US"/>
        </a:p>
      </dgm:t>
    </dgm:pt>
    <dgm:pt modelId="{C911287E-447B-4B97-8504-F5E861C16DF4}" cxnId="{E678622E-CBEC-4821-A2B9-6E9F1005254C}" type="parTrans">
      <dgm:prSet/>
      <dgm:spPr/>
      <dgm:t>
        <a:bodyPr/>
        <a:p>
          <a:endParaRPr lang="en-US"/>
        </a:p>
      </dgm:t>
    </dgm:pt>
    <dgm:pt modelId="{A421EE76-6F4C-468E-89B2-B8E55B0CFA83}" cxnId="{E678622E-CBEC-4821-A2B9-6E9F1005254C}" type="sibTrans">
      <dgm:prSet/>
      <dgm:spPr/>
      <dgm:t>
        <a:bodyPr/>
        <a:p>
          <a:endParaRPr lang="en-US"/>
        </a:p>
      </dgm:t>
    </dgm:pt>
    <dgm:pt modelId="{4A52AC56-2B7F-4F04-922B-3EE66D371CDA}" type="pres">
      <dgm:prSet presAssocID="{45C510FB-46C1-4ED6-93D1-FDC9AF9AC3A4}" presName="composite" presStyleCnt="0">
        <dgm:presLayoutVars>
          <dgm:chMax val="1"/>
          <dgm:dir/>
          <dgm:resizeHandles val="exact"/>
        </dgm:presLayoutVars>
      </dgm:prSet>
      <dgm:spPr/>
    </dgm:pt>
    <dgm:pt modelId="{864A53AF-32DA-4A7C-9949-9AA1E1DFAF48}" type="pres">
      <dgm:prSet presAssocID="{6F0E105B-CE30-410A-8AA0-538CA512E025}" presName="roof" presStyleLbl="dkBgShp" presStyleIdx="0" presStyleCnt="2"/>
      <dgm:spPr/>
    </dgm:pt>
    <dgm:pt modelId="{AAE59673-8927-4F6F-B696-89DDCB2D075E}" type="pres">
      <dgm:prSet presAssocID="{6F0E105B-CE30-410A-8AA0-538CA512E025}" presName="pillars" presStyleCnt="0"/>
      <dgm:spPr/>
    </dgm:pt>
    <dgm:pt modelId="{65D0C626-E678-4B51-98B9-40984CA4202A}" type="pres">
      <dgm:prSet presAssocID="{6F0E105B-CE30-410A-8AA0-538CA512E025}" presName="pillar1" presStyleLbl="node1" presStyleIdx="0" presStyleCnt="3">
        <dgm:presLayoutVars>
          <dgm:bulletEnabled val="1"/>
        </dgm:presLayoutVars>
      </dgm:prSet>
      <dgm:spPr/>
    </dgm:pt>
    <dgm:pt modelId="{18008A20-4C25-47E9-B65A-260C477ED446}" type="pres">
      <dgm:prSet presAssocID="{B82632FF-AD34-4B16-ABC8-47800F079C2C}" presName="pillarX" presStyleLbl="node1" presStyleIdx="1" presStyleCnt="3">
        <dgm:presLayoutVars>
          <dgm:bulletEnabled val="1"/>
        </dgm:presLayoutVars>
      </dgm:prSet>
      <dgm:spPr/>
    </dgm:pt>
    <dgm:pt modelId="{81CF33A1-7295-4740-80AE-05AA3F96CC32}" type="pres">
      <dgm:prSet presAssocID="{C9B79412-F93E-4607-B438-2065754CC30A}" presName="pillarX" presStyleLbl="node1" presStyleIdx="2" presStyleCnt="3">
        <dgm:presLayoutVars>
          <dgm:bulletEnabled val="1"/>
        </dgm:presLayoutVars>
      </dgm:prSet>
      <dgm:spPr/>
    </dgm:pt>
    <dgm:pt modelId="{831132C6-EFB2-47B4-842A-89D29CEDEEEA}" type="pres">
      <dgm:prSet presAssocID="{6F0E105B-CE30-410A-8AA0-538CA512E025}" presName="base" presStyleLbl="dkBgShp" presStyleIdx="1" presStyleCnt="2">
        <dgm:style>
          <a:lnRef idx="2">
            <a:schemeClr val="accent3"/>
          </a:lnRef>
          <a:fillRef idx="0">
            <a:srgbClr val="FFFFFF"/>
          </a:fillRef>
          <a:effectRef idx="0">
            <a:srgbClr val="FFFFFF"/>
          </a:effectRef>
          <a:fontRef idx="minor">
            <a:schemeClr val="tx1"/>
          </a:fontRef>
        </dgm:style>
      </dgm:prSet>
      <dgm:spPr/>
    </dgm:pt>
  </dgm:ptLst>
  <dgm:cxnLst>
    <dgm:cxn modelId="{C1A95A6F-713F-4F65-8969-2C5CC909832E}" srcId="{45C510FB-46C1-4ED6-93D1-FDC9AF9AC3A4}" destId="{6F0E105B-CE30-410A-8AA0-538CA512E025}" srcOrd="0" destOrd="0" parTransId="{B908471A-FA6D-4F57-8468-2C55EEE4C472}" sibTransId="{1450E001-3CC2-4D49-B31E-E056CF1949A3}"/>
    <dgm:cxn modelId="{8E36D5DF-6D84-4F5C-BE6F-63C1F1FA97BB}" srcId="{6F0E105B-CE30-410A-8AA0-538CA512E025}" destId="{6184B367-45F7-42E7-A629-79F123ED7F40}" srcOrd="0" destOrd="0" parTransId="{C37A1030-2CC0-4009-B74F-69E9239C70E2}" sibTransId="{9B84F542-C722-4351-80E2-91C1A5F9AD44}"/>
    <dgm:cxn modelId="{F438B5FD-A38C-4483-8128-055AED7CFF91}" srcId="{6F0E105B-CE30-410A-8AA0-538CA512E025}" destId="{B82632FF-AD34-4B16-ABC8-47800F079C2C}" srcOrd="1" destOrd="0" parTransId="{B6ED550E-5A42-4620-BEE5-B9F2F3158FC4}" sibTransId="{8C8DE27D-0D40-47B0-B54C-5E500EF88FAA}"/>
    <dgm:cxn modelId="{E678622E-CBEC-4821-A2B9-6E9F1005254C}" srcId="{6F0E105B-CE30-410A-8AA0-538CA512E025}" destId="{C9B79412-F93E-4607-B438-2065754CC30A}" srcOrd="2" destOrd="0" parTransId="{C911287E-447B-4B97-8504-F5E861C16DF4}" sibTransId="{A421EE76-6F4C-468E-89B2-B8E55B0CFA83}"/>
    <dgm:cxn modelId="{98E86C87-B5B1-423D-9DAA-1F168955C3FB}" type="presOf" srcId="{45C510FB-46C1-4ED6-93D1-FDC9AF9AC3A4}" destId="{4A52AC56-2B7F-4F04-922B-3EE66D371CDA}" srcOrd="0" destOrd="0" presId="urn:microsoft.com/office/officeart/2005/8/layout/hList3"/>
    <dgm:cxn modelId="{86D0E1A9-7438-41CD-8025-3CC6DD9C18AB}" type="presParOf" srcId="{4A52AC56-2B7F-4F04-922B-3EE66D371CDA}" destId="{864A53AF-32DA-4A7C-9949-9AA1E1DFAF48}" srcOrd="0" destOrd="0" presId="urn:microsoft.com/office/officeart/2005/8/layout/hList3"/>
    <dgm:cxn modelId="{3C6BB464-9AD9-4AAF-9061-E3B3549ED4EB}" type="presOf" srcId="{6F0E105B-CE30-410A-8AA0-538CA512E025}" destId="{864A53AF-32DA-4A7C-9949-9AA1E1DFAF48}" srcOrd="0" destOrd="0" presId="urn:microsoft.com/office/officeart/2005/8/layout/hList3"/>
    <dgm:cxn modelId="{3B4BC940-E890-4B62-82AB-E41709388A44}" type="presParOf" srcId="{4A52AC56-2B7F-4F04-922B-3EE66D371CDA}" destId="{AAE59673-8927-4F6F-B696-89DDCB2D075E}" srcOrd="1" destOrd="0" presId="urn:microsoft.com/office/officeart/2005/8/layout/hList3"/>
    <dgm:cxn modelId="{F4480EC7-9A97-471F-82EA-FB4E3616D2FB}" type="presParOf" srcId="{AAE59673-8927-4F6F-B696-89DDCB2D075E}" destId="{65D0C626-E678-4B51-98B9-40984CA4202A}" srcOrd="0" destOrd="1" presId="urn:microsoft.com/office/officeart/2005/8/layout/hList3"/>
    <dgm:cxn modelId="{F06909BD-96C3-4751-86AB-CAEED65DB869}" type="presOf" srcId="{6184B367-45F7-42E7-A629-79F123ED7F40}" destId="{65D0C626-E678-4B51-98B9-40984CA4202A}" srcOrd="0" destOrd="0" presId="urn:microsoft.com/office/officeart/2005/8/layout/hList3"/>
    <dgm:cxn modelId="{1CCD17E3-401A-463E-AA2D-A11C4AE85A74}" type="presParOf" srcId="{AAE59673-8927-4F6F-B696-89DDCB2D075E}" destId="{18008A20-4C25-47E9-B65A-260C477ED446}" srcOrd="1" destOrd="1" presId="urn:microsoft.com/office/officeart/2005/8/layout/hList3"/>
    <dgm:cxn modelId="{A17AF4E7-09ED-408C-96E5-91B787E4E6D5}" type="presOf" srcId="{B82632FF-AD34-4B16-ABC8-47800F079C2C}" destId="{18008A20-4C25-47E9-B65A-260C477ED446}" srcOrd="0" destOrd="0" presId="urn:microsoft.com/office/officeart/2005/8/layout/hList3"/>
    <dgm:cxn modelId="{5E6D2D11-B598-4681-8660-6AAB5B139761}" type="presParOf" srcId="{AAE59673-8927-4F6F-B696-89DDCB2D075E}" destId="{81CF33A1-7295-4740-80AE-05AA3F96CC32}" srcOrd="2" destOrd="1" presId="urn:microsoft.com/office/officeart/2005/8/layout/hList3"/>
    <dgm:cxn modelId="{250570F5-514D-4F97-AECD-093DB738ACBC}" type="presOf" srcId="{C9B79412-F93E-4607-B438-2065754CC30A}" destId="{81CF33A1-7295-4740-80AE-05AA3F96CC32}" srcOrd="0" destOrd="0" presId="urn:microsoft.com/office/officeart/2005/8/layout/hList3"/>
    <dgm:cxn modelId="{6695D660-1256-45BD-823C-409B593B9470}" type="presParOf" srcId="{4A52AC56-2B7F-4F04-922B-3EE66D371CDA}" destId="{831132C6-EFB2-47B4-842A-89D29CEDEEEA}" srcOrd="2" destOrd="0" presId="urn:microsoft.com/office/officeart/2005/8/layout/hList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E15931E-1654-4B73-89B2-8E333D9C42E0}" type="doc">
      <dgm:prSet loTypeId="list" loCatId="list" qsTypeId="urn:microsoft.com/office/officeart/2005/8/quickstyle/simple1" qsCatId="simple" csTypeId="urn:microsoft.com/office/officeart/2005/8/colors/accent0_1" csCatId="accent1" phldr="0"/>
      <dgm:spPr/>
      <dgm:t>
        <a:bodyPr/>
        <a:p>
          <a:endParaRPr lang="en-US"/>
        </a:p>
      </dgm:t>
    </dgm:pt>
    <dgm:pt modelId="{90DDC401-903F-495B-A387-FFA8A45891F6}">
      <dgm:prSet phldrT="[Text]" phldr="0" custT="0"/>
      <dgm:spPr/>
      <dgm:t>
        <a:bodyPr vert="horz" wrap="square"/>
        <a:p>
          <a:pPr>
            <a:lnSpc>
              <a:spcPct val="100000"/>
            </a:lnSpc>
            <a:spcBef>
              <a:spcPct val="0"/>
            </a:spcBef>
            <a:spcAft>
              <a:spcPct val="35000"/>
            </a:spcAft>
          </a:pPr>
          <a:r>
            <a:rPr lang="en-US"/>
            <a:t>Resource Constraint</a:t>
          </a:r>
          <a:endParaRPr lang="en-US"/>
        </a:p>
      </dgm:t>
    </dgm:pt>
    <dgm:pt modelId="{C8BB0B8A-C63A-4F83-B8DD-3A7CE259E4EE}" cxnId="{DBE2EA66-C9DD-4BE6-A215-2D6E9AA6AE9F}" type="parTrans">
      <dgm:prSet/>
      <dgm:spPr/>
      <dgm:t>
        <a:bodyPr/>
        <a:p>
          <a:endParaRPr lang="en-US"/>
        </a:p>
      </dgm:t>
    </dgm:pt>
    <dgm:pt modelId="{35E5E878-0907-4014-9CFA-56AEFE6C22E5}" cxnId="{DBE2EA66-C9DD-4BE6-A215-2D6E9AA6AE9F}" type="sibTrans">
      <dgm:prSet/>
      <dgm:spPr/>
      <dgm:t>
        <a:bodyPr/>
        <a:p>
          <a:endParaRPr lang="en-US"/>
        </a:p>
      </dgm:t>
    </dgm:pt>
    <dgm:pt modelId="{E08CEB0C-E37F-4DCA-A8EA-4B2CD3AD7754}">
      <dgm:prSet phldrT="[Text]" phldr="0" custT="1"/>
      <dgm:spPr/>
      <dgm:t>
        <a:bodyPr vert="horz" wrap="square"/>
        <a:p>
          <a:pPr>
            <a:lnSpc>
              <a:spcPct val="100000"/>
            </a:lnSpc>
            <a:spcBef>
              <a:spcPct val="0"/>
            </a:spcBef>
            <a:spcAft>
              <a:spcPct val="15000"/>
            </a:spcAft>
          </a:pPr>
          <a:r>
            <a:rPr lang="en-US" sz="1000">
              <a:latin typeface="Times New Roman" panose="02020603050405020304" charset="0"/>
              <a:cs typeface="Times New Roman" panose="02020603050405020304" charset="0"/>
            </a:rPr>
            <a:t>Insufficient Availability of efficient combustion raw materials</a:t>
          </a:r>
          <a:r>
            <a:rPr lang="en-US" sz="1000">
              <a:latin typeface="Times New Roman" panose="02020603050405020304" charset="0"/>
              <a:cs typeface="Times New Roman" panose="02020603050405020304" charset="0"/>
            </a:rPr>
            <a:t/>
          </a:r>
          <a:endParaRPr lang="en-US" sz="1000">
            <a:latin typeface="Times New Roman" panose="02020603050405020304" charset="0"/>
            <a:cs typeface="Times New Roman" panose="02020603050405020304" charset="0"/>
          </a:endParaRPr>
        </a:p>
      </dgm:t>
    </dgm:pt>
    <dgm:pt modelId="{FB4BCC77-44E9-4065-8A2F-90CD32DE34E3}" cxnId="{612DC5A4-86AA-4917-817D-F9C6F691C288}" type="parTrans">
      <dgm:prSet/>
      <dgm:spPr/>
      <dgm:t>
        <a:bodyPr/>
        <a:p>
          <a:endParaRPr lang="en-US"/>
        </a:p>
      </dgm:t>
    </dgm:pt>
    <dgm:pt modelId="{41FED480-3E2E-47A2-B997-02D527BC8082}" cxnId="{612DC5A4-86AA-4917-817D-F9C6F691C288}" type="sibTrans">
      <dgm:prSet/>
      <dgm:spPr/>
      <dgm:t>
        <a:bodyPr/>
        <a:p>
          <a:endParaRPr lang="en-US"/>
        </a:p>
      </dgm:t>
    </dgm:pt>
    <dgm:pt modelId="{B6A79F87-33E3-4512-99E7-7975A5ADA81F}">
      <dgm:prSet phldr="0" custT="1"/>
      <dgm:spPr/>
      <dgm:t>
        <a:bodyPr vert="horz" wrap="square"/>
        <a:p>
          <a:pPr>
            <a:lnSpc>
              <a:spcPct val="100000"/>
            </a:lnSpc>
            <a:spcBef>
              <a:spcPct val="0"/>
            </a:spcBef>
            <a:spcAft>
              <a:spcPct val="15000"/>
            </a:spcAft>
          </a:pPr>
          <a:r>
            <a:rPr lang="en-US" sz="1000">
              <a:latin typeface="Times New Roman" panose="02020603050405020304" charset="0"/>
              <a:cs typeface="Times New Roman" panose="02020603050405020304" charset="0"/>
            </a:rPr>
            <a:t>Limited use of secondary material</a:t>
          </a:r>
          <a:r>
            <a:rPr lang="en-US" sz="1000">
              <a:latin typeface="Times New Roman" panose="02020603050405020304" charset="0"/>
              <a:cs typeface="Times New Roman" panose="02020603050405020304" charset="0"/>
            </a:rPr>
            <a:t/>
          </a:r>
          <a:endParaRPr lang="en-US" sz="1000">
            <a:latin typeface="Times New Roman" panose="02020603050405020304" charset="0"/>
            <a:cs typeface="Times New Roman" panose="02020603050405020304" charset="0"/>
          </a:endParaRPr>
        </a:p>
      </dgm:t>
    </dgm:pt>
    <dgm:pt modelId="{335F37F5-1C66-4267-AA2F-F249A0916094}" cxnId="{C859F1E6-AE34-4B36-8BE9-D04173FDDD77}" type="parTrans">
      <dgm:prSet/>
      <dgm:spPr/>
    </dgm:pt>
    <dgm:pt modelId="{4853DE8B-524E-4C7C-AE7E-5B25EC54FB32}" cxnId="{C859F1E6-AE34-4B36-8BE9-D04173FDDD77}" type="sibTrans">
      <dgm:prSet/>
      <dgm:spPr/>
    </dgm:pt>
    <dgm:pt modelId="{36AA7430-1A9E-42A5-9B11-AA22BEC3A13D}">
      <dgm:prSet phldr="0" custT="1"/>
      <dgm:spPr/>
      <dgm:t>
        <a:bodyPr vert="horz" wrap="square"/>
        <a:p>
          <a:pPr>
            <a:lnSpc>
              <a:spcPct val="100000"/>
            </a:lnSpc>
            <a:spcBef>
              <a:spcPct val="0"/>
            </a:spcBef>
            <a:spcAft>
              <a:spcPct val="15000"/>
            </a:spcAft>
          </a:pPr>
          <a:r>
            <a:rPr lang="en-US" sz="1000">
              <a:latin typeface="Times New Roman" panose="02020603050405020304" charset="0"/>
              <a:cs typeface="Times New Roman" panose="02020603050405020304" charset="0"/>
            </a:rPr>
            <a:t>Over reliance on virgin resources</a:t>
          </a:r>
          <a:r>
            <a:rPr lang="en-US" sz="1000">
              <a:latin typeface="Times New Roman" panose="02020603050405020304" charset="0"/>
              <a:cs typeface="Times New Roman" panose="02020603050405020304" charset="0"/>
            </a:rPr>
            <a:t/>
          </a:r>
          <a:endParaRPr lang="en-US" sz="1000">
            <a:latin typeface="Times New Roman" panose="02020603050405020304" charset="0"/>
            <a:cs typeface="Times New Roman" panose="02020603050405020304" charset="0"/>
          </a:endParaRPr>
        </a:p>
      </dgm:t>
    </dgm:pt>
    <dgm:pt modelId="{9FD2631B-10E8-4CD8-82F0-720BF78CC422}" cxnId="{48AC37CE-908D-441A-8638-4B444258B365}" type="parTrans">
      <dgm:prSet/>
      <dgm:spPr/>
    </dgm:pt>
    <dgm:pt modelId="{D23AEF51-8A20-428C-8C98-D7BBDDA9E5B9}" cxnId="{48AC37CE-908D-441A-8638-4B444258B365}" type="sibTrans">
      <dgm:prSet/>
      <dgm:spPr/>
    </dgm:pt>
    <dgm:pt modelId="{A6685E83-BEEC-49B3-B40A-539E2C0D7A1A}">
      <dgm:prSet phldrT="[Text]" phldr="0" custT="0"/>
      <dgm:spPr/>
      <dgm:t>
        <a:bodyPr vert="horz" wrap="square"/>
        <a:p>
          <a:pPr>
            <a:lnSpc>
              <a:spcPct val="100000"/>
            </a:lnSpc>
            <a:spcBef>
              <a:spcPct val="0"/>
            </a:spcBef>
            <a:spcAft>
              <a:spcPct val="35000"/>
            </a:spcAft>
          </a:pPr>
          <a:r>
            <a:rPr lang="en-US"/>
            <a:t>Infrastructure limitations</a:t>
          </a:r>
          <a:endParaRPr lang="en-US"/>
        </a:p>
      </dgm:t>
    </dgm:pt>
    <dgm:pt modelId="{FECC43A3-D59E-4EE1-9557-8FBB90D5B362}" cxnId="{6AA9BAE4-C670-4815-8CF6-43100E30E7FD}" type="parTrans">
      <dgm:prSet/>
      <dgm:spPr/>
      <dgm:t>
        <a:bodyPr/>
        <a:p>
          <a:endParaRPr lang="en-US"/>
        </a:p>
      </dgm:t>
    </dgm:pt>
    <dgm:pt modelId="{68BB6C9A-B7F0-43A0-955B-FC8C4D4009BF}" cxnId="{6AA9BAE4-C670-4815-8CF6-43100E30E7FD}" type="sibTrans">
      <dgm:prSet/>
      <dgm:spPr/>
      <dgm:t>
        <a:bodyPr/>
        <a:p>
          <a:endParaRPr lang="en-US"/>
        </a:p>
      </dgm:t>
    </dgm:pt>
    <dgm:pt modelId="{EB55EFBD-85BE-420C-AADF-89EA384F7CEB}">
      <dgm:prSet phldr="0" custT="1"/>
      <dgm:spPr/>
      <dgm:t>
        <a:bodyPr vert="horz" wrap="square"/>
        <a:p>
          <a:pPr>
            <a:lnSpc>
              <a:spcPct val="100000"/>
            </a:lnSpc>
            <a:spcBef>
              <a:spcPct val="0"/>
            </a:spcBef>
            <a:spcAft>
              <a:spcPct val="15000"/>
            </a:spcAft>
          </a:pPr>
          <a:r>
            <a:rPr lang="en-US" sz="1200">
              <a:latin typeface="Times New Roman" panose="02020603050405020304" charset="0"/>
              <a:cs typeface="Times New Roman" panose="02020603050405020304" charset="0"/>
            </a:rPr>
            <a:t>Waste Management and Recycling Shortcomings</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80CF44CF-BA8B-499E-99E7-9076649E802E}" cxnId="{ADAF98A3-E428-4F5B-B16B-584FB950A15D}" type="parTrans">
      <dgm:prSet/>
      <dgm:spPr/>
    </dgm:pt>
    <dgm:pt modelId="{F7A9B003-06E9-458C-8590-12582C5B8F43}" cxnId="{ADAF98A3-E428-4F5B-B16B-584FB950A15D}" type="sibTrans">
      <dgm:prSet/>
      <dgm:spPr/>
    </dgm:pt>
    <dgm:pt modelId="{5ADB8DC9-80BE-47D2-9C15-C9D2CB764251}">
      <dgm:prSet phldr="0" custT="1"/>
      <dgm:spPr/>
      <dgm:t>
        <a:bodyPr vert="horz" wrap="square"/>
        <a:p>
          <a:pPr>
            <a:lnSpc>
              <a:spcPct val="100000"/>
            </a:lnSpc>
            <a:spcBef>
              <a:spcPct val="0"/>
            </a:spcBef>
            <a:spcAft>
              <a:spcPct val="15000"/>
            </a:spcAft>
          </a:pPr>
          <a:r>
            <a:rPr lang="en-US" sz="1200">
              <a:latin typeface="Times New Roman" panose="02020603050405020304" charset="0"/>
              <a:cs typeface="Times New Roman" panose="02020603050405020304" charset="0"/>
            </a:rPr>
            <a:t>Insufficient Transmission Infrastructure for raw materials</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E1FE1AA1-9819-4EB0-B611-D8F43F4B785A}" cxnId="{AB9EE895-286B-44BE-82C8-68CDDAA855BD}" type="parTrans">
      <dgm:prSet/>
      <dgm:spPr/>
    </dgm:pt>
    <dgm:pt modelId="{4DCFF716-093B-4030-AFF9-5B001A813647}" cxnId="{AB9EE895-286B-44BE-82C8-68CDDAA855BD}" type="sibTrans">
      <dgm:prSet/>
      <dgm:spPr/>
    </dgm:pt>
    <dgm:pt modelId="{5AA02751-379E-46DB-884A-F23ACBC498EE}">
      <dgm:prSet phldrT="[Text]" phldr="0" custT="0"/>
      <dgm:spPr/>
      <dgm:t>
        <a:bodyPr vert="horz" wrap="square"/>
        <a:p>
          <a:pPr>
            <a:lnSpc>
              <a:spcPct val="100000"/>
            </a:lnSpc>
            <a:spcBef>
              <a:spcPct val="0"/>
            </a:spcBef>
            <a:spcAft>
              <a:spcPct val="35000"/>
            </a:spcAft>
          </a:pPr>
          <a:r>
            <a:rPr lang="en-US"/>
            <a:t>Policy and Regulatory barriers</a:t>
          </a:r>
          <a:r>
            <a:rPr lang="en-US"/>
            <a:t/>
          </a:r>
          <a:endParaRPr lang="en-US"/>
        </a:p>
      </dgm:t>
    </dgm:pt>
    <dgm:pt modelId="{D0D77647-95BE-4607-B2F0-006D9CAB8F0E}" cxnId="{75E144DA-E26A-4EF9-9838-CFCD5DF77A99}" type="parTrans">
      <dgm:prSet/>
      <dgm:spPr/>
      <dgm:t>
        <a:bodyPr/>
        <a:p>
          <a:endParaRPr lang="en-US"/>
        </a:p>
      </dgm:t>
    </dgm:pt>
    <dgm:pt modelId="{3DBF6B9F-A188-4D67-ABE8-0633561FA9E5}" cxnId="{75E144DA-E26A-4EF9-9838-CFCD5DF77A99}" type="sibTrans">
      <dgm:prSet/>
      <dgm:spPr/>
      <dgm:t>
        <a:bodyPr/>
        <a:p>
          <a:endParaRPr lang="en-US"/>
        </a:p>
      </dgm:t>
    </dgm:pt>
    <dgm:pt modelId="{7BF89105-4D02-4E42-908B-8D887BBE0232}">
      <dgm:prSet phldr="0" custT="1"/>
      <dgm:spPr/>
      <dgm:t>
        <a:bodyPr vert="horz" wrap="square"/>
        <a:p>
          <a:pPr>
            <a:lnSpc>
              <a:spcPct val="100000"/>
            </a:lnSpc>
            <a:spcBef>
              <a:spcPct val="0"/>
            </a:spcBef>
            <a:spcAft>
              <a:spcPct val="15000"/>
            </a:spcAft>
          </a:pPr>
          <a:r>
            <a:rPr lang="en-US" sz="1200">
              <a:latin typeface="Times New Roman" panose="02020603050405020304" charset="0"/>
              <a:cs typeface="Times New Roman" panose="02020603050405020304" charset="0"/>
            </a:rPr>
            <a:t>Fossil fuel subsidies and distorted market prices</a:t>
          </a:r>
          <a:endParaRPr lang="en-US" sz="1200">
            <a:latin typeface="Times New Roman" panose="02020603050405020304" charset="0"/>
            <a:cs typeface="Times New Roman" panose="02020603050405020304" charset="0"/>
          </a:endParaRPr>
        </a:p>
      </dgm:t>
    </dgm:pt>
    <dgm:pt modelId="{1CFDC4C3-C184-4B18-867F-B23EDD0A9B73}" cxnId="{F3148A3A-5880-4A0D-838B-7293611C9D81}" type="parTrans">
      <dgm:prSet/>
      <dgm:spPr/>
    </dgm:pt>
    <dgm:pt modelId="{A79F5BBF-8812-44B9-8A89-D40705BEBB68}" cxnId="{F3148A3A-5880-4A0D-838B-7293611C9D81}" type="sibTrans">
      <dgm:prSet/>
      <dgm:spPr/>
    </dgm:pt>
    <dgm:pt modelId="{7FD04CF6-995D-465F-BB49-86243B7E0A6A}">
      <dgm:prSet phldr="0" custT="1"/>
      <dgm:spPr/>
      <dgm:t>
        <a:bodyPr vert="horz" wrap="square"/>
        <a:p>
          <a:pPr>
            <a:lnSpc>
              <a:spcPct val="100000"/>
            </a:lnSpc>
            <a:spcBef>
              <a:spcPct val="0"/>
            </a:spcBef>
            <a:spcAft>
              <a:spcPct val="15000"/>
            </a:spcAft>
          </a:pPr>
          <a:r>
            <a:rPr lang="en-US" sz="1200">
              <a:latin typeface="Times New Roman" panose="02020603050405020304" charset="0"/>
              <a:cs typeface="Times New Roman" panose="02020603050405020304" charset="0"/>
            </a:rPr>
            <a:t>Gaps in rules and circular economy policies </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44F24DE0-A87F-4C7C-A127-A9D41B9DCF52}" cxnId="{E21836C4-CD45-491A-9615-5610EB89D170}" type="parTrans">
      <dgm:prSet/>
      <dgm:spPr/>
    </dgm:pt>
    <dgm:pt modelId="{2C9365A1-7063-4667-9A67-9A8715E5DDEB}" cxnId="{E21836C4-CD45-491A-9615-5610EB89D170}" type="sibTrans">
      <dgm:prSet/>
      <dgm:spPr/>
    </dgm:pt>
    <dgm:pt modelId="{54B4BA4B-25EA-4365-8339-D60A1B532153}">
      <dgm:prSet phldr="0" custT="0"/>
      <dgm:spPr/>
      <dgm:t>
        <a:bodyPr vert="horz" wrap="square"/>
        <a:p>
          <a:pPr>
            <a:lnSpc>
              <a:spcPct val="100000"/>
            </a:lnSpc>
            <a:spcBef>
              <a:spcPct val="0"/>
            </a:spcBef>
            <a:spcAft>
              <a:spcPct val="35000"/>
            </a:spcAft>
          </a:pPr>
          <a:r>
            <a:rPr lang="en-US"/>
            <a:t>Financial restraints </a:t>
          </a:r>
          <a:r>
            <a:rPr lang="en-US"/>
            <a:t/>
          </a:r>
          <a:endParaRPr lang="en-US"/>
        </a:p>
      </dgm:t>
    </dgm:pt>
    <dgm:pt modelId="{90119932-256C-411F-93EA-4FC37F5781B4}" cxnId="{4A075CAD-FE7D-4168-B1AF-4BD0A5FD441F}" type="parTrans">
      <dgm:prSet/>
      <dgm:spPr/>
    </dgm:pt>
    <dgm:pt modelId="{A87A67A5-8ED7-41FC-8166-5072A820E1F0}" cxnId="{4A075CAD-FE7D-4168-B1AF-4BD0A5FD441F}" type="sibTrans">
      <dgm:prSet/>
      <dgm:spPr/>
    </dgm:pt>
    <dgm:pt modelId="{0F87F56B-F9C6-45CB-BFB8-DB210D602E39}">
      <dgm:prSe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Insufficient incentives </a:t>
          </a:r>
          <a:r>
            <a:rPr lang="en-US" sz="1100"/>
            <a:t>for circular economy investments</a:t>
          </a:r>
          <a:endParaRPr lang="en-US" sz="1100"/>
        </a:p>
      </dgm:t>
    </dgm:pt>
    <dgm:pt modelId="{B5CF3EAE-78AE-47F7-97E7-EB4A94A24AC3}" cxnId="{2A62A559-20A2-49B7-9D97-F3BBC6FBE164}" type="parTrans">
      <dgm:prSet/>
      <dgm:spPr/>
    </dgm:pt>
    <dgm:pt modelId="{CC3AE74F-D715-440F-B66B-AF2878FF64DA}" cxnId="{2A62A559-20A2-49B7-9D97-F3BBC6FBE164}" type="sibTrans">
      <dgm:prSet/>
      <dgm:spPr/>
    </dgm:pt>
    <dgm:pt modelId="{A67192B6-4335-4767-98F2-0233E6D788DC}">
      <dgm:prSe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High cost of circular technologies</a:t>
          </a:r>
          <a:r>
            <a:rPr lang="en-US" sz="1200">
              <a:latin typeface="Times New Roman" panose="02020603050405020304" charset="0"/>
              <a:cs typeface="Times New Roman" panose="02020603050405020304" charset="0"/>
            </a:rPr>
            <a:t> </a:t>
          </a:r>
          <a:endParaRPr lang="en-US" sz="1200">
            <a:latin typeface="Times New Roman" panose="02020603050405020304" charset="0"/>
            <a:cs typeface="Times New Roman" panose="02020603050405020304" charset="0"/>
          </a:endParaRPr>
        </a:p>
      </dgm:t>
    </dgm:pt>
    <dgm:pt modelId="{47A92698-1191-4CC7-96A3-99CECCF4BCD8}" cxnId="{0BA0DC3C-460A-47C7-A969-2AA182899D82}" type="parTrans">
      <dgm:prSet/>
      <dgm:spPr/>
    </dgm:pt>
    <dgm:pt modelId="{894D0E56-92A7-4C4A-BC86-B80D622E86E9}" cxnId="{0BA0DC3C-460A-47C7-A969-2AA182899D82}" type="sibTrans">
      <dgm:prSet/>
      <dgm:spPr/>
    </dgm:pt>
    <dgm:pt modelId="{3FC322E7-DFEE-4E98-A779-145016146A54}">
      <dgm:prSet phldr="0" custT="0"/>
      <dgm:spPr/>
      <dgm:t>
        <a:bodyPr vert="horz" wrap="square"/>
        <a:p>
          <a:pPr>
            <a:lnSpc>
              <a:spcPct val="100000"/>
            </a:lnSpc>
            <a:spcBef>
              <a:spcPct val="0"/>
            </a:spcBef>
            <a:spcAft>
              <a:spcPct val="35000"/>
            </a:spcAft>
          </a:pPr>
          <a:r>
            <a:rPr lang="en-US"/>
            <a:t>Technological and knowledge gaps </a:t>
          </a:r>
          <a:r>
            <a:rPr lang="en-US"/>
            <a:t/>
          </a:r>
          <a:endParaRPr lang="en-US"/>
        </a:p>
      </dgm:t>
    </dgm:pt>
    <dgm:pt modelId="{A6E8D917-E4A7-4046-92CB-0AB9030CF12A}" cxnId="{EC8549DC-BC29-47E0-9CD2-19F96E103E7F}" type="parTrans">
      <dgm:prSet/>
      <dgm:spPr/>
    </dgm:pt>
    <dgm:pt modelId="{FF3C2651-00B9-4B0D-95E5-359A8AE9332E}" cxnId="{EC8549DC-BC29-47E0-9CD2-19F96E103E7F}" type="sibTrans">
      <dgm:prSet/>
      <dgm:spPr/>
    </dgm:pt>
    <dgm:pt modelId="{64C53CF1-260D-4FFB-A730-C3558BAEBE46}">
      <dgm:prSe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Slow adoption of circular technologies</a:t>
          </a:r>
          <a:endParaRPr lang="en-US" sz="1200">
            <a:latin typeface="Times New Roman" panose="02020603050405020304" charset="0"/>
            <a:cs typeface="Times New Roman" panose="02020603050405020304" charset="0"/>
          </a:endParaRPr>
        </a:p>
      </dgm:t>
    </dgm:pt>
    <dgm:pt modelId="{D9ABD19B-B265-45A3-A96E-078BB0C731D0}" cxnId="{E9F5C69D-BECF-492B-9F5F-76AC96D4F56D}" type="parTrans">
      <dgm:prSet/>
      <dgm:spPr/>
    </dgm:pt>
    <dgm:pt modelId="{F88EAD09-61B7-45D5-8DF9-6154820CEEEF}" cxnId="{E9F5C69D-BECF-492B-9F5F-76AC96D4F56D}" type="sibTrans">
      <dgm:prSet/>
      <dgm:spPr/>
    </dgm:pt>
    <dgm:pt modelId="{4D984900-B023-45C2-B5AF-344FB537A717}">
      <dgm:prSe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Limited technical expertise and workforce training </a:t>
          </a:r>
          <a:endParaRPr lang="en-US" sz="1200">
            <a:latin typeface="Times New Roman" panose="02020603050405020304" charset="0"/>
            <a:cs typeface="Times New Roman" panose="02020603050405020304" charset="0"/>
          </a:endParaRPr>
        </a:p>
      </dgm:t>
    </dgm:pt>
    <dgm:pt modelId="{04AF61C4-D4E8-4263-BD6B-04475F498573}" cxnId="{BFB71BE3-467F-49F0-A334-647AF939B212}" type="parTrans">
      <dgm:prSet/>
      <dgm:spPr/>
    </dgm:pt>
    <dgm:pt modelId="{17BBE8A3-4BD1-4A12-B654-3C2766A69BA5}" cxnId="{BFB71BE3-467F-49F0-A334-647AF939B212}" type="sibTrans">
      <dgm:prSet/>
      <dgm:spPr/>
    </dgm:pt>
    <dgm:pt modelId="{598FC45A-940C-476B-A524-0DE3A0B9DDEB}">
      <dgm:prSet phldr="0" custT="0"/>
      <dgm:spPr/>
      <dgm:t>
        <a:bodyPr vert="horz" wrap="square"/>
        <a:p>
          <a:pPr>
            <a:lnSpc>
              <a:spcPct val="100000"/>
            </a:lnSpc>
            <a:spcBef>
              <a:spcPct val="0"/>
            </a:spcBef>
            <a:spcAft>
              <a:spcPct val="35000"/>
            </a:spcAft>
          </a:pPr>
          <a:r>
            <a:rPr lang="en-US"/>
            <a:t>Institutional and governance challenges</a:t>
          </a:r>
          <a:endParaRPr lang="en-US"/>
        </a:p>
      </dgm:t>
    </dgm:pt>
    <dgm:pt modelId="{C571080E-3008-4E56-871D-9DB0EB121BDB}" cxnId="{20DF7788-A79A-4DDA-8F35-AB291948C29C}" type="parTrans">
      <dgm:prSet/>
      <dgm:spPr/>
    </dgm:pt>
    <dgm:pt modelId="{777FC5F6-628F-403B-8206-702A4D6FF22F}" cxnId="{20DF7788-A79A-4DDA-8F35-AB291948C29C}" type="sibTrans">
      <dgm:prSet/>
      <dgm:spPr/>
    </dgm:pt>
    <dgm:pt modelId="{0A7D7049-02EF-4500-A414-B87FFF8F653F}">
      <dgm:prSet phldrT="[Tex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Complex </a:t>
          </a:r>
          <a:r>
            <a:rPr lang="en-US" sz="1200">
              <a:latin typeface="Times New Roman" panose="02020603050405020304" charset="0"/>
              <a:cs typeface="Times New Roman" panose="02020603050405020304" charset="0"/>
            </a:rPr>
            <a:t>and regulatory environment</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C478CE73-0686-4D75-997F-15E07CBB2918}" cxnId="{F5E53B38-813C-4EE7-8D05-AF3F4CBD298E}" type="parTrans">
      <dgm:prSet/>
      <dgm:spPr/>
      <dgm:t>
        <a:bodyPr/>
        <a:p>
          <a:endParaRPr lang="en-US"/>
        </a:p>
      </dgm:t>
    </dgm:pt>
    <dgm:pt modelId="{CBB5AAEC-CBE3-4681-B97F-015A102B03AC}" cxnId="{F5E53B38-813C-4EE7-8D05-AF3F4CBD298E}" type="sibTrans">
      <dgm:prSet/>
      <dgm:spPr/>
      <dgm:t>
        <a:bodyPr/>
        <a:p>
          <a:endParaRPr lang="en-US"/>
        </a:p>
      </dgm:t>
    </dgm:pt>
    <dgm:pt modelId="{74C4A5D7-4AFB-472A-B835-A1DFAA42C0A2}">
      <dgm:prSet phldr="0" custT="1"/>
      <dgm:spPr/>
      <dgm:t>
        <a:bodyPr vert="horz" wrap="square"/>
        <a:p>
          <a:pPr>
            <a:lnSpc>
              <a:spcPct val="100000"/>
            </a:lnSpc>
            <a:spcBef>
              <a:spcPct val="0"/>
            </a:spcBef>
            <a:spcAft>
              <a:spcPct val="35000"/>
            </a:spcAft>
          </a:pPr>
          <a:r>
            <a:rPr lang="en-US" sz="1200">
              <a:latin typeface="Times New Roman" panose="02020603050405020304" charset="0"/>
              <a:cs typeface="Times New Roman" panose="02020603050405020304" charset="0"/>
            </a:rPr>
            <a:t>Ineffective enforcing of environmental regulations</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86DF7F9C-98FF-4357-A8B5-722BE926A833}" cxnId="{247C8BDB-236C-44AD-B167-7CA93F782F57}" type="parTrans">
      <dgm:prSet/>
      <dgm:spPr/>
    </dgm:pt>
    <dgm:pt modelId="{54206CCC-E8E3-4C31-9E29-C73E174C7761}" cxnId="{247C8BDB-236C-44AD-B167-7CA93F782F57}" type="sibTrans">
      <dgm:prSet/>
      <dgm:spPr/>
    </dgm:pt>
    <dgm:pt modelId="{CAE2AA82-0089-452C-98CC-E57488302210}">
      <dgm:prSet phldr="0" custT="0"/>
      <dgm:spPr/>
      <dgm:t>
        <a:bodyPr vert="horz" wrap="square"/>
        <a:p>
          <a:pPr>
            <a:lnSpc>
              <a:spcPct val="100000"/>
            </a:lnSpc>
            <a:spcBef>
              <a:spcPct val="0"/>
            </a:spcBef>
            <a:spcAft>
              <a:spcPct val="35000"/>
            </a:spcAft>
          </a:pPr>
          <a:r>
            <a:rPr lang="en-US"/>
            <a:t>Inadequate regional cooperation and trade constraints </a:t>
          </a:r>
          <a:endParaRPr lang="en-US"/>
        </a:p>
      </dgm:t>
    </dgm:pt>
    <dgm:pt modelId="{783162EE-55F1-42EA-8DEC-26C5F2443136}" cxnId="{D54372F8-A55B-49C1-AB5E-162875B65BBB}" type="parTrans">
      <dgm:prSet/>
      <dgm:spPr/>
    </dgm:pt>
    <dgm:pt modelId="{00091974-C936-426F-BB62-8C0C4B332F99}" cxnId="{D54372F8-A55B-49C1-AB5E-162875B65BBB}" type="sibTrans">
      <dgm:prSet/>
      <dgm:spPr/>
    </dgm:pt>
    <dgm:pt modelId="{D996704E-488C-4069-A478-D4FE38E43EDE}">
      <dgm:prSet phldr="0" custT="1"/>
      <dgm:spPr/>
      <dgm:t>
        <a:bodyPr vert="horz" wrap="square"/>
        <a:p>
          <a:pPr>
            <a:lnSpc>
              <a:spcPct val="100000"/>
            </a:lnSpc>
            <a:spcBef>
              <a:spcPct val="0"/>
            </a:spcBef>
            <a:spcAft>
              <a:spcPct val="15000"/>
            </a:spcAft>
          </a:pPr>
          <a:r>
            <a:rPr lang="en-US" sz="1200">
              <a:latin typeface="Times New Roman" panose="02020603050405020304" charset="0"/>
              <a:cs typeface="Times New Roman" panose="02020603050405020304" charset="0"/>
            </a:rPr>
            <a:t>Low interregional energy trade </a:t>
          </a:r>
          <a:r>
            <a:rPr lang="en-US" sz="1200">
              <a:latin typeface="Times New Roman" panose="02020603050405020304" charset="0"/>
              <a:cs typeface="Times New Roman" panose="02020603050405020304" charset="0"/>
            </a:rPr>
            <a:t/>
          </a:r>
          <a:endParaRPr lang="en-US" sz="1200">
            <a:latin typeface="Times New Roman" panose="02020603050405020304" charset="0"/>
            <a:cs typeface="Times New Roman" panose="02020603050405020304" charset="0"/>
          </a:endParaRPr>
        </a:p>
      </dgm:t>
    </dgm:pt>
    <dgm:pt modelId="{B7F1E270-CD19-4567-920F-5ADC931D52AA}" cxnId="{DE5B54A4-1BDA-4CA8-9121-8CEDAA4F3F49}" type="parTrans">
      <dgm:prSet/>
      <dgm:spPr/>
    </dgm:pt>
    <dgm:pt modelId="{690EC4A8-3848-4094-974A-224C45CF8B23}" cxnId="{DE5B54A4-1BDA-4CA8-9121-8CEDAA4F3F49}" type="sibTrans">
      <dgm:prSet/>
      <dgm:spPr/>
    </dgm:pt>
    <dgm:pt modelId="{D5935282-3C7C-4F88-A1AE-C27DB8591514}" type="pres">
      <dgm:prSet presAssocID="{2E15931E-1654-4B73-89B2-8E333D9C42E0}" presName="Name0" presStyleCnt="0">
        <dgm:presLayoutVars>
          <dgm:dir/>
          <dgm:animLvl val="lvl"/>
          <dgm:resizeHandles val="exact"/>
        </dgm:presLayoutVars>
      </dgm:prSet>
      <dgm:spPr/>
    </dgm:pt>
    <dgm:pt modelId="{E61486FD-113E-4C87-8ADF-B1A8E2A84801}" type="pres">
      <dgm:prSet presAssocID="{90DDC401-903F-495B-A387-FFA8A45891F6}" presName="linNode" presStyleCnt="0"/>
      <dgm:spPr/>
    </dgm:pt>
    <dgm:pt modelId="{96BE2B31-D87C-43E1-BE64-4C27B13F4AA4}" type="pres">
      <dgm:prSet presAssocID="{90DDC401-903F-495B-A387-FFA8A45891F6}" presName="parentText" presStyleLbl="node1" presStyleIdx="0" presStyleCnt="7">
        <dgm:presLayoutVars>
          <dgm:chMax val="1"/>
          <dgm:bulletEnabled val="1"/>
        </dgm:presLayoutVars>
      </dgm:prSet>
      <dgm:spPr/>
    </dgm:pt>
    <dgm:pt modelId="{DD9406C3-FC80-4468-A55B-122D744D43F0}" type="pres">
      <dgm:prSet presAssocID="{90DDC401-903F-495B-A387-FFA8A45891F6}" presName="descendantText" presStyleLbl="alignAccFollowNode1" presStyleIdx="0" presStyleCnt="7">
        <dgm:presLayoutVars>
          <dgm:bulletEnabled val="1"/>
        </dgm:presLayoutVars>
      </dgm:prSet>
      <dgm:spPr/>
    </dgm:pt>
    <dgm:pt modelId="{F1941F29-E51C-4282-956D-50CFAFAEB9B8}" type="pres">
      <dgm:prSet presAssocID="{35E5E878-0907-4014-9CFA-56AEFE6C22E5}" presName="sp" presStyleCnt="0"/>
      <dgm:spPr/>
    </dgm:pt>
    <dgm:pt modelId="{B589D1EC-5156-4FB2-BB1C-8E1290A868B9}" type="pres">
      <dgm:prSet presAssocID="{A6685E83-BEEC-49B3-B40A-539E2C0D7A1A}" presName="linNode" presStyleCnt="0"/>
      <dgm:spPr/>
    </dgm:pt>
    <dgm:pt modelId="{EBD335B5-8308-49CB-9630-99D852747B1F}" type="pres">
      <dgm:prSet presAssocID="{A6685E83-BEEC-49B3-B40A-539E2C0D7A1A}" presName="parentText" presStyleLbl="node1" presStyleIdx="1" presStyleCnt="7">
        <dgm:presLayoutVars>
          <dgm:chMax val="1"/>
          <dgm:bulletEnabled val="1"/>
        </dgm:presLayoutVars>
      </dgm:prSet>
      <dgm:spPr/>
    </dgm:pt>
    <dgm:pt modelId="{6EB2A58E-CA03-4F76-94B6-D8FE50231963}" type="pres">
      <dgm:prSet presAssocID="{A6685E83-BEEC-49B3-B40A-539E2C0D7A1A}" presName="descendantText" presStyleLbl="alignAccFollowNode1" presStyleIdx="1" presStyleCnt="7">
        <dgm:presLayoutVars>
          <dgm:bulletEnabled val="1"/>
        </dgm:presLayoutVars>
      </dgm:prSet>
      <dgm:spPr/>
    </dgm:pt>
    <dgm:pt modelId="{A76EE5BB-CBA4-4DD9-BFB7-3F3F246C9BF0}" type="pres">
      <dgm:prSet presAssocID="{68BB6C9A-B7F0-43A0-955B-FC8C4D4009BF}" presName="sp" presStyleCnt="0"/>
      <dgm:spPr/>
    </dgm:pt>
    <dgm:pt modelId="{8A8A5329-4368-4DE0-BE8B-07B9FBD167A3}" type="pres">
      <dgm:prSet presAssocID="{5AA02751-379E-46DB-884A-F23ACBC498EE}" presName="linNode" presStyleCnt="0"/>
      <dgm:spPr/>
    </dgm:pt>
    <dgm:pt modelId="{36845AD7-43D7-4836-9231-69ABDD68AD0F}" type="pres">
      <dgm:prSet presAssocID="{5AA02751-379E-46DB-884A-F23ACBC498EE}" presName="parentText" presStyleLbl="node1" presStyleIdx="2" presStyleCnt="7">
        <dgm:presLayoutVars>
          <dgm:chMax val="1"/>
          <dgm:bulletEnabled val="1"/>
        </dgm:presLayoutVars>
      </dgm:prSet>
      <dgm:spPr/>
    </dgm:pt>
    <dgm:pt modelId="{430C03C7-5E0B-483A-86F8-815156A850C8}" type="pres">
      <dgm:prSet presAssocID="{5AA02751-379E-46DB-884A-F23ACBC498EE}" presName="descendantText" presStyleLbl="alignAccFollowNode1" presStyleIdx="2" presStyleCnt="7">
        <dgm:presLayoutVars>
          <dgm:bulletEnabled val="1"/>
        </dgm:presLayoutVars>
      </dgm:prSet>
      <dgm:spPr/>
    </dgm:pt>
    <dgm:pt modelId="{7A703FF7-BAC6-4D17-8A77-4CB94D22FD3B}" type="pres">
      <dgm:prSet presAssocID="{3DBF6B9F-A188-4D67-ABE8-0633561FA9E5}" presName="sp" presStyleCnt="0"/>
      <dgm:spPr/>
    </dgm:pt>
    <dgm:pt modelId="{13A45D29-9D2F-4968-8551-711DC4B12B95}" type="pres">
      <dgm:prSet presAssocID="{54B4BA4B-25EA-4365-8339-D60A1B532153}" presName="linNode" presStyleCnt="0"/>
      <dgm:spPr/>
    </dgm:pt>
    <dgm:pt modelId="{E0891725-40E5-45BD-9944-E3063B6140C9}" type="pres">
      <dgm:prSet presAssocID="{54B4BA4B-25EA-4365-8339-D60A1B532153}" presName="parentText" presStyleLbl="node1" presStyleIdx="3" presStyleCnt="7">
        <dgm:presLayoutVars>
          <dgm:chMax val="1"/>
          <dgm:bulletEnabled val="1"/>
        </dgm:presLayoutVars>
      </dgm:prSet>
      <dgm:spPr/>
    </dgm:pt>
    <dgm:pt modelId="{D0A24204-09CE-4511-84F1-78B11EA896BA}" type="pres">
      <dgm:prSet presAssocID="{54B4BA4B-25EA-4365-8339-D60A1B532153}" presName="descendantText" presStyleLbl="alignAccFollowNode1" presStyleIdx="3" presStyleCnt="7">
        <dgm:presLayoutVars>
          <dgm:bulletEnabled val="1"/>
        </dgm:presLayoutVars>
      </dgm:prSet>
      <dgm:spPr/>
    </dgm:pt>
    <dgm:pt modelId="{AF990A1A-D45C-438A-9549-603345C4A6E3}" type="pres">
      <dgm:prSet presAssocID="{A87A67A5-8ED7-41FC-8166-5072A820E1F0}" presName="sp" presStyleCnt="0"/>
      <dgm:spPr/>
    </dgm:pt>
    <dgm:pt modelId="{F868BD0E-239F-445D-8599-341B036DAFCA}" type="pres">
      <dgm:prSet presAssocID="{3FC322E7-DFEE-4E98-A779-145016146A54}" presName="linNode" presStyleCnt="0"/>
      <dgm:spPr/>
    </dgm:pt>
    <dgm:pt modelId="{E51E7BF0-B594-49BA-AFBA-017B07413757}" type="pres">
      <dgm:prSet presAssocID="{3FC322E7-DFEE-4E98-A779-145016146A54}" presName="parentText" presStyleLbl="node1" presStyleIdx="4" presStyleCnt="7">
        <dgm:presLayoutVars>
          <dgm:chMax val="1"/>
          <dgm:bulletEnabled val="1"/>
        </dgm:presLayoutVars>
      </dgm:prSet>
      <dgm:spPr/>
    </dgm:pt>
    <dgm:pt modelId="{DC60A1C6-3939-4D45-A936-69292D38BA50}" type="pres">
      <dgm:prSet presAssocID="{3FC322E7-DFEE-4E98-A779-145016146A54}" presName="descendantText" presStyleLbl="alignAccFollowNode1" presStyleIdx="4" presStyleCnt="7">
        <dgm:presLayoutVars>
          <dgm:bulletEnabled val="1"/>
        </dgm:presLayoutVars>
      </dgm:prSet>
      <dgm:spPr/>
    </dgm:pt>
    <dgm:pt modelId="{97724E03-1264-4DC6-AE4C-E104B9748FDC}" type="pres">
      <dgm:prSet presAssocID="{FF3C2651-00B9-4B0D-95E5-359A8AE9332E}" presName="sp" presStyleCnt="0"/>
      <dgm:spPr/>
    </dgm:pt>
    <dgm:pt modelId="{4D2CBBF3-7CC0-4896-8430-E4D47FC61DE0}" type="pres">
      <dgm:prSet presAssocID="{598FC45A-940C-476B-A524-0DE3A0B9DDEB}" presName="linNode" presStyleCnt="0"/>
      <dgm:spPr/>
    </dgm:pt>
    <dgm:pt modelId="{C2994465-C844-49E1-B931-658C291A9F11}" type="pres">
      <dgm:prSet presAssocID="{598FC45A-940C-476B-A524-0DE3A0B9DDEB}" presName="parentText" presStyleLbl="node1" presStyleIdx="5" presStyleCnt="7">
        <dgm:presLayoutVars>
          <dgm:chMax val="1"/>
          <dgm:bulletEnabled val="1"/>
        </dgm:presLayoutVars>
      </dgm:prSet>
      <dgm:spPr/>
    </dgm:pt>
    <dgm:pt modelId="{1C3A1013-1F89-4B16-8913-764479535FA7}" type="pres">
      <dgm:prSet presAssocID="{598FC45A-940C-476B-A524-0DE3A0B9DDEB}" presName="descendantText" presStyleLbl="alignAccFollowNode1" presStyleIdx="5" presStyleCnt="7">
        <dgm:presLayoutVars>
          <dgm:bulletEnabled val="1"/>
        </dgm:presLayoutVars>
      </dgm:prSet>
      <dgm:spPr/>
    </dgm:pt>
    <dgm:pt modelId="{E81D2EF6-ED3E-4A5F-B19E-0FD3DD3D100B}" type="pres">
      <dgm:prSet presAssocID="{777FC5F6-628F-403B-8206-702A4D6FF22F}" presName="sp" presStyleCnt="0"/>
      <dgm:spPr/>
    </dgm:pt>
    <dgm:pt modelId="{75F1CF56-1EA9-408A-B035-B72ACD4B75E5}" type="pres">
      <dgm:prSet presAssocID="{CAE2AA82-0089-452C-98CC-E57488302210}" presName="linNode" presStyleCnt="0"/>
      <dgm:spPr/>
    </dgm:pt>
    <dgm:pt modelId="{0A42D71E-DE4F-41FF-AAC7-53E50B8AD77B}" type="pres">
      <dgm:prSet presAssocID="{CAE2AA82-0089-452C-98CC-E57488302210}" presName="parentText" presStyleLbl="node1" presStyleIdx="6" presStyleCnt="7">
        <dgm:presLayoutVars>
          <dgm:chMax val="1"/>
          <dgm:bulletEnabled val="1"/>
        </dgm:presLayoutVars>
      </dgm:prSet>
      <dgm:spPr/>
    </dgm:pt>
    <dgm:pt modelId="{ECA689D5-A33E-4474-A661-6C9AB46DFA53}" type="pres">
      <dgm:prSet presAssocID="{CAE2AA82-0089-452C-98CC-E57488302210}" presName="descendantText" presStyleLbl="alignAccFollowNode1" presStyleIdx="6" presStyleCnt="7">
        <dgm:presLayoutVars>
          <dgm:bulletEnabled val="1"/>
        </dgm:presLayoutVars>
      </dgm:prSet>
      <dgm:spPr/>
    </dgm:pt>
  </dgm:ptLst>
  <dgm:cxnLst>
    <dgm:cxn modelId="{DBE2EA66-C9DD-4BE6-A215-2D6E9AA6AE9F}" srcId="{2E15931E-1654-4B73-89B2-8E333D9C42E0}" destId="{90DDC401-903F-495B-A387-FFA8A45891F6}" srcOrd="0" destOrd="0" parTransId="{C8BB0B8A-C63A-4F83-B8DD-3A7CE259E4EE}" sibTransId="{35E5E878-0907-4014-9CFA-56AEFE6C22E5}"/>
    <dgm:cxn modelId="{612DC5A4-86AA-4917-817D-F9C6F691C288}" srcId="{90DDC401-903F-495B-A387-FFA8A45891F6}" destId="{E08CEB0C-E37F-4DCA-A8EA-4B2CD3AD7754}" srcOrd="0" destOrd="0" parTransId="{FB4BCC77-44E9-4065-8A2F-90CD32DE34E3}" sibTransId="{41FED480-3E2E-47A2-B997-02D527BC8082}"/>
    <dgm:cxn modelId="{C859F1E6-AE34-4B36-8BE9-D04173FDDD77}" srcId="{90DDC401-903F-495B-A387-FFA8A45891F6}" destId="{B6A79F87-33E3-4512-99E7-7975A5ADA81F}" srcOrd="1" destOrd="0" parTransId="{335F37F5-1C66-4267-AA2F-F249A0916094}" sibTransId="{4853DE8B-524E-4C7C-AE7E-5B25EC54FB32}"/>
    <dgm:cxn modelId="{48AC37CE-908D-441A-8638-4B444258B365}" srcId="{90DDC401-903F-495B-A387-FFA8A45891F6}" destId="{36AA7430-1A9E-42A5-9B11-AA22BEC3A13D}" srcOrd="2" destOrd="0" parTransId="{9FD2631B-10E8-4CD8-82F0-720BF78CC422}" sibTransId="{D23AEF51-8A20-428C-8C98-D7BBDDA9E5B9}"/>
    <dgm:cxn modelId="{6AA9BAE4-C670-4815-8CF6-43100E30E7FD}" srcId="{2E15931E-1654-4B73-89B2-8E333D9C42E0}" destId="{A6685E83-BEEC-49B3-B40A-539E2C0D7A1A}" srcOrd="1" destOrd="0" parTransId="{FECC43A3-D59E-4EE1-9557-8FBB90D5B362}" sibTransId="{68BB6C9A-B7F0-43A0-955B-FC8C4D4009BF}"/>
    <dgm:cxn modelId="{ADAF98A3-E428-4F5B-B16B-584FB950A15D}" srcId="{A6685E83-BEEC-49B3-B40A-539E2C0D7A1A}" destId="{EB55EFBD-85BE-420C-AADF-89EA384F7CEB}" srcOrd="0" destOrd="1" parTransId="{80CF44CF-BA8B-499E-99E7-9076649E802E}" sibTransId="{F7A9B003-06E9-458C-8590-12582C5B8F43}"/>
    <dgm:cxn modelId="{AB9EE895-286B-44BE-82C8-68CDDAA855BD}" srcId="{A6685E83-BEEC-49B3-B40A-539E2C0D7A1A}" destId="{5ADB8DC9-80BE-47D2-9C15-C9D2CB764251}" srcOrd="1" destOrd="1" parTransId="{E1FE1AA1-9819-4EB0-B611-D8F43F4B785A}" sibTransId="{4DCFF716-093B-4030-AFF9-5B001A813647}"/>
    <dgm:cxn modelId="{75E144DA-E26A-4EF9-9838-CFCD5DF77A99}" srcId="{2E15931E-1654-4B73-89B2-8E333D9C42E0}" destId="{5AA02751-379E-46DB-884A-F23ACBC498EE}" srcOrd="2" destOrd="0" parTransId="{D0D77647-95BE-4607-B2F0-006D9CAB8F0E}" sibTransId="{3DBF6B9F-A188-4D67-ABE8-0633561FA9E5}"/>
    <dgm:cxn modelId="{F3148A3A-5880-4A0D-838B-7293611C9D81}" srcId="{5AA02751-379E-46DB-884A-F23ACBC498EE}" destId="{7BF89105-4D02-4E42-908B-8D887BBE0232}" srcOrd="0" destOrd="2" parTransId="{1CFDC4C3-C184-4B18-867F-B23EDD0A9B73}" sibTransId="{A79F5BBF-8812-44B9-8A89-D40705BEBB68}"/>
    <dgm:cxn modelId="{E21836C4-CD45-491A-9615-5610EB89D170}" srcId="{5AA02751-379E-46DB-884A-F23ACBC498EE}" destId="{7FD04CF6-995D-465F-BB49-86243B7E0A6A}" srcOrd="1" destOrd="2" parTransId="{44F24DE0-A87F-4C7C-A127-A9D41B9DCF52}" sibTransId="{2C9365A1-7063-4667-9A67-9A8715E5DDEB}"/>
    <dgm:cxn modelId="{4A075CAD-FE7D-4168-B1AF-4BD0A5FD441F}" srcId="{2E15931E-1654-4B73-89B2-8E333D9C42E0}" destId="{54B4BA4B-25EA-4365-8339-D60A1B532153}" srcOrd="3" destOrd="0" parTransId="{90119932-256C-411F-93EA-4FC37F5781B4}" sibTransId="{A87A67A5-8ED7-41FC-8166-5072A820E1F0}"/>
    <dgm:cxn modelId="{2A62A559-20A2-49B7-9D97-F3BBC6FBE164}" srcId="{54B4BA4B-25EA-4365-8339-D60A1B532153}" destId="{0F87F56B-F9C6-45CB-BFB8-DB210D602E39}" srcOrd="0" destOrd="3" parTransId="{B5CF3EAE-78AE-47F7-97E7-EB4A94A24AC3}" sibTransId="{CC3AE74F-D715-440F-B66B-AF2878FF64DA}"/>
    <dgm:cxn modelId="{0BA0DC3C-460A-47C7-A969-2AA182899D82}" srcId="{54B4BA4B-25EA-4365-8339-D60A1B532153}" destId="{A67192B6-4335-4767-98F2-0233E6D788DC}" srcOrd="1" destOrd="3" parTransId="{47A92698-1191-4CC7-96A3-99CECCF4BCD8}" sibTransId="{894D0E56-92A7-4C4A-BC86-B80D622E86E9}"/>
    <dgm:cxn modelId="{EC8549DC-BC29-47E0-9CD2-19F96E103E7F}" srcId="{2E15931E-1654-4B73-89B2-8E333D9C42E0}" destId="{3FC322E7-DFEE-4E98-A779-145016146A54}" srcOrd="4" destOrd="0" parTransId="{A6E8D917-E4A7-4046-92CB-0AB9030CF12A}" sibTransId="{FF3C2651-00B9-4B0D-95E5-359A8AE9332E}"/>
    <dgm:cxn modelId="{E9F5C69D-BECF-492B-9F5F-76AC96D4F56D}" srcId="{3FC322E7-DFEE-4E98-A779-145016146A54}" destId="{64C53CF1-260D-4FFB-A730-C3558BAEBE46}" srcOrd="0" destOrd="4" parTransId="{D9ABD19B-B265-45A3-A96E-078BB0C731D0}" sibTransId="{F88EAD09-61B7-45D5-8DF9-6154820CEEEF}"/>
    <dgm:cxn modelId="{BFB71BE3-467F-49F0-A334-647AF939B212}" srcId="{3FC322E7-DFEE-4E98-A779-145016146A54}" destId="{4D984900-B023-45C2-B5AF-344FB537A717}" srcOrd="1" destOrd="4" parTransId="{04AF61C4-D4E8-4263-BD6B-04475F498573}" sibTransId="{17BBE8A3-4BD1-4A12-B654-3C2766A69BA5}"/>
    <dgm:cxn modelId="{20DF7788-A79A-4DDA-8F35-AB291948C29C}" srcId="{2E15931E-1654-4B73-89B2-8E333D9C42E0}" destId="{598FC45A-940C-476B-A524-0DE3A0B9DDEB}" srcOrd="5" destOrd="0" parTransId="{C571080E-3008-4E56-871D-9DB0EB121BDB}" sibTransId="{777FC5F6-628F-403B-8206-702A4D6FF22F}"/>
    <dgm:cxn modelId="{F5E53B38-813C-4EE7-8D05-AF3F4CBD298E}" srcId="{598FC45A-940C-476B-A524-0DE3A0B9DDEB}" destId="{0A7D7049-02EF-4500-A414-B87FFF8F653F}" srcOrd="0" destOrd="5" parTransId="{C478CE73-0686-4D75-997F-15E07CBB2918}" sibTransId="{CBB5AAEC-CBE3-4681-B97F-015A102B03AC}"/>
    <dgm:cxn modelId="{247C8BDB-236C-44AD-B167-7CA93F782F57}" srcId="{598FC45A-940C-476B-A524-0DE3A0B9DDEB}" destId="{74C4A5D7-4AFB-472A-B835-A1DFAA42C0A2}" srcOrd="1" destOrd="5" parTransId="{86DF7F9C-98FF-4357-A8B5-722BE926A833}" sibTransId="{54206CCC-E8E3-4C31-9E29-C73E174C7761}"/>
    <dgm:cxn modelId="{D54372F8-A55B-49C1-AB5E-162875B65BBB}" srcId="{2E15931E-1654-4B73-89B2-8E333D9C42E0}" destId="{CAE2AA82-0089-452C-98CC-E57488302210}" srcOrd="6" destOrd="0" parTransId="{783162EE-55F1-42EA-8DEC-26C5F2443136}" sibTransId="{00091974-C936-426F-BB62-8C0C4B332F99}"/>
    <dgm:cxn modelId="{DE5B54A4-1BDA-4CA8-9121-8CEDAA4F3F49}" srcId="{CAE2AA82-0089-452C-98CC-E57488302210}" destId="{D996704E-488C-4069-A478-D4FE38E43EDE}" srcOrd="0" destOrd="6" parTransId="{B7F1E270-CD19-4567-920F-5ADC931D52AA}" sibTransId="{690EC4A8-3848-4094-974A-224C45CF8B23}"/>
    <dgm:cxn modelId="{C251E094-7BF4-479E-BB2E-A8F16E586BFD}" type="presOf" srcId="{2E15931E-1654-4B73-89B2-8E333D9C42E0}" destId="{D5935282-3C7C-4F88-A1AE-C27DB8591514}" srcOrd="0" destOrd="0" presId="urn:microsoft.com/office/officeart/2005/8/layout/vList5"/>
    <dgm:cxn modelId="{50F1D487-326D-4F87-BC20-97CDDE7DA65D}" type="presParOf" srcId="{D5935282-3C7C-4F88-A1AE-C27DB8591514}" destId="{E61486FD-113E-4C87-8ADF-B1A8E2A84801}" srcOrd="0" destOrd="0" presId="urn:microsoft.com/office/officeart/2005/8/layout/vList5"/>
    <dgm:cxn modelId="{B724FB4F-A922-408D-9C68-C921159D00A6}" type="presParOf" srcId="{E61486FD-113E-4C87-8ADF-B1A8E2A84801}" destId="{96BE2B31-D87C-43E1-BE64-4C27B13F4AA4}" srcOrd="0" destOrd="0" presId="urn:microsoft.com/office/officeart/2005/8/layout/vList5"/>
    <dgm:cxn modelId="{18455200-16A9-4BB7-9178-BD0EBD9789EF}" type="presOf" srcId="{90DDC401-903F-495B-A387-FFA8A45891F6}" destId="{96BE2B31-D87C-43E1-BE64-4C27B13F4AA4}" srcOrd="0" destOrd="0" presId="urn:microsoft.com/office/officeart/2005/8/layout/vList5"/>
    <dgm:cxn modelId="{7D0F0144-56C0-478A-B003-B56D665A08E0}" type="presParOf" srcId="{E61486FD-113E-4C87-8ADF-B1A8E2A84801}" destId="{DD9406C3-FC80-4468-A55B-122D744D43F0}" srcOrd="1" destOrd="0" presId="urn:microsoft.com/office/officeart/2005/8/layout/vList5"/>
    <dgm:cxn modelId="{DE651272-4C4D-46A9-BE54-6CF60737D573}" type="presOf" srcId="{E08CEB0C-E37F-4DCA-A8EA-4B2CD3AD7754}" destId="{DD9406C3-FC80-4468-A55B-122D744D43F0}" srcOrd="0" destOrd="0" presId="urn:microsoft.com/office/officeart/2005/8/layout/vList5"/>
    <dgm:cxn modelId="{F2C41F62-1C21-4076-AC47-3278DCFFFF34}" type="presOf" srcId="{B6A79F87-33E3-4512-99E7-7975A5ADA81F}" destId="{DD9406C3-FC80-4468-A55B-122D744D43F0}" srcOrd="0" destOrd="1" presId="urn:microsoft.com/office/officeart/2005/8/layout/vList5"/>
    <dgm:cxn modelId="{4C94F1B0-62FF-43F2-8CAC-5E8480BCCE58}" type="presOf" srcId="{36AA7430-1A9E-42A5-9B11-AA22BEC3A13D}" destId="{DD9406C3-FC80-4468-A55B-122D744D43F0}" srcOrd="0" destOrd="2" presId="urn:microsoft.com/office/officeart/2005/8/layout/vList5"/>
    <dgm:cxn modelId="{C431B3A3-0B22-4FEE-B924-16C47AB7F709}" type="presParOf" srcId="{D5935282-3C7C-4F88-A1AE-C27DB8591514}" destId="{F1941F29-E51C-4282-956D-50CFAFAEB9B8}" srcOrd="1" destOrd="0" presId="urn:microsoft.com/office/officeart/2005/8/layout/vList5"/>
    <dgm:cxn modelId="{07EEF91E-1AE6-49E0-8206-C5BE8C26F383}" type="presParOf" srcId="{D5935282-3C7C-4F88-A1AE-C27DB8591514}" destId="{B589D1EC-5156-4FB2-BB1C-8E1290A868B9}" srcOrd="2" destOrd="0" presId="urn:microsoft.com/office/officeart/2005/8/layout/vList5"/>
    <dgm:cxn modelId="{8EE592FC-FB37-445C-8241-4F36DDB3CEEB}" type="presParOf" srcId="{B589D1EC-5156-4FB2-BB1C-8E1290A868B9}" destId="{EBD335B5-8308-49CB-9630-99D852747B1F}" srcOrd="0" destOrd="2" presId="urn:microsoft.com/office/officeart/2005/8/layout/vList5"/>
    <dgm:cxn modelId="{14D1AD5F-F252-49AB-850A-A7D1665025AB}" type="presOf" srcId="{A6685E83-BEEC-49B3-B40A-539E2C0D7A1A}" destId="{EBD335B5-8308-49CB-9630-99D852747B1F}" srcOrd="0" destOrd="0" presId="urn:microsoft.com/office/officeart/2005/8/layout/vList5"/>
    <dgm:cxn modelId="{41195D41-3ABB-4A6B-AB4C-8C7E4CEADE78}" type="presParOf" srcId="{B589D1EC-5156-4FB2-BB1C-8E1290A868B9}" destId="{6EB2A58E-CA03-4F76-94B6-D8FE50231963}" srcOrd="1" destOrd="2" presId="urn:microsoft.com/office/officeart/2005/8/layout/vList5"/>
    <dgm:cxn modelId="{53FC9A2E-8861-46D0-913B-A51B971297BA}" type="presOf" srcId="{EB55EFBD-85BE-420C-AADF-89EA384F7CEB}" destId="{6EB2A58E-CA03-4F76-94B6-D8FE50231963}" srcOrd="0" destOrd="0" presId="urn:microsoft.com/office/officeart/2005/8/layout/vList5"/>
    <dgm:cxn modelId="{0846A313-2245-4E71-8B9E-53FAAE6C2E18}" type="presOf" srcId="{5ADB8DC9-80BE-47D2-9C15-C9D2CB764251}" destId="{6EB2A58E-CA03-4F76-94B6-D8FE50231963}" srcOrd="0" destOrd="1" presId="urn:microsoft.com/office/officeart/2005/8/layout/vList5"/>
    <dgm:cxn modelId="{54E46C46-F063-426F-9D7F-D3B410267DF2}" type="presParOf" srcId="{D5935282-3C7C-4F88-A1AE-C27DB8591514}" destId="{A76EE5BB-CBA4-4DD9-BFB7-3F3F246C9BF0}" srcOrd="3" destOrd="0" presId="urn:microsoft.com/office/officeart/2005/8/layout/vList5"/>
    <dgm:cxn modelId="{5B68B4F7-A351-4DC7-A8B0-29A98F0DB106}" type="presParOf" srcId="{D5935282-3C7C-4F88-A1AE-C27DB8591514}" destId="{8A8A5329-4368-4DE0-BE8B-07B9FBD167A3}" srcOrd="4" destOrd="0" presId="urn:microsoft.com/office/officeart/2005/8/layout/vList5"/>
    <dgm:cxn modelId="{B8B98D6A-9380-4650-90B4-1E05FF94E007}" type="presParOf" srcId="{8A8A5329-4368-4DE0-BE8B-07B9FBD167A3}" destId="{36845AD7-43D7-4836-9231-69ABDD68AD0F}" srcOrd="0" destOrd="4" presId="urn:microsoft.com/office/officeart/2005/8/layout/vList5"/>
    <dgm:cxn modelId="{68BE6699-74D8-4EE0-BC62-1D139D714EEC}" type="presOf" srcId="{5AA02751-379E-46DB-884A-F23ACBC498EE}" destId="{36845AD7-43D7-4836-9231-69ABDD68AD0F}" srcOrd="0" destOrd="0" presId="urn:microsoft.com/office/officeart/2005/8/layout/vList5"/>
    <dgm:cxn modelId="{D2804CD1-9CC2-4737-81AE-CF7DA080919D}" type="presParOf" srcId="{8A8A5329-4368-4DE0-BE8B-07B9FBD167A3}" destId="{430C03C7-5E0B-483A-86F8-815156A850C8}" srcOrd="1" destOrd="4" presId="urn:microsoft.com/office/officeart/2005/8/layout/vList5"/>
    <dgm:cxn modelId="{C870F8B5-EDBF-42D6-8098-7EB95C16C15F}" type="presOf" srcId="{7BF89105-4D02-4E42-908B-8D887BBE0232}" destId="{430C03C7-5E0B-483A-86F8-815156A850C8}" srcOrd="0" destOrd="0" presId="urn:microsoft.com/office/officeart/2005/8/layout/vList5"/>
    <dgm:cxn modelId="{5A232C9F-021A-4683-AEB8-B6324261B13D}" type="presOf" srcId="{7FD04CF6-995D-465F-BB49-86243B7E0A6A}" destId="{430C03C7-5E0B-483A-86F8-815156A850C8}" srcOrd="0" destOrd="1" presId="urn:microsoft.com/office/officeart/2005/8/layout/vList5"/>
    <dgm:cxn modelId="{014671CA-C1EF-4928-BFC1-CBAF99C4FA90}" type="presParOf" srcId="{D5935282-3C7C-4F88-A1AE-C27DB8591514}" destId="{7A703FF7-BAC6-4D17-8A77-4CB94D22FD3B}" srcOrd="5" destOrd="0" presId="urn:microsoft.com/office/officeart/2005/8/layout/vList5"/>
    <dgm:cxn modelId="{06215447-D8E3-47F0-99D1-A3F69649ECB8}" type="presParOf" srcId="{D5935282-3C7C-4F88-A1AE-C27DB8591514}" destId="{13A45D29-9D2F-4968-8551-711DC4B12B95}" srcOrd="6" destOrd="0" presId="urn:microsoft.com/office/officeart/2005/8/layout/vList5"/>
    <dgm:cxn modelId="{29B12AA9-6CD6-4BFA-BF8D-C1220BEC46C5}" type="presParOf" srcId="{13A45D29-9D2F-4968-8551-711DC4B12B95}" destId="{E0891725-40E5-45BD-9944-E3063B6140C9}" srcOrd="0" destOrd="6" presId="urn:microsoft.com/office/officeart/2005/8/layout/vList5"/>
    <dgm:cxn modelId="{36FDC854-F0C8-4FE9-9DED-6F2F4DCA89A3}" type="presOf" srcId="{54B4BA4B-25EA-4365-8339-D60A1B532153}" destId="{E0891725-40E5-45BD-9944-E3063B6140C9}" srcOrd="0" destOrd="0" presId="urn:microsoft.com/office/officeart/2005/8/layout/vList5"/>
    <dgm:cxn modelId="{1184690A-D4C0-4A98-9B5D-C6F681354047}" type="presParOf" srcId="{13A45D29-9D2F-4968-8551-711DC4B12B95}" destId="{D0A24204-09CE-4511-84F1-78B11EA896BA}" srcOrd="1" destOrd="6" presId="urn:microsoft.com/office/officeart/2005/8/layout/vList5"/>
    <dgm:cxn modelId="{B40AC18B-8E90-4D99-8821-27F437115DE8}" type="presOf" srcId="{0F87F56B-F9C6-45CB-BFB8-DB210D602E39}" destId="{D0A24204-09CE-4511-84F1-78B11EA896BA}" srcOrd="0" destOrd="0" presId="urn:microsoft.com/office/officeart/2005/8/layout/vList5"/>
    <dgm:cxn modelId="{0B332A10-10F1-4790-8576-6F9E74FCC068}" type="presOf" srcId="{A67192B6-4335-4767-98F2-0233E6D788DC}" destId="{D0A24204-09CE-4511-84F1-78B11EA896BA}" srcOrd="0" destOrd="1" presId="urn:microsoft.com/office/officeart/2005/8/layout/vList5"/>
    <dgm:cxn modelId="{512DC4C7-4C16-46A0-A968-3655CF8776A7}" type="presParOf" srcId="{D5935282-3C7C-4F88-A1AE-C27DB8591514}" destId="{AF990A1A-D45C-438A-9549-603345C4A6E3}" srcOrd="7" destOrd="0" presId="urn:microsoft.com/office/officeart/2005/8/layout/vList5"/>
    <dgm:cxn modelId="{47CBF6D8-6F29-478C-9B61-688DA1D0601E}" type="presParOf" srcId="{D5935282-3C7C-4F88-A1AE-C27DB8591514}" destId="{F868BD0E-239F-445D-8599-341B036DAFCA}" srcOrd="8" destOrd="0" presId="urn:microsoft.com/office/officeart/2005/8/layout/vList5"/>
    <dgm:cxn modelId="{10832E20-9C7A-4357-B48D-92E4637BDA7B}" type="presParOf" srcId="{F868BD0E-239F-445D-8599-341B036DAFCA}" destId="{E51E7BF0-B594-49BA-AFBA-017B07413757}" srcOrd="0" destOrd="8" presId="urn:microsoft.com/office/officeart/2005/8/layout/vList5"/>
    <dgm:cxn modelId="{B2CDED0C-D3CC-4E13-88BD-1A2E18A5D03B}" type="presOf" srcId="{3FC322E7-DFEE-4E98-A779-145016146A54}" destId="{E51E7BF0-B594-49BA-AFBA-017B07413757}" srcOrd="0" destOrd="0" presId="urn:microsoft.com/office/officeart/2005/8/layout/vList5"/>
    <dgm:cxn modelId="{8621B21C-2A4B-43D7-A673-20FFF17216F3}" type="presParOf" srcId="{F868BD0E-239F-445D-8599-341B036DAFCA}" destId="{DC60A1C6-3939-4D45-A936-69292D38BA50}" srcOrd="1" destOrd="8" presId="urn:microsoft.com/office/officeart/2005/8/layout/vList5"/>
    <dgm:cxn modelId="{FE92A3AA-082C-40DF-B1C7-B536F852370B}" type="presOf" srcId="{64C53CF1-260D-4FFB-A730-C3558BAEBE46}" destId="{DC60A1C6-3939-4D45-A936-69292D38BA50}" srcOrd="0" destOrd="0" presId="urn:microsoft.com/office/officeart/2005/8/layout/vList5"/>
    <dgm:cxn modelId="{734E2D53-7D81-4729-B8ED-7623E08F4CF7}" type="presOf" srcId="{4D984900-B023-45C2-B5AF-344FB537A717}" destId="{DC60A1C6-3939-4D45-A936-69292D38BA50}" srcOrd="0" destOrd="1" presId="urn:microsoft.com/office/officeart/2005/8/layout/vList5"/>
    <dgm:cxn modelId="{D2E62FB5-C868-4A93-9280-5BDDE9BFABE8}" type="presParOf" srcId="{D5935282-3C7C-4F88-A1AE-C27DB8591514}" destId="{97724E03-1264-4DC6-AE4C-E104B9748FDC}" srcOrd="9" destOrd="0" presId="urn:microsoft.com/office/officeart/2005/8/layout/vList5"/>
    <dgm:cxn modelId="{558F52E1-DBC2-4917-AAC7-844247A9A738}" type="presParOf" srcId="{D5935282-3C7C-4F88-A1AE-C27DB8591514}" destId="{4D2CBBF3-7CC0-4896-8430-E4D47FC61DE0}" srcOrd="10" destOrd="0" presId="urn:microsoft.com/office/officeart/2005/8/layout/vList5"/>
    <dgm:cxn modelId="{14486C7D-B27B-4365-B27E-D5FDD49ED756}" type="presParOf" srcId="{4D2CBBF3-7CC0-4896-8430-E4D47FC61DE0}" destId="{C2994465-C844-49E1-B931-658C291A9F11}" srcOrd="0" destOrd="10" presId="urn:microsoft.com/office/officeart/2005/8/layout/vList5"/>
    <dgm:cxn modelId="{1185D4B5-8CEB-436A-9555-12F98C7E0D19}" type="presOf" srcId="{598FC45A-940C-476B-A524-0DE3A0B9DDEB}" destId="{C2994465-C844-49E1-B931-658C291A9F11}" srcOrd="0" destOrd="0" presId="urn:microsoft.com/office/officeart/2005/8/layout/vList5"/>
    <dgm:cxn modelId="{0F9DA33B-ABA6-4DFC-A915-FBD0A314D8AB}" type="presParOf" srcId="{4D2CBBF3-7CC0-4896-8430-E4D47FC61DE0}" destId="{1C3A1013-1F89-4B16-8913-764479535FA7}" srcOrd="1" destOrd="10" presId="urn:microsoft.com/office/officeart/2005/8/layout/vList5"/>
    <dgm:cxn modelId="{A336F65C-19DF-41C2-8D2C-7DF3C1E25C8E}" type="presOf" srcId="{0A7D7049-02EF-4500-A414-B87FFF8F653F}" destId="{1C3A1013-1F89-4B16-8913-764479535FA7}" srcOrd="0" destOrd="0" presId="urn:microsoft.com/office/officeart/2005/8/layout/vList5"/>
    <dgm:cxn modelId="{7AC08CD1-8BD1-4299-8486-A90C10E8D7A3}" type="presOf" srcId="{74C4A5D7-4AFB-472A-B835-A1DFAA42C0A2}" destId="{1C3A1013-1F89-4B16-8913-764479535FA7}" srcOrd="0" destOrd="1" presId="urn:microsoft.com/office/officeart/2005/8/layout/vList5"/>
    <dgm:cxn modelId="{F3C2CD4D-0D31-4E05-A662-89014A5E7075}" type="presParOf" srcId="{D5935282-3C7C-4F88-A1AE-C27DB8591514}" destId="{E81D2EF6-ED3E-4A5F-B19E-0FD3DD3D100B}" srcOrd="11" destOrd="0" presId="urn:microsoft.com/office/officeart/2005/8/layout/vList5"/>
    <dgm:cxn modelId="{B55E6880-538D-4DE9-85FB-67B55E57C54B}" type="presParOf" srcId="{D5935282-3C7C-4F88-A1AE-C27DB8591514}" destId="{75F1CF56-1EA9-408A-B035-B72ACD4B75E5}" srcOrd="12" destOrd="0" presId="urn:microsoft.com/office/officeart/2005/8/layout/vList5"/>
    <dgm:cxn modelId="{41AA9421-63F9-4979-BDE0-2D0DE3DB11D0}" type="presParOf" srcId="{75F1CF56-1EA9-408A-B035-B72ACD4B75E5}" destId="{0A42D71E-DE4F-41FF-AAC7-53E50B8AD77B}" srcOrd="0" destOrd="12" presId="urn:microsoft.com/office/officeart/2005/8/layout/vList5"/>
    <dgm:cxn modelId="{FAAB6533-D18A-4D64-B540-E78F6B2994A6}" type="presOf" srcId="{CAE2AA82-0089-452C-98CC-E57488302210}" destId="{0A42D71E-DE4F-41FF-AAC7-53E50B8AD77B}" srcOrd="0" destOrd="0" presId="urn:microsoft.com/office/officeart/2005/8/layout/vList5"/>
    <dgm:cxn modelId="{6319A8E4-E4C2-405D-9668-D108E8811B42}" type="presParOf" srcId="{75F1CF56-1EA9-408A-B035-B72ACD4B75E5}" destId="{ECA689D5-A33E-4474-A661-6C9AB46DFA53}" srcOrd="1" destOrd="12" presId="urn:microsoft.com/office/officeart/2005/8/layout/vList5"/>
    <dgm:cxn modelId="{5C182BF8-C813-4697-9AF0-639A86295EDB}" type="presOf" srcId="{D996704E-488C-4069-A478-D4FE38E43EDE}" destId="{ECA689D5-A33E-4474-A661-6C9AB46DFA53}" srcOrd="0" destOrd="0" presId="urn:microsoft.com/office/officeart/2005/8/layout/vList5"/>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530340" cy="2103120"/>
        <a:chOff x="0" y="0"/>
        <a:chExt cx="6530340" cy="2103120"/>
      </a:xfrm>
    </dsp:grpSpPr>
    <dsp:sp modelId="{BE212387-883C-4A32-9AAA-B825F8310D95}">
      <dsp:nvSpPr>
        <dsp:cNvPr id="5" name="Freeform 4"/>
        <dsp:cNvSpPr/>
      </dsp:nvSpPr>
      <dsp:spPr bwMode="white">
        <a:xfrm>
          <a:off x="1277064" y="547688"/>
          <a:ext cx="1988106" cy="1007745"/>
        </a:xfrm>
        <a:custGeom>
          <a:avLst/>
          <a:gdLst/>
          <a:ahLst/>
          <a:cxnLst/>
          <a:pathLst>
            <a:path w="3131" h="1587">
              <a:moveTo>
                <a:pt x="3131" y="0"/>
              </a:moveTo>
              <a:lnTo>
                <a:pt x="3131" y="1406"/>
              </a:lnTo>
              <a:lnTo>
                <a:pt x="0" y="1406"/>
              </a:lnTo>
              <a:lnTo>
                <a:pt x="0" y="1587"/>
              </a:lnTo>
            </a:path>
          </a:pathLst>
        </a:custGeom>
      </dsp:spPr>
      <dsp:style>
        <a:lnRef idx="2">
          <a:schemeClr val="dk2">
            <a:shade val="60000"/>
          </a:schemeClr>
        </a:lnRef>
        <a:fillRef idx="0">
          <a:schemeClr val="dk2"/>
        </a:fillRef>
        <a:effectRef idx="0">
          <a:scrgbClr r="0" g="0" b="0"/>
        </a:effectRef>
        <a:fontRef idx="minor"/>
      </dsp:style>
      <dsp:txXfrm>
        <a:off x="1277064" y="547688"/>
        <a:ext cx="1988106" cy="1007745"/>
      </dsp:txXfrm>
    </dsp:sp>
    <dsp:sp modelId="{B397A50B-9164-4AC6-87D0-7B99DA3FB4D8}">
      <dsp:nvSpPr>
        <dsp:cNvPr id="8" name="Freeform 7"/>
        <dsp:cNvSpPr/>
      </dsp:nvSpPr>
      <dsp:spPr bwMode="white">
        <a:xfrm>
          <a:off x="2602468" y="547688"/>
          <a:ext cx="662702" cy="1007745"/>
        </a:xfrm>
        <a:custGeom>
          <a:avLst/>
          <a:gdLst/>
          <a:ahLst/>
          <a:cxnLst/>
          <a:pathLst>
            <a:path w="1044" h="1587">
              <a:moveTo>
                <a:pt x="1044" y="0"/>
              </a:moveTo>
              <a:lnTo>
                <a:pt x="1044" y="1406"/>
              </a:lnTo>
              <a:lnTo>
                <a:pt x="0" y="1406"/>
              </a:lnTo>
              <a:lnTo>
                <a:pt x="0" y="1587"/>
              </a:lnTo>
            </a:path>
          </a:pathLst>
        </a:custGeom>
      </dsp:spPr>
      <dsp:style>
        <a:lnRef idx="2">
          <a:schemeClr val="dk2">
            <a:shade val="60000"/>
          </a:schemeClr>
        </a:lnRef>
        <a:fillRef idx="0">
          <a:schemeClr val="dk2"/>
        </a:fillRef>
        <a:effectRef idx="0">
          <a:scrgbClr r="0" g="0" b="0"/>
        </a:effectRef>
        <a:fontRef idx="minor"/>
      </dsp:style>
      <dsp:txXfrm>
        <a:off x="2602468" y="547688"/>
        <a:ext cx="662702" cy="1007745"/>
      </dsp:txXfrm>
    </dsp:sp>
    <dsp:sp modelId="{3A77E92C-66E2-454F-90AC-5AD285A0A544}">
      <dsp:nvSpPr>
        <dsp:cNvPr id="11" name="Freeform 10"/>
        <dsp:cNvSpPr/>
      </dsp:nvSpPr>
      <dsp:spPr bwMode="white">
        <a:xfrm>
          <a:off x="3265170" y="547688"/>
          <a:ext cx="662702" cy="1007745"/>
        </a:xfrm>
        <a:custGeom>
          <a:avLst/>
          <a:gdLst/>
          <a:ahLst/>
          <a:cxnLst/>
          <a:pathLst>
            <a:path w="1044" h="1587">
              <a:moveTo>
                <a:pt x="0" y="0"/>
              </a:moveTo>
              <a:lnTo>
                <a:pt x="0" y="1406"/>
              </a:lnTo>
              <a:lnTo>
                <a:pt x="1044" y="1406"/>
              </a:lnTo>
              <a:lnTo>
                <a:pt x="1044" y="1587"/>
              </a:lnTo>
            </a:path>
          </a:pathLst>
        </a:custGeom>
      </dsp:spPr>
      <dsp:style>
        <a:lnRef idx="2">
          <a:schemeClr val="dk2">
            <a:shade val="60000"/>
          </a:schemeClr>
        </a:lnRef>
        <a:fillRef idx="0">
          <a:schemeClr val="dk2"/>
        </a:fillRef>
        <a:effectRef idx="0">
          <a:scrgbClr r="0" g="0" b="0"/>
        </a:effectRef>
        <a:fontRef idx="minor"/>
      </dsp:style>
      <dsp:txXfrm>
        <a:off x="3265170" y="547688"/>
        <a:ext cx="662702" cy="1007745"/>
      </dsp:txXfrm>
    </dsp:sp>
    <dsp:sp modelId="{F3D4EB3C-9448-468E-B95A-1723E25F77A4}">
      <dsp:nvSpPr>
        <dsp:cNvPr id="14" name="Freeform 13"/>
        <dsp:cNvSpPr/>
      </dsp:nvSpPr>
      <dsp:spPr bwMode="white">
        <a:xfrm>
          <a:off x="3265170" y="547688"/>
          <a:ext cx="1988106" cy="1007745"/>
        </a:xfrm>
        <a:custGeom>
          <a:avLst/>
          <a:gdLst/>
          <a:ahLst/>
          <a:cxnLst/>
          <a:pathLst>
            <a:path w="3131" h="1587">
              <a:moveTo>
                <a:pt x="0" y="0"/>
              </a:moveTo>
              <a:lnTo>
                <a:pt x="0" y="1406"/>
              </a:lnTo>
              <a:lnTo>
                <a:pt x="3131" y="1406"/>
              </a:lnTo>
              <a:lnTo>
                <a:pt x="3131" y="1587"/>
              </a:lnTo>
            </a:path>
          </a:pathLst>
        </a:custGeom>
      </dsp:spPr>
      <dsp:style>
        <a:lnRef idx="2">
          <a:schemeClr val="dk2">
            <a:shade val="60000"/>
          </a:schemeClr>
        </a:lnRef>
        <a:fillRef idx="0">
          <a:schemeClr val="dk2"/>
        </a:fillRef>
        <a:effectRef idx="0">
          <a:scrgbClr r="0" g="0" b="0"/>
        </a:effectRef>
        <a:fontRef idx="minor"/>
      </dsp:style>
      <dsp:txXfrm>
        <a:off x="3265170" y="547688"/>
        <a:ext cx="1988106" cy="1007745"/>
      </dsp:txXfrm>
    </dsp:sp>
    <dsp:sp modelId="{7CC60CE2-51D0-47DE-A469-FE4884597341}">
      <dsp:nvSpPr>
        <dsp:cNvPr id="17" name="Freeform 16"/>
        <dsp:cNvSpPr/>
      </dsp:nvSpPr>
      <dsp:spPr bwMode="white">
        <a:xfrm>
          <a:off x="3150156" y="547688"/>
          <a:ext cx="115014" cy="503873"/>
        </a:xfrm>
        <a:custGeom>
          <a:avLst/>
          <a:gdLst/>
          <a:ahLst/>
          <a:cxnLst/>
          <a:pathLst>
            <a:path w="181" h="794">
              <a:moveTo>
                <a:pt x="181" y="0"/>
              </a:moveTo>
              <a:lnTo>
                <a:pt x="181" y="794"/>
              </a:lnTo>
              <a:lnTo>
                <a:pt x="0" y="794"/>
              </a:lnTo>
            </a:path>
          </a:pathLst>
        </a:custGeom>
      </dsp:spPr>
      <dsp:style>
        <a:lnRef idx="2">
          <a:schemeClr val="dk2">
            <a:shade val="60000"/>
          </a:schemeClr>
        </a:lnRef>
        <a:fillRef idx="0">
          <a:schemeClr val="dk2"/>
        </a:fillRef>
        <a:effectRef idx="0">
          <a:scrgbClr r="0" g="0" b="0"/>
        </a:effectRef>
        <a:fontRef idx="minor"/>
      </dsp:style>
      <dsp:txXfrm>
        <a:off x="3150156" y="547688"/>
        <a:ext cx="115014" cy="503873"/>
      </dsp:txXfrm>
    </dsp:sp>
    <dsp:sp modelId="{AE79172D-D441-42BB-84EA-E3D989670DED}">
      <dsp:nvSpPr>
        <dsp:cNvPr id="3" name="Rectangles 2"/>
        <dsp:cNvSpPr/>
      </dsp:nvSpPr>
      <dsp:spPr bwMode="white">
        <a:xfrm>
          <a:off x="2717483" y="0"/>
          <a:ext cx="1095375" cy="547688"/>
        </a:xfrm>
        <a:prstGeom prst="rect">
          <a:avLst/>
        </a:prstGeom>
      </dsp:spPr>
      <dsp:style>
        <a:lnRef idx="2">
          <a:schemeClr val="dk2">
            <a:shade val="80000"/>
          </a:schemeClr>
        </a:lnRef>
        <a:fillRef idx="1">
          <a:schemeClr val="lt1"/>
        </a:fillRef>
        <a:effectRef idx="0">
          <a:scrgbClr r="0" g="0" b="0"/>
        </a:effectRef>
        <a:fontRef idx="minor">
          <a:schemeClr val="lt1"/>
        </a:fontRef>
      </dsp:style>
      <dsp:txBody>
        <a:bodyPr vert="horz" wrap="square"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2"/>
              </a:solidFill>
              <a:latin typeface="Times New Roman" panose="02020603050405020304" charset="0"/>
              <a:cs typeface="Times New Roman" panose="02020603050405020304" charset="0"/>
            </a:rPr>
            <a:t>Key strategies to achieve carbon neutrality</a:t>
          </a:r>
          <a:endParaRPr lang="en-US" sz="1200">
            <a:solidFill>
              <a:schemeClr val="dk2"/>
            </a:solidFill>
            <a:latin typeface="Times New Roman" panose="02020603050405020304" charset="0"/>
            <a:cs typeface="Times New Roman" panose="02020603050405020304" charset="0"/>
          </a:endParaRPr>
        </a:p>
      </dsp:txBody>
      <dsp:txXfrm>
        <a:off x="2717483" y="0"/>
        <a:ext cx="1095375" cy="547688"/>
      </dsp:txXfrm>
    </dsp:sp>
    <dsp:sp modelId="{BD068BDB-7EDF-4B4A-81DF-E51E350E424A}">
      <dsp:nvSpPr>
        <dsp:cNvPr id="6" name="Rectangles 5"/>
        <dsp:cNvSpPr/>
      </dsp:nvSpPr>
      <dsp:spPr bwMode="white">
        <a:xfrm>
          <a:off x="729377" y="1555433"/>
          <a:ext cx="1095375" cy="547688"/>
        </a:xfrm>
        <a:prstGeom prst="rect">
          <a:avLst/>
        </a:prstGeom>
      </dsp:spPr>
      <dsp:style>
        <a:lnRef idx="2">
          <a:schemeClr val="dk2">
            <a:shade val="80000"/>
          </a:schemeClr>
        </a:lnRef>
        <a:fillRef idx="1">
          <a:schemeClr val="lt1"/>
        </a:fillRef>
        <a:effectRef idx="0">
          <a:scrgbClr r="0" g="0" b="0"/>
        </a:effectRef>
        <a:fontRef idx="minor">
          <a:schemeClr val="lt1"/>
        </a:fontRef>
      </dsp:style>
      <dsp:txBody>
        <a:bodyPr vert="horz" wrap="square"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2"/>
              </a:solidFill>
              <a:latin typeface="Times New Roman" panose="02020603050405020304" charset="0"/>
              <a:cs typeface="Times New Roman" panose="02020603050405020304" charset="0"/>
            </a:rPr>
            <a:t>Reforestation and Afforestation</a:t>
          </a:r>
          <a:endParaRPr lang="en-US" sz="1200">
            <a:solidFill>
              <a:schemeClr val="dk2"/>
            </a:solidFill>
            <a:latin typeface="Times New Roman" panose="02020603050405020304" charset="0"/>
            <a:cs typeface="Times New Roman" panose="02020603050405020304" charset="0"/>
          </a:endParaRPr>
        </a:p>
      </dsp:txBody>
      <dsp:txXfrm>
        <a:off x="729377" y="1555433"/>
        <a:ext cx="1095375" cy="547688"/>
      </dsp:txXfrm>
    </dsp:sp>
    <dsp:sp modelId="{43B7C837-49D6-40CE-BBAB-953D9E4BA7ED}">
      <dsp:nvSpPr>
        <dsp:cNvPr id="9" name="Rectangles 8"/>
        <dsp:cNvSpPr/>
      </dsp:nvSpPr>
      <dsp:spPr bwMode="white">
        <a:xfrm>
          <a:off x="2054781" y="1555433"/>
          <a:ext cx="1095375" cy="547688"/>
        </a:xfrm>
        <a:prstGeom prst="rect">
          <a:avLst/>
        </a:prstGeom>
      </dsp:spPr>
      <dsp:style>
        <a:lnRef idx="2">
          <a:schemeClr val="dk2">
            <a:shade val="80000"/>
          </a:schemeClr>
        </a:lnRef>
        <a:fillRef idx="1">
          <a:schemeClr val="lt1"/>
        </a:fillRef>
        <a:effectRef idx="0">
          <a:scrgbClr r="0" g="0" b="0"/>
        </a:effectRef>
        <a:fontRef idx="minor">
          <a:schemeClr val="lt1"/>
        </a:fontRef>
      </dsp:style>
      <dsp:txBody>
        <a:bodyPr vert="horz" wrap="square"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2"/>
              </a:solidFill>
              <a:latin typeface="Times New Roman" panose="02020603050405020304" charset="0"/>
              <a:cs typeface="Times New Roman" panose="02020603050405020304" charset="0"/>
            </a:rPr>
            <a:t>Energy Efficiency Improvements</a:t>
          </a:r>
          <a:endParaRPr lang="en-US" sz="1200">
            <a:solidFill>
              <a:schemeClr val="dk2"/>
            </a:solidFill>
            <a:latin typeface="Times New Roman" panose="02020603050405020304" charset="0"/>
            <a:cs typeface="Times New Roman" panose="02020603050405020304" charset="0"/>
          </a:endParaRPr>
        </a:p>
      </dsp:txBody>
      <dsp:txXfrm>
        <a:off x="2054781" y="1555433"/>
        <a:ext cx="1095375" cy="547688"/>
      </dsp:txXfrm>
    </dsp:sp>
    <dsp:sp modelId="{08A0D1D2-3A20-4D63-8E35-B7C8B6B16D48}">
      <dsp:nvSpPr>
        <dsp:cNvPr id="12" name="Rectangles 11"/>
        <dsp:cNvSpPr/>
      </dsp:nvSpPr>
      <dsp:spPr bwMode="white">
        <a:xfrm>
          <a:off x="3380184" y="1555433"/>
          <a:ext cx="1095375" cy="547688"/>
        </a:xfrm>
        <a:prstGeom prst="rect">
          <a:avLst/>
        </a:prstGeom>
      </dsp:spPr>
      <dsp:style>
        <a:lnRef idx="2">
          <a:schemeClr val="dk2">
            <a:shade val="80000"/>
          </a:schemeClr>
        </a:lnRef>
        <a:fillRef idx="1">
          <a:schemeClr val="lt1"/>
        </a:fillRef>
        <a:effectRef idx="0">
          <a:scrgbClr r="0" g="0" b="0"/>
        </a:effectRef>
        <a:fontRef idx="minor">
          <a:schemeClr val="lt1"/>
        </a:fontRef>
      </dsp:style>
      <dsp:txBody>
        <a:bodyPr vert="horz" wrap="square"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2"/>
              </a:solidFill>
              <a:latin typeface="Times New Roman" panose="02020603050405020304" charset="0"/>
              <a:cs typeface="Times New Roman" panose="02020603050405020304" charset="0"/>
            </a:rPr>
            <a:t>Carbon Capture and Storage </a:t>
          </a:r>
          <a:endParaRPr lang="en-US" sz="1200">
            <a:solidFill>
              <a:schemeClr val="dk2"/>
            </a:solidFill>
            <a:latin typeface="Times New Roman" panose="02020603050405020304" charset="0"/>
            <a:cs typeface="Times New Roman" panose="02020603050405020304" charset="0"/>
          </a:endParaRPr>
        </a:p>
      </dsp:txBody>
      <dsp:txXfrm>
        <a:off x="3380184" y="1555433"/>
        <a:ext cx="1095375" cy="547688"/>
      </dsp:txXfrm>
    </dsp:sp>
    <dsp:sp modelId="{7D64F4A3-0E55-47AC-A59B-9D5A9DC25552}">
      <dsp:nvSpPr>
        <dsp:cNvPr id="15" name="Rectangles 14"/>
        <dsp:cNvSpPr/>
      </dsp:nvSpPr>
      <dsp:spPr bwMode="white">
        <a:xfrm>
          <a:off x="4705588" y="1555433"/>
          <a:ext cx="1095375" cy="547688"/>
        </a:xfrm>
        <a:prstGeom prst="rect">
          <a:avLst/>
        </a:prstGeom>
      </dsp:spPr>
      <dsp:style>
        <a:lnRef idx="2">
          <a:schemeClr val="dk2">
            <a:shade val="80000"/>
          </a:schemeClr>
        </a:lnRef>
        <a:fillRef idx="1">
          <a:schemeClr val="lt1"/>
        </a:fillRef>
        <a:effectRef idx="0">
          <a:scrgbClr r="0" g="0" b="0"/>
        </a:effectRef>
        <a:fontRef idx="minor">
          <a:schemeClr val="lt1"/>
        </a:fontRef>
      </dsp:style>
      <dsp:txBody>
        <a:bodyPr vert="horz" wrap="square"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2"/>
              </a:solidFill>
              <a:latin typeface="Times New Roman" panose="02020603050405020304" charset="0"/>
              <a:cs typeface="Times New Roman" panose="02020603050405020304" charset="0"/>
            </a:rPr>
            <a:t>Circular Economy Principles</a:t>
          </a:r>
          <a:endParaRPr lang="en-US" sz="1200">
            <a:solidFill>
              <a:schemeClr val="dk2"/>
            </a:solidFill>
            <a:latin typeface="Times New Roman" panose="02020603050405020304" charset="0"/>
            <a:cs typeface="Times New Roman" panose="02020603050405020304" charset="0"/>
          </a:endParaRPr>
        </a:p>
      </dsp:txBody>
      <dsp:txXfrm>
        <a:off x="4705588" y="1555433"/>
        <a:ext cx="1095375" cy="547688"/>
      </dsp:txXfrm>
    </dsp:sp>
    <dsp:sp modelId="{15F46F7C-8483-49B2-9069-BD47518FA3C5}">
      <dsp:nvSpPr>
        <dsp:cNvPr id="18" name="Rectangles 17"/>
        <dsp:cNvSpPr/>
      </dsp:nvSpPr>
      <dsp:spPr bwMode="white">
        <a:xfrm>
          <a:off x="2054781" y="777716"/>
          <a:ext cx="1095375" cy="547688"/>
        </a:xfrm>
        <a:prstGeom prst="rect">
          <a:avLst/>
        </a:prstGeom>
      </dsp:spPr>
      <dsp:style>
        <a:lnRef idx="2">
          <a:schemeClr val="dk2">
            <a:shade val="80000"/>
          </a:schemeClr>
        </a:lnRef>
        <a:fillRef idx="1">
          <a:schemeClr val="lt1"/>
        </a:fillRef>
        <a:effectRef idx="0">
          <a:scrgbClr r="0" g="0" b="0"/>
        </a:effectRef>
        <a:fontRef idx="minor">
          <a:schemeClr val="lt1"/>
        </a:fontRef>
      </dsp:style>
      <dsp:txBody>
        <a:bodyPr vert="horz" wrap="square"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2"/>
              </a:solidFill>
              <a:latin typeface="Times New Roman" panose="02020603050405020304" charset="0"/>
              <a:cs typeface="Times New Roman" panose="02020603050405020304" charset="0"/>
            </a:rPr>
            <a:t>Renewable Energy Transition </a:t>
          </a:r>
          <a:endParaRPr lang="en-US" sz="1200">
            <a:solidFill>
              <a:schemeClr val="dk2"/>
            </a:solidFill>
            <a:latin typeface="Times New Roman" panose="02020603050405020304" charset="0"/>
            <a:cs typeface="Times New Roman" panose="02020603050405020304" charset="0"/>
          </a:endParaRPr>
        </a:p>
      </dsp:txBody>
      <dsp:txXfrm>
        <a:off x="2054781" y="777716"/>
        <a:ext cx="1095375" cy="547688"/>
      </dsp:txXfrm>
    </dsp:sp>
    <dsp:sp modelId="{86420519-308D-4A6A-8FEA-6FB2E39BA448}">
      <dsp:nvSpPr>
        <dsp:cNvPr id="4" name="Rectangles 3" hidden="1"/>
        <dsp:cNvSpPr/>
      </dsp:nvSpPr>
      <dsp:spPr>
        <a:xfrm>
          <a:off x="3593783" y="0"/>
          <a:ext cx="219075" cy="547688"/>
        </a:xfrm>
        <a:prstGeom prst="rect">
          <a:avLst/>
        </a:prstGeom>
      </dsp:spPr>
      <dsp:txXfrm>
        <a:off x="3593783" y="0"/>
        <a:ext cx="219075" cy="547688"/>
      </dsp:txXfrm>
    </dsp:sp>
    <dsp:sp modelId="{84C1865B-A145-4489-A300-F68CEF712B10}">
      <dsp:nvSpPr>
        <dsp:cNvPr id="7" name="Rectangles 6" hidden="1"/>
        <dsp:cNvSpPr/>
      </dsp:nvSpPr>
      <dsp:spPr>
        <a:xfrm>
          <a:off x="729377" y="1555433"/>
          <a:ext cx="219075" cy="547688"/>
        </a:xfrm>
        <a:prstGeom prst="rect">
          <a:avLst/>
        </a:prstGeom>
      </dsp:spPr>
      <dsp:txXfrm>
        <a:off x="729377" y="1555433"/>
        <a:ext cx="219075" cy="547688"/>
      </dsp:txXfrm>
    </dsp:sp>
    <dsp:sp modelId="{9A037140-9B69-4B9F-A134-F2F2EB0F2E32}">
      <dsp:nvSpPr>
        <dsp:cNvPr id="10" name="Rectangles 9" hidden="1"/>
        <dsp:cNvSpPr/>
      </dsp:nvSpPr>
      <dsp:spPr>
        <a:xfrm>
          <a:off x="2054781" y="1555433"/>
          <a:ext cx="219075" cy="547688"/>
        </a:xfrm>
        <a:prstGeom prst="rect">
          <a:avLst/>
        </a:prstGeom>
      </dsp:spPr>
      <dsp:txXfrm>
        <a:off x="2054781" y="1555433"/>
        <a:ext cx="219075" cy="547688"/>
      </dsp:txXfrm>
    </dsp:sp>
    <dsp:sp modelId="{6238C53E-A961-488B-8FBD-6EC13507B069}">
      <dsp:nvSpPr>
        <dsp:cNvPr id="13" name="Rectangles 12" hidden="1"/>
        <dsp:cNvSpPr/>
      </dsp:nvSpPr>
      <dsp:spPr>
        <a:xfrm>
          <a:off x="3380184" y="1555433"/>
          <a:ext cx="219075" cy="547688"/>
        </a:xfrm>
        <a:prstGeom prst="rect">
          <a:avLst/>
        </a:prstGeom>
      </dsp:spPr>
      <dsp:txXfrm>
        <a:off x="3380184" y="1555433"/>
        <a:ext cx="219075" cy="547688"/>
      </dsp:txXfrm>
    </dsp:sp>
    <dsp:sp modelId="{5667CB49-EC34-46BC-AD2D-72F3BD95D049}">
      <dsp:nvSpPr>
        <dsp:cNvPr id="16" name="Rectangles 15" hidden="1"/>
        <dsp:cNvSpPr/>
      </dsp:nvSpPr>
      <dsp:spPr>
        <a:xfrm>
          <a:off x="4705588" y="1555433"/>
          <a:ext cx="219075" cy="547688"/>
        </a:xfrm>
        <a:prstGeom prst="rect">
          <a:avLst/>
        </a:prstGeom>
      </dsp:spPr>
      <dsp:txXfrm>
        <a:off x="4705588" y="1555433"/>
        <a:ext cx="219075" cy="547688"/>
      </dsp:txXfrm>
    </dsp:sp>
    <dsp:sp modelId="{84CA6990-2D5D-47C3-9020-DF2944DEADCF}">
      <dsp:nvSpPr>
        <dsp:cNvPr id="19" name="Rectangles 18" hidden="1"/>
        <dsp:cNvSpPr/>
      </dsp:nvSpPr>
      <dsp:spPr>
        <a:xfrm>
          <a:off x="2054781" y="777716"/>
          <a:ext cx="219075" cy="547688"/>
        </a:xfrm>
        <a:prstGeom prst="rect">
          <a:avLst/>
        </a:prstGeom>
      </dsp:spPr>
      <dsp:txXfrm>
        <a:off x="2054781" y="777716"/>
        <a:ext cx="219075" cy="5476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359525" cy="2468880"/>
        <a:chOff x="0" y="0"/>
        <a:chExt cx="6359525" cy="2468880"/>
      </a:xfrm>
    </dsp:grpSpPr>
    <dsp:sp modelId="{B52502C2-594A-4A13-A5FF-5CD5841BD847}">
      <dsp:nvSpPr>
        <dsp:cNvPr id="3" name="Oval 2"/>
        <dsp:cNvSpPr/>
      </dsp:nvSpPr>
      <dsp:spPr bwMode="white">
        <a:xfrm>
          <a:off x="2616057" y="1341470"/>
          <a:ext cx="1127410" cy="1127410"/>
        </a:xfrm>
        <a:prstGeom prst="ellipse">
          <a:avLst/>
        </a:prstGeom>
      </dsp:spPr>
      <dsp:style>
        <a:lnRef idx="0">
          <a:schemeClr val="accent2">
            <a:shade val="80000"/>
          </a:schemeClr>
        </a:lnRef>
        <a:fillRef idx="3">
          <a:schemeClr val="lt1"/>
        </a:fillRef>
        <a:effectRef idx="3">
          <a:scrgbClr r="0" g="0" b="0"/>
        </a:effectRef>
        <a:fontRef idx="minor">
          <a:schemeClr val="lt1"/>
        </a:fontRef>
      </dsp:style>
      <dsp:txBody>
        <a:bodyPr vert="horz" wrap="square" lIns="8890" tIns="8890" rIns="8890" bIns="889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solidFill>
                <a:schemeClr val="dk1"/>
              </a:solidFill>
            </a:rPr>
            <a:t>Principles of Circular Economy</a:t>
          </a:r>
          <a:endParaRPr lang="en-US">
            <a:solidFill>
              <a:schemeClr val="dk1"/>
            </a:solidFill>
          </a:endParaRPr>
        </a:p>
      </dsp:txBody>
      <dsp:txXfrm>
        <a:off x="2616057" y="1341470"/>
        <a:ext cx="1127410" cy="1127410"/>
      </dsp:txXfrm>
    </dsp:sp>
    <dsp:sp modelId="{B849A6F3-9933-4C36-AF65-6098308CBC3C}">
      <dsp:nvSpPr>
        <dsp:cNvPr id="4" name="Left Arrow 3"/>
        <dsp:cNvSpPr/>
      </dsp:nvSpPr>
      <dsp:spPr bwMode="white">
        <a:xfrm rot="12899999">
          <a:off x="1912620" y="1159338"/>
          <a:ext cx="862836" cy="321312"/>
        </a:xfrm>
        <a:prstGeom prst="leftArrow">
          <a:avLst>
            <a:gd name="adj1" fmla="val 60000"/>
            <a:gd name="adj2" fmla="val 50000"/>
          </a:avLst>
        </a:prstGeom>
      </dsp:spPr>
      <dsp:style>
        <a:lnRef idx="0">
          <a:schemeClr val="accent2">
            <a:tint val="60000"/>
          </a:schemeClr>
        </a:lnRef>
        <a:fillRef idx="3">
          <a:schemeClr val="accent2">
            <a:tint val="60000"/>
          </a:schemeClr>
        </a:fillRef>
        <a:effectRef idx="3">
          <a:scrgbClr r="0" g="0" b="0"/>
        </a:effectRef>
        <a:fontRef idx="minor">
          <a:schemeClr val="lt1"/>
        </a:fontRef>
      </dsp:style>
      <dsp:txXfrm rot="12899999">
        <a:off x="1912620" y="1159338"/>
        <a:ext cx="862836" cy="321312"/>
      </dsp:txXfrm>
    </dsp:sp>
    <dsp:sp modelId="{B1756079-1332-4090-9A47-D2C0EDB7FB22}">
      <dsp:nvSpPr>
        <dsp:cNvPr id="5" name="Rounded Rectangle 4"/>
        <dsp:cNvSpPr/>
      </dsp:nvSpPr>
      <dsp:spPr bwMode="white">
        <a:xfrm>
          <a:off x="1434553" y="629725"/>
          <a:ext cx="1071040" cy="856832"/>
        </a:xfrm>
        <a:prstGeom prst="roundRect">
          <a:avLst>
            <a:gd name="adj" fmla="val 10000"/>
          </a:avLst>
        </a:prstGeom>
      </dsp:spPr>
      <dsp:style>
        <a:lnRef idx="0">
          <a:schemeClr val="accent2">
            <a:shade val="80000"/>
          </a:schemeClr>
        </a:lnRef>
        <a:fillRef idx="3">
          <a:schemeClr val="lt1"/>
        </a:fillRef>
        <a:effectRef idx="3">
          <a:scrgbClr r="0" g="0" b="0"/>
        </a:effectRef>
        <a:fontRef idx="minor">
          <a:schemeClr val="lt1"/>
        </a:fontRef>
      </dsp:style>
      <dsp:txBody>
        <a:bodyPr vert="horz" wrap="square" lIns="26670" tIns="26670" rIns="26670" bIns="2667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solidFill>
                <a:schemeClr val="dk1"/>
              </a:solidFill>
            </a:rPr>
            <a:t>Eliminate waste and pollution</a:t>
          </a:r>
          <a:endParaRPr lang="en-US">
            <a:solidFill>
              <a:schemeClr val="dk1"/>
            </a:solidFill>
          </a:endParaRPr>
        </a:p>
      </dsp:txBody>
      <dsp:txXfrm>
        <a:off x="1434553" y="629725"/>
        <a:ext cx="1071040" cy="856832"/>
      </dsp:txXfrm>
    </dsp:sp>
    <dsp:sp modelId="{8A478794-BDE0-4AD6-9479-89CDBFC37EB7}">
      <dsp:nvSpPr>
        <dsp:cNvPr id="6" name="Left Arrow 5"/>
        <dsp:cNvSpPr/>
      </dsp:nvSpPr>
      <dsp:spPr bwMode="white">
        <a:xfrm rot="16199999">
          <a:off x="2748345" y="724287"/>
          <a:ext cx="862836" cy="321312"/>
        </a:xfrm>
        <a:prstGeom prst="leftArrow">
          <a:avLst>
            <a:gd name="adj1" fmla="val 60000"/>
            <a:gd name="adj2" fmla="val 50000"/>
          </a:avLst>
        </a:prstGeom>
      </dsp:spPr>
      <dsp:style>
        <a:lnRef idx="0">
          <a:schemeClr val="accent2">
            <a:tint val="60000"/>
          </a:schemeClr>
        </a:lnRef>
        <a:fillRef idx="3">
          <a:schemeClr val="accent2">
            <a:tint val="60000"/>
          </a:schemeClr>
        </a:fillRef>
        <a:effectRef idx="3">
          <a:scrgbClr r="0" g="0" b="0"/>
        </a:effectRef>
        <a:fontRef idx="minor">
          <a:schemeClr val="lt1"/>
        </a:fontRef>
      </dsp:style>
      <dsp:txXfrm rot="16199999">
        <a:off x="2748345" y="724287"/>
        <a:ext cx="862836" cy="321312"/>
      </dsp:txXfrm>
    </dsp:sp>
    <dsp:sp modelId="{3868CDED-247C-4EE9-95A2-ED400A267946}">
      <dsp:nvSpPr>
        <dsp:cNvPr id="7" name="Rounded Rectangle 6"/>
        <dsp:cNvSpPr/>
      </dsp:nvSpPr>
      <dsp:spPr bwMode="white">
        <a:xfrm>
          <a:off x="2644243" y="0"/>
          <a:ext cx="1071040" cy="856832"/>
        </a:xfrm>
        <a:prstGeom prst="roundRect">
          <a:avLst>
            <a:gd name="adj" fmla="val 10000"/>
          </a:avLst>
        </a:prstGeom>
      </dsp:spPr>
      <dsp:style>
        <a:lnRef idx="0">
          <a:schemeClr val="accent2">
            <a:shade val="80000"/>
          </a:schemeClr>
        </a:lnRef>
        <a:fillRef idx="3">
          <a:schemeClr val="lt1"/>
        </a:fillRef>
        <a:effectRef idx="3">
          <a:scrgbClr r="0" g="0" b="0"/>
        </a:effectRef>
        <a:fontRef idx="minor">
          <a:schemeClr val="lt1"/>
        </a:fontRef>
      </dsp:style>
      <dsp:txBody>
        <a:bodyPr vert="horz" wrap="square" lIns="26670" tIns="26670" rIns="26670" bIns="2667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solidFill>
                <a:schemeClr val="dk1"/>
              </a:solidFill>
            </a:rPr>
            <a:t>Circulate products and materials</a:t>
          </a:r>
          <a:endParaRPr lang="en-US">
            <a:solidFill>
              <a:schemeClr val="dk1"/>
            </a:solidFill>
          </a:endParaRPr>
        </a:p>
      </dsp:txBody>
      <dsp:txXfrm>
        <a:off x="2644243" y="0"/>
        <a:ext cx="1071040" cy="856832"/>
      </dsp:txXfrm>
    </dsp:sp>
    <dsp:sp modelId="{D0718308-59AC-43E6-A882-4828EE4494C2}">
      <dsp:nvSpPr>
        <dsp:cNvPr id="8" name="Left Arrow 7"/>
        <dsp:cNvSpPr/>
      </dsp:nvSpPr>
      <dsp:spPr bwMode="white">
        <a:xfrm rot="-2100000">
          <a:off x="3584070" y="1159338"/>
          <a:ext cx="862836" cy="321312"/>
        </a:xfrm>
        <a:prstGeom prst="leftArrow">
          <a:avLst>
            <a:gd name="adj1" fmla="val 60000"/>
            <a:gd name="adj2" fmla="val 50000"/>
          </a:avLst>
        </a:prstGeom>
      </dsp:spPr>
      <dsp:style>
        <a:lnRef idx="0">
          <a:schemeClr val="accent2">
            <a:tint val="60000"/>
          </a:schemeClr>
        </a:lnRef>
        <a:fillRef idx="3">
          <a:schemeClr val="accent2">
            <a:tint val="60000"/>
          </a:schemeClr>
        </a:fillRef>
        <a:effectRef idx="3">
          <a:scrgbClr r="0" g="0" b="0"/>
        </a:effectRef>
        <a:fontRef idx="minor">
          <a:schemeClr val="lt1"/>
        </a:fontRef>
      </dsp:style>
      <dsp:txXfrm rot="-2100000">
        <a:off x="3584070" y="1159338"/>
        <a:ext cx="862836" cy="321312"/>
      </dsp:txXfrm>
    </dsp:sp>
    <dsp:sp modelId="{5E0D0BC9-3E91-4623-8C1A-C4A70EB3594B}">
      <dsp:nvSpPr>
        <dsp:cNvPr id="9" name="Rounded Rectangle 8"/>
        <dsp:cNvSpPr/>
      </dsp:nvSpPr>
      <dsp:spPr bwMode="white">
        <a:xfrm>
          <a:off x="3853933" y="629725"/>
          <a:ext cx="1071040" cy="856832"/>
        </a:xfrm>
        <a:prstGeom prst="roundRect">
          <a:avLst>
            <a:gd name="adj" fmla="val 10000"/>
          </a:avLst>
        </a:prstGeom>
      </dsp:spPr>
      <dsp:style>
        <a:lnRef idx="0">
          <a:schemeClr val="accent2">
            <a:shade val="80000"/>
          </a:schemeClr>
        </a:lnRef>
        <a:fillRef idx="3">
          <a:schemeClr val="lt1"/>
        </a:fillRef>
        <a:effectRef idx="3">
          <a:scrgbClr r="0" g="0" b="0"/>
        </a:effectRef>
        <a:fontRef idx="minor">
          <a:schemeClr val="lt1"/>
        </a:fontRef>
      </dsp:style>
      <dsp:txBody>
        <a:bodyPr vert="horz" wrap="square" lIns="26670" tIns="26670" rIns="26670" bIns="2667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solidFill>
                <a:schemeClr val="dk1"/>
              </a:solidFill>
            </a:rPr>
            <a:t>Regenerate nature </a:t>
          </a:r>
          <a:endParaRPr lang="en-US">
            <a:solidFill>
              <a:schemeClr val="dk1"/>
            </a:solidFill>
          </a:endParaRPr>
        </a:p>
      </dsp:txBody>
      <dsp:txXfrm>
        <a:off x="3853933" y="629725"/>
        <a:ext cx="1071040" cy="8568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398895" cy="1097280"/>
        <a:chOff x="0" y="0"/>
        <a:chExt cx="6398895" cy="1097280"/>
      </a:xfrm>
    </dsp:grpSpPr>
    <dsp:sp modelId="{BEA8DFF6-0BBC-4765-94CE-726AE7249D2C}">
      <dsp:nvSpPr>
        <dsp:cNvPr id="3" name="Rounded Rectangle 2"/>
        <dsp:cNvSpPr/>
      </dsp:nvSpPr>
      <dsp:spPr bwMode="white">
        <a:xfrm>
          <a:off x="0" y="0"/>
          <a:ext cx="1062238" cy="394232"/>
        </a:xfrm>
        <a:prstGeom prst="roundRect">
          <a:avLst>
            <a:gd name="adj" fmla="val 10000"/>
          </a:avLst>
        </a:prstGeom>
        <a:sp3d prstMaterial="dkEdge">
          <a:bevelT w="8200" h="38100"/>
        </a:sp3d>
      </dsp:spPr>
      <dsp:style>
        <a:lnRef idx="0">
          <a:schemeClr val="lt1"/>
        </a:lnRef>
        <a:fillRef idx="2">
          <a:schemeClr val="accent3"/>
        </a:fillRef>
        <a:effectRef idx="1">
          <a:scrgbClr r="0" g="0" b="0"/>
        </a:effectRef>
        <a:fontRef idx="minor">
          <a:schemeClr val="dk1"/>
        </a:fontRef>
      </dsp:style>
      <dsp:txBody>
        <a:bodyPr vert="horz" wrap="square" lIns="78232" tIns="78232" rIns="78232" bIns="4191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sz="1100">
              <a:latin typeface="Arial" panose="020B0604020202020204" pitchFamily="2" charset="0"/>
              <a:cs typeface="Arial" panose="020B0604020202020204" pitchFamily="2" charset="0"/>
            </a:rPr>
            <a:t>    </a:t>
          </a:r>
          <a:r>
            <a:rPr lang="en-US" sz="1100">
              <a:latin typeface="Arial" panose="020B0604020202020204" pitchFamily="2" charset="0"/>
              <a:cs typeface="Arial" panose="020B0604020202020204" pitchFamily="2" charset="0"/>
            </a:rPr>
            <a:t>  take </a:t>
          </a:r>
          <a:endParaRPr lang="en-US" sz="1100">
            <a:latin typeface="Arial" panose="020B0604020202020204" pitchFamily="2" charset="0"/>
            <a:cs typeface="Arial" panose="020B0604020202020204" pitchFamily="2" charset="0"/>
          </a:endParaRPr>
        </a:p>
      </dsp:txBody>
      <dsp:txXfrm>
        <a:off x="0" y="0"/>
        <a:ext cx="1062238" cy="394232"/>
      </dsp:txXfrm>
    </dsp:sp>
    <dsp:sp modelId="{A527D8D7-AE0F-41E2-B0A5-F384C5C9B908}">
      <dsp:nvSpPr>
        <dsp:cNvPr id="4" name="Rounded Rectangle 3"/>
        <dsp:cNvSpPr/>
      </dsp:nvSpPr>
      <dsp:spPr bwMode="white">
        <a:xfrm>
          <a:off x="217567" y="262822"/>
          <a:ext cx="1062238" cy="834458"/>
        </a:xfrm>
        <a:prstGeom prst="roundRect">
          <a:avLst>
            <a:gd name="adj" fmla="val 10000"/>
          </a:avLst>
        </a:prstGeom>
      </dsp:spPr>
      <dsp:style>
        <a:lnRef idx="1">
          <a:schemeClr val="accent3"/>
        </a:lnRef>
        <a:fillRef idx="1">
          <a:schemeClr val="lt1">
            <a:alpha val="90000"/>
          </a:schemeClr>
        </a:fillRef>
        <a:effectRef idx="0">
          <a:scrgbClr r="0" g="0" b="0"/>
        </a:effectRef>
        <a:fontRef idx="minor"/>
      </dsp:style>
      <dsp:txBody>
        <a:bodyPr vert="horz" wrap="square" lIns="78232" tIns="78232" rIns="78232" bIns="78232" anchor="t"/>
        <a:lstStyle>
          <a:lvl1pPr algn="l">
            <a:defRPr sz="1200"/>
          </a:lvl1pPr>
          <a:lvl2pPr marL="114300" indent="-114300" algn="l">
            <a:defRPr sz="1200"/>
          </a:lvl2pPr>
          <a:lvl3pPr marL="228600" indent="-114300" algn="l">
            <a:defRPr sz="1200"/>
          </a:lvl3pPr>
          <a:lvl4pPr marL="342900" indent="-114300" algn="l">
            <a:defRPr sz="1200"/>
          </a:lvl4pPr>
          <a:lvl5pPr marL="457200" indent="-114300" algn="l">
            <a:defRPr sz="1200"/>
          </a:lvl5pPr>
          <a:lvl6pPr marL="571500" indent="-114300" algn="l">
            <a:defRPr sz="1200"/>
          </a:lvl6pPr>
          <a:lvl7pPr marL="685800" indent="-114300" algn="l">
            <a:defRPr sz="1200"/>
          </a:lvl7pPr>
          <a:lvl8pPr marL="800100" indent="-114300" algn="l">
            <a:defRPr sz="1200"/>
          </a:lvl8pPr>
          <a:lvl9pPr marL="914400" indent="-114300" algn="l">
            <a:defRPr sz="1200"/>
          </a:lvl9pPr>
        </a:lstStyle>
        <a:p>
          <a:pPr marL="57150" lvl="1" indent="-57150" algn="l">
            <a:lnSpc>
              <a:spcPct val="100000"/>
            </a:lnSpc>
            <a:spcBef>
              <a:spcPct val="0"/>
            </a:spcBef>
            <a:spcAft>
              <a:spcPct val="15000"/>
            </a:spcAft>
            <a:buChar char="•"/>
          </a:pPr>
          <a:r>
            <a:rPr lang="en-US" sz="1100">
              <a:solidFill>
                <a:schemeClr val="dk1"/>
              </a:solidFill>
              <a:latin typeface="Arial" panose="020B0604020202020204" pitchFamily="2" charset="0"/>
              <a:cs typeface="Arial" panose="020B0604020202020204" pitchFamily="2" charset="0"/>
            </a:rPr>
            <a:t>resource extraction</a:t>
          </a:r>
          <a:endParaRPr lang="en-US" sz="1100">
            <a:solidFill>
              <a:schemeClr val="dk1"/>
            </a:solidFill>
            <a:latin typeface="Arial" panose="020B0604020202020204" pitchFamily="2" charset="0"/>
            <a:cs typeface="Arial" panose="020B0604020202020204" pitchFamily="2" charset="0"/>
          </a:endParaRPr>
        </a:p>
      </dsp:txBody>
      <dsp:txXfrm>
        <a:off x="217567" y="262822"/>
        <a:ext cx="1062238" cy="834458"/>
      </dsp:txXfrm>
    </dsp:sp>
    <dsp:sp modelId="{21AD7683-4E21-48FB-A2B0-38429FA73B13}">
      <dsp:nvSpPr>
        <dsp:cNvPr id="5" name="Right Arrow 4"/>
        <dsp:cNvSpPr/>
      </dsp:nvSpPr>
      <dsp:spPr bwMode="white">
        <a:xfrm>
          <a:off x="1213607" y="-822"/>
          <a:ext cx="341387" cy="264467"/>
        </a:xfrm>
        <a:prstGeom prst="rightArrow">
          <a:avLst>
            <a:gd name="adj1" fmla="val 60000"/>
            <a:gd name="adj2" fmla="val 50000"/>
          </a:avLst>
        </a:prstGeom>
      </dsp:spPr>
      <dsp:style>
        <a:lnRef idx="0">
          <a:schemeClr val="accent3">
            <a:tint val="60000"/>
          </a:schemeClr>
        </a:lnRef>
        <a:fillRef idx="2">
          <a:schemeClr val="accent3">
            <a:tint val="60000"/>
          </a:schemeClr>
        </a:fillRef>
        <a:effectRef idx="1">
          <a:scrgbClr r="0" g="0" b="0"/>
        </a:effectRef>
        <a:fontRef idx="minor">
          <a:schemeClr val="dk1"/>
        </a:fontRef>
      </dsp:style>
      <dsp:txBody>
        <a:bodyPr lIns="0" tIns="0" rIns="0" bIns="0" anchor="ctr"/>
        <a:lstStyle>
          <a:lvl1pPr algn="ctr">
            <a:defRPr sz="10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00000"/>
            </a:lnSpc>
            <a:spcBef>
              <a:spcPct val="0"/>
            </a:spcBef>
            <a:spcAft>
              <a:spcPct val="35000"/>
            </a:spcAft>
          </a:pPr>
          <a:endParaRPr lang="en-US"/>
        </a:p>
      </dsp:txBody>
      <dsp:txXfrm>
        <a:off x="1213607" y="-822"/>
        <a:ext cx="341387" cy="264467"/>
      </dsp:txXfrm>
    </dsp:sp>
    <dsp:sp modelId="{D9492F92-C776-4E87-A644-EFDBCD913153}">
      <dsp:nvSpPr>
        <dsp:cNvPr id="6" name="Rounded Rectangle 5"/>
        <dsp:cNvSpPr/>
      </dsp:nvSpPr>
      <dsp:spPr bwMode="white">
        <a:xfrm>
          <a:off x="1706363" y="0"/>
          <a:ext cx="1062238" cy="394232"/>
        </a:xfrm>
        <a:prstGeom prst="roundRect">
          <a:avLst>
            <a:gd name="adj" fmla="val 10000"/>
          </a:avLst>
        </a:prstGeom>
        <a:sp3d prstMaterial="dkEdge">
          <a:bevelT w="8200" h="38100"/>
        </a:sp3d>
      </dsp:spPr>
      <dsp:style>
        <a:lnRef idx="0">
          <a:schemeClr val="lt1"/>
        </a:lnRef>
        <a:fillRef idx="2">
          <a:schemeClr val="accent3"/>
        </a:fillRef>
        <a:effectRef idx="1">
          <a:scrgbClr r="0" g="0" b="0"/>
        </a:effectRef>
        <a:fontRef idx="minor">
          <a:schemeClr val="dk1"/>
        </a:fontRef>
      </dsp:style>
      <dsp:txBody>
        <a:bodyPr vert="horz" wrap="square" lIns="56896" tIns="56896" rIns="56896" bIns="3048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sz="800"/>
            <a:t>          </a:t>
          </a:r>
          <a:r>
            <a:rPr lang="en-US" sz="1100">
              <a:latin typeface="Arial" panose="020B0604020202020204" pitchFamily="2" charset="0"/>
              <a:cs typeface="Arial" panose="020B0604020202020204" pitchFamily="2" charset="0"/>
            </a:rPr>
            <a:t>m</a:t>
          </a:r>
          <a:r>
            <a:rPr lang="en-US" sz="1100">
              <a:latin typeface="Arial" panose="020B0604020202020204" pitchFamily="2" charset="0"/>
              <a:cs typeface="Arial" panose="020B0604020202020204" pitchFamily="2" charset="0"/>
            </a:rPr>
            <a:t>ake</a:t>
          </a:r>
          <a:endParaRPr lang="en-US" sz="1100">
            <a:latin typeface="Arial" panose="020B0604020202020204" pitchFamily="2" charset="0"/>
            <a:cs typeface="Arial" panose="020B0604020202020204" pitchFamily="2" charset="0"/>
          </a:endParaRPr>
        </a:p>
      </dsp:txBody>
      <dsp:txXfrm>
        <a:off x="1706363" y="0"/>
        <a:ext cx="1062238" cy="394232"/>
      </dsp:txXfrm>
    </dsp:sp>
    <dsp:sp modelId="{39202776-1058-4F4A-BEDB-2EB21C86564D}">
      <dsp:nvSpPr>
        <dsp:cNvPr id="7" name="Rounded Rectangle 6"/>
        <dsp:cNvSpPr/>
      </dsp:nvSpPr>
      <dsp:spPr bwMode="white">
        <a:xfrm>
          <a:off x="1923930" y="262822"/>
          <a:ext cx="1062238" cy="834458"/>
        </a:xfrm>
        <a:prstGeom prst="roundRect">
          <a:avLst>
            <a:gd name="adj" fmla="val 10000"/>
          </a:avLst>
        </a:prstGeom>
      </dsp:spPr>
      <dsp:style>
        <a:lnRef idx="1">
          <a:schemeClr val="accent3"/>
        </a:lnRef>
        <a:fillRef idx="1">
          <a:schemeClr val="lt1">
            <a:alpha val="90000"/>
          </a:schemeClr>
        </a:fillRef>
        <a:effectRef idx="0">
          <a:scrgbClr r="0" g="0" b="0"/>
        </a:effectRef>
        <a:fontRef idx="minor"/>
      </dsp:style>
      <dsp:txBody>
        <a:bodyPr vert="horz" wrap="square" lIns="85344" tIns="85344" rIns="85344" bIns="85344" anchor="t"/>
        <a:lstStyle>
          <a:lvl1pPr algn="l">
            <a:defRPr sz="1200"/>
          </a:lvl1pPr>
          <a:lvl2pPr marL="114300" indent="-114300" algn="l">
            <a:defRPr sz="1200"/>
          </a:lvl2pPr>
          <a:lvl3pPr marL="228600" indent="-114300" algn="l">
            <a:defRPr sz="1200"/>
          </a:lvl3pPr>
          <a:lvl4pPr marL="342900" indent="-114300" algn="l">
            <a:defRPr sz="1200"/>
          </a:lvl4pPr>
          <a:lvl5pPr marL="457200" indent="-114300" algn="l">
            <a:defRPr sz="1200"/>
          </a:lvl5pPr>
          <a:lvl6pPr marL="571500" indent="-114300" algn="l">
            <a:defRPr sz="1200"/>
          </a:lvl6pPr>
          <a:lvl7pPr marL="685800" indent="-114300" algn="l">
            <a:defRPr sz="1200"/>
          </a:lvl7pPr>
          <a:lvl8pPr marL="800100" indent="-114300" algn="l">
            <a:defRPr sz="1200"/>
          </a:lvl8pPr>
          <a:lvl9pPr marL="914400" indent="-114300" algn="l">
            <a:defRPr sz="1200"/>
          </a:lvl9pPr>
        </a:lstStyle>
        <a:p>
          <a:pPr lvl="1">
            <a:lnSpc>
              <a:spcPct val="100000"/>
            </a:lnSpc>
            <a:spcBef>
              <a:spcPct val="0"/>
            </a:spcBef>
            <a:spcAft>
              <a:spcPct val="15000"/>
            </a:spcAft>
            <a:buChar char="•"/>
          </a:pPr>
          <a:r>
            <a:rPr lang="en-US">
              <a:solidFill>
                <a:schemeClr val="dk1"/>
              </a:solidFill>
              <a:latin typeface="Arial" panose="020B0604020202020204" pitchFamily="2" charset="0"/>
              <a:cs typeface="Arial" panose="020B0604020202020204" pitchFamily="2" charset="0"/>
            </a:rPr>
            <a:t>p</a:t>
          </a:r>
          <a:r>
            <a:rPr lang="en-US">
              <a:solidFill>
                <a:schemeClr val="dk1"/>
              </a:solidFill>
              <a:latin typeface="Arial" panose="020B0604020202020204" pitchFamily="2" charset="0"/>
              <a:cs typeface="Arial" panose="020B0604020202020204" pitchFamily="2" charset="0"/>
            </a:rPr>
            <a:t>roduction</a:t>
          </a:r>
          <a:endParaRPr lang="en-US">
            <a:solidFill>
              <a:schemeClr val="dk1"/>
            </a:solidFill>
            <a:latin typeface="Arial" panose="020B0604020202020204" pitchFamily="2" charset="0"/>
            <a:cs typeface="Arial" panose="020B0604020202020204" pitchFamily="2" charset="0"/>
          </a:endParaRPr>
        </a:p>
      </dsp:txBody>
      <dsp:txXfrm>
        <a:off x="1923930" y="262822"/>
        <a:ext cx="1062238" cy="834458"/>
      </dsp:txXfrm>
    </dsp:sp>
    <dsp:sp modelId="{CB985673-CF5D-4242-8941-AFDE6B6D0CD0}">
      <dsp:nvSpPr>
        <dsp:cNvPr id="8" name="Right Arrow 7"/>
        <dsp:cNvSpPr/>
      </dsp:nvSpPr>
      <dsp:spPr bwMode="white">
        <a:xfrm>
          <a:off x="2919971" y="-822"/>
          <a:ext cx="341387" cy="264467"/>
        </a:xfrm>
        <a:prstGeom prst="rightArrow">
          <a:avLst>
            <a:gd name="adj1" fmla="val 60000"/>
            <a:gd name="adj2" fmla="val 50000"/>
          </a:avLst>
        </a:prstGeom>
      </dsp:spPr>
      <dsp:style>
        <a:lnRef idx="0">
          <a:schemeClr val="accent3">
            <a:tint val="60000"/>
          </a:schemeClr>
        </a:lnRef>
        <a:fillRef idx="2">
          <a:schemeClr val="accent3">
            <a:tint val="60000"/>
          </a:schemeClr>
        </a:fillRef>
        <a:effectRef idx="1">
          <a:scrgbClr r="0" g="0" b="0"/>
        </a:effectRef>
        <a:fontRef idx="minor">
          <a:schemeClr val="dk1"/>
        </a:fontRef>
      </dsp:style>
      <dsp:txBody>
        <a:bodyPr lIns="0" tIns="0" rIns="0" bIns="0" anchor="ctr"/>
        <a:lstStyle>
          <a:lvl1pPr algn="ctr">
            <a:defRPr sz="10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00000"/>
            </a:lnSpc>
            <a:spcBef>
              <a:spcPct val="0"/>
            </a:spcBef>
            <a:spcAft>
              <a:spcPct val="35000"/>
            </a:spcAft>
          </a:pPr>
        </a:p>
      </dsp:txBody>
      <dsp:txXfrm>
        <a:off x="2919971" y="-822"/>
        <a:ext cx="341387" cy="264467"/>
      </dsp:txXfrm>
    </dsp:sp>
    <dsp:sp modelId="{4201241F-A758-4825-9A41-CBED0FF9E993}">
      <dsp:nvSpPr>
        <dsp:cNvPr id="9" name="Rounded Rectangle 8"/>
        <dsp:cNvSpPr/>
      </dsp:nvSpPr>
      <dsp:spPr bwMode="white">
        <a:xfrm>
          <a:off x="3412727" y="0"/>
          <a:ext cx="1062238" cy="394232"/>
        </a:xfrm>
        <a:prstGeom prst="roundRect">
          <a:avLst>
            <a:gd name="adj" fmla="val 10000"/>
          </a:avLst>
        </a:prstGeom>
        <a:sp3d prstMaterial="dkEdge">
          <a:bevelT w="8200" h="38100"/>
        </a:sp3d>
      </dsp:spPr>
      <dsp:style>
        <a:lnRef idx="0">
          <a:schemeClr val="lt1"/>
        </a:lnRef>
        <a:fillRef idx="2">
          <a:schemeClr val="accent3"/>
        </a:fillRef>
        <a:effectRef idx="1">
          <a:scrgbClr r="0" g="0" b="0"/>
        </a:effectRef>
        <a:fontRef idx="minor">
          <a:schemeClr val="dk1"/>
        </a:fontRef>
      </dsp:style>
      <dsp:txBody>
        <a:bodyPr vert="horz" wrap="square" lIns="56896" tIns="56896" rIns="56896" bIns="3048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sz="800"/>
            <a:t>    </a:t>
          </a:r>
          <a:r>
            <a:rPr lang="en-US" sz="1100">
              <a:latin typeface="Arial" panose="020B0604020202020204" pitchFamily="2" charset="0"/>
              <a:cs typeface="Arial" panose="020B0604020202020204" pitchFamily="2" charset="0"/>
            </a:rPr>
            <a:t>   </a:t>
          </a:r>
          <a:r>
            <a:rPr lang="en-US" sz="1100">
              <a:latin typeface="Arial" panose="020B0604020202020204" pitchFamily="2" charset="0"/>
              <a:cs typeface="Arial" panose="020B0604020202020204" pitchFamily="2" charset="0"/>
            </a:rPr>
            <a:t>use</a:t>
          </a:r>
          <a:endParaRPr lang="en-US" sz="1100">
            <a:latin typeface="Arial" panose="020B0604020202020204" pitchFamily="2" charset="0"/>
            <a:cs typeface="Arial" panose="020B0604020202020204" pitchFamily="2" charset="0"/>
          </a:endParaRPr>
        </a:p>
      </dsp:txBody>
      <dsp:txXfrm>
        <a:off x="3412727" y="0"/>
        <a:ext cx="1062238" cy="394232"/>
      </dsp:txXfrm>
    </dsp:sp>
    <dsp:sp modelId="{BFC7A65B-961A-4F69-8CB3-248457E85C87}">
      <dsp:nvSpPr>
        <dsp:cNvPr id="10" name="Rounded Rectangle 9"/>
        <dsp:cNvSpPr/>
      </dsp:nvSpPr>
      <dsp:spPr bwMode="white">
        <a:xfrm>
          <a:off x="3630294" y="262822"/>
          <a:ext cx="1062238" cy="834458"/>
        </a:xfrm>
        <a:prstGeom prst="roundRect">
          <a:avLst>
            <a:gd name="adj" fmla="val 10000"/>
          </a:avLst>
        </a:prstGeom>
      </dsp:spPr>
      <dsp:style>
        <a:lnRef idx="1">
          <a:schemeClr val="accent3"/>
        </a:lnRef>
        <a:fillRef idx="1">
          <a:schemeClr val="lt1">
            <a:alpha val="90000"/>
          </a:schemeClr>
        </a:fillRef>
        <a:effectRef idx="0">
          <a:scrgbClr r="0" g="0" b="0"/>
        </a:effectRef>
        <a:fontRef idx="minor"/>
      </dsp:style>
      <dsp:txBody>
        <a:bodyPr vert="horz" wrap="square" lIns="78232" tIns="78232" rIns="78232" bIns="78232" anchor="t"/>
        <a:lstStyle>
          <a:lvl1pPr algn="l">
            <a:defRPr sz="1200"/>
          </a:lvl1pPr>
          <a:lvl2pPr marL="114300" indent="-114300" algn="l">
            <a:defRPr sz="1200"/>
          </a:lvl2pPr>
          <a:lvl3pPr marL="228600" indent="-114300" algn="l">
            <a:defRPr sz="1200"/>
          </a:lvl3pPr>
          <a:lvl4pPr marL="342900" indent="-114300" algn="l">
            <a:defRPr sz="1200"/>
          </a:lvl4pPr>
          <a:lvl5pPr marL="457200" indent="-114300" algn="l">
            <a:defRPr sz="1200"/>
          </a:lvl5pPr>
          <a:lvl6pPr marL="571500" indent="-114300" algn="l">
            <a:defRPr sz="1200"/>
          </a:lvl6pPr>
          <a:lvl7pPr marL="685800" indent="-114300" algn="l">
            <a:defRPr sz="1200"/>
          </a:lvl7pPr>
          <a:lvl8pPr marL="800100" indent="-114300" algn="l">
            <a:defRPr sz="1200"/>
          </a:lvl8pPr>
          <a:lvl9pPr marL="914400" indent="-114300" algn="l">
            <a:defRPr sz="1200"/>
          </a:lvl9pPr>
        </a:lstStyle>
        <a:p>
          <a:pPr marL="57150" lvl="1" indent="-57150" algn="l">
            <a:lnSpc>
              <a:spcPct val="100000"/>
            </a:lnSpc>
            <a:spcBef>
              <a:spcPct val="0"/>
            </a:spcBef>
            <a:spcAft>
              <a:spcPct val="15000"/>
            </a:spcAft>
            <a:buChar char="•"/>
          </a:pPr>
          <a:r>
            <a:rPr lang="en-US" sz="1100">
              <a:solidFill>
                <a:schemeClr val="dk1"/>
              </a:solidFill>
              <a:latin typeface="Arial" panose="020B0604020202020204" pitchFamily="2" charset="0"/>
              <a:cs typeface="Arial" panose="020B0604020202020204" pitchFamily="2" charset="0"/>
            </a:rPr>
            <a:t>consumption</a:t>
          </a: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dsp:txBody>
      <dsp:txXfrm>
        <a:off x="3630294" y="262822"/>
        <a:ext cx="1062238" cy="834458"/>
      </dsp:txXfrm>
    </dsp:sp>
    <dsp:sp modelId="{5D27C5B2-FAF5-4B9E-8CE5-8F54D12F7C36}">
      <dsp:nvSpPr>
        <dsp:cNvPr id="11" name="Right Arrow 10"/>
        <dsp:cNvSpPr/>
      </dsp:nvSpPr>
      <dsp:spPr bwMode="white">
        <a:xfrm>
          <a:off x="4626334" y="-822"/>
          <a:ext cx="341387" cy="264467"/>
        </a:xfrm>
        <a:prstGeom prst="rightArrow">
          <a:avLst>
            <a:gd name="adj1" fmla="val 60000"/>
            <a:gd name="adj2" fmla="val 50000"/>
          </a:avLst>
        </a:prstGeom>
      </dsp:spPr>
      <dsp:style>
        <a:lnRef idx="0">
          <a:schemeClr val="accent3">
            <a:tint val="60000"/>
          </a:schemeClr>
        </a:lnRef>
        <a:fillRef idx="2">
          <a:schemeClr val="accent3">
            <a:tint val="60000"/>
          </a:schemeClr>
        </a:fillRef>
        <a:effectRef idx="1">
          <a:scrgbClr r="0" g="0" b="0"/>
        </a:effectRef>
        <a:fontRef idx="minor">
          <a:schemeClr val="dk1"/>
        </a:fontRef>
      </dsp:style>
      <dsp:txBody>
        <a:bodyPr lIns="0" tIns="0" rIns="0" bIns="0" anchor="ctr"/>
        <a:lstStyle>
          <a:lvl1pPr algn="ctr">
            <a:defRPr sz="10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00000"/>
            </a:lnSpc>
            <a:spcBef>
              <a:spcPct val="0"/>
            </a:spcBef>
            <a:spcAft>
              <a:spcPct val="35000"/>
            </a:spcAft>
          </a:pPr>
          <a:endParaRPr lang="en-US"/>
        </a:p>
      </dsp:txBody>
      <dsp:txXfrm>
        <a:off x="4626334" y="-822"/>
        <a:ext cx="341387" cy="264467"/>
      </dsp:txXfrm>
    </dsp:sp>
    <dsp:sp modelId="{685B1DED-BB57-492C-9EFB-01DECA055EE0}">
      <dsp:nvSpPr>
        <dsp:cNvPr id="12" name="Rounded Rectangle 11"/>
        <dsp:cNvSpPr/>
      </dsp:nvSpPr>
      <dsp:spPr bwMode="white">
        <a:xfrm>
          <a:off x="5119090" y="0"/>
          <a:ext cx="1062238" cy="394232"/>
        </a:xfrm>
        <a:prstGeom prst="roundRect">
          <a:avLst>
            <a:gd name="adj" fmla="val 10000"/>
          </a:avLst>
        </a:prstGeom>
        <a:sp3d prstMaterial="dkEdge">
          <a:bevelT w="8200" h="38100"/>
        </a:sp3d>
      </dsp:spPr>
      <dsp:style>
        <a:lnRef idx="0">
          <a:schemeClr val="lt1"/>
        </a:lnRef>
        <a:fillRef idx="2">
          <a:schemeClr val="accent3"/>
        </a:fillRef>
        <a:effectRef idx="1">
          <a:scrgbClr r="0" g="0" b="0"/>
        </a:effectRef>
        <a:fontRef idx="minor">
          <a:schemeClr val="dk1"/>
        </a:fontRef>
      </dsp:style>
      <dsp:txBody>
        <a:bodyPr vert="horz" wrap="square" lIns="78232" tIns="78232" rIns="78232" bIns="4191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sz="1100">
              <a:latin typeface="Arial" panose="020B0604020202020204" pitchFamily="2" charset="0"/>
              <a:cs typeface="Arial" panose="020B0604020202020204" pitchFamily="2" charset="0"/>
            </a:rPr>
            <a:t>     </a:t>
          </a:r>
          <a:r>
            <a:rPr lang="en-US" sz="1100">
              <a:latin typeface="Arial" panose="020B0604020202020204" pitchFamily="2" charset="0"/>
              <a:cs typeface="Arial" panose="020B0604020202020204" pitchFamily="2" charset="0"/>
            </a:rPr>
            <a:t>dispose</a:t>
          </a:r>
          <a:endParaRPr lang="en-US" sz="1100">
            <a:latin typeface="Arial" panose="020B0604020202020204" pitchFamily="2" charset="0"/>
            <a:cs typeface="Arial" panose="020B0604020202020204" pitchFamily="2" charset="0"/>
          </a:endParaRPr>
        </a:p>
      </dsp:txBody>
      <dsp:txXfrm>
        <a:off x="5119090" y="0"/>
        <a:ext cx="1062238" cy="394232"/>
      </dsp:txXfrm>
    </dsp:sp>
    <dsp:sp modelId="{E23DD660-5416-4F6A-BFC2-5DC35AFE6E53}">
      <dsp:nvSpPr>
        <dsp:cNvPr id="13" name="Rounded Rectangle 12"/>
        <dsp:cNvSpPr/>
      </dsp:nvSpPr>
      <dsp:spPr bwMode="white">
        <a:xfrm>
          <a:off x="5336657" y="262822"/>
          <a:ext cx="1062238" cy="834458"/>
        </a:xfrm>
        <a:prstGeom prst="roundRect">
          <a:avLst>
            <a:gd name="adj" fmla="val 10000"/>
          </a:avLst>
        </a:prstGeom>
      </dsp:spPr>
      <dsp:style>
        <a:lnRef idx="1">
          <a:schemeClr val="accent3"/>
        </a:lnRef>
        <a:fillRef idx="1">
          <a:schemeClr val="lt1">
            <a:alpha val="90000"/>
          </a:schemeClr>
        </a:fillRef>
        <a:effectRef idx="0">
          <a:scrgbClr r="0" g="0" b="0"/>
        </a:effectRef>
        <a:fontRef idx="minor"/>
      </dsp:style>
      <dsp:txBody>
        <a:bodyPr vert="horz" wrap="square" lIns="78232" tIns="78232" rIns="78232" bIns="78232" anchor="t"/>
        <a:lstStyle>
          <a:lvl1pPr algn="l">
            <a:defRPr sz="1200"/>
          </a:lvl1pPr>
          <a:lvl2pPr marL="114300" indent="-114300" algn="l">
            <a:defRPr sz="1200"/>
          </a:lvl2pPr>
          <a:lvl3pPr marL="228600" indent="-114300" algn="l">
            <a:defRPr sz="1200"/>
          </a:lvl3pPr>
          <a:lvl4pPr marL="342900" indent="-114300" algn="l">
            <a:defRPr sz="1200"/>
          </a:lvl4pPr>
          <a:lvl5pPr marL="457200" indent="-114300" algn="l">
            <a:defRPr sz="1200"/>
          </a:lvl5pPr>
          <a:lvl6pPr marL="571500" indent="-114300" algn="l">
            <a:defRPr sz="1200"/>
          </a:lvl6pPr>
          <a:lvl7pPr marL="685800" indent="-114300" algn="l">
            <a:defRPr sz="1200"/>
          </a:lvl7pPr>
          <a:lvl8pPr marL="800100" indent="-114300" algn="l">
            <a:defRPr sz="1200"/>
          </a:lvl8pPr>
          <a:lvl9pPr marL="914400" indent="-114300" algn="l">
            <a:defRPr sz="1200"/>
          </a:lvl9pPr>
        </a:lstStyle>
        <a:p>
          <a:pPr marL="57150" lvl="1" indent="-57150">
            <a:lnSpc>
              <a:spcPct val="100000"/>
            </a:lnSpc>
            <a:spcBef>
              <a:spcPct val="0"/>
            </a:spcBef>
            <a:spcAft>
              <a:spcPct val="15000"/>
            </a:spcAft>
            <a:buChar char="•"/>
          </a:pPr>
          <a:r>
            <a:rPr lang="en-US" sz="1100">
              <a:solidFill>
                <a:schemeClr val="dk1"/>
              </a:solidFill>
              <a:latin typeface="Arial" panose="020B0604020202020204" pitchFamily="2" charset="0"/>
              <a:cs typeface="Arial" panose="020B0604020202020204" pitchFamily="2" charset="0"/>
            </a:rPr>
            <a:t>waste </a:t>
          </a: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endParaRPr lang="en-US" sz="1100">
            <a:solidFill>
              <a:schemeClr val="dk1"/>
            </a:solidFill>
            <a:latin typeface="Arial" panose="020B0604020202020204" pitchFamily="2" charset="0"/>
            <a:cs typeface="Arial" panose="020B0604020202020204" pitchFamily="2" charset="0"/>
          </a:endParaRPr>
        </a:p>
      </dsp:txBody>
      <dsp:txXfrm>
        <a:off x="5336657" y="262822"/>
        <a:ext cx="1062238" cy="834458"/>
      </dsp:txXfrm>
    </dsp:sp>
  </dsp:spTree>
</dsp:drawing>
</file>

<file path=word/diagrams/drawing4.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394960" cy="5394960"/>
        <a:chOff x="0" y="0"/>
        <a:chExt cx="5394960" cy="5394960"/>
      </a:xfrm>
    </dsp:grpSpPr>
    <dsp:sp modelId="{4D249092-DA8C-4681-AA9C-207F2DFD3154}">
      <dsp:nvSpPr>
        <dsp:cNvPr id="3" name="Oval 2"/>
        <dsp:cNvSpPr/>
      </dsp:nvSpPr>
      <dsp:spPr bwMode="white">
        <a:xfrm>
          <a:off x="1758301" y="1269488"/>
          <a:ext cx="3052473" cy="3052473"/>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53340" tIns="53340" rIns="53340" bIns="53340" anchor="ctr"/>
        <a:lstStyle>
          <a:lvl1pPr algn="ctr">
            <a:defRPr sz="4200"/>
          </a:lvl1pPr>
          <a:lvl2pPr marL="285750" indent="-285750" algn="ctr">
            <a:defRPr sz="3200"/>
          </a:lvl2pPr>
          <a:lvl3pPr marL="571500" indent="-285750" algn="ctr">
            <a:defRPr sz="3200"/>
          </a:lvl3pPr>
          <a:lvl4pPr marL="857250" indent="-285750" algn="ctr">
            <a:defRPr sz="3200"/>
          </a:lvl4pPr>
          <a:lvl5pPr marL="1143000" indent="-285750" algn="ctr">
            <a:defRPr sz="3200"/>
          </a:lvl5pPr>
          <a:lvl6pPr marL="1428750" indent="-285750" algn="ctr">
            <a:defRPr sz="3200"/>
          </a:lvl6pPr>
          <a:lvl7pPr marL="1714500" indent="-285750" algn="ctr">
            <a:defRPr sz="3200"/>
          </a:lvl7pPr>
          <a:lvl8pPr marL="2000250" indent="-285750" algn="ctr">
            <a:defRPr sz="3200"/>
          </a:lvl8pPr>
          <a:lvl9pPr marL="2286000" indent="-285750" algn="ctr">
            <a:defRPr sz="3200"/>
          </a:lvl9pPr>
        </a:lstStyle>
        <a:p>
          <a:pPr lvl="0">
            <a:lnSpc>
              <a:spcPct val="100000"/>
            </a:lnSpc>
            <a:spcBef>
              <a:spcPct val="0"/>
            </a:spcBef>
            <a:spcAft>
              <a:spcPct val="35000"/>
            </a:spcAft>
          </a:pPr>
          <a:r>
            <a:rPr lang="en-US"/>
            <a:t>C</a:t>
          </a:r>
          <a:r>
            <a:rPr lang="en-US"/>
            <a:t>ircular economy</a:t>
          </a:r>
          <a:endParaRPr lang="en-US"/>
        </a:p>
      </dsp:txBody>
      <dsp:txXfrm>
        <a:off x="1758301" y="1269488"/>
        <a:ext cx="3052473" cy="3052473"/>
      </dsp:txXfrm>
    </dsp:sp>
    <dsp:sp modelId="{0ABA4A14-2574-4777-939A-8A91AE25FBF5}">
      <dsp:nvSpPr>
        <dsp:cNvPr id="4" name="Oval 3"/>
        <dsp:cNvSpPr/>
      </dsp:nvSpPr>
      <dsp:spPr bwMode="white">
        <a:xfrm>
          <a:off x="2521419" y="48498"/>
          <a:ext cx="1526237" cy="1526237"/>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19050" tIns="19050" rIns="19050" bIns="19050" anchor="ctr"/>
        <a:lstStyle>
          <a:lvl1pPr algn="ctr">
            <a:defRPr sz="15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r>
            <a:rPr lang="en-US">
              <a:latin typeface="Times New Roman" panose="02020603050405020304" charset="0"/>
              <a:cs typeface="Times New Roman" panose="02020603050405020304" charset="0"/>
            </a:rPr>
            <a:t>Raw material </a:t>
          </a:r>
          <a:endParaRPr lang="en-US">
            <a:latin typeface="Times New Roman" panose="02020603050405020304" charset="0"/>
            <a:cs typeface="Times New Roman" panose="02020603050405020304" charset="0"/>
          </a:endParaRPr>
        </a:p>
      </dsp:txBody>
      <dsp:txXfrm>
        <a:off x="2521419" y="48498"/>
        <a:ext cx="1526237" cy="1526237"/>
      </dsp:txXfrm>
    </dsp:sp>
    <dsp:sp modelId="{474554E0-55A6-47EA-B00A-B567AA29D79A}">
      <dsp:nvSpPr>
        <dsp:cNvPr id="5" name="Oval 4"/>
        <dsp:cNvSpPr/>
      </dsp:nvSpPr>
      <dsp:spPr bwMode="white">
        <a:xfrm>
          <a:off x="4072657" y="795535"/>
          <a:ext cx="1526237" cy="1526237"/>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20320" tIns="20320" rIns="20320" bIns="20320" anchor="ctr"/>
        <a:lstStyle>
          <a:lvl1pPr algn="ctr">
            <a:defRPr sz="15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r>
            <a:rPr lang="en-US" sz="1600">
              <a:cs typeface="+mn-lt"/>
            </a:rPr>
            <a:t>Sustainable design </a:t>
          </a:r>
          <a:endParaRPr lang="en-US" sz="1600">
            <a:cs typeface="+mn-lt"/>
          </a:endParaRPr>
        </a:p>
      </dsp:txBody>
      <dsp:txXfrm>
        <a:off x="4072657" y="795535"/>
        <a:ext cx="1526237" cy="1526237"/>
      </dsp:txXfrm>
    </dsp:sp>
    <dsp:sp modelId="{A9B0FA4B-2931-458E-93B9-8F0E46BCB2B8}">
      <dsp:nvSpPr>
        <dsp:cNvPr id="6" name="Oval 5"/>
        <dsp:cNvSpPr/>
      </dsp:nvSpPr>
      <dsp:spPr bwMode="white">
        <a:xfrm>
          <a:off x="4455781" y="2474111"/>
          <a:ext cx="1526237" cy="1526237"/>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19050" tIns="19050" rIns="19050" bIns="19050" anchor="ctr"/>
        <a:lstStyle>
          <a:lvl1pPr algn="ctr">
            <a:defRPr sz="15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r>
            <a:rPr lang="en-US"/>
            <a:t>Production</a:t>
          </a:r>
          <a:endParaRPr lang="en-US"/>
        </a:p>
      </dsp:txBody>
      <dsp:txXfrm>
        <a:off x="4455781" y="2474111"/>
        <a:ext cx="1526237" cy="1526237"/>
      </dsp:txXfrm>
    </dsp:sp>
    <dsp:sp modelId="{E958178C-87CF-4B5F-870F-67A8865C0100}">
      <dsp:nvSpPr>
        <dsp:cNvPr id="7" name="Oval 6"/>
        <dsp:cNvSpPr/>
      </dsp:nvSpPr>
      <dsp:spPr bwMode="white">
        <a:xfrm>
          <a:off x="3382291" y="3820225"/>
          <a:ext cx="1526237" cy="1526237"/>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19050" tIns="19050" rIns="19050" bIns="19050" anchor="ctr"/>
        <a:lstStyle>
          <a:lvl1pPr algn="ctr">
            <a:defRPr sz="15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r>
            <a:rPr lang="en-US"/>
            <a:t>Distribution</a:t>
          </a:r>
          <a:endParaRPr lang="en-US"/>
        </a:p>
      </dsp:txBody>
      <dsp:txXfrm>
        <a:off x="3382291" y="3820225"/>
        <a:ext cx="1526237" cy="1526237"/>
      </dsp:txXfrm>
    </dsp:sp>
    <dsp:sp modelId="{A9981A18-75F3-41F3-9957-B40659E402CE}">
      <dsp:nvSpPr>
        <dsp:cNvPr id="8" name="Oval 7"/>
        <dsp:cNvSpPr/>
      </dsp:nvSpPr>
      <dsp:spPr bwMode="white">
        <a:xfrm>
          <a:off x="1660547" y="3820225"/>
          <a:ext cx="1526237" cy="1526237"/>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19050" tIns="19050" rIns="19050" bIns="19050" anchor="ctr"/>
        <a:lstStyle>
          <a:lvl1pPr algn="ctr">
            <a:defRPr sz="15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r>
            <a:rPr lang="en-US"/>
            <a:t>Consumption</a:t>
          </a:r>
          <a:endParaRPr lang="en-US"/>
        </a:p>
        <a:p>
          <a:pPr lvl="0">
            <a:lnSpc>
              <a:spcPct val="100000"/>
            </a:lnSpc>
            <a:spcBef>
              <a:spcPct val="0"/>
            </a:spcBef>
            <a:spcAft>
              <a:spcPct val="35000"/>
            </a:spcAft>
          </a:pPr>
          <a:r>
            <a:rPr lang="en-US"/>
            <a:t>Reuse</a:t>
          </a:r>
          <a:endParaRPr lang="en-US"/>
        </a:p>
        <a:p>
          <a:pPr lvl="0">
            <a:lnSpc>
              <a:spcPct val="100000"/>
            </a:lnSpc>
            <a:spcBef>
              <a:spcPct val="0"/>
            </a:spcBef>
            <a:spcAft>
              <a:spcPct val="35000"/>
            </a:spcAft>
          </a:pPr>
          <a:r>
            <a:rPr lang="en-US"/>
            <a:t>Repair</a:t>
          </a:r>
          <a:endParaRPr lang="en-US"/>
        </a:p>
      </dsp:txBody>
      <dsp:txXfrm>
        <a:off x="1660547" y="3820225"/>
        <a:ext cx="1526237" cy="1526237"/>
      </dsp:txXfrm>
    </dsp:sp>
    <dsp:sp modelId="{5EBE0206-6FD5-462B-AC34-DF1594CC1BEE}">
      <dsp:nvSpPr>
        <dsp:cNvPr id="9" name="Oval 8"/>
        <dsp:cNvSpPr/>
      </dsp:nvSpPr>
      <dsp:spPr bwMode="white">
        <a:xfrm>
          <a:off x="587057" y="2474111"/>
          <a:ext cx="1526237" cy="1526237"/>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19050" tIns="19050" rIns="19050" bIns="19050" anchor="ctr"/>
        <a:lstStyle>
          <a:lvl1pPr algn="ctr">
            <a:defRPr sz="15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r>
            <a:rPr lang="en-US"/>
            <a:t>Collection</a:t>
          </a:r>
          <a:endParaRPr lang="en-US"/>
        </a:p>
      </dsp:txBody>
      <dsp:txXfrm>
        <a:off x="587057" y="2474111"/>
        <a:ext cx="1526237" cy="1526237"/>
      </dsp:txXfrm>
    </dsp:sp>
    <dsp:sp modelId="{5BB31F2C-9F6F-461E-B8AE-DAD63322F779}">
      <dsp:nvSpPr>
        <dsp:cNvPr id="10" name="Oval 9"/>
        <dsp:cNvSpPr/>
      </dsp:nvSpPr>
      <dsp:spPr bwMode="white">
        <a:xfrm>
          <a:off x="970182" y="795535"/>
          <a:ext cx="1526237" cy="1526237"/>
        </a:xfrm>
        <a:prstGeom prst="ellipse">
          <a:avLst/>
        </a:prstGeom>
      </dsp:spPr>
      <dsp:style>
        <a:lnRef idx="3">
          <a:schemeClr val="dk1">
            <a:shade val="80000"/>
          </a:schemeClr>
        </a:lnRef>
        <a:fillRef idx="1">
          <a:schemeClr val="lt1">
            <a:alpha val="50000"/>
          </a:schemeClr>
        </a:fillRef>
        <a:effectRef idx="0">
          <a:scrgbClr r="0" g="0" b="0"/>
        </a:effectRef>
        <a:fontRef idx="minor">
          <a:schemeClr val="tx1"/>
        </a:fontRef>
      </dsp:style>
      <dsp:txBody>
        <a:bodyPr vert="horz" wrap="square" lIns="19050" tIns="19050" rIns="19050" bIns="19050" anchor="ctr"/>
        <a:lstStyle>
          <a:lvl1pPr algn="ctr">
            <a:defRPr sz="15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r>
            <a:rPr lang="en-US"/>
            <a:t>Waste management</a:t>
          </a:r>
          <a:endParaRPr lang="en-US"/>
        </a:p>
        <a:p>
          <a:pPr lvl="0">
            <a:lnSpc>
              <a:spcPct val="100000"/>
            </a:lnSpc>
            <a:spcBef>
              <a:spcPct val="0"/>
            </a:spcBef>
            <a:spcAft>
              <a:spcPct val="35000"/>
            </a:spcAft>
          </a:pPr>
          <a:r>
            <a:rPr lang="en-US"/>
            <a:t>Residual Waste </a:t>
          </a:r>
          <a:endParaRPr lang="en-US"/>
        </a:p>
      </dsp:txBody>
      <dsp:txXfrm>
        <a:off x="970182" y="795535"/>
        <a:ext cx="1526237" cy="1526237"/>
      </dsp:txXfrm>
    </dsp:sp>
  </dsp:spTree>
</dsp:drawing>
</file>

<file path=word/diagrams/drawing5.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444615" cy="4297680"/>
        <a:chOff x="0" y="0"/>
        <a:chExt cx="6444615" cy="4297680"/>
      </a:xfrm>
    </dsp:grpSpPr>
    <dsp:sp modelId="{864A53AF-32DA-4A7C-9949-9AA1E1DFAF48}">
      <dsp:nvSpPr>
        <dsp:cNvPr id="3" name="Rectangles 2"/>
        <dsp:cNvSpPr/>
      </dsp:nvSpPr>
      <dsp:spPr bwMode="white">
        <a:xfrm>
          <a:off x="0" y="0"/>
          <a:ext cx="6444615" cy="1289304"/>
        </a:xfrm>
        <a:prstGeom prst="rect">
          <a:avLst/>
        </a:prstGeom>
      </dsp:spPr>
      <dsp:style>
        <a:lnRef idx="2">
          <a:schemeClr val="accent3"/>
        </a:lnRef>
        <a:fillRef idx="0">
          <a:srgbClr val="FFFFFF"/>
        </a:fillRef>
        <a:effectRef idx="0">
          <a:srgbClr val="FFFFFF"/>
        </a:effectRef>
        <a:fontRef idx="minor">
          <a:schemeClr val="tx1"/>
        </a:fontRef>
      </dsp:style>
      <dsp:txBody>
        <a:bodyPr vert="horz" wrap="square" lIns="213360" tIns="213360" rIns="213360" bIns="213360" anchor="ctr"/>
        <a:lstStyle>
          <a:lvl1pPr algn="ctr">
            <a:defRPr sz="5600"/>
          </a:lvl1pPr>
          <a:lvl2pPr marL="285750" indent="-285750" algn="ctr">
            <a:defRPr sz="4400"/>
          </a:lvl2pPr>
          <a:lvl3pPr marL="571500" indent="-285750" algn="ctr">
            <a:defRPr sz="4400"/>
          </a:lvl3pPr>
          <a:lvl4pPr marL="857250" indent="-285750" algn="ctr">
            <a:defRPr sz="4400"/>
          </a:lvl4pPr>
          <a:lvl5pPr marL="1143000" indent="-285750" algn="ctr">
            <a:defRPr sz="4400"/>
          </a:lvl5pPr>
          <a:lvl6pPr marL="1428750" indent="-285750" algn="ctr">
            <a:defRPr sz="4400"/>
          </a:lvl6pPr>
          <a:lvl7pPr marL="1714500" indent="-285750" algn="ctr">
            <a:defRPr sz="4400"/>
          </a:lvl7pPr>
          <a:lvl8pPr marL="2000250" indent="-285750" algn="ctr">
            <a:defRPr sz="4400"/>
          </a:lvl8pPr>
          <a:lvl9pPr marL="2286000" indent="-285750" algn="ctr">
            <a:defRPr sz="4400"/>
          </a:lvl9pPr>
        </a:lstStyle>
        <a:p>
          <a:pPr lvl="0">
            <a:lnSpc>
              <a:spcPct val="100000"/>
            </a:lnSpc>
            <a:spcBef>
              <a:spcPct val="0"/>
            </a:spcBef>
            <a:spcAft>
              <a:spcPct val="35000"/>
            </a:spcAft>
          </a:pPr>
          <a:endParaRPr lang="en-US" b="1">
            <a:solidFill>
              <a:schemeClr val="lt1"/>
            </a:solidFill>
          </a:endParaRPr>
        </a:p>
      </dsp:txBody>
      <dsp:txXfrm>
        <a:off x="0" y="0"/>
        <a:ext cx="6444615" cy="1289304"/>
      </dsp:txXfrm>
    </dsp:sp>
    <dsp:sp modelId="{65D0C626-E678-4B51-98B9-40984CA4202A}">
      <dsp:nvSpPr>
        <dsp:cNvPr id="4" name="Rectangles 3"/>
        <dsp:cNvSpPr/>
      </dsp:nvSpPr>
      <dsp:spPr bwMode="white">
        <a:xfrm>
          <a:off x="0" y="1289304"/>
          <a:ext cx="2148205" cy="2707538"/>
        </a:xfrm>
        <a:prstGeom prst="rect">
          <a:avLst/>
        </a:prstGeom>
      </dsp:spPr>
      <dsp:style>
        <a:lnRef idx="2">
          <a:schemeClr val="accent3">
            <a:shade val="80000"/>
          </a:schemeClr>
        </a:lnRef>
        <a:fillRef idx="1">
          <a:schemeClr val="lt1"/>
        </a:fillRef>
        <a:effectRef idx="0">
          <a:scrgbClr r="0" g="0" b="0"/>
        </a:effectRef>
        <a:fontRef idx="minor">
          <a:schemeClr val="lt1"/>
        </a:fontRef>
      </dsp:style>
      <dsp:txBody>
        <a:bodyPr vert="horz" wrap="square" lIns="45719" tIns="45719" rIns="45719" bIns="4571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Provincial policy: </a:t>
          </a:r>
          <a:endParaRPr lang="en-US">
            <a:solidFill>
              <a:schemeClr val="dk1"/>
            </a:solidFill>
          </a:endParaRPr>
        </a:p>
        <a:p>
          <a:pPr lvl="0">
            <a:lnSpc>
              <a:spcPct val="100000"/>
            </a:lnSpc>
            <a:spcBef>
              <a:spcPct val="0"/>
            </a:spcBef>
            <a:spcAft>
              <a:spcPct val="35000"/>
            </a:spcAft>
          </a:pPr>
          <a:r>
            <a:rPr lang="en-US">
              <a:solidFill>
                <a:schemeClr val="dk1"/>
              </a:solidFill>
            </a:rPr>
            <a:t>Khyber Pakhtunkhwa  Climate Policy (2022)-This policy highlights the importance of integrating circular economy principles to enhance resource efficiency and environmental sustainablity at the provincial level.</a:t>
          </a:r>
          <a:endParaRPr lang="en-US">
            <a:solidFill>
              <a:schemeClr val="dk1"/>
            </a:solidFill>
          </a:endParaRPr>
        </a:p>
      </dsp:txBody>
      <dsp:txXfrm>
        <a:off x="0" y="1289304"/>
        <a:ext cx="2148205" cy="2707538"/>
      </dsp:txXfrm>
    </dsp:sp>
    <dsp:sp modelId="{18008A20-4C25-47E9-B65A-260C477ED446}">
      <dsp:nvSpPr>
        <dsp:cNvPr id="5" name="Rectangles 4"/>
        <dsp:cNvSpPr/>
      </dsp:nvSpPr>
      <dsp:spPr bwMode="white">
        <a:xfrm>
          <a:off x="2148205" y="1289304"/>
          <a:ext cx="2148205" cy="2707538"/>
        </a:xfrm>
        <a:prstGeom prst="rect">
          <a:avLst/>
        </a:prstGeom>
      </dsp:spPr>
      <dsp:style>
        <a:lnRef idx="2">
          <a:schemeClr val="accent3">
            <a:shade val="80000"/>
          </a:schemeClr>
        </a:lnRef>
        <a:fillRef idx="1">
          <a:schemeClr val="lt1"/>
        </a:fillRef>
        <a:effectRef idx="0">
          <a:scrgbClr r="0" g="0" b="0"/>
        </a:effectRef>
        <a:fontRef idx="minor">
          <a:schemeClr val="lt1"/>
        </a:fontRef>
      </dsp:style>
      <dsp:txBody>
        <a:bodyPr vert="horz" wrap="square" lIns="45719" tIns="45719" rIns="45719" bIns="4571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Pakistan:replacement of coal with hydropower</a:t>
          </a:r>
          <a:endParaRPr lang="en-US">
            <a:solidFill>
              <a:schemeClr val="dk1"/>
            </a:solidFill>
          </a:endParaRPr>
        </a:p>
        <a:p>
          <a:pPr lvl="0">
            <a:lnSpc>
              <a:spcPct val="100000"/>
            </a:lnSpc>
            <a:spcBef>
              <a:spcPct val="0"/>
            </a:spcBef>
            <a:spcAft>
              <a:spcPct val="35000"/>
            </a:spcAft>
          </a:pPr>
          <a:r>
            <a:rPr lang="en-US">
              <a:solidFill>
                <a:schemeClr val="dk1"/>
              </a:solidFill>
            </a:rPr>
            <a:t>Pakistan estimate that the cost of energy transition will be around USD101 billion by 2030, with an additional USD 65 billion by 2040 due to completion of in progress RE projects , additional hydropower,transmission and the goal of phasing out coal and replacing it with hydropower. </a:t>
          </a:r>
          <a:endParaRPr lang="en-US">
            <a:solidFill>
              <a:schemeClr val="dk1"/>
            </a:solidFill>
          </a:endParaRPr>
        </a:p>
      </dsp:txBody>
      <dsp:txXfrm>
        <a:off x="2148205" y="1289304"/>
        <a:ext cx="2148205" cy="2707538"/>
      </dsp:txXfrm>
    </dsp:sp>
    <dsp:sp modelId="{81CF33A1-7295-4740-80AE-05AA3F96CC32}">
      <dsp:nvSpPr>
        <dsp:cNvPr id="6" name="Rectangles 5"/>
        <dsp:cNvSpPr/>
      </dsp:nvSpPr>
      <dsp:spPr bwMode="white">
        <a:xfrm>
          <a:off x="4296410" y="1289304"/>
          <a:ext cx="2148205" cy="2707538"/>
        </a:xfrm>
        <a:prstGeom prst="rect">
          <a:avLst/>
        </a:prstGeom>
      </dsp:spPr>
      <dsp:style>
        <a:lnRef idx="2">
          <a:schemeClr val="accent3">
            <a:shade val="80000"/>
          </a:schemeClr>
        </a:lnRef>
        <a:fillRef idx="1">
          <a:schemeClr val="lt1"/>
        </a:fillRef>
        <a:effectRef idx="0">
          <a:scrgbClr r="0" g="0" b="0"/>
        </a:effectRef>
        <a:fontRef idx="minor">
          <a:schemeClr val="lt1"/>
        </a:fontRef>
      </dsp:style>
      <dsp:txBody>
        <a:bodyPr vert="horz" wrap="square" lIns="45719" tIns="45719" rIns="45719" bIns="4571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Environmental conservation program:</a:t>
          </a:r>
          <a:endParaRPr lang="en-US">
            <a:solidFill>
              <a:schemeClr val="dk1"/>
            </a:solidFill>
          </a:endParaRPr>
        </a:p>
        <a:p>
          <a:pPr lvl="0">
            <a:lnSpc>
              <a:spcPct val="100000"/>
            </a:lnSpc>
            <a:spcBef>
              <a:spcPct val="0"/>
            </a:spcBef>
            <a:spcAft>
              <a:spcPct val="35000"/>
            </a:spcAft>
          </a:pPr>
          <a:r>
            <a:rPr lang="en-US">
              <a:solidFill>
                <a:schemeClr val="dk1"/>
              </a:solidFill>
            </a:rPr>
            <a:t>10 Billion Tree Tsunami Programme: Launched in 2018,this reforestation initiative aims to plant over 10 billion trees across the country, enhancing carbon sequestration and promoting environmental sustainability.</a:t>
          </a:r>
          <a:endParaRPr lang="en-US">
            <a:solidFill>
              <a:schemeClr val="dk1"/>
            </a:solidFill>
          </a:endParaRPr>
        </a:p>
      </dsp:txBody>
      <dsp:txXfrm>
        <a:off x="4296410" y="1289304"/>
        <a:ext cx="2148205" cy="2707538"/>
      </dsp:txXfrm>
    </dsp:sp>
    <dsp:sp modelId="{831132C6-EFB2-47B4-842A-89D29CEDEEEA}">
      <dsp:nvSpPr>
        <dsp:cNvPr id="7" name="Rectangles 6"/>
        <dsp:cNvSpPr/>
      </dsp:nvSpPr>
      <dsp:spPr bwMode="white">
        <a:xfrm>
          <a:off x="0" y="3996842"/>
          <a:ext cx="6444615" cy="300838"/>
        </a:xfrm>
        <a:prstGeom prst="rect">
          <a:avLst/>
        </a:prstGeom>
      </dsp:spPr>
      <dsp:style>
        <a:lnRef idx="2">
          <a:schemeClr val="accent3"/>
        </a:lnRef>
        <a:fillRef idx="0">
          <a:srgbClr val="FFFFFF"/>
        </a:fillRef>
        <a:effectRef idx="0">
          <a:srgbClr val="FFFFFF"/>
        </a:effectRef>
        <a:fontRef idx="minor">
          <a:schemeClr val="tx1"/>
        </a:fontRef>
      </dsp:style>
      <dsp:txXfrm>
        <a:off x="0" y="3996842"/>
        <a:ext cx="6444615" cy="300838"/>
      </dsp:txXfrm>
    </dsp:sp>
  </dsp:spTree>
</dsp:drawing>
</file>

<file path=word/diagrams/drawing6.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518275" cy="4308475"/>
        <a:chOff x="0" y="0"/>
        <a:chExt cx="6518275" cy="4308475"/>
      </a:xfrm>
    </dsp:grpSpPr>
    <dsp:sp modelId="{DD9406C3-FC80-4468-A55B-122D744D43F0}">
      <dsp:nvSpPr>
        <dsp:cNvPr id="4" name="Round Same Side Corner Rectangle 3"/>
        <dsp:cNvSpPr/>
      </dsp:nvSpPr>
      <dsp:spPr bwMode="white">
        <a:xfrm rot="5400000">
          <a:off x="4196346" y="-1790747"/>
          <a:ext cx="472162" cy="4171696"/>
        </a:xfrm>
        <a:prstGeom prst="round2SameRect">
          <a:avLst/>
        </a:prstGeom>
      </dsp:spPr>
      <dsp:style>
        <a:lnRef idx="2">
          <a:schemeClr val="dk1">
            <a:alpha val="90000"/>
          </a:schemeClr>
        </a:lnRef>
        <a:fillRef idx="1">
          <a:schemeClr val="lt1">
            <a:alpha val="90000"/>
            <a:tint val="40000"/>
          </a:schemeClr>
        </a:fillRef>
        <a:effectRef idx="0">
          <a:scrgbClr r="0" g="0" b="0"/>
        </a:effectRef>
        <a:fontRef idx="minor"/>
      </dsp:style>
      <dsp:txBody>
        <a:bodyPr rot="-5400000" vert="horz" wrap="square" lIns="38100" tIns="19050" rIns="38100" bIns="19050" anchor="ctr"/>
        <a:lstStyle>
          <a:lvl1pPr algn="l">
            <a:defRPr sz="6500"/>
          </a:lvl1pPr>
          <a:lvl2pPr marL="285750" indent="-285750" algn="l">
            <a:defRPr sz="6500"/>
          </a:lvl2pPr>
          <a:lvl3pPr marL="571500" indent="-285750" algn="l">
            <a:defRPr sz="6500"/>
          </a:lvl3pPr>
          <a:lvl4pPr marL="857250" indent="-285750" algn="l">
            <a:defRPr sz="6500"/>
          </a:lvl4pPr>
          <a:lvl5pPr marL="1143000" indent="-285750" algn="l">
            <a:defRPr sz="6500"/>
          </a:lvl5pPr>
          <a:lvl6pPr marL="1428750" indent="-285750" algn="l">
            <a:defRPr sz="6500"/>
          </a:lvl6pPr>
          <a:lvl7pPr marL="1714500" indent="-285750" algn="l">
            <a:defRPr sz="6500"/>
          </a:lvl7pPr>
          <a:lvl8pPr marL="2000250" indent="-285750" algn="l">
            <a:defRPr sz="6500"/>
          </a:lvl8pPr>
          <a:lvl9pPr marL="2286000" indent="-285750" algn="l">
            <a:defRPr sz="6500"/>
          </a:lvl9pPr>
        </a:lstStyle>
        <a:p>
          <a:pPr marL="57150" lvl="1" indent="-57150">
            <a:lnSpc>
              <a:spcPct val="100000"/>
            </a:lnSpc>
            <a:spcBef>
              <a:spcPct val="0"/>
            </a:spcBef>
            <a:spcAft>
              <a:spcPct val="15000"/>
            </a:spcAft>
            <a:buChar char="•"/>
          </a:pPr>
          <a:r>
            <a:rPr lang="en-US" sz="1000">
              <a:solidFill>
                <a:schemeClr val="dk1"/>
              </a:solidFill>
              <a:latin typeface="Times New Roman" panose="02020603050405020304" charset="0"/>
              <a:cs typeface="Times New Roman" panose="02020603050405020304" charset="0"/>
            </a:rPr>
            <a:t>Insufficient Availability of efficient combustion raw materials</a:t>
          </a:r>
          <a:endParaRPr lang="en-US" sz="1000">
            <a:solidFill>
              <a:schemeClr val="dk1"/>
            </a:solidFill>
            <a:latin typeface="Times New Roman" panose="02020603050405020304" charset="0"/>
            <a:cs typeface="Times New Roman" panose="02020603050405020304" charset="0"/>
          </a:endParaRPr>
        </a:p>
        <a:p>
          <a:pPr marL="57150" lvl="1" indent="-57150">
            <a:lnSpc>
              <a:spcPct val="100000"/>
            </a:lnSpc>
            <a:spcBef>
              <a:spcPct val="0"/>
            </a:spcBef>
            <a:spcAft>
              <a:spcPct val="15000"/>
            </a:spcAft>
            <a:buChar char="•"/>
          </a:pPr>
          <a:r>
            <a:rPr lang="en-US" sz="1000">
              <a:solidFill>
                <a:schemeClr val="dk1"/>
              </a:solidFill>
              <a:latin typeface="Times New Roman" panose="02020603050405020304" charset="0"/>
              <a:cs typeface="Times New Roman" panose="02020603050405020304" charset="0"/>
            </a:rPr>
            <a:t>Limited use of secondary material</a:t>
          </a:r>
          <a:endParaRPr lang="en-US" sz="1000">
            <a:solidFill>
              <a:schemeClr val="dk1"/>
            </a:solidFill>
            <a:latin typeface="Times New Roman" panose="02020603050405020304" charset="0"/>
            <a:cs typeface="Times New Roman" panose="02020603050405020304" charset="0"/>
          </a:endParaRPr>
        </a:p>
        <a:p>
          <a:pPr marL="57150" lvl="1" indent="-57150">
            <a:lnSpc>
              <a:spcPct val="100000"/>
            </a:lnSpc>
            <a:spcBef>
              <a:spcPct val="0"/>
            </a:spcBef>
            <a:spcAft>
              <a:spcPct val="15000"/>
            </a:spcAft>
            <a:buChar char="•"/>
          </a:pPr>
          <a:r>
            <a:rPr lang="en-US" sz="1000">
              <a:solidFill>
                <a:schemeClr val="dk1"/>
              </a:solidFill>
              <a:latin typeface="Times New Roman" panose="02020603050405020304" charset="0"/>
              <a:cs typeface="Times New Roman" panose="02020603050405020304" charset="0"/>
            </a:rPr>
            <a:t>Over reliance on virgin resources</a:t>
          </a:r>
          <a:endParaRPr lang="en-US" sz="1000">
            <a:solidFill>
              <a:schemeClr val="dk1"/>
            </a:solidFill>
            <a:latin typeface="Times New Roman" panose="02020603050405020304" charset="0"/>
            <a:cs typeface="Times New Roman" panose="02020603050405020304" charset="0"/>
          </a:endParaRPr>
        </a:p>
      </dsp:txBody>
      <dsp:txXfrm rot="5400000">
        <a:off x="4196346" y="-1790747"/>
        <a:ext cx="472162" cy="4171696"/>
      </dsp:txXfrm>
    </dsp:sp>
    <dsp:sp modelId="{96BE2B31-D87C-43E1-BE64-4C27B13F4AA4}">
      <dsp:nvSpPr>
        <dsp:cNvPr id="3" name="Rounded Rectangle 2"/>
        <dsp:cNvSpPr/>
      </dsp:nvSpPr>
      <dsp:spPr bwMode="white">
        <a:xfrm>
          <a:off x="0" y="0"/>
          <a:ext cx="2346579" cy="590202"/>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45719" tIns="22859" rIns="4571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Resource Constraint</a:t>
          </a:r>
          <a:endParaRPr lang="en-US">
            <a:solidFill>
              <a:schemeClr val="dk1"/>
            </a:solidFill>
          </a:endParaRPr>
        </a:p>
      </dsp:txBody>
      <dsp:txXfrm>
        <a:off x="0" y="0"/>
        <a:ext cx="2346579" cy="590202"/>
      </dsp:txXfrm>
    </dsp:sp>
    <dsp:sp modelId="{6EB2A58E-CA03-4F76-94B6-D8FE50231963}">
      <dsp:nvSpPr>
        <dsp:cNvPr id="6" name="Round Same Side Corner Rectangle 5"/>
        <dsp:cNvSpPr/>
      </dsp:nvSpPr>
      <dsp:spPr bwMode="white">
        <a:xfrm rot="5400000">
          <a:off x="4196346" y="-1171035"/>
          <a:ext cx="472162" cy="4171696"/>
        </a:xfrm>
        <a:prstGeom prst="round2SameRect">
          <a:avLst/>
        </a:prstGeom>
      </dsp:spPr>
      <dsp:style>
        <a:lnRef idx="2">
          <a:schemeClr val="dk1">
            <a:alpha val="90000"/>
          </a:schemeClr>
        </a:lnRef>
        <a:fillRef idx="1">
          <a:schemeClr val="lt1">
            <a:alpha val="90000"/>
            <a:tint val="40000"/>
          </a:schemeClr>
        </a:fillRef>
        <a:effectRef idx="0">
          <a:scrgbClr r="0" g="0" b="0"/>
        </a:effectRef>
        <a:fontRef idx="minor"/>
      </dsp:style>
      <dsp:txBody>
        <a:bodyPr rot="-5400000" vert="horz" wrap="square" lIns="45719" tIns="22859" rIns="45719" bIns="22859" anchor="ctr"/>
        <a:lstStyle>
          <a:lvl1pPr algn="l">
            <a:defRPr sz="6500"/>
          </a:lvl1pPr>
          <a:lvl2pPr marL="285750" indent="-285750" algn="l">
            <a:defRPr sz="6500"/>
          </a:lvl2pPr>
          <a:lvl3pPr marL="571500" indent="-285750" algn="l">
            <a:defRPr sz="6500"/>
          </a:lvl3pPr>
          <a:lvl4pPr marL="857250" indent="-285750" algn="l">
            <a:defRPr sz="6500"/>
          </a:lvl4pPr>
          <a:lvl5pPr marL="1143000" indent="-285750" algn="l">
            <a:defRPr sz="6500"/>
          </a:lvl5pPr>
          <a:lvl6pPr marL="1428750" indent="-285750" algn="l">
            <a:defRPr sz="6500"/>
          </a:lvl6pPr>
          <a:lvl7pPr marL="1714500" indent="-285750" algn="l">
            <a:defRPr sz="6500"/>
          </a:lvl7pPr>
          <a:lvl8pPr marL="2000250" indent="-285750" algn="l">
            <a:defRPr sz="6500"/>
          </a:lvl8pPr>
          <a:lvl9pPr marL="2286000" indent="-285750" algn="l">
            <a:defRPr sz="6500"/>
          </a:lvl9pPr>
        </a:lstStyle>
        <a:p>
          <a:pPr marL="114300" lvl="1" indent="-114300">
            <a:lnSpc>
              <a:spcPct val="100000"/>
            </a:lnSpc>
            <a:spcBef>
              <a:spcPct val="0"/>
            </a:spcBef>
            <a:spcAft>
              <a:spcPct val="15000"/>
            </a:spcAft>
            <a:buChar char="•"/>
          </a:pPr>
          <a:r>
            <a:rPr lang="en-US" sz="1200">
              <a:solidFill>
                <a:schemeClr val="dk1"/>
              </a:solidFill>
              <a:latin typeface="Times New Roman" panose="02020603050405020304" charset="0"/>
              <a:cs typeface="Times New Roman" panose="02020603050405020304" charset="0"/>
            </a:rPr>
            <a:t>Waste Management and Recycling Shortcomings</a:t>
          </a:r>
          <a:endParaRPr lang="en-US" sz="1200">
            <a:solidFill>
              <a:schemeClr val="dk1"/>
            </a:solidFill>
            <a:latin typeface="Times New Roman" panose="02020603050405020304" charset="0"/>
            <a:cs typeface="Times New Roman" panose="02020603050405020304" charset="0"/>
          </a:endParaRPr>
        </a:p>
        <a:p>
          <a:pPr marL="114300" lvl="1" indent="-114300">
            <a:lnSpc>
              <a:spcPct val="100000"/>
            </a:lnSpc>
            <a:spcBef>
              <a:spcPct val="0"/>
            </a:spcBef>
            <a:spcAft>
              <a:spcPct val="15000"/>
            </a:spcAft>
            <a:buChar char="•"/>
          </a:pPr>
          <a:r>
            <a:rPr lang="en-US" sz="1200">
              <a:solidFill>
                <a:schemeClr val="dk1"/>
              </a:solidFill>
              <a:latin typeface="Times New Roman" panose="02020603050405020304" charset="0"/>
              <a:cs typeface="Times New Roman" panose="02020603050405020304" charset="0"/>
            </a:rPr>
            <a:t>Insufficient Transmission Infrastructure for raw materials</a:t>
          </a:r>
          <a:endParaRPr lang="en-US" sz="1200">
            <a:solidFill>
              <a:schemeClr val="dk1"/>
            </a:solidFill>
            <a:latin typeface="Times New Roman" panose="02020603050405020304" charset="0"/>
            <a:cs typeface="Times New Roman" panose="02020603050405020304" charset="0"/>
          </a:endParaRPr>
        </a:p>
      </dsp:txBody>
      <dsp:txXfrm rot="5400000">
        <a:off x="4196346" y="-1171035"/>
        <a:ext cx="472162" cy="4171696"/>
      </dsp:txXfrm>
    </dsp:sp>
    <dsp:sp modelId="{EBD335B5-8308-49CB-9630-99D852747B1F}">
      <dsp:nvSpPr>
        <dsp:cNvPr id="5" name="Rounded Rectangle 4"/>
        <dsp:cNvSpPr/>
      </dsp:nvSpPr>
      <dsp:spPr bwMode="white">
        <a:xfrm>
          <a:off x="0" y="619712"/>
          <a:ext cx="2346579" cy="590202"/>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45719" tIns="22859" rIns="4571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Infrastructure limitations</a:t>
          </a:r>
          <a:endParaRPr lang="en-US">
            <a:solidFill>
              <a:schemeClr val="dk1"/>
            </a:solidFill>
          </a:endParaRPr>
        </a:p>
      </dsp:txBody>
      <dsp:txXfrm>
        <a:off x="0" y="619712"/>
        <a:ext cx="2346579" cy="590202"/>
      </dsp:txXfrm>
    </dsp:sp>
    <dsp:sp modelId="{430C03C7-5E0B-483A-86F8-815156A850C8}">
      <dsp:nvSpPr>
        <dsp:cNvPr id="8" name="Round Same Side Corner Rectangle 7"/>
        <dsp:cNvSpPr/>
      </dsp:nvSpPr>
      <dsp:spPr bwMode="white">
        <a:xfrm rot="5400000">
          <a:off x="4196346" y="-551323"/>
          <a:ext cx="472162" cy="4171696"/>
        </a:xfrm>
        <a:prstGeom prst="round2SameRect">
          <a:avLst/>
        </a:prstGeom>
      </dsp:spPr>
      <dsp:style>
        <a:lnRef idx="2">
          <a:schemeClr val="dk1">
            <a:alpha val="90000"/>
          </a:schemeClr>
        </a:lnRef>
        <a:fillRef idx="1">
          <a:schemeClr val="lt1">
            <a:alpha val="90000"/>
            <a:tint val="40000"/>
          </a:schemeClr>
        </a:fillRef>
        <a:effectRef idx="0">
          <a:scrgbClr r="0" g="0" b="0"/>
        </a:effectRef>
        <a:fontRef idx="minor"/>
      </dsp:style>
      <dsp:txBody>
        <a:bodyPr rot="-5400000" vert="horz" wrap="square" lIns="45719" tIns="22859" rIns="45719" bIns="22859" anchor="ctr"/>
        <a:lstStyle>
          <a:lvl1pPr algn="l">
            <a:defRPr sz="6500"/>
          </a:lvl1pPr>
          <a:lvl2pPr marL="285750" indent="-285750" algn="l">
            <a:defRPr sz="6500"/>
          </a:lvl2pPr>
          <a:lvl3pPr marL="571500" indent="-285750" algn="l">
            <a:defRPr sz="6500"/>
          </a:lvl3pPr>
          <a:lvl4pPr marL="857250" indent="-285750" algn="l">
            <a:defRPr sz="6500"/>
          </a:lvl4pPr>
          <a:lvl5pPr marL="1143000" indent="-285750" algn="l">
            <a:defRPr sz="6500"/>
          </a:lvl5pPr>
          <a:lvl6pPr marL="1428750" indent="-285750" algn="l">
            <a:defRPr sz="6500"/>
          </a:lvl6pPr>
          <a:lvl7pPr marL="1714500" indent="-285750" algn="l">
            <a:defRPr sz="6500"/>
          </a:lvl7pPr>
          <a:lvl8pPr marL="2000250" indent="-285750" algn="l">
            <a:defRPr sz="6500"/>
          </a:lvl8pPr>
          <a:lvl9pPr marL="2286000" indent="-285750" algn="l">
            <a:defRPr sz="6500"/>
          </a:lvl9pPr>
        </a:lstStyle>
        <a:p>
          <a:pPr marL="114300" lvl="1" indent="-114300">
            <a:lnSpc>
              <a:spcPct val="100000"/>
            </a:lnSpc>
            <a:spcBef>
              <a:spcPct val="0"/>
            </a:spcBef>
            <a:spcAft>
              <a:spcPct val="15000"/>
            </a:spcAft>
            <a:buChar char="•"/>
          </a:pPr>
          <a:r>
            <a:rPr lang="en-US" sz="1200">
              <a:solidFill>
                <a:schemeClr val="dk1"/>
              </a:solidFill>
              <a:latin typeface="Times New Roman" panose="02020603050405020304" charset="0"/>
              <a:cs typeface="Times New Roman" panose="02020603050405020304" charset="0"/>
            </a:rPr>
            <a:t>Fossil fuel subsidies and distorted market prices</a:t>
          </a:r>
          <a:endParaRPr lang="en-US" sz="1200">
            <a:solidFill>
              <a:schemeClr val="dk1"/>
            </a:solidFill>
            <a:latin typeface="Times New Roman" panose="02020603050405020304" charset="0"/>
            <a:cs typeface="Times New Roman" panose="02020603050405020304" charset="0"/>
          </a:endParaRPr>
        </a:p>
        <a:p>
          <a:pPr marL="114300" lvl="1" indent="-114300">
            <a:lnSpc>
              <a:spcPct val="100000"/>
            </a:lnSpc>
            <a:spcBef>
              <a:spcPct val="0"/>
            </a:spcBef>
            <a:spcAft>
              <a:spcPct val="15000"/>
            </a:spcAft>
            <a:buChar char="•"/>
          </a:pPr>
          <a:r>
            <a:rPr lang="en-US" sz="1200">
              <a:solidFill>
                <a:schemeClr val="dk1"/>
              </a:solidFill>
              <a:latin typeface="Times New Roman" panose="02020603050405020304" charset="0"/>
              <a:cs typeface="Times New Roman" panose="02020603050405020304" charset="0"/>
            </a:rPr>
            <a:t>Gaps in rules and circular economy policies </a:t>
          </a:r>
          <a:endParaRPr lang="en-US" sz="1200">
            <a:solidFill>
              <a:schemeClr val="dk1"/>
            </a:solidFill>
            <a:latin typeface="Times New Roman" panose="02020603050405020304" charset="0"/>
            <a:cs typeface="Times New Roman" panose="02020603050405020304" charset="0"/>
          </a:endParaRPr>
        </a:p>
      </dsp:txBody>
      <dsp:txXfrm rot="5400000">
        <a:off x="4196346" y="-551323"/>
        <a:ext cx="472162" cy="4171696"/>
      </dsp:txXfrm>
    </dsp:sp>
    <dsp:sp modelId="{36845AD7-43D7-4836-9231-69ABDD68AD0F}">
      <dsp:nvSpPr>
        <dsp:cNvPr id="7" name="Rounded Rectangle 6"/>
        <dsp:cNvSpPr/>
      </dsp:nvSpPr>
      <dsp:spPr bwMode="white">
        <a:xfrm>
          <a:off x="0" y="1239424"/>
          <a:ext cx="2346579" cy="590202"/>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45719" tIns="22859" rIns="4571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Policy and Regulatory barriers</a:t>
          </a:r>
          <a:endParaRPr lang="en-US">
            <a:solidFill>
              <a:schemeClr val="dk1"/>
            </a:solidFill>
          </a:endParaRPr>
        </a:p>
      </dsp:txBody>
      <dsp:txXfrm>
        <a:off x="0" y="1239424"/>
        <a:ext cx="2346579" cy="590202"/>
      </dsp:txXfrm>
    </dsp:sp>
    <dsp:sp modelId="{D0A24204-09CE-4511-84F1-78B11EA896BA}">
      <dsp:nvSpPr>
        <dsp:cNvPr id="10" name="Round Same Side Corner Rectangle 9"/>
        <dsp:cNvSpPr/>
      </dsp:nvSpPr>
      <dsp:spPr bwMode="white">
        <a:xfrm rot="5400000">
          <a:off x="4196346" y="68389"/>
          <a:ext cx="472162" cy="4171696"/>
        </a:xfrm>
        <a:prstGeom prst="round2SameRect">
          <a:avLst/>
        </a:prstGeom>
      </dsp:spPr>
      <dsp:style>
        <a:lnRef idx="2">
          <a:schemeClr val="dk1">
            <a:alpha val="90000"/>
          </a:schemeClr>
        </a:lnRef>
        <a:fillRef idx="1">
          <a:schemeClr val="lt1">
            <a:alpha val="90000"/>
            <a:tint val="40000"/>
          </a:schemeClr>
        </a:fillRef>
        <a:effectRef idx="0">
          <a:scrgbClr r="0" g="0" b="0"/>
        </a:effectRef>
        <a:fontRef idx="minor"/>
      </dsp:style>
      <dsp:txBody>
        <a:bodyPr rot="-5400000" vert="horz" wrap="square" lIns="45719" tIns="22859" rIns="45719" bIns="22859" anchor="ctr"/>
        <a:lstStyle>
          <a:lvl1pPr algn="l">
            <a:defRPr sz="6500"/>
          </a:lvl1pPr>
          <a:lvl2pPr marL="285750" indent="-285750" algn="l">
            <a:defRPr sz="6500"/>
          </a:lvl2pPr>
          <a:lvl3pPr marL="571500" indent="-285750" algn="l">
            <a:defRPr sz="6500"/>
          </a:lvl3pPr>
          <a:lvl4pPr marL="857250" indent="-285750" algn="l">
            <a:defRPr sz="6500"/>
          </a:lvl4pPr>
          <a:lvl5pPr marL="1143000" indent="-285750" algn="l">
            <a:defRPr sz="6500"/>
          </a:lvl5pPr>
          <a:lvl6pPr marL="1428750" indent="-285750" algn="l">
            <a:defRPr sz="6500"/>
          </a:lvl6pPr>
          <a:lvl7pPr marL="1714500" indent="-285750" algn="l">
            <a:defRPr sz="6500"/>
          </a:lvl7pPr>
          <a:lvl8pPr marL="2000250" indent="-285750" algn="l">
            <a:defRPr sz="6500"/>
          </a:lvl8pPr>
          <a:lvl9pPr marL="2286000" indent="-285750" algn="l">
            <a:defRPr sz="6500"/>
          </a:lvl9pPr>
        </a:lstStyle>
        <a:p>
          <a:pPr marL="114300" lvl="1" indent="-114300">
            <a:lnSpc>
              <a:spcPct val="100000"/>
            </a:lnSpc>
            <a:spcBef>
              <a:spcPct val="0"/>
            </a:spcBef>
            <a:spcAft>
              <a:spcPct val="35000"/>
            </a:spcAft>
            <a:buChar char="•"/>
          </a:pPr>
          <a:r>
            <a:rPr lang="en-US" sz="1200">
              <a:solidFill>
                <a:schemeClr val="dk1"/>
              </a:solidFill>
              <a:latin typeface="Times New Roman" panose="02020603050405020304" charset="0"/>
              <a:cs typeface="Times New Roman" panose="02020603050405020304" charset="0"/>
            </a:rPr>
            <a:t>Insufficient incentives </a:t>
          </a:r>
          <a:r>
            <a:rPr lang="en-US" sz="1100">
              <a:solidFill>
                <a:schemeClr val="dk1"/>
              </a:solidFill>
            </a:rPr>
            <a:t>for circular economy investments</a:t>
          </a:r>
          <a:endParaRPr lang="en-US" sz="1100">
            <a:solidFill>
              <a:schemeClr val="dk1"/>
            </a:solidFill>
          </a:endParaRPr>
        </a:p>
        <a:p>
          <a:pPr marL="114300" lvl="1" indent="-114300">
            <a:lnSpc>
              <a:spcPct val="100000"/>
            </a:lnSpc>
            <a:spcBef>
              <a:spcPct val="0"/>
            </a:spcBef>
            <a:spcAft>
              <a:spcPct val="35000"/>
            </a:spcAft>
            <a:buChar char="•"/>
          </a:pPr>
          <a:r>
            <a:rPr lang="en-US" sz="1200">
              <a:solidFill>
                <a:schemeClr val="dk1"/>
              </a:solidFill>
              <a:latin typeface="Times New Roman" panose="02020603050405020304" charset="0"/>
              <a:cs typeface="Times New Roman" panose="02020603050405020304" charset="0"/>
            </a:rPr>
            <a:t>High cost of circular technologies</a:t>
          </a:r>
          <a:r>
            <a:rPr lang="en-US" sz="1200">
              <a:solidFill>
                <a:schemeClr val="dk1"/>
              </a:solidFill>
              <a:latin typeface="Times New Roman" panose="02020603050405020304" charset="0"/>
              <a:cs typeface="Times New Roman" panose="02020603050405020304" charset="0"/>
            </a:rPr>
            <a:t> </a:t>
          </a:r>
          <a:endParaRPr lang="en-US" sz="1200">
            <a:solidFill>
              <a:schemeClr val="dk1"/>
            </a:solidFill>
            <a:latin typeface="Times New Roman" panose="02020603050405020304" charset="0"/>
            <a:cs typeface="Times New Roman" panose="02020603050405020304" charset="0"/>
          </a:endParaRPr>
        </a:p>
      </dsp:txBody>
      <dsp:txXfrm rot="5400000">
        <a:off x="4196346" y="68389"/>
        <a:ext cx="472162" cy="4171696"/>
      </dsp:txXfrm>
    </dsp:sp>
    <dsp:sp modelId="{E0891725-40E5-45BD-9944-E3063B6140C9}">
      <dsp:nvSpPr>
        <dsp:cNvPr id="9" name="Rounded Rectangle 8"/>
        <dsp:cNvSpPr/>
      </dsp:nvSpPr>
      <dsp:spPr bwMode="white">
        <a:xfrm>
          <a:off x="0" y="1859136"/>
          <a:ext cx="2346579" cy="590202"/>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45719" tIns="22859" rIns="4571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Financial restraints </a:t>
          </a:r>
          <a:endParaRPr lang="en-US">
            <a:solidFill>
              <a:schemeClr val="dk1"/>
            </a:solidFill>
          </a:endParaRPr>
        </a:p>
      </dsp:txBody>
      <dsp:txXfrm>
        <a:off x="0" y="1859136"/>
        <a:ext cx="2346579" cy="590202"/>
      </dsp:txXfrm>
    </dsp:sp>
    <dsp:sp modelId="{DC60A1C6-3939-4D45-A936-69292D38BA50}">
      <dsp:nvSpPr>
        <dsp:cNvPr id="12" name="Round Same Side Corner Rectangle 11"/>
        <dsp:cNvSpPr/>
      </dsp:nvSpPr>
      <dsp:spPr bwMode="white">
        <a:xfrm rot="5400000">
          <a:off x="4196346" y="688102"/>
          <a:ext cx="472162" cy="4171696"/>
        </a:xfrm>
        <a:prstGeom prst="round2SameRect">
          <a:avLst/>
        </a:prstGeom>
      </dsp:spPr>
      <dsp:style>
        <a:lnRef idx="2">
          <a:schemeClr val="dk1">
            <a:alpha val="90000"/>
          </a:schemeClr>
        </a:lnRef>
        <a:fillRef idx="1">
          <a:schemeClr val="lt1">
            <a:alpha val="90000"/>
            <a:tint val="40000"/>
          </a:schemeClr>
        </a:fillRef>
        <a:effectRef idx="0">
          <a:scrgbClr r="0" g="0" b="0"/>
        </a:effectRef>
        <a:fontRef idx="minor"/>
      </dsp:style>
      <dsp:txBody>
        <a:bodyPr rot="-5400000" vert="horz" wrap="square" lIns="45719" tIns="22859" rIns="45719" bIns="22859" anchor="ctr"/>
        <a:lstStyle>
          <a:lvl1pPr algn="l">
            <a:defRPr sz="6500"/>
          </a:lvl1pPr>
          <a:lvl2pPr marL="285750" indent="-285750" algn="l">
            <a:defRPr sz="6500"/>
          </a:lvl2pPr>
          <a:lvl3pPr marL="571500" indent="-285750" algn="l">
            <a:defRPr sz="6500"/>
          </a:lvl3pPr>
          <a:lvl4pPr marL="857250" indent="-285750" algn="l">
            <a:defRPr sz="6500"/>
          </a:lvl4pPr>
          <a:lvl5pPr marL="1143000" indent="-285750" algn="l">
            <a:defRPr sz="6500"/>
          </a:lvl5pPr>
          <a:lvl6pPr marL="1428750" indent="-285750" algn="l">
            <a:defRPr sz="6500"/>
          </a:lvl6pPr>
          <a:lvl7pPr marL="1714500" indent="-285750" algn="l">
            <a:defRPr sz="6500"/>
          </a:lvl7pPr>
          <a:lvl8pPr marL="2000250" indent="-285750" algn="l">
            <a:defRPr sz="6500"/>
          </a:lvl8pPr>
          <a:lvl9pPr marL="2286000" indent="-285750" algn="l">
            <a:defRPr sz="6500"/>
          </a:lvl9pPr>
        </a:lstStyle>
        <a:p>
          <a:pPr marL="114300" lvl="1" indent="-114300">
            <a:lnSpc>
              <a:spcPct val="100000"/>
            </a:lnSpc>
            <a:spcBef>
              <a:spcPct val="0"/>
            </a:spcBef>
            <a:spcAft>
              <a:spcPct val="35000"/>
            </a:spcAft>
            <a:buChar char="•"/>
          </a:pPr>
          <a:r>
            <a:rPr lang="en-US" sz="1200">
              <a:solidFill>
                <a:schemeClr val="dk1"/>
              </a:solidFill>
              <a:latin typeface="Times New Roman" panose="02020603050405020304" charset="0"/>
              <a:cs typeface="Times New Roman" panose="02020603050405020304" charset="0"/>
            </a:rPr>
            <a:t>Slow adoption of circular technologies</a:t>
          </a:r>
          <a:endParaRPr lang="en-US" sz="1200">
            <a:solidFill>
              <a:schemeClr val="dk1"/>
            </a:solidFill>
            <a:latin typeface="Times New Roman" panose="02020603050405020304" charset="0"/>
            <a:cs typeface="Times New Roman" panose="02020603050405020304" charset="0"/>
          </a:endParaRPr>
        </a:p>
        <a:p>
          <a:pPr marL="114300" lvl="1" indent="-114300">
            <a:lnSpc>
              <a:spcPct val="100000"/>
            </a:lnSpc>
            <a:spcBef>
              <a:spcPct val="0"/>
            </a:spcBef>
            <a:spcAft>
              <a:spcPct val="35000"/>
            </a:spcAft>
            <a:buChar char="•"/>
          </a:pPr>
          <a:r>
            <a:rPr lang="en-US" sz="1200">
              <a:solidFill>
                <a:schemeClr val="dk1"/>
              </a:solidFill>
              <a:latin typeface="Times New Roman" panose="02020603050405020304" charset="0"/>
              <a:cs typeface="Times New Roman" panose="02020603050405020304" charset="0"/>
            </a:rPr>
            <a:t>Limited technical expertise and workforce training </a:t>
          </a:r>
          <a:endParaRPr lang="en-US" sz="1200">
            <a:solidFill>
              <a:schemeClr val="dk1"/>
            </a:solidFill>
            <a:latin typeface="Times New Roman" panose="02020603050405020304" charset="0"/>
            <a:cs typeface="Times New Roman" panose="02020603050405020304" charset="0"/>
          </a:endParaRPr>
        </a:p>
      </dsp:txBody>
      <dsp:txXfrm rot="5400000">
        <a:off x="4196346" y="688102"/>
        <a:ext cx="472162" cy="4171696"/>
      </dsp:txXfrm>
    </dsp:sp>
    <dsp:sp modelId="{E51E7BF0-B594-49BA-AFBA-017B07413757}">
      <dsp:nvSpPr>
        <dsp:cNvPr id="11" name="Rounded Rectangle 10"/>
        <dsp:cNvSpPr/>
      </dsp:nvSpPr>
      <dsp:spPr bwMode="white">
        <a:xfrm>
          <a:off x="0" y="2478849"/>
          <a:ext cx="2346579" cy="590202"/>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45719" tIns="22859" rIns="4571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Technological and knowledge gaps </a:t>
          </a:r>
          <a:endParaRPr lang="en-US">
            <a:solidFill>
              <a:schemeClr val="dk1"/>
            </a:solidFill>
          </a:endParaRPr>
        </a:p>
      </dsp:txBody>
      <dsp:txXfrm>
        <a:off x="0" y="2478849"/>
        <a:ext cx="2346579" cy="590202"/>
      </dsp:txXfrm>
    </dsp:sp>
    <dsp:sp modelId="{1C3A1013-1F89-4B16-8913-764479535FA7}">
      <dsp:nvSpPr>
        <dsp:cNvPr id="14" name="Round Same Side Corner Rectangle 13"/>
        <dsp:cNvSpPr/>
      </dsp:nvSpPr>
      <dsp:spPr bwMode="white">
        <a:xfrm rot="5400000">
          <a:off x="4196346" y="1307814"/>
          <a:ext cx="472162" cy="4171696"/>
        </a:xfrm>
        <a:prstGeom prst="round2SameRect">
          <a:avLst/>
        </a:prstGeom>
      </dsp:spPr>
      <dsp:style>
        <a:lnRef idx="2">
          <a:schemeClr val="dk1">
            <a:alpha val="90000"/>
          </a:schemeClr>
        </a:lnRef>
        <a:fillRef idx="1">
          <a:schemeClr val="lt1">
            <a:alpha val="90000"/>
            <a:tint val="40000"/>
          </a:schemeClr>
        </a:fillRef>
        <a:effectRef idx="0">
          <a:scrgbClr r="0" g="0" b="0"/>
        </a:effectRef>
        <a:fontRef idx="minor"/>
      </dsp:style>
      <dsp:txBody>
        <a:bodyPr rot="-5400000" vert="horz" wrap="square" lIns="45719" tIns="22859" rIns="45719" bIns="22859" anchor="ctr"/>
        <a:lstStyle>
          <a:lvl1pPr algn="l">
            <a:defRPr sz="6500"/>
          </a:lvl1pPr>
          <a:lvl2pPr marL="285750" indent="-285750" algn="l">
            <a:defRPr sz="6500"/>
          </a:lvl2pPr>
          <a:lvl3pPr marL="571500" indent="-285750" algn="l">
            <a:defRPr sz="6500"/>
          </a:lvl3pPr>
          <a:lvl4pPr marL="857250" indent="-285750" algn="l">
            <a:defRPr sz="6500"/>
          </a:lvl4pPr>
          <a:lvl5pPr marL="1143000" indent="-285750" algn="l">
            <a:defRPr sz="6500"/>
          </a:lvl5pPr>
          <a:lvl6pPr marL="1428750" indent="-285750" algn="l">
            <a:defRPr sz="6500"/>
          </a:lvl6pPr>
          <a:lvl7pPr marL="1714500" indent="-285750" algn="l">
            <a:defRPr sz="6500"/>
          </a:lvl7pPr>
          <a:lvl8pPr marL="2000250" indent="-285750" algn="l">
            <a:defRPr sz="6500"/>
          </a:lvl8pPr>
          <a:lvl9pPr marL="2286000" indent="-285750" algn="l">
            <a:defRPr sz="6500"/>
          </a:lvl9pPr>
        </a:lstStyle>
        <a:p>
          <a:pPr marL="114300" lvl="1" indent="-114300">
            <a:lnSpc>
              <a:spcPct val="100000"/>
            </a:lnSpc>
            <a:spcBef>
              <a:spcPct val="0"/>
            </a:spcBef>
            <a:spcAft>
              <a:spcPct val="35000"/>
            </a:spcAft>
            <a:buChar char="•"/>
          </a:pPr>
          <a:r>
            <a:rPr lang="en-US" sz="1200">
              <a:solidFill>
                <a:schemeClr val="dk1"/>
              </a:solidFill>
              <a:latin typeface="Times New Roman" panose="02020603050405020304" charset="0"/>
              <a:cs typeface="Times New Roman" panose="02020603050405020304" charset="0"/>
            </a:rPr>
            <a:t>Complex </a:t>
          </a:r>
          <a:r>
            <a:rPr lang="en-US" sz="1200">
              <a:solidFill>
                <a:schemeClr val="dk1"/>
              </a:solidFill>
              <a:latin typeface="Times New Roman" panose="02020603050405020304" charset="0"/>
              <a:cs typeface="Times New Roman" panose="02020603050405020304" charset="0"/>
            </a:rPr>
            <a:t>and regulatory environment</a:t>
          </a:r>
          <a:endParaRPr lang="en-US" sz="1200">
            <a:solidFill>
              <a:schemeClr val="dk1"/>
            </a:solidFill>
            <a:latin typeface="Times New Roman" panose="02020603050405020304" charset="0"/>
            <a:cs typeface="Times New Roman" panose="02020603050405020304" charset="0"/>
          </a:endParaRPr>
        </a:p>
        <a:p>
          <a:pPr marL="114300" lvl="1" indent="-114300">
            <a:lnSpc>
              <a:spcPct val="100000"/>
            </a:lnSpc>
            <a:spcBef>
              <a:spcPct val="0"/>
            </a:spcBef>
            <a:spcAft>
              <a:spcPct val="35000"/>
            </a:spcAft>
            <a:buChar char="•"/>
          </a:pPr>
          <a:r>
            <a:rPr lang="en-US" sz="1200">
              <a:solidFill>
                <a:schemeClr val="dk1"/>
              </a:solidFill>
              <a:latin typeface="Times New Roman" panose="02020603050405020304" charset="0"/>
              <a:cs typeface="Times New Roman" panose="02020603050405020304" charset="0"/>
            </a:rPr>
            <a:t>Ineffective enforcing of environmental regulations</a:t>
          </a:r>
          <a:endParaRPr lang="en-US" sz="1200">
            <a:solidFill>
              <a:schemeClr val="dk1"/>
            </a:solidFill>
            <a:latin typeface="Times New Roman" panose="02020603050405020304" charset="0"/>
            <a:cs typeface="Times New Roman" panose="02020603050405020304" charset="0"/>
          </a:endParaRPr>
        </a:p>
      </dsp:txBody>
      <dsp:txXfrm rot="5400000">
        <a:off x="4196346" y="1307814"/>
        <a:ext cx="472162" cy="4171696"/>
      </dsp:txXfrm>
    </dsp:sp>
    <dsp:sp modelId="{C2994465-C844-49E1-B931-658C291A9F11}">
      <dsp:nvSpPr>
        <dsp:cNvPr id="13" name="Rounded Rectangle 12"/>
        <dsp:cNvSpPr/>
      </dsp:nvSpPr>
      <dsp:spPr bwMode="white">
        <a:xfrm>
          <a:off x="0" y="3098561"/>
          <a:ext cx="2346579" cy="590202"/>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45719" tIns="22859" rIns="4571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Institutional and governance challenges</a:t>
          </a:r>
          <a:endParaRPr lang="en-US">
            <a:solidFill>
              <a:schemeClr val="dk1"/>
            </a:solidFill>
          </a:endParaRPr>
        </a:p>
      </dsp:txBody>
      <dsp:txXfrm>
        <a:off x="0" y="3098561"/>
        <a:ext cx="2346579" cy="590202"/>
      </dsp:txXfrm>
    </dsp:sp>
    <dsp:sp modelId="{ECA689D5-A33E-4474-A661-6C9AB46DFA53}">
      <dsp:nvSpPr>
        <dsp:cNvPr id="16" name="Round Same Side Corner Rectangle 15"/>
        <dsp:cNvSpPr/>
      </dsp:nvSpPr>
      <dsp:spPr bwMode="white">
        <a:xfrm rot="5400000">
          <a:off x="4196346" y="1927526"/>
          <a:ext cx="472162" cy="4171696"/>
        </a:xfrm>
        <a:prstGeom prst="round2SameRect">
          <a:avLst/>
        </a:prstGeom>
      </dsp:spPr>
      <dsp:style>
        <a:lnRef idx="2">
          <a:schemeClr val="dk1">
            <a:alpha val="90000"/>
          </a:schemeClr>
        </a:lnRef>
        <a:fillRef idx="1">
          <a:schemeClr val="lt1">
            <a:alpha val="90000"/>
            <a:tint val="40000"/>
          </a:schemeClr>
        </a:fillRef>
        <a:effectRef idx="0">
          <a:scrgbClr r="0" g="0" b="0"/>
        </a:effectRef>
        <a:fontRef idx="minor"/>
      </dsp:style>
      <dsp:txBody>
        <a:bodyPr rot="-5400000" vert="horz" wrap="square" lIns="45719" tIns="22859" rIns="45719" bIns="22859" anchor="ctr"/>
        <a:lstStyle>
          <a:lvl1pPr algn="l">
            <a:defRPr sz="6500"/>
          </a:lvl1pPr>
          <a:lvl2pPr marL="285750" indent="-285750" algn="l">
            <a:defRPr sz="6500"/>
          </a:lvl2pPr>
          <a:lvl3pPr marL="571500" indent="-285750" algn="l">
            <a:defRPr sz="6500"/>
          </a:lvl3pPr>
          <a:lvl4pPr marL="857250" indent="-285750" algn="l">
            <a:defRPr sz="6500"/>
          </a:lvl4pPr>
          <a:lvl5pPr marL="1143000" indent="-285750" algn="l">
            <a:defRPr sz="6500"/>
          </a:lvl5pPr>
          <a:lvl6pPr marL="1428750" indent="-285750" algn="l">
            <a:defRPr sz="6500"/>
          </a:lvl6pPr>
          <a:lvl7pPr marL="1714500" indent="-285750" algn="l">
            <a:defRPr sz="6500"/>
          </a:lvl7pPr>
          <a:lvl8pPr marL="2000250" indent="-285750" algn="l">
            <a:defRPr sz="6500"/>
          </a:lvl8pPr>
          <a:lvl9pPr marL="2286000" indent="-285750" algn="l">
            <a:defRPr sz="6500"/>
          </a:lvl9pPr>
        </a:lstStyle>
        <a:p>
          <a:pPr marL="114300" lvl="1" indent="-114300">
            <a:lnSpc>
              <a:spcPct val="100000"/>
            </a:lnSpc>
            <a:spcBef>
              <a:spcPct val="0"/>
            </a:spcBef>
            <a:spcAft>
              <a:spcPct val="15000"/>
            </a:spcAft>
            <a:buChar char="•"/>
          </a:pPr>
          <a:r>
            <a:rPr lang="en-US" sz="1200">
              <a:solidFill>
                <a:schemeClr val="dk1"/>
              </a:solidFill>
              <a:latin typeface="Times New Roman" panose="02020603050405020304" charset="0"/>
              <a:cs typeface="Times New Roman" panose="02020603050405020304" charset="0"/>
            </a:rPr>
            <a:t>Low interregional energy trade </a:t>
          </a:r>
          <a:endParaRPr lang="en-US" sz="1200">
            <a:solidFill>
              <a:schemeClr val="dk1"/>
            </a:solidFill>
            <a:latin typeface="Times New Roman" panose="02020603050405020304" charset="0"/>
            <a:cs typeface="Times New Roman" panose="02020603050405020304" charset="0"/>
          </a:endParaRPr>
        </a:p>
      </dsp:txBody>
      <dsp:txXfrm rot="5400000">
        <a:off x="4196346" y="1927526"/>
        <a:ext cx="472162" cy="4171696"/>
      </dsp:txXfrm>
    </dsp:sp>
    <dsp:sp modelId="{0A42D71E-DE4F-41FF-AAC7-53E50B8AD77B}">
      <dsp:nvSpPr>
        <dsp:cNvPr id="15" name="Rounded Rectangle 14"/>
        <dsp:cNvSpPr/>
      </dsp:nvSpPr>
      <dsp:spPr bwMode="white">
        <a:xfrm>
          <a:off x="0" y="3718273"/>
          <a:ext cx="2346579" cy="590202"/>
        </a:xfrm>
        <a:prstGeom prst="roundRect">
          <a:avLst/>
        </a:prstGeom>
      </dsp:spPr>
      <dsp:style>
        <a:lnRef idx="2">
          <a:schemeClr val="dk1">
            <a:shade val="80000"/>
          </a:schemeClr>
        </a:lnRef>
        <a:fillRef idx="1">
          <a:schemeClr val="lt1"/>
        </a:fillRef>
        <a:effectRef idx="0">
          <a:scrgbClr r="0" g="0" b="0"/>
        </a:effectRef>
        <a:fontRef idx="minor">
          <a:schemeClr val="lt1"/>
        </a:fontRef>
      </dsp:style>
      <dsp:txBody>
        <a:bodyPr vert="horz" wrap="square" lIns="45719" tIns="22859" rIns="4571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r>
            <a:rPr lang="en-US">
              <a:solidFill>
                <a:schemeClr val="dk1"/>
              </a:solidFill>
            </a:rPr>
            <a:t>Inadequate regional cooperation and trade constraints </a:t>
          </a:r>
          <a:endParaRPr lang="en-US">
            <a:solidFill>
              <a:schemeClr val="dk1"/>
            </a:solidFill>
          </a:endParaRPr>
        </a:p>
      </dsp:txBody>
      <dsp:txXfrm>
        <a:off x="0" y="3718273"/>
        <a:ext cx="2346579" cy="59020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rSet qsTypeId="urn:microsoft.com/office/officeart/2005/8/quickstyle/simple5"/>
        </dgm:pt>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rSet csTypeId="urn:microsoft.com/office/officeart/2005/8/colors/accent6_5"/>
        </dgm:pt>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rSet qsTypeId="urn:microsoft.com/office/officeart/2005/8/quickstyle/simple5"/>
        </dgm:pt>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rSet csTypeId="urn:microsoft.com/office/officeart/2005/8/colors/accent6_5"/>
        </dgm:pt>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Sty" val="arr"/>
              <dgm:param type="endSty" val="noArr"/>
              <dgm:param type="begPts" val="auto"/>
              <dgm:param type="endPts" val="ct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rSet qsTypeId="urn:microsoft.com/office/officeart/2005/8/quickstyle/simple5"/>
        </dgm:pt>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rSet csTypeId="urn:microsoft.com/office/officeart/2005/8/colors/accent6_5"/>
        </dgm:pt>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srcNode" val="parTx"/>
            <dgm:param type="dstNode" val="parTx"/>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rSet qsTypeId="urn:microsoft.com/office/officeart/2005/8/quickstyle/simple5"/>
        </dgm:pt>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rSet csTypeId="urn:microsoft.com/office/officeart/2005/8/colors/accent6_5"/>
        </dgm:pt>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rSet qsTypeId="urn:microsoft.com/office/officeart/2005/8/quickstyle/simple5"/>
        </dgm:pt>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rSet csTypeId="urn:microsoft.com/office/officeart/2005/8/colors/accent6_5"/>
        </dgm:pt>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rSet qsTypeId="urn:microsoft.com/office/officeart/2005/8/quickstyle/simple5"/>
        </dgm:pt>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rSet csTypeId="urn:microsoft.com/office/officeart/2005/8/colors/accent6_5"/>
        </dgm:pt>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type="round2SameRect" r:blip="" rot="90">
                    <dgm:adjLst/>
                  </dgm:shape>
                </dgm:if>
                <dgm:else name="Name12">
                  <dgm:shape xmlns:r="http://schemas.openxmlformats.org/officeDocument/2006/relationships" type="round2SameRect" r:blip="" rot="-90">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3">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callout">
    <dgm:scene3d>
      <a:camera prst="orthographicFront"/>
      <a:lightRig rig="threePt" dir="t"/>
    </dgm:scene3d>
    <dgm:txPr/>
    <dgm:style>
      <a:lnRef idx="1">
        <a:scrgbClr r="0" g="0" b="0"/>
      </a:lnRef>
      <a:fillRef idx="0">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3">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3">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3">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8383</Words>
  <Characters>54386</Characters>
  <Lines>0</Lines>
  <Paragraphs>0</Paragraphs>
  <TotalTime>142</TotalTime>
  <ScaleCrop>false</ScaleCrop>
  <LinksUpToDate>false</LinksUpToDate>
  <CharactersWithSpaces>66368</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2025-01-28T16:30:00Z</dcterms:created>
  <dc:creator>Yuvraj_Singh</dc:creator>
  <cp:lastModifiedBy>1483 Jannat Akhtar</cp:lastModifiedBy>
  <dcterms:modified xsi:type="dcterms:W3CDTF">2025-04-24T18:16:57Z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53E99607FEB44B06A9A5D0F3670F1DC1_11</vt:lpwstr>
  </property>
</Properties>
</file>